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5"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9"/>
        </w:rPr>
        <w:t xml:space="preserve"> </w:t>
      </w:r>
      <w:r/>
    </w:p>
    <w:p>
      <w:pPr>
        <w:ind w:left="1572" w:right="1933" w:firstLine="0"/>
        <w:jc w:val="center"/>
        <w:spacing w:before="0" w:after="0" w:line="82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72"/>
        </w:rPr>
        <w:t xml:space="preserve">竞争性磋商文件</w:t>
      </w:r>
      <w:r/>
    </w:p>
    <w:p>
      <w:pPr>
        <w:ind w:left="0" w:right="0" w:firstLine="0"/>
        <w:jc w:val="center"/>
        <w:spacing w:before="9"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52"/>
        </w:rPr>
        <w:t xml:space="preserve"> </w:t>
      </w:r>
      <w:r/>
    </w:p>
    <w:p>
      <w:pPr>
        <w:ind w:left="0" w:right="0" w:firstLine="0"/>
        <w:jc w:val="center"/>
        <w:spacing w:before="9"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52"/>
        </w:rPr>
        <w:t xml:space="preserve">（服务类）</w:t>
      </w:r>
      <w:r/>
    </w:p>
    <w:p>
      <w:pPr>
        <w:ind w:left="698"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698"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698"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698"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项目编号：JSZC-320115-NJJC-C2026-0014</w:t>
      </w:r>
      <w:r/>
    </w:p>
    <w:p>
      <w:pPr>
        <w:ind w:left="0" w:right="0" w:firstLine="0"/>
        <w:spacing w:before="6"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 </w:t>
      </w:r>
      <w:r/>
    </w:p>
    <w:p>
      <w:pPr>
        <w:ind w:left="698"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32"/>
        </w:rPr>
        <w:t xml:space="preserve">项目名称：江宁街道农村公路市场化养护项目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698"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698"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698"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698"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 购 人：南京市江宁区人民政府江宁街道办事处</w:t>
      </w:r>
      <w:r/>
    </w:p>
    <w:p>
      <w:pPr>
        <w:ind w:left="698"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698"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采购代理机构：南京江城工程项目管理有限公司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43"/>
        <w:spacing w:before="0" w:after="0" w:line="8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日期：2026年3月</w:t>
      </w:r>
      <w:r/>
    </w:p>
    <w:p>
      <w:pPr>
        <w:ind w:left="0" w:right="0" w:firstLine="0"/>
        <w:spacing w:before="0" w:after="0" w:line="84" w:lineRule="atLeast"/>
        <w:pBdr>
          <w:top w:val="none" w:color="000000" w:sz="4" w:space="0"/>
          <w:left w:val="none" w:color="000000" w:sz="4" w:space="0"/>
          <w:bottom w:val="none" w:color="000000" w:sz="4" w:space="0"/>
          <w:right w:val="none" w:color="000000" w:sz="4" w:space="0"/>
        </w:pBdr>
      </w:pPr>
      <w:r>
        <w:br w:type="page" w:clear="all"/>
      </w:r>
      <w:r/>
    </w:p>
    <w:p>
      <w:pPr>
        <w:ind w:left="0" w:right="117" w:firstLine="2736"/>
        <w:spacing w:before="287" w:after="0"/>
        <w:tabs>
          <w:tab w:val="left" w:pos="4171"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第一章</w:t>
        <w:tab/>
        <w:t xml:space="preserve">竞争性磋商邀请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江宁街道农村公路市场化养护项目</w:t>
      </w:r>
      <w:r>
        <w:rPr>
          <w:rFonts w:ascii="Calibri" w:hAnsi="Calibri" w:eastAsia="Calibri" w:cs="Calibri"/>
          <w:color w:val="000000"/>
          <w:sz w:val="21"/>
        </w:rPr>
        <w:t xml:space="preserve">的潜在供应商应在江苏政府采购网获取采购文件，并于</w:t>
      </w:r>
      <w:r>
        <w:rPr>
          <w:rFonts w:ascii="SimSun" w:hAnsi="SimSun" w:eastAsia="SimSun" w:cs="SimSun"/>
          <w:color w:val="000000"/>
          <w:sz w:val="21"/>
        </w:rPr>
        <w:t xml:space="preserve">2026年4月7日09点30 分</w:t>
      </w:r>
      <w:r>
        <w:rPr>
          <w:rFonts w:ascii="Calibri" w:hAnsi="Calibri" w:eastAsia="Calibri" w:cs="Calibri"/>
          <w:color w:val="000000"/>
          <w:sz w:val="21"/>
        </w:rPr>
        <w:t xml:space="preserve">（北京时间）前提交响应文件。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一、项目基本情况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rPr>
          <w:rFonts w:ascii="Calibri" w:hAnsi="Calibri" w:eastAsia="Calibri" w:cs="Calibri"/>
          <w:color w:val="000000"/>
          <w:sz w:val="21"/>
        </w:rPr>
        <w:t xml:space="preserve">项目编号：</w:t>
      </w:r>
      <w:r>
        <w:rPr>
          <w:rFonts w:ascii="SimSun" w:hAnsi="SimSun" w:eastAsia="SimSun" w:cs="SimSun"/>
          <w:b/>
          <w:color w:val="000000"/>
          <w:sz w:val="21"/>
        </w:rPr>
        <w:t xml:space="preserve">JSZC-320115-NJJC-C2026-0014</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rPr>
          <w:rFonts w:ascii="Calibri" w:hAnsi="Calibri" w:eastAsia="Calibri" w:cs="Calibri"/>
          <w:color w:val="000000"/>
          <w:sz w:val="21"/>
        </w:rPr>
        <w:t xml:space="preserve">项目名称：</w:t>
      </w:r>
      <w:r>
        <w:rPr>
          <w:rFonts w:ascii="SimSun" w:hAnsi="SimSun" w:eastAsia="SimSun" w:cs="SimSun"/>
          <w:color w:val="000000"/>
          <w:sz w:val="21"/>
        </w:rPr>
        <w:t xml:space="preserve">江宁街道农村公路市场化养护项目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rPr>
          <w:rFonts w:ascii="Calibri" w:hAnsi="Calibri" w:eastAsia="Calibri" w:cs="Calibri"/>
          <w:color w:val="000000"/>
          <w:sz w:val="21"/>
        </w:rPr>
        <w:t xml:space="preserve">采购方式：竞争性磋商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rPr>
          <w:rFonts w:ascii="Calibri" w:hAnsi="Calibri" w:eastAsia="Calibri" w:cs="Calibri"/>
          <w:color w:val="000000"/>
          <w:sz w:val="21"/>
        </w:rPr>
        <w:t xml:space="preserve">预算金额：</w:t>
      </w:r>
      <w:r>
        <w:rPr>
          <w:rFonts w:ascii="SimSun" w:hAnsi="SimSun" w:eastAsia="SimSun" w:cs="SimSun"/>
          <w:color w:val="000000"/>
          <w:sz w:val="21"/>
        </w:rPr>
        <w:t xml:space="preserve">385万元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rPr>
          <w:rFonts w:ascii="Calibri" w:hAnsi="Calibri" w:eastAsia="Calibri" w:cs="Calibri"/>
          <w:color w:val="000000"/>
          <w:sz w:val="21"/>
        </w:rPr>
        <w:t xml:space="preserve">最高限价：</w:t>
      </w:r>
      <w:r>
        <w:rPr>
          <w:rFonts w:ascii="SimSun" w:hAnsi="SimSun" w:eastAsia="SimSun" w:cs="SimSun"/>
          <w:color w:val="000000"/>
          <w:sz w:val="21"/>
        </w:rPr>
        <w:t xml:space="preserve">378.755314万</w:t>
      </w:r>
      <w:r>
        <w:rPr>
          <w:rFonts w:ascii="Calibri" w:hAnsi="Calibri" w:eastAsia="Calibri" w:cs="Calibri"/>
          <w:color w:val="000000"/>
          <w:sz w:val="21"/>
        </w:rPr>
        <w:t xml:space="preserve">元，</w:t>
      </w:r>
      <w:r>
        <w:rPr>
          <w:rFonts w:ascii="SimSun" w:hAnsi="SimSun" w:eastAsia="SimSun" w:cs="SimSun"/>
          <w:color w:val="000000"/>
          <w:sz w:val="21"/>
        </w:rPr>
        <w:t xml:space="preserve">投标报价不得超过限价，</w:t>
      </w:r>
      <w:r>
        <w:rPr>
          <w:rFonts w:ascii="Calibri" w:hAnsi="Calibri" w:eastAsia="Calibri" w:cs="Calibri"/>
          <w:color w:val="000000"/>
          <w:sz w:val="21"/>
        </w:rPr>
        <w:t xml:space="preserve">超过的投标报价按无效标处理。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1.6采购需求：对街道农村公路进行日常巡查、绿化、交通沿线设施管护和小修等进行专业化、机械化养护</w:t>
      </w:r>
      <w:r>
        <w:rPr>
          <w:rFonts w:ascii="Calibri" w:hAnsi="Calibri" w:eastAsia="Calibri" w:cs="Calibri"/>
          <w:color w:val="000000"/>
          <w:sz w:val="21"/>
        </w:rPr>
        <w:t xml:space="preserve">，具体详见项目需求。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1.7合同履行期限：一年。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二、申请人的资格要求：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1.满足《中华人民共和国政府采购法》第二十二条规定：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（1）具有独立承担民事责任的能力（提供法人或者其他组织的营业执照，自然人的身份证明）；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（3）具有履行合同所必需的设备和专业技术能力（根据项目需求提供履行合同所必需的设备和专业技术能力的证明材料）；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（5）参加政府采购活动前三年内，在经营活动中没有重大违法记录（提供参加本次政府采购活动前3年内在经营活动中没有重大违法记录的书面声明）（格式见后附件）；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2.落实政府采购政策需满足的资格要求：</w:t>
      </w:r>
      <w:r>
        <w:rPr>
          <w:rFonts w:ascii="SimSun" w:hAnsi="SimSun" w:eastAsia="SimSun" w:cs="SimSun"/>
          <w:b/>
          <w:color w:val="000000"/>
          <w:sz w:val="21"/>
        </w:rPr>
        <w:t xml:space="preserve">本项目整体专门面向中小企业采购服务。（提供中小微企业声明函加盖公章，未提供视为无效投标）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3.本项目的特定资格要求：无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4.本项目不接受联合体投标。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5.拒绝下述供应商参加本次采购活动：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（1）供应商单位负责人为同一人或者存在直接控股、管理关系的不同供应商，不得参加同一合同项下的政府采购活动。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（2）凡为本项目提供整体设计、规范编制或者项目管理、监理、检测等服务的供应商，不得再参加本项目的采购活动。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（3）拒绝列入失信被执行人、重大税收违法案件当事人名单、政府采购严重违法失信行为记录名单的供应商参与政府采购活动。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（4）供应商未提供《南京市政府采购供应商信用记录表暨信用承诺书》。</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三、获取</w:t>
      </w:r>
      <w:r>
        <w:rPr>
          <w:rFonts w:ascii="SimSun" w:hAnsi="SimSun" w:eastAsia="SimSun" w:cs="SimSun"/>
          <w:color w:val="000000"/>
          <w:sz w:val="21"/>
        </w:rPr>
        <w:t xml:space="preserve">磋商</w:t>
      </w:r>
      <w:r>
        <w:rPr>
          <w:rFonts w:ascii="Calibri" w:hAnsi="Calibri" w:eastAsia="Calibri" w:cs="Calibri"/>
          <w:color w:val="000000"/>
          <w:sz w:val="21"/>
        </w:rPr>
        <w:t xml:space="preserve">采购文件</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时间:自磋商文件公告发布之日起5个工作日</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地点:江苏政府采购网苏采云系统</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方式:本项目采用网上注册登记方式。</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售价:0.00元。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四、响应文件提交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截止时间：2026年4月7日09点30 分（北京时间）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地点：“苏采云”系统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时间：2026年4月7日09点30 分（北京时间）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地点：“苏采云”政府采购交易系统网上开标大厅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六、公告期限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自本公告发布之日起3个工作日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七、其他补充事宜</w:t>
      </w: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集中考察现场或答疑：采购人不统一组织现场踏勘，各供应商可在获取采购文件后递交响应文件截止时间前自行踏勘现场。请各供应商务必对采购文件进行仔细认真阅读，在随后的采购中，对采购文件所作出的推论、解释和结论及由此造成的后果由供应商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2、潜在供应商访问政府采购管理交易系统（苏采云）的网络地址和方法：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（2）“CA数字证书”的获取：供应商需办理CA锁，“苏采云”系统目前仅支持“苏采云”系统下的政务CA，省内各地区办理的“苏采云”系统下的政务CA全省通用。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（3）“CA数字证书”的办理材料以及供应商操作手册详见：http://jsxcmm.com/help/gys.html。</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（4）潜在供应商访问“苏采云”系统的网络地址和方法：“苏采云”系统的网址：http://jszfcg.jsczt.cn/jszc/login。</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（5）采购文件（后缀名为“.kedt”）、供应商操作手册及政府采购客户端工具也可通过“苏采云”系统--已报名项目--报名详情页面内相应链接进行下载。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（6）招标代理机构（采购代理机构）将数据电文形式的采购文件加载至“苏采云”系统，供潜在供应商下载或者查阅。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（7）苏采云系统使用谷歌浏览器参与不见面开标。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4、供应商如确定参加磋商，可自行下载采购文件及有关资料，按照《操作手册》进行注册，领取CA和办理电子签章，并按《操作手册》要求制作、上传电子投标文件。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6、政府采购信用承诺：</w:t>
      </w:r>
      <w:r>
        <w:rPr>
          <w:rFonts w:ascii="Calibri" w:hAnsi="Calibri" w:eastAsia="Calibri" w:cs="Calibri"/>
          <w:color w:val="000000"/>
          <w:sz w:val="21"/>
        </w:rPr>
        <w:t xml:space="preserve">“</w:t>
      </w:r>
      <w:r>
        <w:rPr>
          <w:rFonts w:ascii="SimSun" w:hAnsi="SimSun" w:eastAsia="SimSun" w:cs="SimSun"/>
          <w:color w:val="000000"/>
          <w:sz w:val="21"/>
        </w:rPr>
        <w:t xml:space="preserve">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w:t>
      </w:r>
      <w:r>
        <w:rPr>
          <w:rFonts w:ascii="Calibri" w:hAnsi="Calibri" w:eastAsia="Calibri" w:cs="Calibri"/>
          <w:color w:val="000000"/>
          <w:sz w:val="21"/>
        </w:rPr>
        <w:t xml:space="preserve">‘</w:t>
      </w:r>
      <w:r>
        <w:rPr>
          <w:rFonts w:ascii="SimSun" w:hAnsi="SimSun" w:eastAsia="SimSun" w:cs="SimSun"/>
          <w:color w:val="000000"/>
          <w:sz w:val="21"/>
        </w:rPr>
        <w:t xml:space="preserve">南京公共采购信息网</w:t>
      </w:r>
      <w:r>
        <w:rPr>
          <w:rFonts w:ascii="Calibri" w:hAnsi="Calibri" w:eastAsia="Calibri" w:cs="Calibri"/>
          <w:color w:val="000000"/>
          <w:sz w:val="21"/>
        </w:rPr>
        <w:t xml:space="preserve">’</w:t>
      </w:r>
      <w:r>
        <w:rPr>
          <w:rFonts w:ascii="SimSun" w:hAnsi="SimSun" w:eastAsia="SimSun" w:cs="SimSun"/>
          <w:color w:val="000000"/>
          <w:sz w:val="21"/>
        </w:rPr>
        <w:t xml:space="preserve">首页（https://njgc.jfh.com/）</w:t>
      </w:r>
      <w:r>
        <w:rPr>
          <w:rFonts w:ascii="Calibri" w:hAnsi="Calibri" w:eastAsia="Calibri" w:cs="Calibri"/>
          <w:color w:val="000000"/>
          <w:sz w:val="21"/>
        </w:rPr>
        <w:t xml:space="preserve">‘</w:t>
      </w:r>
      <w:r>
        <w:rPr>
          <w:rFonts w:ascii="SimSun" w:hAnsi="SimSun" w:eastAsia="SimSun" w:cs="SimSun"/>
          <w:color w:val="000000"/>
          <w:sz w:val="21"/>
        </w:rPr>
        <w:t xml:space="preserve">南京市政府采购供应商诚信档案</w:t>
      </w:r>
      <w:r>
        <w:rPr>
          <w:rFonts w:ascii="Calibri" w:hAnsi="Calibri" w:eastAsia="Calibri" w:cs="Calibri"/>
          <w:color w:val="000000"/>
          <w:sz w:val="21"/>
        </w:rPr>
        <w:t xml:space="preserve">’</w:t>
      </w:r>
      <w:r>
        <w:rPr>
          <w:rFonts w:ascii="SimSun" w:hAnsi="SimSun" w:eastAsia="SimSun" w:cs="SimSun"/>
          <w:color w:val="000000"/>
          <w:sz w:val="21"/>
        </w:rPr>
        <w:t xml:space="preserve">系统链接打开系统页面（http://180.101.238.212:8280/hodeframe2018_cxda/index.action;jsessionid=769BA9C8E1729422E7173B991C8EC1E5）登录（未注册的供应商应先点击</w:t>
      </w:r>
      <w:r>
        <w:rPr>
          <w:rFonts w:ascii="Calibri" w:hAnsi="Calibri" w:eastAsia="Calibri" w:cs="Calibri"/>
          <w:color w:val="000000"/>
          <w:sz w:val="21"/>
        </w:rPr>
        <w:t xml:space="preserve">‘</w:t>
      </w:r>
      <w:r>
        <w:rPr>
          <w:rFonts w:ascii="SimSun" w:hAnsi="SimSun" w:eastAsia="SimSun" w:cs="SimSun"/>
          <w:color w:val="000000"/>
          <w:sz w:val="21"/>
        </w:rPr>
        <w:t xml:space="preserve">供应商注册点这里</w:t>
      </w:r>
      <w:r>
        <w:rPr>
          <w:rFonts w:ascii="Calibri" w:hAnsi="Calibri" w:eastAsia="Calibri" w:cs="Calibri"/>
          <w:color w:val="000000"/>
          <w:sz w:val="21"/>
        </w:rPr>
        <w:t xml:space="preserve">’</w:t>
      </w:r>
      <w:r>
        <w:rPr>
          <w:rFonts w:ascii="SimSun" w:hAnsi="SimSun" w:eastAsia="SimSun" w:cs="SimSun"/>
          <w:color w:val="000000"/>
          <w:sz w:val="21"/>
        </w:rPr>
        <w:t xml:space="preserve">并按要求完成注册），然后在</w:t>
      </w:r>
      <w:r>
        <w:rPr>
          <w:rFonts w:ascii="Calibri" w:hAnsi="Calibri" w:eastAsia="Calibri" w:cs="Calibri"/>
          <w:color w:val="000000"/>
          <w:sz w:val="21"/>
        </w:rPr>
        <w:t xml:space="preserve">“</w:t>
      </w:r>
      <w:r>
        <w:rPr>
          <w:rFonts w:ascii="SimSun" w:hAnsi="SimSun" w:eastAsia="SimSun" w:cs="SimSun"/>
          <w:color w:val="000000"/>
          <w:sz w:val="21"/>
        </w:rPr>
        <w:t xml:space="preserve">信用记录</w:t>
      </w:r>
      <w:r>
        <w:rPr>
          <w:rFonts w:ascii="Calibri" w:hAnsi="Calibri" w:eastAsia="Calibri" w:cs="Calibri"/>
          <w:color w:val="000000"/>
          <w:sz w:val="21"/>
        </w:rPr>
        <w:t xml:space="preserve">”</w:t>
      </w:r>
      <w:r>
        <w:rPr>
          <w:rFonts w:ascii="SimSun" w:hAnsi="SimSun" w:eastAsia="SimSun" w:cs="SimSun"/>
          <w:color w:val="000000"/>
          <w:sz w:val="21"/>
        </w:rPr>
        <w:t xml:space="preserve">模块页面点击</w:t>
      </w:r>
      <w:r>
        <w:rPr>
          <w:rFonts w:ascii="Calibri" w:hAnsi="Calibri" w:eastAsia="Calibri" w:cs="Calibri"/>
          <w:color w:val="000000"/>
          <w:sz w:val="21"/>
        </w:rPr>
        <w:t xml:space="preserve">“</w:t>
      </w:r>
      <w:r>
        <w:rPr>
          <w:rFonts w:ascii="SimSun" w:hAnsi="SimSun" w:eastAsia="SimSun" w:cs="SimSun"/>
          <w:color w:val="000000"/>
          <w:sz w:val="21"/>
        </w:rPr>
        <w:t xml:space="preserve">信用记录打印</w:t>
      </w:r>
      <w:r>
        <w:rPr>
          <w:rFonts w:ascii="Calibri" w:hAnsi="Calibri" w:eastAsia="Calibri" w:cs="Calibri"/>
          <w:color w:val="000000"/>
          <w:sz w:val="21"/>
        </w:rPr>
        <w:t xml:space="preserve">”</w:t>
      </w:r>
      <w:r>
        <w:rPr>
          <w:rFonts w:ascii="SimSun" w:hAnsi="SimSun" w:eastAsia="SimSun" w:cs="SimSun"/>
          <w:color w:val="000000"/>
          <w:sz w:val="21"/>
        </w:rPr>
        <w:t xml:space="preserve">下载本单位信用记录表，由法人签字并盖电子公章，上传至电子投标响应文件中，未按要求提供信用记录表或未签字盖章的，将按无效投标处理。</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在政府采购资格审查环节，供应商只需提供书面《南京市政府采购供应商信用记录表暨信用承诺书》，即可替代以下证明材料：</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（1）符合国家相关规定的财务状况报告；</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（2）依法缴纳税收的证明材料；</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（3）依法缴纳社会保障资金的证明材料；</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（4）具备履行政府采购合同所必需的设备和专业技术能力的证明材料；</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（5）参加政府采购活动前三年内在经营活动中没有重大违法记录的证明材料；</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（6）未被列入失信被执行人、重大税收违法失信主体、政府采购严重违法失信行为记录名单的证明材料。</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成交）后，应上述由信用承诺书替代的证明材料（一式伍份），加盖电子公章按采购文件要求胶装提交采购人或采购代理机构核验。经核验无误后，由采购人或采购代理机构发出中标（成交）通知书。</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供应商涉及以下情形的，不适用信用承诺，仍须提供上述证明材料：</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（1）供应商被列入严重失信主体名单；</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（2）被相关监管部门作出行政处罚且尚在处罚有效期内；</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（3）其他法律、行政法规规定的不适用信用承诺的情形。</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供应商对信用承诺内容的真实性、合法性、有效性负责。如作出虚假信用承诺，视同为</w:t>
      </w:r>
      <w:r>
        <w:rPr>
          <w:rFonts w:ascii="Calibri" w:hAnsi="Calibri" w:eastAsia="Calibri" w:cs="Calibri"/>
          <w:color w:val="000000"/>
          <w:sz w:val="21"/>
        </w:rPr>
        <w:t xml:space="preserve">“</w:t>
      </w:r>
      <w:r>
        <w:rPr>
          <w:rFonts w:ascii="SimSun" w:hAnsi="SimSun" w:eastAsia="SimSun" w:cs="SimSun"/>
          <w:color w:val="000000"/>
          <w:sz w:val="21"/>
        </w:rPr>
        <w:t xml:space="preserve">提供虚假材料谋取中标、成交</w:t>
      </w:r>
      <w:r>
        <w:rPr>
          <w:rFonts w:ascii="Calibri" w:hAnsi="Calibri" w:eastAsia="Calibri" w:cs="Calibri"/>
          <w:color w:val="000000"/>
          <w:sz w:val="21"/>
        </w:rPr>
        <w:t xml:space="preserve">”</w:t>
      </w:r>
      <w:r>
        <w:rPr>
          <w:rFonts w:ascii="SimSun" w:hAnsi="SimSun" w:eastAsia="SimSun" w:cs="SimSun"/>
          <w:color w:val="000000"/>
          <w:sz w:val="21"/>
        </w:rPr>
        <w:t xml:space="preserve">的违法行为。</w:t>
      </w:r>
      <w:r/>
    </w:p>
    <w:p>
      <w:pPr>
        <w:ind w:left="119" w:right="0" w:firstLine="422"/>
        <w:spacing w:before="34"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八、对本次磋商提出询问，请按以下方式联系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称：南京市江宁区人民政府江宁街道办事处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地址：南京市江宁区人民政府江宁街道办事处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联系方式：李科025-86199665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称：南京江城工程项目管理有限公司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址：南京市建邺区云龙山路89号龙湖时代上城1栋29楼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联系方式：025-58066836、025-58835827-0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项目联系人：曹雪</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话：025-58066836、025-58835827-0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18"/>
        <w:spacing w:before="11"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tabs>
          <w:tab w:val="left" w:pos="1281"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第二章</w:t>
        <w:tab/>
        <w:t xml:space="preserve">供应商须知</w:t>
      </w:r>
      <w:r/>
    </w:p>
    <w:p>
      <w:pPr>
        <w:ind w:left="0" w:right="0" w:firstLine="0"/>
        <w:spacing w:before="1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5"/>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24"/>
        <w:gridCol w:w="909"/>
        <w:gridCol w:w="8121"/>
      </w:tblGrid>
      <w:tr>
        <w:trPr>
          <w:trHeight w:val="4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2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r>
      <w:tr>
        <w:trPr>
          <w:trHeight w:val="1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1"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称：南京市江宁区人民政府江宁街道办事处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址：南京市江宁区人民政府江宁街道办事处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联系方式：李科 025-86199665</w:t>
            </w:r>
            <w:r/>
          </w:p>
        </w:tc>
      </w:tr>
      <w:tr>
        <w:trPr>
          <w:trHeight w:val="19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称：南京江城工程项目管理有限公司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址：南京市建邺区云龙山路89号龙湖时代上城1栋29楼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项目联系人：曹雪</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 025-58066836</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江宁街道农村公路市场化养护项目</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南京市江宁区</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资金来源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财政资金</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评审方法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综合评分法</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提交投标文件截止之日起60日</w:t>
            </w:r>
            <w:r/>
          </w:p>
        </w:tc>
      </w:tr>
      <w:tr>
        <w:trPr>
          <w:trHeight w:val="29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供应商企业信用信息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（1）查询渠道：“信用中国”网站（www.creditchina.gov.cn）、“中国政府采购网”网站（www.ccgp.gov.cn）；</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（2）查询时间：资格审查时；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（3）查询记录留存方式：由采购代理机构负责将供应商各网站信用记录截图保存；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（4）查询结果处理：对具有违法失信记录的供应商作无效投标处理。</w:t>
            </w:r>
            <w:r/>
          </w:p>
        </w:tc>
      </w:tr>
      <w:tr>
        <w:trPr>
          <w:trHeight w:val="1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盖章要求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供应商投标文件中加盖的公章仅能使用与供应商名称一致的标准公章，不得使用其他形式（如带有“专用章”、“合同章”、“财务章”、“业务章”等字样）的印章；否则，按无效投标处理。</w:t>
            </w:r>
            <w:r/>
          </w:p>
        </w:tc>
      </w:tr>
    </w:tbl>
    <w:p>
      <w:pPr>
        <w:ind w:left="798" w:right="0" w:hanging="240"/>
        <w:spacing w:before="0" w:after="0" w:line="276" w:lineRule="atLeast"/>
        <w:tabs>
          <w:tab w:val="left" w:pos="1760" w:leader="none"/>
        </w:tabs>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本次采购采取竞争性磋商方式，本采购文件仅适用于本采购项目。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参加竞争性磋商的供应商以下简称“供应商”，是指参加磋商并符合采购文件规定资格条件的法人、其他组织或者自然人。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2.2合格的供应商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满足采购公告中供应商的资格条件要求的规定。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 满足本文件实质性条款的规定。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3、适用法律</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本次采购及由此产生的合同受中华人民共和国有关的法律法规制约和保护。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3.2、政策功能（本项目不执行）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 中小企业、监狱企业、残疾人福利性单位相关政策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政府采购促进中小企业发展，小企业（含小型、微型企业）提供的工程、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（2）对于专门面向中小微型企业的项目，只面向中小微型企业采购。对于非专门面向中小微企业采购的项目，采购人或采购代理机构应给予小微企业10%的价格扣除，用扣除后的价格参与评审。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于接受供应商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4%的价格扣除。联合体各方均为小型、微型企业的，联合体视同为小型、微型企业给予10%（工程项目为5%）价格扣除。组成联合体的大中型企业和其他自然人、法人或者其他组织，与小型、微型企业之间不得存在投资关系。（本项目不适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（6）参加政府采购活动的中小企业应当按“关于印发《政府采购促进中小企业发展管理办法》的通知[财库〔2020〕46号]” 规定提供《中小企业声明函》，未提供上述资料的报价，其价格不予扣除。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（7）中小企业依据《政府采购促进中小企业发展管理办法》的通知[财库〔2020〕46号]规定的政策获取政府采购合同后，小微企业不得将合同分包给大中型企业，中型企业不得将合同分包给大型企业。</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3.3节能产品、环境标志产品政策（本项目不执行）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（1）政府采购节能产品、环境标志产品实施品目清单管理。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（2）拟采购产品属于节能产品、环境标志产品品目清单规定必须强制采购的，实行强制采购。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（3）拟采购产品属于节能产品、环境标志产品品目清单规定优先采购的，在性能、技术、服务等指标同等条件下，实行优先采购，优先采购的评审标准详见本采购文件第三章。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（4）参加政府采购活动的节能产品、环境标志产品供应商应当提供国家确定的认证机构出具的、处于有效期之内的节能产品、环境标志产品认证证书。</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3.4进口产品政策（本项目不执行）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（1）除在磋商文件另有规定外，不允许进口产品参加。进口产品认定依照《财政部关于政府采购进口产品管理有关问题的通知》（财办库〔2008〕248号）的规定。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（2）允许进口产品参加的，满足需求的国内产品可以参加。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（3）允许进口产品参加的，优先采购向我国企业转让技术、与我国企业签订消化吸收再创新方案的供应商的进口产品。</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磋商费用：本项目代理服务费由成交人在领取中标通知书前一次性支付给招标代理机构。其中代理费按照国家计委印发的《招标代理服务收费管理暂行办法》（计价格[2002]1980号）取费标准的70%计取，以中标价为基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5、采购文件的约束力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供应商一旦参加本项目采购活动，即被认为接受了本采购文件的规定和约束。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6、采购文件构成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采购文件有以下部分组成：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（2）磋商须知</w:t>
        <w:tab/>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（3）合同条款及格式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（4）项目需求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（5）评审方法与评审标准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（6）竞争性磋商响应文件格式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请仔细检查采购文件是否齐全，如有缺漏请立即与代理机构联系解决。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采购的最小单位是包。采购服务数量及技术要求中未分包的，供应商对要求提供的服务不得部分响应；采购服务数量及技术要求中已经分包的，应当以包为单位响应。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采购文件如果要求供应商提交备选响应方案的，供应商可以提交备选方案；否则，备选方案将被拒绝。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7、采购文件的澄清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任何要求对采购文件进行澄清的供应商，应在提交首次响应文件截止时间至少5日前按采购公告中的通讯地址，以书面形式通知代理机构。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8、采购文件的修改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8.2采购文件的修改将在“江苏省政府采购网”公布，补充文件将作为采购文件的组成部分，并对供应商具有约束力。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9、采购文件的语言、度量衡单位、货币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9.1供应商提交的响应文件以及供应商与代理机构就有关磋商的所有来往通知、函件和文件均应使用简体中文。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除技术性能另有规定外，采购文件所使用的度量衡单位，均须采用国家法定计量单位。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9.3采购文件中的服务单价和总价无特殊规定的采用人民币报价，以元为单位标注。采购文件中另有规定的按规定执行。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10、响应文件构成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10.1磋商文件由以下部分组成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（1）资格审查响应对照表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（2）符合性审查响应对照表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（3）磋商响应报价表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（4）技术参数响应及偏离表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（5）商务条款响应及偏离表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（6）其他 （供应商认为有必要提供的声明和文件，如有自拟并自行添加）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供应商应当根据采购文件要求编制响应文件，响应文件应对采购文件提出的要求和条件作出响应，并在相应的响应文件中逐条标明满足与否。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11、证明供应商资格及符合采购文件规定的文件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11.1供应商应按要求提交资格证明文件及符合采购文件规定的文件。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11.2供应商应提交证明其有资格参加磋商和成交后有能力独立履行合同的文件。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11.3供应商除必须具有履行合同所需提供的产品或服务的能力外，还必须具备相应的财务、技术方面的能力。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11.4供应商应提交根据合同要求提供的证明服务质量合格以及符合采购文件规定的证明文件。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11.5证明供应商所提供服务与采购文件的要求相一致的文件可以是手册、图纸、文字资料和数据。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12、磋商响应报价表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供应商应按照采购文件规定格式填报磋商响应报价表，每项服务只允许有一个报价，任何有选择的报价将不予接受。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标的物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采购人需求的服务供应、安装，调试及有关技术服务等。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12.3其它费用处理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采购文件未列明，而供应商认为必需的费用也需列入报价。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13、技术参数响应及偏离表、商务条款响应及偏离表及磋商服务说明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对采购文件中的技术与商务条款要求逐项作出响应或偏离，并说明原因；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提供参加本项目类似案例简介；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详细阐述所投服务的主要组成部分、实现思路及关键技术；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 供应商认为需要的其他技术文件或说明。</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14、服务承诺及售后服务机构、人员的情况介绍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14.1供应商的服务承诺应按不低于采购文件中商务要求的标准。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14.2提供供应商有关服务的制度、服务机构的分布情况、服务人员的数量、素质、技术水平及服务的反应能力。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15、磋商响应函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供应商应按照政府采购交易管理系统提供的格式完整、正确填写磋商响应函。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16、磋商响应有效期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磋商响应有效期为代理机构规定的响应文件接收截止时间后六十（60）天。磋商响应有效期比规定短的将被视为非实质性响应性而予以拒绝。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17、响应文件的递交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电子响应文件的递交供应商应当按照《操作手册》规定，在磋商响应截止时间前制作并上传电子响应文件。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17.2政府采购管理交易系统（苏采云）相关要求是本采购文件的组成部分。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17.3供应商应对 CA 证书妥善保管，如被他人盗用投标，因此带来的结果均由供应商自行承担。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17.4供应商应当对采购文件提出的要求和条件作出实质性响应，并在电子投标系统逐条应答。</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17.5供应商应对要求提供的资格证明文件（如资质证书、资格证书）、技术资料（如服务方案、人员要求等）扫描上传至投标系统。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17.6各供应商应在规定时间内凭CA证书进行网上解密。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18、磋商响应截止日期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供应商上传电子响应文件的时间不得迟于采购公告中规定的磋商响应截止时间。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供应商应充分考虑到网络环境、网络带宽等风险因素，如因供应商自身原因造成的电子响应文件上传不成功由供应商自行承担全部责任。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代理机构可以按照规定，通过修改采购文件延长磋商截止日期，在此情况下，供应商的所有权利和义务以及供应商受制的截止日期均应以延长后新的截止日期为准。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19、响应文件的拒收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19.1代理机构拒绝接收在其规定的磋商截止时间后上传的任何响应文件。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20、响应文件的撤回和修改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响应文件的撤回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20.1.1 电子响应文件的撤回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供应商可在磋商截止时间前，撤回其电子响应文件，具体操作方法见《操作手册》。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20.1.2 供应商撤回电子响应文件，则认为其不再参与本项目磋商谈判。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响应文件的修改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供应商可在磋商截止时间前，对其电子响应文件进行修改，具体操作方法见《操作手册》。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在磋商截止时间之后，供应商不得对其电子响应文件作任何修改。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 在磋商截止时间至采购文件中规定的磋商有效期满之间的这段时间内，供应商不得撤回其响应文件。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代理机构将在采购公告中规定的时间和地点组织磋商开始仪式。供应商应当按照《操作手册》规定，参加磋商活动。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21.2供应商在磋商过程中涉及到的响应文件解密等工作，应按照《操作手册》规定执行。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22、磋商小组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磋商开始后，代理机构将立即组织磋商小组进行评审。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22.2磋商小组由采购人代表和有关技术、经济等方面的专家组成，且人员构成符合政府采购有关规定。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22.3磋商小组独立工作，负责评审有效响应文件并确定成交候选供应商。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23、评审过程的保密与公正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23.1评审专家应当遵守评审工作纪律，不得泄露评审情况和评审中获悉的商业秘密。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23.2在评审过程中，供应商不得以任何行为影响评审过程，否则其响应文件将被作为无效响应文件。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在评审期间，代理机构将设专门工作人员与供应商联系。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 代理机构和磋商小组不向未成交的供应商解释未成交原因，也不公布评审过程中的相关细节。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24、磋商的澄清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24.1评审期间，磋商小组要求供应商澄清、说明或者更正响应文件以电子函件形式提交但并非对每个供应商都作澄清要求。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24.2接到磋商小组澄清要求的供应商应按磋商小组规定的时间和格式在”政府采购管理交易系统（苏采云）”中做出澄清，澄清的内容作为响应文件的补充部分。具体操作方式见《操作手册》。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 接到磋商小组澄清要求的供应商如未按规定做出澄清，其风险由供应商自行承担。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25、对响应文件的初审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25.1响应文件初审分为资格审查和符合性审查。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25.1.1资格审查：依据法律法规和采购文件的规定，对响应文件中的资格证明文件进行审查。以确定供应商是否具备参加磋商的资格。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25.1.2符合性检查：依据采购文件的规定，由磋商小组从响应文件的有效性、完整性和对采购文件的响应程度进行审查，以确定是否对采购文件的实质性要求作出响应。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25.3如果响应文件实质上没有响应采购文件的要求，磋商小组将予以拒绝，供应商不得通过修改或撤销不合要求的偏离或保留而使其响应文件成为实质性响应的文件。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25.4 供应商在开、评标全过程中应保持通讯畅通，并安排专人与代理机构及磋商小组联系。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26、磋商程序及评审方法和标准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26.1磋商程序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26.1.1 对于通过资格性和符合性审查的供应商，磋商小组所有成员将在”政府采购管理交易系统（苏采云）”中进行磋商。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26.1.2 采购文件能够详细列明采购标的的技术、服务要求的，磋商结束后，磋商小组将要求所有实质性响应的供应商在规定时间内提交最后报价。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不能详细列明采购标的的技术、服务要求，需经磋商由供应商提供最终服务方案的，磋商结束后，磋商小组将按照少数服从多数的原则投票推荐3家以上供应商的服务方案，并要求其在规定时间内提交最后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26.1.3 供应商未在磋商小组规定的时间内完成最后报价的视为放弃磋商，其响应按无效响应处理。最后报价须加盖电子签章。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26.1.4评审过程中出现下列情形之一的，磋商小组会应当启动异常低价投标审查程序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 应)报价平均值65%的，即投标(响应)报价&lt;全部通过符合性审查供应商投标(响应)报价平均值×65%；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 投标(响应)报价65%的，即投标(响应)报价&lt;通过符合性审查 的次低报价供应商投标(响应)报价×65%；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（3）投标(响应)报价低于采购项目最高限价65%的，即投标(响 应)报价&lt;采购项目最高限价×65%；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（4）磋商小组认定的供应商响应报价过低、有可能影响产品质量或者不能诚信履约的其他情形。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采购人可以结合具体项目实际情况，提高上述第1项至第3项中启动异常低价投标（响应）审查的数值标准，但是最高不得超过65%。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磋商小组启动异常低价投标(响应)审查后，属于前述第1项至第4项情形的，应当要求相关供应商在评审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(响应)文件一并提交相关书面说明及必要的证明材料的，在评审时可不再重复提交。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（6）磋商小组依据专业经验，参考同类项目中标(成交)价格、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 评审方法和标准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26.2.1评审方法。经磋商确定最终采购需求和提交最后报价的供应商后，由磋商小组采用综合评分法对提交最后报价的供应商的响应文件和最后报价进行综合评分。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26.2.2评审标准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见本采购文件第三章规定。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27、无效响应及采购活动终止的情况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27.1无效响应条款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27.1.1 供应商未按照采购文件要求上传电子磋商响应文件的。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27.1.2 供应商未成功解密电子磋商响应文件的。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27.1.3 供应商不具备采购文件中规定资格要求的。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27.1.4 未通过符合性审查的。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27.1.5 不符合采购文件中规定的其他实质性要求和条件的（用“*或★”加注或特别说明的内容为实质性要求和条件）。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27.1.6 供应商被 “信用中国”网站（www.creditchina.gov.cn）、“中国政府采购网"(www.ccgp.gov.cn)列入失信被执行人或重大税收违法案件当事人名单或政府采购严重失信行为记录名单。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27.1.7  响应文件未按照采购文件要求加盖电子签章。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27.1.8 其他法律、法规及本采购文件规定的属无效响应的情形。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 采购活动终止的情况：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27.2.1 因情况变化，不再符合规定的竞争性磋商采购方式适用情形的；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27.2.2 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27.2.3 除本磋商文件第26.1.2条第三款规定的情形外，在采购过程中符合要求的供应商或者报价未超过采购预算的供应商不足3家的。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27.2.4 因重大变故，采购任务取消的。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28、确定成交单位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 采购人应根据磋商推荐的成交候选人，按照排序由高到低的原件确定成交供应商。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 代理机构将在”江苏省政府采购网”发布成交公告，公告期限为1个工作日。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若有充分证据证明，成交供应商出现下列情况之一的，一经查实，将被取消成交资格：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28.4.1 提供虚假材料谋取成交的；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28.4.2 向采购人、代理机构行贿或者提供其他不正当利益的；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28.4.3 恶意竞争，最终总报价明显低于其自身合理成本且又无法提供证明的；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28.4.4 属于本文件规定的无效条件，但在评审过程中又未被磋商小组发现的；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28.4.5 与采购人或者其他供应商恶意串通的；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28.4.6 采取不正当手段诋毁、排挤其他供应商的；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28.4.7 不符合法律、法规的规定的。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29、质疑处理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29.1提出质疑的供应商应当是参与所质疑项目采购活动的供应商。潜在供应商依法获取其可质疑的采购文件的，可以对采购文件提出质疑。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对项目需求部分的质疑，潜在供应商应向采购人提出，由采购人负责答复。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29.2供应商认为采购文件、采购过程和中标或成交结果使自己的权益受到损害的，可以在知道或应知其权益受到损害之日起7个工作日内，以书面形式向采购人或代理机构提出质疑。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29.2.1对采购文件提出质疑的，应当在获取采购文件之日或者采购文件公告期限届满之日起7个工作日内提出。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29.2.2对采购过程提出质疑的，为各采购程序环节结束之日起7个工作日内提出。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29.2.3对成交结果提出质疑的，为成交结果公告期限届满之日起7个工作日内提出。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29.4质疑函必须按照《质疑函范本》及《授权委托书》要求的格式和内容进行填写。供应商如组成联合体参加磋商，则《质疑函范本》及《授权委托书》中要求签字、盖章、加盖电子公章之处，联合体各方均须按要求签字、盖章、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 代理机构及采购人接收以纸质原件形式送达的质疑。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采购人质疑接收人及联系方式见采购文件第一章。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29.6代理机构收到质疑申请后，将对质疑的形式和内容进行审查，如质疑内容、格式不符合规定，代理机构将告知质疑人进行补正。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29.7质疑人应当在法定质疑期限内进行补正并重新提交质疑函。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29.8 以下情形的质疑不予受理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29.8.1 内容不符合《政府采购质疑和投诉办法》第十二条规定的质疑。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29.8.2 超出政府采购法定期限的质疑。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29.8.3 以传真、电子邮件等方式递交的非原件形式的质疑。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29.8.4 未参加磋商活动的供应商或在磋商活动中自身权益未受到损害的供应商所提出的质疑。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29.8.5供应商组成联合体参加磋商，联合体中任何一方或多方未按要求签字、盖章、加盖电子公章的质疑。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29.10代理机构应当在收到供应商的书面质疑后7个工作日内作出答复，并以书面形式通知质疑供应商和其他有关供应商，但答复的内容不得涉及商业秘密。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30、成交通知书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30.l 成交结果确定后，代理机构将向成交供应商发出成通知书。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30.2 成交供应商可在”政府采购交易管理系统（苏采云）”成交通知书下载模块中自行下载成交通知书。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30.3成交通知书将是合同的一个组成部分。对采购人和成交供应商均具有法律效力。成交通知书发出后，采购人改变成交结果的，或者成交供应商放弃成交项目的，应当依法承担法律责任。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31.l成交供应商应在成交通知书发出之日起三十日内，按照采购文件确定的事项与采购人签订政府采购合同。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31.2 采购文件、成交供应商的响应文件及磋商过程中有关澄清、承诺文件均应作为合同附件。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31.3 合同在“政府采购管理交易系统（苏采云）”中签订，签订合同后，成交供应商不得将货物或服务及其他服务进行转包。未经采购人同意，成交供应商也不得采用分包的形式履行合同，否则采购人有权终止合同，成交供应商的履约保证金将不予退还。转包或分包造成采购人损失的，成交供应商应承担赔偿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32、其他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 依据《政府采购促进中小企业发展管理办法》享受享受扶持政策获得政府采购合同的，小微企业不得将合同分包给大中型企业，中型企业不得将合同分包给大型企业。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118" w:right="117" w:firstLine="240"/>
        <w:jc w:val="both"/>
        <w:spacing w:before="154" w:after="0" w:line="8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18" w:right="113" w:firstLine="240"/>
        <w:spacing w:before="151" w:after="0" w:line="8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18" w:right="117" w:firstLine="240"/>
        <w:jc w:val="both"/>
        <w:spacing w:before="154" w:after="0" w:line="8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3" w:lineRule="atLeast"/>
        <w:pBdr>
          <w:top w:val="none" w:color="000000" w:sz="4" w:space="0"/>
          <w:left w:val="none" w:color="000000" w:sz="4" w:space="0"/>
          <w:bottom w:val="none" w:color="000000" w:sz="4" w:space="0"/>
          <w:right w:val="none" w:color="000000" w:sz="4" w:space="0"/>
        </w:pBdr>
      </w:pPr>
      <w:r>
        <w:br w:type="page" w:clear="all"/>
      </w:r>
      <w:r/>
    </w:p>
    <w:p>
      <w:pPr>
        <w:numPr>
          <w:ilvl w:val="0"/>
          <w:numId w:val="3"/>
        </w:numPr>
        <w:jc w:val="center"/>
        <w:spacing w:before="0" w:after="0"/>
        <w:tabs>
          <w:tab w:val="left" w:pos="1279"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成交标准</w:t>
      </w:r>
      <w:r/>
    </w:p>
    <w:p>
      <w:pPr>
        <w:ind w:left="422"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按照磋商文件中规定的各项因素进行综合评审，本成交标准中价格、商务部分为客观分，由磋商小组统一打分；技术部分为主观分，由磋商小组各自独立打分，取磋商小组所有成员打分的平均值；汇总上述分值后为每一家供应商的最终得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4"/>
        <w:gridCol w:w="1163"/>
        <w:gridCol w:w="6523"/>
        <w:gridCol w:w="566"/>
        <w:gridCol w:w="529"/>
      </w:tblGrid>
      <w:tr>
        <w:trPr>
          <w:trHeight w:val="79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14" w:type="dxa"/>
            <w:vAlign w:val="top"/>
            <w:textDirection w:val="lrTb"/>
            <w:noWrap w:val="false"/>
          </w:tcPr>
          <w:p>
            <w:pPr>
              <w:ind w:left="0" w:right="0" w:firstLine="0"/>
              <w:jc w:val="center"/>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63" w:type="dxa"/>
            <w:vAlign w:val="top"/>
            <w:textDirection w:val="lrTb"/>
            <w:noWrap w:val="false"/>
          </w:tcPr>
          <w:p>
            <w:pPr>
              <w:ind w:left="0" w:right="0" w:firstLine="0"/>
              <w:jc w:val="center"/>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523" w:type="dxa"/>
            <w:vAlign w:val="top"/>
            <w:textDirection w:val="lrTb"/>
            <w:noWrap w:val="false"/>
          </w:tcPr>
          <w:p>
            <w:pPr>
              <w:ind w:left="0" w:right="0" w:firstLine="0"/>
              <w:jc w:val="center"/>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评审细则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66" w:type="dxa"/>
            <w:vAlign w:val="top"/>
            <w:textDirection w:val="lrTb"/>
            <w:noWrap w:val="false"/>
          </w:tcPr>
          <w:p>
            <w:pPr>
              <w:ind w:left="0" w:right="0" w:firstLine="0"/>
              <w:jc w:val="center"/>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29" w:type="dxa"/>
            <w:vAlign w:val="top"/>
            <w:textDirection w:val="lrTb"/>
            <w:noWrap w:val="false"/>
          </w:tcPr>
          <w:p>
            <w:pPr>
              <w:ind w:left="0" w:right="0" w:firstLine="0"/>
              <w:jc w:val="center"/>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类型</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5" w:type="dxa"/>
            <w:vAlign w:val="top"/>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1价格</w:t>
            </w:r>
            <w:r/>
          </w:p>
        </w:tc>
      </w:tr>
      <w:tr>
        <w:trPr>
          <w:trHeight w:val="10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4"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63"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523" w:type="dxa"/>
            <w:vAlign w:val="center"/>
            <w:textDirection w:val="lrTb"/>
            <w:noWrap w:val="false"/>
          </w:tcPr>
          <w:p>
            <w:pPr>
              <w:ind w:left="0" w:right="0" w:firstLine="0"/>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磋商文件要求且投标价格低的投标报价为评标基准价，其价格分为满分。其他响应人的价格分按照下列公式计算（小数点保留两位）：投标报价得分=(磋商基准价／最终磋商报价)×20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评审过程中出现下列情形之一的，磋商小组会应当启动异常低价投标审查程序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 应)报价平均值50%的，即投标(响应)报价&lt;全部通过符合性审查供应商投标(响应)报价平均值×50%；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 投标(响应)报价50%的，即投标(响应)报价&lt;通过符合性审查 的次低报价供应商投标(响应)报价×50%；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（3）投标(响应)报价低于采购项目最高限价45%的，即投标(响 应)报价&lt;采购项目最高限价×45%；</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（4）磋商小组认定的供应商响应报价过低、有可能影响产品质量或者不能诚信履约的其他情形。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采购人可以结合具体项目实际情况，提高上述第1项至第3项中启动异常低价投标（响应）审查的数值标准，但是最高不得超过65%。</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磋商小组启动异常低价投标(响应)审查后，属于前述第1项至第4项情形的，应当要求相关供应商在评审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(响应)文件一并提交相关书面说明及必要的证明材料的，在评审时可不再重复提交。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（6）磋商小组依据专业经验，参考同类项目中标(成交)价格、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66" w:type="dxa"/>
            <w:vAlign w:val="center"/>
            <w:textDirection w:val="lrTb"/>
            <w:noWrap w:val="false"/>
          </w:tcPr>
          <w:p>
            <w:pPr>
              <w:ind w:left="0" w:right="0" w:firstLine="0"/>
              <w:jc w:val="center"/>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29"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r>
      <w:tr>
        <w:trPr>
          <w:trHeight w:val="455"/>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5"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w:t>
            </w:r>
            <w:r/>
          </w:p>
        </w:tc>
      </w:tr>
      <w:tr>
        <w:trPr>
          <w:trHeight w:val="10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4"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63"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总体技术方案</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523"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评委根据供应商提供的总体技术方案（根据项目现状进行的养护、保障、服务体系、服务人员安排等）综合评分：</w:t>
            </w:r>
            <w:r/>
          </w:p>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1、总体技术方案养护、保障、服务体系、服务人员安排等方面，齐全、配备到位、具有针对性的得 12分；</w:t>
            </w:r>
            <w:r/>
          </w:p>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2、总体技术方案养护、保障、服务体系、服务人员安排基本满足采购要求的得10分；</w:t>
            </w:r>
            <w:r/>
          </w:p>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3、总体技术方案养护、保障、服务体系、服务人员安排不全面，缺少的得8分；</w:t>
            </w:r>
            <w:r/>
          </w:p>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66" w:type="dxa"/>
            <w:vAlign w:val="center"/>
            <w:textDirection w:val="lrTb"/>
            <w:noWrap w:val="false"/>
          </w:tcPr>
          <w:p>
            <w:pPr>
              <w:ind w:left="0" w:right="0" w:firstLine="0"/>
              <w:jc w:val="center"/>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29"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10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4"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3"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组织实施方案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23"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评委根据投标人提供的组织实施方案（包括项目组织架构、项目风险管控、项目质量保证）进行综合评分：</w:t>
            </w:r>
            <w:r/>
          </w:p>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1、组织实施方案科学完整合理，培训措施针对性强，要点明确得 11 分；</w:t>
            </w:r>
            <w:r/>
          </w:p>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2、组织实施方案内容基本完整，措施基本合理的得9分；</w:t>
            </w:r>
            <w:r/>
          </w:p>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3、组织实施方案不完整或措施不合理的得 7分；</w:t>
            </w:r>
            <w:r/>
          </w:p>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6" w:type="dxa"/>
            <w:vAlign w:val="center"/>
            <w:textDirection w:val="lrTb"/>
            <w:noWrap w:val="false"/>
          </w:tcPr>
          <w:p>
            <w:pPr>
              <w:ind w:left="0" w:right="0" w:firstLine="0"/>
              <w:jc w:val="center"/>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29"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10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4"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3"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质量保证安全方案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2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评委根据供应商提供的质量保证措施、安全及风险防控措施、文明作业措施综合评分：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（1）能够根据本项目的特点清楚、详尽地描述养护、质量保证措施、安全及风险防控措施、文明作业措施，考虑周全完整，切实可行得11分；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（2）养护和施工质量保证措施、安全及风险防控措施、文明作业措施，基本合理可行，表达基本清楚得9分；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（3）养护和施工质量保证措施、安全及风险防控措施、文明作业措施，表达不够清楚的得7分；</w:t>
            </w:r>
            <w:r/>
          </w:p>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6" w:type="dxa"/>
            <w:vAlign w:val="center"/>
            <w:textDirection w:val="lrTb"/>
            <w:noWrap w:val="false"/>
          </w:tcPr>
          <w:p>
            <w:pPr>
              <w:ind w:left="0" w:right="0" w:firstLine="0"/>
              <w:jc w:val="center"/>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29"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10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4"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3"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应急响应方案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23"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评委根据供应商提供的应急响应服务方案综合评分：</w:t>
            </w:r>
            <w:r/>
          </w:p>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1、应急响应方案科学完整合理，措施针对性强，要点明确得 11分；</w:t>
            </w:r>
            <w:r/>
          </w:p>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2、应急响应方案内容基本完整，措施基本合理的得9分；</w:t>
            </w:r>
            <w:r/>
          </w:p>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3、应急响应方案不完整或措施不合理，缺乏针对性的得7分；</w:t>
            </w:r>
            <w:r/>
          </w:p>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6" w:type="dxa"/>
            <w:vAlign w:val="center"/>
            <w:textDirection w:val="lrTb"/>
            <w:noWrap w:val="false"/>
          </w:tcPr>
          <w:p>
            <w:pPr>
              <w:ind w:left="0" w:right="0" w:firstLine="0"/>
              <w:jc w:val="center"/>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29"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10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4"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3"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项目档案管理方案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23"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评委根据供应商提供的项目档案资料管理方案（项目资料收集、项目档案建立、档案资料保存等）进行综合评分：</w:t>
            </w:r>
            <w:r/>
          </w:p>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1、有完备的项目档案资料管理制度；档案资料建立、收集、保存等流程健全、规范，有完善的档案移交步骤的得 11分；</w:t>
            </w:r>
            <w:r/>
          </w:p>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2、项目档案资料管理制度内容基本完整，针对性一般；档案资料 建立、收集、保存等较规范，档案移交流程等较合理的得 9分；</w:t>
            </w:r>
            <w:r/>
          </w:p>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3、项目档案资料管理制度不完整，档案资料建立、收集、保存等不规范，档案移交流程不合理的得 7分；</w:t>
            </w:r>
            <w:r/>
          </w:p>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6" w:type="dxa"/>
            <w:vAlign w:val="center"/>
            <w:textDirection w:val="lrTb"/>
            <w:noWrap w:val="false"/>
          </w:tcPr>
          <w:p>
            <w:pPr>
              <w:ind w:left="0" w:right="0" w:firstLine="0"/>
              <w:jc w:val="center"/>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29"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269"/>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5" w:type="dxa"/>
            <w:vAlign w:val="top"/>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3业绩</w:t>
            </w:r>
            <w:r/>
          </w:p>
        </w:tc>
      </w:tr>
      <w:tr>
        <w:trPr>
          <w:trHeight w:val="79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4"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63"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供应商业绩</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523"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供应商提供2023年1月1日以后完成类似养护/管养项目的，每提供1个得3分，满分9分。（上传合同扫描件，以合同签订时间为准，合同须能反映项目名称、主要标的物，签订时间和签章清晰可见）</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66" w:type="dxa"/>
            <w:vAlign w:val="center"/>
            <w:textDirection w:val="lrTb"/>
            <w:noWrap w:val="false"/>
          </w:tcPr>
          <w:p>
            <w:pPr>
              <w:ind w:left="0" w:right="0" w:firstLine="0"/>
              <w:jc w:val="center"/>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29"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516"/>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5"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4履约能力</w:t>
            </w:r>
            <w:r/>
          </w:p>
        </w:tc>
      </w:tr>
      <w:tr>
        <w:trPr>
          <w:trHeight w:val="8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4"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63"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专业设备</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523"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供应商针对本项目提供下列设备：本项目挖机、自卸汽车，每提供 1 台得5分，满分10分。 （如为自有，提供发票原件扫描件;如为租赁，提供租赁合同或租赁协议及并提供出租方发票原件扫描件，租赁协议应涵盖项目合同服务期）</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66" w:type="dxa"/>
            <w:vAlign w:val="center"/>
            <w:textDirection w:val="lrTb"/>
            <w:noWrap w:val="false"/>
          </w:tcPr>
          <w:p>
            <w:pPr>
              <w:ind w:left="0" w:right="0" w:firstLine="0"/>
              <w:jc w:val="center"/>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29"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8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4"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3"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人员配备</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23"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供应商拟投入项目负责人具有注册建造师（市政公用工程）证书得5分，满分5分。</w:t>
            </w:r>
            <w:r/>
          </w:p>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（需相关证书扫描件和2025年10月以来任意一个月供应商为其缴纳的社会保险证明材料并加盖公章的扫描件，缺一不可，否则不得分。）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6" w:type="dxa"/>
            <w:vAlign w:val="center"/>
            <w:textDirection w:val="lrTb"/>
            <w:noWrap w:val="false"/>
          </w:tcPr>
          <w:p>
            <w:pPr>
              <w:ind w:left="0" w:right="0" w:firstLine="0"/>
              <w:jc w:val="center"/>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29"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4"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86"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5"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100分</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ind w:left="0" w:right="0" w:firstLine="0"/>
        <w:jc w:val="both"/>
        <w:spacing w:before="12"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、所有认证、证明和业绩除上表要求外须提供有效的证明材料加盖公章。</w:t>
      </w:r>
      <w:r/>
    </w:p>
    <w:p>
      <w:pPr>
        <w:ind w:left="0" w:right="0" w:firstLine="0"/>
        <w:jc w:val="both"/>
        <w:spacing w:before="12"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、磋商小组不保证有效报价最低的供应商成交。</w:t>
      </w:r>
      <w:r/>
    </w:p>
    <w:p>
      <w:pPr>
        <w:ind w:left="0" w:right="0" w:firstLine="0"/>
        <w:jc w:val="both"/>
        <w:spacing w:before="12"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、本项目所属行业：其他未列明行业。</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第四章</w:t>
        <w:tab/>
        <w:t xml:space="preserve"> 招标项目的技术规格、要求和数量等</w:t>
      </w:r>
      <w:r/>
    </w:p>
    <w:p>
      <w:pPr>
        <w:ind w:left="0" w:right="0" w:firstLine="420"/>
        <w:jc w:val="both"/>
        <w:spacing w:before="0" w:after="0" w:line="85" w:lineRule="atLeast"/>
        <w:tabs>
          <w:tab w:val="left" w:pos="700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一、项目概述：</w:t>
      </w:r>
      <w:r/>
    </w:p>
    <w:p>
      <w:pPr>
        <w:ind w:left="0" w:right="0" w:firstLine="420"/>
        <w:jc w:val="both"/>
        <w:spacing w:before="0" w:after="0" w:line="85" w:lineRule="atLeast"/>
        <w:tabs>
          <w:tab w:val="left" w:pos="700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1、项目名称：江宁街道农村公路市场化养护项目</w:t>
      </w:r>
      <w:r/>
    </w:p>
    <w:p>
      <w:pPr>
        <w:ind w:left="0" w:right="0" w:firstLine="420"/>
        <w:jc w:val="both"/>
        <w:spacing w:before="0" w:after="0" w:line="85" w:lineRule="atLeast"/>
        <w:tabs>
          <w:tab w:val="left" w:pos="700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2、项目地点：该项目位于江宁街道；</w:t>
      </w:r>
      <w:r/>
    </w:p>
    <w:p>
      <w:pPr>
        <w:ind w:left="0" w:right="0" w:firstLine="420"/>
        <w:jc w:val="both"/>
        <w:spacing w:before="0" w:after="0" w:line="85" w:lineRule="atLeast"/>
        <w:tabs>
          <w:tab w:val="left" w:pos="700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3、项目背景： 为了做好“四好农村路”工作，建立健全农村公路管理养护可持续长效机制，保</w:t>
      </w:r>
      <w:r/>
    </w:p>
    <w:p>
      <w:pPr>
        <w:ind w:left="0" w:right="0" w:firstLine="420"/>
        <w:jc w:val="both"/>
        <w:spacing w:before="0" w:after="0" w:line="85" w:lineRule="atLeast"/>
        <w:tabs>
          <w:tab w:val="left" w:pos="700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项障街道范围内群众出行安全，对我街道农村公路进行日常巡查、绿化、交通沿线设施管护和小修等，进行专业化、机械化养护。</w:t>
      </w:r>
      <w:r/>
    </w:p>
    <w:p>
      <w:pPr>
        <w:ind w:left="0" w:right="0" w:firstLine="420"/>
        <w:jc w:val="both"/>
        <w:spacing w:before="0" w:after="0" w:line="85" w:lineRule="atLeast"/>
        <w:tabs>
          <w:tab w:val="left" w:pos="700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4、项目建设遵循标准：遵循国家、行业及地方现行的规范和标准要求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二、项目实施要求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1、养护期内供应商应作好管护区域内各类道路设施的维护及安全生产工作，发现安全隐患及时处理，因供应商的原因导致管护期限和管护范围内发生的人身和财产等一切安全事故均由供应商全面负责。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2、供应商要对现有设施、设备保持完整、完好，易损件要及时更换、维修，对设施、 设备的损失和残缺应及时维修、更换。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3、养护的各道工序施工要做到以人为本，养护作业人员在养护施工时应当统一着装，必须穿戴具有反光功能的安全标志服装和防护帽，并按照要求在养护施工路段设置明显安 全标志和采取有效的安全防护措施，安排专职的安全人员（必须持证上岗）对施工作业区域进行安全管理和监督，并进行现场交通疏导，夜间应设置黄色频闪警示标志，以确保养护实施路段的施工安全及行车安全。特殊路段的养护作业必须按照采购人统一部署要求执行。供应商在施工时应注意行人、车辆的安全，做好交通安全防范和导流措施，并负责与交警、城管等部门的沟通协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4、供应商应当遵守有关环境保护和安全生产法律、法规的规定，采取措施防止或者 减少粉尘、废气、废水、固体废物、噪声、振动和照明产生的污染和危害。养护作业现 场应干净整齐。余料及时清理、清扫，禁止随意丢弃。现场的各种设施、材料、设备器材等物料、应当定点存放。禁止在现场外擅自占道堆放建筑材料、工程渣土和建筑垃圾， 施工结束后做到工完、料净、场地清理，垃圾清理要符合南京市垃圾分类管理要求。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在养护施工时应当保护地下管线和其他市政设施的完好。如确需暂时损坏或变更市政设施的，应当经采购人同意后方可实施，施工完成后应请权属单位检查验收，同时做好记录备案工作。如遇其他单位作业过程中损坏管养范围内道路的应及时汇报，配合采购人做好后续相关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6、在重大节日、“迎检”、“创建”等期间按要求完成采购人交办养护范围内的突击性 任务和指令性任务。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基础资料、台帐管理要求：（1）每天做好详细的养护工作日志及日常巡查记录工作，以备采购人不定期抽查；（2）每月固定向采购人报送本月的养护总结及下月养护计划（质量、进度、安全、投资、材料计划等内容，反映存在的问题和应对措施，一式三份提交采购人）；（3）应当严格按照采购人制定的养护计划进行施工，不得擅自更改实施计划，并于每周五上报本周工作完成情况，交由采购人审定，作为考核依据。（4）养护维修应当及时做好维修纪录，对相关养护的报表统计、竣 工档案等信息资料应按相应的管理规定进行整理；（5）供应商做好自有设备日常</w:t>
      </w:r>
      <w:r>
        <w:rPr>
          <w:rFonts w:ascii="SimSun" w:hAnsi="SimSun" w:eastAsia="SimSun" w:cs="SimSun"/>
          <w:color w:val="000000"/>
          <w:sz w:val="21"/>
        </w:rPr>
        <w:t xml:space="preserve">养护保养记录台账，以备采购人不定期抽查。（6）配合采购人完成考核工作，及时提交考核资料。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三、其他要求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1、做好文明施工及各项现场管理工作，按照文明工地做好施工范围内的交通疏导、施工现场 围挡规范，警示标志明显（安全护栏、交通导向标志及路障指示灯），若因施工不当或安全措施不足而导致采购人或第三方损失的，供应商应负完全责任，并负经济赔偿责任。（1）供应商做好市政工程文明施工管理包括：工程施工现场围挡设施；交通引导和警示设施、材料堆放；临时设施设置；余泥清运；污水排放；施工现场周边环境保护等。保障施工期间周边环境不受污染，确保施工现场的道路平整、排水畅通和交通安全。 （2）供应商应设专人负责养护维修现场文明施工设</w:t>
      </w:r>
      <w:r>
        <w:rPr>
          <w:rFonts w:ascii="SimSun" w:hAnsi="SimSun" w:eastAsia="SimSun" w:cs="SimSun"/>
          <w:color w:val="000000"/>
          <w:sz w:val="21"/>
        </w:rPr>
        <w:t xml:space="preserve">施的维护管理，发现围挡设施损坏、 安全警示标志、标牌残缺、损毁、排水堵塞等，要及时更换或维修。主干道车行道施工等对交通影响较大的，应制定详尽的、有可操作性的交通组织疏导方案及应急预案，确保将施工对交通的影响减至最少。在交通繁忙期间，养护单位应设有专人协助公安交通管理部门维护交通秩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2、接受采购人的管理、监督、检查和考核，对采购人验收不合格之处，应及时进行整改。供应商无正当理由拒绝整改时，采购人有权委托他人予以整改，所发生的费用由供应商承担。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科学、合理安排进驻采购人工作现场养护人员的工作时间和计划，负责承担供应商派驻采购人工作现场之养护员工的工资、住宿、福利及其他一切费用。如供应商发生养护人员工资拖欠（民工工资清欠）的情况，发生聚集性讨薪或被上级主管部门通报，采购人采用一票否决制，供应商当年考核结果按不合格记录，合同予以取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4、供应商应根据采购要求提供总体技术方案、组织实施方案、质量保证安全方案、应急响应方案、项目档案管理方案以确保项目能顺利实施。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、供应商拟投入相关车辆、设备。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四、主要工作内容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分为专项维修、日常养护、车行道及人行道设施的养护、桥梁养护、路名牌养护、护栏养护、道路隔离带养护和采购人交办的其它工作等。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专项维修：中标人需对原破损的设施进行登记上报采购人，采购人审核后进行维修，维修标准需达到完工交付标准，具体维修内容包括但不限于养护区域内道路车行道、人行道、路牙沿石、隔离带沿石、道路中分带、绿岛、树池、挡墙、边坡、阻车石、路名牌、各种井盖井座等维修项目。采购人验收合格后开始计算服务期，服务期开始一月内必须完成所有养护道路拍照建档。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（2）日常养护：区域内道路车行道、人行道、路牙沿石、隔离带沿石、道路中分带、绿岛、护栏、树池、挡墙、边坡、阻车石、路名牌、各种井盖井座的巡查、日常养护及应急抢修施工服务。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（3）巡视工作： 1）巡视频率：每周不少于1次道路养护及巡查，含巡视检查、计量、记录并上报设施破损状况、设置必要的安全警示标志。2）巡视路线：根据养护区域范围内的道路分布情况，设计经济、合理的巡视路线、设立巡视段、巡视点，绘制巡视线路图，详细记录每日巡视段的设施现状以及损坏情况，留存并上报江宁街道城建办（农路）。3）巡视车辆：本项目须配备专职巡视车辆 1 台。 4）巡视要求：巡视人员要用采购人指定的巡查系统，发现问题，如现场能处理及时处理，如现场不能处理，及时上报且按照养护要求规定的响应时间安排维护。并形成</w:t>
      </w:r>
      <w:r>
        <w:rPr>
          <w:rFonts w:ascii="SimSun" w:hAnsi="SimSun" w:eastAsia="SimSun" w:cs="SimSun"/>
          <w:color w:val="000000"/>
          <w:sz w:val="21"/>
        </w:rPr>
        <w:t xml:space="preserve">巡查记录进行存档。 5）巡视抽查：采购人不定时对巡视工作进行抽查，抽查出现问题，直接扣除考核分数。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（4）桥梁养护： 1）桥梁结构缺损部分的修复，并做好记录知会采购人； 2）按原样材质修理、更换部分栏杆、扶手及油漆，铁质栏杆、天桥及时除锈刷漆，每一年至少油漆一次，须对发现的栏杆、扶手生锈部位（5 米/处·次彻底除锈油漆（一底二面）； 3）支座的清理保养，油漆； 4）局部修理泄水管（槽）、伸缩缝；5）局部修理桥面损坏； 6）定期检查梁底裂缝情况。 7）伸缩缝清理维护；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（5）道路绿化：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乔木：树木长势茂盛，树冠完整丰满，主侧枝分布匀称。无影响交通、架空线路、路灯、建筑、行人安全的树枝。枝条修剪截面应平整，不留短桩。截面直径≥6 cm 的伤口应涂防腐剂。观花树木按时茂盛开花，观果树木正常结果。无明显病虫危害迹象，树干无未处理的腐洞。树体无钉挂物、悬挂物。树穴内无杂草、杂物，黄土不裸露。落叶乔木每年 11 月，树干应刷白，刷白高度 1.2m。</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行道树：树木长势茂盛，规格整齐，树干挺直，定干高度一致，树冠丰满。无枯枝、交叉枝、过密枝、并生枝、病虫枝，主干上无萌蘖枝。 无影响交通、架空线路、路灯、建筑、行人安全的树枝。枝条修剪截面应平整，不留短桩。截面直径≥6 cm 的伤口应涂防腐剂。无明显病虫危害迹象，树干无未处理的腐洞。树体无钉挂物、悬挂物。树穴设施完好，无黄土裸露，无杂草、杂物。无死株、缺株、严重倾斜株。无法修整复壮的树木应及时申报更换。新栽、补栽的树木和易受害倒伏的树木应设立扶木支撑，且扎缚规范有效。符合拆除条件的应及时拆除。每年11月，树干</w:t>
      </w:r>
      <w:r>
        <w:rPr>
          <w:rFonts w:ascii="SimSun" w:hAnsi="SimSun" w:eastAsia="SimSun" w:cs="SimSun"/>
          <w:color w:val="000000"/>
          <w:sz w:val="21"/>
        </w:rPr>
        <w:t xml:space="preserve">应刷白一次，刷白高度 1.2 m。行道树建立一路一档，有动态养护记录，历史资料齐全。行道树保存率 100%。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草坪：草坪生长健壮，覆盖率达≥98％，生长期无枯黄现象。草坪上无修剪残留草屑、杂物，无乱停乱放现象。</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服务清单</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0"/>
        <w:gridCol w:w="2024"/>
        <w:gridCol w:w="4320"/>
        <w:gridCol w:w="552"/>
        <w:gridCol w:w="1888"/>
      </w:tblGrid>
      <w:tr>
        <w:trPr>
          <w:trHeight w:val="451"/>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道路养护</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服务内容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工程量</w:t>
            </w:r>
            <w:r/>
          </w:p>
        </w:tc>
      </w:tr>
      <w:tr>
        <w:trPr>
          <w:trHeight w:val="53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道路部分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r>
      <w:tr>
        <w:trPr>
          <w:trHeight w:val="11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拆除基层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1.材质:碎（砾）石</w:t>
              <w:br/>
              <w:t xml:space="preserve">2.厚度:10cm</w:t>
              <w:br/>
              <w:t xml:space="preserve">3.部位:基层</w:t>
              <w:br/>
              <w:t xml:space="preserve">4.拆除方式：人工拆除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w:t>
            </w:r>
            <w:r/>
          </w:p>
        </w:tc>
      </w:tr>
      <w:tr>
        <w:trPr>
          <w:trHeight w:val="11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拆除混凝土路面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1.材质:混凝土类（无筋）</w:t>
              <w:br/>
              <w:t xml:space="preserve">2.厚度:18cm</w:t>
              <w:br/>
              <w:t xml:space="preserve">3.拆除方式：人工手持风镐拆除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w:t>
            </w:r>
            <w:r/>
          </w:p>
        </w:tc>
      </w:tr>
      <w:tr>
        <w:trPr>
          <w:trHeight w:val="1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拆除沥青路面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1、拆除沥青路面并弃置，运距自行考虑</w:t>
              <w:br/>
              <w:t xml:space="preserve">2、拆除厚度8cm</w:t>
              <w:br/>
              <w:t xml:space="preserve">3、拆除方式：人工手持风镐拆除</w:t>
              <w:br/>
              <w:t xml:space="preserve">4、综合考虑沥青残值回收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w:t>
            </w:r>
            <w:r/>
          </w:p>
        </w:tc>
      </w:tr>
      <w:tr>
        <w:trPr>
          <w:trHeight w:val="8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拆除混凝土结构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1.结构形式:钢筋混凝土</w:t>
              <w:br/>
              <w:t xml:space="preserve">2.部位:桥头搭板</w:t>
              <w:br/>
              <w:t xml:space="preserve">3.拆除方式：人工手持风镐拆除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w:t>
            </w:r>
            <w:r/>
          </w:p>
        </w:tc>
      </w:tr>
      <w:tr>
        <w:trPr>
          <w:trHeight w:val="10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拆除混凝土沟盖板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1.材质:混凝土</w:t>
              <w:br/>
              <w:t xml:space="preserve">2.拆除方式：人工拆除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w:t>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铣刨路面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1.材质:沥青面层</w:t>
              <w:br/>
              <w:t xml:space="preserve">2.厚度:8cm</w:t>
              <w:br/>
              <w:t xml:space="preserve">3.综合考虑沥青残值回收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w:t>
            </w:r>
            <w:r/>
          </w:p>
        </w:tc>
      </w:tr>
      <w:tr>
        <w:trPr>
          <w:trHeight w:val="12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余方弃置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1.废弃料品种:旧路材料(包含但不限与道碴、砼碎块碎渣、沥青碎块等一切旧路拆除材料)</w:t>
              <w:br/>
              <w:t xml:space="preserve">2.运距:暂按10km考虑，结算以实际为准</w:t>
              <w:br/>
              <w:t xml:space="preserve">3.消纳及弃置费:投标单位自行考虑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390</w:t>
            </w:r>
            <w:r/>
          </w:p>
        </w:tc>
      </w:tr>
      <w:tr>
        <w:trPr>
          <w:trHeight w:val="16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挖一般土方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1.土壤类别:一、二类土</w:t>
              <w:br/>
              <w:t xml:space="preserve">2.挖土深度:1.5m 以内</w:t>
              <w:br/>
              <w:t xml:space="preserve">3.开挖方式：机械开挖，人工配合辅助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w:t>
            </w:r>
            <w:r/>
          </w:p>
        </w:tc>
      </w:tr>
      <w:tr>
        <w:trPr>
          <w:trHeight w:val="16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挖沟槽土方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1.土壤类别:三类土</w:t>
              <w:br/>
              <w:t xml:space="preserve">2.挖土深度:2m 以内</w:t>
              <w:br/>
              <w:t xml:space="preserve">3.开挖方式：机械开挖，人工配合辅助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w:t>
            </w:r>
            <w:r/>
          </w:p>
        </w:tc>
      </w:tr>
      <w:tr>
        <w:trPr>
          <w:trHeight w:val="10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垫层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1.材料品种、规格:碎石粒径5-40mm</w:t>
              <w:br/>
              <w:t xml:space="preserve">2.厚度:10cm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r>
      <w:tr>
        <w:trPr>
          <w:trHeight w:val="10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垫层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1.材料品种、规格:中粗砂垫层</w:t>
              <w:br/>
              <w:t xml:space="preserve">2.厚度:10cm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r>
      <w:tr>
        <w:trPr>
          <w:trHeight w:val="14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浆砌块料-边沟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1.部位:边沟300*600</w:t>
              <w:br/>
              <w:t xml:space="preserve">2.材料品种、规格:块石</w:t>
              <w:br/>
              <w:t xml:space="preserve">3.砂浆强度等级:水泥M10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5.4</w:t>
            </w:r>
            <w:r/>
          </w:p>
        </w:tc>
      </w:tr>
      <w:tr>
        <w:trPr>
          <w:trHeight w:val="14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砖砌体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1.部位:挡墙</w:t>
              <w:br/>
              <w:t xml:space="preserve">2.材料品种、规格:标准砖</w:t>
              <w:br/>
              <w:t xml:space="preserve">3.砂浆强度等级:M10水泥砂浆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w:t>
            </w:r>
            <w:r/>
          </w:p>
        </w:tc>
      </w:tr>
      <w:tr>
        <w:trPr>
          <w:trHeight w:val="12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浆砌块石护坡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1.部位:护坡</w:t>
              <w:br/>
              <w:t xml:space="preserve">2.材料品种、规格:块石</w:t>
              <w:br/>
              <w:t xml:space="preserve">3.砂浆强度等级:水泥M10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w:t>
            </w:r>
            <w:r/>
          </w:p>
        </w:tc>
      </w:tr>
      <w:tr>
        <w:trPr>
          <w:trHeight w:val="14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水泥砂浆抹面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1.砂浆配合比:M10水泥砂浆</w:t>
              <w:br/>
              <w:t xml:space="preserve">2.部位:砖砌体</w:t>
              <w:br/>
              <w:t xml:space="preserve">3.厚度:20mm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350</w:t>
            </w:r>
            <w:r/>
          </w:p>
        </w:tc>
      </w:tr>
      <w:tr>
        <w:trPr>
          <w:trHeight w:val="12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墙面勾缝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1.勾缝类型:凹缝</w:t>
              <w:br/>
              <w:t xml:space="preserve">2.勾缝材料种类:1:2水泥砂浆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78</w:t>
            </w:r>
            <w:r/>
          </w:p>
        </w:tc>
      </w:tr>
      <w:tr>
        <w:trPr>
          <w:trHeight w:val="10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混凝土垫层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1.混凝土强度等级:C15非泵商品混凝土</w:t>
              <w:br/>
              <w:t xml:space="preserve">2.厚度:10cm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0.45</w:t>
            </w:r>
            <w:r/>
          </w:p>
        </w:tc>
      </w:tr>
      <w:tr>
        <w:trPr>
          <w:trHeight w:val="1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预制钢筋混凝土沟盖板安装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1.部位:边沟</w:t>
              <w:br/>
              <w:t xml:space="preserve">2.构件代号、名称:钢筋混凝土盖板</w:t>
              <w:br/>
              <w:t xml:space="preserve">3.混凝土强度等级:C35非泵商品混凝土</w:t>
              <w:br/>
              <w:t xml:space="preserve">4.砂浆强度等级:M10</w:t>
              <w:br/>
              <w:t xml:space="preserve">5.含盖板制安、钢筋等全部费用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r>
      <w:tr>
        <w:trPr>
          <w:trHeight w:val="7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碎石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1.石料规格:5-40mm</w:t>
              <w:br/>
              <w:t xml:space="preserve">2.厚度:10cm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2000</w:t>
            </w:r>
            <w:r/>
          </w:p>
        </w:tc>
      </w:tr>
      <w:tr>
        <w:trPr>
          <w:trHeight w:val="16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水泥混凝土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1.混凝土强度等级:C30非泵商品混凝土</w:t>
              <w:br/>
              <w:t xml:space="preserve">2.厚度:18cm</w:t>
              <w:br/>
              <w:t xml:space="preserve">3.其他：水泥砼路面草袋养生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切缝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切割机切缝，深度10cm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2000</w:t>
            </w:r>
            <w:r/>
          </w:p>
        </w:tc>
      </w:tr>
      <w:tr>
        <w:trPr>
          <w:trHeight w:val="18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沥青混凝土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1、机械摊铺细粒式沥青混凝土（AC-13）路面厚4cm</w:t>
              <w:br/>
              <w:t xml:space="preserve">2、乳化沥青粘层（0.8kg/m2）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9400</w:t>
            </w:r>
            <w:r/>
          </w:p>
        </w:tc>
      </w:tr>
      <w:tr>
        <w:trPr>
          <w:trHeight w:val="19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沥青混凝土（热补沥青）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1、人工喷洒乳化沥青粘层（1kg/m²）</w:t>
              <w:br/>
              <w:t xml:space="preserve">2、人工清扫路基、整修侧缘石、测温、摊铺4cm厚热细粒式沥青混凝土、接茬、找平、点补、撒垫料、清理现场等所有内容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3000</w:t>
            </w:r>
            <w:r/>
          </w:p>
        </w:tc>
      </w:tr>
      <w:tr>
        <w:trPr>
          <w:trHeight w:val="12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沥青混凝土（冷补沥青）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1、人工清扫路基、整修侧缘石、测温、人工冷补4CM厚细粒式沥青混凝土、接茬、找平、点补、撒垫料、清理现场等所有内容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r>
      <w:tr>
        <w:trPr>
          <w:trHeight w:val="2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沥青砂灌缝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1、路面裂缝填沥青砂</w:t>
              <w:br/>
              <w:t xml:space="preserve">2、人工清除缝隙垃圾杂物、开槽、烘干、灌沥青砂、清理现场等一切工作内容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10000</w:t>
            </w:r>
            <w:r/>
          </w:p>
        </w:tc>
      </w:tr>
      <w:tr>
        <w:trPr>
          <w:trHeight w:val="14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沥青灌缝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清除缝隙垃圾杂物、开槽、烘干、灌沥青、清理现场等一切工作内容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19000</w:t>
            </w:r>
            <w:r/>
          </w:p>
        </w:tc>
      </w:tr>
      <w:tr>
        <w:trPr>
          <w:trHeight w:val="10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混凝土桥头搭板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1.混凝土强度等级:C30非泵商品混凝土</w:t>
              <w:br/>
              <w:t xml:space="preserve">2.铺装车行道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w:t>
            </w:r>
            <w:r/>
          </w:p>
        </w:tc>
      </w:tr>
      <w:tr>
        <w:trPr>
          <w:trHeight w:val="14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现浇构件钢筋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1.钢筋种类:HRB400水泥混凝土道路钢筋网片</w:t>
              <w:br/>
              <w:t xml:space="preserve">2.钢筋规格:Φ≤25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r>
      <w:tr>
        <w:trPr>
          <w:trHeight w:val="16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铁护栏油漆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1、表面清理</w:t>
              <w:br/>
              <w:t xml:space="preserve">2、沥青漆1遍,环氧富锌漆2遍</w:t>
              <w:br/>
              <w:t xml:space="preserve">3、含去污、除锈、磨光、分层刷漆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w:t>
            </w:r>
            <w:r/>
          </w:p>
        </w:tc>
      </w:tr>
      <w:tr>
        <w:trPr>
          <w:trHeight w:val="16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砼护栏油漆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1、表面清理</w:t>
              <w:br/>
              <w:t xml:space="preserve">2、沥青漆1遍,环氧富锌漆2遍</w:t>
              <w:br/>
              <w:t xml:space="preserve">3、含去污、除锈、磨光、分层刷漆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r>
      <w:tr>
        <w:trPr>
          <w:trHeight w:val="14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桥面排水系统更换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1、安装DN110PVC泄水管道，管道长8m</w:t>
              <w:br/>
              <w:t xml:space="preserve">2、拆除原有损坏排水系统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r>
      <w:tr>
        <w:trPr>
          <w:trHeight w:val="29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道路养护及巡查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1、服务周期内保证每周不少于1次道路养护及巡查，含巡视检查、计量、记录并上报设施破损状况、设置必要的安全警示标志</w:t>
              <w:br/>
              <w:t xml:space="preserve">2、包含合同期内、养护期内所有道路巡查，并配合相关迎检及上级考核工作 ，按照甲方要求提供巡查记录</w:t>
              <w:br/>
              <w:t xml:space="preserve">3、其他要求：桥梁巡查，波形梁护栏修正（含破损波形梁护栏拆除，不涉及材料更换），限高龙门架管控及开挖备案监督恢复等均包含在综合单价中</w:t>
              <w:br/>
              <w:t xml:space="preserve">4、服务周期：1年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km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240</w:t>
            </w:r>
            <w:r/>
          </w:p>
        </w:tc>
      </w:tr>
      <w:tr>
        <w:trPr>
          <w:trHeight w:val="10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边沟清理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1、人工清理疏通边沟，杂物弃置等一切工作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3000</w:t>
            </w:r>
            <w:r/>
          </w:p>
        </w:tc>
      </w:tr>
      <w:tr>
        <w:trPr>
          <w:trHeight w:val="2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大型机械设备进出场及安拆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1、投标单位自行考虑所需使用的机械设备，包括但不限于机械设备的名称、规格、型号、数量等，结算时不做调整。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7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临时围挡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分体式注水水马围挡</w:t>
              <w:br/>
              <w:t xml:space="preserve">1、高度1.8米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w:t>
            </w:r>
            <w:r/>
          </w:p>
        </w:tc>
      </w:tr>
      <w:tr>
        <w:trPr>
          <w:trHeight w:val="10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混凝土路面模板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1.水泥混凝土路面模板</w:t>
              <w:br/>
              <w:t xml:space="preserve">2.含模板安拆费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215</w:t>
            </w:r>
            <w:r/>
          </w:p>
        </w:tc>
      </w:tr>
      <w:tr>
        <w:trPr>
          <w:trHeight w:val="561"/>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小 计</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69"/>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交通安全设施养护</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服务内容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工程量</w:t>
            </w:r>
            <w:r/>
          </w:p>
        </w:tc>
      </w:tr>
      <w:tr>
        <w:trPr>
          <w:trHeight w:val="262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波形梁护栏(Gr-A-4C)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波形梁护栏(Gr-A-4E)</w:t>
              <w:br/>
              <w:t xml:space="preserve">1、双波形梁钢护栏板（尺寸：4320×310×85×4mm）与立柱、防阻块（或托架）等组件构成，通过螺栓连接‌；</w:t>
              <w:br/>
              <w:t xml:space="preserve">2、立柱规格为Φ140mm（直径）×4.5mm（壁厚）×2150mm，间距为‌4米‌，采用‌打入式安装；</w:t>
              <w:br/>
              <w:t xml:space="preserve">3、安装轮廓标；</w:t>
              <w:br/>
              <w:t xml:space="preserve">4、包含防阻块、柱帽、螺栓、垫片等所有安装波形梁护栏(Gr-A-4E)需要的辅材。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400</w:t>
            </w:r>
            <w:r/>
          </w:p>
        </w:tc>
      </w:tr>
      <w:tr>
        <w:trPr>
          <w:trHeight w:val="26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波形梁护栏(Gr-A-2C)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波形梁护栏(Gr-A-2E)</w:t>
              <w:br/>
              <w:t xml:space="preserve">1、双波形梁钢护栏板（尺寸：4320×310×85×4mm）与立柱、防阻块（或托架）等组件构成，通过螺栓连接‌；</w:t>
              <w:br/>
              <w:t xml:space="preserve">2、立柱规格为Φ114/140mm（直径）×4.5mm（壁厚）×2150mm，间距为‌2米‌，采用‌打入式安装；</w:t>
              <w:br/>
              <w:t xml:space="preserve">3、安装轮廓标；</w:t>
              <w:br/>
              <w:t xml:space="preserve">4、包含防阻块、柱帽、螺栓、垫片等所有安装波形梁护栏(Gr-A-2E)需要的辅材。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400</w:t>
            </w:r>
            <w:r/>
          </w:p>
        </w:tc>
      </w:tr>
      <w:tr>
        <w:trPr>
          <w:trHeight w:val="5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波形梁端头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端头（R160mm，t=3-4mm，镀锌）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w:t>
            </w:r>
            <w:r/>
          </w:p>
        </w:tc>
      </w:tr>
      <w:tr>
        <w:trPr>
          <w:trHeight w:val="8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波形梁立柱更换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1、拆除原破损立柱</w:t>
              <w:br/>
              <w:t xml:space="preserve">2、D114*1600*3mm镀锌立柱更换</w:t>
              <w:br/>
              <w:t xml:space="preserve">3、综合考虑旧件残值回收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3.38</w:t>
            </w:r>
            <w:r/>
          </w:p>
        </w:tc>
      </w:tr>
      <w:tr>
        <w:trPr>
          <w:trHeight w:val="11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波形梁护栏更换（85*310*3*2320mm）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1、85*310*3*2320mm镀锌波形梁护栏更换</w:t>
              <w:br/>
              <w:t xml:space="preserve">2、综合考虑旧件残值回收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9.1</w:t>
            </w:r>
            <w:r/>
          </w:p>
        </w:tc>
      </w:tr>
      <w:tr>
        <w:trPr>
          <w:trHeight w:val="17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单柱式交通标志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1、标志规格：△70cm </w:t>
              <w:br/>
              <w:t xml:space="preserve">2、立柱品种、规格:钢材采用A3，Ф102*5钢管立柱H=3550mm                         </w:t>
              <w:br/>
              <w:t xml:space="preserve">3、基础材料品种:C25钢筋商品砼</w:t>
              <w:br/>
              <w:t xml:space="preserve">4、土方、法兰、钢筋、预埋件、钢材及其表面热镀锌防腐处理等费用含在标杆报价中,不再单独计量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w:t>
            </w:r>
            <w:r/>
          </w:p>
        </w:tc>
      </w:tr>
      <w:tr>
        <w:trPr>
          <w:trHeight w:val="8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标志牌更换(△70cm附着式)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1.类型:附着式标志</w:t>
              <w:br/>
              <w:t xml:space="preserve">2.材质、规格尺寸:△70cm </w:t>
              <w:br/>
              <w:t xml:space="preserve">3.板面反光膜等级:3mm铝板，四类反光膜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w:t>
            </w:r>
            <w:r/>
          </w:p>
        </w:tc>
      </w:tr>
      <w:tr>
        <w:trPr>
          <w:trHeight w:val="8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警示柱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1.D120*1600mm道口警示柱镀锌钢管</w:t>
              <w:br/>
              <w:t xml:space="preserve">2.含土方、基础、安装等全部费用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r>
      <w:tr>
        <w:trPr>
          <w:trHeight w:val="8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热熔标线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1、油漆品种:耐久型热熔型反光涂料，厚度1.8mm-2.0mm，表面散玻璃珠，分布均匀，含量0.3-0.34kg/m2，包括虚实线，人行横道线、箭线等。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3600</w:t>
            </w:r>
            <w:r/>
          </w:p>
        </w:tc>
      </w:tr>
      <w:tr>
        <w:trPr>
          <w:trHeight w:val="8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清除标线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1.标线清除</w:t>
              <w:br/>
              <w:t xml:space="preserve">2.清除方式：化学剂清除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w:t>
            </w:r>
            <w:r/>
          </w:p>
        </w:tc>
      </w:tr>
      <w:tr>
        <w:trPr>
          <w:trHeight w:val="8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视线诱导器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120*50*70mm轮廓标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150</w:t>
            </w:r>
            <w:r/>
          </w:p>
        </w:tc>
      </w:tr>
      <w:tr>
        <w:trPr>
          <w:trHeight w:val="8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震荡线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热熔震荡线，5mm厚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r>
      <w:tr>
        <w:trPr>
          <w:trHeight w:val="476"/>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小计</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74"/>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绿化养护</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服务内容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工程量</w:t>
            </w:r>
            <w:r/>
          </w:p>
        </w:tc>
      </w:tr>
      <w:tr>
        <w:trPr>
          <w:trHeight w:val="233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绿化日常养护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1、路肩打草，包括两侧路肩上的杂物、垃圾、堆积物及15cm以上的草，运距等自行考虑；</w:t>
              <w:br/>
              <w:t xml:space="preserve">2、绿化定期养护，包括：乔木灌木绿篱修整、除虫、喷药等；</w:t>
              <w:br/>
              <w:t xml:space="preserve">3、冬季乔木刷白、乔木扶正增加三角支撑；</w:t>
              <w:br/>
              <w:t xml:space="preserve">4、所有养护需满足甲方管理要求，按照甲方要求提供养护资料，服务期1年</w:t>
              <w:br/>
              <w:t xml:space="preserve">5、路两边绿化养护宽度按每边暂按0.6米计算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240000</w:t>
            </w:r>
            <w:r/>
          </w:p>
        </w:tc>
      </w:tr>
      <w:tr>
        <w:trPr>
          <w:trHeight w:val="11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铺种草皮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1.草皮种类:百慕大混播黑麦草</w:t>
              <w:br/>
              <w:t xml:space="preserve">2.铺种方式:满铺(购买草皮)</w:t>
              <w:br/>
              <w:t xml:space="preserve">3.养护期:Ⅲ级养护,养护期一年</w:t>
              <w:br/>
              <w:t xml:space="preserve">4.满足甲方管理要求，按照甲方要求提供养护资料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2000</w:t>
            </w:r>
            <w:r/>
          </w:p>
        </w:tc>
      </w:tr>
      <w:tr>
        <w:trPr>
          <w:trHeight w:val="11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播种草籽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1.草皮种类:草籽（百慕大、黑麦草等）</w:t>
              <w:br/>
              <w:t xml:space="preserve">2.铺种方式:播种</w:t>
              <w:br/>
              <w:t xml:space="preserve">3.养护期:Ⅲ级养护,养护期一年</w:t>
              <w:br/>
              <w:t xml:space="preserve">4.满足甲方管理要求，按照甲方要求提供养护资料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12500</w:t>
            </w:r>
            <w:r/>
          </w:p>
        </w:tc>
      </w:tr>
      <w:tr>
        <w:trPr>
          <w:trHeight w:val="1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栽植乔木（香樟）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1.种类:香樟</w:t>
              <w:br/>
              <w:t xml:space="preserve">2.胸径或干径:D8~10cm</w:t>
              <w:br/>
              <w:t xml:space="preserve">3.起挖方式:(带土球)土球直径在50cm内</w:t>
              <w:br/>
              <w:t xml:space="preserve">4.养护期:Ⅲ级养护,养护期一年</w:t>
              <w:br/>
              <w:t xml:space="preserve">5.满足甲方管理要求，按照甲方要求提供养护资料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w:t>
            </w:r>
            <w:r/>
          </w:p>
        </w:tc>
      </w:tr>
      <w:tr>
        <w:trPr>
          <w:trHeight w:val="1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栽植乔木（栾树）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1.种类:栾树</w:t>
              <w:br/>
              <w:t xml:space="preserve">2.胸径或干径: D8~10cm</w:t>
              <w:br/>
              <w:t xml:space="preserve">3.起挖方式:(带土球)土球直径在50cm内</w:t>
              <w:br/>
              <w:t xml:space="preserve">4.养护期:Ⅲ级养护,养护期一年</w:t>
              <w:br/>
              <w:t xml:space="preserve">5.满足甲方管理要求，按照甲方要求提供养护资料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w:t>
            </w:r>
            <w:r/>
          </w:p>
        </w:tc>
      </w:tr>
      <w:tr>
        <w:trPr>
          <w:trHeight w:val="1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栽植乔木（榉树）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1.种类:榉树</w:t>
              <w:br/>
              <w:t xml:space="preserve">2.胸径或干径:D8~10cm</w:t>
              <w:br/>
              <w:t xml:space="preserve">3.起挖方式:(带土球)土球直径在50cm内</w:t>
              <w:br/>
              <w:t xml:space="preserve">4.养护期:Ⅲ级养护,养护期一年</w:t>
              <w:br/>
              <w:t xml:space="preserve">5.满足甲方管理要求，按照甲方要求提供养护资料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r>
      <w:tr>
        <w:trPr>
          <w:trHeight w:val="11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栽植乔木（梧桐）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1.种类:梧桐</w:t>
              <w:br/>
              <w:t xml:space="preserve">2.胸径或干径:D11~12cm</w:t>
              <w:br/>
              <w:t xml:space="preserve">3.起挖方式:(带土球)土球直径在50cm内</w:t>
              <w:br/>
              <w:t xml:space="preserve">4.养护期:Ⅲ级养护,养护期一年</w:t>
              <w:br/>
              <w:t xml:space="preserve">5.满足甲方管理要求，按照甲方要求提供养护资料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r>
      <w:tr>
        <w:trPr>
          <w:trHeight w:val="1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栽植乔木（紫薇）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1.种类:紫薇</w:t>
              <w:br/>
              <w:t xml:space="preserve">2.胸径或干径:D7~8cm</w:t>
              <w:br/>
              <w:t xml:space="preserve">3.起挖方式:(带土球)土球直径在50cm内</w:t>
              <w:br/>
              <w:t xml:space="preserve">4.养护期:Ⅲ级养护,养护期一年</w:t>
              <w:br/>
              <w:t xml:space="preserve">5.满足甲方管理要求，按照甲方要求提供养护资料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r>
      <w:tr>
        <w:trPr>
          <w:trHeight w:val="1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栽植乔木（朴树）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1.种类:朴树</w:t>
              <w:br/>
              <w:t xml:space="preserve">2.胸径或干径:D9~10cm</w:t>
              <w:br/>
              <w:t xml:space="preserve">3.起挖方式:(带土球)土球直径在50cm内</w:t>
              <w:br/>
              <w:t xml:space="preserve">4.养护期:Ⅲ级养护,养护期一年</w:t>
              <w:br/>
              <w:t xml:space="preserve">5.满足甲方管理要求，按照甲方要求提供养护资料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r>
      <w:tr>
        <w:trPr>
          <w:trHeight w:val="1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栽植灌木（红叶石楠球）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1.种类:红叶石楠球</w:t>
              <w:br/>
              <w:t xml:space="preserve">2.蓬径:冠径80~100cm</w:t>
              <w:br/>
              <w:t xml:space="preserve">3.起挖方式:(带土球)土球直径在40cm内</w:t>
              <w:br/>
              <w:t xml:space="preserve">4.养护期:Ⅲ级养护,养护期一年</w:t>
              <w:br/>
              <w:t xml:space="preserve">5.满足甲方管理要求，按照甲方要求提供养护资料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w:t>
            </w:r>
            <w:r/>
          </w:p>
        </w:tc>
      </w:tr>
      <w:tr>
        <w:trPr>
          <w:trHeight w:val="1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栽植灌木（海桐球）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1.种类:海桐球</w:t>
              <w:br/>
              <w:t xml:space="preserve">2.蓬径:冠径80~100cm</w:t>
              <w:br/>
              <w:t xml:space="preserve">3.起挖方式:(带土球)土球直径在40cm内</w:t>
              <w:br/>
              <w:t xml:space="preserve">4.养护期:养护期:Ⅲ级养护,养护期一年</w:t>
              <w:br/>
              <w:t xml:space="preserve">5.满足甲方管理要求，按照甲方要求提供养护资料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w:t>
            </w:r>
            <w:r/>
          </w:p>
        </w:tc>
      </w:tr>
      <w:tr>
        <w:trPr>
          <w:trHeight w:val="10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树木支撑架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1.支撑类型、材质:新栽植乔木树棍三脚桩</w:t>
              <w:br/>
              <w:t xml:space="preserve">2.支撑材料规格:综合考虑</w:t>
              <w:br/>
              <w:t xml:space="preserve">3.单株支撑材料数量:综合考虑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130</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包括服务人员费用、交通费用、车辆费用（油耗、维修、保险等相关费用）、车辆驾驶员费用、服装费用、工具费用、服务费、管理费和税金等一切费用。采购人不再支付任何费用，供应商由于考虑不周，漏报、少报而要求追加报价将不会被采购单位所接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按实结算，每季度支付一次，日常养护费用根据乙方维护的工作量和质量经过甲方按月考核后，按季度支付，次季度10日前支付上季度养护经费80%，一年养护期满，经审计结束，按结算审核价支付全部工程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2、以成交单价，按月考核、按季拨付，根据月度考核结果， 90 分（含）以上，当月管养经费按中标单价×实际工作量的80%计算； 90 分（含）以下的，当月的管养费用为实际得分/100×中标单价×实际工作量-专项处罚中的扣款。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注：(1)由于养护不文明不到位被新闻媒体曝光每次扣 5 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(2)日常考核、月度考核及专项考核相结合，按合同有关规定组织检评。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(3)其他扣分如：被投诉每次扣2 分，接到通知没在规定时间处理每次扣 2 分，人员及设备投入达不到工作要求得每次扣 5 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(4)因负责管养设施破损、道路标线模糊缺失而造成人员伤亡，每次扣 30 分；造成财产损失达到或超过 10000 元，每次扣 10 分；造成财产损失不足 10000 元，每次扣 5 分。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(5)综合得分≥80 分为 “合格”；＜80 分为“不合格”。当养护单位月度考核得分低于 80 分，将被给予警告。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(6)养护单位未及时按时间节点要求完成维护工作扣除的款项，由采购人定期发放扣款通知书，并抄报相关单位在结算时予以扣除。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3、发生以下情况的，全额扣除当期合同价款：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①出现重大安全责任事故或重大生产责任事故造成停产、人员伤害、设施损坏等。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②采购人的管理人员在日常检查中发现出存在严重的服务质量问题，将提出整改要求并出具整改通知书，供应商要针对发现的问题认真整改，提高养护质量，如果采购人提出整改要求并送交整改通知书的次数达到两次，供应商都未达到整改要求，采购人有权解除合同，供应商无条件撤离，由此导致采购人损失的，采购人有权要求赔偿，并停止支付应付未付合同款，直至损失得到赔偿后再行付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八、考核标准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（一）检查考核范围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考核范围限于养护单位日常维护小修、绿化、安防设施管护等工作范围内应该做到而又能做到的项目。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（二）检查考核方式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检查考核按每月进行，检查组由城建办（农路）和相关单位等组成。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（三）江宁街道农村公路市场化养护项目质量检查考核表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
        <w:gridCol w:w="2567"/>
        <w:gridCol w:w="382"/>
        <w:gridCol w:w="379"/>
        <w:gridCol w:w="559"/>
        <w:gridCol w:w="141"/>
        <w:gridCol w:w="350"/>
        <w:gridCol w:w="785"/>
        <w:gridCol w:w="3792"/>
      </w:tblGrid>
      <w:tr>
        <w:trPr>
          <w:trHeight w:val="2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6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考核内容</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数量统计</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评分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92" w:type="dxa"/>
            <w:vAlign w:val="center"/>
            <w:vMerge w:val="restart"/>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备注</w:t>
            </w:r>
            <w:r/>
          </w:p>
        </w:tc>
      </w:tr>
      <w:tr>
        <w:trPr>
          <w:trHeight w:val="28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合计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扣分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加分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实际得分</w:t>
            </w:r>
            <w:r/>
          </w:p>
        </w:tc>
        <w:tc>
          <w:tcPr>
            <w:vMerge w:val="continue"/>
            <w:textDirection w:val="lrTb"/>
            <w:noWrap w:val="false"/>
          </w:tcPr>
          <w:p>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8"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下面扣分为检查组在现场检查中发现问题，但养护单位在巡查记录中未记录问题和制定合理维修计划</w:t>
            </w:r>
            <w:r>
              <w:rPr>
                <w:rFonts w:ascii="SimSun" w:hAnsi="SimSun" w:eastAsia="SimSun" w:cs="SimSun"/>
                <w:color w:val="000000"/>
                <w:sz w:val="21"/>
              </w:rPr>
              <w:t xml:space="preserve">。</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路面（30分）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沥青路面坑槽、拥包、沉陷（积水）（10分）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9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发现1处扣1分</w:t>
            </w:r>
            <w:r/>
          </w:p>
        </w:tc>
      </w:tr>
      <w:tr>
        <w:trPr>
          <w:trHeight w:val="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沥青路面松散、龟裂、脱皮、啃边、严重范油（10分）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发现1处扣0.5分</w:t>
            </w:r>
            <w:r/>
          </w:p>
        </w:tc>
      </w:tr>
      <w:tr>
        <w:trPr>
          <w:trHeight w:val="57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混凝土路面断板、破碎板、坑洞、拱起（10分）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发现1处扣1分</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桥涵（20分）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桥头、涵顶跳车（4分）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每处扣1分</w:t>
            </w:r>
            <w:r/>
          </w:p>
        </w:tc>
      </w:tr>
      <w:tr>
        <w:trPr>
          <w:trHeight w:val="46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桥面铺装破损（4分）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每处扣0.5分</w:t>
            </w:r>
            <w:r/>
          </w:p>
        </w:tc>
      </w:tr>
      <w:tr>
        <w:trPr>
          <w:trHeight w:val="3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桥面、涵内、隧道积水（4分）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每处扣0.5分</w:t>
            </w:r>
            <w:r/>
          </w:p>
        </w:tc>
      </w:tr>
      <w:tr>
        <w:trPr>
          <w:trHeight w:val="46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7"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伸缩缝、泄水孔有杂物（4分）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每道扣0.5分</w:t>
            </w:r>
            <w:r/>
          </w:p>
        </w:tc>
      </w:tr>
      <w:tr>
        <w:trPr>
          <w:trHeight w:val="3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7"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构部件损坏，含桥栏杆、涵盖板等（4分）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每处扣1分</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路基（15分）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7"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排水设施淤塞（3分）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边沟、截、排水沟有淤积(含底部有杂物高草)影响排水以及应有排水沟未设置或缺损者1处扣1分</w:t>
            </w:r>
            <w:r/>
          </w:p>
        </w:tc>
      </w:tr>
      <w:tr>
        <w:trPr>
          <w:trHeight w:val="7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7"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路肩不整齐（3分）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路肩与路面衔接不平顺，不利于排水、有缺口有高草等，发现1处扣1分</w:t>
            </w:r>
            <w:r/>
          </w:p>
        </w:tc>
      </w:tr>
      <w:tr>
        <w:trPr>
          <w:trHeight w:val="57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7"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边坡坍塌（3分）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挖方边坡3m3以下坍方未清理，填方边坡有冲沟，缺口者每处扣1分</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交安设施（10分）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7"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隔离栅、栏杆、防撞柱修复（5分）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每处扣0.5分</w:t>
            </w:r>
            <w:r/>
          </w:p>
        </w:tc>
      </w:tr>
      <w:tr>
        <w:trPr>
          <w:trHeight w:val="57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7"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标线、警示柱、护栏、标志标牌等交通安全设施完善情况（5分）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每处扣0.5分</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绿化（15分）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7"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路肩高草（5分）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现场检查有高草等情况，每处直接扣1分</w:t>
            </w:r>
            <w:r/>
          </w:p>
        </w:tc>
      </w:tr>
      <w:tr>
        <w:trPr>
          <w:trHeight w:val="4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7"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病虫害防治不及时（5分）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每处扣1分</w:t>
            </w:r>
            <w:r/>
          </w:p>
        </w:tc>
      </w:tr>
      <w:tr>
        <w:trPr>
          <w:trHeight w:val="42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7"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生防边坡管护不善（5分）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每处扣1分</w:t>
            </w:r>
            <w:r/>
          </w:p>
        </w:tc>
      </w:tr>
      <w:tr>
        <w:trPr>
          <w:trHeight w:val="5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内页管理（10分）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7"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公路巡查制度或记录:未巡查或资料不齐者（5分）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未巡查或资料不齐者扣0.5~1分</w:t>
            </w:r>
            <w:r/>
          </w:p>
        </w:tc>
      </w:tr>
      <w:tr>
        <w:trPr>
          <w:trHeight w:val="57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7"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计划安排不当、成果报表、预(决)算不及时（5分）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扣0.5~1分</w:t>
            </w:r>
            <w:r/>
          </w:p>
        </w:tc>
      </w:tr>
      <w:tr>
        <w:trPr>
          <w:trHeight w:val="28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总体印象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288"/>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8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7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5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4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5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8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79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考核得分：负责人：</w:t>
      </w:r>
      <w:r/>
    </w:p>
    <w:p>
      <w:pPr>
        <w:ind w:left="0" w:right="0" w:firstLine="420"/>
        <w:jc w:val="both"/>
        <w:spacing w:before="0" w:after="0" w:line="85" w:lineRule="atLeast"/>
        <w:tabs>
          <w:tab w:val="left" w:pos="700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tabs>
          <w:tab w:val="left" w:pos="700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tabs>
          <w:tab w:val="left" w:pos="700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本章不允许偏离，偏离为无效投标。</w:t>
      </w:r>
      <w:r/>
    </w:p>
    <w:p>
      <w:pPr>
        <w:ind w:left="0" w:right="0" w:firstLine="0"/>
        <w:jc w:val="center"/>
        <w:spacing w:before="0" w:after="0"/>
        <w:tabs>
          <w:tab w:val="left" w:pos="3852"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tabs>
          <w:tab w:val="left" w:pos="3852"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第五章</w:t>
        <w:tab/>
        <w:t xml:space="preserve">合同草案条款及格式</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甲方：（买方）_________</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乙方：（卖方）_________</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1"/>
        </w:rPr>
        <w:t xml:space="preserve">甲、乙双方根据 </w:t>
      </w:r>
      <w:r>
        <w:rPr>
          <w:rFonts w:ascii="SimSun" w:hAnsi="SimSun" w:eastAsia="SimSun" w:cs="SimSun"/>
          <w:color w:val="000000"/>
          <w:sz w:val="21"/>
          <w:u w:val="single"/>
        </w:rPr>
        <w:t xml:space="preserve">         </w:t>
      </w:r>
      <w:r>
        <w:rPr>
          <w:rFonts w:ascii="SimSun" w:hAnsi="SimSun" w:eastAsia="SimSun" w:cs="SimSun"/>
          <w:color w:val="000000"/>
          <w:sz w:val="21"/>
        </w:rPr>
        <w:t xml:space="preserve">项目磋商的结果，签署本合同。</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一、合同内容</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标的名称：</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标的质量：</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标的数量（规模）：</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履行时间（期限）：</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履行地点：</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履行方式：</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二、合同金额</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本合同金额为（大写）：____________________________________圆（_______________元）人民币。</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三、技术资料</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乙方应按招标文件规定的时间向甲方提供服务（包含与服务相关的货物）的有关技术资料。</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四、知识产权</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五、产权担保</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乙方保证所交付的服务（包含与服务相关的货物）的所有权完全属于乙方且无任何抵押、查封等产权瑕疵。</w:t>
      </w:r>
      <w:r/>
    </w:p>
    <w:p>
      <w:pPr>
        <w:ind w:left="410" w:right="0" w:hanging="41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六、履约保证金</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本项目无需履约保证金。</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七、合同转包或分包</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乙方不得将合同标的转包给他人履行。</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乙方不得将合同标的分包给他人履行。</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乙方如有转包或未经甲方同意的分包行为，甲方有权解除合同。</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八、合同款项支付</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合同款项的支付方式及进度安排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8.2</w:t>
      </w:r>
      <w:r>
        <w:rPr>
          <w:rFonts w:ascii="SimSun" w:hAnsi="SimSun" w:eastAsia="SimSun" w:cs="SimSun"/>
          <w:color w:val="000000"/>
          <w:sz w:val="21"/>
        </w:rPr>
        <w:t xml:space="preserve">项目按实结算，每季度支付一次，日常养护费用根据乙方维护的工作量和质量经过甲方按月考核后，按季度支付，次季度10日前支付上季度养护经费80%，一年养护期满，经审计结束，按结算审核价支付全部工程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8.3</w:t>
      </w:r>
      <w:r>
        <w:rPr>
          <w:rFonts w:ascii="SimSun" w:hAnsi="SimSun" w:eastAsia="SimSun" w:cs="SimSun"/>
          <w:color w:val="000000"/>
          <w:sz w:val="21"/>
        </w:rPr>
        <w:t xml:space="preserve">以成交单价，按月考核、按季拨付，根据月度考核结果， 90 分（含）以上，当月管养经费按中标单价×实际工作量的80%计算； 90 分（含）以下的，当月的管养费用为实际得分/100×中标单价×实际工作量-专项处罚中的扣款。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注：(1)由于养护不文明不到位被新闻媒体曝光每次扣 5 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(2)日常考核、月度考核及专项考核相结合，按合同有关规定组织检评。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(3)其他扣分如：被投诉每次扣2 分，接到通知没在规定时间处理每次扣 2 分，人员及设备投入达不到工作要求得每次扣 5 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(4)因负责管养设施破损、道路标线模糊缺失而造成人员伤亡，每次扣 30 分；造成财产损失达到或超过 10000 元，每次扣 10 分；造成财产损失不足 10000 元，每次扣 5 分。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(5)综合得分≥80 分为 “合格”；＜80 分为“不合格”。当养护单位月度考核得分低于 80 分，将被给予警告。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(6)养护单位未及时按时间节点要求完成维护工作扣除的款项，由采购人定期发放扣款通知书，并抄报相关单位在结算时予以扣除。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8.4发生以下情况的，全额扣除当期合同价款：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①出现重大安全责任事故或重大生产责任事故造成停产、人员伤害、设施损坏等。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采购人的管理人员在日常检查中发现出存在严重的服务质量问题，将提出整改要求并出具整改通知书，供应商要针对发现的问题认真整改，提高养护质量，如果采购人提出整改要求并送交整改通知书的次数达到两次，供应商都未达到整改要求，采购人有权解除合同，供应商无条件撤离，由此导致采购人损失的，采购人有权要求赔偿，并停止支付应付未付合同款，直至损失得到赔偿后再行付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结算方式：按实结算。项目结算送审价不得高于合同价的1.1倍，项目审计核减率在15%以内（含15%），审计费全额由甲方承担，项目审计核减率超过15%，审计费全额由乙方承担，若审计核减率超过20%，另处罚乙方超过20％以上部分核减额的5%虚报结算处罚金，乙方承担的审计费和处罚金在工程项目审定单上直接列项扣除，如遇审计所或上级审计机构对项目进行复审，施工单位需配合复审。 </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九、税费</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本合同执行中相关的一切税费均由乙方负担。</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十、项目验收</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甲方依法组织履约验收工作。</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对于实际使用人和甲方分离的项目，甲方邀请实际使用人参与验收。</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如有必要，甲方邀请参加本项目的其他供应商或第三方专业机构及专家参与验收，相关意见将作为验收书的参考资料。</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十一、违约责任</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甲方无正当理由拒绝接受乙方提供服务的，甲方向乙方偿付拒绝接受服务合同价款总值</w:t>
      </w:r>
      <w:r>
        <w:rPr>
          <w:rFonts w:ascii="SimSun" w:hAnsi="SimSun" w:eastAsia="SimSun" w:cs="SimSun"/>
          <w:color w:val="000000"/>
          <w:sz w:val="21"/>
          <w:u w:val="single"/>
        </w:rPr>
        <w:t xml:space="preserve">1%</w:t>
      </w:r>
      <w:r>
        <w:rPr>
          <w:rFonts w:ascii="SimSun" w:hAnsi="SimSun" w:eastAsia="SimSun" w:cs="SimSun"/>
          <w:color w:val="000000"/>
          <w:sz w:val="21"/>
        </w:rPr>
        <w:t xml:space="preserve">的违约金。</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甲方无故逾期验收和办理合同款项支付手续的,甲方应按逾期付款总额</w:t>
      </w:r>
      <w:r>
        <w:rPr>
          <w:rFonts w:ascii="SimSun" w:hAnsi="SimSun" w:eastAsia="SimSun" w:cs="SimSun"/>
          <w:color w:val="000000"/>
          <w:sz w:val="21"/>
          <w:u w:val="single"/>
        </w:rPr>
        <w:t xml:space="preserve">1‰</w:t>
      </w:r>
      <w:r>
        <w:rPr>
          <w:rFonts w:ascii="SimSun" w:hAnsi="SimSun" w:eastAsia="SimSun" w:cs="SimSun"/>
          <w:color w:val="000000"/>
          <w:sz w:val="21"/>
        </w:rPr>
        <w:t xml:space="preserve">每日向乙方支付违约金。</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乙方逾期提供服务的，乙方应按逾期提供服务合同总额每日</w:t>
      </w:r>
      <w:r>
        <w:rPr>
          <w:rFonts w:ascii="SimSun" w:hAnsi="SimSun" w:eastAsia="SimSun" w:cs="SimSun"/>
          <w:color w:val="000000"/>
          <w:sz w:val="21"/>
          <w:u w:val="single"/>
        </w:rPr>
        <w:t xml:space="preserve">10‰</w:t>
      </w:r>
      <w:r>
        <w:rPr>
          <w:rFonts w:ascii="SimSun" w:hAnsi="SimSun" w:eastAsia="SimSun" w:cs="SimSun"/>
          <w:color w:val="000000"/>
          <w:sz w:val="21"/>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SimSun" w:hAnsi="SimSun" w:eastAsia="SimSun" w:cs="SimSun"/>
          <w:color w:val="000000"/>
          <w:sz w:val="21"/>
          <w:u w:val="single"/>
        </w:rPr>
        <w:t xml:space="preserve">10%</w:t>
      </w:r>
      <w:r>
        <w:rPr>
          <w:rFonts w:ascii="SimSun" w:hAnsi="SimSun" w:eastAsia="SimSun" w:cs="SimSun"/>
          <w:color w:val="000000"/>
          <w:sz w:val="21"/>
        </w:rPr>
        <w:t xml:space="preserve">的违约金，如造成甲方损失超过违约金的，超出部分由乙方继续承担赔偿责任。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 乙方所提供服务的标准不符合合同规定及招标文件规定标准的，甲方有权拒绝接受服务，并可单方面解除合同。</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十二、不可抗力事件处理</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在合同有效期内，任何一方因不可抗力事件导致不能履行合同，则合同履行期可延长，其延长期与不可抗力影响期相同。</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不可抗力事件发生后，应立即通知对方，并寄送有关第三方机构出具的证明。</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不可抗力事件延续120天以上，双方应通过友好协商，确定是否继续履行合同。</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十三、解决争议的方法</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双方在签订、履行合同中所发生的一切争议，应通过友好协商解决。如协商不成，由甲方住所地人民法院管辖。</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十四、合同生效及其它</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合同经双方法定代表人或授权委托代表人签字并加盖单位公章后生效。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本合同未尽事宜，遵照《中华人民共和国民法典》《中华人民共和国政府采购法》有关条文执行。</w:t>
      </w:r>
      <w:r/>
    </w:p>
    <w:p>
      <w:pPr>
        <w:ind w:left="480" w:right="0" w:hanging="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本合同正本一式两份，具有同等法律效力，甲方、乙方各执一份。</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4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甲方：乙方：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地址：地址：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法定代表人或授权代表：法定代表人或授权代表：</w:t>
      </w:r>
      <w:r/>
    </w:p>
    <w:p>
      <w:pPr>
        <w:ind w:left="0" w:right="0" w:firstLine="24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联系电话：联系电话：</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签订日期：年月日</w:t>
      </w:r>
      <w:r/>
    </w:p>
    <w:p>
      <w:pPr>
        <w:ind w:left="0" w:right="0" w:firstLine="480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《*******合同》补充协议（合同附件）</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如遇磋商文件及合同未约定事项，双方可友好协商签订补充协议。</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SimSun" w:hAnsi="SimSun" w:eastAsia="SimSun" w:cs="SimSun"/>
          <w:color w:val="000000"/>
          <w:sz w:val="22"/>
        </w:rPr>
        <w:t xml:space="preserve">江宁街道农村公路市场化养护项目质量检查考核表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（一）检查考核范围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考核范围限于养护单位日常维护小修、绿化、安防设施管护等工作范围内应该做到而又能做到的项目。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（二）检查考核方式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检查考核按每月进行，检查组由城建办（农路）和相关单位等组成。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（三）江宁街道农村公路市场化养护项目质量检查考核表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
        <w:gridCol w:w="2567"/>
        <w:gridCol w:w="382"/>
        <w:gridCol w:w="379"/>
        <w:gridCol w:w="559"/>
        <w:gridCol w:w="141"/>
        <w:gridCol w:w="350"/>
        <w:gridCol w:w="785"/>
        <w:gridCol w:w="3792"/>
      </w:tblGrid>
      <w:tr>
        <w:trPr>
          <w:trHeight w:val="2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6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考核内容</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数量统计</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评分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92" w:type="dxa"/>
            <w:vAlign w:val="center"/>
            <w:vMerge w:val="restart"/>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备注</w:t>
            </w:r>
            <w:r/>
          </w:p>
        </w:tc>
      </w:tr>
      <w:tr>
        <w:trPr>
          <w:trHeight w:val="28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合计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扣分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加分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实际得分</w:t>
            </w:r>
            <w:r/>
          </w:p>
        </w:tc>
        <w:tc>
          <w:tcPr>
            <w:vMerge w:val="continue"/>
            <w:textDirection w:val="lrTb"/>
            <w:noWrap w:val="false"/>
          </w:tcPr>
          <w:p>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8"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下面扣分为检查组在现场检查中发现问题，但养护单位在巡查记录中未记录问题和制定合理维修计划</w:t>
            </w:r>
            <w:r>
              <w:rPr>
                <w:rFonts w:ascii="SimSun" w:hAnsi="SimSun" w:eastAsia="SimSun" w:cs="SimSun"/>
                <w:color w:val="000000"/>
                <w:sz w:val="21"/>
              </w:rPr>
              <w:t xml:space="preserve">。</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路面（30分）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沥青路面坑槽、拥包、沉陷（积水）（10分）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9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发现1处扣1分</w:t>
            </w:r>
            <w:r/>
          </w:p>
        </w:tc>
      </w:tr>
      <w:tr>
        <w:trPr>
          <w:trHeight w:val="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沥青路面松散、龟裂、脱皮、啃边、严重范油（10分）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发现1处扣0.5分</w:t>
            </w:r>
            <w:r/>
          </w:p>
        </w:tc>
      </w:tr>
      <w:tr>
        <w:trPr>
          <w:trHeight w:val="57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混凝土路面断板、破碎板、坑洞、拱起（10分）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发现1处扣1分</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桥涵（20分）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桥头、涵顶跳车（4分）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每处扣1分</w:t>
            </w:r>
            <w:r/>
          </w:p>
        </w:tc>
      </w:tr>
      <w:tr>
        <w:trPr>
          <w:trHeight w:val="46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桥面铺装破损（4分）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每处扣0.5分</w:t>
            </w:r>
            <w:r/>
          </w:p>
        </w:tc>
      </w:tr>
      <w:tr>
        <w:trPr>
          <w:trHeight w:val="3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桥面、涵内、隧道积水（4分）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每处扣0.5分</w:t>
            </w:r>
            <w:r/>
          </w:p>
        </w:tc>
      </w:tr>
      <w:tr>
        <w:trPr>
          <w:trHeight w:val="46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7"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伸缩缝、泄水孔有杂物（4分）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每道扣0.5分</w:t>
            </w:r>
            <w:r/>
          </w:p>
        </w:tc>
      </w:tr>
      <w:tr>
        <w:trPr>
          <w:trHeight w:val="3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7"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构部件损坏，含桥栏杆、涵盖板等（4分）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每处扣1分</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路基（15分）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7"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排水设施淤塞（3分）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边沟、截、排水沟有淤积(含底部有杂物高草)影响排水以及应有排水沟未设置或缺损者1处扣1分</w:t>
            </w:r>
            <w:r/>
          </w:p>
        </w:tc>
      </w:tr>
      <w:tr>
        <w:trPr>
          <w:trHeight w:val="7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7"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路肩不整齐（3分）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路肩与路面衔接不平顺，不利于排水、有缺口有高草等，发现1处扣1分</w:t>
            </w:r>
            <w:r/>
          </w:p>
        </w:tc>
      </w:tr>
      <w:tr>
        <w:trPr>
          <w:trHeight w:val="57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7"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边坡坍塌（3分）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挖方边坡3m3以下坍方未清理，填方边坡有冲沟，缺口者每处扣1分</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交安设施（10分）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7"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隔离栅、栏杆、防撞柱修复（5分）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每处扣0.5分</w:t>
            </w:r>
            <w:r/>
          </w:p>
        </w:tc>
      </w:tr>
      <w:tr>
        <w:trPr>
          <w:trHeight w:val="57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7"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标线、警示柱、护栏、标志标牌等交通安全设施完善情况（5分）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每处扣0.5分</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绿化（15分）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7"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路肩高草（5分）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现场检查有高草等情况，每处直接扣1分</w:t>
            </w:r>
            <w:r/>
          </w:p>
        </w:tc>
      </w:tr>
      <w:tr>
        <w:trPr>
          <w:trHeight w:val="4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7"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病虫害防治不及时（5分）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每处扣1分</w:t>
            </w:r>
            <w:r/>
          </w:p>
        </w:tc>
      </w:tr>
      <w:tr>
        <w:trPr>
          <w:trHeight w:val="42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7"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生防边坡管护不善（5分）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每处扣1分</w:t>
            </w:r>
            <w:r/>
          </w:p>
        </w:tc>
      </w:tr>
      <w:tr>
        <w:trPr>
          <w:trHeight w:val="5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内页管理（10分）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7"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公路巡查制度或记录:未巡查或资料不齐者（5分）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未巡查或资料不齐者扣0.5~1分</w:t>
            </w:r>
            <w:r/>
          </w:p>
        </w:tc>
      </w:tr>
      <w:tr>
        <w:trPr>
          <w:trHeight w:val="57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7"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计划安排不当、成果报表、预(决)算不及时（5分）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扣0.5~1分</w:t>
            </w:r>
            <w:r/>
          </w:p>
        </w:tc>
      </w:tr>
      <w:tr>
        <w:trPr>
          <w:trHeight w:val="28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总体印象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288"/>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5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8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7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5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4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5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8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79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考核得分：负责人：</w:t>
      </w:r>
      <w:r/>
    </w:p>
    <w:p>
      <w:pPr>
        <w:ind w:left="0" w:right="0" w:firstLine="420"/>
        <w:jc w:val="both"/>
        <w:spacing w:before="0" w:after="0" w:line="85" w:lineRule="atLeast"/>
        <w:tabs>
          <w:tab w:val="left" w:pos="700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tabs>
          <w:tab w:val="left" w:pos="700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12" w:after="0"/>
        <w:pBdr>
          <w:top w:val="none" w:color="000000" w:sz="4" w:space="0"/>
          <w:left w:val="none" w:color="000000" w:sz="4" w:space="0"/>
          <w:bottom w:val="none" w:color="000000" w:sz="4" w:space="0"/>
          <w:right w:val="none" w:color="000000" w:sz="4" w:space="0"/>
        </w:pBdr>
      </w:pPr>
      <w:r>
        <w:br w:type="page" w:clear="all"/>
      </w:r>
      <w:r/>
    </w:p>
    <w:p>
      <w:pPr>
        <w:ind w:left="0" w:right="177" w:firstLine="0"/>
        <w:jc w:val="center"/>
        <w:spacing w:before="0" w:after="0"/>
        <w:tabs>
          <w:tab w:val="left" w:pos="1279"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第六章</w:t>
        <w:tab/>
        <w:t xml:space="preserve">响应文件格式</w:t>
      </w:r>
      <w:r/>
    </w:p>
    <w:p>
      <w:pPr>
        <w:ind w:left="0" w:right="0" w:firstLine="0"/>
        <w:spacing w:before="1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spacing w:before="1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720"/>
        <w:spacing w:before="0" w:after="0" w:line="16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正本（副本）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8"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江宁街道农村公路市场化养护项目</w:t>
      </w:r>
      <w:r/>
    </w:p>
    <w:p>
      <w:pPr>
        <w:ind w:left="0" w:right="1"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72"/>
        </w:rPr>
        <w:t xml:space="preserve">响应文件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72"/>
        </w:rPr>
        <w:t xml:space="preserve"> </w:t>
      </w:r>
      <w:r/>
    </w:p>
    <w:p>
      <w:pPr>
        <w:ind w:left="0" w:right="0" w:firstLine="0"/>
        <w:spacing w:before="1"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98"/>
        </w:rPr>
        <w:t xml:space="preserve"> </w:t>
      </w:r>
      <w:r/>
    </w:p>
    <w:p>
      <w:pPr>
        <w:ind w:left="1397" w:right="1025" w:firstLine="0"/>
        <w:spacing w:before="0" w:after="0" w:line="84" w:lineRule="atLeast"/>
        <w:tabs>
          <w:tab w:val="left" w:pos="6358" w:leader="none"/>
          <w:tab w:val="left" w:pos="6437"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项目编号：</w:t>
      </w:r>
      <w:r>
        <w:rPr>
          <w:rFonts w:ascii="Times New Roman" w:hAnsi="Times New Roman" w:eastAsia="Times New Roman" w:cs="Times New Roman"/>
          <w:color w:val="000000"/>
          <w:sz w:val="32"/>
        </w:rPr>
        <w:t xml:space="preserve"> </w:t>
        <w:tab/>
        <w:tab/>
        <w:t xml:space="preserve">                    </w:t>
      </w:r>
      <w:r>
        <w:rPr>
          <w:rFonts w:ascii="SimHei" w:hAnsi="SimHei" w:eastAsia="SimHei" w:cs="SimHei"/>
          <w:color w:val="000000"/>
          <w:sz w:val="32"/>
        </w:rPr>
        <w:t xml:space="preserve">供 应 商：</w:t>
      </w:r>
      <w:r>
        <w:rPr>
          <w:rFonts w:ascii="Times New Roman" w:hAnsi="Times New Roman" w:eastAsia="Times New Roman" w:cs="Times New Roman"/>
          <w:color w:val="000000"/>
          <w:sz w:val="32"/>
        </w:rPr>
        <w:tab/>
      </w:r>
      <w:r>
        <w:rPr>
          <w:rFonts w:ascii="SimHei" w:hAnsi="SimHei" w:eastAsia="SimHei" w:cs="SimHei"/>
          <w:color w:val="000000"/>
          <w:sz w:val="32"/>
        </w:rPr>
        <w:t xml:space="preserve">（电子公章） 联 系</w:t>
      </w:r>
      <w:r>
        <w:rPr>
          <w:rFonts w:ascii="SimHei" w:hAnsi="SimHei" w:eastAsia="SimHei" w:cs="SimHei"/>
          <w:color w:val="000000"/>
          <w:spacing w:val="-1"/>
          <w:sz w:val="32"/>
        </w:rPr>
        <w:t xml:space="preserve"> </w:t>
      </w:r>
      <w:r>
        <w:rPr>
          <w:rFonts w:ascii="SimHei" w:hAnsi="SimHei" w:eastAsia="SimHei" w:cs="SimHei"/>
          <w:color w:val="000000"/>
          <w:sz w:val="32"/>
        </w:rPr>
        <w:t xml:space="preserve">人：</w:t>
      </w:r>
      <w:r>
        <w:rPr>
          <w:rFonts w:ascii="Times New Roman" w:hAnsi="Times New Roman" w:eastAsia="Times New Roman" w:cs="Times New Roman"/>
          <w:color w:val="000000"/>
          <w:sz w:val="32"/>
        </w:rPr>
        <w:t xml:space="preserve"> </w:t>
        <w:tab/>
        <w:tab/>
        <w:t xml:space="preserve">    </w:t>
      </w:r>
      <w:r>
        <w:rPr>
          <w:rFonts w:ascii="SimHei" w:hAnsi="SimHei" w:eastAsia="SimHei" w:cs="SimHei"/>
          <w:color w:val="000000"/>
          <w:sz w:val="32"/>
        </w:rPr>
        <w:t xml:space="preserve">联系方式：</w:t>
      </w:r>
      <w:r>
        <w:rPr>
          <w:rFonts w:ascii="Times New Roman" w:hAnsi="Times New Roman" w:eastAsia="Times New Roman" w:cs="Times New Roman"/>
          <w:color w:val="000000"/>
          <w:sz w:val="32"/>
        </w:rPr>
        <w:t xml:space="preserve"> </w:t>
        <w:tab/>
        <w:tab/>
        <w:t xml:space="preserve">    </w:t>
      </w:r>
      <w:r>
        <w:rPr>
          <w:rFonts w:ascii="SimHei" w:hAnsi="SimHei" w:eastAsia="SimHei" w:cs="SimHei"/>
          <w:color w:val="000000"/>
          <w:sz w:val="32"/>
        </w:rPr>
        <w:t xml:space="preserve">单位地址：</w:t>
      </w:r>
      <w:r>
        <w:rPr>
          <w:rFonts w:ascii="Times New Roman" w:hAnsi="Times New Roman" w:eastAsia="Times New Roman" w:cs="Times New Roman"/>
          <w:color w:val="000000"/>
          <w:sz w:val="32"/>
        </w:rPr>
        <w:t xml:space="preserve"> </w:t>
        <w:tab/>
        <w:tab/>
      </w:r>
      <w:r/>
    </w:p>
    <w:p>
      <w:pPr>
        <w:ind w:left="47" w:right="0" w:firstLine="0"/>
        <w:jc w:val="center"/>
        <w:spacing w:before="46" w:after="0"/>
        <w:tabs>
          <w:tab w:val="left" w:pos="847" w:leader="none"/>
          <w:tab w:val="left" w:pos="1648" w:leader="none"/>
          <w:tab w:val="left" w:pos="2448"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tab/>
      </w:r>
      <w:r>
        <w:rPr>
          <w:rFonts w:ascii="SimHei" w:hAnsi="SimHei" w:eastAsia="SimHei" w:cs="SimHei"/>
          <w:color w:val="000000"/>
          <w:spacing w:val="2"/>
          <w:sz w:val="32"/>
        </w:rPr>
        <w:t xml:space="preserve">年</w:t>
      </w:r>
      <w:r>
        <w:rPr>
          <w:rFonts w:ascii="Times New Roman" w:hAnsi="Times New Roman" w:eastAsia="Times New Roman" w:cs="Times New Roman"/>
          <w:color w:val="000000"/>
          <w:spacing w:val="2"/>
          <w:sz w:val="32"/>
        </w:rPr>
        <w:tab/>
      </w:r>
      <w:r>
        <w:rPr>
          <w:rFonts w:ascii="SimHei" w:hAnsi="SimHei" w:eastAsia="SimHei" w:cs="SimHei"/>
          <w:color w:val="000000"/>
          <w:spacing w:val="-1"/>
          <w:sz w:val="32"/>
        </w:rPr>
        <w:t xml:space="preserve">月</w:t>
      </w:r>
      <w:r>
        <w:rPr>
          <w:rFonts w:ascii="Times New Roman" w:hAnsi="Times New Roman" w:eastAsia="Times New Roman" w:cs="Times New Roman"/>
          <w:color w:val="000000"/>
          <w:spacing w:val="-1"/>
          <w:sz w:val="32"/>
        </w:rPr>
        <w:tab/>
      </w:r>
      <w:r>
        <w:rPr>
          <w:rFonts w:ascii="SimHei" w:hAnsi="SimHei" w:eastAsia="SimHei" w:cs="SimHei"/>
          <w:color w:val="000000"/>
          <w:sz w:val="32"/>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 </w:t>
      </w:r>
      <w:r/>
    </w:p>
    <w:p>
      <w:pPr>
        <w:ind w:left="0" w:right="0" w:firstLine="0"/>
        <w:spacing w:before="5"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3"/>
        </w:rPr>
        <w:t xml:space="preserve"> </w:t>
      </w:r>
      <w:r/>
    </w:p>
    <w:p>
      <w:pPr>
        <w:ind w:left="0" w:right="0" w:firstLine="0"/>
        <w:jc w:val="center"/>
        <w:spacing w:before="0" w:after="0"/>
        <w:tabs>
          <w:tab w:val="left" w:pos="6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目</w:t>
        <w:tab/>
        <w:t xml:space="preserve">录</w:t>
      </w:r>
      <w:r/>
    </w:p>
    <w:p>
      <w:pPr>
        <w:ind w:left="0" w:right="0" w:firstLine="0"/>
        <w:spacing w:before="5"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112" w:right="233" w:firstLine="0"/>
        <w:jc w:val="center"/>
        <w:spacing w:before="26"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一、磋商申请及声明格式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格式一、竞争性磋商申请及声明格式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磋商申请及声明</w:t>
      </w:r>
      <w:r/>
    </w:p>
    <w:p>
      <w:pPr>
        <w:ind w:left="118" w:right="0" w:firstLine="0"/>
        <w:spacing w:before="18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致：南京市江宁区人民政府江宁街道办事处</w:t>
      </w:r>
      <w:r/>
    </w:p>
    <w:p>
      <w:pPr>
        <w:ind w:left="0" w:right="0" w:firstLine="0"/>
        <w:spacing w:before="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118" w:right="237" w:firstLine="480"/>
        <w:spacing w:before="0" w:after="0" w:line="84" w:lineRule="atLeast"/>
        <w:tabs>
          <w:tab w:val="left" w:pos="4901" w:leader="none"/>
          <w:tab w:val="left" w:pos="6958" w:leader="none"/>
          <w:tab w:val="left" w:pos="822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2"/>
        </w:rPr>
        <w:t xml:space="preserve">根据贵方</w:t>
      </w:r>
      <w:r>
        <w:rPr>
          <w:rFonts w:ascii="Times New Roman" w:hAnsi="Times New Roman" w:eastAsia="Times New Roman" w:cs="Times New Roman"/>
          <w:color w:val="000000"/>
          <w:spacing w:val="-1"/>
          <w:sz w:val="22"/>
          <w:u w:val="single"/>
        </w:rPr>
        <w:tab/>
      </w:r>
      <w:r>
        <w:rPr>
          <w:rFonts w:ascii="SimSun" w:hAnsi="SimSun" w:eastAsia="SimSun" w:cs="SimSun"/>
          <w:color w:val="000000"/>
          <w:spacing w:val="-3"/>
          <w:sz w:val="22"/>
        </w:rPr>
        <w:t xml:space="preserve">（项目名称）</w:t>
      </w:r>
      <w:r>
        <w:rPr>
          <w:rFonts w:ascii="Times New Roman" w:hAnsi="Times New Roman" w:eastAsia="Times New Roman" w:cs="Times New Roman"/>
          <w:color w:val="000000"/>
          <w:spacing w:val="-3"/>
          <w:sz w:val="22"/>
          <w:u w:val="single"/>
        </w:rPr>
        <w:tab/>
        <w:tab/>
      </w:r>
      <w:r>
        <w:rPr>
          <w:rFonts w:ascii="SimSun" w:hAnsi="SimSun" w:eastAsia="SimSun" w:cs="SimSun"/>
          <w:color w:val="000000"/>
          <w:sz w:val="22"/>
        </w:rPr>
        <w:t xml:space="preserve">（项目编号</w:t>
      </w:r>
      <w:r>
        <w:rPr>
          <w:rFonts w:ascii="SimSun" w:hAnsi="SimSun" w:eastAsia="SimSun" w:cs="SimSun"/>
          <w:color w:val="000000"/>
          <w:spacing w:val="-1"/>
          <w:sz w:val="22"/>
        </w:rPr>
        <w:t xml:space="preserve">）磋商邀请，正式授权下述签字人</w:t>
      </w:r>
      <w:r>
        <w:rPr>
          <w:rFonts w:ascii="Times New Roman" w:hAnsi="Times New Roman" w:eastAsia="Times New Roman" w:cs="Times New Roman"/>
          <w:color w:val="000000"/>
          <w:spacing w:val="-1"/>
          <w:sz w:val="22"/>
          <w:u w:val="single"/>
        </w:rPr>
        <w:tab/>
        <w:tab/>
      </w:r>
      <w:r>
        <w:rPr>
          <w:rFonts w:ascii="SimSun" w:hAnsi="SimSun" w:eastAsia="SimSun" w:cs="SimSun"/>
          <w:color w:val="000000"/>
          <w:sz w:val="22"/>
        </w:rPr>
        <w:t xml:space="preserve">(姓名和职务)代表</w:t>
      </w:r>
      <w:r/>
    </w:p>
    <w:p>
      <w:pPr>
        <w:ind w:left="598" w:right="236" w:hanging="1"/>
        <w:spacing w:before="34" w:after="0" w:line="84" w:lineRule="atLeast"/>
        <w:tabs>
          <w:tab w:val="left" w:pos="3838"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rPr>
          <w:rFonts w:ascii="Times New Roman" w:hAnsi="Times New Roman" w:eastAsia="Times New Roman" w:cs="Times New Roman"/>
          <w:color w:val="000000"/>
          <w:sz w:val="22"/>
          <w:u w:val="single"/>
        </w:rPr>
        <w:tab/>
      </w:r>
      <w:r>
        <w:rPr>
          <w:rFonts w:ascii="SimSun" w:hAnsi="SimSun" w:eastAsia="SimSun" w:cs="SimSun"/>
          <w:color w:val="000000"/>
          <w:sz w:val="22"/>
        </w:rPr>
        <w:t xml:space="preserve">（供应商名称），提交响应文件并参加磋商。 据此函，签字人兹宣布同意如下：</w:t>
      </w:r>
      <w:r/>
    </w:p>
    <w:p>
      <w:pPr>
        <w:ind w:left="598" w:right="236" w:hanging="1"/>
        <w:spacing w:before="34" w:after="0" w:line="85" w:lineRule="atLeast"/>
        <w:tabs>
          <w:tab w:val="left" w:pos="383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1、我们的资格条件完全符合政府采购法和本次采购要求，我们同意并向贵方提供了与本次采购活动有关的所有证据和资料。 </w:t>
      </w:r>
      <w:r/>
    </w:p>
    <w:p>
      <w:pPr>
        <w:ind w:left="598" w:right="236" w:hanging="1"/>
        <w:spacing w:before="34" w:after="0" w:line="85" w:lineRule="atLeast"/>
        <w:tabs>
          <w:tab w:val="left" w:pos="383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2"/>
        </w:rPr>
        <w:t xml:space="preserve">2、项目名称：</w:t>
      </w:r>
      <w:r>
        <w:rPr>
          <w:rFonts w:ascii="Times New Roman" w:hAnsi="Times New Roman" w:eastAsia="Times New Roman" w:cs="Times New Roman"/>
          <w:color w:val="000000"/>
          <w:spacing w:val="-1"/>
          <w:sz w:val="22"/>
          <w:u w:val="single"/>
        </w:rPr>
        <w:tab/>
      </w:r>
      <w:r>
        <w:rPr>
          <w:rFonts w:ascii="SimSun" w:hAnsi="SimSun" w:eastAsia="SimSun" w:cs="SimSun"/>
          <w:color w:val="000000"/>
          <w:spacing w:val="-1"/>
          <w:sz w:val="22"/>
          <w:u w:val="single"/>
        </w:rPr>
        <w:t xml:space="preserve">          </w:t>
      </w:r>
      <w:r>
        <w:rPr>
          <w:rFonts w:ascii="SimSun" w:hAnsi="SimSun" w:eastAsia="SimSun" w:cs="SimSun"/>
          <w:color w:val="000000"/>
          <w:spacing w:val="-1"/>
          <w:sz w:val="22"/>
        </w:rPr>
        <w:t xml:space="preserve">  </w:t>
      </w:r>
      <w:r>
        <w:rPr>
          <w:rFonts w:ascii="SimSun" w:hAnsi="SimSun" w:eastAsia="SimSun" w:cs="SimSun"/>
          <w:color w:val="000000"/>
          <w:sz w:val="22"/>
        </w:rPr>
        <w:t xml:space="preserve">。</w:t>
      </w:r>
      <w:r/>
    </w:p>
    <w:p>
      <w:pPr>
        <w:ind w:left="598" w:right="117" w:firstLine="0"/>
        <w:spacing w:before="38" w:after="0" w:line="85" w:lineRule="atLeast"/>
        <w:tabs>
          <w:tab w:val="left" w:pos="70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2"/>
        </w:rPr>
        <w:t xml:space="preserve">3、我们的首次</w:t>
      </w:r>
      <w:r>
        <w:rPr>
          <w:rFonts w:ascii="SimSun" w:hAnsi="SimSun" w:eastAsia="SimSun" w:cs="SimSun"/>
          <w:color w:val="000000"/>
          <w:sz w:val="22"/>
        </w:rPr>
        <w:t xml:space="preserve">总价报价：</w:t>
      </w:r>
      <w:r>
        <w:rPr>
          <w:rFonts w:ascii="SimSun" w:hAnsi="SimSun" w:eastAsia="SimSun" w:cs="SimSun"/>
          <w:color w:val="000000"/>
          <w:sz w:val="22"/>
          <w:u w:val="single"/>
        </w:rPr>
        <w:t xml:space="preserve">    </w:t>
      </w:r>
      <w:r>
        <w:rPr>
          <w:rFonts w:ascii="SimSun" w:hAnsi="SimSun" w:eastAsia="SimSun" w:cs="SimSun"/>
          <w:color w:val="000000"/>
          <w:sz w:val="22"/>
        </w:rPr>
        <w:t xml:space="preserve">万元。</w:t>
      </w:r>
      <w:r/>
    </w:p>
    <w:p>
      <w:pPr>
        <w:ind w:left="598" w:right="117" w:firstLine="0"/>
        <w:spacing w:before="38" w:after="0" w:line="85" w:lineRule="atLeast"/>
        <w:tabs>
          <w:tab w:val="left" w:pos="70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4、我方项目负责人为  </w:t>
      </w:r>
      <w:r>
        <w:rPr>
          <w:rFonts w:ascii="SimSun" w:hAnsi="SimSun" w:eastAsia="SimSun" w:cs="SimSun"/>
          <w:color w:val="000000"/>
          <w:sz w:val="22"/>
          <w:u w:val="single"/>
        </w:rPr>
        <w:t xml:space="preserve">      </w:t>
      </w:r>
      <w:r>
        <w:rPr>
          <w:rFonts w:ascii="SimSun" w:hAnsi="SimSun" w:eastAsia="SimSun" w:cs="SimSun"/>
          <w:color w:val="000000"/>
          <w:sz w:val="22"/>
        </w:rPr>
        <w:t xml:space="preserve"> ，合同履行期限（服务期）为 </w:t>
      </w:r>
      <w:r>
        <w:rPr>
          <w:rFonts w:ascii="SimSun" w:hAnsi="SimSun" w:eastAsia="SimSun" w:cs="SimSun"/>
          <w:color w:val="000000"/>
          <w:sz w:val="22"/>
          <w:u w:val="single"/>
        </w:rPr>
        <w:t xml:space="preserve">      </w:t>
      </w:r>
      <w:r/>
    </w:p>
    <w:p>
      <w:pPr>
        <w:ind w:left="118" w:right="237" w:firstLine="480"/>
        <w:jc w:val="both"/>
        <w:spacing w:before="15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5、我们已详细审核全部磋商文件及其有效补充文件，我们放弃对磋商文件任何误 </w:t>
      </w:r>
      <w:r>
        <w:rPr>
          <w:rFonts w:ascii="SimSun" w:hAnsi="SimSun" w:eastAsia="SimSun" w:cs="SimSun"/>
          <w:color w:val="000000"/>
          <w:spacing w:val="-2"/>
          <w:sz w:val="22"/>
        </w:rPr>
        <w:t xml:space="preserve">解的权利，提交响应文件后，不对磋商文件本身提出质疑。否则，属于不诚信和故意扰</w:t>
      </w:r>
      <w:r>
        <w:rPr>
          <w:rFonts w:ascii="SimSun" w:hAnsi="SimSun" w:eastAsia="SimSun" w:cs="SimSun"/>
          <w:color w:val="000000"/>
          <w:spacing w:val="-99"/>
          <w:sz w:val="22"/>
        </w:rPr>
        <w:t xml:space="preserve"> </w:t>
      </w:r>
      <w:r>
        <w:rPr>
          <w:rFonts w:ascii="SimSun" w:hAnsi="SimSun" w:eastAsia="SimSun" w:cs="SimSun"/>
          <w:color w:val="000000"/>
          <w:sz w:val="22"/>
        </w:rPr>
        <w:t xml:space="preserve">乱政府采购活动行为，我们将无条件接受处罚。</w:t>
      </w:r>
      <w:r/>
    </w:p>
    <w:p>
      <w:pPr>
        <w:ind w:left="118" w:right="117" w:firstLine="480"/>
        <w:spacing w:before="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6、一旦我方成交，我方将根据磋商文件的规定，严格履行合同，保证于承诺的时 间内完成本项目规定的服务内容。</w:t>
      </w:r>
      <w:r/>
    </w:p>
    <w:p>
      <w:pPr>
        <w:ind w:left="118" w:right="117" w:firstLine="480"/>
        <w:spacing w:before="3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7、我方决不提供虚假材料谋取成交、决不采取不正当手段诋毁、排挤其他供应商、</w:t>
      </w:r>
      <w:r>
        <w:rPr>
          <w:rFonts w:ascii="SimSun" w:hAnsi="SimSun" w:eastAsia="SimSun" w:cs="SimSun"/>
          <w:color w:val="000000"/>
          <w:sz w:val="22"/>
        </w:rPr>
        <w:t xml:space="preserve"> 决不与采购人、其它供应商或者采购代理机构恶意串通、绝不向采购人、采购代理机构 工作人员和磋商小组进行商业贿赂、决不拒绝有关部门监督检查或提供虚假情况，如有 违反，无条件接受贵方及相关管理部门的处罚。</w:t>
      </w:r>
      <w:r/>
    </w:p>
    <w:p>
      <w:pPr>
        <w:ind w:left="598" w:right="117" w:firstLine="0"/>
        <w:spacing w:before="3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8、我方正式通讯方式为：</w:t>
      </w:r>
      <w:r/>
    </w:p>
    <w:p>
      <w:pPr>
        <w:ind w:left="598" w:right="4806" w:firstLine="0"/>
        <w:spacing w:before="154" w:after="0" w:line="84" w:lineRule="atLeast"/>
        <w:tabs>
          <w:tab w:val="left" w:pos="1198" w:leader="none"/>
          <w:tab w:val="left" w:pos="1318" w:leader="none"/>
          <w:tab w:val="left" w:pos="4497" w:leader="none"/>
          <w:tab w:val="left" w:pos="4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w:t>
        <w:tab/>
        <w:t xml:space="preserve">址：</w:t>
      </w:r>
      <w:r>
        <w:rPr>
          <w:rFonts w:ascii="Times New Roman" w:hAnsi="Times New Roman" w:eastAsia="Times New Roman" w:cs="Times New Roman"/>
          <w:color w:val="000000"/>
          <w:sz w:val="22"/>
        </w:rPr>
        <w:t xml:space="preserve"> </w:t>
        <w:tab/>
        <w:t xml:space="preserve"> </w:t>
      </w:r>
      <w:r>
        <w:rPr>
          <w:rFonts w:ascii="SimSun" w:hAnsi="SimSun" w:eastAsia="SimSun" w:cs="SimSun"/>
          <w:color w:val="000000"/>
          <w:sz w:val="22"/>
        </w:rPr>
        <w:t xml:space="preserve">电</w:t>
        <w:tab/>
        <w:t xml:space="preserve">话：</w:t>
      </w:r>
      <w:r>
        <w:rPr>
          <w:rFonts w:ascii="Times New Roman" w:hAnsi="Times New Roman" w:eastAsia="Times New Roman" w:cs="Times New Roman"/>
          <w:color w:val="000000"/>
          <w:sz w:val="22"/>
        </w:rPr>
        <w:t xml:space="preserve"> </w:t>
        <w:tab/>
        <w:t xml:space="preserve"> </w:t>
      </w:r>
      <w:r>
        <w:rPr>
          <w:rFonts w:ascii="SimSun" w:hAnsi="SimSun" w:eastAsia="SimSun" w:cs="SimSun"/>
          <w:color w:val="000000"/>
          <w:sz w:val="22"/>
        </w:rPr>
        <w:t xml:space="preserve">传</w:t>
        <w:tab/>
        <w:t xml:space="preserve">真：</w:t>
      </w:r>
      <w:r>
        <w:rPr>
          <w:rFonts w:ascii="Times New Roman" w:hAnsi="Times New Roman" w:eastAsia="Times New Roman" w:cs="Times New Roman"/>
          <w:color w:val="000000"/>
          <w:sz w:val="22"/>
        </w:rPr>
        <w:t xml:space="preserve"> </w:t>
        <w:tab/>
        <w:t xml:space="preserve"> </w:t>
      </w:r>
      <w:r>
        <w:rPr>
          <w:rFonts w:ascii="SimSun" w:hAnsi="SimSun" w:eastAsia="SimSun" w:cs="SimSun"/>
          <w:color w:val="000000"/>
          <w:sz w:val="22"/>
        </w:rPr>
        <w:t xml:space="preserve">9、我方正式开户银行和帐号为： </w:t>
      </w:r>
      <w:r/>
    </w:p>
    <w:p>
      <w:pPr>
        <w:ind w:left="598" w:right="4806" w:firstLine="0"/>
        <w:spacing w:before="0" w:after="0" w:line="85" w:lineRule="atLeast"/>
        <w:tabs>
          <w:tab w:val="left" w:pos="1198" w:leader="none"/>
          <w:tab w:val="left" w:pos="1318" w:leader="none"/>
          <w:tab w:val="left" w:pos="4497" w:leader="none"/>
          <w:tab w:val="left" w:pos="4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rPr>
          <w:rFonts w:ascii="Times New Roman" w:hAnsi="Times New Roman" w:eastAsia="Times New Roman" w:cs="Times New Roman"/>
          <w:color w:val="000000"/>
          <w:sz w:val="22"/>
        </w:rPr>
        <w:t xml:space="preserve"> </w:t>
        <w:tab/>
        <w:tab/>
        <w:t xml:space="preserve"> </w:t>
      </w:r>
      <w:r/>
    </w:p>
    <w:p>
      <w:pPr>
        <w:ind w:left="598" w:right="4806" w:firstLine="0"/>
        <w:spacing w:before="0" w:after="0" w:line="85" w:lineRule="atLeast"/>
        <w:tabs>
          <w:tab w:val="left" w:pos="1198" w:leader="none"/>
          <w:tab w:val="left" w:pos="1318" w:leader="none"/>
          <w:tab w:val="left" w:pos="4497" w:leader="none"/>
          <w:tab w:val="left" w:pos="46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帐</w:t>
        <w:tab/>
        <w:tab/>
        <w:t xml:space="preserve">号：</w:t>
      </w:r>
      <w:r>
        <w:rPr>
          <w:rFonts w:ascii="Times New Roman" w:hAnsi="Times New Roman" w:eastAsia="Times New Roman" w:cs="Times New Roman"/>
          <w:color w:val="000000"/>
          <w:sz w:val="22"/>
        </w:rPr>
        <w:t xml:space="preserve"> </w:t>
        <w:tab/>
        <w:tab/>
        <w:t xml:space="preserve"> </w:t>
      </w:r>
      <w:r/>
    </w:p>
    <w:p>
      <w:pPr>
        <w:ind w:left="598" w:right="4806" w:firstLine="0"/>
        <w:spacing w:before="0" w:after="0" w:line="85" w:lineRule="atLeast"/>
        <w:tabs>
          <w:tab w:val="left" w:pos="1198" w:leader="none"/>
          <w:tab w:val="left" w:pos="1318" w:leader="none"/>
          <w:tab w:val="left" w:pos="4497" w:leader="none"/>
          <w:tab w:val="left" w:pos="4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供应商授权代表姓名（签字）：</w:t>
      </w:r>
      <w:r>
        <w:rPr>
          <w:rFonts w:ascii="Times New Roman" w:hAnsi="Times New Roman" w:eastAsia="Times New Roman" w:cs="Times New Roman"/>
          <w:color w:val="000000"/>
          <w:sz w:val="22"/>
        </w:rPr>
        <w:t xml:space="preserve"> </w:t>
        <w:tab/>
        <w:t xml:space="preserve">  </w:t>
      </w:r>
      <w:r>
        <w:rPr>
          <w:rFonts w:ascii="SimSun" w:hAnsi="SimSun" w:eastAsia="SimSun" w:cs="SimSun"/>
          <w:color w:val="000000"/>
          <w:sz w:val="22"/>
        </w:rPr>
        <w:t xml:space="preserve">供应商名称（电子公章）：</w:t>
      </w:r>
      <w:r>
        <w:rPr>
          <w:rFonts w:ascii="Times New Roman" w:hAnsi="Times New Roman" w:eastAsia="Times New Roman" w:cs="Times New Roman"/>
          <w:color w:val="000000"/>
          <w:sz w:val="22"/>
        </w:rPr>
        <w:t xml:space="preserve"> </w:t>
        <w:tab/>
        <w:t xml:space="preserve">  </w:t>
      </w:r>
      <w:r>
        <w:rPr>
          <w:rFonts w:ascii="SimSun" w:hAnsi="SimSun" w:eastAsia="SimSun" w:cs="SimSun"/>
          <w:color w:val="000000"/>
          <w:sz w:val="22"/>
        </w:rPr>
        <w:t xml:space="preserve">日</w:t>
      </w:r>
      <w:r>
        <w:rPr>
          <w:rFonts w:ascii="SimSun" w:hAnsi="SimSun" w:eastAsia="SimSun" w:cs="SimSun"/>
          <w:color w:val="000000"/>
          <w:spacing w:val="119"/>
          <w:sz w:val="22"/>
        </w:rPr>
        <w:t xml:space="preserve"> </w:t>
      </w:r>
      <w:r>
        <w:rPr>
          <w:rFonts w:ascii="SimSun" w:hAnsi="SimSun" w:eastAsia="SimSun" w:cs="SimSun"/>
          <w:color w:val="000000"/>
          <w:sz w:val="22"/>
        </w:rPr>
        <w:t xml:space="preserve">期</w:t>
      </w:r>
      <w:r/>
    </w:p>
    <w:p>
      <w:pPr>
        <w:ind w:left="598" w:right="4806" w:firstLine="0"/>
        <w:spacing w:before="0" w:after="0" w:line="85" w:lineRule="atLeast"/>
        <w:tabs>
          <w:tab w:val="left" w:pos="1198" w:leader="none"/>
          <w:tab w:val="left" w:pos="1318" w:leader="none"/>
          <w:tab w:val="left" w:pos="4497" w:leader="none"/>
          <w:tab w:val="left" w:pos="4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年月</w:t>
      </w:r>
      <w:r>
        <w:rPr>
          <w:rFonts w:ascii="SimSun" w:hAnsi="SimSun" w:eastAsia="SimSun" w:cs="SimSun"/>
          <w:color w:val="000000"/>
          <w:spacing w:val="118"/>
          <w:sz w:val="22"/>
        </w:rPr>
        <w:t xml:space="preserve"> </w:t>
      </w:r>
      <w:r>
        <w:rPr>
          <w:rFonts w:ascii="SimSun" w:hAnsi="SimSun" w:eastAsia="SimSun" w:cs="SimSun"/>
          <w:color w:val="000000"/>
          <w:sz w:val="22"/>
        </w:rPr>
        <w:t xml:space="preserve">日</w:t>
      </w:r>
      <w:r/>
    </w:p>
    <w:p>
      <w:pPr>
        <w:ind w:left="598" w:right="4806" w:firstLine="0"/>
        <w:spacing w:before="0" w:after="0" w:line="85" w:lineRule="atLeast"/>
        <w:tabs>
          <w:tab w:val="left" w:pos="1198" w:leader="none"/>
          <w:tab w:val="left" w:pos="1318" w:leader="none"/>
          <w:tab w:val="left" w:pos="4497" w:leader="none"/>
          <w:tab w:val="left" w:pos="4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格式二、法定代表人授权委托书格式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法定代表人授权委托书</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致：南京市江宁区人民政府江宁街道办事处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本授权书声明：注册于 </w:t>
      </w:r>
      <w:r>
        <w:rPr>
          <w:rFonts w:ascii="SimSun" w:hAnsi="SimSun" w:eastAsia="SimSun" w:cs="SimSun"/>
          <w:color w:val="000000"/>
          <w:sz w:val="22"/>
          <w:u w:val="single"/>
        </w:rPr>
        <w:t xml:space="preserve">      </w:t>
      </w:r>
      <w:r>
        <w:rPr>
          <w:rFonts w:ascii="SimSun" w:hAnsi="SimSun" w:eastAsia="SimSun" w:cs="SimSun"/>
          <w:color w:val="000000"/>
          <w:sz w:val="22"/>
        </w:rPr>
        <w:t xml:space="preserve">响应人（住址）</w:t>
      </w:r>
      <w:r>
        <w:rPr>
          <w:rFonts w:ascii="SimSun" w:hAnsi="SimSun" w:eastAsia="SimSun" w:cs="SimSun"/>
          <w:color w:val="000000"/>
          <w:sz w:val="22"/>
          <w:u w:val="single"/>
        </w:rPr>
        <w:t xml:space="preserve">    </w:t>
      </w:r>
      <w:r>
        <w:rPr>
          <w:rFonts w:ascii="SimSun" w:hAnsi="SimSun" w:eastAsia="SimSun" w:cs="SimSun"/>
          <w:color w:val="000000"/>
          <w:sz w:val="22"/>
        </w:rPr>
        <w:t xml:space="preserve">的 </w:t>
      </w:r>
      <w:r>
        <w:rPr>
          <w:rFonts w:ascii="SimSun" w:hAnsi="SimSun" w:eastAsia="SimSun" w:cs="SimSun"/>
          <w:color w:val="000000"/>
          <w:sz w:val="22"/>
          <w:u w:val="single"/>
        </w:rPr>
        <w:t xml:space="preserve">         </w:t>
      </w:r>
      <w:r>
        <w:rPr>
          <w:rFonts w:ascii="SimSun" w:hAnsi="SimSun" w:eastAsia="SimSun" w:cs="SimSun"/>
          <w:color w:val="000000"/>
          <w:sz w:val="22"/>
        </w:rPr>
        <w:t xml:space="preserve"> （响应人名称）法定代表人</w:t>
      </w:r>
      <w:r>
        <w:rPr>
          <w:rFonts w:ascii="SimSun" w:hAnsi="SimSun" w:eastAsia="SimSun" w:cs="SimSun"/>
          <w:color w:val="000000"/>
          <w:sz w:val="22"/>
          <w:u w:val="single"/>
        </w:rPr>
        <w:t xml:space="preserve">        </w:t>
      </w:r>
      <w:r>
        <w:rPr>
          <w:rFonts w:ascii="SimSun" w:hAnsi="SimSun" w:eastAsia="SimSun" w:cs="SimSun"/>
          <w:color w:val="000000"/>
          <w:sz w:val="22"/>
        </w:rPr>
        <w:t xml:space="preserve">（法定代表人姓名、职务）代表本公司授权在下面签字的  </w:t>
      </w:r>
      <w:r>
        <w:rPr>
          <w:rFonts w:ascii="SimSun" w:hAnsi="SimSun" w:eastAsia="SimSun" w:cs="SimSun"/>
          <w:color w:val="000000"/>
          <w:sz w:val="22"/>
          <w:u w:val="single"/>
        </w:rPr>
        <w:t xml:space="preserve">     </w:t>
      </w:r>
      <w:r>
        <w:rPr>
          <w:rFonts w:ascii="SimSun" w:hAnsi="SimSun" w:eastAsia="SimSun" w:cs="SimSun"/>
          <w:color w:val="000000"/>
          <w:sz w:val="22"/>
        </w:rPr>
        <w:t xml:space="preserve"> （响应人代表姓名、职务）为本公司的合法代理人，就贵方组织的</w:t>
      </w:r>
      <w:r>
        <w:rPr>
          <w:rFonts w:ascii="SimSun" w:hAnsi="SimSun" w:eastAsia="SimSun" w:cs="SimSun"/>
          <w:b/>
          <w:color w:val="000000"/>
          <w:sz w:val="22"/>
        </w:rPr>
        <w:t xml:space="preserve"> </w:t>
      </w:r>
      <w:r>
        <w:rPr>
          <w:rFonts w:ascii="SimSun" w:hAnsi="SimSun" w:eastAsia="SimSun" w:cs="SimSun"/>
          <w:b/>
          <w:color w:val="000000"/>
          <w:sz w:val="22"/>
          <w:u w:val="single"/>
        </w:rPr>
        <w:t xml:space="preserve">                 </w:t>
      </w:r>
      <w:r>
        <w:rPr>
          <w:rFonts w:ascii="SimSun" w:hAnsi="SimSun" w:eastAsia="SimSun" w:cs="SimSun"/>
          <w:color w:val="000000"/>
          <w:sz w:val="22"/>
        </w:rPr>
        <w:t xml:space="preserve">（项目名称）， </w:t>
      </w:r>
      <w:r>
        <w:rPr>
          <w:rFonts w:ascii="SimSun" w:hAnsi="SimSun" w:eastAsia="SimSun" w:cs="SimSun"/>
          <w:color w:val="000000"/>
          <w:sz w:val="22"/>
          <w:u w:val="single"/>
        </w:rPr>
        <w:t xml:space="preserve">      </w:t>
      </w:r>
      <w:r>
        <w:rPr>
          <w:rFonts w:ascii="SimSun" w:hAnsi="SimSun" w:eastAsia="SimSun" w:cs="SimSun"/>
          <w:color w:val="000000"/>
          <w:sz w:val="22"/>
        </w:rPr>
        <w:t xml:space="preserve"> （项目编号）响应，以本公司名义处理一切与之有关的事务。</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本授权书于 </w:t>
      </w:r>
      <w:r>
        <w:rPr>
          <w:rFonts w:ascii="SimSun" w:hAnsi="SimSun" w:eastAsia="SimSun" w:cs="SimSun"/>
          <w:color w:val="000000"/>
          <w:sz w:val="22"/>
          <w:u w:val="single"/>
        </w:rPr>
        <w:t xml:space="preserve">  </w:t>
      </w:r>
      <w:r>
        <w:rPr>
          <w:rFonts w:ascii="SimSun" w:hAnsi="SimSun" w:eastAsia="SimSun" w:cs="SimSun"/>
          <w:color w:val="000000"/>
          <w:sz w:val="22"/>
        </w:rPr>
        <w:t xml:space="preserve"> 年</w:t>
      </w:r>
      <w:r>
        <w:rPr>
          <w:rFonts w:ascii="SimSun" w:hAnsi="SimSun" w:eastAsia="SimSun" w:cs="SimSun"/>
          <w:color w:val="000000"/>
          <w:sz w:val="22"/>
          <w:u w:val="single"/>
        </w:rPr>
        <w:t xml:space="preserve">  </w:t>
      </w:r>
      <w:r>
        <w:rPr>
          <w:rFonts w:ascii="SimSun" w:hAnsi="SimSun" w:eastAsia="SimSun" w:cs="SimSun"/>
          <w:color w:val="000000"/>
          <w:sz w:val="22"/>
        </w:rPr>
        <w:t xml:space="preserve">月</w:t>
      </w:r>
      <w:r>
        <w:rPr>
          <w:rFonts w:ascii="SimSun" w:hAnsi="SimSun" w:eastAsia="SimSun" w:cs="SimSun"/>
          <w:color w:val="000000"/>
          <w:sz w:val="22"/>
          <w:u w:val="single"/>
        </w:rPr>
        <w:t xml:space="preserve">  </w:t>
      </w:r>
      <w:r>
        <w:rPr>
          <w:rFonts w:ascii="SimSun" w:hAnsi="SimSun" w:eastAsia="SimSun" w:cs="SimSun"/>
          <w:color w:val="000000"/>
          <w:sz w:val="22"/>
        </w:rPr>
        <w:t xml:space="preserve">日签字生效，特此声明。</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法定代表人签字：</w:t>
      </w:r>
      <w:r/>
    </w:p>
    <w:p>
      <w:pPr>
        <w:ind w:left="0" w:right="0" w:firstLine="825"/>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授权委托人签字：                   </w:t>
      </w:r>
      <w:r/>
    </w:p>
    <w:p>
      <w:pPr>
        <w:ind w:left="0" w:right="0" w:firstLine="8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        年    月    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法定代表人、委托代理人的身份证复印件：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55"/>
      </w:tblGrid>
      <w:tr>
        <w:trPr>
          <w:trHeight w:val="264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法定代表人、委托代理人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身份证正面</w:t>
            </w:r>
            <w:r/>
          </w:p>
        </w:tc>
      </w:tr>
      <w:tr>
        <w:trPr>
          <w:trHeight w:val="245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法定代表人、委托代理人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身份证反面</w:t>
            </w:r>
            <w:r/>
          </w:p>
        </w:tc>
      </w:tr>
    </w:tbl>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格式三、响应报价表格式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响应报价表（首轮报价）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495"/>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                                           项目名称：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30"/>
        <w:gridCol w:w="1582"/>
        <w:gridCol w:w="1567"/>
        <w:gridCol w:w="593"/>
        <w:gridCol w:w="638"/>
      </w:tblGrid>
      <w:tr>
        <w:trPr>
          <w:trHeight w:val="28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序号</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1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w:t>
            </w:r>
            <w:r>
              <w:rPr>
                <w:rFonts w:ascii="SimSun" w:hAnsi="SimSun" w:eastAsia="SimSun" w:cs="SimSun"/>
                <w:color w:val="000000"/>
                <w:sz w:val="22"/>
              </w:rPr>
              <w:t xml:space="preserve">万元</w:t>
            </w:r>
            <w:r>
              <w:rPr>
                <w:rFonts w:ascii="SimSun" w:hAnsi="SimSun" w:eastAsia="SimSun" w:cs="SimSun"/>
                <w:color w:val="000000"/>
                <w:sz w:val="21"/>
              </w:rPr>
              <w:t xml:space="preserve">）</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w:t>
            </w:r>
            <w:r>
              <w:rPr>
                <w:rFonts w:ascii="SimSun" w:hAnsi="SimSun" w:eastAsia="SimSun" w:cs="SimSun"/>
                <w:b/>
                <w:color w:val="000000"/>
                <w:sz w:val="21"/>
              </w:rPr>
              <w:t xml:space="preserve">小、微型企业报价</w:t>
            </w:r>
            <w:r>
              <w:rPr>
                <w:rFonts w:ascii="SimSun" w:hAnsi="SimSun" w:eastAsia="SimSun" w:cs="SimSun"/>
                <w:color w:val="000000"/>
                <w:sz w:val="21"/>
              </w:rPr>
              <w:t xml:space="preserve">（</w:t>
            </w:r>
            <w:r>
              <w:rPr>
                <w:rFonts w:ascii="SimSun" w:hAnsi="SimSun" w:eastAsia="SimSun" w:cs="SimSun"/>
                <w:color w:val="000000"/>
                <w:sz w:val="22"/>
              </w:rPr>
              <w:t xml:space="preserve">万元</w:t>
            </w:r>
            <w:r>
              <w:rPr>
                <w:rFonts w:ascii="SimSun" w:hAnsi="SimSun" w:eastAsia="SimSun" w:cs="SimSun"/>
                <w:color w:val="000000"/>
                <w:sz w:val="21"/>
              </w:rPr>
              <w:t xml:space="preserve">）</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5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5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总价</w:t>
            </w:r>
            <w:r/>
          </w:p>
        </w:tc>
        <w:tc>
          <w:tcPr>
            <w:gridSpan w:val="4"/>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供应商是否属于小微型企业</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9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供应商名称（加盖电子公章）: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授权代表（签字）：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   </w:t>
      </w:r>
      <w:r/>
    </w:p>
    <w:p>
      <w:pPr>
        <w:ind w:left="0" w:right="0" w:firstLine="4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1、在“供应商是否属于小和微型企业”栏后“是”或“否”上打“√”，如填写“是”，供应商需提供《中小企业声明函》，如未按要求填写或相关内容表述不清的，不得享受价格扣除。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2、如果行数不够，请自行增加。</w:t>
      </w:r>
      <w:r/>
    </w:p>
    <w:p>
      <w:pPr>
        <w:ind w:left="0" w:right="0" w:firstLine="4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3、本服务仅接受一个价格，不得填报有选择性报价方案。若有优惠条款须注明，但不得影响报价。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b/>
          <w:color w:val="000000"/>
          <w:sz w:val="21"/>
        </w:rPr>
        <w:t xml:space="preserve">经磋商后，如果成交价高于或低于供应商在响应文件首次报价的，分项报价同比例调整</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w:t>
      </w:r>
      <w:r/>
    </w:p>
    <w:p>
      <w:pPr>
        <w:ind w:left="0" w:right="0" w:firstLine="495"/>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                                           项目名称：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7"/>
        <w:gridCol w:w="1842"/>
        <w:gridCol w:w="4050"/>
        <w:gridCol w:w="197"/>
        <w:gridCol w:w="591"/>
        <w:gridCol w:w="591"/>
        <w:gridCol w:w="1888"/>
      </w:tblGrid>
      <w:tr>
        <w:trPr>
          <w:trHeight w:val="451"/>
        </w:trPr>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道路养护</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服务内容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工程量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单价（元）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合价（元）</w:t>
            </w:r>
            <w:r/>
          </w:p>
        </w:tc>
      </w:tr>
      <w:tr>
        <w:trPr>
          <w:trHeight w:val="53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道路部分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r>
      <w:tr>
        <w:trPr>
          <w:trHeight w:val="11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拆除基层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1.材质:碎（砾）石</w:t>
              <w:br/>
              <w:t xml:space="preserve">2.厚度:10cm</w:t>
              <w:br/>
              <w:t xml:space="preserve">3.部位:基层</w:t>
              <w:br/>
              <w:t xml:space="preserve">4.拆除方式：人工拆除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1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拆除混凝土路面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1.材质:混凝土类（无筋）</w:t>
              <w:br/>
              <w:t xml:space="preserve">2.厚度:18cm</w:t>
              <w:br/>
              <w:t xml:space="preserve">3.拆除方式：人工手持风镐拆除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拆除沥青路面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1、拆除沥青路面并弃置，运距自行考虑</w:t>
              <w:br/>
              <w:t xml:space="preserve">2、拆除厚度8cm</w:t>
              <w:br/>
              <w:t xml:space="preserve">3、拆除方式：人工手持风镐拆除</w:t>
              <w:br/>
              <w:t xml:space="preserve">4、综合考虑沥青残值回收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8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拆除混凝土结构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1.结构形式:钢筋混凝土</w:t>
              <w:br/>
              <w:t xml:space="preserve">2.部位:桥头搭板</w:t>
              <w:br/>
              <w:t xml:space="preserve">3.拆除方式：人工手持风镐拆除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0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拆除混凝土沟盖板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1.材质:混凝土</w:t>
              <w:br/>
              <w:t xml:space="preserve">2.拆除方式：人工拆除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铣刨路面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1.材质:沥青面层</w:t>
              <w:br/>
              <w:t xml:space="preserve">2.厚度:8cm</w:t>
              <w:br/>
              <w:t xml:space="preserve">3.综合考虑沥青残值回收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2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余方弃置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1.废弃料品种:旧路材料(包含但不限与道碴、砼碎块碎渣、沥青碎块等一切旧路拆除材料)</w:t>
              <w:br/>
              <w:t xml:space="preserve">2.运距:暂按10km考虑，结算以实际为准</w:t>
              <w:br/>
              <w:t xml:space="preserve">3.消纳及弃置费:投标单位自行考虑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6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挖一般土方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1.土壤类别:一、二类土</w:t>
              <w:br/>
              <w:t xml:space="preserve">2.挖土深度:1.5m 以内</w:t>
              <w:br/>
              <w:t xml:space="preserve">3.开挖方式：机械开挖，人工配合辅助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6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挖沟槽土方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1.土壤类别:三类土</w:t>
              <w:br/>
              <w:t xml:space="preserve">2.挖土深度:2m 以内</w:t>
              <w:br/>
              <w:t xml:space="preserve">3.开挖方式：机械开挖，人工配合辅助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0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垫层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1.材料品种、规格:碎石粒径5-40mm</w:t>
              <w:br/>
              <w:t xml:space="preserve">2.厚度:10cm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0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垫层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1.材料品种、规格:中粗砂垫层</w:t>
              <w:br/>
              <w:t xml:space="preserve">2.厚度:10cm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4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浆砌块料-边沟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1.部位:边沟300*600</w:t>
              <w:br/>
              <w:t xml:space="preserve">2.材料品种、规格:块石</w:t>
              <w:br/>
              <w:t xml:space="preserve">3.砂浆强度等级:水泥M10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4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砖砌体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1.部位:挡墙</w:t>
              <w:br/>
              <w:t xml:space="preserve">2.材料品种、规格:标准砖</w:t>
              <w:br/>
              <w:t xml:space="preserve">3.砂浆强度等级:M10水泥砂浆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2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浆砌块石护坡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1.部位:护坡</w:t>
              <w:br/>
              <w:t xml:space="preserve">2.材料品种、规格:块石</w:t>
              <w:br/>
              <w:t xml:space="preserve">3.砂浆强度等级:水泥M10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4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水泥砂浆抹面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1.砂浆配合比:M10水泥砂浆</w:t>
              <w:br/>
              <w:t xml:space="preserve">2.部位:砖砌体</w:t>
              <w:br/>
              <w:t xml:space="preserve">3.厚度:20mm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2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墙面勾缝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1.勾缝类型:凹缝</w:t>
              <w:br/>
              <w:t xml:space="preserve">2.勾缝材料种类:1:2水泥砂浆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0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混凝土垫层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1.混凝土强度等级:C15非泵商品混凝土</w:t>
              <w:br/>
              <w:t xml:space="preserve">2.厚度:10cm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预制钢筋混凝土沟盖板安装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1.部位:边沟</w:t>
              <w:br/>
              <w:t xml:space="preserve">2.构件代号、名称:钢筋混凝土盖板</w:t>
              <w:br/>
              <w:t xml:space="preserve">3.混凝土强度等级:C35非泵商品混凝土</w:t>
              <w:br/>
              <w:t xml:space="preserve">4.砂浆强度等级:M10</w:t>
              <w:br/>
              <w:t xml:space="preserve">5.含盖板制安、钢筋等全部费用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碎石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1.石料规格:5-40mm</w:t>
              <w:br/>
              <w:t xml:space="preserve">2.厚度:10cm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6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水泥混凝土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1.混凝土强度等级:C30非泵商品混凝土</w:t>
              <w:br/>
              <w:t xml:space="preserve">2.厚度:18cm</w:t>
              <w:br/>
              <w:t xml:space="preserve">3.其他：水泥砼路面草袋养生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切缝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切割机切缝，深度10cm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8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沥青混凝土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1、机械摊铺细粒式沥青混凝土（AC-13）路面厚4cm</w:t>
              <w:br/>
              <w:t xml:space="preserve">2、乳化沥青粘层（0.8kg/m2）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9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沥青混凝土（热补沥青）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1、人工喷洒乳化沥青粘层（1kg/m²）</w:t>
              <w:br/>
              <w:t xml:space="preserve">2、人工清扫路基、整修侧缘石、测温、摊铺4cm厚热细粒式沥青混凝土、接茬、找平、点补、撒垫料、清理现场等所有内容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2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沥青混凝土（冷补沥青）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1、人工清扫路基、整修侧缘石、测温、人工冷补4CM厚细粒式沥青混凝土、接茬、找平、点补、撒垫料、清理现场等所有内容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2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沥青砂灌缝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1、路面裂缝填沥青砂</w:t>
              <w:br/>
              <w:t xml:space="preserve">2、人工清除缝隙垃圾杂物、开槽、烘干、灌沥青砂、清理现场等一切工作内容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4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沥青灌缝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清除缝隙垃圾杂物、开槽、烘干、灌沥青、清理现场等一切工作内容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0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混凝土桥头搭板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1.混凝土强度等级:C30非泵商品混凝土</w:t>
              <w:br/>
              <w:t xml:space="preserve">2.铺装车行道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4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现浇构件钢筋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1.钢筋种类:HRB400水泥混凝土道路钢筋网片</w:t>
              <w:br/>
              <w:t xml:space="preserve">2.钢筋规格:Φ≤25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6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铁护栏油漆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1、表面清理</w:t>
              <w:br/>
              <w:t xml:space="preserve">2、沥青漆1遍,环氧富锌漆2遍</w:t>
              <w:br/>
              <w:t xml:space="preserve">3、含去污、除锈、磨光、分层刷漆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6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砼护栏油漆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1、表面清理</w:t>
              <w:br/>
              <w:t xml:space="preserve">2、沥青漆1遍,环氧富锌漆2遍</w:t>
              <w:br/>
              <w:t xml:space="preserve">3、含去污、除锈、磨光、分层刷漆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4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桥面排水系统更换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1、安装DN110PVC泄水管道，管道长8m</w:t>
              <w:br/>
              <w:t xml:space="preserve">2、拆除原有损坏排水系统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29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道路养护及巡查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1、服务周期内保证每周不少于1次道路养护及巡查，含巡视检查、计量、记录并上报设施破损状况、设置必要的安全警示标志</w:t>
              <w:br/>
              <w:t xml:space="preserve">2、包含合同期内、养护期内所有道路巡查，并配合相关迎检及上级考核工作 ，按照甲方要求提供巡查记录</w:t>
              <w:br/>
              <w:t xml:space="preserve">3、其他要求：桥梁巡查，波形梁护栏修正（含破损波形梁护栏拆除，不涉及材料更换），限高龙门架管控及开挖备案监督恢复等均包含在综合单价中</w:t>
              <w:br/>
              <w:t xml:space="preserve">4、服务周期：1年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km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0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边沟清理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1、人工清理疏通边沟，杂物弃置等一切工作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2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大型机械设备进出场及安拆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1、投标单位自行考虑所需使用的机械设备，包括但不限于机械设备的名称、规格、型号、数量等，结算时不做调整。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临时围挡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分体式注水水马围挡</w:t>
              <w:br/>
              <w:t xml:space="preserve">1、高度1.8米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0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混凝土路面模板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1.水泥混凝土路面模板</w:t>
              <w:br/>
              <w:t xml:space="preserve">2.含模板安拆费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61"/>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小 计</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69"/>
        </w:trPr>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交通安全设施养护</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服务内容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工程量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单价（元）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合价（元）</w:t>
            </w:r>
            <w:r/>
          </w:p>
        </w:tc>
      </w:tr>
      <w:tr>
        <w:trPr>
          <w:trHeight w:val="262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波形梁护栏(Gr-A-4C)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波形梁护栏(Gr-A-4E)</w:t>
              <w:br/>
              <w:t xml:space="preserve">1、双波形梁钢护栏板（尺寸：4320×310×85×4mm）与立柱、防阻块（或托架）等组件构成，通过螺栓连接‌；</w:t>
              <w:br/>
              <w:t xml:space="preserve">2、立柱规格为Φ140mm（直径）×4.5mm（壁厚）×2150mm，间距为‌4米‌，采用‌打入式安装；</w:t>
              <w:br/>
              <w:t xml:space="preserve">3、安装轮廓标；</w:t>
              <w:br/>
              <w:t xml:space="preserve">4、包含防阻块、柱帽、螺栓、垫片等所有安装波形梁护栏(Gr-A-4E)需要的辅材。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26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波形梁护栏(Gr-A-2C)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波形梁护栏(Gr-A-2E)</w:t>
              <w:br/>
              <w:t xml:space="preserve">1、双波形梁钢护栏板（尺寸：4320×310×85×4mm）与立柱、防阻块（或托架）等组件构成，通过螺栓连接‌；</w:t>
              <w:br/>
              <w:t xml:space="preserve">2、立柱规格为Φ114/140mm（直径）×4.5mm（壁厚）×2150mm，间距为‌2米‌，采用‌打入式安装；</w:t>
              <w:br/>
              <w:t xml:space="preserve">3、安装轮廓标；</w:t>
              <w:br/>
              <w:t xml:space="preserve">4、包含防阻块、柱帽、螺栓、垫片等所有安装波形梁护栏(Gr-A-2E)需要的辅材。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波形梁端头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端头（R160mm，t=3-4mm，镀锌）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8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波形梁立柱更换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1、拆除原破损立柱</w:t>
              <w:br/>
              <w:t xml:space="preserve">2、D114*1600*3mm镀锌立柱更换</w:t>
              <w:br/>
              <w:t xml:space="preserve">3、综合考虑旧件残值回收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1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波形梁护栏更换（85*310*3*2320mm）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1、85*310*3*2320mm镀锌波形梁护栏更换</w:t>
              <w:br/>
              <w:t xml:space="preserve">2、综合考虑旧件残值回收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7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单柱式交通标志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1、标志规格：△70cm </w:t>
              <w:br/>
              <w:t xml:space="preserve">2、立柱品种、规格:钢材采用A3，Ф102*5钢管立柱H=3550mm                         </w:t>
              <w:br/>
              <w:t xml:space="preserve">3、基础材料品种:C25钢筋商品砼</w:t>
              <w:br/>
              <w:t xml:space="preserve">4、土方、法兰、钢筋、预埋件、钢材及其表面热镀锌防腐处理等费用含在标杆报价中,不再单独计量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8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标志牌更换(△70cm附着式)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1.类型:附着式标志</w:t>
              <w:br/>
              <w:t xml:space="preserve">2.材质、规格尺寸:△70cm </w:t>
              <w:br/>
              <w:t xml:space="preserve">3.板面反光膜等级:3mm铝板，四类反光膜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8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警示柱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1.D120*1600mm道口警示柱镀锌钢管</w:t>
              <w:br/>
              <w:t xml:space="preserve">2.含土方、基础、安装等全部费用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8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热熔标线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1、油漆品种:耐久型热熔型反光涂料，厚度1.8mm-2.0mm，表面散玻璃珠，分布均匀，含量0.3-0.34kg/m2，包括虚实线，人行横道线、箭线等。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8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清除标线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1.标线清除</w:t>
              <w:br/>
              <w:t xml:space="preserve">2.清除方式：化学剂清除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8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视线诱导器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120*50*70mm轮廓标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8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震荡线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热熔震荡线，5mm厚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76"/>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小计</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74"/>
        </w:trPr>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绿化养护</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服务内容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工程量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单价（元）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合价（元）</w:t>
            </w:r>
            <w:r/>
          </w:p>
        </w:tc>
      </w:tr>
      <w:tr>
        <w:trPr>
          <w:trHeight w:val="233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绿化日常养护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1、路肩打草，包括两侧路肩上的杂物、垃圾、堆积物及15cm以上的草，运距等自行考虑；</w:t>
              <w:br/>
              <w:t xml:space="preserve">2、绿化定期养护，包括：乔木灌木绿篱修整、除虫、喷药等；</w:t>
              <w:br/>
              <w:t xml:space="preserve">3、冬季乔木刷白、乔木扶正增加三角支撑；</w:t>
              <w:br/>
              <w:t xml:space="preserve">4、所有养护需满足甲方管理要求，按照甲方要求提供养护资料，服务期1年</w:t>
              <w:br/>
              <w:t xml:space="preserve">5、路两边绿化养护宽度按每边暂按0.6米计算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1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铺种草皮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1.草皮种类:百慕大混播黑麦草</w:t>
              <w:br/>
              <w:t xml:space="preserve">2.铺种方式:满铺(购买草皮)</w:t>
              <w:br/>
              <w:t xml:space="preserve">3.养护期:Ⅲ级养护,养护期一年</w:t>
              <w:br/>
              <w:t xml:space="preserve">4.满足甲方管理要求，按照甲方要求提供养护资料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1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播种草籽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1.草皮种类:草籽（百慕大、黑麦草等）</w:t>
              <w:br/>
              <w:t xml:space="preserve">2.铺种方式:播种</w:t>
              <w:br/>
              <w:t xml:space="preserve">3.养护期:Ⅲ级养护,养护期一年</w:t>
              <w:br/>
              <w:t xml:space="preserve">4.满足甲方管理要求，按照甲方要求提供养护资料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栽植乔木（香樟）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1.种类:香樟</w:t>
              <w:br/>
              <w:t xml:space="preserve">2.胸径或干径:D8~10cm</w:t>
              <w:br/>
              <w:t xml:space="preserve">3.起挖方式:(带土球)土球直径在50cm内</w:t>
              <w:br/>
              <w:t xml:space="preserve">4.养护期:Ⅲ级养护,养护期一年</w:t>
              <w:br/>
              <w:t xml:space="preserve">5.满足甲方管理要求，按照甲方要求提供养护资料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栽植乔木（栾树）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1.种类:栾树</w:t>
              <w:br/>
              <w:t xml:space="preserve">2.胸径或干径: D8~10cm</w:t>
              <w:br/>
              <w:t xml:space="preserve">3.起挖方式:(带土球)土球直径在50cm内</w:t>
              <w:br/>
              <w:t xml:space="preserve">4.养护期:Ⅲ级养护,养护期一年</w:t>
              <w:br/>
              <w:t xml:space="preserve">5.满足甲方管理要求，按照甲方要求提供养护资料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栽植乔木（榉树）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1.种类:榉树</w:t>
              <w:br/>
              <w:t xml:space="preserve">2.胸径或干径:D8~10cm</w:t>
              <w:br/>
              <w:t xml:space="preserve">3.起挖方式:(带土球)土球直径在50cm内</w:t>
              <w:br/>
              <w:t xml:space="preserve">4.养护期:Ⅲ级养护,养护期一年</w:t>
              <w:br/>
              <w:t xml:space="preserve">5.满足甲方管理要求，按照甲方要求提供养护资料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1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栽植乔木（梧桐）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1.种类:梧桐</w:t>
              <w:br/>
              <w:t xml:space="preserve">2.胸径或干径:D11~12cm</w:t>
              <w:br/>
              <w:t xml:space="preserve">3.起挖方式:(带土球)土球直径在50cm内</w:t>
              <w:br/>
              <w:t xml:space="preserve">4.养护期:Ⅲ级养护,养护期一年</w:t>
              <w:br/>
              <w:t xml:space="preserve">5.满足甲方管理要求，按照甲方要求提供养护资料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栽植乔木（紫薇）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1.种类:紫薇</w:t>
              <w:br/>
              <w:t xml:space="preserve">2.胸径或干径:D7~8cm</w:t>
              <w:br/>
              <w:t xml:space="preserve">3.起挖方式:(带土球)土球直径在50cm内</w:t>
              <w:br/>
              <w:t xml:space="preserve">4.养护期:Ⅲ级养护,养护期一年</w:t>
              <w:br/>
              <w:t xml:space="preserve">5.满足甲方管理要求，按照甲方要求提供养护资料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栽植乔木（朴树）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1.种类:朴树</w:t>
              <w:br/>
              <w:t xml:space="preserve">2.胸径或干径:D9~10cm</w:t>
              <w:br/>
              <w:t xml:space="preserve">3.起挖方式:(带土球)土球直径在50cm内</w:t>
              <w:br/>
              <w:t xml:space="preserve">4.养护期:Ⅲ级养护,养护期一年</w:t>
              <w:br/>
              <w:t xml:space="preserve">5.满足甲方管理要求，按照甲方要求提供养护资料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栽植灌木（红叶石楠球）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1.种类:红叶石楠球</w:t>
              <w:br/>
              <w:t xml:space="preserve">2.蓬径:冠径80~100cm</w:t>
              <w:br/>
              <w:t xml:space="preserve">3.起挖方式:(带土球)土球直径在40cm内</w:t>
              <w:br/>
              <w:t xml:space="preserve">4.养护期:Ⅲ级养护,养护期一年</w:t>
              <w:br/>
              <w:t xml:space="preserve">5.满足甲方管理要求，按照甲方要求提供养护资料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栽植灌木（海桐球）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1.种类:海桐球</w:t>
              <w:br/>
              <w:t xml:space="preserve">2.蓬径:冠径80~100cm</w:t>
              <w:br/>
              <w:t xml:space="preserve">3.起挖方式:(带土球)土球直径在40cm内</w:t>
              <w:br/>
              <w:t xml:space="preserve">4.养护期:养护期:Ⅲ级养护,养护期一年</w:t>
              <w:br/>
              <w:t xml:space="preserve">5.满足甲方管理要求，按照甲方要求提供养护资料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0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树木支撑架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1.支撑类型、材质:新栽植乔木树棍三脚桩</w:t>
              <w:br/>
              <w:t xml:space="preserve">2.支撑材料规格:综合考虑</w:t>
              <w:br/>
              <w:t xml:space="preserve">3.单株支撑材料数量:综合考虑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小 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18"/>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合计（元）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3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供应商名称（加盖电子公章）: </w:t>
      </w:r>
      <w:r>
        <w:rPr>
          <w:rFonts w:ascii="SimSun" w:hAnsi="SimSun" w:eastAsia="SimSun" w:cs="SimSun"/>
          <w:color w:val="000000"/>
          <w:sz w:val="24"/>
        </w:rPr>
        <w:t xml:space="preserve">                  </w:t>
      </w:r>
      <w:r/>
    </w:p>
    <w:p>
      <w:pPr>
        <w:ind w:left="0" w:right="0" w:firstLine="33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授权代表（签字）： </w:t>
      </w:r>
      <w:r>
        <w:rPr>
          <w:rFonts w:ascii="SimSun" w:hAnsi="SimSun" w:eastAsia="SimSun" w:cs="SimSun"/>
          <w:color w:val="000000"/>
          <w:sz w:val="24"/>
        </w:rPr>
        <w:t xml:space="preserve">               </w:t>
      </w:r>
      <w:r/>
    </w:p>
    <w:p>
      <w:pPr>
        <w:ind w:left="0" w:right="0" w:firstLine="4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注：1.此表为表样，行数可自行添加。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2.供应商必须保证承诺使用小、微型企业参加投标的真实性，如出现虚假响应，一经查实，将按照采购方采购有关法律法规进行处理。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价应包括但不限于完成该项目所有的费用及投标人认为需要的其他相关费用等；每一单项均应计算并填写单价和总价和其相应的单价分项表，并由法定代表人或授权委托代理人签署。供应商未填单价或总价的项目，在实施后，采购单位将不予支付，并视为该项费用已包括在其它有价款的单价或总价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格式四：企业声明函格式（非中小企业无需提供）</w:t>
      </w:r>
      <w:r/>
    </w:p>
    <w:p>
      <w:pPr>
        <w:ind w:left="118" w:right="0" w:firstLine="0"/>
        <w:jc w:val="center"/>
        <w:spacing w:before="34"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36"/>
        </w:rPr>
        <w:t xml:space="preserve">中小</w:t>
      </w:r>
      <w:r>
        <w:rPr>
          <w:rFonts w:ascii="SimSun" w:hAnsi="SimSun" w:eastAsia="SimSun" w:cs="SimSun"/>
          <w:b/>
          <w:color w:val="000000"/>
          <w:sz w:val="36"/>
        </w:rPr>
        <w:t xml:space="preserve">企</w:t>
      </w:r>
      <w:r>
        <w:rPr>
          <w:rFonts w:ascii="SimSun" w:hAnsi="SimSun" w:eastAsia="SimSun" w:cs="SimSun"/>
          <w:b/>
          <w:color w:val="000000"/>
          <w:spacing w:val="2"/>
          <w:sz w:val="36"/>
        </w:rPr>
        <w:t xml:space="preserve">业声</w:t>
      </w:r>
      <w:r>
        <w:rPr>
          <w:rFonts w:ascii="SimSun" w:hAnsi="SimSun" w:eastAsia="SimSun" w:cs="SimSun"/>
          <w:b/>
          <w:color w:val="000000"/>
          <w:sz w:val="36"/>
        </w:rPr>
        <w:t xml:space="preserve">明</w:t>
      </w:r>
      <w:r>
        <w:rPr>
          <w:rFonts w:ascii="SimSun" w:hAnsi="SimSun" w:eastAsia="SimSun" w:cs="SimSun"/>
          <w:b/>
          <w:color w:val="000000"/>
          <w:spacing w:val="2"/>
          <w:sz w:val="36"/>
        </w:rPr>
        <w:t xml:space="preserve">函（</w:t>
      </w:r>
      <w:r>
        <w:rPr>
          <w:rFonts w:ascii="SimSun" w:hAnsi="SimSun" w:eastAsia="SimSun" w:cs="SimSun"/>
          <w:b/>
          <w:color w:val="000000"/>
          <w:sz w:val="36"/>
        </w:rPr>
        <w:t xml:space="preserve">服务）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 号）的规定，本公司（联合体）参加（单位名称）的（项目名称）采购活动，服务单位全部为符合政策要求的中小企业（或者：服务 全部由符合政策要求的中小企业承接）。相关企业（含联合体中的中小企业、签订标段意向协议的中小企业）的具体情况如下：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 承建</w:t>
      </w:r>
      <w:r>
        <w:rPr>
          <w:rFonts w:ascii="SimSun" w:hAnsi="SimSun" w:eastAsia="SimSun" w:cs="SimSun"/>
          <w:color w:val="000000"/>
          <w:sz w:val="21"/>
          <w:u w:val="single"/>
        </w:rPr>
        <w:t xml:space="preserve">（承接）企业为（企业名称）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 </w:t>
      </w:r>
      <w:r>
        <w:rPr>
          <w:rFonts w:ascii="SimSun" w:hAnsi="SimSun" w:eastAsia="SimSun" w:cs="SimSun"/>
          <w:color w:val="000000"/>
          <w:sz w:val="21"/>
          <w:u w:val="single"/>
        </w:rPr>
        <w:t xml:space="preserve">       </w:t>
      </w:r>
      <w:r>
        <w:rPr>
          <w:rFonts w:ascii="SimSun" w:hAnsi="SimSun" w:eastAsia="SimSun" w:cs="SimSun"/>
          <w:color w:val="000000"/>
          <w:sz w:val="21"/>
        </w:rPr>
        <w:t xml:space="preserve">万元</w:t>
      </w:r>
      <w:r>
        <w:rPr>
          <w:rFonts w:ascii="SimSun" w:hAnsi="SimSun" w:eastAsia="SimSun" w:cs="SimSun"/>
          <w:color w:val="000000"/>
          <w:sz w:val="21"/>
          <w:vertAlign w:val="superscript"/>
        </w:rPr>
        <w:t xml:space="preserve">【1】</w:t>
      </w:r>
      <w:r>
        <w:rPr>
          <w:rFonts w:ascii="SimSun" w:hAnsi="SimSun" w:eastAsia="SimSun" w:cs="SimSun"/>
          <w:color w:val="000000"/>
          <w:sz w:val="21"/>
        </w:rPr>
        <w:t xml:space="preserve">，属于</w:t>
      </w:r>
      <w:r>
        <w:rPr>
          <w:rFonts w:ascii="SimSun" w:hAnsi="SimSun" w:eastAsia="SimSun" w:cs="SimSun"/>
          <w:color w:val="000000"/>
          <w:sz w:val="21"/>
          <w:u w:val="single"/>
        </w:rPr>
        <w:t xml:space="preserve">（中型企业、 小型企业、微型企业）</w:t>
      </w:r>
      <w:r>
        <w:rPr>
          <w:rFonts w:ascii="SimSun" w:hAnsi="SimSun" w:eastAsia="SimSun" w:cs="SimSun"/>
          <w:color w:val="000000"/>
          <w:sz w:val="21"/>
        </w:rPr>
        <w:t xml:space="preserve">；</w:t>
      </w:r>
      <w:r/>
    </w:p>
    <w:p>
      <w:pPr>
        <w:ind w:left="0" w:right="0" w:firstLine="52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52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 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42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w:t>
      </w:r>
      <w:r>
        <w:rPr>
          <w:rFonts w:ascii="SimSun" w:hAnsi="SimSun" w:eastAsia="SimSun" w:cs="SimSun"/>
          <w:color w:val="000000"/>
          <w:sz w:val="22"/>
        </w:rPr>
        <w:t xml:space="preserve">加盖电子公章</w:t>
      </w:r>
      <w:r>
        <w:rPr>
          <w:rFonts w:ascii="SimSun" w:hAnsi="SimSun" w:eastAsia="SimSun" w:cs="SimSun"/>
          <w:color w:val="000000"/>
          <w:sz w:val="21"/>
        </w:rPr>
        <w:t xml:space="preserve">）：</w:t>
      </w:r>
      <w:r/>
    </w:p>
    <w:p>
      <w:pPr>
        <w:ind w:left="0" w:right="840" w:firstLine="71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76" w:right="832" w:firstLine="0"/>
        <w:jc w:val="both"/>
        <w:spacing w:before="2"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 1：从业人员、营业收入、资产总额填报上一年度数据，无上一年度数据的新成立企业可不填报。 </w:t>
      </w:r>
      <w:r/>
    </w:p>
    <w:p>
      <w:pPr>
        <w:ind w:left="476" w:right="831" w:firstLine="0"/>
        <w:jc w:val="both"/>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 2：供应商如不提供此声明函，价格将不做相应扣除。成交供应商如享受本项目中小企业扶持政策的，其声明函将随成交结果同时公告，接受社会监督。 </w:t>
      </w:r>
      <w:r/>
    </w:p>
    <w:p>
      <w:pPr>
        <w:ind w:left="476" w:right="832" w:firstLine="0"/>
        <w:jc w:val="both"/>
        <w:spacing w:before="0" w:after="0" w:line="81" w:lineRule="atLeast"/>
        <w:pBdr>
          <w:top w:val="none" w:color="000000" w:sz="4" w:space="0"/>
          <w:left w:val="none" w:color="000000" w:sz="4" w:space="0"/>
          <w:bottom w:val="none" w:color="000000" w:sz="4" w:space="0"/>
          <w:right w:val="none" w:color="000000" w:sz="4" w:space="0"/>
        </w:pBdr>
      </w:pPr>
      <w:r>
        <w:br w:type="page" w:clear="all"/>
      </w:r>
      <w:r/>
    </w:p>
    <w:p>
      <w:pPr>
        <w:ind w:left="476" w:right="832" w:firstLine="0"/>
        <w:jc w:val="both"/>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各行业划型标准为：</w:t>
      </w:r>
      <w:r/>
    </w:p>
    <w:p>
      <w:pPr>
        <w:ind w:left="476" w:right="832" w:firstLine="0"/>
        <w:jc w:val="both"/>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（一）农、林、牧、渔业。营业收入20000万元以下的为中小微型企业。其中，营业收入500万元及以上的为中型企业，营业收入50万元及以上的为小型企业，营业收入50万元以下的为微型企业。</w:t>
      </w:r>
      <w:r/>
    </w:p>
    <w:p>
      <w:pPr>
        <w:ind w:left="476" w:right="832" w:firstLine="0"/>
        <w:jc w:val="both"/>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476" w:right="832" w:firstLine="0"/>
        <w:jc w:val="both"/>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476" w:right="832" w:firstLine="0"/>
        <w:jc w:val="both"/>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476" w:right="832" w:firstLine="0"/>
        <w:jc w:val="both"/>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476" w:right="832" w:firstLine="0"/>
        <w:jc w:val="both"/>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476" w:right="832" w:firstLine="0"/>
        <w:jc w:val="both"/>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476" w:right="832" w:firstLine="0"/>
        <w:jc w:val="both"/>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476" w:right="832" w:firstLine="0"/>
        <w:jc w:val="both"/>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476" w:right="832" w:firstLine="0"/>
        <w:jc w:val="both"/>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476" w:right="832" w:firstLine="0"/>
        <w:jc w:val="both"/>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476" w:right="832" w:firstLine="0"/>
        <w:jc w:val="both"/>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476" w:right="832" w:firstLine="0"/>
        <w:jc w:val="both"/>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476" w:right="832" w:firstLine="0"/>
        <w:jc w:val="both"/>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476" w:right="832" w:firstLine="0"/>
        <w:jc w:val="both"/>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（十五）租赁和商务服务业。从业人员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人以下或资产总额</w:t>
      </w:r>
      <w:r>
        <w:rPr>
          <w:rFonts w:ascii="Times New Roman" w:hAnsi="Times New Roman" w:eastAsia="Times New Roman" w:cs="Times New Roman"/>
          <w:color w:val="000000"/>
          <w:sz w:val="21"/>
        </w:rPr>
        <w:t xml:space="preserve">120000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人及以上，且资产总额</w:t>
      </w:r>
      <w:r>
        <w:rPr>
          <w:rFonts w:ascii="Times New Roman" w:hAnsi="Times New Roman" w:eastAsia="Times New Roman" w:cs="Times New Roman"/>
          <w:color w:val="000000"/>
          <w:sz w:val="21"/>
        </w:rPr>
        <w:t xml:space="preserve">8000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人及以上，且资产总额</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人以下或资产总额</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万元以下的为微型企业。</w:t>
      </w:r>
      <w:r/>
    </w:p>
    <w:p>
      <w:pPr>
        <w:ind w:left="476" w:right="832" w:firstLine="0"/>
        <w:jc w:val="both"/>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（十六）其他未列明行业。从业人员300人以下的为中小微型企业。其中，从业人员100人及以上的为中型企业；从业人员10人及以上的为小型企业；从业人员10人以下的为微型企业。</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郑重声明，根据《财政部民政部中国残疾人联合会关于促进残疾人就业政府采购政策的通知》（财库〔2017〕141号）的规定，本单位为（符合/不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本单位对上述声明的真实性负责。如有虚假，将依法承担相应责任。</w:t>
      </w:r>
      <w:r/>
    </w:p>
    <w:p>
      <w:pPr>
        <w:ind w:left="0" w:right="0" w:firstLine="52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单位名称（加盖电子公章）：</w:t>
      </w:r>
      <w:r/>
    </w:p>
    <w:p>
      <w:pPr>
        <w:ind w:left="0" w:right="0" w:firstLine="52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（提供由省级以上监狱管理局、戒毒管理局（含新疆生产建设兵团）出具的属于监狱企业的证明文件）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格式五、技术条款偏离表格式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技术条款偏离表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0"/>
        <w:gridCol w:w="2622"/>
        <w:gridCol w:w="1668"/>
        <w:gridCol w:w="1531"/>
        <w:gridCol w:w="1597"/>
        <w:gridCol w:w="1177"/>
      </w:tblGrid>
      <w:tr>
        <w:trPr/>
        <w:tc>
          <w:tcPr>
            <w:gridSpan w:val="4"/>
            <w:shd w:val="clear" w:color="ffffff" w:fill="ffffff"/>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58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gridSpan w:val="2"/>
            <w:shd w:val="clear" w:color="ffffff" w:fill="ffffff"/>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77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tc>
      </w:tr>
      <w:tr>
        <w:trPr/>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6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技术服务要求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磋商响应</w:t>
            </w:r>
            <w:r/>
          </w:p>
        </w:tc>
        <w:tc>
          <w:tcPr>
            <w:gridSpan w:val="2"/>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1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偏离</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供应商名称（加盖电子公章）: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授权代表（签字）：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格式六、商务条款偏离表格式</w:t>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商务条款偏离表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5"/>
        <w:gridCol w:w="4040"/>
        <w:gridCol w:w="1626"/>
        <w:gridCol w:w="549"/>
        <w:gridCol w:w="754"/>
        <w:gridCol w:w="1360"/>
        <w:gridCol w:w="379"/>
      </w:tblGrid>
      <w:tr>
        <w:trPr/>
        <w:tc>
          <w:tcPr>
            <w:gridSpan w:val="4"/>
            <w:shd w:val="clear" w:color="ffffff" w:fill="ffffff"/>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861" w:type="dxa"/>
            <w:vAlign w:val="center"/>
            <w:textDirection w:val="lrTb"/>
            <w:noWrap w:val="false"/>
          </w:tcPr>
          <w:p>
            <w:pPr>
              <w:ind w:left="0" w:right="0" w:firstLine="2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gridSpan w:val="3"/>
            <w:shd w:val="clear" w:color="ffffff" w:fill="ffffff"/>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49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tc>
      </w:tr>
      <w:tr>
        <w:trPr>
          <w:gridAfter w:val="1"/>
        </w:trPr>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0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磋商文件要求的商务条款</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磋商响应</w:t>
            </w:r>
            <w:r/>
          </w:p>
        </w:tc>
        <w:tc>
          <w:tcPr>
            <w:gridSpan w:val="2"/>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偏离</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gridAfter w:val="1"/>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0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0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0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0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0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0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Height w:val="1"/>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04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0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供应商名称（加盖电子公章）: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授权代表（签字）：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说明：如果行数不够，请自行增加。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格式七、拟投入本项目人员表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拟投入本项目人员表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7"/>
        <w:gridCol w:w="1117"/>
        <w:gridCol w:w="1256"/>
        <w:gridCol w:w="1256"/>
        <w:gridCol w:w="1256"/>
        <w:gridCol w:w="1119"/>
        <w:gridCol w:w="1117"/>
        <w:gridCol w:w="1118"/>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1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姓名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拟在本项目承担的角色</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学历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专业</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职位/职称/相关证书</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1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工作经历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供应商名称（加盖电子公章）: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授权代表（签字）：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rPr>
          <w:rFonts w:ascii="SimSun" w:hAnsi="SimSun" w:eastAsia="SimSun" w:cs="SimSun"/>
          <w:color w:val="000000"/>
          <w:sz w:val="22"/>
        </w:rPr>
        <w:t xml:space="preserve">  根据第三章“成交标准”提供相关证明材料</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格式八、服务方案</w:t>
      </w:r>
      <w:r/>
    </w:p>
    <w:p>
      <w:pPr>
        <w:ind w:left="0" w:right="0" w:firstLine="525"/>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服务方案应根据采购人对项目的要求、成交标准的要求及项目本身的特点编写。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格式九、 响应人类似业绩情况表格式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响应人类似业绩情况表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4"/>
        <w:gridCol w:w="1535"/>
        <w:gridCol w:w="1399"/>
        <w:gridCol w:w="978"/>
        <w:gridCol w:w="1494"/>
        <w:gridCol w:w="1118"/>
        <w:gridCol w:w="1118"/>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规模</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9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签约及服务</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联系人及电话</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3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top"/>
            <w:textDirection w:val="lrTb"/>
            <w:noWrap w:val="false"/>
          </w:tcPr>
          <w:p>
            <w:pPr>
              <w:ind w:left="0" w:right="0" w:firstLine="1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3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3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3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3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3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3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3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供应商名称（加盖电子公章）: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授权代表（签字）：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注：具体时间要求及需提交的证明材料见“第三章 成交标准”。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格式十、资格证明文件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附件1：具有独立承担民事责任的能力（提供法人或者其他组织的营业执照，自然人的身份证明）；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附件2:具有良好的商业信誉和健全的财务会计制度；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附件3：具有履行合同所必需的设备和专业技术能力（根据项目需求提供履行合同所必需的设备和专业技术能力的证明材料）；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具备履行合同所必需的设备和专业技术能力的书面声明</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南京市江宁区人民政府江宁街道办事处：</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我单位郑重声明：我单位具备履行本项采购合同所必需的设备和专业技术能力，为履行本项采购合同我公司具备如下主要设备和主要专业技术能力：</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主要设备有：                  。</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主要专业技术能力有：                              。</w:t>
      </w:r>
      <w:r/>
    </w:p>
    <w:p>
      <w:pPr>
        <w:ind w:left="0" w:right="0" w:firstLine="5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声明人：（加盖电子公章）</w:t>
      </w:r>
      <w:r/>
    </w:p>
    <w:p>
      <w:pPr>
        <w:ind w:left="0" w:right="0" w:firstLine="5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w:t>
      </w:r>
      <w:r/>
    </w:p>
    <w:p>
      <w:pPr>
        <w:ind w:left="0" w:right="0" w:firstLine="43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附件4：有依法缴纳税收和社会保障资金的良好记录；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附件5：参加政府采购活动前三年内，在经营活动中没有重大违法记录（提供参加本次政府采购活动前3年内在经营活动中没有重大违法记录的书面声明）；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参加政府采购活动前三年内，在经营活动中没有重大违法记录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南京市江宁区人民政府江宁街道办事处</w:t>
      </w:r>
      <w:r>
        <w:rPr>
          <w:rFonts w:ascii="SimSun" w:hAnsi="SimSun" w:eastAsia="SimSun" w:cs="SimSun"/>
          <w:color w:val="000000"/>
          <w:sz w:val="22"/>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我单位（响应人名称）郑重声明：</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参加政府采购活动前三年内在经营活动中（在下划线上如实填写：有或没有）重大违法记录。</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（说明：政府采购法第二十二条第一款第五项所称重大违法记录，是指响应人因违法经营受到刑事处罚或者责令停产停业、吊销许可证或者执照、较大数额罚款等行政处罚。）</w:t>
      </w:r>
      <w:r/>
    </w:p>
    <w:p>
      <w:pPr>
        <w:ind w:left="0" w:right="0" w:firstLine="5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声明人：（加盖电子公章）</w:t>
      </w:r>
      <w:r/>
    </w:p>
    <w:p>
      <w:pPr>
        <w:ind w:left="0" w:right="0" w:firstLine="5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附件6：法律、行政法规规定的其他条件。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w:t>
      </w:r>
      <w:r>
        <w:rPr>
          <w:rFonts w:ascii="Times New Roman" w:hAnsi="Times New Roman" w:eastAsia="Times New Roman" w:cs="Times New Roman"/>
          <w:b/>
          <w:color w:val="000000"/>
          <w:sz w:val="21"/>
        </w:rPr>
        <w:t xml:space="preserve">7</w:t>
      </w:r>
      <w:r>
        <w:rPr>
          <w:rFonts w:ascii="SimSun" w:hAnsi="SimSun" w:eastAsia="SimSun" w:cs="SimSun"/>
          <w:b/>
          <w:color w:val="000000"/>
          <w:sz w:val="21"/>
        </w:rPr>
        <w:t xml:space="preserve">：《南京市政府采购供应商信用记录表暨信用承诺书》</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https://njgc.jfh.com/）‘南京市政府采购供应商诚信档案’系统链接打开系统页面（http://180.101.238.212:8280/hodeframe2018_cxda/index.</w:t>
      </w:r>
      <w:r>
        <w:rPr>
          <w:rFonts w:ascii="SimSun" w:hAnsi="SimSun" w:eastAsia="SimSun" w:cs="SimSun"/>
          <w:color w:val="000000"/>
          <w:sz w:val="21"/>
        </w:rPr>
        <w:t xml:space="preserve">action;jsessionid=769BA9C8E1729422E7173B991C8EC1E5）登录（未注册的供应商应先点击‘供应商注册点这里’并按要求完成注册），然后在“信用记录”模块页面点击“信用记录打印”下载本单位信用记录表，由法人签字并盖单位公章，上传至电子响应文件中，未按要求提供信用记录表或未签字盖章的，将按无效投标处理。</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在政府采购资格审查环节，供应商只需提供书面《南京市政府采购供应商信用记录表暨信用承诺书》，即可替代以下证明材料：</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（1）符合国家相关规定的财务状况报告；</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（2）依法缴纳税收的证明材料；</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（3）依法缴纳社会保障资金的证明材料；</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（4）具备履行政府采购合同所必需的设备和专业技术能力的证明材料；</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（5）参加政府采购活动前三年内在经营活动中没有重大违法记录的证明材料；</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（6）未被列入失信被执行人、重大税收违法失信主体、政府采购严重违法失信行为记录名单的证明材料。</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成交）后，应提供上述由信用承诺书替代的证明材料（一式伍份）（（1）参加本次政府采购活动前一年的经审计的财务报告（包括“四表一注”，法人成立满一年的提供）或参加本次政府采购活动前一年内的银行资信证明（法人或其他组织提供）或其他证明材料;（2）参加本次政府采购活动前半年内至少一个月依法缴纳税收和社会保障资金的证明材料；（3）具备履行政府采购合同所必需的设备和专业技术能力的证明材料；（4）参加政府采购活动前三年内在经营活动中没有重大违法记录的证明材料），加盖公章按采购文件要求胶装提交采购人或采购代理</w:t>
      </w:r>
      <w:r>
        <w:rPr>
          <w:rFonts w:ascii="SimSun" w:hAnsi="SimSun" w:eastAsia="SimSun" w:cs="SimSun"/>
          <w:color w:val="000000"/>
          <w:sz w:val="21"/>
        </w:rPr>
        <w:t xml:space="preserve">机构核验。经核验无误后，由采购人或采购代理机构发出中标（成交）通知书。</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供应商涉及以下情形的，不适用信用承诺，仍须提供上述证明材料：</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（1）供应商被列入严重失信主体名单；</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（2）被相关监管部门作出行政处罚且尚在处罚有效期内；</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（3）其他法律、行政法规规定的不适用信用承诺的情形。</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供应商对信用承诺内容的真实性、合法性、有效性负责。如作出虚假信用承诺，视同为“提供虚假材料谋取中标、成交”的违法行为。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格式十一、其他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注释：此处可附“第三章 </w:t>
      </w:r>
      <w:r>
        <w:rPr>
          <w:rFonts w:ascii="Calibri" w:hAnsi="Calibri" w:eastAsia="Calibri" w:cs="Calibri"/>
          <w:color w:val="000000"/>
          <w:sz w:val="21"/>
        </w:rPr>
        <w:t xml:space="preserve">成交标准</w:t>
      </w:r>
      <w:r>
        <w:rPr>
          <w:rFonts w:ascii="SimSun" w:hAnsi="SimSun" w:eastAsia="SimSun" w:cs="SimSun"/>
          <w:color w:val="000000"/>
          <w:sz w:val="21"/>
        </w:rPr>
        <w:t xml:space="preserve">”中所要求的材料或供应商认为需要提供的其他材料。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18" w:right="0" w:firstLine="0"/>
        <w:spacing w:before="18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headerReference w:type="default" r:id="rId9"/>
      <w:footerReference w:type="default" r:id="rId10"/>
      <w:footnotePr/>
      <w:endnotePr/>
      <w:type w:val="nextPage"/>
      <w:pgSz w:w="11910" w:h="16840" w:orient="portrait"/>
      <w:pgMar w:top="1080" w:right="1300" w:bottom="920" w:left="1300" w:header="880" w:footer="726"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楷体">
    <w:panose1 w:val="02010609060101010101"/>
  </w:font>
  <w:font w:name="Symbol">
    <w:panose1 w:val="05050102010706020507"/>
  </w:font>
  <w:font w:name="Wingdings">
    <w:panose1 w:val="05000000000000000000"/>
  </w:font>
  <w:font w:name="楷体_GB2312">
    <w:panose1 w:val="02010609060101010101"/>
  </w:font>
  <w:font w:name="Trebuchet MS">
    <w:panose1 w:val="020B0603020202020204"/>
  </w:font>
  <w:font w:name="Courier New">
    <w:panose1 w:val="02070309020205020404"/>
  </w:font>
  <w:font w:name="Calibri">
    <w:panose1 w:val="020F0502020204030204"/>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spacing w:line="14" w:lineRule="auto"/>
      <w:rPr>
        <w:sz w:val="20"/>
        <w:szCs w:val="20"/>
      </w:rPr>
    </w:pP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0609657" behindDoc="1" locked="0" layoutInCell="1" allowOverlap="1">
              <wp:simplePos x="0" y="0"/>
              <wp:positionH relativeFrom="page">
                <wp:posOffset>887730</wp:posOffset>
              </wp:positionH>
              <wp:positionV relativeFrom="page">
                <wp:posOffset>10095230</wp:posOffset>
              </wp:positionV>
              <wp:extent cx="2025015" cy="15811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025015" cy="158114"/>
                      </a:xfrm>
                      <a:prstGeom prst="rect">
                        <a:avLst/>
                      </a:prstGeom>
                      <a:noFill/>
                      <a:ln>
                        <a:noFill/>
                      </a:ln>
                    </wps:spPr>
                    <wps:txbx>
                      <w:txbxContent>
                        <w:p>
                          <w:pPr>
                            <w:pStyle w:val="926"/>
                          </w:pPr>
                          <w:r/>
                          <w:r/>
                        </w:p>
                        <w:p>
                          <w:pPr>
                            <w:pStyle w:val="926"/>
                          </w:pPr>
                          <w:r/>
                          <w:r/>
                        </w:p>
                      </w:txbxContent>
                    </wps:txbx>
                    <wps:bodyPr wrap="square" lIns="0" tIns="0" rIns="0" bIns="0" upright="1"/>
                  </wps:wsp>
                </a:graphicData>
              </a:graphic>
            </wp:anchor>
          </w:drawing>
        </mc:Choice>
        <mc:Fallback>
          <w:pict>
            <v:shape id="shape 1" o:spid="_x0000_s1" o:spt="202" type="#_x0000_t202" style="position:absolute;z-index:-250609657;o:allowoverlap:true;o:allowincell:true;mso-position-horizontal-relative:page;margin-left:69.9pt;mso-position-horizontal:absolute;mso-position-vertical-relative:page;margin-top:794.9pt;mso-position-vertical:absolute;width:159.4pt;height:12.4pt;mso-wrap-distance-left:9.0pt;mso-wrap-distance-top:0.0pt;mso-wrap-distance-right:9.0pt;mso-wrap-distance-bottom:0.0pt;visibility:visible;" filled="f" stroked="f">
              <v:textbox inset="0,0,0,0">
                <w:txbxContent>
                  <w:p>
                    <w:pPr>
                      <w:pStyle w:val="926"/>
                    </w:pPr>
                    <w:r/>
                    <w:r/>
                  </w:p>
                  <w:p>
                    <w:pPr>
                      <w:pStyle w:val="926"/>
                    </w:pPr>
                    <w:r/>
                    <w:r/>
                  </w:p>
                </w:txbxContent>
              </v:textbox>
            </v:shape>
          </w:pict>
        </mc:Fallback>
      </mc:AlternateContent>
    </w: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0609656" behindDoc="1" locked="0" layoutInCell="1" allowOverlap="1">
              <wp:simplePos x="0" y="0"/>
              <wp:positionH relativeFrom="page">
                <wp:posOffset>5674360</wp:posOffset>
              </wp:positionH>
              <wp:positionV relativeFrom="page">
                <wp:posOffset>10092690</wp:posOffset>
              </wp:positionV>
              <wp:extent cx="139700" cy="1397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39700" cy="139700"/>
                      </a:xfrm>
                      <a:prstGeom prst="rect">
                        <a:avLst/>
                      </a:prstGeom>
                      <a:noFill/>
                      <a:ln>
                        <a:noFill/>
                      </a:ln>
                    </wps:spPr>
                    <wps:txbx>
                      <w:txbxContent>
                        <w:p>
                          <w:pPr>
                            <w:pStyle w:val="926"/>
                            <w:rPr>
                              <w:szCs w:val="18"/>
                            </w:rPr>
                          </w:pPr>
                          <w:r>
                            <w:rPr>
                              <w:szCs w:val="18"/>
                            </w:rPr>
                          </w:r>
                          <w:r/>
                        </w:p>
                        <w:p>
                          <w:pPr>
                            <w:pStyle w:val="926"/>
                          </w:pPr>
                          <w:r/>
                          <w:r/>
                        </w:p>
                      </w:txbxContent>
                    </wps:txbx>
                    <wps:bodyPr wrap="square" lIns="0" tIns="0" rIns="0" bIns="0" upright="1"/>
                  </wps:wsp>
                </a:graphicData>
              </a:graphic>
            </wp:anchor>
          </w:drawing>
        </mc:Choice>
        <mc:Fallback>
          <w:pict>
            <v:shape id="shape 2" o:spid="_x0000_s2" o:spt="202" type="#_x0000_t202" style="position:absolute;z-index:-250609656;o:allowoverlap:true;o:allowincell:true;mso-position-horizontal-relative:page;margin-left:446.8pt;mso-position-horizontal:absolute;mso-position-vertical-relative:page;margin-top:794.7pt;mso-position-vertical:absolute;width:11.0pt;height:11.0pt;mso-wrap-distance-left:9.0pt;mso-wrap-distance-top:0.0pt;mso-wrap-distance-right:9.0pt;mso-wrap-distance-bottom:0.0pt;visibility:visible;" filled="f" stroked="f">
              <v:textbox inset="0,0,0,0">
                <w:txbxContent>
                  <w:p>
                    <w:pPr>
                      <w:pStyle w:val="926"/>
                      <w:rPr>
                        <w:szCs w:val="18"/>
                      </w:rPr>
                    </w:pPr>
                    <w:r>
                      <w:rPr>
                        <w:szCs w:val="18"/>
                      </w:rPr>
                    </w:r>
                    <w:r/>
                  </w:p>
                  <w:p>
                    <w:pPr>
                      <w:pStyle w:val="926"/>
                    </w:pPr>
                    <w:r/>
                    <w:r/>
                  </w:p>
                </w:txbxContent>
              </v:textbox>
            </v:shape>
          </w:pict>
        </mc:Fallback>
      </mc:AlternateContent>
    </w: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0609655" behindDoc="1" locked="0" layoutInCell="1" allowOverlap="1">
              <wp:simplePos x="0" y="0"/>
              <wp:positionH relativeFrom="page">
                <wp:posOffset>5833745</wp:posOffset>
              </wp:positionH>
              <wp:positionV relativeFrom="page">
                <wp:posOffset>10090785</wp:posOffset>
              </wp:positionV>
              <wp:extent cx="166370" cy="1397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66370" cy="139700"/>
                      </a:xfrm>
                      <a:prstGeom prst="rect">
                        <a:avLst/>
                      </a:prstGeom>
                      <a:noFill/>
                      <a:ln>
                        <a:noFill/>
                      </a:ln>
                    </wps:spPr>
                    <wps:txbx>
                      <w:txbxContent>
                        <w:p>
                          <w:pPr>
                            <w:pStyle w:val="926"/>
                            <w:rPr>
                              <w:szCs w:val="18"/>
                            </w:rPr>
                          </w:pPr>
                          <w:r>
                            <w:rPr>
                              <w:szCs w:val="18"/>
                            </w:rPr>
                          </w:r>
                          <w:r/>
                        </w:p>
                        <w:p>
                          <w:pPr>
                            <w:pStyle w:val="926"/>
                          </w:pPr>
                          <w:r/>
                          <w:r/>
                        </w:p>
                      </w:txbxContent>
                    </wps:txbx>
                    <wps:bodyPr wrap="square" lIns="0" tIns="0" rIns="0" bIns="0" upright="1"/>
                  </wps:wsp>
                </a:graphicData>
              </a:graphic>
            </wp:anchor>
          </w:drawing>
        </mc:Choice>
        <mc:Fallback>
          <w:pict>
            <v:shape id="shape 3" o:spid="_x0000_s3" o:spt="202" type="#_x0000_t202" style="position:absolute;z-index:-250609655;o:allowoverlap:true;o:allowincell:true;mso-position-horizontal-relative:page;margin-left:459.3pt;mso-position-horizontal:absolute;mso-position-vertical-relative:page;margin-top:794.5pt;mso-position-vertical:absolute;width:13.1pt;height:11.0pt;mso-wrap-distance-left:9.0pt;mso-wrap-distance-top:0.0pt;mso-wrap-distance-right:9.0pt;mso-wrap-distance-bottom:0.0pt;visibility:visible;" filled="f" stroked="f">
              <v:textbox inset="0,0,0,0">
                <w:txbxContent>
                  <w:p>
                    <w:pPr>
                      <w:pStyle w:val="926"/>
                      <w:rPr>
                        <w:szCs w:val="18"/>
                      </w:rPr>
                    </w:pPr>
                    <w:r>
                      <w:rPr>
                        <w:szCs w:val="18"/>
                      </w:rPr>
                    </w:r>
                    <w:r/>
                  </w:p>
                  <w:p>
                    <w:pPr>
                      <w:pStyle w:val="926"/>
                    </w:pPr>
                    <w:r/>
                    <w:r/>
                  </w:p>
                </w:txbxContent>
              </v:textbox>
            </v:shape>
          </w:pict>
        </mc:Fallback>
      </mc:AlternateContent>
    </w: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0609654" behindDoc="1" locked="0" layoutInCell="1" allowOverlap="1">
              <wp:simplePos x="0" y="0"/>
              <wp:positionH relativeFrom="page">
                <wp:posOffset>6017260</wp:posOffset>
              </wp:positionH>
              <wp:positionV relativeFrom="page">
                <wp:posOffset>10092690</wp:posOffset>
              </wp:positionV>
              <wp:extent cx="655320" cy="1397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655320" cy="139700"/>
                      </a:xfrm>
                      <a:prstGeom prst="rect">
                        <a:avLst/>
                      </a:prstGeom>
                      <a:noFill/>
                      <a:ln>
                        <a:noFill/>
                      </a:ln>
                    </wps:spPr>
                    <wps:txbx>
                      <w:txbxContent>
                        <w:p>
                          <w:pPr>
                            <w:pStyle w:val="926"/>
                            <w:rPr>
                              <w:szCs w:val="18"/>
                            </w:rPr>
                          </w:pPr>
                          <w:r>
                            <w:rPr>
                              <w:szCs w:val="18"/>
                            </w:rPr>
                          </w:r>
                          <w:r/>
                        </w:p>
                        <w:p>
                          <w:pPr>
                            <w:pStyle w:val="926"/>
                          </w:pPr>
                          <w:r/>
                          <w:r/>
                        </w:p>
                      </w:txbxContent>
                    </wps:txbx>
                    <wps:bodyPr wrap="square" lIns="0" tIns="0" rIns="0" bIns="0" upright="1"/>
                  </wps:wsp>
                </a:graphicData>
              </a:graphic>
            </wp:anchor>
          </w:drawing>
        </mc:Choice>
        <mc:Fallback>
          <w:pict>
            <v:shape id="shape 4" o:spid="_x0000_s4" o:spt="202" type="#_x0000_t202" style="position:absolute;z-index:-250609654;o:allowoverlap:true;o:allowincell:true;mso-position-horizontal-relative:page;margin-left:473.8pt;mso-position-horizontal:absolute;mso-position-vertical-relative:page;margin-top:794.7pt;mso-position-vertical:absolute;width:51.6pt;height:11.0pt;mso-wrap-distance-left:9.0pt;mso-wrap-distance-top:0.0pt;mso-wrap-distance-right:9.0pt;mso-wrap-distance-bottom:0.0pt;visibility:visible;" filled="f" stroked="f">
              <v:textbox inset="0,0,0,0">
                <w:txbxContent>
                  <w:p>
                    <w:pPr>
                      <w:pStyle w:val="926"/>
                      <w:rPr>
                        <w:szCs w:val="18"/>
                      </w:rPr>
                    </w:pPr>
                    <w:r>
                      <w:rPr>
                        <w:szCs w:val="18"/>
                      </w:rPr>
                    </w:r>
                    <w:r/>
                  </w:p>
                  <w:p>
                    <w:pPr>
                      <w:pStyle w:val="926"/>
                    </w:pPr>
                    <w:r/>
                    <w:r/>
                  </w:p>
                </w:txbxContent>
              </v:textbox>
            </v:shape>
          </w:pict>
        </mc:Fallback>
      </mc:AlternateContent>
    </w:r>
    <w:r>
      <w:rPr>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spacing w:line="14" w:lineRule="auto"/>
      <w:rPr>
        <w:sz w:val="20"/>
        <w:szCs w:val="20"/>
      </w:rPr>
    </w:pP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0609658"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pStyle w:val="926"/>
                            <w:ind w:left="20"/>
                            <w:spacing w:line="219" w:lineRule="exact"/>
                            <w:rPr>
                              <w:rFonts w:ascii="楷体" w:hAnsi="楷体" w:eastAsia="楷体" w:cs="楷体"/>
                              <w:sz w:val="20"/>
                              <w:szCs w:val="20"/>
                            </w:rPr>
                          </w:pPr>
                          <w:r>
                            <w:rPr>
                              <w:rFonts w:ascii="楷体" w:hAnsi="楷体" w:eastAsia="楷体" w:cs="楷体"/>
                              <w:sz w:val="20"/>
                              <w:szCs w:val="20"/>
                            </w:rPr>
                          </w:r>
                          <w:r/>
                        </w:p>
                        <w:p>
                          <w:pPr>
                            <w:pStyle w:val="926"/>
                          </w:pPr>
                          <w:r/>
                          <w:r/>
                        </w:p>
                      </w:txbxContent>
                    </wps:txbx>
                    <wps:bodyPr wrap="square" lIns="0" tIns="0" rIns="0" bIns="0" upright="1"/>
                  </wps:wsp>
                </a:graphicData>
              </a:graphic>
            </wp:anchor>
          </w:drawing>
        </mc:Choice>
        <mc:Fallback>
          <w:pict>
            <v:shape id="shape 0" o:spid="_x0000_s0" o:spt="202" type="#_x0000_t202" style="position:absolute;z-index:-250609658;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pStyle w:val="926"/>
                      <w:ind w:left="20"/>
                      <w:spacing w:line="219" w:lineRule="exact"/>
                      <w:rPr>
                        <w:rFonts w:ascii="楷体" w:hAnsi="楷体" w:eastAsia="楷体" w:cs="楷体"/>
                        <w:sz w:val="20"/>
                        <w:szCs w:val="20"/>
                      </w:rPr>
                    </w:pPr>
                    <w:r>
                      <w:rPr>
                        <w:rFonts w:ascii="楷体" w:hAnsi="楷体" w:eastAsia="楷体" w:cs="楷体"/>
                        <w:sz w:val="20"/>
                        <w:szCs w:val="20"/>
                      </w:rPr>
                    </w:r>
                    <w:r/>
                  </w:p>
                  <w:p>
                    <w:pPr>
                      <w:pStyle w:val="926"/>
                    </w:pPr>
                    <w:r/>
                    <w:r/>
                  </w:p>
                </w:txbxContent>
              </v:textbox>
            </v:shape>
          </w:pict>
        </mc:Fallback>
      </mc:AlternateContent>
    </w:r>
    <w:r>
      <w:rPr>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pStyle w:val="926"/>
      </w:pPr>
      <w:rPr>
        <w:rFonts w:hint="eastAsia"/>
      </w:rPr>
    </w:lvl>
    <w:lvl w:ilvl="1">
      <w:start w:val="1"/>
      <w:numFmt w:val="bullet"/>
      <w:isLgl w:val="false"/>
      <w:suff w:val="tab"/>
      <w:lvlText w:val="o"/>
      <w:lvlJc w:val="left"/>
      <w:pPr>
        <w:pStyle w:val="926"/>
        <w:ind w:left="1440" w:hanging="360"/>
      </w:pPr>
      <w:rPr>
        <w:rFonts w:ascii="Courier New" w:hAnsi="Courier New" w:eastAsia="Courier New" w:cs="Courier New"/>
      </w:rPr>
    </w:lvl>
    <w:lvl w:ilvl="2">
      <w:start w:val="1"/>
      <w:numFmt w:val="bullet"/>
      <w:isLgl w:val="false"/>
      <w:suff w:val="tab"/>
      <w:lvlText w:val="§"/>
      <w:lvlJc w:val="left"/>
      <w:pPr>
        <w:pStyle w:val="926"/>
        <w:ind w:left="2160" w:hanging="360"/>
      </w:pPr>
      <w:rPr>
        <w:rFonts w:ascii="Wingdings" w:hAnsi="Wingdings" w:eastAsia="Wingdings" w:cs="Wingdings"/>
      </w:rPr>
    </w:lvl>
    <w:lvl w:ilvl="3">
      <w:start w:val="1"/>
      <w:numFmt w:val="bullet"/>
      <w:isLgl w:val="false"/>
      <w:suff w:val="tab"/>
      <w:lvlText w:val="·"/>
      <w:lvlJc w:val="left"/>
      <w:pPr>
        <w:pStyle w:val="926"/>
        <w:ind w:left="2880" w:hanging="360"/>
      </w:pPr>
      <w:rPr>
        <w:rFonts w:ascii="Symbol" w:hAnsi="Symbol" w:eastAsia="Symbol" w:cs="Symbol"/>
      </w:rPr>
    </w:lvl>
    <w:lvl w:ilvl="4">
      <w:start w:val="1"/>
      <w:numFmt w:val="bullet"/>
      <w:isLgl w:val="false"/>
      <w:suff w:val="tab"/>
      <w:lvlText w:val="o"/>
      <w:lvlJc w:val="left"/>
      <w:pPr>
        <w:pStyle w:val="926"/>
        <w:ind w:left="3600" w:hanging="360"/>
      </w:pPr>
      <w:rPr>
        <w:rFonts w:ascii="Courier New" w:hAnsi="Courier New" w:eastAsia="Courier New" w:cs="Courier New"/>
      </w:rPr>
    </w:lvl>
    <w:lvl w:ilvl="5">
      <w:start w:val="1"/>
      <w:numFmt w:val="bullet"/>
      <w:isLgl w:val="false"/>
      <w:suff w:val="tab"/>
      <w:lvlText w:val="§"/>
      <w:lvlJc w:val="left"/>
      <w:pPr>
        <w:pStyle w:val="926"/>
        <w:ind w:left="4320" w:hanging="360"/>
      </w:pPr>
      <w:rPr>
        <w:rFonts w:ascii="Wingdings" w:hAnsi="Wingdings" w:eastAsia="Wingdings" w:cs="Wingdings"/>
      </w:rPr>
    </w:lvl>
    <w:lvl w:ilvl="6">
      <w:start w:val="1"/>
      <w:numFmt w:val="bullet"/>
      <w:isLgl w:val="false"/>
      <w:suff w:val="tab"/>
      <w:lvlText w:val="·"/>
      <w:lvlJc w:val="left"/>
      <w:pPr>
        <w:pStyle w:val="926"/>
        <w:ind w:left="5040" w:hanging="360"/>
      </w:pPr>
      <w:rPr>
        <w:rFonts w:ascii="Symbol" w:hAnsi="Symbol" w:eastAsia="Symbol" w:cs="Symbol"/>
      </w:rPr>
    </w:lvl>
    <w:lvl w:ilvl="7">
      <w:start w:val="1"/>
      <w:numFmt w:val="bullet"/>
      <w:isLgl w:val="false"/>
      <w:suff w:val="tab"/>
      <w:lvlText w:val="o"/>
      <w:lvlJc w:val="left"/>
      <w:pPr>
        <w:pStyle w:val="926"/>
        <w:ind w:left="5760" w:hanging="360"/>
      </w:pPr>
      <w:rPr>
        <w:rFonts w:ascii="Courier New" w:hAnsi="Courier New" w:eastAsia="Courier New" w:cs="Courier New"/>
      </w:rPr>
    </w:lvl>
    <w:lvl w:ilvl="8">
      <w:start w:val="1"/>
      <w:numFmt w:val="bullet"/>
      <w:isLgl w:val="false"/>
      <w:suff w:val="tab"/>
      <w:lvlText w:val="§"/>
      <w:lvlJc w:val="left"/>
      <w:pPr>
        <w:pStyle w:val="926"/>
        <w:ind w:left="6480" w:hanging="360"/>
      </w:pPr>
      <w:rPr>
        <w:rFonts w:ascii="Wingdings" w:hAnsi="Wingdings" w:eastAsia="Wingdings" w:cs="Wingdings"/>
      </w:rPr>
    </w:lvl>
  </w:abstractNum>
  <w:abstractNum w:abstractNumId="1">
    <w:multiLevelType w:val="hybridMultilevel"/>
    <w:lvl w:ilvl="0">
      <w:start w:val="3"/>
      <w:numFmt w:val="chineseCounting"/>
      <w:isLgl w:val="false"/>
      <w:suff w:val="tab"/>
      <w:lvlText w:val="第%1章"/>
      <w:lvlJc w:val="left"/>
      <w:pPr>
        <w:pStyle w:val="92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26"/>
    <w:next w:val="92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26"/>
    <w:next w:val="92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26"/>
    <w:next w:val="92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26"/>
    <w:next w:val="92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26"/>
    <w:next w:val="92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26"/>
    <w:next w:val="92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26"/>
    <w:next w:val="92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26"/>
    <w:next w:val="92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26"/>
    <w:next w:val="92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2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26"/>
    <w:next w:val="92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26"/>
    <w:next w:val="92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26"/>
    <w:next w:val="926"/>
    <w:link w:val="38"/>
    <w:uiPriority w:val="29"/>
    <w:qFormat/>
    <w:pPr>
      <w:ind w:left="720" w:right="720"/>
    </w:pPr>
    <w:rPr>
      <w:i/>
    </w:rPr>
  </w:style>
  <w:style w:type="character" w:styleId="38">
    <w:name w:val="Quote Char"/>
    <w:link w:val="37"/>
    <w:uiPriority w:val="29"/>
    <w:rPr>
      <w:i/>
    </w:rPr>
  </w:style>
  <w:style w:type="paragraph" w:styleId="39">
    <w:name w:val="Intense Quote"/>
    <w:basedOn w:val="926"/>
    <w:next w:val="92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2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2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26"/>
    <w:next w:val="92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2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2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26"/>
    <w:next w:val="926"/>
    <w:uiPriority w:val="39"/>
    <w:unhideWhenUsed/>
    <w:pPr>
      <w:ind w:left="0" w:right="0" w:firstLine="0"/>
      <w:spacing w:after="57"/>
    </w:pPr>
  </w:style>
  <w:style w:type="paragraph" w:styleId="181">
    <w:name w:val="toc 2"/>
    <w:basedOn w:val="926"/>
    <w:next w:val="926"/>
    <w:uiPriority w:val="39"/>
    <w:unhideWhenUsed/>
    <w:pPr>
      <w:ind w:left="283" w:right="0" w:firstLine="0"/>
      <w:spacing w:after="57"/>
    </w:pPr>
  </w:style>
  <w:style w:type="paragraph" w:styleId="182">
    <w:name w:val="toc 3"/>
    <w:basedOn w:val="926"/>
    <w:next w:val="926"/>
    <w:uiPriority w:val="39"/>
    <w:unhideWhenUsed/>
    <w:pPr>
      <w:ind w:left="567" w:right="0" w:firstLine="0"/>
      <w:spacing w:after="57"/>
    </w:pPr>
  </w:style>
  <w:style w:type="paragraph" w:styleId="183">
    <w:name w:val="toc 4"/>
    <w:basedOn w:val="926"/>
    <w:next w:val="926"/>
    <w:uiPriority w:val="39"/>
    <w:unhideWhenUsed/>
    <w:pPr>
      <w:ind w:left="850" w:right="0" w:firstLine="0"/>
      <w:spacing w:after="57"/>
    </w:pPr>
  </w:style>
  <w:style w:type="paragraph" w:styleId="184">
    <w:name w:val="toc 5"/>
    <w:basedOn w:val="926"/>
    <w:next w:val="926"/>
    <w:uiPriority w:val="39"/>
    <w:unhideWhenUsed/>
    <w:pPr>
      <w:ind w:left="1134" w:right="0" w:firstLine="0"/>
      <w:spacing w:after="57"/>
    </w:pPr>
  </w:style>
  <w:style w:type="paragraph" w:styleId="185">
    <w:name w:val="toc 6"/>
    <w:basedOn w:val="926"/>
    <w:next w:val="926"/>
    <w:uiPriority w:val="39"/>
    <w:unhideWhenUsed/>
    <w:pPr>
      <w:ind w:left="1417" w:right="0" w:firstLine="0"/>
      <w:spacing w:after="57"/>
    </w:pPr>
  </w:style>
  <w:style w:type="paragraph" w:styleId="186">
    <w:name w:val="toc 7"/>
    <w:basedOn w:val="926"/>
    <w:next w:val="926"/>
    <w:uiPriority w:val="39"/>
    <w:unhideWhenUsed/>
    <w:pPr>
      <w:ind w:left="1701" w:right="0" w:firstLine="0"/>
      <w:spacing w:after="57"/>
    </w:pPr>
  </w:style>
  <w:style w:type="paragraph" w:styleId="187">
    <w:name w:val="toc 8"/>
    <w:basedOn w:val="926"/>
    <w:next w:val="926"/>
    <w:uiPriority w:val="39"/>
    <w:unhideWhenUsed/>
    <w:pPr>
      <w:ind w:left="1984" w:right="0" w:firstLine="0"/>
      <w:spacing w:after="57"/>
    </w:pPr>
  </w:style>
  <w:style w:type="paragraph" w:styleId="188">
    <w:name w:val="toc 9"/>
    <w:basedOn w:val="926"/>
    <w:next w:val="926"/>
    <w:uiPriority w:val="39"/>
    <w:unhideWhenUsed/>
    <w:pPr>
      <w:ind w:left="2268" w:right="0" w:firstLine="0"/>
      <w:spacing w:after="57"/>
    </w:pPr>
  </w:style>
  <w:style w:type="paragraph" w:styleId="189">
    <w:name w:val="TOC Heading"/>
    <w:uiPriority w:val="39"/>
    <w:unhideWhenUsed/>
  </w:style>
  <w:style w:type="paragraph" w:styleId="190">
    <w:name w:val="table of figures"/>
    <w:basedOn w:val="926"/>
    <w:next w:val="926"/>
    <w:uiPriority w:val="99"/>
    <w:unhideWhenUsed/>
    <w:pPr>
      <w:spacing w:after="0" w:afterAutospacing="0"/>
    </w:pPr>
  </w:style>
  <w:style w:type="paragraph" w:styleId="926" w:default="1">
    <w:name w:val="Normal"/>
    <w:next w:val="926"/>
    <w:link w:val="926"/>
    <w:qFormat/>
    <w:pPr>
      <w:jc w:val="both"/>
      <w:widowControl w:val="off"/>
    </w:pPr>
    <w:rPr>
      <w:sz w:val="21"/>
      <w:szCs w:val="22"/>
      <w:lang w:val="en-US" w:eastAsia="zh-CN" w:bidi="ar-SA"/>
    </w:rPr>
  </w:style>
  <w:style w:type="paragraph" w:styleId="927">
    <w:name w:val="标题 1"/>
    <w:basedOn w:val="926"/>
    <w:next w:val="926"/>
    <w:link w:val="933"/>
    <w:uiPriority w:val="1"/>
    <w:qFormat/>
    <w:pPr>
      <w:jc w:val="left"/>
      <w:outlineLvl w:val="0"/>
    </w:pPr>
    <w:rPr>
      <w:rFonts w:ascii="黑体" w:hAnsi="黑体" w:eastAsia="黑体"/>
      <w:sz w:val="72"/>
      <w:szCs w:val="72"/>
      <w:lang w:eastAsia="en-US"/>
    </w:rPr>
  </w:style>
  <w:style w:type="paragraph" w:styleId="928">
    <w:name w:val="标题 2"/>
    <w:basedOn w:val="926"/>
    <w:next w:val="926"/>
    <w:link w:val="934"/>
    <w:uiPriority w:val="1"/>
    <w:qFormat/>
    <w:pPr>
      <w:ind w:left="1558"/>
      <w:jc w:val="left"/>
      <w:outlineLvl w:val="1"/>
    </w:pPr>
    <w:rPr>
      <w:rFonts w:ascii="黑体" w:hAnsi="黑体" w:eastAsia="黑体"/>
      <w:b/>
      <w:bCs/>
      <w:sz w:val="36"/>
      <w:szCs w:val="36"/>
      <w:lang w:eastAsia="en-US"/>
    </w:rPr>
  </w:style>
  <w:style w:type="paragraph" w:styleId="929">
    <w:name w:val="标题 3"/>
    <w:basedOn w:val="926"/>
    <w:next w:val="926"/>
    <w:link w:val="935"/>
    <w:uiPriority w:val="1"/>
    <w:qFormat/>
    <w:pPr>
      <w:jc w:val="left"/>
      <w:outlineLvl w:val="2"/>
    </w:pPr>
    <w:rPr>
      <w:rFonts w:ascii="黑体" w:hAnsi="黑体" w:eastAsia="黑体"/>
      <w:sz w:val="32"/>
      <w:szCs w:val="32"/>
      <w:lang w:eastAsia="en-US"/>
    </w:rPr>
  </w:style>
  <w:style w:type="paragraph" w:styleId="930">
    <w:name w:val="标题 4"/>
    <w:basedOn w:val="926"/>
    <w:next w:val="926"/>
    <w:link w:val="936"/>
    <w:qFormat/>
    <w:pPr>
      <w:ind w:left="358"/>
      <w:jc w:val="left"/>
      <w:spacing w:before="34"/>
      <w:outlineLvl w:val="3"/>
    </w:pPr>
    <w:rPr>
      <w:rFonts w:ascii="宋体" w:hAnsi="宋体"/>
      <w:b/>
      <w:bCs/>
      <w:sz w:val="24"/>
      <w:szCs w:val="24"/>
      <w:lang w:eastAsia="en-US"/>
    </w:rPr>
  </w:style>
  <w:style w:type="character" w:styleId="931">
    <w:name w:val="默认段落字体"/>
    <w:next w:val="931"/>
    <w:link w:val="926"/>
    <w:uiPriority w:val="1"/>
    <w:unhideWhenUsed/>
  </w:style>
  <w:style w:type="table" w:styleId="932">
    <w:name w:val="普通表格"/>
    <w:next w:val="932"/>
    <w:link w:val="926"/>
    <w:uiPriority w:val="99"/>
    <w:unhideWhenUsed/>
    <w:qFormat/>
    <w:tblPr/>
  </w:style>
  <w:style w:type="character" w:styleId="933">
    <w:name w:val="标题 1 Char"/>
    <w:next w:val="933"/>
    <w:link w:val="927"/>
    <w:uiPriority w:val="1"/>
    <w:rPr>
      <w:rFonts w:ascii="黑体" w:hAnsi="黑体" w:eastAsia="黑体" w:cs="Times New Roman"/>
      <w:sz w:val="72"/>
      <w:szCs w:val="72"/>
      <w:lang w:eastAsia="en-US"/>
    </w:rPr>
  </w:style>
  <w:style w:type="character" w:styleId="934">
    <w:name w:val="标题 2 Char"/>
    <w:next w:val="934"/>
    <w:link w:val="928"/>
    <w:uiPriority w:val="1"/>
    <w:rPr>
      <w:rFonts w:ascii="黑体" w:hAnsi="黑体" w:eastAsia="黑体" w:cs="Times New Roman"/>
      <w:b/>
      <w:bCs/>
      <w:sz w:val="36"/>
      <w:szCs w:val="36"/>
      <w:lang w:eastAsia="en-US"/>
    </w:rPr>
  </w:style>
  <w:style w:type="character" w:styleId="935">
    <w:name w:val="标题 3 Char"/>
    <w:next w:val="935"/>
    <w:link w:val="929"/>
    <w:uiPriority w:val="1"/>
    <w:rPr>
      <w:rFonts w:ascii="黑体" w:hAnsi="黑体" w:eastAsia="黑体" w:cs="Times New Roman"/>
      <w:sz w:val="32"/>
      <w:szCs w:val="32"/>
      <w:lang w:eastAsia="en-US"/>
    </w:rPr>
  </w:style>
  <w:style w:type="character" w:styleId="936">
    <w:name w:val="标题 4 Char"/>
    <w:next w:val="936"/>
    <w:link w:val="930"/>
    <w:qFormat/>
    <w:rPr>
      <w:rFonts w:ascii="宋体" w:hAnsi="宋体" w:eastAsia="宋体" w:cs="Times New Roman"/>
      <w:b/>
      <w:bCs/>
      <w:sz w:val="24"/>
      <w:szCs w:val="24"/>
      <w:lang w:eastAsia="en-US"/>
    </w:rPr>
  </w:style>
  <w:style w:type="paragraph" w:styleId="937">
    <w:name w:val="正文缩进"/>
    <w:basedOn w:val="926"/>
    <w:next w:val="937"/>
    <w:link w:val="926"/>
    <w:uiPriority w:val="99"/>
    <w:qFormat/>
    <w:pPr>
      <w:ind w:firstLine="420"/>
      <w:jc w:val="left"/>
    </w:pPr>
    <w:rPr>
      <w:rFonts w:ascii="Times New Roman" w:hAnsi="Times New Roman" w:eastAsia="Calibri" w:cs="Times New Roman"/>
      <w:sz w:val="22"/>
      <w:lang w:eastAsia="en-US"/>
    </w:rPr>
  </w:style>
  <w:style w:type="paragraph" w:styleId="938">
    <w:name w:val="文档结构图"/>
    <w:basedOn w:val="926"/>
    <w:next w:val="938"/>
    <w:link w:val="939"/>
    <w:qFormat/>
    <w:pPr>
      <w:jc w:val="left"/>
    </w:pPr>
    <w:rPr>
      <w:rFonts w:ascii="宋体"/>
      <w:sz w:val="18"/>
      <w:szCs w:val="18"/>
      <w:lang w:eastAsia="en-US"/>
    </w:rPr>
  </w:style>
  <w:style w:type="character" w:styleId="939">
    <w:name w:val="文档结构图 Char"/>
    <w:next w:val="939"/>
    <w:link w:val="938"/>
    <w:qFormat/>
    <w:rPr>
      <w:rFonts w:ascii="宋体" w:hAnsi="Times New Roman" w:eastAsia="宋体" w:cs="Times New Roman"/>
      <w:sz w:val="18"/>
      <w:szCs w:val="18"/>
      <w:lang w:eastAsia="en-US"/>
    </w:rPr>
  </w:style>
  <w:style w:type="paragraph" w:styleId="940">
    <w:name w:val="批注文字"/>
    <w:basedOn w:val="926"/>
    <w:next w:val="940"/>
    <w:link w:val="941"/>
    <w:qFormat/>
    <w:pPr>
      <w:jc w:val="left"/>
    </w:pPr>
    <w:rPr>
      <w:rFonts w:eastAsia="Calibri"/>
      <w:sz w:val="20"/>
      <w:szCs w:val="20"/>
      <w:lang w:eastAsia="en-US"/>
    </w:rPr>
  </w:style>
  <w:style w:type="character" w:styleId="941">
    <w:name w:val="批注文字 Char"/>
    <w:next w:val="941"/>
    <w:link w:val="940"/>
    <w:qFormat/>
    <w:rPr>
      <w:rFonts w:ascii="Times New Roman" w:hAnsi="Times New Roman" w:eastAsia="Calibri" w:cs="Times New Roman"/>
      <w:sz w:val="20"/>
      <w:lang w:eastAsia="en-US"/>
    </w:rPr>
  </w:style>
  <w:style w:type="paragraph" w:styleId="942">
    <w:name w:val="正文文本"/>
    <w:basedOn w:val="926"/>
    <w:next w:val="942"/>
    <w:link w:val="943"/>
    <w:uiPriority w:val="99"/>
    <w:qFormat/>
    <w:pPr>
      <w:ind w:left="118"/>
      <w:jc w:val="left"/>
      <w:spacing w:before="34"/>
    </w:pPr>
    <w:rPr>
      <w:rFonts w:ascii="宋体" w:hAnsi="宋体"/>
      <w:sz w:val="24"/>
      <w:szCs w:val="24"/>
      <w:lang w:eastAsia="en-US"/>
    </w:rPr>
  </w:style>
  <w:style w:type="character" w:styleId="943">
    <w:name w:val="正文文本 Char"/>
    <w:next w:val="943"/>
    <w:link w:val="942"/>
    <w:uiPriority w:val="99"/>
    <w:qFormat/>
    <w:rPr>
      <w:rFonts w:ascii="宋体" w:hAnsi="宋体" w:eastAsia="宋体" w:cs="Times New Roman"/>
      <w:sz w:val="24"/>
      <w:szCs w:val="24"/>
      <w:lang w:eastAsia="en-US"/>
    </w:rPr>
  </w:style>
  <w:style w:type="paragraph" w:styleId="944">
    <w:name w:val="正文文本缩进"/>
    <w:basedOn w:val="926"/>
    <w:next w:val="944"/>
    <w:link w:val="926"/>
    <w:pPr>
      <w:ind w:left="420"/>
      <w:spacing w:after="120"/>
    </w:pPr>
  </w:style>
  <w:style w:type="paragraph" w:styleId="945">
    <w:name w:val="纯文本"/>
    <w:basedOn w:val="926"/>
    <w:next w:val="945"/>
    <w:link w:val="946"/>
    <w:rPr>
      <w:rFonts w:ascii="宋体" w:hAnsi="Courier New"/>
      <w:szCs w:val="20"/>
    </w:rPr>
  </w:style>
  <w:style w:type="character" w:styleId="946">
    <w:name w:val="纯文本 Char"/>
    <w:next w:val="946"/>
    <w:link w:val="945"/>
    <w:rPr>
      <w:rFonts w:ascii="宋体" w:hAnsi="Courier New"/>
      <w:sz w:val="21"/>
    </w:rPr>
  </w:style>
  <w:style w:type="paragraph" w:styleId="947">
    <w:name w:val="批注框文本"/>
    <w:basedOn w:val="926"/>
    <w:next w:val="947"/>
    <w:link w:val="948"/>
    <w:qFormat/>
    <w:pPr>
      <w:jc w:val="left"/>
    </w:pPr>
    <w:rPr>
      <w:rFonts w:eastAsia="Calibri"/>
      <w:sz w:val="18"/>
      <w:szCs w:val="18"/>
      <w:lang w:eastAsia="en-US"/>
    </w:rPr>
  </w:style>
  <w:style w:type="character" w:styleId="948">
    <w:name w:val="批注框文本 Char"/>
    <w:next w:val="948"/>
    <w:link w:val="947"/>
    <w:qFormat/>
    <w:rPr>
      <w:rFonts w:ascii="Times New Roman" w:hAnsi="Times New Roman" w:eastAsia="Calibri" w:cs="Times New Roman"/>
      <w:sz w:val="18"/>
      <w:szCs w:val="18"/>
      <w:lang w:eastAsia="en-US"/>
    </w:rPr>
  </w:style>
  <w:style w:type="paragraph" w:styleId="949">
    <w:name w:val="页脚"/>
    <w:basedOn w:val="926"/>
    <w:next w:val="949"/>
    <w:link w:val="950"/>
    <w:qFormat/>
    <w:pPr>
      <w:jc w:val="left"/>
      <w:tabs>
        <w:tab w:val="center" w:pos="4153" w:leader="none"/>
        <w:tab w:val="right" w:pos="8306" w:leader="none"/>
      </w:tabs>
    </w:pPr>
    <w:rPr>
      <w:rFonts w:eastAsia="Calibri"/>
      <w:sz w:val="18"/>
      <w:szCs w:val="20"/>
      <w:lang w:eastAsia="en-US"/>
    </w:rPr>
  </w:style>
  <w:style w:type="character" w:styleId="950">
    <w:name w:val="页脚 Char"/>
    <w:next w:val="950"/>
    <w:link w:val="949"/>
    <w:rPr>
      <w:rFonts w:ascii="Times New Roman" w:hAnsi="Times New Roman" w:eastAsia="Calibri" w:cs="Times New Roman"/>
      <w:sz w:val="18"/>
      <w:lang w:eastAsia="en-US"/>
    </w:rPr>
  </w:style>
  <w:style w:type="paragraph" w:styleId="951">
    <w:name w:val="页眉"/>
    <w:basedOn w:val="926"/>
    <w:next w:val="951"/>
    <w:link w:val="952"/>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eastAsia="Calibri"/>
      <w:sz w:val="18"/>
      <w:szCs w:val="20"/>
      <w:lang w:eastAsia="en-US"/>
    </w:rPr>
  </w:style>
  <w:style w:type="character" w:styleId="952">
    <w:name w:val="页眉 Char"/>
    <w:next w:val="952"/>
    <w:link w:val="951"/>
    <w:rPr>
      <w:rFonts w:ascii="Times New Roman" w:hAnsi="Times New Roman" w:eastAsia="Calibri" w:cs="Times New Roman"/>
      <w:sz w:val="18"/>
      <w:lang w:eastAsia="en-US"/>
    </w:rPr>
  </w:style>
  <w:style w:type="paragraph" w:styleId="953">
    <w:name w:val="目录 1"/>
    <w:basedOn w:val="926"/>
    <w:next w:val="926"/>
    <w:link w:val="926"/>
    <w:uiPriority w:val="1"/>
    <w:qFormat/>
    <w:pPr>
      <w:jc w:val="left"/>
      <w:spacing w:before="271"/>
    </w:pPr>
    <w:rPr>
      <w:rFonts w:ascii="宋体" w:hAnsi="宋体" w:eastAsia="宋体" w:cs="Times New Roman"/>
      <w:b/>
      <w:bCs/>
      <w:sz w:val="24"/>
      <w:szCs w:val="24"/>
      <w:lang w:eastAsia="en-US"/>
    </w:rPr>
  </w:style>
  <w:style w:type="paragraph" w:styleId="954">
    <w:name w:val="目录 2"/>
    <w:basedOn w:val="926"/>
    <w:next w:val="926"/>
    <w:link w:val="926"/>
    <w:uiPriority w:val="1"/>
    <w:qFormat/>
    <w:pPr>
      <w:ind w:left="327"/>
      <w:jc w:val="left"/>
      <w:spacing w:before="151"/>
    </w:pPr>
    <w:rPr>
      <w:rFonts w:ascii="宋体" w:hAnsi="宋体" w:eastAsia="宋体" w:cs="Times New Roman"/>
      <w:sz w:val="24"/>
      <w:szCs w:val="24"/>
      <w:lang w:eastAsia="en-US"/>
    </w:rPr>
  </w:style>
  <w:style w:type="paragraph" w:styleId="955">
    <w:name w:val="批注主题"/>
    <w:basedOn w:val="940"/>
    <w:next w:val="940"/>
    <w:link w:val="956"/>
    <w:qFormat/>
    <w:rPr>
      <w:b/>
      <w:bCs/>
      <w:sz w:val="22"/>
    </w:rPr>
  </w:style>
  <w:style w:type="character" w:styleId="956">
    <w:name w:val="批注主题 Char"/>
    <w:next w:val="956"/>
    <w:link w:val="955"/>
    <w:qFormat/>
    <w:rPr>
      <w:rFonts w:ascii="Times New Roman" w:hAnsi="Times New Roman" w:eastAsia="Calibri" w:cs="Times New Roman"/>
      <w:b/>
      <w:bCs/>
      <w:sz w:val="22"/>
      <w:lang w:eastAsia="en-US"/>
    </w:rPr>
  </w:style>
  <w:style w:type="paragraph" w:styleId="957">
    <w:name w:val="正文首行缩进"/>
    <w:basedOn w:val="942"/>
    <w:next w:val="926"/>
    <w:link w:val="958"/>
    <w:qFormat/>
    <w:pPr>
      <w:ind w:firstLine="200"/>
      <w:tabs>
        <w:tab w:val="left" w:pos="562" w:leader="none"/>
        <w:tab w:val="left" w:pos="3372" w:leader="none"/>
        <w:tab w:val="left" w:pos="3653" w:leader="none"/>
      </w:tabs>
    </w:pPr>
    <w:rPr>
      <w:rFonts w:ascii="Times New Roman" w:hAnsi="Times New Roman"/>
    </w:rPr>
  </w:style>
  <w:style w:type="character" w:styleId="958">
    <w:name w:val="正文首行缩进 Char"/>
    <w:next w:val="958"/>
    <w:link w:val="957"/>
    <w:rPr>
      <w:rFonts w:ascii="Times New Roman" w:hAnsi="Times New Roman" w:eastAsia="宋体" w:cs="宋体"/>
      <w:sz w:val="24"/>
      <w:szCs w:val="24"/>
      <w:lang w:eastAsia="en-US"/>
    </w:rPr>
  </w:style>
  <w:style w:type="paragraph" w:styleId="959">
    <w:name w:val="正文首行缩进 2"/>
    <w:basedOn w:val="944"/>
    <w:next w:val="959"/>
    <w:link w:val="926"/>
    <w:uiPriority w:val="99"/>
    <w:unhideWhenUsed/>
    <w:pPr>
      <w:ind w:firstLine="420"/>
    </w:pPr>
  </w:style>
  <w:style w:type="table" w:styleId="960">
    <w:name w:val="网格型"/>
    <w:basedOn w:val="932"/>
    <w:next w:val="960"/>
    <w:link w:val="926"/>
    <w:uiPriority w:val="59"/>
    <w:qFormat/>
    <w:rPr>
      <w:rFonts w:ascii="Times New Roman" w:hAnsi="Times New Roman" w:eastAsia="宋体" w:cs="Times New Roman"/>
      <w:sz w:val="20"/>
      <w:szCs w:val="20"/>
    </w:rPr>
    <w:tblPr/>
  </w:style>
  <w:style w:type="character" w:styleId="961">
    <w:name w:val="要点"/>
    <w:next w:val="961"/>
    <w:link w:val="926"/>
    <w:uiPriority w:val="22"/>
    <w:qFormat/>
    <w:rPr>
      <w:b/>
    </w:rPr>
  </w:style>
  <w:style w:type="character" w:styleId="962">
    <w:name w:val="页码"/>
    <w:next w:val="962"/>
    <w:link w:val="926"/>
    <w:qFormat/>
  </w:style>
  <w:style w:type="character" w:styleId="963">
    <w:name w:val="已访问的超链接"/>
    <w:next w:val="963"/>
    <w:link w:val="926"/>
    <w:uiPriority w:val="99"/>
    <w:unhideWhenUsed/>
    <w:rPr>
      <w:color w:val="800080"/>
      <w:u w:val="single"/>
    </w:rPr>
  </w:style>
  <w:style w:type="character" w:styleId="964">
    <w:name w:val="超链接"/>
    <w:next w:val="964"/>
    <w:link w:val="926"/>
    <w:uiPriority w:val="99"/>
    <w:qFormat/>
    <w:rPr>
      <w:color w:val="0000ff"/>
      <w:u w:val="single"/>
    </w:rPr>
  </w:style>
  <w:style w:type="character" w:styleId="965">
    <w:name w:val="批注引用"/>
    <w:next w:val="965"/>
    <w:link w:val="926"/>
    <w:qFormat/>
    <w:rPr>
      <w:sz w:val="21"/>
      <w:szCs w:val="21"/>
    </w:rPr>
  </w:style>
  <w:style w:type="character" w:styleId="966">
    <w:name w:val="批注引用1"/>
    <w:next w:val="966"/>
    <w:link w:val="926"/>
    <w:semiHidden/>
    <w:qFormat/>
    <w:rPr>
      <w:sz w:val="21"/>
      <w:szCs w:val="22"/>
      <w:lang w:val="en-US" w:eastAsia="zh-CN" w:bidi="ar-SA"/>
    </w:rPr>
  </w:style>
  <w:style w:type="paragraph" w:styleId="967">
    <w:name w:val="正文文本缩进1"/>
    <w:basedOn w:val="926"/>
    <w:next w:val="968"/>
    <w:link w:val="926"/>
    <w:qFormat/>
    <w:pPr>
      <w:ind w:firstLine="645"/>
    </w:pPr>
    <w:rPr>
      <w:rFonts w:ascii="楷体_GB2312" w:eastAsia="楷体_GB2312"/>
      <w:sz w:val="32"/>
      <w:szCs w:val="32"/>
    </w:rPr>
  </w:style>
  <w:style w:type="paragraph" w:styleId="968">
    <w:name w:val="正文首行缩进 21"/>
    <w:basedOn w:val="967"/>
    <w:next w:val="968"/>
    <w:link w:val="926"/>
    <w:qFormat/>
    <w:pPr>
      <w:ind w:firstLine="420"/>
      <w:spacing w:line="360" w:lineRule="auto"/>
    </w:pPr>
    <w:rPr>
      <w:rFonts w:ascii="宋体" w:hAnsi="宋体" w:eastAsia="宋体"/>
      <w:szCs w:val="20"/>
    </w:rPr>
  </w:style>
  <w:style w:type="character" w:styleId="969">
    <w:name w:val="NormalCharacter1"/>
    <w:next w:val="969"/>
    <w:link w:val="926"/>
    <w:qFormat/>
  </w:style>
  <w:style w:type="paragraph" w:styleId="970">
    <w:name w:val="列出段落"/>
    <w:basedOn w:val="926"/>
    <w:next w:val="970"/>
    <w:link w:val="926"/>
    <w:uiPriority w:val="1"/>
    <w:qFormat/>
    <w:pPr>
      <w:jc w:val="left"/>
    </w:pPr>
    <w:rPr>
      <w:rFonts w:ascii="Times New Roman" w:hAnsi="Times New Roman" w:eastAsia="Calibri" w:cs="Times New Roman"/>
      <w:sz w:val="22"/>
      <w:lang w:eastAsia="en-US"/>
    </w:rPr>
  </w:style>
  <w:style w:type="paragraph" w:styleId="971">
    <w:name w:val="Table Paragraph"/>
    <w:basedOn w:val="926"/>
    <w:next w:val="971"/>
    <w:link w:val="926"/>
    <w:uiPriority w:val="1"/>
    <w:qFormat/>
    <w:pPr>
      <w:jc w:val="left"/>
    </w:pPr>
    <w:rPr>
      <w:rFonts w:ascii="Times New Roman" w:hAnsi="Times New Roman" w:eastAsia="Calibri" w:cs="Times New Roman"/>
      <w:sz w:val="22"/>
      <w:lang w:eastAsia="en-US"/>
    </w:rPr>
  </w:style>
  <w:style w:type="paragraph" w:styleId="972">
    <w:name w:val="正文_2"/>
    <w:next w:val="972"/>
    <w:link w:val="926"/>
    <w:qFormat/>
    <w:pPr>
      <w:spacing w:after="200" w:line="276" w:lineRule="auto"/>
      <w:widowControl w:val="off"/>
    </w:pPr>
    <w:rPr>
      <w:lang w:val="en-US" w:eastAsia="zh-CN" w:bidi="ar-SA"/>
    </w:rPr>
  </w:style>
  <w:style w:type="paragraph" w:styleId="973">
    <w:name w:val="首行缩进"/>
    <w:basedOn w:val="926"/>
    <w:next w:val="973"/>
    <w:link w:val="926"/>
    <w:uiPriority w:val="99"/>
    <w:qFormat/>
    <w:pPr>
      <w:ind w:firstLine="480"/>
      <w:jc w:val="left"/>
      <w:spacing w:line="360" w:lineRule="auto"/>
    </w:pPr>
    <w:rPr>
      <w:rFonts w:ascii="宋体" w:hAnsi="宋体" w:eastAsia="Calibri" w:cs="Times New Roman"/>
      <w:sz w:val="24"/>
      <w:szCs w:val="24"/>
      <w:lang w:eastAsia="en-US"/>
    </w:rPr>
  </w:style>
  <w:style w:type="table" w:styleId="974">
    <w:name w:val="Table Normal"/>
    <w:next w:val="974"/>
    <w:link w:val="926"/>
    <w:uiPriority w:val="2"/>
    <w:unhideWhenUsed/>
    <w:qFormat/>
    <w:rPr>
      <w:lang w:val="en-US" w:eastAsia="zh-CN" w:bidi="ar-SA"/>
    </w:rPr>
    <w:tblPr/>
  </w:style>
  <w:style w:type="character" w:styleId="975">
    <w:name w:val="Char Char25"/>
    <w:next w:val="975"/>
    <w:link w:val="926"/>
    <w:qFormat/>
    <w:rPr>
      <w:rFonts w:ascii="Arial" w:hAnsi="Arial" w:eastAsia="黑体"/>
      <w:b/>
      <w:sz w:val="28"/>
    </w:rPr>
  </w:style>
  <w:style w:type="paragraph" w:styleId="976">
    <w:name w:val="Default"/>
    <w:next w:val="976"/>
    <w:link w:val="926"/>
    <w:qFormat/>
    <w:pPr>
      <w:widowControl w:val="off"/>
    </w:pPr>
    <w:rPr>
      <w:rFonts w:ascii="黑体" w:eastAsia="黑体" w:cs="黑体"/>
      <w:color w:val="000000"/>
      <w:sz w:val="24"/>
      <w:szCs w:val="24"/>
      <w:lang w:val="en-US" w:eastAsia="zh-CN" w:bidi="ar-SA"/>
    </w:rPr>
  </w:style>
  <w:style w:type="paragraph" w:styleId="977">
    <w:name w:val="UserStyle_0"/>
    <w:basedOn w:val="926"/>
    <w:next w:val="977"/>
    <w:link w:val="926"/>
    <w:qFormat/>
    <w:pPr>
      <w:ind w:firstLine="480"/>
      <w:jc w:val="left"/>
      <w:spacing w:line="360" w:lineRule="auto"/>
      <w:widowControl/>
    </w:pPr>
    <w:rPr>
      <w:rFonts w:ascii="宋体" w:hAnsi="宋体" w:eastAsia="Calibri" w:cs="Times New Roman"/>
      <w:sz w:val="24"/>
      <w:szCs w:val="24"/>
      <w:lang w:eastAsia="en-US"/>
    </w:rPr>
  </w:style>
  <w:style w:type="table" w:styleId="978">
    <w:name w:val="网格型1"/>
    <w:basedOn w:val="932"/>
    <w:next w:val="978"/>
    <w:link w:val="926"/>
    <w:qFormat/>
    <w:pPr>
      <w:jc w:val="both"/>
      <w:widowControl w:val="off"/>
    </w:pPr>
    <w:rPr>
      <w:rFonts w:ascii="Times New Roman" w:hAnsi="Times New Roman" w:eastAsia="宋体" w:cs="Times New Roman"/>
      <w:sz w:val="20"/>
      <w:szCs w:val="20"/>
    </w:rPr>
    <w:tblPr/>
  </w:style>
  <w:style w:type="table" w:styleId="979">
    <w:name w:val="网格型2"/>
    <w:basedOn w:val="932"/>
    <w:next w:val="979"/>
    <w:link w:val="926"/>
    <w:uiPriority w:val="59"/>
    <w:qFormat/>
    <w:pPr>
      <w:jc w:val="both"/>
      <w:widowControl w:val="off"/>
    </w:pPr>
    <w:tblPr/>
  </w:style>
  <w:style w:type="table" w:styleId="980">
    <w:name w:val="网格型3"/>
    <w:basedOn w:val="932"/>
    <w:next w:val="980"/>
    <w:link w:val="926"/>
    <w:uiPriority w:val="59"/>
    <w:qFormat/>
    <w:pPr>
      <w:jc w:val="both"/>
      <w:widowControl w:val="off"/>
    </w:pPr>
    <w:tblPr/>
  </w:style>
  <w:style w:type="paragraph" w:styleId="981">
    <w:name w:val="标题 111"/>
    <w:basedOn w:val="926"/>
    <w:next w:val="926"/>
    <w:link w:val="926"/>
    <w:qFormat/>
    <w:pPr>
      <w:keepLines/>
      <w:keepNext/>
      <w:spacing w:before="340" w:after="330" w:line="576" w:lineRule="auto"/>
      <w:outlineLvl w:val="0"/>
    </w:pPr>
    <w:rPr>
      <w:b/>
      <w:bCs/>
      <w:sz w:val="44"/>
      <w:szCs w:val="44"/>
    </w:rPr>
  </w:style>
  <w:style w:type="paragraph" w:styleId="982">
    <w:name w:val="普通(网站)111"/>
    <w:basedOn w:val="926"/>
    <w:next w:val="982"/>
    <w:link w:val="926"/>
    <w:uiPriority w:val="99"/>
    <w:qFormat/>
    <w:pPr>
      <w:jc w:val="left"/>
      <w:spacing w:before="100" w:beforeAutospacing="1" w:after="100" w:afterAutospacing="1"/>
      <w:widowControl/>
    </w:pPr>
    <w:rPr>
      <w:rFonts w:ascii="Trebuchet MS" w:hAnsi="Trebuchet MS" w:cs="Trebuchet MS"/>
      <w:sz w:val="24"/>
    </w:rPr>
  </w:style>
  <w:style w:type="paragraph" w:styleId="983">
    <w:name w:val="正文 New"/>
    <w:basedOn w:val="926"/>
    <w:next w:val="983"/>
    <w:link w:val="926"/>
    <w:qFormat/>
    <w:pPr>
      <w:ind w:left="357" w:hanging="357"/>
      <w:spacing w:before="100" w:beforeAutospacing="1" w:after="100" w:afterAutospacing="1" w:line="440" w:lineRule="exact"/>
    </w:pPr>
    <w:rPr>
      <w:szCs w:val="21"/>
    </w:rPr>
  </w:style>
  <w:style w:type="paragraph" w:styleId="984">
    <w:name w:val="Table Text"/>
    <w:basedOn w:val="926"/>
    <w:next w:val="984"/>
    <w:link w:val="926"/>
    <w:semiHidden/>
    <w:qFormat/>
    <w:pPr>
      <w:jc w:val="left"/>
    </w:pPr>
    <w:rPr>
      <w:rFonts w:ascii="宋体" w:hAnsi="宋体" w:cs="宋体"/>
      <w:color w:val="000000"/>
      <w:sz w:val="21"/>
      <w:szCs w:val="21"/>
      <w:lang w:eastAsia="en-US"/>
    </w:rPr>
  </w:style>
  <w:style w:type="paragraph" w:styleId="985">
    <w:name w:val="纯文本1"/>
    <w:basedOn w:val="926"/>
    <w:next w:val="985"/>
    <w:link w:val="926"/>
    <w:qFormat/>
    <w:rPr>
      <w:rFonts w:ascii="宋体" w:hAnsi="Courier New"/>
      <w:sz w:val="20"/>
    </w:rPr>
  </w:style>
  <w:style w:type="paragraph" w:styleId="986">
    <w:name w:val="普通(网站)1"/>
    <w:basedOn w:val="926"/>
    <w:next w:val="986"/>
    <w:link w:val="926"/>
    <w:uiPriority w:val="99"/>
    <w:qFormat/>
    <w:pPr>
      <w:jc w:val="left"/>
      <w:spacing w:before="100" w:beforeAutospacing="1" w:after="100" w:afterAutospacing="1"/>
      <w:widowControl/>
    </w:pPr>
    <w:rPr>
      <w:rFonts w:ascii="宋体" w:hAnsi="宋体" w:cs="宋体"/>
      <w:sz w:val="24"/>
      <w:szCs w:val="24"/>
    </w:rPr>
  </w:style>
  <w:style w:type="character" w:styleId="22523" w:default="1">
    <w:name w:val="Default Paragraph Font"/>
    <w:uiPriority w:val="1"/>
    <w:semiHidden/>
    <w:unhideWhenUsed/>
  </w:style>
  <w:style w:type="numbering" w:styleId="22524" w:default="1">
    <w:name w:val="No List"/>
    <w:uiPriority w:val="99"/>
    <w:semiHidden/>
    <w:unhideWhenUsed/>
  </w:style>
  <w:style w:type="table" w:styleId="225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曹</dc:creator>
  <cp:lastModifiedBy>曹雪（南京江城）</cp:lastModifiedBy>
  <cp:revision>8</cp:revision>
  <dcterms:created xsi:type="dcterms:W3CDTF">2024-10-18T04:11:00Z</dcterms:created>
  <dcterms:modified xsi:type="dcterms:W3CDTF">2026-03-26T07:43:43Z</dcterms:modified>
</cp:coreProperties>
</file>