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53A63">
      <w:pPr>
        <w:ind w:left="0" w:leftChars="0" w:firstLine="0" w:firstLineChars="0"/>
        <w:jc w:val="center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高层建筑消防设施功能性检测服务考核管理制度</w:t>
      </w:r>
    </w:p>
    <w:p w14:paraId="05C324BD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一、考核目的</w:t>
      </w:r>
    </w:p>
    <w:p w14:paraId="15FEF95F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为加强消防设施检测服务的质量管理，规范检测行为，确保检测结果客观、真实、可靠，保障高层建筑消防安全，特制定本考核制度。</w:t>
      </w:r>
    </w:p>
    <w:p w14:paraId="69F18D90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二、考核对象</w:t>
      </w:r>
    </w:p>
    <w:p w14:paraId="791A193B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承担 高层建筑消防设施功能性检测服务 的第三方检测机构</w:t>
      </w:r>
    </w:p>
    <w:p w14:paraId="600963F5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三、考核内容与评分标准（总分100分）</w:t>
      </w:r>
    </w:p>
    <w:p w14:paraId="0A5CF75F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每项对应具体考核指标及扣分规则，具体如下：</w:t>
      </w:r>
    </w:p>
    <w:tbl>
      <w:tblPr>
        <w:tblStyle w:val="8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210"/>
        <w:gridCol w:w="3770"/>
        <w:gridCol w:w="930"/>
        <w:gridCol w:w="1320"/>
      </w:tblGrid>
      <w:tr w14:paraId="2CAC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36" w:type="dxa"/>
            <w:vAlign w:val="center"/>
          </w:tcPr>
          <w:p w14:paraId="66F0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0" w:type="dxa"/>
            <w:vAlign w:val="center"/>
          </w:tcPr>
          <w:p w14:paraId="7CD9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3770" w:type="dxa"/>
            <w:vAlign w:val="center"/>
          </w:tcPr>
          <w:p w14:paraId="39F5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考核要求</w:t>
            </w:r>
          </w:p>
        </w:tc>
        <w:tc>
          <w:tcPr>
            <w:tcW w:w="930" w:type="dxa"/>
            <w:vAlign w:val="center"/>
          </w:tcPr>
          <w:p w14:paraId="6204C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320" w:type="dxa"/>
            <w:vAlign w:val="center"/>
          </w:tcPr>
          <w:p w14:paraId="6BF2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564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1995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10" w:type="dxa"/>
            <w:vAlign w:val="center"/>
          </w:tcPr>
          <w:p w14:paraId="7BC5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实施人员的完备性</w:t>
            </w:r>
          </w:p>
        </w:tc>
        <w:tc>
          <w:tcPr>
            <w:tcW w:w="3770" w:type="dxa"/>
            <w:vAlign w:val="center"/>
          </w:tcPr>
          <w:p w14:paraId="1C1A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供应商需按照响应文件对项目服务进行人员配置，未按约定进行配置的扣5分</w:t>
            </w:r>
          </w:p>
        </w:tc>
        <w:tc>
          <w:tcPr>
            <w:tcW w:w="930" w:type="dxa"/>
            <w:vAlign w:val="center"/>
          </w:tcPr>
          <w:p w14:paraId="0048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 w14:paraId="112D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65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5847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10" w:type="dxa"/>
            <w:vAlign w:val="center"/>
          </w:tcPr>
          <w:p w14:paraId="4796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检测方案</w:t>
            </w:r>
          </w:p>
        </w:tc>
        <w:tc>
          <w:tcPr>
            <w:tcW w:w="3770" w:type="dxa"/>
            <w:vAlign w:val="center"/>
          </w:tcPr>
          <w:p w14:paraId="17C3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未按要求提交检测方案，扣3分</w:t>
            </w:r>
          </w:p>
        </w:tc>
        <w:tc>
          <w:tcPr>
            <w:tcW w:w="930" w:type="dxa"/>
            <w:vAlign w:val="center"/>
          </w:tcPr>
          <w:p w14:paraId="4B34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428A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9F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4546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10" w:type="dxa"/>
            <w:vAlign w:val="center"/>
          </w:tcPr>
          <w:p w14:paraId="6809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技术交底与沟通</w:t>
            </w:r>
          </w:p>
        </w:tc>
        <w:tc>
          <w:tcPr>
            <w:tcW w:w="3770" w:type="dxa"/>
            <w:vAlign w:val="center"/>
          </w:tcPr>
          <w:p w14:paraId="03B6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未与甲方进行技术交底扣3分；</w:t>
            </w:r>
          </w:p>
          <w:p w14:paraId="7195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未响应甲方需求调整检测计划，扣3分。</w:t>
            </w:r>
          </w:p>
        </w:tc>
        <w:tc>
          <w:tcPr>
            <w:tcW w:w="930" w:type="dxa"/>
            <w:vAlign w:val="center"/>
          </w:tcPr>
          <w:p w14:paraId="6C1F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20" w:type="dxa"/>
            <w:vAlign w:val="center"/>
          </w:tcPr>
          <w:p w14:paraId="2681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E9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6B014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E0E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检测流程规范性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70BF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流程未按标准执行（如未核对图纸、未双人复核），每项扣2分，最多扣10分。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C43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 w14:paraId="090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09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698E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A46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设备操作准确性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4DA0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操作错误导致系统误判（如报警延迟、喷淋误启动），每处扣3分，最多扣15分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D77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vAlign w:val="center"/>
          </w:tcPr>
          <w:p w14:paraId="071E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AF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2CF2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738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数据记录完整性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2F06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数据缺失或记录不清晰，每项扣2分，最多扣10分。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8B8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 w14:paraId="469A1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16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51E3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BB4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安全与文明施工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2F08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检测过程中未采取安全防护措施，</w:t>
            </w:r>
          </w:p>
          <w:p w14:paraId="7FEA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扣3分；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E2A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7CA9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C4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3E0B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1B1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检测报告质量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4C2B2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缺少关键检测项目，每个扣3分，最多扣9分；</w:t>
            </w:r>
          </w:p>
          <w:p w14:paraId="3EC6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结论与数据矛盾，每个扣2分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，最多扣6分。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DEA7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vAlign w:val="center"/>
          </w:tcPr>
          <w:p w14:paraId="210D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73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3CE2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B0C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整改建议可行性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4D00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整改方案不具体或缺乏操作性，扣3分；</w:t>
            </w:r>
          </w:p>
          <w:p w14:paraId="549E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未提供整改复核服务，扣4分。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3E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20" w:type="dxa"/>
            <w:vAlign w:val="center"/>
          </w:tcPr>
          <w:p w14:paraId="383B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61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6" w:type="dxa"/>
            <w:vAlign w:val="center"/>
          </w:tcPr>
          <w:p w14:paraId="4AC9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D2B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服务态度与配合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261F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未在规定响应时间内响应甲方紧急需求，每次扣3分，最多扣9分；</w:t>
            </w:r>
          </w:p>
          <w:p w14:paraId="4946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回复敷衍或推诿责任，扣2分。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F2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 w14:paraId="6C0D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FA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36" w:type="dxa"/>
            <w:vAlign w:val="center"/>
          </w:tcPr>
          <w:p w14:paraId="4278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299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环境保护与保密义务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095D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检测后未清理现场，每发现1次扣2分，最多扣10分；</w:t>
            </w:r>
          </w:p>
          <w:p w14:paraId="4377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未经甲方允许泄露相关数据、报告内容、甲方提供的响应技术资料的，扣5分并终止合同。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B106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vAlign w:val="center"/>
          </w:tcPr>
          <w:p w14:paraId="6604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70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16" w:type="dxa"/>
            <w:gridSpan w:val="3"/>
            <w:vAlign w:val="center"/>
          </w:tcPr>
          <w:p w14:paraId="0937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总分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2E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320" w:type="dxa"/>
            <w:vAlign w:val="center"/>
          </w:tcPr>
          <w:p w14:paraId="1830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4162FDD">
      <w:pPr>
        <w:ind w:left="0" w:leftChars="0" w:firstLine="0" w:firstLineChars="0"/>
        <w:jc w:val="both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总分100分，采用扣分制进行考核。</w:t>
      </w:r>
    </w:p>
    <w:p w14:paraId="615720F4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四、考核方式</w:t>
      </w:r>
    </w:p>
    <w:p w14:paraId="62796ED3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日常检查：甲方随机抽查检测记录、报告及影像资料，占比30%。</w:t>
      </w:r>
    </w:p>
    <w:p w14:paraId="3078BB09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现场抽查：抽取10%-20%的高层建筑进行实地复检，占比50%。</w:t>
      </w:r>
    </w:p>
    <w:p w14:paraId="6CAB17C9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客户评价：甲方对服务态度、响应速度等进行评分，占比20%。</w:t>
      </w:r>
    </w:p>
    <w:p w14:paraId="54904137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五、奖惩措施</w:t>
      </w:r>
    </w:p>
    <w:p w14:paraId="3D6ADA67">
      <w:pPr>
        <w:ind w:left="0" w:leftChars="0" w:firstLine="0" w:firstLineChars="0"/>
        <w:jc w:val="both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考核分值达到90分以上，服务最终结算价款不扣除任何金额。</w:t>
      </w:r>
    </w:p>
    <w:p w14:paraId="68CC1B66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考核分值80≤分数&lt;90，服务最终结算价款扣除服务总费用的5%；</w:t>
      </w:r>
    </w:p>
    <w:p w14:paraId="462198B2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考核分值70≤分数&lt;80，服务最终结算价款扣除服务总费用的10%；</w:t>
      </w:r>
    </w:p>
    <w:p w14:paraId="5CF60DB8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考核分值60≤分数&lt;70，扣除当次服务总费用的 15%；</w:t>
      </w:r>
    </w:p>
    <w:p w14:paraId="6187DC81">
      <w:pPr>
        <w:ind w:left="0" w:leftChars="0" w:firstLine="0" w:firstLineChars="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考核分值分数&lt;60，扣除当次服务总费用的20%；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2"/>
      </w:pPr>
      <w:r>
        <w:separator/>
      </w:r>
    </w:p>
  </w:endnote>
  <w:endnote w:type="continuationSeparator" w:id="1">
    <w:p>
      <w:pPr>
        <w:spacing w:line="240" w:lineRule="auto"/>
        <w:ind w:firstLine="5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2" w:lineRule="auto"/>
        <w:ind w:firstLine="562"/>
      </w:pPr>
      <w:r>
        <w:separator/>
      </w:r>
    </w:p>
  </w:footnote>
  <w:footnote w:type="continuationSeparator" w:id="1">
    <w:p>
      <w:pPr>
        <w:spacing w:line="332" w:lineRule="auto"/>
        <w:ind w:firstLine="56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50B7"/>
    <w:rsid w:val="106A49E0"/>
    <w:rsid w:val="114C6E9F"/>
    <w:rsid w:val="13F20687"/>
    <w:rsid w:val="14E34CD7"/>
    <w:rsid w:val="15073888"/>
    <w:rsid w:val="18521294"/>
    <w:rsid w:val="19F95331"/>
    <w:rsid w:val="1FA4037A"/>
    <w:rsid w:val="20E91450"/>
    <w:rsid w:val="25026107"/>
    <w:rsid w:val="28C34343"/>
    <w:rsid w:val="2B345DDC"/>
    <w:rsid w:val="2D051244"/>
    <w:rsid w:val="2E631149"/>
    <w:rsid w:val="2FB62925"/>
    <w:rsid w:val="316E1F6D"/>
    <w:rsid w:val="39E9443D"/>
    <w:rsid w:val="3EDC4A7C"/>
    <w:rsid w:val="3F73110D"/>
    <w:rsid w:val="408353E4"/>
    <w:rsid w:val="4144797A"/>
    <w:rsid w:val="42F15639"/>
    <w:rsid w:val="465563EF"/>
    <w:rsid w:val="46821325"/>
    <w:rsid w:val="484336AB"/>
    <w:rsid w:val="48CA50B7"/>
    <w:rsid w:val="4F037031"/>
    <w:rsid w:val="52D43B9C"/>
    <w:rsid w:val="531E5D8C"/>
    <w:rsid w:val="53CD64E4"/>
    <w:rsid w:val="55214D3B"/>
    <w:rsid w:val="58753EFF"/>
    <w:rsid w:val="5C9C1C50"/>
    <w:rsid w:val="5E162E28"/>
    <w:rsid w:val="64684F27"/>
    <w:rsid w:val="661E50E3"/>
    <w:rsid w:val="686626D4"/>
    <w:rsid w:val="690F3409"/>
    <w:rsid w:val="6DE701F7"/>
    <w:rsid w:val="708E3C26"/>
    <w:rsid w:val="70EB13B6"/>
    <w:rsid w:val="73607E1B"/>
    <w:rsid w:val="76B027AE"/>
    <w:rsid w:val="76E03853"/>
    <w:rsid w:val="78160DEA"/>
    <w:rsid w:val="7BCA1E89"/>
    <w:rsid w:val="7CA57F45"/>
    <w:rsid w:val="7CB4427F"/>
    <w:rsid w:val="7F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2" w:lineRule="auto"/>
      <w:ind w:firstLine="1440" w:firstLineChars="200"/>
      <w:jc w:val="both"/>
    </w:pPr>
    <w:rPr>
      <w:rFonts w:ascii="Times New Roman" w:hAnsi="Times New Roman" w:eastAsia="宋体" w:cs="Times New Roman"/>
      <w:b/>
      <w:color w:val="auto"/>
      <w:kern w:val="2"/>
      <w:sz w:val="28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pageBreakBefore/>
      <w:adjustRightInd w:val="0"/>
      <w:snapToGrid w:val="0"/>
      <w:spacing w:line="360" w:lineRule="auto"/>
      <w:ind w:firstLine="0" w:firstLineChars="0"/>
      <w:jc w:val="center"/>
      <w:outlineLvl w:val="0"/>
    </w:pPr>
    <w:rPr>
      <w:rFonts w:ascii="黑体" w:hAnsi="黑体" w:eastAsia="宋体" w:cs="Times New Roman"/>
      <w:snapToGrid w:val="0"/>
      <w:sz w:val="28"/>
      <w:szCs w:val="20"/>
      <w:lang w:eastAsia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outlineLvl w:val="1"/>
    </w:pPr>
    <w:rPr>
      <w:rFonts w:ascii="黑体" w:hAnsi="黑体" w:eastAsia="仿宋" w:cs="Times New Roman"/>
      <w:sz w:val="24"/>
      <w:szCs w:val="36"/>
      <w:lang w:eastAsia="en-US"/>
    </w:rPr>
  </w:style>
  <w:style w:type="paragraph" w:styleId="4">
    <w:name w:val="heading 3"/>
    <w:basedOn w:val="1"/>
    <w:next w:val="5"/>
    <w:link w:val="11"/>
    <w:semiHidden/>
    <w:unhideWhenUsed/>
    <w:qFormat/>
    <w:uiPriority w:val="0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24" w:lineRule="auto"/>
      <w:ind w:left="0" w:firstLine="0" w:firstLineChars="0"/>
      <w:jc w:val="both"/>
      <w:outlineLvl w:val="2"/>
    </w:pPr>
    <w:rPr>
      <w:rFonts w:ascii="宋体" w:hAnsi="宋体" w:eastAsia="华文宋体"/>
      <w:snapToGrid w:val="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link w:val="3"/>
    <w:qFormat/>
    <w:uiPriority w:val="0"/>
    <w:rPr>
      <w:rFonts w:ascii="宋体" w:hAnsi="宋体" w:eastAsia="仿宋" w:cs="Times New Roman"/>
      <w:b/>
      <w:sz w:val="24"/>
      <w:szCs w:val="24"/>
      <w:lang w:val="en-US" w:eastAsia="en-US" w:bidi="ar-SA"/>
    </w:rPr>
  </w:style>
  <w:style w:type="character" w:customStyle="1" w:styleId="11">
    <w:name w:val="标题 3 字符"/>
    <w:link w:val="4"/>
    <w:autoRedefine/>
    <w:qFormat/>
    <w:uiPriority w:val="0"/>
    <w:rPr>
      <w:rFonts w:ascii="宋体" w:hAnsi="宋体" w:eastAsia="华文宋体"/>
      <w:b/>
      <w:snapToGrid w:val="0"/>
      <w:sz w:val="28"/>
      <w:lang w:val="en-US" w:eastAsia="zh-CN" w:bidi="ar-SA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黑体" w:hAnsi="黑体" w:eastAsia="宋体" w:cs="Times New Roman"/>
      <w:snapToGrid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924</Characters>
  <Lines>0</Lines>
  <Paragraphs>0</Paragraphs>
  <TotalTime>1</TotalTime>
  <ScaleCrop>false</ScaleCrop>
  <LinksUpToDate>false</LinksUpToDate>
  <CharactersWithSpaces>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2025-03-05T08:54:00Z</dcterms:created>
  <dc:creator>Adversity</dc:creator>
  <cp:lastModifiedBy>Adversity</cp:lastModifiedBy>
  <dcterms:modified xsi:type="dcterms:W3CDTF">2025-03-06T05:45:13Z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734778A54F0A4590BC9BB65E7C864A7F_11</vt:lpwstr>
  </property>
  <property fmtid="{D5CDD505-2E9C-101B-9397-08002B2CF9AE}" pid="4" name="KSOTemplateDocerSaveRecord">
    <vt:lpwstr>eyJoZGlkIjoiYmY3NzUzY2U0NDExNjYwOThkOThlMjQ2M2RiZGIyNzUiLCJ1c2VySWQiOiIzODg1MDM2MzYifQ==</vt:lpwstr>
  </property>
</Properties>
</file>