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0"/>
        <w:jc w:val="right"/>
        <w:rPr>
          <w:rFonts w:hint="eastAsia" w:ascii="仿宋" w:hAnsi="仿宋" w:eastAsia="仿宋"/>
          <w:color w:val="000000" w:themeColor="text1"/>
        </w:rPr>
      </w:pPr>
      <w:r/>
      <w:bookmarkStart w:id="0" w:name="_Toc11771421"/>
      <w:r/>
      <w:bookmarkStart w:id="1" w:name="_Toc11771422"/>
      <w:r>
        <w:rPr>
          <w:rFonts w:hint="eastAsia" w:ascii="仿宋" w:hAnsi="仿宋" w:eastAsia="仿宋"/>
          <w:color w:val="000000" w:themeColor="text1"/>
        </w:rPr>
        <mc:AlternateContent>
          <mc:Choice Requires="wpg">
            <w:drawing>
              <wp:inline xmlns:wp="http://schemas.openxmlformats.org/drawingml/2006/wordprocessingDrawing" distT="0" distB="0" distL="0" distR="0">
                <wp:extent cx="1039495" cy="1039495"/>
                <wp:effectExtent l="19050" t="0" r="8255" b="0"/>
                <wp:docPr id="1" name="图片 2" descr="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LOGO-02_副本"/>
                        <pic:cNvPicPr>
                          <a:picLocks noChangeAspect="1"/>
                        </pic:cNvPicPr>
                        <pic:nvPr/>
                      </pic:nvPicPr>
                      <pic:blipFill>
                        <a:blip r:embed="rId17"/>
                        <a:stretch/>
                      </pic:blipFill>
                      <pic:spPr bwMode="auto">
                        <a:xfrm>
                          <a:off x="0" y="0"/>
                          <a:ext cx="1039495" cy="103949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8pt;height:81.8pt;mso-wrap-distance-left:0.0pt;mso-wrap-distance-top:0.0pt;mso-wrap-distance-right:0.0pt;mso-wrap-distance-bottom:0.0pt;" stroked="f" strokeweight="0.75pt">
                <v:path textboxrect="0,0,0,0"/>
                <v:imagedata r:id="rId17" o:title=""/>
              </v:shape>
            </w:pict>
          </mc:Fallback>
        </mc:AlternateContent>
      </w:r>
      <w:bookmarkEnd w:id="0"/>
      <w:r/>
      <w:r/>
    </w:p>
    <w:p>
      <w:pPr>
        <w:rPr>
          <w:rFonts w:hint="eastAsia" w:ascii="仿宋" w:hAnsi="仿宋" w:eastAsia="仿宋"/>
          <w:color w:val="000000" w:themeColor="text1"/>
        </w:rPr>
      </w:pPr>
      <w:r>
        <w:rPr>
          <w:rFonts w:hint="eastAsia" w:ascii="仿宋" w:hAnsi="仿宋" w:eastAsia="仿宋"/>
          <w:color w:val="000000" w:themeColor="text1"/>
        </w:rPr>
      </w:r>
      <w:r/>
    </w:p>
    <w:p>
      <w:pPr>
        <w:pStyle w:val="1007"/>
        <w:rPr>
          <w:rFonts w:hint="eastAsia" w:ascii="仿宋" w:hAnsi="仿宋" w:eastAsia="仿宋"/>
          <w:color w:val="000000" w:themeColor="text1"/>
        </w:rPr>
      </w:pPr>
      <w:r>
        <w:rPr>
          <w:rFonts w:hint="eastAsia" w:ascii="仿宋" w:hAnsi="仿宋" w:eastAsia="仿宋"/>
          <w:color w:val="000000" w:themeColor="text1"/>
        </w:rPr>
      </w:r>
      <w:r/>
    </w:p>
    <w:p>
      <w:pPr>
        <w:ind w:firstLine="600"/>
        <w:rPr>
          <w:rFonts w:hint="eastAsia" w:ascii="仿宋" w:hAnsi="仿宋" w:eastAsia="仿宋"/>
          <w:color w:val="000000" w:themeColor="text1"/>
        </w:rPr>
      </w:pPr>
      <w:r>
        <w:rPr>
          <w:rFonts w:hint="eastAsia" w:ascii="仿宋" w:hAnsi="仿宋" w:eastAsia="仿宋"/>
          <w:color w:val="000000" w:themeColor="text1"/>
        </w:rPr>
      </w:r>
      <w:r/>
    </w:p>
    <w:p>
      <w:pPr>
        <w:jc w:val="center"/>
        <w:rPr>
          <w:rFonts w:hint="eastAsia" w:ascii="仿宋" w:hAnsi="仿宋" w:eastAsia="仿宋"/>
          <w:b/>
          <w:bCs/>
          <w:color w:val="000000" w:themeColor="text1"/>
          <w:sz w:val="100"/>
          <w:szCs w:val="100"/>
        </w:rPr>
      </w:pPr>
      <w:r/>
      <w:bookmarkStart w:id="2" w:name="_Toc19541334"/>
      <w:r>
        <w:rPr>
          <w:rFonts w:hint="eastAsia" w:ascii="仿宋" w:hAnsi="仿宋" w:eastAsia="仿宋"/>
          <w:b/>
          <w:bCs/>
          <w:color w:val="000000" w:themeColor="text1"/>
          <w:sz w:val="100"/>
          <w:szCs w:val="100"/>
        </w:rPr>
        <w:t xml:space="preserve">公开招标文件</w:t>
      </w:r>
      <w:bookmarkEnd w:id="1"/>
      <w:r/>
      <w:bookmarkEnd w:id="2"/>
      <w:r/>
      <w:r/>
    </w:p>
    <w:p>
      <w:pPr>
        <w:ind w:firstLine="602"/>
        <w:jc w:val="center"/>
        <w:rPr>
          <w:rFonts w:hint="eastAsia" w:ascii="仿宋" w:hAnsi="仿宋" w:eastAsia="仿宋"/>
          <w:b/>
          <w:bCs/>
          <w:color w:val="000000" w:themeColor="text1"/>
        </w:rPr>
      </w:pPr>
      <w:r>
        <w:rPr>
          <w:rFonts w:hint="eastAsia" w:ascii="仿宋" w:hAnsi="仿宋" w:eastAsia="仿宋"/>
          <w:b/>
          <w:bCs/>
          <w:color w:val="000000" w:themeColor="text1"/>
        </w:rPr>
      </w:r>
      <w:r/>
    </w:p>
    <w:p>
      <w:pPr>
        <w:ind w:firstLine="602"/>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1007"/>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1007"/>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1007"/>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1007"/>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1007"/>
        <w:ind w:firstLine="0"/>
        <w:rPr>
          <w:rFonts w:hint="eastAsia" w:ascii="仿宋" w:hAnsi="仿宋" w:eastAsia="仿宋"/>
          <w:b/>
          <w:bCs/>
          <w:color w:val="000000" w:themeColor="text1"/>
        </w:rPr>
      </w:pPr>
      <w:r>
        <w:rPr>
          <w:rFonts w:hint="eastAsia" w:ascii="仿宋" w:hAnsi="仿宋" w:eastAsia="仿宋"/>
          <w:b/>
          <w:bCs/>
          <w:color w:val="000000" w:themeColor="text1"/>
        </w:rPr>
      </w:r>
      <w:r/>
    </w:p>
    <w:p>
      <w:pPr>
        <w:pStyle w:val="1007"/>
        <w:ind w:firstLine="0"/>
        <w:rPr>
          <w:rFonts w:hint="eastAsia" w:ascii="仿宋" w:hAnsi="仿宋" w:eastAsia="仿宋"/>
          <w:b/>
          <w:bCs/>
          <w:color w:val="000000" w:themeColor="text1"/>
        </w:rPr>
      </w:pPr>
      <w:r>
        <w:rPr>
          <w:rFonts w:hint="eastAsia" w:ascii="仿宋" w:hAnsi="仿宋" w:eastAsia="仿宋"/>
          <w:b/>
          <w:bCs/>
          <w:color w:val="000000" w:themeColor="text1"/>
        </w:rPr>
      </w:r>
      <w:r/>
    </w:p>
    <w:p>
      <w:pPr>
        <w:pStyle w:val="1007"/>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jc w:val="left"/>
        <w:spacing w:line="360" w:lineRule="auto"/>
        <w:rPr>
          <w:rFonts w:hint="eastAsia" w:ascii="仿宋" w:hAnsi="仿宋" w:eastAsia="仿宋" w:cs="仿宋"/>
          <w:b/>
          <w:bCs/>
          <w:color w:val="000000" w:themeColor="text1"/>
          <w:sz w:val="40"/>
          <w:szCs w:val="40"/>
          <w:lang w:val="zh-CN"/>
        </w:rPr>
      </w:pPr>
      <w:r>
        <w:rPr>
          <w:rFonts w:hint="eastAsia" w:ascii="仿宋" w:hAnsi="仿宋" w:eastAsia="仿宋" w:cs="仿宋"/>
          <w:b/>
          <w:bCs/>
          <w:color w:val="000000" w:themeColor="text1"/>
          <w:sz w:val="40"/>
          <w:szCs w:val="40"/>
          <w:lang w:val="zh-CN"/>
        </w:rPr>
        <w:t xml:space="preserve">项目编号：</w:t>
      </w:r>
      <w:r>
        <w:rPr>
          <w:rFonts w:ascii="仿宋" w:hAnsi="仿宋" w:eastAsia="仿宋" w:cs="仿宋"/>
          <w:b/>
          <w:bCs/>
          <w:color w:val="000000" w:themeColor="text1"/>
          <w:sz w:val="40"/>
          <w:szCs w:val="40"/>
          <w:lang w:val="zh-CN"/>
        </w:rPr>
        <w:t xml:space="preserve">JSZC-320115-NJRJ-G2026-0006</w:t>
      </w:r>
      <w:r>
        <w:rPr>
          <w:rFonts w:ascii="仿宋" w:hAnsi="仿宋" w:eastAsia="仿宋" w:cs="仿宋"/>
          <w:b/>
          <w:bCs/>
          <w:color w:val="000000" w:themeColor="text1"/>
          <w:sz w:val="40"/>
          <w:szCs w:val="40"/>
          <w:lang w:val="zh-CN"/>
        </w:rPr>
        <w:tab/>
      </w:r>
      <w:r/>
    </w:p>
    <w:p>
      <w:pPr>
        <w:jc w:val="left"/>
        <w:spacing w:line="360" w:lineRule="auto"/>
        <w:rPr>
          <w:rFonts w:hint="eastAsia" w:ascii="仿宋" w:hAnsi="仿宋" w:eastAsia="仿宋" w:cs="仿宋"/>
          <w:b/>
          <w:bCs/>
          <w:color w:val="000000" w:themeColor="text1"/>
          <w:sz w:val="40"/>
          <w:szCs w:val="40"/>
        </w:rPr>
      </w:pPr>
      <w:r>
        <w:rPr>
          <w:rFonts w:hint="eastAsia" w:ascii="仿宋" w:hAnsi="仿宋" w:eastAsia="仿宋" w:cs="仿宋"/>
          <w:b/>
          <w:bCs/>
          <w:color w:val="000000" w:themeColor="text1"/>
          <w:sz w:val="40"/>
          <w:szCs w:val="40"/>
          <w:lang w:val="zh-CN"/>
        </w:rPr>
        <w:t xml:space="preserve">项目名称：</w:t>
      </w:r>
      <w:r>
        <w:rPr>
          <w:rFonts w:hint="eastAsia" w:ascii="仿宋" w:hAnsi="仿宋" w:eastAsia="仿宋" w:cs="仿宋"/>
          <w:b/>
          <w:bCs/>
          <w:color w:val="000000" w:themeColor="text1"/>
          <w:sz w:val="40"/>
          <w:szCs w:val="40"/>
          <w:lang w:val="zh-CN"/>
        </w:rPr>
        <w:t xml:space="preserve">江宁开发区智慧水</w:t>
      </w:r>
      <w:r>
        <w:rPr>
          <w:rFonts w:hint="eastAsia" w:ascii="仿宋" w:hAnsi="仿宋" w:eastAsia="仿宋" w:cs="仿宋"/>
          <w:b/>
          <w:bCs/>
          <w:color w:val="000000" w:themeColor="text1"/>
          <w:sz w:val="40"/>
          <w:szCs w:val="40"/>
          <w:lang w:val="zh-CN"/>
        </w:rPr>
        <w:t xml:space="preserve">务</w:t>
      </w:r>
      <w:r>
        <w:rPr>
          <w:rFonts w:hint="eastAsia" w:ascii="仿宋" w:hAnsi="仿宋" w:eastAsia="仿宋" w:cs="仿宋"/>
          <w:b/>
          <w:bCs/>
          <w:color w:val="000000" w:themeColor="text1"/>
          <w:sz w:val="40"/>
          <w:szCs w:val="40"/>
          <w:lang w:val="zh-CN"/>
        </w:rPr>
        <w:t xml:space="preserve">平台后期运维服务</w:t>
      </w:r>
      <w:r/>
    </w:p>
    <w:p>
      <w:pPr>
        <w:pStyle w:val="923"/>
        <w:jc w:val="left"/>
        <w:spacing w:after="0" w:line="360" w:lineRule="auto"/>
        <w:rPr>
          <w:rFonts w:hint="eastAsia" w:ascii="仿宋" w:hAnsi="仿宋" w:eastAsia="仿宋" w:cs="仿宋"/>
          <w:b/>
          <w:bCs/>
          <w:color w:val="000000" w:themeColor="text1"/>
          <w:sz w:val="40"/>
          <w:szCs w:val="40"/>
        </w:rPr>
      </w:pPr>
      <w:r>
        <w:rPr>
          <w:rFonts w:hint="eastAsia" w:ascii="仿宋" w:hAnsi="仿宋" w:eastAsia="仿宋" w:cs="仿宋"/>
          <w:b/>
          <w:bCs/>
          <w:color w:val="000000" w:themeColor="text1"/>
          <w:sz w:val="40"/>
          <w:szCs w:val="40"/>
        </w:rPr>
        <w:t xml:space="preserve">采购类别：服务类</w:t>
      </w:r>
      <w:r/>
    </w:p>
    <w:p>
      <w:pPr>
        <w:ind w:firstLine="803"/>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ind w:firstLine="803"/>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jc w:val="center"/>
        <w:spacing w:line="360" w:lineRule="auto"/>
        <w:rPr>
          <w:rFonts w:hint="eastAsia" w:ascii="仿宋" w:hAnsi="仿宋" w:eastAsia="仿宋"/>
          <w:b/>
          <w:bCs/>
          <w:color w:val="000000" w:themeColor="text1"/>
          <w:sz w:val="44"/>
          <w:szCs w:val="52"/>
        </w:rPr>
      </w:pPr>
      <w:r/>
      <w:bookmarkStart w:id="3" w:name="_Toc19541335"/>
      <w:r/>
      <w:bookmarkStart w:id="4" w:name="_Toc11771423"/>
      <w:r>
        <w:rPr>
          <w:rFonts w:hint="eastAsia" w:ascii="仿宋" w:hAnsi="仿宋" w:eastAsia="仿宋"/>
          <w:b/>
          <w:bCs/>
          <w:color w:val="000000" w:themeColor="text1"/>
          <w:sz w:val="44"/>
          <w:szCs w:val="52"/>
        </w:rPr>
        <w:t xml:space="preserve">南京瑞嘉建设项目管理有限公司</w:t>
      </w:r>
      <w:bookmarkEnd w:id="3"/>
      <w:r/>
      <w:bookmarkEnd w:id="4"/>
      <w:r/>
      <w:r/>
    </w:p>
    <w:p>
      <w:pPr>
        <w:jc w:val="center"/>
        <w:spacing w:line="360" w:lineRule="auto"/>
        <w:rPr>
          <w:rFonts w:hint="eastAsia" w:ascii="仿宋" w:hAnsi="仿宋" w:eastAsia="仿宋" w:cs="仿宋"/>
          <w:b/>
          <w:bCs/>
          <w:color w:val="000000" w:themeColor="text1"/>
          <w:sz w:val="44"/>
        </w:rPr>
      </w:pPr>
      <w:r>
        <w:rPr>
          <w:rFonts w:hint="eastAsia" w:ascii="仿宋" w:hAnsi="仿宋" w:eastAsia="仿宋" w:cs="仿宋"/>
          <w:b/>
          <w:bCs/>
          <w:color w:val="000000" w:themeColor="text1"/>
          <w:sz w:val="44"/>
        </w:rPr>
        <w:t xml:space="preserve">2026年</w:t>
      </w:r>
      <w:r>
        <w:rPr>
          <w:rFonts w:hint="eastAsia" w:ascii="仿宋" w:hAnsi="仿宋" w:eastAsia="仿宋" w:cs="仿宋"/>
          <w:b/>
          <w:bCs/>
          <w:color w:val="000000" w:themeColor="text1"/>
          <w:sz w:val="44"/>
        </w:rPr>
        <w:t xml:space="preserve">3</w:t>
      </w:r>
      <w:r>
        <w:rPr>
          <w:rFonts w:hint="eastAsia" w:ascii="仿宋" w:hAnsi="仿宋" w:eastAsia="仿宋" w:cs="仿宋"/>
          <w:b/>
          <w:bCs/>
          <w:color w:val="000000" w:themeColor="text1"/>
          <w:sz w:val="44"/>
        </w:rPr>
        <w:t xml:space="preserve">月</w:t>
      </w:r>
      <w:r/>
    </w:p>
    <w:p>
      <w:pPr>
        <w:pStyle w:val="1292"/>
        <w:ind w:firstLine="803"/>
        <w:spacing w:line="240" w:lineRule="auto"/>
        <w:tabs>
          <w:tab w:val="left" w:pos="2610" w:leader="none"/>
          <w:tab w:val="center" w:pos="4153" w:leader="none"/>
          <w:tab w:val="center" w:pos="4554" w:leader="none"/>
          <w:tab w:val="left" w:pos="5529" w:leader="none"/>
        </w:tabs>
        <w:rPr>
          <w:rFonts w:hint="eastAsia" w:ascii="仿宋" w:hAnsi="仿宋" w:eastAsia="仿宋"/>
          <w:color w:val="000000" w:themeColor="text1"/>
          <w:sz w:val="32"/>
          <w:szCs w:val="22"/>
          <w:lang w:val="zh-CN"/>
        </w:rPr>
      </w:pPr>
      <w:r>
        <w:rPr>
          <w:rFonts w:hint="eastAsia" w:ascii="仿宋" w:hAnsi="仿宋" w:eastAsia="仿宋"/>
          <w:color w:val="000000" w:themeColor="text1"/>
          <w:sz w:val="32"/>
          <w:szCs w:val="22"/>
          <w:lang w:val="zh-CN"/>
        </w:rPr>
        <w:tab/>
      </w:r>
      <w:r>
        <w:rPr>
          <w:rFonts w:hint="eastAsia" w:ascii="仿宋" w:hAnsi="仿宋" w:eastAsia="仿宋"/>
          <w:color w:val="000000" w:themeColor="text1"/>
          <w:sz w:val="32"/>
          <w:szCs w:val="22"/>
          <w:lang w:val="zh-CN"/>
        </w:rPr>
        <w:tab/>
      </w:r>
      <w:r>
        <w:rPr>
          <w:rFonts w:hint="eastAsia" w:ascii="仿宋" w:hAnsi="仿宋" w:eastAsia="仿宋"/>
          <w:color w:val="000000" w:themeColor="text1"/>
          <w:sz w:val="32"/>
          <w:szCs w:val="22"/>
          <w:lang w:val="zh-CN"/>
        </w:rPr>
        <w:tab/>
      </w:r>
      <w:r>
        <w:rPr>
          <w:rFonts w:ascii="仿宋" w:hAnsi="仿宋" w:eastAsia="仿宋"/>
          <w:color w:val="000000" w:themeColor="text1"/>
          <w:sz w:val="32"/>
          <w:szCs w:val="22"/>
          <w:lang w:val="zh-CN"/>
        </w:rPr>
        <w:t xml:space="preserve">目 录</w:t>
      </w:r>
      <w:r>
        <w:rPr>
          <w:rFonts w:hint="eastAsia" w:ascii="仿宋" w:hAnsi="仿宋" w:eastAsia="仿宋"/>
          <w:color w:val="000000" w:themeColor="text1"/>
          <w:sz w:val="32"/>
          <w:szCs w:val="22"/>
          <w:lang w:val="zh-CN"/>
        </w:rPr>
        <w:tab/>
      </w:r>
      <w:r/>
    </w:p>
    <w:p>
      <w:pPr>
        <w:pStyle w:val="941"/>
        <w:spacing w:line="360" w:lineRule="auto"/>
        <w:tabs>
          <w:tab w:val="right" w:pos="8296" w:leader="dot"/>
        </w:tabs>
        <w:rPr>
          <w:rFonts w:hint="eastAsia" w:ascii="仿宋" w:hAnsi="仿宋" w:eastAsia="仿宋" w:cstheme="minorBidi"/>
          <w:b/>
          <w:bCs/>
          <w:color w:val="000000" w:themeColor="text1"/>
          <w:sz w:val="24"/>
        </w:rPr>
      </w:pPr>
      <w:r>
        <w:rPr>
          <w:rFonts w:ascii="仿宋" w:hAnsi="仿宋" w:eastAsia="仿宋"/>
          <w:b/>
          <w:color w:val="000000" w:themeColor="text1"/>
          <w:sz w:val="24"/>
        </w:rPr>
        <w:fldChar w:fldCharType="begin"/>
      </w:r>
      <w:r>
        <w:rPr>
          <w:rFonts w:ascii="仿宋" w:hAnsi="仿宋" w:eastAsia="仿宋"/>
          <w:b/>
          <w:color w:val="000000" w:themeColor="text1"/>
          <w:sz w:val="24"/>
        </w:rPr>
        <w:instrText xml:space="preserve"> TOC \o "1-3" \h \z \u </w:instrText>
      </w:r>
      <w:r>
        <w:rPr>
          <w:rFonts w:ascii="仿宋" w:hAnsi="仿宋" w:eastAsia="仿宋"/>
          <w:b/>
          <w:color w:val="000000" w:themeColor="text1"/>
          <w:sz w:val="24"/>
        </w:rPr>
        <w:fldChar w:fldCharType="separate"/>
      </w:r>
      <w:hyperlink w:tooltip="#_Toc205561298" w:anchor="_Toc205561298" w:history="1">
        <w:r>
          <w:rPr>
            <w:rStyle w:val="969"/>
            <w:rFonts w:hint="eastAsia" w:ascii="仿宋" w:hAnsi="仿宋" w:eastAsia="仿宋"/>
            <w:b/>
            <w:bCs/>
            <w:color w:val="000000" w:themeColor="text1"/>
            <w:sz w:val="24"/>
          </w:rPr>
          <w:t xml:space="preserve">第一章 招标公告</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_Toc205561298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3</w:t>
        </w:r>
        <w:r>
          <w:rPr>
            <w:rFonts w:hint="eastAsia" w:ascii="仿宋" w:hAnsi="仿宋" w:eastAsia="仿宋"/>
            <w:b/>
            <w:bCs/>
            <w:color w:val="000000" w:themeColor="text1"/>
            <w:sz w:val="24"/>
          </w:rPr>
          <w:fldChar w:fldCharType="end"/>
        </w:r>
      </w:hyperlink>
      <w:r/>
      <w:r/>
    </w:p>
    <w:p>
      <w:pPr>
        <w:pStyle w:val="941"/>
        <w:spacing w:line="360" w:lineRule="auto"/>
        <w:tabs>
          <w:tab w:val="right" w:pos="8296" w:leader="dot"/>
        </w:tabs>
        <w:rPr>
          <w:rFonts w:hint="eastAsia" w:ascii="仿宋" w:hAnsi="仿宋" w:eastAsia="仿宋" w:cstheme="minorBidi"/>
          <w:b/>
          <w:bCs/>
          <w:color w:val="000000" w:themeColor="text1"/>
          <w:sz w:val="24"/>
        </w:rPr>
      </w:pPr>
      <w:r/>
      <w:hyperlink w:tooltip="#_Toc205561299" w:anchor="_Toc205561299" w:history="1">
        <w:r>
          <w:rPr>
            <w:rStyle w:val="969"/>
            <w:rFonts w:hint="eastAsia" w:ascii="仿宋" w:hAnsi="仿宋" w:eastAsia="仿宋"/>
            <w:b/>
            <w:bCs/>
            <w:color w:val="000000" w:themeColor="text1"/>
            <w:sz w:val="24"/>
          </w:rPr>
          <w:t xml:space="preserve">第二章 供应商须知</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_Toc205561299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8</w:t>
        </w:r>
        <w:r>
          <w:rPr>
            <w:rFonts w:hint="eastAsia" w:ascii="仿宋" w:hAnsi="仿宋" w:eastAsia="仿宋"/>
            <w:b/>
            <w:bCs/>
            <w:color w:val="000000" w:themeColor="text1"/>
            <w:sz w:val="24"/>
          </w:rPr>
          <w:fldChar w:fldCharType="end"/>
        </w:r>
      </w:hyperlink>
      <w:r/>
      <w:r/>
    </w:p>
    <w:p>
      <w:pPr>
        <w:pStyle w:val="941"/>
        <w:spacing w:line="360" w:lineRule="auto"/>
        <w:tabs>
          <w:tab w:val="right" w:pos="8296" w:leader="dot"/>
        </w:tabs>
        <w:rPr>
          <w:rFonts w:hint="eastAsia" w:ascii="仿宋" w:hAnsi="仿宋" w:eastAsia="仿宋" w:cstheme="minorBidi"/>
          <w:b/>
          <w:bCs/>
          <w:color w:val="000000" w:themeColor="text1"/>
          <w:sz w:val="24"/>
        </w:rPr>
      </w:pPr>
      <w:r/>
      <w:hyperlink w:tooltip="#_Toc205561300" w:anchor="_Toc205561300" w:history="1">
        <w:r>
          <w:rPr>
            <w:rStyle w:val="969"/>
            <w:rFonts w:hint="eastAsia" w:ascii="仿宋" w:hAnsi="仿宋" w:eastAsia="仿宋"/>
            <w:b/>
            <w:bCs/>
            <w:color w:val="000000" w:themeColor="text1"/>
            <w:sz w:val="24"/>
          </w:rPr>
          <w:t xml:space="preserve">第三章 评标标准</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_Toc205561300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27</w:t>
        </w:r>
        <w:r>
          <w:rPr>
            <w:rFonts w:hint="eastAsia" w:ascii="仿宋" w:hAnsi="仿宋" w:eastAsia="仿宋"/>
            <w:b/>
            <w:bCs/>
            <w:color w:val="000000" w:themeColor="text1"/>
            <w:sz w:val="24"/>
          </w:rPr>
          <w:fldChar w:fldCharType="end"/>
        </w:r>
      </w:hyperlink>
      <w:r/>
      <w:r/>
    </w:p>
    <w:p>
      <w:pPr>
        <w:pStyle w:val="941"/>
        <w:spacing w:line="360" w:lineRule="auto"/>
        <w:tabs>
          <w:tab w:val="right" w:pos="8296" w:leader="dot"/>
        </w:tabs>
        <w:rPr>
          <w:rFonts w:hint="eastAsia" w:ascii="仿宋" w:hAnsi="仿宋" w:eastAsia="仿宋" w:cstheme="minorBidi"/>
          <w:b/>
          <w:bCs/>
          <w:color w:val="000000" w:themeColor="text1"/>
          <w:sz w:val="24"/>
        </w:rPr>
      </w:pPr>
      <w:r/>
      <w:hyperlink w:tooltip="#_Toc205561301" w:anchor="_Toc205561301" w:history="1">
        <w:r>
          <w:rPr>
            <w:rStyle w:val="969"/>
            <w:rFonts w:hint="eastAsia" w:ascii="仿宋" w:hAnsi="仿宋" w:eastAsia="仿宋"/>
            <w:b/>
            <w:bCs/>
            <w:color w:val="000000" w:themeColor="text1"/>
            <w:sz w:val="24"/>
          </w:rPr>
          <w:t xml:space="preserve">第四章 采购需求及服务要求</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_Toc205561301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32</w:t>
        </w:r>
        <w:r>
          <w:rPr>
            <w:rFonts w:hint="eastAsia" w:ascii="仿宋" w:hAnsi="仿宋" w:eastAsia="仿宋"/>
            <w:b/>
            <w:bCs/>
            <w:color w:val="000000" w:themeColor="text1"/>
            <w:sz w:val="24"/>
          </w:rPr>
          <w:fldChar w:fldCharType="end"/>
        </w:r>
      </w:hyperlink>
      <w:r/>
      <w:r/>
    </w:p>
    <w:p>
      <w:pPr>
        <w:pStyle w:val="941"/>
        <w:spacing w:line="360" w:lineRule="auto"/>
        <w:tabs>
          <w:tab w:val="right" w:pos="8296" w:leader="dot"/>
        </w:tabs>
        <w:rPr>
          <w:rFonts w:hint="eastAsia" w:ascii="仿宋" w:hAnsi="仿宋" w:eastAsia="仿宋" w:cstheme="minorBidi"/>
          <w:b/>
          <w:bCs/>
          <w:color w:val="000000" w:themeColor="text1"/>
          <w:sz w:val="24"/>
        </w:rPr>
      </w:pPr>
      <w:r/>
      <w:hyperlink w:tooltip="#_Toc205561302" w:anchor="_Toc205561302" w:history="1">
        <w:r>
          <w:rPr>
            <w:rStyle w:val="969"/>
            <w:rFonts w:hint="eastAsia" w:ascii="仿宋" w:hAnsi="仿宋" w:eastAsia="仿宋" w:cs="仿宋"/>
            <w:b/>
            <w:bCs/>
            <w:color w:val="000000" w:themeColor="text1"/>
            <w:sz w:val="24"/>
          </w:rPr>
          <w:t xml:space="preserve">第五章 合同主要条款及格式</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_Toc205561302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70</w:t>
        </w:r>
        <w:r>
          <w:rPr>
            <w:rFonts w:hint="eastAsia" w:ascii="仿宋" w:hAnsi="仿宋" w:eastAsia="仿宋"/>
            <w:b/>
            <w:bCs/>
            <w:color w:val="000000" w:themeColor="text1"/>
            <w:sz w:val="24"/>
          </w:rPr>
          <w:fldChar w:fldCharType="end"/>
        </w:r>
      </w:hyperlink>
      <w:r/>
      <w:r/>
    </w:p>
    <w:p>
      <w:pPr>
        <w:pStyle w:val="941"/>
        <w:spacing w:line="360" w:lineRule="auto"/>
        <w:tabs>
          <w:tab w:val="right" w:pos="8296" w:leader="dot"/>
        </w:tabs>
        <w:rPr>
          <w:rFonts w:hint="eastAsia" w:ascii="仿宋" w:hAnsi="仿宋" w:eastAsia="仿宋" w:cstheme="minorBidi"/>
          <w:b/>
          <w:bCs/>
          <w:color w:val="000000" w:themeColor="text1"/>
          <w:sz w:val="24"/>
        </w:rPr>
      </w:pPr>
      <w:r/>
      <w:hyperlink w:tooltip="#_Toc205561303" w:anchor="_Toc205561303" w:history="1">
        <w:r>
          <w:rPr>
            <w:rStyle w:val="969"/>
            <w:rFonts w:hint="eastAsia" w:ascii="仿宋" w:hAnsi="仿宋" w:eastAsia="仿宋" w:cs="仿宋"/>
            <w:b/>
            <w:bCs/>
            <w:color w:val="000000" w:themeColor="text1"/>
            <w:sz w:val="24"/>
          </w:rPr>
          <w:t xml:space="preserve">第六章 投标文件格式及附件</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_Toc205561303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79</w:t>
        </w:r>
        <w:r>
          <w:rPr>
            <w:rFonts w:hint="eastAsia" w:ascii="仿宋" w:hAnsi="仿宋" w:eastAsia="仿宋"/>
            <w:b/>
            <w:bCs/>
            <w:color w:val="000000" w:themeColor="text1"/>
            <w:sz w:val="24"/>
          </w:rPr>
          <w:fldChar w:fldCharType="end"/>
        </w:r>
      </w:hyperlink>
      <w:r/>
      <w:r/>
    </w:p>
    <w:p>
      <w:pPr>
        <w:ind w:firstLine="600"/>
        <w:spacing w:line="360" w:lineRule="auto"/>
        <w:rPr>
          <w:rFonts w:hint="eastAsia" w:ascii="仿宋" w:hAnsi="仿宋" w:eastAsia="仿宋"/>
          <w:b/>
          <w:color w:val="000000" w:themeColor="text1"/>
          <w:sz w:val="24"/>
        </w:rPr>
      </w:pPr>
      <w:r>
        <w:rPr>
          <w:rFonts w:ascii="仿宋" w:hAnsi="仿宋" w:eastAsia="仿宋"/>
          <w:color w:val="000000" w:themeColor="text1"/>
        </w:rPr>
        <w:fldChar w:fldCharType="end"/>
      </w:r>
      <w:r/>
    </w:p>
    <w:p>
      <w:pPr>
        <w:pStyle w:val="902"/>
        <w:jc w:val="center"/>
        <w:spacing w:line="240" w:lineRule="auto"/>
        <w:rPr>
          <w:rFonts w:hint="eastAsia" w:ascii="仿宋" w:hAnsi="仿宋" w:eastAsia="仿宋"/>
          <w:color w:val="000000" w:themeColor="text1"/>
          <w:sz w:val="32"/>
        </w:rPr>
      </w:pPr>
      <w:r>
        <w:rPr>
          <w:rFonts w:ascii="仿宋" w:hAnsi="仿宋" w:eastAsia="仿宋"/>
          <w:color w:val="000000" w:themeColor="text1"/>
          <w:sz w:val="32"/>
        </w:rPr>
        <w:br w:type="page" w:clear="all"/>
      </w:r>
      <w:bookmarkStart w:id="5" w:name="_Toc205561298"/>
      <w:r>
        <w:rPr>
          <w:rFonts w:hint="eastAsia" w:ascii="仿宋" w:hAnsi="仿宋" w:eastAsia="仿宋"/>
          <w:color w:val="000000" w:themeColor="text1"/>
          <w:sz w:val="32"/>
        </w:rPr>
        <w:t xml:space="preserve">第一章 招标公告</w:t>
      </w:r>
      <w:bookmarkEnd w:id="5"/>
      <w:r/>
      <w:r/>
    </w:p>
    <w:p>
      <w:pPr>
        <w:ind w:firstLine="480"/>
        <w:spacing w:line="360" w:lineRule="auto"/>
        <w:rPr>
          <w:rFonts w:hint="eastAsia" w:ascii="仿宋" w:hAnsi="仿宋" w:eastAsia="仿宋"/>
          <w:color w:val="000000" w:themeColor="text1"/>
          <w:sz w:val="24"/>
        </w:rPr>
        <w:pBdr>
          <w:top w:val="single" w:color="auto" w:sz="4" w:space="1"/>
          <w:left w:val="single" w:color="auto" w:sz="4" w:space="4"/>
          <w:bottom w:val="single" w:color="auto" w:sz="4" w:space="1"/>
          <w:right w:val="single" w:color="auto" w:sz="4" w:space="4"/>
        </w:pBdr>
      </w:pPr>
      <w:r>
        <w:rPr>
          <w:rFonts w:hint="eastAsia" w:ascii="仿宋" w:hAnsi="仿宋" w:eastAsia="仿宋"/>
          <w:color w:val="000000" w:themeColor="text1"/>
          <w:sz w:val="24"/>
        </w:rPr>
        <w:t xml:space="preserve">项目概况</w:t>
      </w:r>
      <w:r/>
    </w:p>
    <w:p>
      <w:pPr>
        <w:ind w:firstLine="480"/>
        <w:spacing w:line="360" w:lineRule="auto"/>
        <w:rPr>
          <w:rFonts w:hint="eastAsia" w:ascii="仿宋" w:hAnsi="仿宋" w:eastAsia="仿宋"/>
          <w:color w:val="000000" w:themeColor="text1"/>
          <w:sz w:val="24"/>
        </w:rPr>
        <w:pBdr>
          <w:top w:val="single" w:color="auto" w:sz="4" w:space="1"/>
          <w:left w:val="single" w:color="auto" w:sz="4" w:space="4"/>
          <w:bottom w:val="single" w:color="auto" w:sz="4" w:space="1"/>
          <w:right w:val="single" w:color="auto" w:sz="4" w:space="4"/>
        </w:pBdr>
      </w:pPr>
      <w:r>
        <w:rPr>
          <w:rFonts w:hint="eastAsia" w:ascii="仿宋" w:hAnsi="仿宋" w:eastAsia="仿宋"/>
          <w:color w:val="000000" w:themeColor="text1"/>
          <w:sz w:val="24"/>
          <w:u w:val="single"/>
        </w:rPr>
        <w:t xml:space="preserve">江宁开发区智慧水</w:t>
      </w:r>
      <w:r>
        <w:rPr>
          <w:rFonts w:hint="eastAsia" w:ascii="仿宋" w:hAnsi="仿宋" w:eastAsia="仿宋"/>
          <w:color w:val="000000" w:themeColor="text1"/>
          <w:sz w:val="24"/>
          <w:u w:val="single"/>
        </w:rPr>
        <w:t xml:space="preserve">务</w:t>
      </w:r>
      <w:r>
        <w:rPr>
          <w:rFonts w:hint="eastAsia" w:ascii="仿宋" w:hAnsi="仿宋" w:eastAsia="仿宋"/>
          <w:color w:val="000000" w:themeColor="text1"/>
          <w:sz w:val="24"/>
          <w:u w:val="single"/>
        </w:rPr>
        <w:t xml:space="preserve">平台后期运维服务</w:t>
      </w:r>
      <w:r>
        <w:rPr>
          <w:rFonts w:hint="eastAsia" w:ascii="仿宋" w:hAnsi="仿宋" w:eastAsia="仿宋"/>
          <w:color w:val="000000" w:themeColor="text1"/>
          <w:sz w:val="24"/>
        </w:rPr>
        <w:t xml:space="preserve">的潜在供应商应在</w:t>
      </w:r>
      <w:r>
        <w:rPr>
          <w:rFonts w:hint="eastAsia" w:ascii="仿宋" w:hAnsi="仿宋" w:eastAsia="仿宋"/>
          <w:color w:val="000000" w:themeColor="text1"/>
          <w:sz w:val="24"/>
          <w:u w:val="single"/>
        </w:rPr>
        <w:t xml:space="preserve">江苏政府采购网</w:t>
      </w:r>
      <w:r>
        <w:rPr>
          <w:rFonts w:hint="eastAsia" w:ascii="仿宋" w:hAnsi="仿宋" w:eastAsia="仿宋"/>
          <w:color w:val="000000" w:themeColor="text1"/>
          <w:sz w:val="24"/>
        </w:rPr>
        <w:t xml:space="preserve">获取招标文件，并于</w:t>
      </w:r>
      <w:bookmarkStart w:id="6" w:name="_Hlk216863377"/>
      <w:r>
        <w:rPr>
          <w:rFonts w:hint="eastAsia" w:ascii="仿宋" w:hAnsi="仿宋" w:eastAsia="仿宋" w:cs="宋体"/>
          <w:color w:val="000000" w:themeColor="text1"/>
          <w:sz w:val="24"/>
          <w:u w:val="single"/>
        </w:rPr>
        <w:t xml:space="preserve">2026年</w:t>
      </w:r>
      <w:r>
        <w:rPr>
          <w:rFonts w:hint="eastAsia" w:ascii="仿宋" w:hAnsi="仿宋" w:eastAsia="仿宋" w:cs="宋体"/>
          <w:color w:val="000000" w:themeColor="text1"/>
          <w:sz w:val="24"/>
          <w:u w:val="single"/>
        </w:rPr>
        <w:t xml:space="preserve">3</w:t>
      </w:r>
      <w:r>
        <w:rPr>
          <w:rFonts w:hint="eastAsia" w:ascii="仿宋" w:hAnsi="仿宋" w:eastAsia="仿宋" w:cs="宋体"/>
          <w:color w:val="000000" w:themeColor="text1"/>
          <w:sz w:val="24"/>
          <w:u w:val="single"/>
        </w:rPr>
        <w:t xml:space="preserve">月</w:t>
      </w:r>
      <w:r>
        <w:rPr>
          <w:rFonts w:hint="eastAsia" w:ascii="仿宋" w:hAnsi="仿宋" w:eastAsia="仿宋" w:cs="宋体"/>
          <w:color w:val="000000" w:themeColor="text1"/>
          <w:sz w:val="24"/>
          <w:u w:val="single"/>
        </w:rPr>
        <w:t xml:space="preserve">31</w:t>
      </w:r>
      <w:r>
        <w:rPr>
          <w:rFonts w:hint="eastAsia" w:ascii="仿宋" w:hAnsi="仿宋" w:eastAsia="仿宋" w:cs="宋体"/>
          <w:color w:val="000000" w:themeColor="text1"/>
          <w:sz w:val="24"/>
          <w:u w:val="single"/>
        </w:rPr>
        <w:t xml:space="preserve">日</w:t>
      </w:r>
      <w:bookmarkEnd w:id="6"/>
      <w:r>
        <w:rPr>
          <w:rFonts w:hint="eastAsia" w:ascii="仿宋" w:hAnsi="仿宋" w:eastAsia="仿宋" w:cs="宋体"/>
          <w:color w:val="000000" w:themeColor="text1"/>
          <w:sz w:val="24"/>
          <w:u w:val="single"/>
        </w:rPr>
        <w:t xml:space="preserve">9时30分</w:t>
      </w:r>
      <w:r>
        <w:rPr>
          <w:rFonts w:hint="eastAsia" w:ascii="仿宋" w:hAnsi="仿宋" w:eastAsia="仿宋"/>
          <w:bCs/>
          <w:color w:val="000000" w:themeColor="text1"/>
          <w:sz w:val="24"/>
        </w:rPr>
        <w:t xml:space="preserve">（北京时间）前递交投标</w:t>
      </w:r>
      <w:r>
        <w:rPr>
          <w:rFonts w:ascii="仿宋" w:hAnsi="仿宋" w:eastAsia="仿宋"/>
          <w:bCs/>
          <w:color w:val="000000" w:themeColor="text1"/>
          <w:sz w:val="24"/>
        </w:rPr>
        <w:t xml:space="preserve">文件</w:t>
      </w:r>
      <w:r>
        <w:rPr>
          <w:rFonts w:hint="eastAsia" w:ascii="仿宋" w:hAnsi="仿宋" w:eastAsia="仿宋"/>
          <w:color w:val="000000" w:themeColor="text1"/>
          <w:sz w:val="24"/>
        </w:rPr>
        <w:t xml:space="preserve">。</w:t>
      </w:r>
      <w:r/>
    </w:p>
    <w:p>
      <w:pPr>
        <w:spacing w:line="360" w:lineRule="auto"/>
        <w:rPr>
          <w:rFonts w:hint="eastAsia" w:ascii="仿宋" w:hAnsi="仿宋" w:eastAsia="仿宋"/>
          <w:color w:val="000000" w:themeColor="text1"/>
          <w:sz w:val="24"/>
        </w:rPr>
      </w:pPr>
      <w:r/>
      <w:bookmarkStart w:id="7" w:name="_Toc28359079"/>
      <w:r/>
      <w:bookmarkStart w:id="8" w:name="_Toc38723679"/>
      <w:r/>
      <w:bookmarkStart w:id="9" w:name="_Toc28359002"/>
      <w:r/>
      <w:bookmarkStart w:id="10" w:name="_Toc35393790"/>
      <w:r/>
      <w:bookmarkStart w:id="11" w:name="_Toc35393621"/>
      <w:r/>
      <w:bookmarkStart w:id="12" w:name="_Hlk24379207"/>
      <w:r>
        <w:rPr>
          <w:rFonts w:hint="eastAsia" w:ascii="仿宋" w:hAnsi="仿宋" w:eastAsia="仿宋"/>
          <w:color w:val="000000" w:themeColor="text1"/>
          <w:sz w:val="24"/>
        </w:rPr>
        <w:t xml:space="preserve">一、项目基本情况</w:t>
      </w:r>
      <w:bookmarkEnd w:id="7"/>
      <w:r/>
      <w:bookmarkEnd w:id="8"/>
      <w:r/>
      <w:bookmarkEnd w:id="9"/>
      <w:r/>
      <w:bookmarkEnd w:id="10"/>
      <w:r/>
      <w:bookmarkEnd w:id="11"/>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1.1项目编号：</w:t>
      </w:r>
      <w:r>
        <w:rPr>
          <w:rFonts w:ascii="仿宋" w:hAnsi="仿宋" w:eastAsia="仿宋"/>
          <w:color w:val="000000" w:themeColor="text1"/>
          <w:sz w:val="24"/>
        </w:rPr>
        <w:t xml:space="preserve">JSZC-320115-NJRJ-G2026-0006</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1.2项目名称：</w:t>
      </w:r>
      <w:r>
        <w:rPr>
          <w:rFonts w:hint="eastAsia" w:ascii="仿宋" w:hAnsi="仿宋" w:eastAsia="仿宋"/>
          <w:color w:val="000000" w:themeColor="text1"/>
          <w:sz w:val="24"/>
        </w:rPr>
        <w:t xml:space="preserve">江宁开发区智慧水</w:t>
      </w:r>
      <w:r>
        <w:rPr>
          <w:rFonts w:hint="eastAsia" w:ascii="仿宋" w:hAnsi="仿宋" w:eastAsia="仿宋"/>
          <w:color w:val="000000" w:themeColor="text1"/>
          <w:sz w:val="24"/>
        </w:rPr>
        <w:t xml:space="preserve">务</w:t>
      </w:r>
      <w:r>
        <w:rPr>
          <w:rFonts w:hint="eastAsia" w:ascii="仿宋" w:hAnsi="仿宋" w:eastAsia="仿宋"/>
          <w:color w:val="000000" w:themeColor="text1"/>
          <w:sz w:val="24"/>
        </w:rPr>
        <w:t xml:space="preserve">平台后期运维服务</w:t>
      </w:r>
      <w:bookmarkEnd w:id="12"/>
      <w:r/>
      <w:r/>
    </w:p>
    <w:p>
      <w:pPr>
        <w:ind w:firstLine="480"/>
        <w:spacing w:line="360" w:lineRule="auto"/>
        <w:rPr>
          <w:rFonts w:hint="eastAsia" w:ascii="仿宋" w:hAnsi="仿宋" w:eastAsia="仿宋"/>
          <w:sz w:val="24"/>
        </w:rPr>
      </w:pPr>
      <w:r>
        <w:rPr>
          <w:rFonts w:hint="eastAsia" w:ascii="仿宋" w:hAnsi="仿宋" w:eastAsia="仿宋"/>
          <w:color w:val="000000" w:themeColor="text1"/>
          <w:sz w:val="24"/>
        </w:rPr>
        <w:t xml:space="preserve">1.3预算金额</w:t>
      </w:r>
      <w:r>
        <w:rPr>
          <w:rFonts w:hint="eastAsia" w:ascii="仿宋" w:hAnsi="仿宋" w:eastAsia="仿宋"/>
          <w:sz w:val="24"/>
        </w:rPr>
        <w:t xml:space="preserve">：390万元（两年）</w:t>
      </w:r>
      <w:r/>
    </w:p>
    <w:p>
      <w:pPr>
        <w:ind w:firstLine="480"/>
        <w:spacing w:line="360" w:lineRule="auto"/>
        <w:rPr>
          <w:rFonts w:hint="eastAsia" w:ascii="仿宋" w:hAnsi="仿宋" w:eastAsia="仿宋"/>
          <w:sz w:val="24"/>
        </w:rPr>
      </w:pPr>
      <w:r>
        <w:rPr>
          <w:rFonts w:hint="eastAsia" w:ascii="仿宋" w:hAnsi="仿宋" w:eastAsia="仿宋"/>
          <w:sz w:val="24"/>
        </w:rPr>
        <w:t xml:space="preserve">1.4最高限价：</w:t>
      </w:r>
      <w:bookmarkStart w:id="13" w:name="_Toc35393622"/>
      <w:r/>
      <w:bookmarkStart w:id="14" w:name="_Toc35393791"/>
      <w:r/>
      <w:bookmarkStart w:id="15" w:name="_Toc38723680"/>
      <w:r/>
      <w:bookmarkStart w:id="16" w:name="_Toc28359080"/>
      <w:r/>
      <w:bookmarkStart w:id="17" w:name="_Toc28359003"/>
      <w:r>
        <w:rPr>
          <w:rFonts w:hint="eastAsia" w:ascii="仿宋" w:hAnsi="仿宋" w:eastAsia="仿宋"/>
          <w:sz w:val="24"/>
        </w:rPr>
        <w:t xml:space="preserve">185.71万元/年</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1.5采购需求：</w:t>
      </w:r>
      <w:r>
        <w:rPr>
          <w:rFonts w:hint="eastAsia" w:ascii="仿宋" w:hAnsi="仿宋" w:eastAsia="仿宋" w:cs="仿宋"/>
          <w:sz w:val="24"/>
        </w:rPr>
        <w:t xml:space="preserve">江宁开发区</w:t>
      </w:r>
      <w:r>
        <w:rPr>
          <w:rFonts w:hint="eastAsia" w:ascii="仿宋" w:hAnsi="仿宋" w:eastAsia="仿宋" w:cs="仿宋"/>
          <w:bCs/>
          <w:sz w:val="24"/>
          <w:lang w:val="zh-CN"/>
        </w:rPr>
        <w:t xml:space="preserve">智慧水</w:t>
      </w:r>
      <w:r>
        <w:rPr>
          <w:rFonts w:hint="eastAsia" w:ascii="仿宋" w:hAnsi="仿宋" w:eastAsia="仿宋" w:cs="仿宋"/>
          <w:bCs/>
          <w:sz w:val="24"/>
          <w:lang w:val="zh-CN"/>
        </w:rPr>
        <w:t xml:space="preserve">务</w:t>
      </w:r>
      <w:r>
        <w:rPr>
          <w:rFonts w:hint="eastAsia" w:ascii="仿宋" w:hAnsi="仿宋" w:eastAsia="仿宋" w:cs="仿宋"/>
          <w:bCs/>
          <w:sz w:val="24"/>
          <w:lang w:val="zh-CN"/>
        </w:rPr>
        <w:t xml:space="preserve">平台2021年6月上线运行，为园区水环境治理、排水设施养护、污水泵站调度和防汛防台提供了有力的支撑，为水环境监测积累科学有效的数据和决策依据，有效提升了园区涉水事务安全运行保障能力，进一步保障断面水质稳定。为了保障江宁开发区智慧水</w:t>
      </w:r>
      <w:r>
        <w:rPr>
          <w:rFonts w:hint="eastAsia" w:ascii="仿宋" w:hAnsi="仿宋" w:eastAsia="仿宋" w:cs="仿宋"/>
          <w:bCs/>
          <w:sz w:val="24"/>
          <w:lang w:val="zh-CN"/>
        </w:rPr>
        <w:t xml:space="preserve">务</w:t>
      </w:r>
      <w:r>
        <w:rPr>
          <w:rFonts w:hint="eastAsia" w:ascii="仿宋" w:hAnsi="仿宋" w:eastAsia="仿宋" w:cs="仿宋"/>
          <w:bCs/>
          <w:sz w:val="24"/>
          <w:lang w:val="zh-CN"/>
        </w:rPr>
        <w:t xml:space="preserve">项目稳定运行，现对智慧水</w:t>
      </w:r>
      <w:r>
        <w:rPr>
          <w:rFonts w:hint="eastAsia" w:ascii="仿宋" w:hAnsi="仿宋" w:eastAsia="仿宋" w:cs="仿宋"/>
          <w:bCs/>
          <w:sz w:val="24"/>
          <w:lang w:val="zh-CN"/>
        </w:rPr>
        <w:t xml:space="preserve">务</w:t>
      </w:r>
      <w:r>
        <w:rPr>
          <w:rFonts w:hint="eastAsia" w:ascii="仿宋" w:hAnsi="仿宋" w:eastAsia="仿宋" w:cs="仿宋"/>
          <w:bCs/>
          <w:sz w:val="24"/>
          <w:lang w:val="zh-CN"/>
        </w:rPr>
        <w:t xml:space="preserve">平台后期运</w:t>
      </w:r>
      <w:r>
        <w:rPr>
          <w:rFonts w:hint="eastAsia" w:ascii="仿宋" w:hAnsi="仿宋" w:eastAsia="仿宋" w:cs="仿宋"/>
          <w:bCs/>
          <w:sz w:val="24"/>
          <w:lang w:val="zh-CN"/>
        </w:rPr>
        <w:t xml:space="preserve">维进行</w:t>
      </w:r>
      <w:r>
        <w:rPr>
          <w:rFonts w:hint="eastAsia" w:ascii="仿宋" w:hAnsi="仿宋" w:eastAsia="仿宋" w:cs="仿宋"/>
          <w:bCs/>
          <w:sz w:val="24"/>
          <w:lang w:val="zh-CN"/>
        </w:rPr>
        <w:t xml:space="preserve">采购</w:t>
      </w:r>
      <w:r>
        <w:rPr>
          <w:rFonts w:hint="eastAsia" w:ascii="仿宋" w:hAnsi="仿宋" w:eastAsia="仿宋" w:cs="仿宋"/>
          <w:color w:val="000000" w:themeColor="text1"/>
          <w:sz w:val="24"/>
        </w:rPr>
        <w:t xml:space="preserve">。具体要求及内容详见公开招标文件。</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color w:val="000000" w:themeColor="text1"/>
          <w:sz w:val="24"/>
        </w:rPr>
        <w:t xml:space="preserve">1.6合同履行期限：</w:t>
      </w:r>
      <w:r>
        <w:rPr>
          <w:rFonts w:hint="eastAsia" w:ascii="仿宋" w:hAnsi="仿宋" w:eastAsia="仿宋" w:cs="仿宋"/>
          <w:color w:val="000000" w:themeColor="text1"/>
          <w:sz w:val="24"/>
          <w:lang w:val="zh-CN"/>
        </w:rPr>
        <w:t xml:space="preserve">服务期两年，合同一年一签。</w:t>
      </w:r>
      <w:r/>
    </w:p>
    <w:p>
      <w:pPr>
        <w:ind w:firstLine="36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 1.7本项目</w:t>
      </w:r>
      <w:r>
        <w:rPr>
          <w:rFonts w:hint="eastAsia" w:ascii="仿宋" w:hAnsi="仿宋" w:eastAsia="仿宋" w:cs="仿宋"/>
          <w:b/>
          <w:color w:val="000000" w:themeColor="text1"/>
          <w:sz w:val="24"/>
        </w:rPr>
        <w:t xml:space="preserve">不接受</w:t>
      </w:r>
      <w:r>
        <w:rPr>
          <w:rFonts w:hint="eastAsia" w:ascii="仿宋" w:hAnsi="仿宋" w:eastAsia="仿宋" w:cs="仿宋"/>
          <w:color w:val="000000" w:themeColor="text1"/>
          <w:sz w:val="24"/>
        </w:rPr>
        <w:t xml:space="preserve">联合体投标。</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二、供应商的资格要求</w:t>
      </w:r>
      <w:bookmarkEnd w:id="13"/>
      <w:r/>
      <w:bookmarkEnd w:id="14"/>
      <w:r/>
      <w:bookmarkEnd w:id="15"/>
      <w:r/>
      <w:bookmarkEnd w:id="16"/>
      <w:r/>
      <w:bookmarkEnd w:id="17"/>
      <w:r/>
      <w:r/>
    </w:p>
    <w:p>
      <w:pPr>
        <w:ind w:firstLine="480"/>
        <w:spacing w:line="360" w:lineRule="auto"/>
        <w:rPr>
          <w:rFonts w:hint="eastAsia" w:ascii="仿宋" w:hAnsi="仿宋" w:eastAsia="仿宋" w:cs="仿宋"/>
          <w:color w:val="000000" w:themeColor="text1"/>
          <w:sz w:val="24"/>
        </w:rPr>
      </w:pPr>
      <w:r/>
      <w:bookmarkStart w:id="18" w:name="_Toc28359004"/>
      <w:r/>
      <w:bookmarkStart w:id="19" w:name="_Toc28359081"/>
      <w:r>
        <w:rPr>
          <w:rFonts w:hint="eastAsia" w:ascii="仿宋" w:hAnsi="仿宋" w:eastAsia="仿宋" w:cs="仿宋"/>
          <w:color w:val="000000" w:themeColor="text1"/>
          <w:sz w:val="24"/>
        </w:rPr>
        <w:t xml:space="preserve">2.1满足《中华人民共和国政府采购法》第二十二条规定：</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（1）具有独立承担民事责任的能力；</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（2）具有良好的商业信誉和健全的财务会计制度；</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（3）具有履行合同所必需的设备和专业技术能力； </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（4）有依法缴纳税收和社会保障资金的良好记录；</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（5）参加政府采购活动前三年内，在经营活动中没有重大违法记录；</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（6）法律、行政法规规定的其他条件。</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（1）本项目整体专门面向中小企业采购服务。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（2）本项目整体专门面向小</w:t>
      </w:r>
      <w:r>
        <w:rPr>
          <w:rFonts w:hint="eastAsia" w:ascii="仿宋" w:hAnsi="仿宋" w:eastAsia="仿宋"/>
          <w:color w:val="000000" w:themeColor="text1"/>
          <w:sz w:val="24"/>
        </w:rPr>
        <w:t xml:space="preserve">微企业</w:t>
      </w:r>
      <w:r>
        <w:rPr>
          <w:rFonts w:hint="eastAsia" w:ascii="仿宋" w:hAnsi="仿宋" w:eastAsia="仿宋"/>
          <w:color w:val="000000" w:themeColor="text1"/>
          <w:sz w:val="24"/>
        </w:rPr>
        <w:t xml:space="preserve">采购服务。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（3）本项目通过以下第种方式预留部分采购份额采购中小企业服务：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①本项目要求供应商以联合体形式参加，企业合同金额应当达到的比例为_%。</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②本项目要求供应商进行合同分包，企业合同金额应当达到的比例为_%。</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（4）本项目为非预留份额的采购项目或采购包，执行价格扣除优惠政策，具体详见第三章评标办法与评标标准。</w:t>
      </w:r>
      <w:r/>
    </w:p>
    <w:p>
      <w:pPr>
        <w:ind w:firstLine="600"/>
        <w:jc w:val="left"/>
        <w:spacing w:line="360" w:lineRule="auto"/>
        <w:shd w:val="clear" w:color="auto" w:fill="ffffff"/>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2.3</w:t>
      </w:r>
      <w:bookmarkStart w:id="20" w:name="_Hlk40969259"/>
      <w:r>
        <w:rPr>
          <w:rFonts w:hint="eastAsia" w:ascii="仿宋" w:hAnsi="仿宋" w:eastAsia="仿宋"/>
          <w:color w:val="000000" w:themeColor="text1"/>
          <w:sz w:val="24"/>
        </w:rPr>
        <w:t xml:space="preserve">本项目的特定资格要求：</w:t>
      </w:r>
      <w:bookmarkEnd w:id="20"/>
      <w:r>
        <w:rPr>
          <w:rFonts w:hint="eastAsia" w:ascii="仿宋" w:hAnsi="仿宋" w:eastAsia="仿宋"/>
          <w:color w:val="000000" w:themeColor="text1"/>
          <w:sz w:val="24"/>
        </w:rPr>
        <w:t xml:space="preserve">无。</w:t>
      </w:r>
      <w:r/>
    </w:p>
    <w:p>
      <w:pPr>
        <w:ind w:firstLine="60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color w:val="000000" w:themeColor="text1"/>
          <w:sz w:val="24"/>
        </w:rPr>
        <w:t xml:space="preserve">2.4供应商在参加政府采购活动前3年内因违法经营被禁止在一定期限内参加政府采购活动，期限届满的，可以参加政府采购活动。</w:t>
      </w:r>
      <w:r/>
    </w:p>
    <w:p>
      <w:pPr>
        <w:spacing w:line="360" w:lineRule="auto"/>
        <w:rPr>
          <w:rFonts w:hint="eastAsia" w:ascii="仿宋" w:hAnsi="仿宋" w:eastAsia="仿宋"/>
          <w:color w:val="000000" w:themeColor="text1"/>
          <w:sz w:val="24"/>
        </w:rPr>
      </w:pPr>
      <w:r/>
      <w:bookmarkStart w:id="21" w:name="_Toc35393623"/>
      <w:r/>
      <w:bookmarkStart w:id="22" w:name="_Toc35393792"/>
      <w:r/>
      <w:bookmarkStart w:id="23" w:name="_Toc38723681"/>
      <w:r>
        <w:rPr>
          <w:rFonts w:hint="eastAsia" w:ascii="仿宋" w:hAnsi="仿宋" w:eastAsia="仿宋"/>
          <w:color w:val="000000" w:themeColor="text1"/>
          <w:sz w:val="24"/>
        </w:rPr>
        <w:t xml:space="preserve">三、获取招标文件</w:t>
      </w:r>
      <w:bookmarkEnd w:id="18"/>
      <w:r/>
      <w:bookmarkEnd w:id="19"/>
      <w:r/>
      <w:bookmarkEnd w:id="21"/>
      <w:r/>
      <w:bookmarkEnd w:id="22"/>
      <w:r/>
      <w:bookmarkEnd w:id="23"/>
      <w:r/>
      <w:r/>
    </w:p>
    <w:p>
      <w:pPr>
        <w:ind w:firstLine="480"/>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3.1时间：</w:t>
      </w:r>
      <w:r>
        <w:rPr>
          <w:rFonts w:hint="eastAsia" w:ascii="仿宋" w:hAnsi="仿宋" w:eastAsia="仿宋"/>
          <w:bCs/>
          <w:color w:val="000000" w:themeColor="text1"/>
          <w:sz w:val="24"/>
        </w:rPr>
        <w:t xml:space="preserve">自</w:t>
      </w:r>
      <w:r>
        <w:rPr>
          <w:rFonts w:hint="eastAsia" w:ascii="仿宋" w:hAnsi="仿宋" w:eastAsia="仿宋"/>
          <w:bCs/>
          <w:color w:val="000000" w:themeColor="text1"/>
          <w:sz w:val="24"/>
        </w:rPr>
        <w:t xml:space="preserve">本公开</w:t>
      </w:r>
      <w:r>
        <w:rPr>
          <w:rFonts w:hint="eastAsia" w:ascii="仿宋" w:hAnsi="仿宋" w:eastAsia="仿宋"/>
          <w:bCs/>
          <w:color w:val="000000" w:themeColor="text1"/>
          <w:sz w:val="24"/>
        </w:rPr>
        <w:t xml:space="preserve">招标公告发布之日起至</w:t>
      </w:r>
      <w:r>
        <w:rPr>
          <w:rFonts w:hint="eastAsia" w:ascii="仿宋" w:hAnsi="仿宋" w:eastAsia="仿宋"/>
          <w:bCs/>
          <w:color w:val="000000" w:themeColor="text1"/>
          <w:sz w:val="24"/>
        </w:rPr>
        <w:t xml:space="preserve">2026年</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rPr>
        <w:t xml:space="preserve">月</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rPr>
        <w:t xml:space="preserve">7</w:t>
      </w:r>
      <w:r>
        <w:rPr>
          <w:rFonts w:hint="eastAsia" w:ascii="仿宋" w:hAnsi="仿宋" w:eastAsia="仿宋"/>
          <w:bCs/>
          <w:color w:val="000000" w:themeColor="text1"/>
          <w:sz w:val="24"/>
        </w:rPr>
        <w:t xml:space="preserve">日</w:t>
      </w:r>
      <w:r>
        <w:rPr>
          <w:rFonts w:hint="eastAsia" w:ascii="仿宋" w:hAnsi="仿宋" w:eastAsia="仿宋"/>
          <w:bCs/>
          <w:color w:val="000000" w:themeColor="text1"/>
          <w:sz w:val="24"/>
        </w:rPr>
        <w:t xml:space="preserve">17:00</w:t>
      </w:r>
      <w:r/>
    </w:p>
    <w:p>
      <w:pPr>
        <w:ind w:firstLine="480"/>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3.2地点：</w:t>
      </w:r>
      <w:bookmarkStart w:id="24" w:name="_Toc35393794"/>
      <w:r/>
      <w:bookmarkStart w:id="25" w:name="_Toc35393625"/>
      <w:r/>
      <w:bookmarkStart w:id="26" w:name="_Toc28359007"/>
      <w:r/>
      <w:bookmarkStart w:id="27" w:name="_Toc38723683"/>
      <w:r/>
      <w:bookmarkStart w:id="28" w:name="_Toc28359084"/>
      <w:r>
        <w:rPr>
          <w:rFonts w:hint="eastAsia" w:ascii="仿宋" w:hAnsi="仿宋" w:eastAsia="仿宋"/>
          <w:bCs/>
          <w:color w:val="000000" w:themeColor="text1"/>
          <w:sz w:val="24"/>
        </w:rPr>
        <w:t xml:space="preserve">江苏政府采购网</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3.3方式：供应商</w:t>
      </w:r>
      <w:bookmarkStart w:id="29" w:name="OLE_LINK2"/>
      <w:r>
        <w:rPr>
          <w:rFonts w:hint="eastAsia" w:ascii="仿宋" w:hAnsi="仿宋" w:eastAsia="仿宋" w:cs="仿宋"/>
          <w:color w:val="000000" w:themeColor="text1"/>
          <w:sz w:val="24"/>
        </w:rPr>
        <w:t xml:space="preserve">登录</w:t>
      </w:r>
      <w:bookmarkEnd w:id="29"/>
      <w:r>
        <w:rPr>
          <w:rFonts w:hint="eastAsia" w:ascii="仿宋" w:hAnsi="仿宋" w:eastAsia="仿宋" w:cs="仿宋"/>
          <w:color w:val="000000" w:themeColor="text1"/>
          <w:sz w:val="24"/>
        </w:rPr>
        <w:t xml:space="preserve">“江苏政府采购网”，在网站首页点击“苏</w:t>
      </w:r>
      <w:r>
        <w:rPr>
          <w:rFonts w:hint="eastAsia" w:ascii="仿宋" w:hAnsi="仿宋" w:eastAsia="仿宋" w:cs="仿宋"/>
          <w:color w:val="000000" w:themeColor="text1"/>
          <w:sz w:val="24"/>
        </w:rPr>
        <w:t xml:space="preserve">采云</w:t>
      </w:r>
      <w:r>
        <w:rPr>
          <w:rFonts w:hint="eastAsia" w:ascii="仿宋" w:hAnsi="仿宋" w:eastAsia="仿宋" w:cs="仿宋"/>
          <w:color w:val="000000" w:themeColor="text1"/>
          <w:sz w:val="24"/>
        </w:rPr>
        <w:t xml:space="preserve">”→使用CA锁登录系统(新用户需进行“平台用户注册”)→“项目参与”进行登记，在“可参与项目”中选择“我要参与”，参与成功后到“已参与项目”界面中找到该项目下载文件并进行操作。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3.4售价：0.00元</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四、提交投标文件截止时间、开标时间和地点</w:t>
      </w:r>
      <w:bookmarkStart w:id="30" w:name="_Toc28359017"/>
      <w:r/>
      <w:bookmarkStart w:id="31" w:name="_Toc35393634"/>
      <w:r/>
      <w:bookmarkStart w:id="32" w:name="_Toc35393803"/>
      <w:r/>
      <w:bookmarkStart w:id="33" w:name="_Toc28359094"/>
      <w:r/>
      <w:r/>
    </w:p>
    <w:p>
      <w:pPr>
        <w:ind w:firstLine="480"/>
        <w:spacing w:line="360" w:lineRule="auto"/>
        <w:rPr>
          <w:rFonts w:hint="eastAsia" w:ascii="仿宋" w:hAnsi="仿宋" w:eastAsia="仿宋"/>
          <w:color w:val="000000" w:themeColor="text1"/>
          <w:sz w:val="24"/>
        </w:rPr>
      </w:pPr>
      <w:r>
        <w:rPr>
          <w:rFonts w:hint="eastAsia" w:ascii="仿宋" w:hAnsi="仿宋" w:eastAsia="仿宋" w:cs="仿宋_GB2312"/>
          <w:color w:val="000000" w:themeColor="text1"/>
          <w:sz w:val="24"/>
        </w:rPr>
        <w:t xml:space="preserve">4</w:t>
      </w:r>
      <w:r>
        <w:rPr>
          <w:rFonts w:ascii="仿宋" w:hAnsi="仿宋" w:eastAsia="仿宋" w:cs="仿宋_GB2312"/>
          <w:color w:val="000000" w:themeColor="text1"/>
          <w:sz w:val="24"/>
        </w:rPr>
        <w:t xml:space="preserve">.</w:t>
      </w:r>
      <w:r>
        <w:rPr>
          <w:rFonts w:hint="eastAsia" w:ascii="仿宋" w:hAnsi="仿宋" w:eastAsia="仿宋" w:cs="仿宋_GB2312"/>
          <w:color w:val="000000" w:themeColor="text1"/>
          <w:sz w:val="24"/>
        </w:rPr>
        <w:t xml:space="preserve">1</w:t>
      </w:r>
      <w:r>
        <w:rPr>
          <w:rFonts w:ascii="仿宋" w:hAnsi="仿宋" w:eastAsia="仿宋" w:cs="仿宋_GB2312"/>
          <w:color w:val="000000" w:themeColor="text1"/>
          <w:sz w:val="24"/>
        </w:rPr>
        <w:t xml:space="preserve">投标文件</w:t>
      </w:r>
      <w:r>
        <w:rPr>
          <w:rFonts w:hint="eastAsia" w:ascii="仿宋" w:hAnsi="仿宋" w:eastAsia="仿宋" w:cs="仿宋"/>
          <w:color w:val="000000" w:themeColor="text1"/>
          <w:sz w:val="24"/>
        </w:rPr>
        <w:t xml:space="preserve">提交截止时间及开标时间</w:t>
      </w:r>
      <w:r>
        <w:rPr>
          <w:rFonts w:hint="eastAsia" w:ascii="仿宋" w:hAnsi="仿宋" w:eastAsia="仿宋" w:cs="仿宋"/>
          <w:color w:val="000000" w:themeColor="text1"/>
          <w:sz w:val="24"/>
        </w:rPr>
        <w:t xml:space="preserve">：</w:t>
      </w:r>
      <w:r>
        <w:rPr>
          <w:rFonts w:hint="eastAsia" w:ascii="仿宋" w:hAnsi="仿宋" w:eastAsia="仿宋" w:cs="宋体"/>
          <w:color w:val="000000" w:themeColor="text1"/>
          <w:sz w:val="24"/>
          <w:u w:val="single"/>
        </w:rPr>
        <w:t xml:space="preserve">2026年</w:t>
      </w:r>
      <w:r>
        <w:rPr>
          <w:rFonts w:hint="eastAsia" w:ascii="仿宋" w:hAnsi="仿宋" w:eastAsia="仿宋" w:cs="宋体"/>
          <w:color w:val="000000" w:themeColor="text1"/>
          <w:sz w:val="24"/>
          <w:u w:val="single"/>
        </w:rPr>
        <w:t xml:space="preserve">3</w:t>
      </w:r>
      <w:r>
        <w:rPr>
          <w:rFonts w:hint="eastAsia" w:ascii="仿宋" w:hAnsi="仿宋" w:eastAsia="仿宋" w:cs="宋体"/>
          <w:color w:val="000000" w:themeColor="text1"/>
          <w:sz w:val="24"/>
          <w:u w:val="single"/>
        </w:rPr>
        <w:t xml:space="preserve">月</w:t>
      </w:r>
      <w:r>
        <w:rPr>
          <w:rFonts w:hint="eastAsia" w:ascii="仿宋" w:hAnsi="仿宋" w:eastAsia="仿宋" w:cs="宋体"/>
          <w:color w:val="000000" w:themeColor="text1"/>
          <w:sz w:val="24"/>
          <w:u w:val="single"/>
        </w:rPr>
        <w:t xml:space="preserve">31</w:t>
      </w:r>
      <w:r>
        <w:rPr>
          <w:rFonts w:hint="eastAsia" w:ascii="仿宋" w:hAnsi="仿宋" w:eastAsia="仿宋" w:cs="宋体"/>
          <w:color w:val="000000" w:themeColor="text1"/>
          <w:sz w:val="24"/>
          <w:u w:val="single"/>
        </w:rPr>
        <w:t xml:space="preserve">日9时30分</w:t>
      </w:r>
      <w:r>
        <w:rPr>
          <w:rFonts w:hint="eastAsia" w:ascii="仿宋" w:hAnsi="仿宋" w:eastAsia="仿宋" w:cs="仿宋"/>
          <w:bCs/>
          <w:color w:val="000000" w:themeColor="text1"/>
          <w:sz w:val="24"/>
        </w:rPr>
        <w:t xml:space="preserve">（</w:t>
      </w:r>
      <w:r>
        <w:rPr>
          <w:rFonts w:hint="eastAsia" w:ascii="仿宋" w:hAnsi="仿宋" w:eastAsia="仿宋" w:cs="仿宋"/>
          <w:bCs/>
          <w:color w:val="000000" w:themeColor="text1"/>
          <w:sz w:val="24"/>
        </w:rPr>
        <w:t xml:space="preserve">北京时间）</w:t>
      </w:r>
      <w:r/>
    </w:p>
    <w:p>
      <w:pPr>
        <w:ind w:firstLine="480"/>
        <w:spacing w:line="360" w:lineRule="auto"/>
        <w:rPr>
          <w:rFonts w:hint="eastAsia" w:ascii="仿宋" w:hAnsi="仿宋" w:eastAsia="仿宋"/>
          <w:color w:val="000000" w:themeColor="text1"/>
          <w:sz w:val="24"/>
          <w:u w:val="single"/>
        </w:rPr>
      </w:pPr>
      <w:r>
        <w:rPr>
          <w:rFonts w:hint="eastAsia" w:ascii="仿宋" w:hAnsi="仿宋" w:eastAsia="仿宋" w:cs="仿宋_GB2312"/>
          <w:color w:val="000000" w:themeColor="text1"/>
          <w:sz w:val="24"/>
        </w:rPr>
        <w:t xml:space="preserve">4</w:t>
      </w:r>
      <w:r>
        <w:rPr>
          <w:rFonts w:ascii="仿宋" w:hAnsi="仿宋" w:eastAsia="仿宋" w:cs="仿宋_GB2312"/>
          <w:color w:val="000000" w:themeColor="text1"/>
          <w:sz w:val="24"/>
        </w:rPr>
        <w:t xml:space="preserve">.</w:t>
      </w:r>
      <w:r>
        <w:rPr>
          <w:rFonts w:hint="eastAsia" w:ascii="仿宋" w:hAnsi="仿宋" w:eastAsia="仿宋" w:cs="仿宋_GB2312"/>
          <w:color w:val="000000" w:themeColor="text1"/>
          <w:sz w:val="24"/>
        </w:rPr>
        <w:t xml:space="preserve">2</w:t>
      </w:r>
      <w:r>
        <w:rPr>
          <w:rFonts w:ascii="仿宋" w:hAnsi="仿宋" w:eastAsia="仿宋" w:cs="仿宋_GB2312"/>
          <w:color w:val="000000" w:themeColor="text1"/>
          <w:sz w:val="24"/>
        </w:rPr>
        <w:t xml:space="preserve">投标文件</w:t>
      </w:r>
      <w:r>
        <w:rPr>
          <w:rFonts w:hint="eastAsia" w:ascii="仿宋" w:hAnsi="仿宋" w:eastAsia="仿宋" w:cs="仿宋"/>
          <w:color w:val="000000" w:themeColor="text1"/>
          <w:sz w:val="24"/>
        </w:rPr>
        <w:t xml:space="preserve">接收地点：</w:t>
      </w:r>
      <w:r>
        <w:rPr>
          <w:rFonts w:hint="eastAsia" w:ascii="仿宋" w:hAnsi="仿宋" w:eastAsia="仿宋"/>
          <w:color w:val="000000" w:themeColor="text1"/>
          <w:sz w:val="24"/>
          <w:u w:val="single"/>
        </w:rPr>
        <w:t xml:space="preserve">“苏</w:t>
      </w:r>
      <w:r>
        <w:rPr>
          <w:rFonts w:hint="eastAsia" w:ascii="仿宋" w:hAnsi="仿宋" w:eastAsia="仿宋"/>
          <w:color w:val="000000" w:themeColor="text1"/>
          <w:sz w:val="24"/>
          <w:u w:val="single"/>
        </w:rPr>
        <w:t xml:space="preserve">采云</w:t>
      </w:r>
      <w:r>
        <w:rPr>
          <w:rFonts w:hint="eastAsia" w:ascii="仿宋" w:hAnsi="仿宋" w:eastAsia="仿宋"/>
          <w:color w:val="000000" w:themeColor="text1"/>
          <w:sz w:val="24"/>
          <w:u w:val="single"/>
        </w:rPr>
        <w:t xml:space="preserve">”政府采购交易系统网上开标大厅</w:t>
      </w:r>
      <w:bookmarkEnd w:id="30"/>
      <w:r/>
      <w:bookmarkEnd w:id="31"/>
      <w:r/>
      <w:bookmarkEnd w:id="32"/>
      <w:r/>
      <w:bookmarkEnd w:id="33"/>
      <w:r/>
      <w:r/>
    </w:p>
    <w:p>
      <w:pPr>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五、公告期限</w:t>
      </w:r>
      <w:bookmarkEnd w:id="24"/>
      <w:r/>
      <w:bookmarkEnd w:id="25"/>
      <w:r/>
      <w:bookmarkEnd w:id="26"/>
      <w:r/>
      <w:bookmarkEnd w:id="27"/>
      <w:r/>
      <w:bookmarkEnd w:id="28"/>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自本公告发布之日起 5 </w:t>
      </w:r>
      <w:r>
        <w:rPr>
          <w:rFonts w:hint="eastAsia" w:ascii="仿宋" w:hAnsi="仿宋" w:eastAsia="仿宋" w:cs="宋体"/>
          <w:color w:val="000000" w:themeColor="text1"/>
          <w:sz w:val="24"/>
        </w:rPr>
        <w:t xml:space="preserve">个</w:t>
      </w:r>
      <w:r>
        <w:rPr>
          <w:rFonts w:hint="eastAsia" w:ascii="仿宋" w:hAnsi="仿宋" w:eastAsia="仿宋" w:cs="宋体"/>
          <w:color w:val="000000" w:themeColor="text1"/>
          <w:sz w:val="24"/>
        </w:rPr>
        <w:t xml:space="preserve">工作日</w:t>
      </w:r>
      <w:bookmarkStart w:id="34" w:name="_Toc35393795"/>
      <w:r/>
      <w:bookmarkStart w:id="35" w:name="_Toc38723684"/>
      <w:r/>
      <w:bookmarkStart w:id="36" w:name="_Toc35393626"/>
      <w:r>
        <w:rPr>
          <w:rFonts w:hint="eastAsia" w:ascii="仿宋" w:hAnsi="仿宋" w:eastAsia="仿宋" w:cs="宋体"/>
          <w:color w:val="000000" w:themeColor="text1"/>
          <w:sz w:val="24"/>
        </w:rPr>
        <w:t xml:space="preserve">。</w:t>
      </w:r>
      <w:r/>
    </w:p>
    <w:p>
      <w:pPr>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六、其他补充事宜</w:t>
      </w:r>
      <w:bookmarkStart w:id="37" w:name="_Toc28359085"/>
      <w:r/>
      <w:bookmarkStart w:id="38" w:name="_Toc35393627"/>
      <w:r/>
      <w:bookmarkStart w:id="39" w:name="_Toc28359008"/>
      <w:r/>
      <w:bookmarkStart w:id="40" w:name="_Toc35393796"/>
      <w:r/>
      <w:bookmarkEnd w:id="34"/>
      <w:r/>
      <w:bookmarkEnd w:id="35"/>
      <w:r/>
      <w:bookmarkEnd w:id="36"/>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6.1拒绝下述供应商参加本次采购活动：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bCs/>
          <w:color w:val="000000" w:themeColor="text1"/>
          <w:sz w:val="24"/>
        </w:rPr>
      </w:pPr>
      <w:r>
        <w:rPr>
          <w:rFonts w:hint="eastAsia" w:ascii="仿宋" w:hAnsi="仿宋" w:eastAsia="仿宋"/>
          <w:color w:val="000000" w:themeColor="text1"/>
          <w:sz w:val="24"/>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color w:val="000000" w:themeColor="text1"/>
          <w:sz w:val="24"/>
        </w:rPr>
      </w:pPr>
      <w:r/>
      <w:bookmarkStart w:id="41" w:name="_Hlk136001586"/>
      <w:r>
        <w:rPr>
          <w:rFonts w:hint="eastAsia" w:ascii="仿宋" w:hAnsi="仿宋" w:eastAsia="仿宋"/>
          <w:bCs/>
          <w:color w:val="000000" w:themeColor="text1"/>
          <w:sz w:val="24"/>
        </w:rPr>
        <w:t xml:space="preserve">6.2本项目中标后不允许转包。</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6.3是否接受进口产品：不接受。</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6.4现场考察、答疑时间：</w:t>
      </w:r>
      <w:r>
        <w:rPr>
          <w:rFonts w:hint="eastAsia" w:ascii="仿宋" w:hAnsi="仿宋" w:eastAsia="仿宋" w:cs="仿宋"/>
          <w:color w:val="000000" w:themeColor="text1"/>
          <w:sz w:val="24"/>
        </w:rPr>
        <w:t xml:space="preserve">不组织，供应商可自行联系采购人。</w:t>
      </w:r>
      <w:bookmarkEnd w:id="41"/>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6.5</w:t>
      </w:r>
      <w:r>
        <w:rPr>
          <w:rFonts w:hint="eastAsia" w:ascii="仿宋" w:hAnsi="仿宋" w:eastAsia="仿宋"/>
          <w:bCs/>
          <w:color w:val="000000" w:themeColor="text1"/>
          <w:sz w:val="24"/>
          <w:lang w:val="zh-CN"/>
        </w:rPr>
        <w:t xml:space="preserve">根据《关于在政府采购活动中推行信用承诺制的通知》</w:t>
      </w:r>
      <w:r>
        <w:rPr>
          <w:rFonts w:hint="eastAsia" w:ascii="仿宋" w:hAnsi="仿宋" w:eastAsia="仿宋"/>
          <w:bCs/>
          <w:color w:val="000000" w:themeColor="text1"/>
          <w:sz w:val="24"/>
          <w:lang w:val="zh-CN"/>
        </w:rPr>
        <w:t xml:space="preserve">宁财购通</w:t>
      </w:r>
      <w:r>
        <w:rPr>
          <w:rFonts w:hint="eastAsia" w:ascii="仿宋" w:hAnsi="仿宋" w:eastAsia="仿宋"/>
          <w:bCs/>
          <w:color w:val="000000" w:themeColor="text1"/>
          <w:sz w:val="24"/>
          <w:lang w:val="zh-CN"/>
        </w:rPr>
        <w:t xml:space="preserve">〔2021〕5号规定，参加南京地区政府采购活动的供应商，应以书面形式向采购人或政府采购代理机构</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信用承诺。供应商应尽早做好承诺工作，点击‘南京公共采购信息网’首页 （https</w:t>
      </w:r>
      <w:r>
        <w:rPr>
          <w:rFonts w:hint="eastAsia" w:ascii="仿宋" w:hAnsi="仿宋" w:eastAsia="仿宋"/>
          <w:bCs/>
          <w:color w:val="000000" w:themeColor="text1"/>
          <w:sz w:val="24"/>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w:t>
      </w:r>
      <w:r>
        <w:rPr>
          <w:rFonts w:hint="eastAsia" w:ascii="仿宋" w:hAnsi="仿宋" w:eastAsia="仿宋"/>
          <w:bCs/>
          <w:color w:val="000000" w:themeColor="text1"/>
          <w:sz w:val="24"/>
          <w:lang w:val="zh-CN"/>
        </w:rPr>
        <w:t xml:space="preserve">商涉及</w:t>
      </w:r>
      <w:r>
        <w:rPr>
          <w:rFonts w:hint="eastAsia" w:ascii="仿宋" w:hAnsi="仿宋" w:eastAsia="仿宋"/>
          <w:bCs/>
          <w:color w:val="000000" w:themeColor="text1"/>
          <w:sz w:val="24"/>
          <w:lang w:val="zh-CN"/>
        </w:rPr>
        <w:t xml:space="preserve">以下情形的，不适用信用承诺：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（1）供应商被列入严重失信主体名单；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（2）被相关监管部门</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行政处罚且尚在处罚有效期内；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（3）其他法律、行政法规规定的不适用信用承诺的情形。</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供应商对信用承诺内容的真实性、合法性、有效性负责。如</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虚假信用承诺，视同为“提供虚假材料谋取中标、成交”的违法行为。</w:t>
      </w:r>
      <w:r/>
    </w:p>
    <w:p>
      <w:pPr>
        <w:ind w:firstLine="482"/>
        <w:jc w:val="left"/>
        <w:spacing w:line="360" w:lineRule="auto"/>
        <w:rPr>
          <w:rFonts w:hint="eastAsia" w:ascii="仿宋" w:hAnsi="仿宋" w:eastAsia="仿宋" w:cs="仿宋"/>
          <w:bCs/>
          <w:color w:val="000000" w:themeColor="text1"/>
          <w:sz w:val="24"/>
        </w:rPr>
      </w:pPr>
      <w:r>
        <w:rPr>
          <w:rFonts w:hint="eastAsia" w:ascii="仿宋" w:hAnsi="仿宋" w:eastAsia="仿宋"/>
          <w:b/>
          <w:color w:val="000000" w:themeColor="text1"/>
          <w:sz w:val="24"/>
        </w:rPr>
        <w:t xml:space="preserve">6.6本次采购采用“政府采购管理交易系统（苏</w:t>
      </w:r>
      <w:r>
        <w:rPr>
          <w:rFonts w:hint="eastAsia" w:ascii="仿宋" w:hAnsi="仿宋" w:eastAsia="仿宋"/>
          <w:b/>
          <w:color w:val="000000" w:themeColor="text1"/>
          <w:sz w:val="24"/>
        </w:rPr>
        <w:t xml:space="preserve">采云</w:t>
      </w:r>
      <w:r>
        <w:rPr>
          <w:rFonts w:hint="eastAsia" w:ascii="仿宋" w:hAnsi="仿宋" w:eastAsia="仿宋"/>
          <w:b/>
          <w:color w:val="000000" w:themeColor="text1"/>
          <w:sz w:val="24"/>
        </w:rPr>
        <w:t xml:space="preserve">）”，招标、投标、评标和中标结果发布全程电子化，开标方式为不见面开标。供应商通过苏</w:t>
      </w:r>
      <w:r>
        <w:rPr>
          <w:rFonts w:hint="eastAsia" w:ascii="仿宋" w:hAnsi="仿宋" w:eastAsia="仿宋"/>
          <w:b/>
          <w:color w:val="000000" w:themeColor="text1"/>
          <w:sz w:val="24"/>
        </w:rPr>
        <w:t xml:space="preserve">采云</w:t>
      </w:r>
      <w:r>
        <w:rPr>
          <w:rFonts w:hint="eastAsia" w:ascii="仿宋" w:hAnsi="仿宋" w:eastAsia="仿宋"/>
          <w:b/>
          <w:color w:val="000000" w:themeColor="text1"/>
          <w:sz w:val="24"/>
        </w:rPr>
        <w:t xml:space="preserve">系统参与政府采购项目，需要办理江苏省政府采购数字证书及电子签章，具体详见苏</w:t>
      </w:r>
      <w:r>
        <w:rPr>
          <w:rFonts w:hint="eastAsia" w:ascii="仿宋" w:hAnsi="仿宋" w:eastAsia="仿宋"/>
          <w:b/>
          <w:color w:val="000000" w:themeColor="text1"/>
          <w:sz w:val="24"/>
        </w:rPr>
        <w:t xml:space="preserve">采云</w:t>
      </w:r>
      <w:r>
        <w:rPr>
          <w:rFonts w:hint="eastAsia" w:ascii="仿宋" w:hAnsi="仿宋" w:eastAsia="仿宋"/>
          <w:b/>
          <w:color w:val="000000" w:themeColor="text1"/>
          <w:sz w:val="24"/>
        </w:rPr>
        <w:t xml:space="preserve">系统登录页“新CA办理指南”。供应商按《苏</w:t>
      </w:r>
      <w:r>
        <w:rPr>
          <w:rFonts w:hint="eastAsia" w:ascii="仿宋" w:hAnsi="仿宋" w:eastAsia="仿宋"/>
          <w:b/>
          <w:color w:val="000000" w:themeColor="text1"/>
          <w:sz w:val="24"/>
        </w:rPr>
        <w:t xml:space="preserve">采云</w:t>
      </w:r>
      <w:r>
        <w:rPr>
          <w:rFonts w:hint="eastAsia" w:ascii="仿宋" w:hAnsi="仿宋" w:eastAsia="仿宋"/>
          <w:b/>
          <w:color w:val="000000" w:themeColor="text1"/>
          <w:sz w:val="24"/>
        </w:rPr>
        <w:t xml:space="preserve">系统供应商操作手册》（以下简称“操作手册”）进行注册，并制作上传电子投标文件。《操作手册》下载地址：http://www.ccgp-jiangsu.gov.cn/jiangsu/zlxz/ee/ee3a4bc5a3454aa2b0d9312230633ce9.html</w:t>
      </w:r>
      <w:r/>
    </w:p>
    <w:p>
      <w:pPr>
        <w:ind w:firstLine="480"/>
        <w:spacing w:line="360" w:lineRule="auto"/>
        <w:rPr>
          <w:rFonts w:hint="eastAsia" w:ascii="仿宋" w:hAnsi="仿宋" w:eastAsia="仿宋" w:cs="仿宋"/>
          <w:b/>
          <w:bCs/>
          <w:color w:val="000000" w:themeColor="text1"/>
          <w:sz w:val="24"/>
          <w:lang w:val="zh-CN"/>
        </w:rPr>
      </w:pPr>
      <w:r>
        <w:rPr>
          <w:rFonts w:hint="eastAsia" w:ascii="仿宋" w:hAnsi="仿宋" w:eastAsia="仿宋" w:cs="仿宋"/>
          <w:bCs/>
          <w:color w:val="000000" w:themeColor="text1"/>
          <w:sz w:val="24"/>
        </w:rPr>
        <w:t xml:space="preserve">6.7本招标公告在</w:t>
      </w:r>
      <w:r>
        <w:rPr>
          <w:rFonts w:hint="eastAsia" w:ascii="仿宋" w:hAnsi="仿宋" w:eastAsia="仿宋"/>
          <w:bCs/>
          <w:color w:val="000000" w:themeColor="text1"/>
          <w:sz w:val="24"/>
        </w:rPr>
        <w:t xml:space="preserve">江苏政府采购网（http：//www.ccgp-jiangsu.gov.cn/）、南京公共采购信息网（https：//njgc.jfh.com/）</w:t>
      </w:r>
      <w:r>
        <w:rPr>
          <w:rFonts w:hint="eastAsia" w:ascii="仿宋" w:hAnsi="仿宋" w:eastAsia="仿宋" w:cs="仿宋"/>
          <w:bCs/>
          <w:color w:val="000000" w:themeColor="text1"/>
          <w:sz w:val="24"/>
        </w:rPr>
        <w:t xml:space="preserve">公示发布。若有关本次招标存在的变动或修改，敬请各供应商及时关注</w:t>
      </w:r>
      <w:r>
        <w:rPr>
          <w:rFonts w:hint="eastAsia" w:ascii="仿宋" w:hAnsi="仿宋" w:eastAsia="仿宋"/>
          <w:bCs/>
          <w:color w:val="000000" w:themeColor="text1"/>
          <w:sz w:val="24"/>
        </w:rPr>
        <w:t xml:space="preserve">江苏政府采购网、南京公共采购信息网</w:t>
      </w:r>
      <w:r>
        <w:rPr>
          <w:rFonts w:hint="eastAsia" w:ascii="仿宋" w:hAnsi="仿宋" w:eastAsia="仿宋" w:cs="仿宋"/>
          <w:bCs/>
          <w:color w:val="000000" w:themeColor="text1"/>
          <w:sz w:val="24"/>
        </w:rPr>
        <w:t xml:space="preserve">发布的关于本项目的信息更正公告。</w:t>
      </w:r>
      <w:bookmarkStart w:id="42" w:name="_Toc38723685"/>
      <w:r/>
      <w:r/>
    </w:p>
    <w:p>
      <w:pPr>
        <w:spacing w:line="360" w:lineRule="auto"/>
        <w:rPr>
          <w:rFonts w:hint="eastAsia" w:ascii="仿宋" w:hAnsi="仿宋" w:eastAsia="仿宋" w:cs="仿宋"/>
          <w:bCs/>
          <w:color w:val="000000" w:themeColor="text1"/>
          <w:sz w:val="24"/>
          <w:lang w:val="zh-CN"/>
        </w:rPr>
      </w:pPr>
      <w:r>
        <w:rPr>
          <w:rFonts w:hint="eastAsia" w:ascii="仿宋" w:hAnsi="仿宋" w:eastAsia="仿宋"/>
          <w:color w:val="000000" w:themeColor="text1"/>
          <w:sz w:val="24"/>
        </w:rPr>
        <w:t xml:space="preserve">七、对本次招标提出询问，请按</w:t>
      </w:r>
      <w:r>
        <w:rPr>
          <w:rFonts w:ascii="仿宋" w:hAnsi="仿宋" w:eastAsia="仿宋"/>
          <w:color w:val="000000" w:themeColor="text1"/>
          <w:sz w:val="24"/>
        </w:rPr>
        <w:t xml:space="preserve">以下方式</w:t>
      </w:r>
      <w:r>
        <w:rPr>
          <w:rFonts w:hint="eastAsia" w:ascii="仿宋" w:hAnsi="仿宋" w:eastAsia="仿宋"/>
          <w:color w:val="000000" w:themeColor="text1"/>
          <w:sz w:val="24"/>
        </w:rPr>
        <w:t xml:space="preserve">联系</w:t>
      </w:r>
      <w:bookmarkEnd w:id="37"/>
      <w:r/>
      <w:bookmarkEnd w:id="38"/>
      <w:r/>
      <w:bookmarkEnd w:id="39"/>
      <w:r/>
      <w:bookmarkEnd w:id="40"/>
      <w:r/>
      <w:bookmarkEnd w:id="42"/>
      <w:r>
        <w:rPr>
          <w:rFonts w:hint="eastAsia" w:ascii="仿宋" w:hAnsi="仿宋" w:eastAsia="仿宋"/>
          <w:color w:val="000000" w:themeColor="text1"/>
          <w:sz w:val="24"/>
        </w:rPr>
        <w:t xml:space="preserve">：</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1.采购人信息</w:t>
      </w:r>
      <w:bookmarkStart w:id="43" w:name="_Toc28359097"/>
      <w:r/>
      <w:bookmarkStart w:id="44" w:name="_Toc35393807"/>
      <w:r/>
      <w:bookmarkStart w:id="45" w:name="_Toc35393638"/>
      <w:r/>
      <w:bookmarkStart w:id="46" w:name="_Toc28359020"/>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_GB2312"/>
          <w:color w:val="000000" w:themeColor="text1"/>
          <w:sz w:val="24"/>
        </w:rPr>
        <w:t xml:space="preserve">名    称：</w:t>
      </w:r>
      <w:r>
        <w:rPr>
          <w:rFonts w:hint="eastAsia" w:ascii="仿宋" w:hAnsi="仿宋" w:eastAsia="仿宋" w:cs="仿宋_GB2312"/>
          <w:color w:val="000000" w:themeColor="text1"/>
          <w:sz w:val="24"/>
          <w:u w:val="single"/>
        </w:rPr>
        <w:t xml:space="preserve">南京江宁经济技术开发区管理委员会</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_GB2312"/>
          <w:color w:val="000000" w:themeColor="text1"/>
          <w:sz w:val="24"/>
        </w:rPr>
        <w:t xml:space="preserve">地    址：</w:t>
      </w:r>
      <w:r>
        <w:rPr>
          <w:rFonts w:hint="eastAsia" w:ascii="仿宋" w:hAnsi="仿宋" w:eastAsia="仿宋" w:cs="仿宋_GB2312"/>
          <w:color w:val="000000" w:themeColor="text1"/>
          <w:sz w:val="24"/>
          <w:u w:val="single"/>
        </w:rPr>
        <w:t xml:space="preserve">南京市江宁开发区将军中路166号</w:t>
      </w:r>
      <w:r/>
    </w:p>
    <w:p>
      <w:pPr>
        <w:ind w:firstLine="480"/>
        <w:spacing w:line="360" w:lineRule="auto"/>
        <w:rPr>
          <w:rFonts w:hint="eastAsia" w:ascii="仿宋" w:hAnsi="仿宋" w:eastAsia="仿宋"/>
          <w:sz w:val="24"/>
          <w:u w:val="single"/>
        </w:rPr>
      </w:pPr>
      <w:r>
        <w:rPr>
          <w:rFonts w:hint="eastAsia" w:ascii="仿宋" w:hAnsi="仿宋" w:eastAsia="仿宋"/>
          <w:sz w:val="24"/>
        </w:rPr>
        <w:t xml:space="preserve">联 系 人：</w:t>
      </w:r>
      <w:r>
        <w:rPr>
          <w:rFonts w:hint="eastAsia" w:ascii="仿宋" w:hAnsi="仿宋" w:eastAsia="仿宋"/>
          <w:sz w:val="24"/>
          <w:u w:val="single"/>
        </w:rPr>
        <w:t xml:space="preserve">丁工</w:t>
      </w:r>
      <w:r/>
    </w:p>
    <w:p>
      <w:pPr>
        <w:ind w:firstLine="480"/>
        <w:spacing w:line="360" w:lineRule="auto"/>
        <w:rPr>
          <w:rFonts w:hint="eastAsia" w:ascii="仿宋" w:hAnsi="仿宋" w:eastAsia="仿宋"/>
          <w:sz w:val="24"/>
          <w:u w:val="single"/>
        </w:rPr>
      </w:pPr>
      <w:r>
        <w:rPr>
          <w:rFonts w:hint="eastAsia" w:ascii="仿宋" w:hAnsi="仿宋" w:eastAsia="仿宋"/>
          <w:sz w:val="24"/>
        </w:rPr>
        <w:t xml:space="preserve">联系方式：</w:t>
      </w:r>
      <w:r>
        <w:rPr>
          <w:rFonts w:hint="eastAsia" w:ascii="仿宋" w:hAnsi="仿宋" w:eastAsia="仿宋"/>
          <w:sz w:val="24"/>
          <w:u w:val="single"/>
        </w:rPr>
        <w:t xml:space="preserve">025-52111491</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2.采购代理机构信息</w:t>
      </w:r>
      <w:bookmarkStart w:id="47" w:name="_Hlk50644992"/>
      <w:r/>
      <w:bookmarkEnd w:id="43"/>
      <w:r/>
      <w:bookmarkEnd w:id="44"/>
      <w:r/>
      <w:bookmarkEnd w:id="45"/>
      <w:r/>
      <w:bookmarkEnd w:id="46"/>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名    称：</w:t>
      </w:r>
      <w:r>
        <w:rPr>
          <w:rFonts w:hint="eastAsia" w:ascii="仿宋" w:hAnsi="仿宋" w:eastAsia="仿宋" w:cs="仿宋"/>
          <w:color w:val="000000" w:themeColor="text1"/>
          <w:sz w:val="24"/>
          <w:u w:val="single"/>
        </w:rPr>
        <w:t xml:space="preserve">南京瑞嘉建设项目管理有限公司</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地    址：</w:t>
      </w:r>
      <w:r>
        <w:rPr>
          <w:rFonts w:hint="eastAsia" w:ascii="仿宋" w:hAnsi="仿宋" w:eastAsia="仿宋" w:cs="仿宋"/>
          <w:bCs/>
          <w:color w:val="000000" w:themeColor="text1"/>
          <w:sz w:val="24"/>
          <w:u w:val="single"/>
        </w:rPr>
        <w:t xml:space="preserve">南京市栖霞区石狮路12号绿地云都会大厦2幢703室（南京地铁2号线4号线金马路站上盖建筑）</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联系方式：</w:t>
      </w:r>
      <w:bookmarkStart w:id="48" w:name="_Toc28359098"/>
      <w:r/>
      <w:bookmarkStart w:id="49" w:name="_Toc35393808"/>
      <w:r/>
      <w:bookmarkStart w:id="50" w:name="_Toc28359021"/>
      <w:r/>
      <w:bookmarkStart w:id="51" w:name="_Toc35393639"/>
      <w:r>
        <w:rPr>
          <w:rFonts w:hint="eastAsia" w:ascii="仿宋" w:hAnsi="仿宋" w:eastAsia="仿宋" w:cs="仿宋"/>
          <w:color w:val="000000" w:themeColor="text1"/>
          <w:sz w:val="24"/>
          <w:u w:val="single"/>
        </w:rPr>
        <w:t xml:space="preserve">025-83111722</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3.项目联系方式</w:t>
      </w:r>
      <w:bookmarkEnd w:id="48"/>
      <w:r/>
      <w:bookmarkEnd w:id="49"/>
      <w:r/>
      <w:bookmarkEnd w:id="50"/>
      <w:r/>
      <w:bookmarkEnd w:id="51"/>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项目联系人：</w:t>
      </w:r>
      <w:bookmarkEnd w:id="47"/>
      <w:r>
        <w:rPr>
          <w:rFonts w:hint="eastAsia" w:ascii="仿宋" w:hAnsi="仿宋" w:eastAsia="仿宋" w:cs="仿宋"/>
          <w:color w:val="000000" w:themeColor="text1"/>
          <w:sz w:val="24"/>
          <w:u w:val="single"/>
        </w:rPr>
        <w:t xml:space="preserve">宋铭钰</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电      话：</w:t>
      </w:r>
      <w:r>
        <w:rPr>
          <w:rFonts w:hint="eastAsia" w:ascii="仿宋" w:hAnsi="仿宋" w:eastAsia="仿宋" w:cs="仿宋"/>
          <w:color w:val="000000" w:themeColor="text1"/>
          <w:sz w:val="24"/>
          <w:u w:val="single"/>
        </w:rPr>
        <w:t xml:space="preserve">025-83111722-80</w:t>
      </w:r>
      <w:bookmarkStart w:id="52" w:name="_Toc38721213"/>
      <w:r>
        <w:rPr>
          <w:rFonts w:hint="eastAsia" w:ascii="仿宋" w:hAnsi="仿宋" w:eastAsia="仿宋" w:cs="仿宋"/>
          <w:color w:val="000000" w:themeColor="text1"/>
          <w:sz w:val="24"/>
          <w:u w:val="single"/>
        </w:rPr>
        <w:t xml:space="preserve">16</w:t>
      </w:r>
      <w:r/>
    </w:p>
    <w:p>
      <w:pPr>
        <w:pStyle w:val="902"/>
        <w:jc w:val="center"/>
        <w:spacing w:line="240" w:lineRule="auto"/>
        <w:rPr>
          <w:rFonts w:hint="eastAsia" w:ascii="仿宋" w:hAnsi="仿宋" w:eastAsia="仿宋"/>
          <w:color w:val="000000" w:themeColor="text1"/>
          <w:sz w:val="32"/>
        </w:rPr>
      </w:pPr>
      <w:r>
        <w:rPr>
          <w:rFonts w:ascii="仿宋" w:hAnsi="仿宋" w:eastAsia="仿宋"/>
          <w:color w:val="000000" w:themeColor="text1"/>
          <w:sz w:val="32"/>
        </w:rPr>
        <w:br w:type="page" w:clear="all"/>
      </w:r>
      <w:bookmarkStart w:id="53" w:name="_Toc205561299"/>
      <w:r>
        <w:rPr>
          <w:rFonts w:hint="eastAsia" w:ascii="仿宋" w:hAnsi="仿宋" w:eastAsia="仿宋"/>
          <w:color w:val="000000" w:themeColor="text1"/>
          <w:sz w:val="32"/>
        </w:rPr>
        <w:t xml:space="preserve">第二章 供应商须知</w:t>
      </w:r>
      <w:bookmarkEnd w:id="52"/>
      <w:r/>
      <w:bookmarkEnd w:id="53"/>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一、总则</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1、适用法律</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2、定义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2.1“采购人”是指依法进行政府采购的国家机关、事业单位、团体组织。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2.2“供应商”是指参加投标竞争，并符合招标文件规定资格条件的法人、其他组织或者自然人。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2.3“采购代理机构”是指集中采购机构和集中采购机构以外的采购代理机构，集中采购机构以外的采购代理机构，是从事采购代理业务的社会中介机构。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2.4“货物和服务”指本招标文件中所述产品及相关服务。</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2.5“用户或使用单位”是指使用货物，接受服务的单位。</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3、政策功能</w:t>
      </w:r>
      <w:r/>
    </w:p>
    <w:p>
      <w:pPr>
        <w:ind w:firstLine="602"/>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3.1 中小企业政策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（3）对于接受供应商以联合体形</w:t>
      </w:r>
      <w:r>
        <w:rPr>
          <w:rFonts w:hint="eastAsia" w:ascii="仿宋" w:hAnsi="仿宋" w:eastAsia="仿宋" w:cs="仿宋"/>
          <w:color w:val="000000" w:themeColor="text1"/>
          <w:sz w:val="24"/>
        </w:rPr>
        <w:t xml:space="preserve">式参加</w:t>
      </w:r>
      <w:r>
        <w:rPr>
          <w:rFonts w:hint="eastAsia" w:ascii="仿宋" w:hAnsi="仿宋" w:eastAsia="仿宋" w:cs="仿宋"/>
          <w:color w:val="000000" w:themeColor="text1"/>
          <w:sz w:val="24"/>
        </w:rPr>
        <w:t xml:space="preserve">采购活动的项目，小微型企业联合体应当符合《政府采购促进中小企业发展管理办法》（财库〔2020〕46号）第九条的规定。根据《关于进一步加大政府采购支持中小企业力度的通知》（财库〔2022〕19号）对于联合协议或者分包意向协议约定小</w:t>
      </w:r>
      <w:r>
        <w:rPr>
          <w:rFonts w:hint="eastAsia" w:ascii="仿宋" w:hAnsi="仿宋" w:eastAsia="仿宋" w:cs="仿宋"/>
          <w:color w:val="000000" w:themeColor="text1"/>
          <w:sz w:val="24"/>
        </w:rPr>
        <w:t xml:space="preserve">微企业</w:t>
      </w:r>
      <w:r>
        <w:rPr>
          <w:rFonts w:hint="eastAsia" w:ascii="仿宋" w:hAnsi="仿宋" w:eastAsia="仿宋" w:cs="仿宋"/>
          <w:color w:val="000000" w:themeColor="text1"/>
          <w:sz w:val="24"/>
        </w:rPr>
        <w:t xml:space="preserve">的合同份额占到</w:t>
      </w:r>
      <w:r>
        <w:rPr>
          <w:rFonts w:hint="eastAsia" w:ascii="仿宋" w:hAnsi="仿宋" w:eastAsia="仿宋" w:cs="仿宋"/>
          <w:color w:val="000000" w:themeColor="text1"/>
          <w:sz w:val="24"/>
        </w:rPr>
        <w:t xml:space="preserve">合同总金额30%以上的，给予联合体4%的价格扣除。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（5）未按要求提供相关材料的，不享受相关政策。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（6）</w:t>
      </w:r>
      <w:r>
        <w:rPr>
          <w:rFonts w:hint="eastAsia" w:ascii="仿宋" w:hAnsi="仿宋" w:eastAsia="仿宋" w:cs="仿宋"/>
          <w:bCs/>
          <w:color w:val="000000" w:themeColor="text1"/>
          <w:sz w:val="24"/>
        </w:rPr>
        <w:t xml:space="preserve">项目所属行业</w:t>
      </w:r>
      <w:r>
        <w:rPr>
          <w:rFonts w:hint="eastAsia" w:ascii="仿宋" w:hAnsi="仿宋" w:eastAsia="仿宋" w:cs="仿宋"/>
          <w:color w:val="000000" w:themeColor="text1"/>
          <w:sz w:val="24"/>
        </w:rPr>
        <w:t xml:space="preserve">：根据《关于印发中小企业划型标准规定的通知》（工信部联企业〔2011〕300号）及《国家统计局关于印发&lt;统计上大中小微型企业划分办法〔2017〕&gt;的通知》（国统字〔2017〕213号）等文件规定，本项目所属行业为其他未列明行业。</w:t>
      </w:r>
      <w:bookmarkStart w:id="54" w:name="_Hlk136001790"/>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3.2 节能产品政策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（4）参加政府采购活动的节能产品供应商应当提供有效的节能产品认证证书复印件。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3.3 环境标志产品政策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（3）参加政府采购活动的环境标志产品应当提供有效的环境标志产品认证证书复印件。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3.4 信息安全产品政策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3.5 进口产品政策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（1）除第一</w:t>
      </w:r>
      <w:r>
        <w:rPr>
          <w:rFonts w:hint="eastAsia" w:ascii="仿宋" w:hAnsi="仿宋" w:eastAsia="仿宋" w:cs="仿宋"/>
          <w:color w:val="000000" w:themeColor="text1"/>
          <w:sz w:val="24"/>
        </w:rPr>
        <w:t xml:space="preserve">章公开</w:t>
      </w:r>
      <w:r>
        <w:rPr>
          <w:rFonts w:hint="eastAsia" w:ascii="仿宋" w:hAnsi="仿宋" w:eastAsia="仿宋" w:cs="仿宋"/>
          <w:color w:val="000000" w:themeColor="text1"/>
          <w:sz w:val="24"/>
        </w:rPr>
        <w:t xml:space="preserve">招标公告另有规定外，不允许进口产品参加。进口产品认定依照《财政部关于政府采购进口产品管理有关问题的通知》（财办库〔2008〕248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（2）允许进口产品参加的，满足需求的国内产品可以参加。</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3.6供应商信用信息查询</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themeColor="text1"/>
          <w:sz w:val="24"/>
          <w:lang w:val="zh-CN"/>
        </w:rPr>
        <w:t xml:space="preserve">2016〕</w:t>
      </w:r>
      <w:r>
        <w:rPr>
          <w:rFonts w:hint="eastAsia" w:ascii="仿宋" w:hAnsi="仿宋" w:eastAsia="仿宋" w:cs="仿宋"/>
          <w:color w:val="000000" w:themeColor="text1"/>
          <w:sz w:val="24"/>
        </w:rPr>
        <w:t xml:space="preserve">125 号）。</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（2）查询截止时间：提交投标文件截止时间前。</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（3）供应商信用查询记录不符合要求的，采购人或采购代理机构将依法拒绝供应商参加本次采购活动。</w:t>
      </w:r>
      <w:bookmarkEnd w:id="54"/>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二、招标文件构成</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4、招标文件组成</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4.1招标文件包括以下主要内容：招标公告；供应商须知（包括投标文件的盖章要求等）；供应商应当提交的资格、资信证明文件；为落实政府采购政策，采购标的需满足的要求，以及供应商须提供的证明材料；投标文件编制要求、投标报价要求和退还方式的情形；采购项目预算金额，设定最高限价的，还应当公开最高限价；采购项目的技术规格、数量、服务标准、验收等要求，包括附件、图纸等；</w:t>
      </w:r>
      <w:r>
        <w:rPr>
          <w:rFonts w:hint="eastAsia" w:ascii="仿宋" w:hAnsi="仿宋" w:eastAsia="仿宋"/>
          <w:bCs/>
          <w:color w:val="000000" w:themeColor="text1"/>
          <w:sz w:val="24"/>
          <w:lang w:val="zh-CN"/>
        </w:rPr>
        <w:t xml:space="preserve">拟签订</w:t>
      </w:r>
      <w:r>
        <w:rPr>
          <w:rFonts w:hint="eastAsia" w:ascii="仿宋" w:hAnsi="仿宋" w:eastAsia="仿宋"/>
          <w:bCs/>
          <w:color w:val="000000" w:themeColor="text1"/>
          <w:sz w:val="24"/>
          <w:lang w:val="zh-CN"/>
        </w:rPr>
        <w:t xml:space="preserve">的合同文本；货物、服务提供的时间、地点、方式；采购资金的</w:t>
      </w:r>
      <w:r>
        <w:rPr>
          <w:rFonts w:hint="eastAsia" w:ascii="仿宋" w:hAnsi="仿宋" w:eastAsia="仿宋"/>
          <w:bCs/>
          <w:color w:val="000000" w:themeColor="text1"/>
          <w:sz w:val="24"/>
          <w:lang w:val="zh-CN"/>
        </w:rPr>
        <w:t xml:space="preserve">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4.2招标的最小单位是包。招标货物数量及技术要求中未分包的，供应商对要求提供的货物和服务不得部分投标；招标货物数量及技术要求中已经分包的，可以以包为单位投标。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4.3采购代理机构如果要求供应</w:t>
      </w:r>
      <w:r>
        <w:rPr>
          <w:rFonts w:hint="eastAsia" w:ascii="仿宋" w:hAnsi="仿宋" w:eastAsia="仿宋"/>
          <w:bCs/>
          <w:color w:val="000000" w:themeColor="text1"/>
          <w:sz w:val="24"/>
          <w:lang w:val="zh-CN"/>
        </w:rPr>
        <w:t xml:space="preserve">商按照</w:t>
      </w:r>
      <w:r>
        <w:rPr>
          <w:rFonts w:hint="eastAsia" w:ascii="仿宋" w:hAnsi="仿宋" w:eastAsia="仿宋"/>
          <w:bCs/>
          <w:color w:val="000000" w:themeColor="text1"/>
          <w:sz w:val="24"/>
          <w:lang w:val="zh-CN"/>
        </w:rPr>
        <w:t xml:space="preserve">招标文件规定提交备选投标方案的，供应商可以提交备选方案；否则，备选方案将被拒绝。</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5、招标文件的澄清或者修改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5.1</w:t>
      </w:r>
      <w:r>
        <w:rPr>
          <w:rFonts w:hint="eastAsia" w:ascii="仿宋" w:hAnsi="仿宋" w:eastAsia="仿宋"/>
          <w:bCs/>
          <w:color w:val="000000" w:themeColor="text1"/>
          <w:sz w:val="24"/>
          <w:lang w:val="zh-CN"/>
        </w:rPr>
        <w:t xml:space="preserve">在投标截止时间前，</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可以对招标文件进行修改。招标文件的修改将在原公告媒体发布更正公告，更正内容将作为招标文件的组成部分，并对投标人具有约束力。</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5.2</w:t>
      </w:r>
      <w:r>
        <w:rPr>
          <w:rFonts w:hint="eastAsia" w:ascii="仿宋" w:hAnsi="仿宋" w:eastAsia="仿宋"/>
          <w:bCs/>
          <w:color w:val="000000" w:themeColor="text1"/>
          <w:sz w:val="24"/>
          <w:lang w:val="zh-CN"/>
        </w:rPr>
        <w:t xml:space="preserve">投标人应在提交投标文件截止时间前，关注原公告媒体有关本项目的更正公告，根据更正公告内容自行决定是否需要重新制作和提交投标文件，并承担由此产生的相应责任。</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5.3代理机构</w:t>
      </w:r>
      <w:r>
        <w:rPr>
          <w:rFonts w:hint="eastAsia" w:ascii="仿宋" w:hAnsi="仿宋" w:eastAsia="仿宋"/>
          <w:bCs/>
          <w:color w:val="000000" w:themeColor="text1"/>
          <w:sz w:val="24"/>
          <w:lang w:val="zh-CN"/>
        </w:rPr>
        <w:t xml:space="preserve">有权按照法定的要求推迟投标截止日期和开标日期，并在原公告媒体发布更正公告。</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三、投标文件的编制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6、投标文件的语言、计量单位、货币和编制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6.2除技术性能另有规定外，投标文件所使用的度量衡单位，均须采用国家法定计量单位。</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6.3供应商应用人民币报价。投标产品如果是进口产品的，应提供人民币与外币之间的汇率；报价单位为“元”。</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供应商应在投标文件中写清相应的项目编号、项目名称、供应商全称、</w:t>
      </w:r>
      <w:r>
        <w:rPr>
          <w:rFonts w:hint="eastAsia" w:ascii="仿宋" w:hAnsi="仿宋" w:eastAsia="仿宋"/>
          <w:bCs/>
          <w:color w:val="000000" w:themeColor="text1"/>
          <w:sz w:val="24"/>
          <w:lang w:val="zh-CN"/>
        </w:rPr>
        <w:t xml:space="preserve">地址、电话等。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供应商根据招标文件载明的标的采购项目实际情况，拟在中标后将中标项目的非主体、非关键性工作交由他人完成的，应当在投标文件中载明。</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7、投标文件的组成</w:t>
      </w:r>
      <w:r/>
    </w:p>
    <w:p>
      <w:pPr>
        <w:ind w:firstLine="600"/>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7.1</w:t>
      </w:r>
      <w:r>
        <w:rPr>
          <w:rFonts w:hint="eastAsia" w:ascii="仿宋" w:hAnsi="仿宋" w:eastAsia="仿宋"/>
          <w:b/>
          <w:color w:val="000000" w:themeColor="text1"/>
          <w:sz w:val="24"/>
          <w:lang w:val="zh-CN"/>
        </w:rPr>
        <w:t xml:space="preserve">如标书制作工具中格式和内容与“江苏政府采购网”发布的招标文件不一致，以“江苏政府采购网”发布的招标文件为准。</w:t>
      </w:r>
      <w:r>
        <w:rPr>
          <w:rFonts w:hint="eastAsia" w:ascii="仿宋" w:hAnsi="仿宋" w:eastAsia="仿宋"/>
          <w:b/>
          <w:color w:val="000000" w:themeColor="text1"/>
          <w:sz w:val="24"/>
        </w:rPr>
        <w:t xml:space="preserve">供应商需根据招标文件格式要求上</w:t>
      </w:r>
      <w:r>
        <w:rPr>
          <w:rFonts w:hint="eastAsia" w:ascii="仿宋" w:hAnsi="仿宋" w:eastAsia="仿宋"/>
          <w:b/>
          <w:color w:val="000000" w:themeColor="text1"/>
          <w:sz w:val="24"/>
        </w:rPr>
        <w:t xml:space="preserve">传相应</w:t>
      </w:r>
      <w:r>
        <w:rPr>
          <w:rFonts w:hint="eastAsia" w:ascii="仿宋" w:hAnsi="仿宋" w:eastAsia="仿宋"/>
          <w:b/>
          <w:color w:val="000000" w:themeColor="text1"/>
          <w:sz w:val="24"/>
        </w:rPr>
        <w:t xml:space="preserve">的文件。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7.2</w:t>
      </w:r>
      <w:r>
        <w:rPr>
          <w:rFonts w:hint="eastAsia" w:ascii="仿宋" w:hAnsi="仿宋" w:eastAsia="仿宋"/>
          <w:bCs/>
          <w:color w:val="000000" w:themeColor="text1"/>
          <w:sz w:val="24"/>
          <w:lang w:val="zh-CN"/>
        </w:rPr>
        <w:t xml:space="preserve">供应商应当根据招标文件要求编制投标文件，投标文件应对招标文件提出的要求和条件</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实质性响应，并在《商务条款偏离表》《技术规格偏离表》等处逐条标明满足与否。对带 “</w:t>
      </w:r>
      <w:r>
        <w:rPr>
          <w:rFonts w:hint="eastAsia" w:ascii="宋体" w:hAnsi="宋体"/>
          <w:b/>
          <w:bCs/>
          <w:iCs/>
          <w:color w:val="000000" w:themeColor="text1"/>
          <w:sz w:val="24"/>
          <w:szCs w:val="22"/>
        </w:rPr>
        <w:t xml:space="preserve">★</w:t>
      </w:r>
      <w:r>
        <w:rPr>
          <w:rFonts w:hint="eastAsia" w:ascii="仿宋" w:hAnsi="仿宋" w:eastAsia="仿宋"/>
          <w:bCs/>
          <w:color w:val="000000" w:themeColor="text1"/>
          <w:sz w:val="24"/>
          <w:lang w:val="zh-CN"/>
        </w:rPr>
        <w:t xml:space="preserve">”的技术条款必须在投标文件中提供技术支持资料（如白皮书、彩页、手册、检测报告等），未提供技术支持资料的，评审时不予认可（采购需求中另有规定的，也可从其规定）。</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7.3供应商</w:t>
      </w:r>
      <w:r>
        <w:rPr>
          <w:rFonts w:hint="eastAsia" w:ascii="仿宋" w:hAnsi="仿宋" w:eastAsia="仿宋"/>
          <w:bCs/>
          <w:color w:val="000000" w:themeColor="text1"/>
          <w:sz w:val="24"/>
          <w:lang w:val="zh-CN"/>
        </w:rPr>
        <w:t xml:space="preserve">编写的投标文件应包括但不限于下列文件（（1）-（</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）所述材料如提供不全或不满足招标文件的实质性要求，评标委员会有权否决供应商的投标）：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（1）投标函（投标申请及声明）（格式见附件一）；</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（2）授权委托书及委托代理人的身份证明文件扫描件（格式见附件二）；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（3）供应商资格证明文件：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1）第一章招标公告中2.1《中华人民共和国政府采购法》规定的资格条件（</w:t>
      </w:r>
      <w:r>
        <w:rPr>
          <w:rFonts w:hint="eastAsia" w:ascii="仿宋" w:hAnsi="仿宋" w:eastAsia="仿宋"/>
          <w:color w:val="000000" w:themeColor="text1"/>
          <w:sz w:val="24"/>
        </w:rPr>
        <w:t xml:space="preserve">提供</w:t>
      </w:r>
      <w:r>
        <w:rPr>
          <w:rFonts w:hint="eastAsia" w:ascii="仿宋" w:hAnsi="仿宋" w:eastAsia="仿宋"/>
          <w:bCs/>
          <w:color w:val="000000" w:themeColor="text1"/>
          <w:sz w:val="24"/>
        </w:rPr>
        <w:t xml:space="preserve">相关证明材料加盖供应商</w:t>
      </w:r>
      <w:bookmarkStart w:id="55" w:name="_Hlk181004606"/>
      <w:r>
        <w:rPr>
          <w:rFonts w:hint="eastAsia" w:ascii="仿宋" w:hAnsi="仿宋" w:eastAsia="仿宋"/>
          <w:bCs/>
          <w:color w:val="000000" w:themeColor="text1"/>
          <w:sz w:val="24"/>
        </w:rPr>
        <w:t xml:space="preserve">单位</w:t>
      </w:r>
      <w:bookmarkEnd w:id="55"/>
      <w:r>
        <w:rPr>
          <w:rFonts w:hint="eastAsia" w:ascii="仿宋" w:hAnsi="仿宋" w:eastAsia="仿宋"/>
          <w:bCs/>
          <w:color w:val="000000" w:themeColor="text1"/>
          <w:sz w:val="24"/>
        </w:rPr>
        <w:t xml:space="preserve">电子公章</w:t>
      </w:r>
      <w:r>
        <w:rPr>
          <w:rFonts w:hint="eastAsia" w:ascii="仿宋" w:hAnsi="仿宋" w:eastAsia="仿宋"/>
          <w:color w:val="000000" w:themeColor="text1"/>
          <w:sz w:val="24"/>
        </w:rPr>
        <w:t xml:space="preserve">，格式</w:t>
      </w:r>
      <w:r>
        <w:rPr>
          <w:rFonts w:hint="eastAsia" w:ascii="仿宋" w:hAnsi="仿宋" w:eastAsia="仿宋"/>
          <w:bCs/>
          <w:color w:val="000000" w:themeColor="text1"/>
          <w:sz w:val="24"/>
          <w:lang w:val="zh-CN"/>
        </w:rPr>
        <w:t xml:space="preserve">见公开</w:t>
      </w:r>
      <w:r>
        <w:rPr>
          <w:rFonts w:hint="eastAsia" w:ascii="仿宋" w:hAnsi="仿宋" w:eastAsia="仿宋"/>
          <w:bCs/>
          <w:color w:val="000000" w:themeColor="text1"/>
          <w:sz w:val="24"/>
          <w:lang w:val="zh-CN"/>
        </w:rPr>
        <w:t xml:space="preserve">招标文件附件三）；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cs="仿宋"/>
          <w:bCs/>
          <w:color w:val="000000" w:themeColor="text1"/>
          <w:sz w:val="24"/>
          <w:lang w:val="zh-CN"/>
        </w:rPr>
        <w:t xml:space="preserve">2）</w:t>
      </w:r>
      <w:r>
        <w:rPr>
          <w:rFonts w:hint="eastAsia" w:ascii="仿宋" w:hAnsi="仿宋" w:eastAsia="仿宋" w:cs="仿宋"/>
          <w:bCs/>
          <w:color w:val="000000" w:themeColor="text1"/>
          <w:sz w:val="24"/>
        </w:rPr>
        <w:t xml:space="preserve">第一章招标公告中2.3</w:t>
      </w:r>
      <w:r>
        <w:rPr>
          <w:rFonts w:hint="eastAsia" w:ascii="仿宋" w:hAnsi="仿宋" w:eastAsia="仿宋" w:cs="仿宋"/>
          <w:bCs/>
          <w:color w:val="000000" w:themeColor="text1"/>
          <w:sz w:val="24"/>
        </w:rPr>
        <w:t xml:space="preserve">采购人根据采购项目的特殊要求规定的特定条件证明文件（如有，提供相关证明材料扫描件加盖供应商单位电子公章）；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供应商资格</w:t>
      </w:r>
      <w:r>
        <w:rPr>
          <w:rFonts w:hint="eastAsia" w:ascii="仿宋" w:hAnsi="仿宋" w:eastAsia="仿宋"/>
          <w:bCs/>
          <w:color w:val="000000" w:themeColor="text1"/>
          <w:sz w:val="24"/>
          <w:lang w:val="zh-CN"/>
        </w:rPr>
        <w:t xml:space="preserve">承诺</w:t>
      </w:r>
      <w:r>
        <w:rPr>
          <w:rFonts w:hint="eastAsia" w:ascii="仿宋" w:hAnsi="仿宋" w:eastAsia="仿宋"/>
          <w:bCs/>
          <w:color w:val="000000" w:themeColor="text1"/>
          <w:sz w:val="24"/>
        </w:rPr>
        <w:t xml:space="preserve">函</w:t>
      </w:r>
      <w:r>
        <w:rPr>
          <w:rFonts w:hint="eastAsia" w:ascii="仿宋" w:hAnsi="仿宋" w:eastAsia="仿宋"/>
          <w:bCs/>
          <w:color w:val="000000" w:themeColor="text1"/>
          <w:sz w:val="24"/>
          <w:lang w:val="zh-CN"/>
        </w:rPr>
        <w:t xml:space="preserve">（格式见附件四）；</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）开标一览表（格式见附件五）；</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6</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分项报价表</w:t>
      </w:r>
      <w:r>
        <w:rPr>
          <w:rFonts w:hint="eastAsia" w:ascii="仿宋" w:hAnsi="仿宋" w:eastAsia="仿宋"/>
          <w:bCs/>
          <w:color w:val="000000" w:themeColor="text1"/>
          <w:sz w:val="24"/>
          <w:lang w:val="zh-CN"/>
        </w:rPr>
        <w:t xml:space="preserve">（格式见附件六）；</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7</w:t>
      </w:r>
      <w:r>
        <w:rPr>
          <w:rFonts w:hint="eastAsia" w:ascii="仿宋" w:hAnsi="仿宋" w:eastAsia="仿宋"/>
          <w:bCs/>
          <w:color w:val="000000" w:themeColor="text1"/>
          <w:sz w:val="24"/>
          <w:lang w:val="zh-CN"/>
        </w:rPr>
        <w:t xml:space="preserve">）《商务条款偏离表》（格式见附件八）；</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）《技术条款偏离表》（格式见附件七）；</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）技术说明或项目实施方案（格式见附件十一）；</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）质量保证及服务承诺（格式见附件十二）；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）供应商拟投入本项目的人员情况一览表（格式见附件九）；</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lang w:val="zh-CN"/>
        </w:rPr>
        <w:t xml:space="preserve">）供应商近年类似业绩情况表（格式见附件十）；</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13</w:t>
      </w:r>
      <w:r>
        <w:rPr>
          <w:rFonts w:hint="eastAsia" w:ascii="仿宋" w:hAnsi="仿宋" w:eastAsia="仿宋"/>
          <w:bCs/>
          <w:color w:val="000000" w:themeColor="text1"/>
          <w:sz w:val="24"/>
          <w:lang w:val="zh-CN"/>
        </w:rPr>
        <w:t xml:space="preserve">）第三章评标标准中对应的其它所需证明材料（如有自行添加）；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14</w:t>
      </w:r>
      <w:r>
        <w:rPr>
          <w:rFonts w:hint="eastAsia" w:ascii="仿宋" w:hAnsi="仿宋" w:eastAsia="仿宋"/>
          <w:bCs/>
          <w:color w:val="000000" w:themeColor="text1"/>
          <w:sz w:val="24"/>
          <w:lang w:val="zh-CN"/>
        </w:rPr>
        <w:t xml:space="preserve">）要求采购人提供的配合（如有自拟并自行添加）；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）供应商认为需要提供的其他技术资料。</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8</w:t>
      </w:r>
      <w:r>
        <w:rPr>
          <w:rFonts w:hint="eastAsia" w:ascii="仿宋" w:hAnsi="仿宋" w:eastAsia="仿宋"/>
          <w:b/>
          <w:color w:val="000000" w:themeColor="text1"/>
          <w:sz w:val="24"/>
          <w:lang w:val="zh-CN"/>
        </w:rPr>
        <w:t xml:space="preserve">、投标文件的价格部分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.1价格部分是对采购标的价格构成的说明，招标文件如无特别说明，每一项货物及服务仅接受一个价格。</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.2报价应包含本次招投标的有关的所有费用以及技术资料、支付给员工的工资和国家强制缴纳的各种社会保障资金，以及供应商认为需要的其他费用等</w:t>
      </w:r>
      <w:r>
        <w:rPr>
          <w:rFonts w:hint="eastAsia" w:ascii="仿宋" w:hAnsi="仿宋" w:eastAsia="仿宋" w:cs="仿宋_GB2312"/>
          <w:color w:val="000000" w:themeColor="text1"/>
          <w:sz w:val="24"/>
        </w:rPr>
        <w:t xml:space="preserve">（如招标代理费、利润、税金、政策性文件规定及合同包含内的所有风险、责任等各项应有费用）</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.3供应商的任何错漏、优惠、竞争性报价不得作为减轻责任、减少服务、增加收费、降低质量的理由。</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.5供应商应在《开标一览表》《分项报价表》等标明投标货物和服务的单价、总价以及分项报价。</w:t>
      </w:r>
      <w:r>
        <w:rPr>
          <w:rFonts w:hint="eastAsia" w:ascii="仿宋" w:hAnsi="仿宋" w:eastAsia="仿宋"/>
          <w:bCs/>
          <w:color w:val="000000" w:themeColor="text1"/>
          <w:sz w:val="24"/>
          <w:lang w:val="zh-CN"/>
        </w:rPr>
        <w:t xml:space="preserve">供应商系小</w:t>
      </w:r>
      <w:r>
        <w:rPr>
          <w:rFonts w:hint="eastAsia" w:ascii="仿宋" w:hAnsi="仿宋" w:eastAsia="仿宋"/>
          <w:bCs/>
          <w:color w:val="000000" w:themeColor="text1"/>
          <w:sz w:val="24"/>
          <w:lang w:val="zh-CN"/>
        </w:rPr>
        <w:t xml:space="preserve">企业（含小型、微型企业）、残疾人福利性单位、监狱企业，并提供本企业制造的货物、承担的工程或者服务，或者提供其他小企业、残疾人福利性单位、监狱企业制造的货物和服务的，须在《开标一览表》《分项报价表》中注明, 供应商应当如实申报,否则评标委员会有权取消其小微企业、残疾人福利性单位、监狱企业优惠政策。</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9</w:t>
      </w:r>
      <w:r>
        <w:rPr>
          <w:rFonts w:hint="eastAsia" w:ascii="仿宋" w:hAnsi="仿宋" w:eastAsia="仿宋"/>
          <w:b/>
          <w:bCs/>
          <w:color w:val="000000" w:themeColor="text1"/>
          <w:sz w:val="24"/>
          <w:lang w:val="zh-CN"/>
        </w:rPr>
        <w:t xml:space="preserve">、投标文件的其他部分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.1其他部分由供应商根据编制投标文件需要提供的其他相关文件组成。</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10</w:t>
      </w:r>
      <w:r>
        <w:rPr>
          <w:rFonts w:hint="eastAsia" w:ascii="仿宋" w:hAnsi="仿宋" w:eastAsia="仿宋"/>
          <w:b/>
          <w:bCs/>
          <w:color w:val="000000" w:themeColor="text1"/>
          <w:sz w:val="24"/>
          <w:lang w:val="zh-CN"/>
        </w:rPr>
        <w:t xml:space="preserve">、投标有效期</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.1自开标之日起90天内投标有效，投标有效期从提交投标文件的截止之日起算。投标文件中承诺的投标有效期应当不少于招标文件中载明的投标有效期。</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2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11</w:t>
      </w:r>
      <w:r>
        <w:rPr>
          <w:rFonts w:hint="eastAsia" w:ascii="仿宋" w:hAnsi="仿宋" w:eastAsia="仿宋"/>
          <w:b/>
          <w:bCs/>
          <w:color w:val="000000" w:themeColor="text1"/>
          <w:sz w:val="24"/>
          <w:lang w:val="zh-CN"/>
        </w:rPr>
        <w:t xml:space="preserve">、投标费用</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.1供应商应承担所有与准备和参加投标有关的费用，无论采购结果如何，采购代理机构和采购人在任何情况下均无义务和责任承担这些费用。</w:t>
      </w:r>
      <w:r/>
    </w:p>
    <w:p>
      <w:pPr>
        <w:ind w:firstLine="600"/>
        <w:spacing w:line="360" w:lineRule="auto"/>
        <w:rPr>
          <w:rFonts w:hint="eastAsia" w:ascii="仿宋" w:hAnsi="仿宋" w:eastAsia="仿宋" w:cs="仿宋"/>
          <w:bCs/>
          <w:color w:val="000000" w:themeColor="text1"/>
          <w:sz w:val="24"/>
        </w:rPr>
      </w:pP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.2</w:t>
      </w:r>
      <w:r>
        <w:rPr>
          <w:rFonts w:hint="eastAsia" w:ascii="仿宋" w:hAnsi="仿宋" w:eastAsia="仿宋" w:cs="仿宋"/>
          <w:bCs/>
          <w:color w:val="000000" w:themeColor="text1"/>
          <w:sz w:val="24"/>
        </w:rPr>
        <w:t xml:space="preserve">本项目服务费由中标供应商承担。招标代理收费参照计委计价格〔2002〕1980号代理招标收费标准的计算收取；控制价审核按照</w:t>
      </w:r>
      <w:r>
        <w:rPr>
          <w:rFonts w:hint="eastAsia" w:ascii="仿宋" w:hAnsi="仿宋" w:eastAsia="仿宋" w:cs="仿宋"/>
          <w:bCs/>
          <w:color w:val="000000" w:themeColor="text1"/>
          <w:sz w:val="24"/>
        </w:rPr>
        <w:t xml:space="preserve">苏价服〔2014〕</w:t>
      </w:r>
      <w:r>
        <w:rPr>
          <w:rFonts w:hint="eastAsia" w:ascii="仿宋" w:hAnsi="仿宋" w:eastAsia="仿宋" w:cs="仿宋"/>
          <w:bCs/>
          <w:color w:val="000000" w:themeColor="text1"/>
          <w:sz w:val="24"/>
        </w:rPr>
        <w:t xml:space="preserve">383号文规定收费标准计算收取；专家评审费参照</w:t>
      </w:r>
      <w:r>
        <w:rPr>
          <w:rFonts w:hint="eastAsia" w:ascii="仿宋" w:hAnsi="仿宋" w:eastAsia="仿宋" w:cs="仿宋"/>
          <w:bCs/>
          <w:color w:val="000000" w:themeColor="text1"/>
          <w:sz w:val="24"/>
        </w:rPr>
        <w:t xml:space="preserve">苏财购〔2016〕</w:t>
      </w:r>
      <w:r>
        <w:rPr>
          <w:rFonts w:hint="eastAsia" w:ascii="仿宋" w:hAnsi="仿宋" w:eastAsia="仿宋" w:cs="仿宋"/>
          <w:bCs/>
          <w:color w:val="000000" w:themeColor="text1"/>
          <w:sz w:val="24"/>
        </w:rPr>
        <w:t xml:space="preserve">48号文件按实结算，由招标代理先行垫付。</w:t>
      </w:r>
      <w:r/>
    </w:p>
    <w:p>
      <w:pPr>
        <w:ind w:firstLine="60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rPr>
        <w:t xml:space="preserve">11.3以上服务费由中标供应商在领取中标通知书前向招标代理单位一次性缴纳。请供应</w:t>
      </w:r>
      <w:r>
        <w:rPr>
          <w:rFonts w:hint="eastAsia" w:ascii="仿宋" w:hAnsi="仿宋" w:eastAsia="仿宋" w:cs="仿宋"/>
          <w:bCs/>
          <w:color w:val="000000" w:themeColor="text1"/>
          <w:sz w:val="24"/>
        </w:rPr>
        <w:t xml:space="preserve">商予以</w:t>
      </w:r>
      <w:r>
        <w:rPr>
          <w:rFonts w:hint="eastAsia" w:ascii="仿宋" w:hAnsi="仿宋" w:eastAsia="仿宋" w:cs="仿宋"/>
          <w:bCs/>
          <w:color w:val="000000" w:themeColor="text1"/>
          <w:sz w:val="24"/>
        </w:rPr>
        <w:t xml:space="preserve">关注并核算到总报价中，无需在投标报价表中单列。</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收款账户如下：</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户名：南京瑞嘉建设项目管理有限公司</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开户银行：工行南京龙江支行</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账号：4301024119100057021</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四、投标文件的递交</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w:t>
      </w:r>
      <w:r>
        <w:rPr>
          <w:rFonts w:hint="eastAsia" w:ascii="仿宋" w:hAnsi="仿宋" w:eastAsia="仿宋"/>
          <w:b/>
          <w:bCs/>
          <w:color w:val="000000" w:themeColor="text1"/>
          <w:sz w:val="24"/>
        </w:rPr>
        <w:t xml:space="preserve">2</w:t>
      </w:r>
      <w:r>
        <w:rPr>
          <w:rFonts w:hint="eastAsia" w:ascii="仿宋" w:hAnsi="仿宋" w:eastAsia="仿宋"/>
          <w:b/>
          <w:bCs/>
          <w:color w:val="000000" w:themeColor="text1"/>
          <w:sz w:val="24"/>
          <w:lang w:val="zh-CN"/>
        </w:rPr>
        <w:t xml:space="preserve">、投标文件的递交</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应当按照《操作手册》规定，在招标公告规定的投标截止时间</w:t>
      </w:r>
      <w:r>
        <w:rPr>
          <w:rFonts w:hint="eastAsia" w:ascii="仿宋" w:hAnsi="仿宋" w:eastAsia="仿宋"/>
          <w:bCs/>
          <w:color w:val="000000" w:themeColor="text1"/>
          <w:sz w:val="24"/>
          <w:lang w:val="zh-CN"/>
        </w:rPr>
        <w:t xml:space="preserve">前制作</w:t>
      </w:r>
      <w:r>
        <w:rPr>
          <w:rFonts w:hint="eastAsia" w:ascii="仿宋" w:hAnsi="仿宋" w:eastAsia="仿宋"/>
          <w:bCs/>
          <w:color w:val="000000" w:themeColor="text1"/>
          <w:sz w:val="24"/>
          <w:lang w:val="zh-CN"/>
        </w:rPr>
        <w:t xml:space="preserve">并上传电子投标文件。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.2</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应充分考虑网络环境、网络带宽等因素可能对投标产生的影响，如因</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自身原因造成的电子投标文件上传不成功的，按照本招标文件第二章第2</w:t>
      </w:r>
      <w:r>
        <w:rPr>
          <w:rFonts w:hint="eastAsia" w:ascii="仿宋" w:hAnsi="仿宋" w:eastAsia="仿宋"/>
          <w:bCs/>
          <w:color w:val="000000" w:themeColor="text1"/>
          <w:sz w:val="24"/>
        </w:rPr>
        <w:t xml:space="preserve">0</w:t>
      </w:r>
      <w:r>
        <w:rPr>
          <w:rFonts w:hint="eastAsia" w:ascii="仿宋" w:hAnsi="仿宋" w:eastAsia="仿宋"/>
          <w:bCs/>
          <w:color w:val="000000" w:themeColor="text1"/>
          <w:sz w:val="24"/>
          <w:lang w:val="zh-CN"/>
        </w:rPr>
        <w:t xml:space="preserve">.1条规定做无效投标处理。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.3</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可以按照规定，通过修改招标文件酌情延长投标截止时间，在此情况下，</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的所有权利和义务均以延长后新的截止时间为准。</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1</w:t>
      </w:r>
      <w:r>
        <w:rPr>
          <w:rFonts w:hint="eastAsia" w:ascii="仿宋" w:hAnsi="仿宋" w:eastAsia="仿宋"/>
          <w:b/>
          <w:color w:val="000000" w:themeColor="text1"/>
          <w:sz w:val="24"/>
        </w:rPr>
        <w:t xml:space="preserve">3、</w:t>
      </w:r>
      <w:r>
        <w:rPr>
          <w:rFonts w:hint="eastAsia" w:ascii="仿宋" w:hAnsi="仿宋" w:eastAsia="仿宋"/>
          <w:b/>
          <w:color w:val="000000" w:themeColor="text1"/>
          <w:sz w:val="24"/>
          <w:lang w:val="zh-CN"/>
        </w:rPr>
        <w:t xml:space="preserve">投标文件的拒收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拒绝接收投标截止时间后上传的任何投标文件。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w:t>
      </w:r>
      <w:r>
        <w:rPr>
          <w:rFonts w:hint="eastAsia" w:ascii="仿宋" w:hAnsi="仿宋" w:eastAsia="仿宋"/>
          <w:b/>
          <w:bCs/>
          <w:color w:val="000000" w:themeColor="text1"/>
          <w:sz w:val="24"/>
        </w:rPr>
        <w:t xml:space="preserve">4</w:t>
      </w:r>
      <w:r>
        <w:rPr>
          <w:rFonts w:hint="eastAsia" w:ascii="仿宋" w:hAnsi="仿宋" w:eastAsia="仿宋"/>
          <w:b/>
          <w:bCs/>
          <w:color w:val="000000" w:themeColor="text1"/>
          <w:sz w:val="24"/>
          <w:lang w:val="zh-CN"/>
        </w:rPr>
        <w:t xml:space="preserve">、投标文件的修改和撤回</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.1投标文件的撤回</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可在投标截止时间前撤回其电子投标文件，具体操作方法见《操作手册》。</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.1.2</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撤回电子投标文件，则认为其不再参与本项目投标活动。</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.2投标文件的修改</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可在投标截止时间前对其电子投标文件进行修改，具体操作方法见《操作手册》。</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.2.2投标截止时间之后，</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不得对其电子投标文件作任何修改。</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.3在投标截止时间至招标文件中规定的投标有效期满之间的这段时间内，</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不得撤回其投标。</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五、开标</w:t>
      </w:r>
      <w:r>
        <w:rPr>
          <w:rFonts w:hint="eastAsia" w:ascii="仿宋" w:hAnsi="仿宋" w:eastAsia="仿宋"/>
          <w:b/>
          <w:bCs/>
          <w:color w:val="000000" w:themeColor="text1"/>
          <w:sz w:val="24"/>
        </w:rPr>
        <w:t xml:space="preserve">与</w:t>
      </w:r>
      <w:r>
        <w:rPr>
          <w:rFonts w:hint="eastAsia" w:ascii="仿宋" w:hAnsi="仿宋" w:eastAsia="仿宋"/>
          <w:b/>
          <w:bCs/>
          <w:color w:val="000000" w:themeColor="text1"/>
          <w:sz w:val="24"/>
          <w:lang w:val="zh-CN"/>
        </w:rPr>
        <w:t xml:space="preserve">评标</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15</w:t>
      </w:r>
      <w:r>
        <w:rPr>
          <w:rFonts w:hint="eastAsia" w:ascii="仿宋" w:hAnsi="仿宋" w:eastAsia="仿宋"/>
          <w:b/>
          <w:color w:val="000000" w:themeColor="text1"/>
          <w:sz w:val="24"/>
          <w:lang w:val="zh-CN"/>
        </w:rPr>
        <w:t xml:space="preserve">、开标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在招标公告中规定的时间和地点组织公开开标。</w:t>
      </w:r>
      <w:r>
        <w:rPr>
          <w:rFonts w:hint="eastAsia" w:ascii="仿宋" w:hAnsi="仿宋" w:eastAsia="仿宋"/>
          <w:bCs/>
          <w:color w:val="000000" w:themeColor="text1"/>
          <w:sz w:val="24"/>
        </w:rPr>
        <w:t xml:space="preserve">供应</w:t>
      </w:r>
      <w:r>
        <w:rPr>
          <w:rFonts w:hint="eastAsia" w:ascii="仿宋" w:hAnsi="仿宋" w:eastAsia="仿宋"/>
          <w:bCs/>
          <w:color w:val="000000" w:themeColor="text1"/>
          <w:sz w:val="24"/>
        </w:rPr>
        <w:t xml:space="preserve">商</w:t>
      </w:r>
      <w:r>
        <w:rPr>
          <w:rFonts w:hint="eastAsia" w:ascii="仿宋" w:hAnsi="仿宋" w:eastAsia="仿宋"/>
          <w:bCs/>
          <w:color w:val="000000" w:themeColor="text1"/>
          <w:sz w:val="24"/>
          <w:lang w:val="zh-CN"/>
        </w:rPr>
        <w:t xml:space="preserve">按照</w:t>
      </w:r>
      <w:r>
        <w:rPr>
          <w:rFonts w:hint="eastAsia" w:ascii="仿宋" w:hAnsi="仿宋" w:eastAsia="仿宋"/>
          <w:bCs/>
          <w:color w:val="000000" w:themeColor="text1"/>
          <w:sz w:val="24"/>
          <w:lang w:val="zh-CN"/>
        </w:rPr>
        <w:t xml:space="preserve">《操作手册》规定参加开标活动，并在苏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系统规定的时间内对投标文件进行解密。苏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系统公布各投标人名称和投标价格。</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15.2供应商</w:t>
      </w:r>
      <w:r>
        <w:rPr>
          <w:rFonts w:hint="eastAsia" w:ascii="仿宋" w:hAnsi="仿宋" w:eastAsia="仿宋"/>
          <w:bCs/>
          <w:color w:val="000000" w:themeColor="text1"/>
          <w:sz w:val="24"/>
          <w:lang w:val="zh-CN"/>
        </w:rPr>
        <w:t xml:space="preserve">在开标过程中涉及到的投标文件解密、开标结果确认等工作，应按照《操作手册》规定执行。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15.3供应商</w:t>
      </w:r>
      <w:r>
        <w:rPr>
          <w:rFonts w:hint="eastAsia" w:ascii="仿宋" w:hAnsi="仿宋" w:eastAsia="仿宋"/>
          <w:bCs/>
          <w:color w:val="000000" w:themeColor="text1"/>
          <w:sz w:val="24"/>
          <w:lang w:val="zh-CN"/>
        </w:rPr>
        <w:t xml:space="preserve">如果对开标过程和开标结果有疑义，应当根据《操作手册》规定提出，苏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系统中《开标记录表》公布后5分钟内未提出的，视同认可开标结果。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15.4</w:t>
      </w:r>
      <w:r>
        <w:rPr>
          <w:rFonts w:hint="eastAsia" w:ascii="仿宋" w:hAnsi="仿宋" w:eastAsia="仿宋"/>
          <w:bCs/>
          <w:color w:val="000000" w:themeColor="text1"/>
          <w:sz w:val="24"/>
          <w:lang w:val="zh-CN"/>
        </w:rPr>
        <w:t xml:space="preserve">供应商不足3家的，不得开标。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15.5</w:t>
      </w:r>
      <w:r>
        <w:rPr>
          <w:rFonts w:hint="eastAsia" w:ascii="仿宋" w:hAnsi="仿宋" w:eastAsia="仿宋"/>
          <w:bCs/>
          <w:color w:val="000000" w:themeColor="text1"/>
          <w:sz w:val="24"/>
          <w:lang w:val="zh-CN"/>
        </w:rPr>
        <w:t xml:space="preserve">公开招标数额标准以上的采购项目，投标截止后供应商不足3家或者通过资格审查或符合性审查的供应商不足3家的，除采购任务取消情形外，按照以下方式处理：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（1）招标文件存在不合理条款或者招标程序不符合规定的，采购人、采购代理机构改正后依法重新招标；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招标文件没有不合理条款、招标程序符合规定，需要采用其他采购方式采购的，采购人依法报财政部门批准，经批准后，可变更为其他采购方式采购。本次招标文件中对供应商资格条件、技术和商务等要求，将作为其他采购方式采购的基本要求和谈判依据。</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16</w:t>
      </w:r>
      <w:r>
        <w:rPr>
          <w:rFonts w:hint="eastAsia" w:ascii="仿宋" w:hAnsi="仿宋" w:eastAsia="仿宋"/>
          <w:b/>
          <w:bCs/>
          <w:color w:val="000000" w:themeColor="text1"/>
          <w:sz w:val="24"/>
          <w:lang w:val="zh-CN"/>
        </w:rPr>
        <w:t xml:space="preserve">、评标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16.1</w:t>
      </w:r>
      <w:r>
        <w:rPr>
          <w:rFonts w:hint="eastAsia" w:ascii="仿宋" w:hAnsi="仿宋" w:eastAsia="仿宋"/>
          <w:bCs/>
          <w:color w:val="000000" w:themeColor="text1"/>
          <w:sz w:val="24"/>
          <w:lang w:val="zh-CN"/>
        </w:rPr>
        <w:t xml:space="preserve">评标由</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组织评标委员会进行。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16.2</w:t>
      </w:r>
      <w:r>
        <w:rPr>
          <w:rFonts w:hint="eastAsia" w:ascii="仿宋" w:hAnsi="仿宋" w:eastAsia="仿宋"/>
          <w:bCs/>
          <w:color w:val="000000" w:themeColor="text1"/>
          <w:sz w:val="24"/>
          <w:lang w:val="zh-CN"/>
        </w:rPr>
        <w:t xml:space="preserve">评标委员会由采购人代表和有关技术、经济等方面的专家组成，</w:t>
      </w:r>
      <w:r>
        <w:rPr>
          <w:rFonts w:hint="eastAsia" w:ascii="仿宋" w:hAnsi="仿宋" w:eastAsia="仿宋"/>
          <w:bCs/>
          <w:color w:val="000000" w:themeColor="text1"/>
          <w:sz w:val="24"/>
          <w:lang w:val="zh-CN"/>
        </w:rPr>
        <w:t xml:space="preserve">且人员</w:t>
      </w:r>
      <w:r>
        <w:rPr>
          <w:rFonts w:hint="eastAsia" w:ascii="仿宋" w:hAnsi="仿宋" w:eastAsia="仿宋"/>
          <w:bCs/>
          <w:color w:val="000000" w:themeColor="text1"/>
          <w:sz w:val="24"/>
          <w:lang w:val="zh-CN"/>
        </w:rPr>
        <w:t xml:space="preserve">构成符合政府采购有关规定。</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.1评标委员会负责具体评标事务，并独立履行下列职责：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）审查、评价投标文件是否符合招标文件的商务、技术等实质性要求；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）要求供应商对投标文件有关事项</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澄清或者说明；</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）对投标文件进行比较和评价；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）确定中标候选人名单，以及根据采购人委托直接确定中标单位；</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）向采购人、采购代理机构或者有关部门报告评标中发现的违法行为。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16.3</w:t>
      </w:r>
      <w:r>
        <w:rPr>
          <w:rFonts w:hint="eastAsia" w:ascii="仿宋" w:hAnsi="仿宋" w:eastAsia="仿宋"/>
          <w:bCs/>
          <w:color w:val="000000" w:themeColor="text1"/>
          <w:sz w:val="24"/>
          <w:lang w:val="zh-CN"/>
        </w:rPr>
        <w:t xml:space="preserve">评标委员会独立工作，负责评审所有投标文件并推荐中标候选人，或根据采购人授权直接确定中标人。</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17、</w:t>
      </w:r>
      <w:r>
        <w:rPr>
          <w:rFonts w:hint="eastAsia" w:ascii="仿宋" w:hAnsi="仿宋" w:eastAsia="仿宋"/>
          <w:b/>
          <w:color w:val="000000" w:themeColor="text1"/>
          <w:sz w:val="24"/>
          <w:lang w:val="zh-CN"/>
        </w:rPr>
        <w:t xml:space="preserve">评标过程的保密与公正</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17.1</w:t>
      </w:r>
      <w:r>
        <w:rPr>
          <w:rFonts w:hint="eastAsia" w:ascii="仿宋" w:hAnsi="仿宋" w:eastAsia="仿宋"/>
          <w:color w:val="000000" w:themeColor="text1"/>
          <w:sz w:val="24"/>
          <w:lang w:val="zh-CN"/>
        </w:rPr>
        <w:t xml:space="preserve">采购人和采购代理机构将采取必要措施，保证评标在严格保密的情况下进行。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17.2</w:t>
      </w:r>
      <w:r>
        <w:rPr>
          <w:rFonts w:hint="eastAsia" w:ascii="仿宋" w:hAnsi="仿宋" w:eastAsia="仿宋"/>
          <w:bCs/>
          <w:color w:val="000000" w:themeColor="text1"/>
          <w:sz w:val="24"/>
          <w:lang w:val="zh-CN"/>
        </w:rPr>
        <w:t xml:space="preserve">凡是与审查、澄清、评价和比较投标的有关资料以及授标建议等，采购人、评委、</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均不得向投标人或与评标无关的其他人员透露。</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color w:val="000000" w:themeColor="text1"/>
          <w:sz w:val="24"/>
        </w:rPr>
        <w:t xml:space="preserve">17.3</w:t>
      </w:r>
      <w:r>
        <w:rPr>
          <w:rFonts w:hint="eastAsia" w:ascii="仿宋" w:hAnsi="仿宋" w:eastAsia="仿宋"/>
          <w:color w:val="000000" w:themeColor="text1"/>
          <w:sz w:val="24"/>
          <w:lang w:val="zh-CN"/>
        </w:rPr>
        <w:t xml:space="preserve">任何单位和个人不得非法干预、影响评标办法的确定，以及评标过程和结果。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17.4供应商</w:t>
      </w:r>
      <w:r>
        <w:rPr>
          <w:rFonts w:hint="eastAsia" w:ascii="仿宋" w:hAnsi="仿宋" w:eastAsia="仿宋"/>
          <w:bCs/>
          <w:color w:val="000000" w:themeColor="text1"/>
          <w:sz w:val="24"/>
          <w:lang w:val="zh-CN"/>
        </w:rPr>
        <w:t xml:space="preserve">不得以任何方式影响评标，否则其投标文件将被作为无效投标文件。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17.5代理机构</w:t>
      </w:r>
      <w:r>
        <w:rPr>
          <w:rFonts w:hint="eastAsia" w:ascii="仿宋" w:hAnsi="仿宋" w:eastAsia="仿宋"/>
          <w:bCs/>
          <w:color w:val="000000" w:themeColor="text1"/>
          <w:sz w:val="24"/>
          <w:lang w:val="zh-CN"/>
        </w:rPr>
        <w:t xml:space="preserve">和评标委员会不向未中标的投标人解释未中标原因，也不公布评标过程中的相关细节。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17.6</w:t>
      </w:r>
      <w:r>
        <w:rPr>
          <w:rFonts w:hint="eastAsia" w:ascii="仿宋" w:hAnsi="仿宋" w:eastAsia="仿宋"/>
          <w:bCs/>
          <w:color w:val="000000" w:themeColor="text1"/>
          <w:sz w:val="24"/>
          <w:lang w:val="zh-CN"/>
        </w:rPr>
        <w:t xml:space="preserve">采用综合评分法的项目，未中标的投标人可于中标结果公告期限届满之日起通过苏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系统查看本单位的评审得分及排名情况。</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18、</w:t>
      </w:r>
      <w:r>
        <w:rPr>
          <w:rFonts w:hint="eastAsia" w:ascii="仿宋" w:hAnsi="仿宋" w:eastAsia="仿宋"/>
          <w:b/>
          <w:color w:val="000000" w:themeColor="text1"/>
          <w:sz w:val="24"/>
          <w:lang w:val="zh-CN"/>
        </w:rPr>
        <w:t xml:space="preserve">投标文件的澄清</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18.1</w:t>
      </w:r>
      <w:r>
        <w:rPr>
          <w:rFonts w:hint="eastAsia" w:ascii="仿宋" w:hAnsi="仿宋" w:eastAsia="仿宋"/>
          <w:bCs/>
          <w:color w:val="000000" w:themeColor="text1"/>
          <w:sz w:val="24"/>
          <w:lang w:val="zh-CN"/>
        </w:rPr>
        <w:t xml:space="preserve">评标期间，评标委员会对投标文件中含义不明确、同类问题表述不一致或者有明显文字和计算错误的内容，有权要求投标人</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必要的澄清、说明或者补正。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投标人的澄清、说明或者补正不得超出投标文件的范围或者改变投标文件的实质性内容。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评委会并非对每个投标人都做澄清要求。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18.2</w:t>
      </w:r>
      <w:r>
        <w:rPr>
          <w:rFonts w:hint="eastAsia" w:ascii="仿宋" w:hAnsi="仿宋" w:eastAsia="仿宋"/>
          <w:bCs/>
          <w:color w:val="000000" w:themeColor="text1"/>
          <w:sz w:val="24"/>
          <w:lang w:val="zh-CN"/>
        </w:rPr>
        <w:t xml:space="preserve">需要供应商进行澄清、说明和补正的，评委会将通过苏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系统向</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发出《澄清要求函》，接到《澄清要求函》的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应当按照要求在苏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系统中提交《澄清响应函》并加盖电子公章。澄清、说明和补正的内容作为投标文件的补充部分，具体操作方式见《操作手册》。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18.3</w:t>
      </w:r>
      <w:r>
        <w:rPr>
          <w:rFonts w:hint="eastAsia" w:ascii="仿宋" w:hAnsi="仿宋" w:eastAsia="仿宋"/>
          <w:bCs/>
          <w:color w:val="000000" w:themeColor="text1"/>
          <w:sz w:val="24"/>
          <w:lang w:val="zh-CN"/>
        </w:rPr>
        <w:t xml:space="preserve">接到评委会澄清、说明和补正要求的，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如未按规定</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澄清、说明和补正，其风险由</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自行承担。</w:t>
      </w:r>
      <w:r/>
    </w:p>
    <w:p>
      <w:pPr>
        <w:ind w:firstLine="600"/>
        <w:spacing w:line="360" w:lineRule="auto"/>
        <w:rPr>
          <w:rFonts w:hint="eastAsia" w:ascii="仿宋" w:hAnsi="仿宋" w:eastAsia="仿宋"/>
          <w:b/>
          <w:color w:val="000000" w:themeColor="text1"/>
          <w:sz w:val="24"/>
        </w:rPr>
      </w:pPr>
      <w:r>
        <w:rPr>
          <w:rFonts w:hint="eastAsia" w:ascii="仿宋" w:hAnsi="仿宋" w:eastAsia="仿宋"/>
          <w:bCs/>
          <w:color w:val="000000" w:themeColor="text1"/>
          <w:sz w:val="24"/>
        </w:rPr>
        <w:t xml:space="preserve">18.4</w:t>
      </w:r>
      <w:r>
        <w:rPr>
          <w:rFonts w:hint="eastAsia" w:ascii="仿宋" w:hAnsi="仿宋" w:eastAsia="仿宋"/>
          <w:bCs/>
          <w:color w:val="000000" w:themeColor="text1"/>
          <w:sz w:val="24"/>
          <w:lang w:val="zh-CN"/>
        </w:rPr>
        <w:t xml:space="preserve">评标委员会认为供应商的报价明显低于其他通过符合性审查供应商的报价，有可能影响产品质量或者不能诚信履约的，将要求其在</w:t>
      </w:r>
      <w:r>
        <w:rPr>
          <w:rFonts w:hint="eastAsia" w:ascii="仿宋" w:hAnsi="仿宋" w:eastAsia="仿宋"/>
          <w:bCs/>
          <w:color w:val="000000" w:themeColor="text1"/>
          <w:sz w:val="24"/>
        </w:rPr>
        <w:t xml:space="preserve">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w:t>
      </w:r>
      <w:r>
        <w:rPr>
          <w:rFonts w:hint="eastAsia" w:ascii="仿宋" w:hAnsi="仿宋" w:eastAsia="仿宋"/>
          <w:bCs/>
          <w:color w:val="000000" w:themeColor="text1"/>
          <w:sz w:val="24"/>
          <w:lang w:val="zh-CN"/>
        </w:rPr>
        <w:t xml:space="preserve">合理的时间内提供书面说明，必要时提交相关证明材料；供应商不能证明其报价合理性的，评标委员会将其作为无效投标处理。</w:t>
      </w:r>
      <w:r/>
    </w:p>
    <w:p>
      <w:pPr>
        <w:ind w:firstLine="600"/>
        <w:spacing w:line="360" w:lineRule="auto"/>
        <w:rPr>
          <w:rFonts w:hint="eastAsia" w:ascii="仿宋" w:hAnsi="仿宋" w:eastAsia="仿宋"/>
          <w:b/>
          <w:color w:val="000000" w:themeColor="text1"/>
          <w:sz w:val="24"/>
        </w:rPr>
      </w:pPr>
      <w:r>
        <w:rPr>
          <w:rFonts w:hint="eastAsia" w:ascii="仿宋" w:hAnsi="仿宋" w:eastAsia="仿宋"/>
          <w:bCs/>
          <w:color w:val="000000" w:themeColor="text1"/>
          <w:sz w:val="24"/>
        </w:rPr>
        <w:t xml:space="preserve">18.5供应商</w:t>
      </w:r>
      <w:r>
        <w:rPr>
          <w:rFonts w:hint="eastAsia" w:ascii="仿宋" w:hAnsi="仿宋" w:eastAsia="仿宋"/>
          <w:bCs/>
          <w:color w:val="000000" w:themeColor="text1"/>
          <w:sz w:val="24"/>
          <w:lang w:val="zh-CN"/>
        </w:rPr>
        <w:t xml:space="preserve">应充分考虑网络环境、网络带宽等因素可能对投标产生的影响，如因</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自身原因造成文件上传不成功的，</w:t>
      </w:r>
      <w:r>
        <w:rPr>
          <w:rFonts w:hint="eastAsia" w:ascii="仿宋" w:hAnsi="仿宋" w:eastAsia="仿宋"/>
          <w:bCs/>
          <w:color w:val="000000" w:themeColor="text1"/>
          <w:sz w:val="24"/>
        </w:rPr>
        <w:t xml:space="preserve">供应商自行承担其后果</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19、</w:t>
      </w:r>
      <w:r>
        <w:rPr>
          <w:rFonts w:hint="eastAsia" w:ascii="仿宋" w:hAnsi="仿宋" w:eastAsia="仿宋"/>
          <w:b/>
          <w:color w:val="000000" w:themeColor="text1"/>
          <w:sz w:val="24"/>
          <w:lang w:val="zh-CN"/>
        </w:rPr>
        <w:t xml:space="preserve">投标文件的资格审查</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w:t>
      </w:r>
      <w:r>
        <w:rPr>
          <w:rFonts w:hint="eastAsia" w:ascii="仿宋" w:hAnsi="仿宋" w:eastAsia="仿宋"/>
          <w:bCs/>
          <w:color w:val="000000" w:themeColor="text1"/>
          <w:sz w:val="24"/>
          <w:lang w:val="zh-CN"/>
        </w:rPr>
        <w:t xml:space="preserve">投标文件审查分为资格审查和符合性审查。</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19.1.1</w:t>
      </w:r>
      <w:r>
        <w:rPr>
          <w:rFonts w:hint="eastAsia" w:ascii="仿宋" w:hAnsi="仿宋" w:eastAsia="仿宋"/>
          <w:bCs/>
          <w:color w:val="000000" w:themeColor="text1"/>
          <w:sz w:val="24"/>
          <w:lang w:val="zh-CN"/>
        </w:rPr>
        <w:t xml:space="preserve">资格审查。依据法律法规和招标文件规定，由采购人对投标文件中的资格证明文件进行审查，并向评委会反馈审查结论。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采购人进行资格审查时，将在“信用中国”网站（www.creditchina.gov.cn）查询投标人的信用记录，以确定投标人是否具备投标资格，查询结果留存并归档。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接受联合体的项目，联合体成员存在不良信用记录的，视同联合体存在不良信用记录。</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19.1.2</w:t>
      </w:r>
      <w:r>
        <w:rPr>
          <w:rFonts w:hint="eastAsia" w:ascii="仿宋" w:hAnsi="仿宋" w:eastAsia="仿宋"/>
          <w:bCs/>
          <w:color w:val="000000" w:themeColor="text1"/>
          <w:sz w:val="24"/>
          <w:lang w:val="zh-CN"/>
        </w:rPr>
        <w:t xml:space="preserve">符合性审查。依据招标文件的规定，由评委会从有效性、完整性和对招标文件的响应程度等方面对投标文件进行审查，以确定是否对招标文件的实质性要求</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响应。</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19.1.3</w:t>
      </w:r>
      <w:r>
        <w:rPr>
          <w:rFonts w:hint="eastAsia" w:ascii="仿宋" w:hAnsi="仿宋" w:eastAsia="仿宋"/>
          <w:bCs/>
          <w:color w:val="000000" w:themeColor="text1"/>
          <w:sz w:val="24"/>
          <w:lang w:val="zh-CN"/>
        </w:rPr>
        <w:t xml:space="preserve">未通过资格审查或符合性审查的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将通过苏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系统告知其具体原因，评标结束后不再接受有关询问。</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19.2评标委员会</w:t>
      </w:r>
      <w:r>
        <w:rPr>
          <w:rFonts w:hint="eastAsia" w:ascii="仿宋" w:hAnsi="仿宋" w:eastAsia="仿宋"/>
          <w:bCs/>
          <w:color w:val="000000" w:themeColor="text1"/>
          <w:sz w:val="24"/>
          <w:lang w:val="zh-CN"/>
        </w:rPr>
        <w:t xml:space="preserve">仅对实质性响应招标文件要求的投标文件进行详细评审。</w:t>
      </w:r>
      <w:r>
        <w:rPr>
          <w:rFonts w:hint="eastAsia" w:ascii="仿宋" w:hAnsi="仿宋" w:eastAsia="仿宋"/>
          <w:bCs/>
          <w:color w:val="000000" w:themeColor="text1"/>
          <w:sz w:val="24"/>
          <w:lang w:val="zh-CN"/>
        </w:rPr>
        <w:t xml:space="preserve">实质性响应的投标文件应该是与招标文件要求的全部条款、条件和规格相符，没有重大偏离或保留的文件。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结论。评委会认定投标文件的</w:t>
      </w:r>
      <w:r>
        <w:rPr>
          <w:rFonts w:hint="eastAsia" w:ascii="仿宋" w:hAnsi="仿宋" w:eastAsia="仿宋"/>
          <w:bCs/>
          <w:color w:val="000000" w:themeColor="text1"/>
          <w:sz w:val="24"/>
          <w:lang w:val="zh-CN"/>
        </w:rPr>
        <w:t xml:space="preserve">响应性只根据</w:t>
      </w:r>
      <w:r>
        <w:rPr>
          <w:rFonts w:hint="eastAsia" w:ascii="仿宋" w:hAnsi="仿宋" w:eastAsia="仿宋"/>
          <w:bCs/>
          <w:color w:val="000000" w:themeColor="text1"/>
          <w:sz w:val="24"/>
          <w:lang w:val="zh-CN"/>
        </w:rPr>
        <w:t xml:space="preserve">投标文件本身的内容，而不寻求外部的证据。</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19.3</w:t>
      </w:r>
      <w:r>
        <w:rPr>
          <w:rFonts w:hint="eastAsia" w:ascii="仿宋" w:hAnsi="仿宋" w:eastAsia="仿宋"/>
          <w:bCs/>
          <w:color w:val="000000" w:themeColor="text1"/>
          <w:sz w:val="24"/>
          <w:lang w:val="zh-CN"/>
        </w:rPr>
        <w:t xml:space="preserve">如果投标文件实质上没有响应招标文件的要求，评委会将予以拒绝，</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不得通过修改或撤销不合要求的偏离或保留而使其投标成为实质性响应的投标。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19.4评标委员会</w:t>
      </w:r>
      <w:r>
        <w:rPr>
          <w:rFonts w:hint="eastAsia" w:ascii="仿宋" w:hAnsi="仿宋" w:eastAsia="仿宋"/>
          <w:bCs/>
          <w:color w:val="000000" w:themeColor="text1"/>
          <w:sz w:val="24"/>
          <w:lang w:val="zh-CN"/>
        </w:rPr>
        <w:t xml:space="preserve">将对确定为实质性响应的投标进行进一步审核，确定其是否有计算上或累加上的算术错误。修正错误的原则如下：</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（1）投标文件中开标一览表内容与投标文件中相应内容不一致的，以开标一览表为准；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（2）大写金额和小写金额不一致的，以大写金额为准；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（3）单价金额小数点或者百分比有明显错位的，以开标一览表的总价为准，并修改单价；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（4）总价金额与按单价汇总金额不一致的，以单价金额计算结果为准。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同时出现两种以上错误的，按照前款规定的顺序修正。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19.5评标委员会</w:t>
      </w:r>
      <w:r>
        <w:rPr>
          <w:rFonts w:hint="eastAsia" w:ascii="仿宋" w:hAnsi="仿宋" w:eastAsia="仿宋"/>
          <w:bCs/>
          <w:color w:val="000000" w:themeColor="text1"/>
          <w:sz w:val="24"/>
          <w:lang w:val="zh-CN"/>
        </w:rPr>
        <w:t xml:space="preserve">将按上述修正错误的方法调整投标文件中的投标报价，并通过苏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系统告知</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，调整后的价格对</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具有约束力。如果</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不接受修正后的价格，则其投标将被拒绝。</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19.6供应商</w:t>
      </w:r>
      <w:r>
        <w:rPr>
          <w:rFonts w:hint="eastAsia" w:ascii="仿宋" w:hAnsi="仿宋" w:eastAsia="仿宋"/>
          <w:bCs/>
          <w:color w:val="000000" w:themeColor="text1"/>
          <w:sz w:val="24"/>
          <w:lang w:val="zh-CN"/>
        </w:rPr>
        <w:t xml:space="preserve">在开、评标全过程中应保持通讯畅通，及时登录苏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系统查阅、答复相关信息，并安排专人与</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及评委会联系。</w:t>
      </w:r>
      <w:r/>
    </w:p>
    <w:p>
      <w:pPr>
        <w:ind w:firstLine="600"/>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20、无效投标和废标</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20.1无效投标条款</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（1）供应商在苏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系统规定的时间内未成功解密电子投标文件。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（2）供应商未按照招标文件要求上传电子投标文件。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（3）同</w:t>
      </w:r>
      <w:r>
        <w:rPr>
          <w:rFonts w:hint="eastAsia" w:ascii="仿宋" w:hAnsi="仿宋" w:eastAsia="仿宋"/>
          <w:bCs/>
          <w:color w:val="000000" w:themeColor="text1"/>
          <w:sz w:val="24"/>
        </w:rPr>
        <w:t xml:space="preserve">一供应</w:t>
      </w:r>
      <w:r>
        <w:rPr>
          <w:rFonts w:hint="eastAsia" w:ascii="仿宋" w:hAnsi="仿宋" w:eastAsia="仿宋"/>
          <w:bCs/>
          <w:color w:val="000000" w:themeColor="text1"/>
          <w:sz w:val="24"/>
        </w:rPr>
        <w:t xml:space="preserve">商提交两个（含两个）以上不同的投标报价。</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（4）供应商不具备招标文件中规定资格要求。</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报价超过招标文件中规定的预算金额或者最高限价（</w:t>
      </w:r>
      <w:r>
        <w:rPr>
          <w:rFonts w:hint="eastAsia" w:ascii="仿宋" w:hAnsi="仿宋" w:eastAsia="仿宋"/>
          <w:bCs/>
          <w:color w:val="000000" w:themeColor="text1"/>
          <w:sz w:val="24"/>
        </w:rPr>
        <w:t xml:space="preserve">最高限制单价</w:t>
      </w:r>
      <w:r>
        <w:rPr>
          <w:rFonts w:hint="eastAsia" w:ascii="仿宋" w:hAnsi="仿宋" w:eastAsia="仿宋"/>
          <w:bCs/>
          <w:color w:val="000000" w:themeColor="text1"/>
          <w:sz w:val="24"/>
          <w:lang w:val="zh-CN"/>
        </w:rPr>
        <w:t xml:space="preserve">）的；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（6）未通过符合性审查。</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（7）不符合招标文件中实质性要求和条件（本招标文件中斜体且有下划线部分，或者打“★”内容为实质性要求和条件）。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（8）供应商被“信用中国”网站（www.creditchina.gov.cn）列入失信被执行人或重大税收违法案件当事人名单或政府采购严重失信行为记录名单。或查询“信用中国”网站后发现供应</w:t>
      </w:r>
      <w:r>
        <w:rPr>
          <w:rFonts w:hint="eastAsia" w:ascii="仿宋" w:hAnsi="仿宋" w:eastAsia="仿宋"/>
          <w:bCs/>
          <w:color w:val="000000" w:themeColor="text1"/>
          <w:sz w:val="24"/>
        </w:rPr>
        <w:t xml:space="preserve">商存在</w:t>
      </w:r>
      <w:r>
        <w:rPr>
          <w:rFonts w:hint="eastAsia" w:ascii="仿宋" w:hAnsi="仿宋" w:eastAsia="仿宋"/>
          <w:bCs/>
          <w:color w:val="000000" w:themeColor="text1"/>
          <w:sz w:val="24"/>
        </w:rPr>
        <w:t xml:space="preserve">其他不符合《中华人民共和国政府采购法》第二十二条规定条件的信用记录。如</w:t>
      </w:r>
      <w:r>
        <w:rPr>
          <w:rFonts w:hint="eastAsia" w:ascii="仿宋" w:hAnsi="仿宋" w:eastAsia="仿宋"/>
          <w:bCs/>
          <w:color w:val="000000" w:themeColor="text1"/>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（9）投标文件含有采购人不能接受的附加条件。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）不同供应商的投标文件由同一单位或者个人编制；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）不同供应商委托同一单位或者个人办理投标事宜；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lang w:val="zh-CN"/>
        </w:rPr>
        <w:t xml:space="preserve">）不同供应商的投标文件载明的项目管理成员或者联系人员为同一人；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13</w:t>
      </w:r>
      <w:r>
        <w:rPr>
          <w:rFonts w:hint="eastAsia" w:ascii="仿宋" w:hAnsi="仿宋" w:eastAsia="仿宋"/>
          <w:bCs/>
          <w:color w:val="000000" w:themeColor="text1"/>
          <w:sz w:val="24"/>
          <w:lang w:val="zh-CN"/>
        </w:rPr>
        <w:t xml:space="preserve">）不同供应商的投标文件异常一致或者投标报价呈规律性差异；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14</w:t>
      </w:r>
      <w:r>
        <w:rPr>
          <w:rFonts w:hint="eastAsia" w:ascii="仿宋" w:hAnsi="仿宋" w:eastAsia="仿宋"/>
          <w:bCs/>
          <w:color w:val="000000" w:themeColor="text1"/>
          <w:sz w:val="24"/>
          <w:lang w:val="zh-CN"/>
        </w:rPr>
        <w:t xml:space="preserve">）不同供应商的法定代表人或委托代理人有夫妻、直系血亲关系的；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）不同供应商的负责人为同一人或者存在控股、管理关系的；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）不同供应商的委托代理人（或法定代表人、项目经理、项目总监、项目负责人等）在招标文件发布日上月至投标截止日当月在同一单位缴纳社会保险的；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17</w:t>
      </w:r>
      <w:r>
        <w:rPr>
          <w:rFonts w:hint="eastAsia" w:ascii="仿宋" w:hAnsi="仿宋" w:eastAsia="仿宋"/>
          <w:bCs/>
          <w:color w:val="000000" w:themeColor="text1"/>
          <w:sz w:val="24"/>
          <w:lang w:val="zh-CN"/>
        </w:rPr>
        <w:t xml:space="preserve">）属于招标公告中第六条第</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款拒绝参加本次采购活动供应商的；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如为货物采购，</w:t>
      </w:r>
      <w:r>
        <w:rPr>
          <w:rFonts w:hint="eastAsia" w:ascii="仿宋" w:hAnsi="仿宋" w:eastAsia="仿宋"/>
          <w:bCs/>
          <w:color w:val="000000" w:themeColor="text1"/>
          <w:sz w:val="24"/>
          <w:lang w:val="zh-CN"/>
        </w:rPr>
        <w:t xml:space="preserve">没有逐一说明投标产品品牌、型号、产地、性能参数，而是直接拷贝招标文件技术要求的；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19</w:t>
      </w:r>
      <w:r>
        <w:rPr>
          <w:rFonts w:hint="eastAsia" w:ascii="仿宋" w:hAnsi="仿宋" w:eastAsia="仿宋"/>
          <w:bCs/>
          <w:color w:val="000000" w:themeColor="text1"/>
          <w:sz w:val="24"/>
          <w:lang w:val="zh-CN"/>
        </w:rPr>
        <w:t xml:space="preserve">）服务承诺和付款条件未响应招标要求的；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20</w:t>
      </w:r>
      <w:r>
        <w:rPr>
          <w:rFonts w:hint="eastAsia" w:ascii="仿宋" w:hAnsi="仿宋" w:eastAsia="仿宋"/>
          <w:bCs/>
          <w:color w:val="000000" w:themeColor="text1"/>
          <w:sz w:val="24"/>
          <w:lang w:val="zh-CN"/>
        </w:rPr>
        <w:t xml:space="preserve">）提供虚假材料的（包括营业执照、资格证明文件等）；</w:t>
      </w:r>
      <w:r/>
    </w:p>
    <w:p>
      <w:pPr>
        <w:ind w:firstLine="600"/>
        <w:spacing w:line="360" w:lineRule="auto"/>
        <w:rPr>
          <w:rFonts w:eastAsia="仿宋" w:cs="Calibri"/>
          <w:bCs/>
          <w:color w:val="000000" w:themeColor="text1"/>
          <w:sz w:val="24"/>
        </w:rPr>
      </w:pPr>
      <w:r>
        <w:rPr>
          <w:rFonts w:hint="eastAsia" w:ascii="仿宋" w:hAnsi="仿宋" w:eastAsia="仿宋"/>
          <w:bCs/>
          <w:color w:val="000000" w:themeColor="text1"/>
          <w:sz w:val="24"/>
        </w:rPr>
        <w:t xml:space="preserve">（21）评标委员会认为供应商的报价明显低于其他通过符合性审查供应商的报价，有可能影响服务质量或者不能诚信履约的，将通过苏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系统要求其在</w:t>
      </w:r>
      <w:r>
        <w:rPr>
          <w:rFonts w:hint="eastAsia" w:ascii="仿宋" w:hAnsi="仿宋" w:eastAsia="仿宋"/>
          <w:bCs/>
          <w:color w:val="000000" w:themeColor="text1"/>
          <w:sz w:val="24"/>
        </w:rPr>
        <w:t xml:space="preserve">合理的时间内提供说明，必要时提交相关证明材料。供应商不能提供书面说明、证明材料，或者提供的书面说明、证明材料不能证明其报价合理性的，评标委员会应当将其作为无效投标（响应）处理。</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（一）政府采购评审中出现下列情形之一的，评标委员会应当启动异常低价投标（响应）审查程序：</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1.投标（响应）报价低于全部通过符合性审查供应商投标（响应）报价平均值50%的，即投标（响应）报价&lt;全部通过符合性审查供应商投标（响应）报价平均值×50%；</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2.投标（响应）报价低于通过符合性审查的次低报价供应商投标（响应）报价50%的，即投标（响应）报价&lt;通过符合性审查的次低报价供应商投标（响应）报价×50%；</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3.投标（响应）报价低于采购项目最高限价45%的，即投标（响应）报价&lt;采购项目最高限价×45%；</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4.评标委员会基于专业判断，认为供应商报价过低，有可能影响服务质量或者不能诚信履约的其他情形。</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（二）评标委员会启动异常低价投标（响应）审查后，属于前述第1项至第4项情形的，应当要求相关供应商在评审现场合理的时间内对投标（响应）价格</w:t>
      </w:r>
      <w:r>
        <w:rPr>
          <w:rFonts w:hint="eastAsia" w:ascii="仿宋" w:hAnsi="仿宋" w:eastAsia="仿宋"/>
          <w:bCs/>
          <w:color w:val="000000" w:themeColor="text1"/>
          <w:sz w:val="24"/>
        </w:rPr>
        <w:t xml:space="preserve">作出</w:t>
      </w:r>
      <w:r>
        <w:rPr>
          <w:rFonts w:hint="eastAsia" w:ascii="仿宋" w:hAnsi="仿宋" w:eastAsia="仿宋"/>
          <w:bCs/>
          <w:color w:val="000000" w:themeColor="text1"/>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（22）采购产品被财政部、</w:t>
      </w:r>
      <w:r>
        <w:rPr>
          <w:rFonts w:hint="eastAsia" w:ascii="仿宋" w:hAnsi="仿宋" w:eastAsia="仿宋"/>
          <w:bCs/>
          <w:color w:val="000000" w:themeColor="text1"/>
          <w:sz w:val="24"/>
        </w:rPr>
        <w:t xml:space="preserve">国家发改委</w:t>
      </w:r>
      <w:r>
        <w:rPr>
          <w:rFonts w:hint="eastAsia" w:ascii="仿宋" w:hAnsi="仿宋" w:eastAsia="仿宋"/>
          <w:bCs/>
          <w:color w:val="000000" w:themeColor="text1"/>
          <w:sz w:val="24"/>
        </w:rPr>
        <w:t xml:space="preserve">、生态环境部等列入“节能产品品目清单”强制采购范围，而供应商提供的产品不在强制采购范围内。</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（23）投标文件未按照招标文件要求加盖电子公章。</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（24）</w:t>
      </w:r>
      <w:r>
        <w:rPr>
          <w:rFonts w:hint="eastAsia" w:ascii="仿宋" w:hAnsi="仿宋" w:eastAsia="仿宋"/>
          <w:bCs/>
          <w:color w:val="000000" w:themeColor="text1"/>
          <w:sz w:val="24"/>
          <w:lang w:val="zh-CN"/>
        </w:rPr>
        <w:t xml:space="preserve">投标文件内容不全或不符合招标文件中规定的其它实质性要求的；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（25）法律法规及本招标文件规定的其他无效投标情形。</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20.2</w:t>
      </w:r>
      <w:r>
        <w:rPr>
          <w:rFonts w:hint="eastAsia" w:ascii="仿宋" w:hAnsi="仿宋" w:eastAsia="仿宋"/>
          <w:bCs/>
          <w:color w:val="000000" w:themeColor="text1"/>
          <w:sz w:val="24"/>
        </w:rPr>
        <w:t xml:space="preserve">废标条款</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（1）符合资格条件的供应商或者对招标文件作实质响应的供应商不足三家。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（2）出现影响采购公正的违法、违规行为。</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lang w:val="zh-CN"/>
        </w:rPr>
        <w:t xml:space="preserve">（3）供应商的报价均超过了采购预算</w:t>
      </w:r>
      <w:r>
        <w:rPr>
          <w:rFonts w:hint="eastAsia" w:ascii="仿宋" w:hAnsi="仿宋" w:eastAsia="仿宋"/>
          <w:bCs/>
          <w:color w:val="000000" w:themeColor="text1"/>
          <w:sz w:val="24"/>
        </w:rPr>
        <w:t xml:space="preserve">或最高限价</w:t>
      </w:r>
      <w:r>
        <w:rPr>
          <w:rFonts w:hint="eastAsia" w:ascii="仿宋" w:hAnsi="仿宋" w:eastAsia="仿宋"/>
          <w:bCs/>
          <w:color w:val="000000" w:themeColor="text1"/>
          <w:sz w:val="24"/>
          <w:lang w:val="zh-CN"/>
        </w:rPr>
        <w:t xml:space="preserve">，采购人不能支付的；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（3）因重大变故，采购任务取消。</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（4）评标委员会认定招标文件存在歧义、重大缺陷导致评审工作无法进行。</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（5）因苏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系统故障造成开标不成功。</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20.3如出现投标截止时间后参加投标的供应商或者对招标文件</w:t>
      </w:r>
      <w:r>
        <w:rPr>
          <w:rFonts w:hint="eastAsia" w:ascii="仿宋" w:hAnsi="仿宋" w:eastAsia="仿宋"/>
          <w:bCs/>
          <w:color w:val="000000" w:themeColor="text1"/>
          <w:sz w:val="24"/>
        </w:rPr>
        <w:t xml:space="preserve">作出</w:t>
      </w:r>
      <w:r>
        <w:rPr>
          <w:rFonts w:hint="eastAsia" w:ascii="仿宋" w:hAnsi="仿宋" w:eastAsia="仿宋"/>
          <w:bCs/>
          <w:color w:val="000000" w:themeColor="text1"/>
          <w:sz w:val="24"/>
        </w:rPr>
        <w:t xml:space="preserve">实质性响应的供应商不足三家的情况，按政府采购相关规定执行。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20.4</w:t>
      </w:r>
      <w:r>
        <w:rPr>
          <w:rFonts w:hint="eastAsia" w:ascii="仿宋" w:hAnsi="仿宋" w:eastAsia="仿宋"/>
          <w:bCs/>
          <w:color w:val="000000" w:themeColor="text1"/>
          <w:sz w:val="24"/>
          <w:lang w:val="zh-CN"/>
        </w:rPr>
        <w:t xml:space="preserve">比较与评价。评标委员会应当按照招标文件中规定的评标方法和标准，对符合性审查合格的投标文件进行商务和技术评估，综合比较与评价。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20.5</w:t>
      </w:r>
      <w:r>
        <w:rPr>
          <w:rFonts w:hint="eastAsia" w:ascii="仿宋" w:hAnsi="仿宋" w:eastAsia="仿宋"/>
          <w:bCs/>
          <w:color w:val="000000" w:themeColor="text1"/>
          <w:sz w:val="24"/>
          <w:lang w:val="zh-CN"/>
        </w:rPr>
        <w:t xml:space="preserve">相同品牌产品的投标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使用综合评分法的采购项目，提供相同品牌产品且通过资格审查、符合性审查的不同供应商参加同一合同项下投标的，按一家供应商计算，评审后得分最高的同品牌供应商获得中标单位推荐资格；评审得分相同的，由采购人委托评标委员会按照招标文件规定的方式确定一个供应商获得中标单位推荐资格，招标文件未规定的采取随机抽取方式确定，其他同品牌供应商不作为中标候选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非单一产品采购项目，确定核心产品的方法在招标文件技术需求中载明。多家供应商提供的核心产品品牌相同的，按前两款规定处理。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20.6</w:t>
      </w:r>
      <w:r>
        <w:rPr>
          <w:rFonts w:hint="eastAsia" w:ascii="仿宋" w:hAnsi="仿宋" w:eastAsia="仿宋"/>
          <w:bCs/>
          <w:color w:val="000000" w:themeColor="text1"/>
          <w:sz w:val="24"/>
          <w:lang w:val="zh-CN"/>
        </w:rPr>
        <w:t xml:space="preserve">评标方法和标准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20.6.1</w:t>
      </w:r>
      <w:r>
        <w:rPr>
          <w:rFonts w:hint="eastAsia" w:ascii="仿宋" w:hAnsi="仿宋" w:eastAsia="仿宋"/>
          <w:bCs/>
          <w:color w:val="000000" w:themeColor="text1"/>
          <w:sz w:val="24"/>
          <w:lang w:val="zh-CN"/>
        </w:rPr>
        <w:t xml:space="preserve">本项目采用综合评分法。本次招标的评标方法和标准，详见本采购文件第三章。</w:t>
      </w:r>
      <w:r/>
    </w:p>
    <w:p>
      <w:pPr>
        <w:ind w:firstLine="60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六、定标</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21、确定中标单位</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21.1采用综合评分法的，评标结果按评审后得分由高到低顺序排列。得分相同的，按投标报价由低到高顺序排列。得分且投标报价相同的并列。投标文件满足招标文件全部实质性要求，</w:t>
      </w:r>
      <w:r>
        <w:rPr>
          <w:rFonts w:hint="eastAsia" w:ascii="仿宋" w:hAnsi="仿宋" w:eastAsia="仿宋"/>
          <w:color w:val="000000" w:themeColor="text1"/>
          <w:sz w:val="24"/>
          <w:lang w:val="zh-CN"/>
        </w:rPr>
        <w:t xml:space="preserve">且按照</w:t>
      </w:r>
      <w:r>
        <w:rPr>
          <w:rFonts w:hint="eastAsia" w:ascii="仿宋" w:hAnsi="仿宋" w:eastAsia="仿宋"/>
          <w:color w:val="000000" w:themeColor="text1"/>
          <w:sz w:val="24"/>
          <w:lang w:val="zh-CN"/>
        </w:rPr>
        <w:t xml:space="preserve">评审因素的量化指标评审得分最高的供应</w:t>
      </w:r>
      <w:r>
        <w:rPr>
          <w:rFonts w:hint="eastAsia" w:ascii="仿宋" w:hAnsi="仿宋" w:eastAsia="仿宋"/>
          <w:color w:val="000000" w:themeColor="text1"/>
          <w:sz w:val="24"/>
          <w:lang w:val="zh-CN"/>
        </w:rPr>
        <w:t xml:space="preserve">商为排名第一的中标候选人。 </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21.2</w:t>
      </w:r>
      <w:r>
        <w:rPr>
          <w:rFonts w:hint="eastAsia" w:ascii="仿宋" w:hAnsi="仿宋" w:eastAsia="仿宋"/>
          <w:color w:val="000000" w:themeColor="text1"/>
          <w:sz w:val="24"/>
          <w:lang w:val="zh-CN"/>
        </w:rPr>
        <w:t xml:space="preserve">按以下第（1）种方式确定中标人：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（1）</w:t>
      </w:r>
      <w:r>
        <w:rPr>
          <w:rFonts w:hint="eastAsia" w:ascii="仿宋" w:hAnsi="仿宋" w:eastAsia="仿宋"/>
          <w:color w:val="000000" w:themeColor="text1"/>
          <w:sz w:val="24"/>
        </w:rPr>
        <w:t xml:space="preserve">评标委员会</w:t>
      </w:r>
      <w:r>
        <w:rPr>
          <w:rFonts w:hint="eastAsia" w:ascii="仿宋" w:hAnsi="仿宋" w:eastAsia="仿宋"/>
          <w:color w:val="000000" w:themeColor="text1"/>
          <w:sz w:val="24"/>
          <w:lang w:val="zh-CN"/>
        </w:rPr>
        <w:t xml:space="preserve">直接确定排名第一的中标候选人为中标人；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（2）采购人在评委会推荐的中标候选人中按顺序确定中标人。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按第二种方式确定中标人的，</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自评审结束之日起两个工作日内将评审报告送达采购人，采购人自收到评审报告之日起五个工作日内，在评审报告推荐的中标候选人中按顺序确定中标人。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21.3代理机构</w:t>
      </w:r>
      <w:r>
        <w:rPr>
          <w:rFonts w:hint="eastAsia" w:ascii="仿宋" w:hAnsi="仿宋" w:eastAsia="仿宋"/>
          <w:color w:val="000000" w:themeColor="text1"/>
          <w:sz w:val="24"/>
          <w:lang w:val="zh-CN"/>
        </w:rPr>
        <w:t xml:space="preserve">将在“</w:t>
      </w:r>
      <w:r>
        <w:rPr>
          <w:rFonts w:hint="eastAsia" w:ascii="仿宋" w:hAnsi="仿宋" w:eastAsia="仿宋"/>
          <w:color w:val="000000" w:themeColor="text1"/>
          <w:sz w:val="24"/>
        </w:rPr>
        <w:t xml:space="preserve">南京市公共采购信息网</w:t>
      </w:r>
      <w:r>
        <w:rPr>
          <w:rFonts w:hint="eastAsia" w:ascii="仿宋" w:hAnsi="仿宋" w:eastAsia="仿宋"/>
          <w:color w:val="000000" w:themeColor="text1"/>
          <w:sz w:val="24"/>
          <w:lang w:val="zh-CN"/>
        </w:rPr>
        <w:t xml:space="preserve">”“江苏政府采购网”发布中标公告，公告期限为1个工作日。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21.4</w:t>
      </w:r>
      <w:r>
        <w:rPr>
          <w:rFonts w:hint="eastAsia" w:ascii="仿宋" w:hAnsi="仿宋" w:eastAsia="仿宋"/>
          <w:color w:val="000000" w:themeColor="text1"/>
          <w:sz w:val="24"/>
          <w:lang w:val="zh-CN"/>
        </w:rPr>
        <w:t xml:space="preserve">若有充分证据证明中标人有下列情况之一的，一经查实将被取消中标资格：</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（1）</w:t>
      </w:r>
      <w:r>
        <w:rPr>
          <w:rFonts w:hint="eastAsia" w:ascii="仿宋" w:hAnsi="仿宋" w:eastAsia="仿宋"/>
          <w:color w:val="000000" w:themeColor="text1"/>
          <w:sz w:val="24"/>
          <w:lang w:val="zh-CN"/>
        </w:rPr>
        <w:t xml:space="preserve">提供虚假材料谋取中标。</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2</w:t>
      </w:r>
      <w:r>
        <w:rPr>
          <w:rFonts w:hint="eastAsia" w:ascii="仿宋" w:hAnsi="仿宋" w:eastAsia="仿宋"/>
          <w:color w:val="000000" w:themeColor="text1"/>
          <w:sz w:val="24"/>
          <w:lang w:val="zh-CN"/>
        </w:rPr>
        <w:t xml:space="preserve">）向采购人、</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行贿或者提供其他不正当利益。</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lang w:val="zh-CN"/>
        </w:rPr>
        <w:t xml:space="preserve">）属于本文件规定的无效投标情形，但在评标过程中未被评委会发现。</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4</w:t>
      </w:r>
      <w:r>
        <w:rPr>
          <w:rFonts w:hint="eastAsia" w:ascii="仿宋" w:hAnsi="仿宋" w:eastAsia="仿宋"/>
          <w:color w:val="000000" w:themeColor="text1"/>
          <w:sz w:val="24"/>
          <w:lang w:val="zh-CN"/>
        </w:rPr>
        <w:t xml:space="preserve">）与采购人或者其他供应商恶意串通。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5</w:t>
      </w:r>
      <w:r>
        <w:rPr>
          <w:rFonts w:hint="eastAsia" w:ascii="仿宋" w:hAnsi="仿宋" w:eastAsia="仿宋"/>
          <w:color w:val="000000" w:themeColor="text1"/>
          <w:sz w:val="24"/>
          <w:lang w:val="zh-CN"/>
        </w:rPr>
        <w:t xml:space="preserve">）采取不正当手段诋毁、排挤其他供应商。</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22、</w:t>
      </w:r>
      <w:r>
        <w:rPr>
          <w:rFonts w:hint="eastAsia" w:ascii="仿宋" w:hAnsi="仿宋" w:eastAsia="仿宋"/>
          <w:b/>
          <w:bCs/>
          <w:color w:val="000000" w:themeColor="text1"/>
          <w:sz w:val="24"/>
          <w:lang w:val="zh-CN"/>
        </w:rPr>
        <w:t xml:space="preserve">中标通知书</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22.1</w:t>
      </w:r>
      <w:r>
        <w:rPr>
          <w:rFonts w:hint="eastAsia" w:ascii="仿宋" w:hAnsi="仿宋" w:eastAsia="仿宋"/>
          <w:color w:val="000000" w:themeColor="text1"/>
          <w:sz w:val="24"/>
          <w:lang w:val="zh-CN"/>
        </w:rPr>
        <w:t xml:space="preserve">中标结果确定后，</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将向中标人发出《中标通知书》。中标人可在中标结果公告届满之日起三十日内,登录苏</w:t>
      </w:r>
      <w:r>
        <w:rPr>
          <w:rFonts w:hint="eastAsia" w:ascii="仿宋" w:hAnsi="仿宋" w:eastAsia="仿宋"/>
          <w:color w:val="000000" w:themeColor="text1"/>
          <w:sz w:val="24"/>
          <w:lang w:val="zh-CN"/>
        </w:rPr>
        <w:t xml:space="preserve">采云</w:t>
      </w:r>
      <w:r>
        <w:rPr>
          <w:rFonts w:hint="eastAsia" w:ascii="仿宋" w:hAnsi="仿宋" w:eastAsia="仿宋"/>
          <w:color w:val="000000" w:themeColor="text1"/>
          <w:sz w:val="24"/>
          <w:lang w:val="zh-CN"/>
        </w:rPr>
        <w:t xml:space="preserve">系统下载。</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因系统存储空间有限，中标结果公告届满之日起三十日后，苏</w:t>
      </w:r>
      <w:r>
        <w:rPr>
          <w:rFonts w:hint="eastAsia" w:ascii="仿宋" w:hAnsi="仿宋" w:eastAsia="仿宋"/>
          <w:color w:val="000000" w:themeColor="text1"/>
          <w:sz w:val="24"/>
          <w:lang w:val="zh-CN"/>
        </w:rPr>
        <w:t xml:space="preserve">采云</w:t>
      </w:r>
      <w:r>
        <w:rPr>
          <w:rFonts w:hint="eastAsia" w:ascii="仿宋" w:hAnsi="仿宋" w:eastAsia="仿宋"/>
          <w:color w:val="000000" w:themeColor="text1"/>
          <w:sz w:val="24"/>
          <w:lang w:val="zh-CN"/>
        </w:rPr>
        <w:t xml:space="preserve">系统不再保证提供下载《中标通知书》服务，因未及时下载而造成的不利后果由中标人自行承担。</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22.2</w:t>
      </w:r>
      <w:r>
        <w:rPr>
          <w:rFonts w:hint="eastAsia" w:ascii="仿宋" w:hAnsi="仿宋" w:eastAsia="仿宋"/>
          <w:color w:val="000000" w:themeColor="text1"/>
          <w:sz w:val="24"/>
          <w:lang w:val="zh-CN"/>
        </w:rPr>
        <w:t xml:space="preserve">《中标通知书》是合同的一个组成部分，对采购人和中标人均具有法律效力。《中标通知书》发出后，采购人改变中标结果或者中标人放弃中标项目的，应当依法承担法律责任。</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七</w:t>
      </w:r>
      <w:r>
        <w:rPr>
          <w:rFonts w:hint="eastAsia" w:ascii="仿宋" w:hAnsi="仿宋" w:eastAsia="仿宋"/>
          <w:b/>
          <w:color w:val="000000" w:themeColor="text1"/>
          <w:sz w:val="24"/>
          <w:lang w:val="zh-CN"/>
        </w:rPr>
        <w:t xml:space="preserve">、签订合同</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w:t>
      </w:r>
      <w:r>
        <w:rPr>
          <w:rFonts w:hint="eastAsia" w:ascii="仿宋" w:hAnsi="仿宋" w:eastAsia="仿宋"/>
          <w:color w:val="000000" w:themeColor="text1"/>
          <w:sz w:val="24"/>
          <w:lang w:val="zh-CN"/>
        </w:rPr>
        <w:t xml:space="preserve">签订合同</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23.1</w:t>
      </w:r>
      <w:r>
        <w:rPr>
          <w:rFonts w:hint="eastAsia" w:ascii="仿宋" w:hAnsi="仿宋" w:eastAsia="仿宋"/>
          <w:color w:val="000000" w:themeColor="text1"/>
          <w:sz w:val="24"/>
          <w:lang w:val="zh-CN"/>
        </w:rPr>
        <w:t xml:space="preserve">中标人应当在《中标通知书》发出之日起三十日内，按照招标文件确定的事项与采购人签订政府采购合同。所签订的合同不得对招标文件确定的事项</w:t>
      </w:r>
      <w:r>
        <w:rPr>
          <w:rFonts w:hint="eastAsia" w:ascii="仿宋" w:hAnsi="仿宋" w:eastAsia="仿宋"/>
          <w:color w:val="000000" w:themeColor="text1"/>
          <w:sz w:val="24"/>
          <w:lang w:val="zh-CN"/>
        </w:rPr>
        <w:t xml:space="preserve">和中标单位投标文件作实质性修改。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23.2</w:t>
      </w:r>
      <w:r>
        <w:rPr>
          <w:rFonts w:hint="eastAsia" w:ascii="仿宋" w:hAnsi="仿宋" w:eastAsia="仿宋"/>
          <w:color w:val="000000" w:themeColor="text1"/>
          <w:sz w:val="24"/>
          <w:lang w:val="zh-CN"/>
        </w:rPr>
        <w:t xml:space="preserve">招标文件、中标人的投标文件及招标过程中有关澄清、承诺文件均作为合同附件。</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23.3</w:t>
      </w:r>
      <w:r>
        <w:rPr>
          <w:rFonts w:hint="eastAsia" w:ascii="仿宋" w:hAnsi="仿宋" w:eastAsia="仿宋"/>
          <w:color w:val="000000" w:themeColor="text1"/>
          <w:sz w:val="24"/>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23.4</w:t>
      </w:r>
      <w:r>
        <w:rPr>
          <w:rFonts w:hint="eastAsia" w:ascii="仿宋" w:hAnsi="仿宋" w:eastAsia="仿宋"/>
          <w:color w:val="000000" w:themeColor="text1"/>
          <w:sz w:val="24"/>
          <w:lang w:val="zh-CN"/>
        </w:rPr>
        <w:t xml:space="preserve">中标通知书发出后，采购人或中标单位拒绝签订合同的，拒绝签订合同的一方应至少向另一方支付补偿金，以及为招标、投标所发生的有关费用和双方商定的其他补偿。</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23.5</w:t>
      </w:r>
      <w:r>
        <w:rPr>
          <w:rFonts w:hint="eastAsia" w:ascii="仿宋" w:hAnsi="仿宋" w:eastAsia="仿宋"/>
          <w:color w:val="000000" w:themeColor="text1"/>
          <w:sz w:val="24"/>
          <w:lang w:val="zh-CN"/>
        </w:rPr>
        <w:t xml:space="preserve">中标通知书发出后，中标单位无正当理由不与采购人签订合同的，不得参加采购人重新组织的采购活动，且将可能被拒绝参加该采购人一年内的其他政府采购活动。情节严重的，由财政部门将其列入不良行为记录名单并予以通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23.6</w:t>
      </w:r>
      <w:r>
        <w:rPr>
          <w:rFonts w:hint="eastAsia" w:ascii="仿宋" w:hAnsi="仿宋" w:eastAsia="仿宋"/>
          <w:color w:val="000000" w:themeColor="text1"/>
          <w:sz w:val="24"/>
          <w:lang w:val="zh-CN"/>
        </w:rPr>
        <w:t xml:space="preserve">采购人不得向中标单位提出任何不合理的要求作为签订合同的条件。</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23.7</w:t>
      </w:r>
      <w:r>
        <w:rPr>
          <w:rFonts w:hint="eastAsia" w:ascii="仿宋" w:hAnsi="仿宋" w:eastAsia="仿宋"/>
          <w:color w:val="000000" w:themeColor="text1"/>
          <w:sz w:val="24"/>
          <w:lang w:val="zh-CN"/>
        </w:rPr>
        <w:t xml:space="preserve">中标单位拒绝与采购人签订合同的，采购人可以按照评审报告推荐的中标或者成交候选人名单排序，确定下一候选人为中标或者中标单位，也可以重新开展政府采购活动。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23.8</w:t>
      </w:r>
      <w:r>
        <w:rPr>
          <w:rFonts w:hint="eastAsia" w:ascii="仿宋" w:hAnsi="仿宋" w:eastAsia="仿宋"/>
          <w:color w:val="000000" w:themeColor="text1"/>
          <w:sz w:val="24"/>
          <w:lang w:val="zh-CN"/>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23.9</w:t>
      </w:r>
      <w:r>
        <w:rPr>
          <w:rFonts w:hint="eastAsia" w:ascii="仿宋" w:hAnsi="仿宋" w:eastAsia="仿宋"/>
          <w:color w:val="000000" w:themeColor="text1"/>
          <w:sz w:val="24"/>
          <w:lang w:val="zh-CN"/>
        </w:rPr>
        <w:t xml:space="preserve">采购人与中标单位应当根据合同的约定依法履行合同义务。</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23.10</w:t>
      </w:r>
      <w:r>
        <w:rPr>
          <w:rFonts w:hint="eastAsia" w:ascii="仿宋" w:hAnsi="仿宋" w:eastAsia="仿宋"/>
          <w:color w:val="000000" w:themeColor="text1"/>
          <w:sz w:val="24"/>
          <w:lang w:val="zh-CN"/>
        </w:rPr>
        <w:t xml:space="preserve">联合体各方应当共同与采购人签订采购合同，就采购合同约定的事项对采购人承担连带责任。</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八</w:t>
      </w:r>
      <w:r>
        <w:rPr>
          <w:rFonts w:hint="eastAsia" w:ascii="仿宋" w:hAnsi="仿宋" w:eastAsia="仿宋"/>
          <w:b/>
          <w:color w:val="000000" w:themeColor="text1"/>
          <w:sz w:val="24"/>
          <w:lang w:val="zh-CN"/>
        </w:rPr>
        <w:t xml:space="preserve">、询问、质疑、投诉和诚实信用</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24、</w:t>
      </w:r>
      <w:r>
        <w:rPr>
          <w:rFonts w:hint="eastAsia" w:ascii="仿宋" w:hAnsi="仿宋" w:eastAsia="仿宋"/>
          <w:b/>
          <w:bCs/>
          <w:color w:val="000000" w:themeColor="text1"/>
          <w:sz w:val="24"/>
          <w:lang w:val="zh-CN"/>
        </w:rPr>
        <w:t xml:space="preserve">询问</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供应商对招标活动事项有疑问的，可以向采购代理机构或采购人提出询问，采购代理机构或采购人将在两个工作日内</w:t>
      </w:r>
      <w:r>
        <w:rPr>
          <w:rFonts w:hint="eastAsia" w:ascii="仿宋" w:hAnsi="仿宋" w:eastAsia="仿宋"/>
          <w:color w:val="000000" w:themeColor="text1"/>
          <w:sz w:val="24"/>
          <w:lang w:val="zh-CN"/>
        </w:rPr>
        <w:t xml:space="preserve">作出</w:t>
      </w:r>
      <w:r>
        <w:rPr>
          <w:rFonts w:hint="eastAsia" w:ascii="仿宋" w:hAnsi="仿宋" w:eastAsia="仿宋"/>
          <w:color w:val="000000" w:themeColor="text1"/>
          <w:sz w:val="24"/>
          <w:lang w:val="zh-CN"/>
        </w:rPr>
        <w:t xml:space="preserve">答复，但答复的内容不涉及商业秘密。</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25、</w:t>
      </w:r>
      <w:r>
        <w:rPr>
          <w:rFonts w:hint="eastAsia" w:ascii="仿宋" w:hAnsi="仿宋" w:eastAsia="仿宋"/>
          <w:b/>
          <w:bCs/>
          <w:color w:val="000000" w:themeColor="text1"/>
          <w:sz w:val="24"/>
          <w:lang w:val="zh-CN"/>
        </w:rPr>
        <w:t xml:space="preserve">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25.1</w:t>
      </w:r>
      <w:r>
        <w:rPr>
          <w:rFonts w:hint="eastAsia" w:ascii="仿宋" w:hAnsi="仿宋" w:eastAsia="仿宋"/>
          <w:color w:val="000000" w:themeColor="text1"/>
          <w:sz w:val="24"/>
          <w:lang w:val="zh-CN"/>
        </w:rPr>
        <w:t xml:space="preserve">供应商认为采购文件、采购过程和中标结果使自己的合法权益受到损</w:t>
      </w:r>
      <w:r>
        <w:rPr>
          <w:rFonts w:hint="eastAsia" w:ascii="仿宋" w:hAnsi="仿宋" w:eastAsia="仿宋"/>
          <w:color w:val="000000" w:themeColor="text1"/>
          <w:sz w:val="24"/>
          <w:lang w:val="zh-CN"/>
        </w:rPr>
        <w:t xml:space="preserve">害的，可以在知道或者应知其权益受到损害之日起七个工作日内，将质疑文件原件送达采购人或采购代理机构。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25.2</w:t>
      </w:r>
      <w:r>
        <w:rPr>
          <w:rFonts w:hint="eastAsia" w:ascii="仿宋" w:hAnsi="仿宋" w:eastAsia="仿宋"/>
          <w:color w:val="000000" w:themeColor="text1"/>
          <w:sz w:val="24"/>
          <w:lang w:val="zh-CN"/>
        </w:rPr>
        <w:t xml:space="preserve">提出质疑的供应商应当是参与所质疑项目采购活动的供应商。潜在供应商已依法获取其可质疑的采购文件的，可以对该文件提出质疑。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25.3</w:t>
      </w:r>
      <w:r>
        <w:rPr>
          <w:rFonts w:hint="eastAsia" w:ascii="仿宋" w:hAnsi="仿宋" w:eastAsia="仿宋"/>
          <w:color w:val="000000" w:themeColor="text1"/>
          <w:sz w:val="24"/>
          <w:lang w:val="zh-CN"/>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25.4</w:t>
      </w:r>
      <w:r>
        <w:rPr>
          <w:rFonts w:hint="eastAsia" w:ascii="仿宋" w:hAnsi="仿宋" w:eastAsia="仿宋"/>
          <w:color w:val="000000" w:themeColor="text1"/>
          <w:sz w:val="24"/>
          <w:lang w:val="zh-CN"/>
        </w:rPr>
        <w:t xml:space="preserve">供应商必须在法定质疑期内一次性提出针对同一采购程序环节的质疑。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5采购代理机构遵循“谁过错谁负担”的原则，有过错的一方承担调查论证费用。违规质疑或多次质疑不成立的，将报财政部门记入供应商诚信档案。</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6供应商提出质疑应当提交质疑函和必要的证明材料。质疑</w:t>
      </w:r>
      <w:r>
        <w:rPr>
          <w:rFonts w:hint="eastAsia" w:ascii="仿宋" w:hAnsi="仿宋" w:eastAsia="仿宋"/>
          <w:color w:val="000000" w:themeColor="text1"/>
          <w:sz w:val="24"/>
          <w:lang w:val="zh-CN"/>
        </w:rPr>
        <w:t xml:space="preserve">函应当</w:t>
      </w:r>
      <w:r>
        <w:rPr>
          <w:rFonts w:hint="eastAsia" w:ascii="仿宋" w:hAnsi="仿宋" w:eastAsia="仿宋"/>
          <w:color w:val="000000" w:themeColor="text1"/>
          <w:sz w:val="24"/>
          <w:lang w:val="zh-CN"/>
        </w:rPr>
        <w:t xml:space="preserve">包括下列内容：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（一）供应商的姓名或者名称、地址、邮编、联系人及联系电话；</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（二）质疑项目的名称、编号；</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（三）具体、明确的质疑事项和与质疑事项相关的请求（具体条款）；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（四）事实依据（具体条款）；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（五）必要的法律依据（具体条款）；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（六）提出质疑的日期。</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质疑</w:t>
      </w:r>
      <w:r>
        <w:rPr>
          <w:rFonts w:hint="eastAsia" w:ascii="仿宋" w:hAnsi="仿宋" w:eastAsia="仿宋"/>
          <w:color w:val="000000" w:themeColor="text1"/>
          <w:sz w:val="24"/>
          <w:lang w:val="zh-CN"/>
        </w:rPr>
        <w:t xml:space="preserve">函应当</w:t>
      </w:r>
      <w:r>
        <w:rPr>
          <w:rFonts w:hint="eastAsia" w:ascii="仿宋" w:hAnsi="仿宋" w:eastAsia="仿宋"/>
          <w:color w:val="000000" w:themeColor="text1"/>
          <w:sz w:val="24"/>
          <w:lang w:val="zh-CN"/>
        </w:rPr>
        <w:t xml:space="preserve">使用中文。相关当事人提供外文书证或者外国语视听资料的，应当附有中文译本，由翻译机构盖章或者翻译人员签名。</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7质疑</w:t>
      </w:r>
      <w:r>
        <w:rPr>
          <w:rFonts w:hint="eastAsia" w:ascii="仿宋" w:hAnsi="仿宋" w:eastAsia="仿宋"/>
          <w:color w:val="000000" w:themeColor="text1"/>
          <w:sz w:val="24"/>
          <w:lang w:val="zh-CN"/>
        </w:rPr>
        <w:t xml:space="preserve">函应当</w:t>
      </w:r>
      <w:r>
        <w:rPr>
          <w:rFonts w:hint="eastAsia" w:ascii="仿宋" w:hAnsi="仿宋" w:eastAsia="仿宋"/>
          <w:color w:val="000000" w:themeColor="text1"/>
          <w:sz w:val="24"/>
          <w:lang w:val="zh-CN"/>
        </w:rPr>
        <w:t xml:space="preserve">现场提交至采购代理机构联系人处，提交时应出示有效身份证明。未按上述要求提交质疑函的，质疑不予受理。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8供应商不得虚假质疑和恶意质疑，并对质疑内容的真实性承担责任。供应商或者其他利害关系人通过捏造事实、伪造证明材料等方式提出异议或投诉，</w:t>
      </w:r>
      <w:r>
        <w:rPr>
          <w:rFonts w:hint="eastAsia" w:ascii="仿宋" w:hAnsi="仿宋" w:eastAsia="仿宋"/>
          <w:color w:val="000000" w:themeColor="text1"/>
          <w:sz w:val="24"/>
          <w:lang w:val="zh-CN"/>
        </w:rPr>
        <w:t xml:space="preserve">阻碍招投标活动正常进行的，属于严重不良行为，代理机构将提请财政部门将其列入不良行为记录名单，并依法予以处罚。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9采购代理机构在收到供应商的书面质疑后将及时组织调查核实，在七个工作日内</w:t>
      </w:r>
      <w:r>
        <w:rPr>
          <w:rFonts w:hint="eastAsia" w:ascii="仿宋" w:hAnsi="仿宋" w:eastAsia="仿宋"/>
          <w:color w:val="000000" w:themeColor="text1"/>
          <w:sz w:val="24"/>
          <w:lang w:val="zh-CN"/>
        </w:rPr>
        <w:t xml:space="preserve">作出</w:t>
      </w:r>
      <w:r>
        <w:rPr>
          <w:rFonts w:hint="eastAsia" w:ascii="仿宋" w:hAnsi="仿宋" w:eastAsia="仿宋"/>
          <w:color w:val="000000" w:themeColor="text1"/>
          <w:sz w:val="24"/>
          <w:lang w:val="zh-CN"/>
        </w:rPr>
        <w:t xml:space="preserve">答复，并以书面或在网站公告形式通知质疑供应商和其他有关供应商，答复的内容不涉及商业秘密。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任何单位和个人对代理机构在招标采购活动中的违法行为，有权控告和检举，联系招标代理机构。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以联合体形</w:t>
      </w:r>
      <w:r>
        <w:rPr>
          <w:rFonts w:hint="eastAsia" w:ascii="仿宋" w:hAnsi="仿宋" w:eastAsia="仿宋"/>
          <w:color w:val="000000" w:themeColor="text1"/>
          <w:sz w:val="24"/>
          <w:lang w:val="zh-CN"/>
        </w:rPr>
        <w:t xml:space="preserve">式参加</w:t>
      </w:r>
      <w:r>
        <w:rPr>
          <w:rFonts w:hint="eastAsia" w:ascii="仿宋" w:hAnsi="仿宋" w:eastAsia="仿宋"/>
          <w:color w:val="000000" w:themeColor="text1"/>
          <w:sz w:val="24"/>
          <w:lang w:val="zh-CN"/>
        </w:rPr>
        <w:t xml:space="preserve">政府采购活动的，其质疑及投诉应当由组成联合体的所有供应商共同提出。</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26、</w:t>
      </w:r>
      <w:r>
        <w:rPr>
          <w:rFonts w:hint="eastAsia" w:ascii="仿宋" w:hAnsi="仿宋" w:eastAsia="仿宋"/>
          <w:b/>
          <w:color w:val="000000" w:themeColor="text1"/>
          <w:sz w:val="24"/>
          <w:lang w:val="zh-CN"/>
        </w:rPr>
        <w:t xml:space="preserve">投诉</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1质疑供应商对采购代理机构的答复不满意或者采购代理机构未在规定的时间内</w:t>
      </w:r>
      <w:r>
        <w:rPr>
          <w:rFonts w:hint="eastAsia" w:ascii="仿宋" w:hAnsi="仿宋" w:eastAsia="仿宋"/>
          <w:color w:val="000000" w:themeColor="text1"/>
          <w:sz w:val="24"/>
          <w:lang w:val="zh-CN"/>
        </w:rPr>
        <w:t xml:space="preserve">作出</w:t>
      </w:r>
      <w:r>
        <w:rPr>
          <w:rFonts w:hint="eastAsia" w:ascii="仿宋" w:hAnsi="仿宋" w:eastAsia="仿宋"/>
          <w:color w:val="000000" w:themeColor="text1"/>
          <w:sz w:val="24"/>
          <w:lang w:val="zh-CN"/>
        </w:rPr>
        <w:t xml:space="preserve">答复的，可以在答复期满后十五个工作日内向同级政府采购监督管理部门投诉。</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.2供应</w:t>
      </w:r>
      <w:r>
        <w:rPr>
          <w:rFonts w:hint="eastAsia" w:ascii="仿宋" w:hAnsi="仿宋" w:eastAsia="仿宋"/>
          <w:color w:val="000000" w:themeColor="text1"/>
          <w:sz w:val="24"/>
          <w:lang w:val="zh-CN"/>
        </w:rPr>
        <w:t xml:space="preserve">商投诉</w:t>
      </w:r>
      <w:r>
        <w:rPr>
          <w:rFonts w:hint="eastAsia" w:ascii="仿宋" w:hAnsi="仿宋" w:eastAsia="仿宋"/>
          <w:color w:val="000000" w:themeColor="text1"/>
          <w:sz w:val="24"/>
          <w:lang w:val="zh-CN"/>
        </w:rPr>
        <w:t xml:space="preserve">应当有明确的请求和必要的证明材料。供应</w:t>
      </w:r>
      <w:r>
        <w:rPr>
          <w:rFonts w:hint="eastAsia" w:ascii="仿宋" w:hAnsi="仿宋" w:eastAsia="仿宋"/>
          <w:color w:val="000000" w:themeColor="text1"/>
          <w:sz w:val="24"/>
          <w:lang w:val="zh-CN"/>
        </w:rPr>
        <w:t xml:space="preserve">商投诉</w:t>
      </w:r>
      <w:r>
        <w:rPr>
          <w:rFonts w:hint="eastAsia" w:ascii="仿宋" w:hAnsi="仿宋" w:eastAsia="仿宋"/>
          <w:color w:val="000000" w:themeColor="text1"/>
          <w:sz w:val="24"/>
          <w:lang w:val="zh-CN"/>
        </w:rPr>
        <w:t xml:space="preserve">的事项不得超出已质疑事项的范围。</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.3投诉人对政府采购监督管理部门的投诉处理决定不服或者政府采购监督管理部门逾期未作处理的，可以依法申请行政复议或者向人民法院提起行政诉讼。</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.4投诉人有下列行为之一的，属于严重失信行为，由财政部门列入不良行为记录名单，禁止其一至三年内参加政府采购活动。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（1）投诉人在全国范围12个月内三次以上投诉查无实据的；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（2）采用捏造事实、提供虚假材料或者以非法手段取得证明材料等方式进行虚假、恶意投诉。证据来源的合法性存在明显疑问，投诉人无法证明其取得方式合法的，视为以非法手段取得证明材料。</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27、</w:t>
      </w:r>
      <w:r>
        <w:rPr>
          <w:rFonts w:hint="eastAsia" w:ascii="仿宋" w:hAnsi="仿宋" w:eastAsia="仿宋"/>
          <w:b/>
          <w:color w:val="000000" w:themeColor="text1"/>
          <w:sz w:val="24"/>
          <w:lang w:val="zh-CN"/>
        </w:rPr>
        <w:t xml:space="preserve">诚实信用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27.1</w:t>
      </w:r>
      <w:r>
        <w:rPr>
          <w:rFonts w:hint="eastAsia" w:ascii="仿宋" w:hAnsi="仿宋" w:eastAsia="仿宋"/>
          <w:color w:val="000000" w:themeColor="text1"/>
          <w:sz w:val="24"/>
          <w:lang w:val="zh-CN"/>
        </w:rPr>
        <w:t xml:space="preserve">供应商之间不得相互串通投标报价，不得妨碍其他供应商的公平竞争，不得损害采购人和其他供应商的合法权益。</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27.2</w:t>
      </w:r>
      <w:r>
        <w:rPr>
          <w:rFonts w:hint="eastAsia" w:ascii="仿宋" w:hAnsi="仿宋" w:eastAsia="仿宋"/>
          <w:color w:val="000000" w:themeColor="text1"/>
          <w:sz w:val="24"/>
          <w:lang w:val="zh-CN"/>
        </w:rPr>
        <w:t xml:space="preserve">供应商不得以向采购代理机构工作人员、评标委员会成员行贿或者采取其他不正当手段谋取中标。经查实供应商有此行为的，政府采购管理部门将供</w:t>
      </w:r>
      <w:r>
        <w:rPr>
          <w:rFonts w:hint="eastAsia" w:ascii="仿宋" w:hAnsi="仿宋" w:eastAsia="仿宋"/>
          <w:color w:val="000000" w:themeColor="text1"/>
          <w:sz w:val="24"/>
          <w:lang w:val="zh-CN"/>
        </w:rPr>
        <w:t xml:space="preserve">应商列入不良行为记录名单，按照《政府采购法》有关规定处理。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27.3</w:t>
      </w:r>
      <w:r>
        <w:rPr>
          <w:rFonts w:hint="eastAsia" w:ascii="仿宋" w:hAnsi="仿宋" w:eastAsia="仿宋"/>
          <w:color w:val="000000" w:themeColor="text1"/>
          <w:sz w:val="24"/>
          <w:lang w:val="zh-CN"/>
        </w:rPr>
        <w:t xml:space="preserve">供应商提出书面质疑必须有理、有据，不得虚假质疑和恶意质疑，并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27.4</w:t>
      </w:r>
      <w:r>
        <w:rPr>
          <w:rFonts w:hint="eastAsia" w:ascii="仿宋" w:hAnsi="仿宋" w:eastAsia="仿宋"/>
          <w:color w:val="000000" w:themeColor="text1"/>
          <w:sz w:val="24"/>
          <w:lang w:val="zh-CN"/>
        </w:rPr>
        <w:t xml:space="preserve">供应商不得虚假承诺，否则，按照提供虚假材料谋取中标处理。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27.5</w:t>
      </w:r>
      <w:r>
        <w:rPr>
          <w:rFonts w:hint="eastAsia" w:ascii="仿宋" w:hAnsi="仿宋" w:eastAsia="仿宋"/>
          <w:color w:val="000000" w:themeColor="text1"/>
          <w:sz w:val="24"/>
          <w:lang w:val="zh-CN"/>
        </w:rPr>
        <w:t xml:space="preserve">供应商应自觉遵守开标、评标纪律，扰乱开标评标现场秩序的，属于失信行为，根据《江苏省政府采购供应商监督管理暂行办法》，失信行为将被记入供应商诚信档案。</w:t>
      </w:r>
      <w:r/>
    </w:p>
    <w:p>
      <w:pPr>
        <w:pStyle w:val="902"/>
        <w:jc w:val="center"/>
        <w:spacing w:line="240" w:lineRule="auto"/>
        <w:rPr>
          <w:rFonts w:hint="eastAsia" w:ascii="仿宋" w:hAnsi="仿宋" w:eastAsia="仿宋"/>
          <w:color w:val="000000" w:themeColor="text1"/>
          <w:sz w:val="32"/>
        </w:rPr>
      </w:pPr>
      <w:r>
        <w:rPr>
          <w:rFonts w:ascii="仿宋" w:hAnsi="仿宋" w:eastAsia="仿宋"/>
          <w:color w:val="000000" w:themeColor="text1"/>
          <w:sz w:val="32"/>
        </w:rPr>
        <w:br w:type="page" w:clear="all"/>
      </w:r>
      <w:bookmarkStart w:id="56" w:name="_Toc205561300"/>
      <w:r>
        <w:rPr>
          <w:rFonts w:hint="eastAsia" w:ascii="仿宋" w:hAnsi="仿宋" w:eastAsia="仿宋"/>
          <w:color w:val="000000" w:themeColor="text1"/>
          <w:sz w:val="32"/>
        </w:rPr>
        <w:t xml:space="preserve">第三章 评标标准</w:t>
      </w:r>
      <w:bookmarkEnd w:id="56"/>
      <w:r/>
      <w:r/>
    </w:p>
    <w:p>
      <w:pPr>
        <w:ind w:firstLine="482"/>
        <w:spacing w:line="360" w:lineRule="auto"/>
        <w:widowControl/>
        <w:rPr>
          <w:rFonts w:hint="eastAsia" w:ascii="仿宋" w:hAnsi="仿宋" w:eastAsia="仿宋"/>
          <w:b/>
          <w:color w:val="000000" w:themeColor="text1"/>
          <w:sz w:val="24"/>
        </w:rPr>
      </w:pPr>
      <w:r>
        <w:rPr>
          <w:rFonts w:hint="eastAsia" w:ascii="仿宋" w:hAnsi="仿宋" w:eastAsia="仿宋" w:cs="宋体"/>
          <w:b/>
          <w:bCs/>
          <w:color w:val="000000" w:themeColor="text1"/>
          <w:sz w:val="24"/>
          <w:szCs w:val="21"/>
          <w:lang w:val="zh-CN"/>
        </w:rPr>
        <w:t xml:space="preserve">评分方法和标准：</w:t>
      </w:r>
      <w:r>
        <w:rPr>
          <w:rFonts w:hint="eastAsia" w:ascii="仿宋" w:hAnsi="仿宋" w:eastAsia="仿宋" w:cs="宋体"/>
          <w:color w:val="000000" w:themeColor="text1"/>
          <w:sz w:val="24"/>
          <w:szCs w:val="21"/>
          <w:lang w:val="zh-CN"/>
        </w:rPr>
        <w:t xml:space="preserve">采用综合评分法，评分统计方法采用百分制（满分100 分），将全部评委评分直接进行算术平均，小数点后保留 2 位。按评审后得分由高到低顺序排列，得分相同的，按投标报价由低到高顺序排列，得分且投标报价相同的，按技术指标优劣顺序排列，由评标委员会确定排名第一名的供应商为中标单位。</w:t>
      </w:r>
      <w:r/>
    </w:p>
    <w:tbl>
      <w:tblPr>
        <w:tblW w:w="10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1321"/>
        <w:gridCol w:w="6598"/>
        <w:gridCol w:w="891"/>
      </w:tblGrid>
      <w:tr>
        <w:trPr>
          <w:jc w:val="center"/>
          <w:trHeight w:val="62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bCs/>
                <w:color w:val="000000" w:themeColor="text1"/>
                <w:sz w:val="24"/>
              </w:rPr>
              <w:t xml:space="preserve">项目</w:t>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bCs/>
                <w:color w:val="000000" w:themeColor="text1"/>
                <w:sz w:val="24"/>
              </w:rPr>
              <w:t xml:space="preserve">评分类别</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bCs/>
                <w:color w:val="000000" w:themeColor="text1"/>
                <w:sz w:val="24"/>
              </w:rPr>
              <w:t xml:space="preserve">评分内容及方法</w:t>
            </w:r>
            <w:r/>
          </w:p>
        </w:tc>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bCs/>
                <w:color w:val="000000" w:themeColor="text1"/>
                <w:sz w:val="24"/>
              </w:rPr>
              <w:t xml:space="preserve">得分</w:t>
            </w:r>
            <w:r/>
          </w:p>
        </w:tc>
      </w:tr>
      <w:tr>
        <w:trPr>
          <w:jc w:val="center"/>
          <w:trHeight w:val="983"/>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价格分</w:t>
            </w:r>
            <w:r/>
          </w:p>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bCs/>
                <w:color w:val="000000" w:themeColor="text1"/>
                <w:sz w:val="24"/>
              </w:rPr>
              <w:t xml:space="preserve">（30分）</w:t>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bCs/>
                <w:color w:val="000000" w:themeColor="text1"/>
                <w:sz w:val="24"/>
              </w:rPr>
              <w:t xml:space="preserve">价格标准</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val="false"/>
          </w:tcPr>
          <w:p>
            <w:pPr>
              <w:pStyle w:val="955"/>
              <w:spacing w:before="0" w:beforeAutospacing="0" w:after="0" w:afterAutospacing="0" w:line="360" w:lineRule="auto"/>
              <w:rPr>
                <w:rFonts w:hint="eastAsia" w:ascii="仿宋" w:hAnsi="仿宋" w:eastAsia="仿宋" w:cs="仿宋"/>
                <w:bCs/>
                <w:color w:val="000000" w:themeColor="text1"/>
              </w:rPr>
            </w:pPr>
            <w:r>
              <w:rPr>
                <w:rFonts w:hint="eastAsia" w:ascii="仿宋" w:hAnsi="仿宋" w:eastAsia="仿宋" w:cs="仿宋"/>
                <w:bCs/>
                <w:color w:val="000000" w:themeColor="text1"/>
              </w:rPr>
              <w:t xml:space="preserve">采用低价优先法计算，在最高限价内即满足公开招标文件要求且投标价格最低的投标报价为评标基准价，其价格分为满分30分。其他供应商的价格</w:t>
            </w:r>
            <w:r>
              <w:rPr>
                <w:rFonts w:hint="eastAsia" w:ascii="仿宋" w:hAnsi="仿宋" w:eastAsia="仿宋" w:cs="仿宋"/>
                <w:bCs/>
                <w:color w:val="000000" w:themeColor="text1"/>
              </w:rPr>
              <w:t xml:space="preserve">分按照</w:t>
            </w:r>
            <w:r>
              <w:rPr>
                <w:rFonts w:hint="eastAsia" w:ascii="仿宋" w:hAnsi="仿宋" w:eastAsia="仿宋" w:cs="仿宋"/>
                <w:bCs/>
                <w:color w:val="000000" w:themeColor="text1"/>
              </w:rPr>
              <w:t xml:space="preserve">下列公式计算，保留小数点后2位：投标报价得分=（评标基准价／投标报价）×30</w:t>
            </w:r>
            <w:r/>
          </w:p>
        </w:tc>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30</w:t>
            </w:r>
            <w:r/>
          </w:p>
        </w:tc>
      </w:tr>
      <w:tr>
        <w:trPr>
          <w:jc w:val="center"/>
          <w:trHeight w:val="598"/>
        </w:trPr>
        <w:tc>
          <w:tcPr>
            <w:tcBorders>
              <w:top w:val="single" w:color="auto" w:sz="4" w:space="0"/>
              <w:left w:val="single" w:color="auto" w:sz="4" w:space="0"/>
              <w:right w:val="single" w:color="auto" w:sz="4" w:space="0"/>
            </w:tcBorders>
            <w:tcW w:w="1271" w:type="dxa"/>
            <w:vAlign w:val="center"/>
            <w:vMerge w:val="restart"/>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bCs/>
                <w:color w:val="000000" w:themeColor="text1"/>
                <w:sz w:val="24"/>
              </w:rPr>
              <w:t xml:space="preserve">商务部分（22分）</w:t>
            </w:r>
            <w:r/>
          </w:p>
        </w:tc>
        <w:tc>
          <w:tcPr>
            <w:tcBorders>
              <w:top w:val="single" w:color="auto" w:sz="4" w:space="0"/>
              <w:left w:val="single" w:color="auto" w:sz="4" w:space="0"/>
              <w:right w:val="single" w:color="auto" w:sz="4" w:space="0"/>
            </w:tcBorders>
            <w:tcW w:w="132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企业业绩</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val="false"/>
          </w:tcPr>
          <w:p>
            <w:pPr>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供应商自2023年2月1日起（以合同签订时间为准）承接过</w:t>
            </w:r>
            <w:r>
              <w:rPr>
                <w:rFonts w:hint="eastAsia" w:ascii="仿宋" w:hAnsi="仿宋" w:eastAsia="仿宋" w:cs="仿宋"/>
                <w:color w:val="000000" w:themeColor="text1"/>
                <w:sz w:val="24"/>
              </w:rPr>
              <w:t xml:space="preserve">类似运维项目</w:t>
            </w:r>
            <w:r>
              <w:rPr>
                <w:rFonts w:hint="eastAsia" w:ascii="仿宋" w:hAnsi="仿宋" w:eastAsia="仿宋" w:cs="仿宋"/>
                <w:color w:val="000000" w:themeColor="text1"/>
                <w:sz w:val="24"/>
              </w:rPr>
              <w:t xml:space="preserve">的案例，</w:t>
            </w:r>
            <w:r>
              <w:rPr>
                <w:rFonts w:hint="eastAsia" w:ascii="仿宋" w:hAnsi="仿宋" w:eastAsia="仿宋" w:cs="仿宋"/>
                <w:sz w:val="24"/>
              </w:rPr>
              <w:t xml:space="preserve">每提供一个得2分，最高得</w:t>
            </w:r>
            <w:r>
              <w:rPr>
                <w:rFonts w:ascii="仿宋" w:hAnsi="仿宋" w:eastAsia="仿宋" w:cs="仿宋"/>
                <w:sz w:val="24"/>
              </w:rPr>
              <w:t xml:space="preserve">4</w:t>
            </w:r>
            <w:r>
              <w:rPr>
                <w:rFonts w:hint="eastAsia" w:ascii="仿宋" w:hAnsi="仿宋" w:eastAsia="仿宋" w:cs="仿宋"/>
                <w:sz w:val="24"/>
              </w:rPr>
              <w:t xml:space="preserve">分。</w:t>
            </w:r>
            <w:r/>
          </w:p>
          <w:p>
            <w:pPr>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（提供完整合同</w:t>
            </w:r>
            <w:r>
              <w:rPr>
                <w:rFonts w:hint="eastAsia" w:ascii="仿宋" w:hAnsi="仿宋" w:eastAsia="仿宋" w:cs="仿宋"/>
                <w:color w:val="000000" w:themeColor="text1"/>
                <w:sz w:val="24"/>
              </w:rPr>
              <w:t xml:space="preserve">扫描件并加盖</w:t>
            </w:r>
            <w:r>
              <w:rPr>
                <w:rFonts w:hint="eastAsia" w:ascii="仿宋" w:hAnsi="仿宋" w:eastAsia="仿宋" w:cs="仿宋"/>
                <w:color w:val="000000" w:themeColor="text1"/>
                <w:sz w:val="24"/>
              </w:rPr>
              <w:t xml:space="preserve">供应商单位电子公章，提供的证明材料必须能够反映相关数据，否则视作未提供）</w:t>
            </w:r>
            <w:r/>
          </w:p>
        </w:tc>
        <w:tc>
          <w:tcPr>
            <w:tcBorders>
              <w:top w:val="single" w:color="auto" w:sz="4" w:space="0"/>
              <w:left w:val="single" w:color="auto" w:sz="4" w:space="0"/>
              <w:right w:val="single" w:color="auto" w:sz="4" w:space="0"/>
            </w:tcBorders>
            <w:tcW w:w="89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ascii="仿宋" w:hAnsi="仿宋" w:eastAsia="仿宋" w:cs="仿宋"/>
                <w:b/>
                <w:color w:val="000000" w:themeColor="text1"/>
                <w:sz w:val="24"/>
              </w:rPr>
              <w:t xml:space="preserve">4</w:t>
            </w:r>
            <w:r/>
          </w:p>
        </w:tc>
      </w:tr>
      <w:tr>
        <w:trPr>
          <w:jc w:val="center"/>
          <w:trHeight w:val="132"/>
        </w:trPr>
        <w:tc>
          <w:tcPr>
            <w:tcBorders>
              <w:left w:val="single" w:color="auto" w:sz="4" w:space="0"/>
              <w:right w:val="single" w:color="auto" w:sz="4" w:space="0"/>
            </w:tcBorders>
            <w:tcW w:w="1271" w:type="dxa"/>
            <w:vAlign w:val="center"/>
            <w:vMerge w:val="continue"/>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人员配备</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val="false"/>
          </w:tcPr>
          <w:p>
            <w:pPr>
              <w:jc w:val="left"/>
              <w:spacing w:line="360" w:lineRule="auto"/>
              <w:rPr>
                <w:rFonts w:hint="eastAsia" w:ascii="仿宋" w:hAnsi="仿宋" w:eastAsia="仿宋" w:cs="仿宋"/>
                <w:sz w:val="24"/>
              </w:rPr>
            </w:pPr>
            <w:r>
              <w:rPr>
                <w:rFonts w:hint="eastAsia" w:ascii="仿宋" w:hAnsi="仿宋" w:eastAsia="仿宋" w:cs="仿宋"/>
                <w:sz w:val="24"/>
              </w:rPr>
              <w:t xml:space="preserve">1.拟派项目负责人具有机电工程专业二级及以上注册建造师证书和电子信息工程专业中级及以上工程师证书的得4分；</w:t>
            </w:r>
            <w:r/>
          </w:p>
          <w:p>
            <w:pPr>
              <w:jc w:val="left"/>
              <w:spacing w:line="360" w:lineRule="auto"/>
              <w:rPr>
                <w:rFonts w:hint="eastAsia" w:ascii="仿宋" w:hAnsi="仿宋" w:eastAsia="仿宋" w:cs="仿宋"/>
                <w:sz w:val="24"/>
              </w:rPr>
            </w:pPr>
            <w:r>
              <w:rPr>
                <w:rFonts w:hint="eastAsia" w:ascii="仿宋" w:hAnsi="仿宋" w:eastAsia="仿宋" w:cs="仿宋"/>
                <w:sz w:val="24"/>
              </w:rPr>
              <w:t xml:space="preserve">2.拟派的技术负责人具有系统集成项目管理工程师的得2分，具有信息安全保障人员认证（CISAW）证书的得2分，本项最高得4分；</w:t>
            </w:r>
            <w:r/>
          </w:p>
          <w:p>
            <w:pPr>
              <w:jc w:val="left"/>
              <w:spacing w:line="360" w:lineRule="auto"/>
              <w:rPr>
                <w:rFonts w:hint="eastAsia" w:ascii="仿宋" w:hAnsi="仿宋" w:eastAsia="仿宋" w:cs="仿宋"/>
                <w:sz w:val="24"/>
              </w:rPr>
            </w:pPr>
            <w:r>
              <w:rPr>
                <w:rFonts w:hint="eastAsia" w:ascii="仿宋" w:hAnsi="仿宋" w:eastAsia="仿宋" w:cs="仿宋"/>
                <w:sz w:val="24"/>
              </w:rPr>
              <w:t xml:space="preserve">3.服务团队（不含项目负责人及技术负责人）：</w:t>
            </w:r>
            <w:r/>
          </w:p>
          <w:p>
            <w:pPr>
              <w:jc w:val="left"/>
              <w:spacing w:line="360" w:lineRule="auto"/>
              <w:rPr>
                <w:rFonts w:hint="eastAsia" w:ascii="仿宋" w:hAnsi="仿宋" w:eastAsia="仿宋" w:cs="仿宋"/>
                <w:sz w:val="24"/>
              </w:rPr>
            </w:pPr>
            <w:r>
              <w:rPr>
                <w:rFonts w:ascii="仿宋" w:hAnsi="仿宋" w:eastAsia="仿宋" w:cs="仿宋"/>
                <w:sz w:val="24"/>
              </w:rPr>
              <w:t xml:space="preserve">(1)</w:t>
            </w:r>
            <w:r>
              <w:rPr>
                <w:rFonts w:hint="eastAsia" w:ascii="仿宋" w:hAnsi="仿宋" w:eastAsia="仿宋" w:cs="仿宋"/>
                <w:sz w:val="24"/>
              </w:rPr>
              <w:t xml:space="preserve">现场运</w:t>
            </w:r>
            <w:r>
              <w:rPr>
                <w:rFonts w:hint="eastAsia" w:ascii="仿宋" w:hAnsi="仿宋" w:eastAsia="仿宋" w:cs="仿宋"/>
                <w:sz w:val="24"/>
              </w:rPr>
              <w:t xml:space="preserve">维其他</w:t>
            </w:r>
            <w:r>
              <w:rPr>
                <w:rFonts w:hint="eastAsia" w:ascii="仿宋" w:hAnsi="仿宋" w:eastAsia="仿宋" w:cs="仿宋"/>
                <w:sz w:val="24"/>
              </w:rPr>
              <w:t xml:space="preserve">人员具有电子信息或机电工程等相关专业中级及以上工程师证书的，每提供一个得2分，最高得4分</w:t>
            </w:r>
            <w:r>
              <w:rPr>
                <w:rFonts w:ascii="仿宋" w:hAnsi="仿宋" w:eastAsia="仿宋" w:cs="仿宋"/>
                <w:sz w:val="24"/>
              </w:rPr>
              <w:t xml:space="preserve">;</w:t>
            </w:r>
            <w:r/>
          </w:p>
          <w:p>
            <w:pPr>
              <w:jc w:val="left"/>
              <w:spacing w:line="360" w:lineRule="auto"/>
              <w:rPr>
                <w:rFonts w:hint="eastAsia" w:ascii="仿宋" w:hAnsi="仿宋" w:eastAsia="仿宋" w:cs="仿宋"/>
                <w:sz w:val="24"/>
              </w:rPr>
            </w:pPr>
            <w:r>
              <w:rPr>
                <w:rFonts w:ascii="仿宋" w:hAnsi="仿宋" w:eastAsia="仿宋" w:cs="仿宋"/>
                <w:sz w:val="24"/>
              </w:rPr>
              <w:t xml:space="preserve">(2)具有安全员C证得1分，具有电工证的得1分</w:t>
            </w:r>
            <w:r>
              <w:rPr>
                <w:rFonts w:hint="eastAsia" w:ascii="仿宋" w:hAnsi="仿宋" w:eastAsia="仿宋" w:cs="仿宋"/>
                <w:sz w:val="24"/>
              </w:rPr>
              <w:t xml:space="preserve">。</w:t>
            </w:r>
            <w:r/>
          </w:p>
          <w:p>
            <w:pPr>
              <w:jc w:val="left"/>
              <w:spacing w:line="360" w:lineRule="auto"/>
              <w:rPr>
                <w:rFonts w:hint="eastAsia" w:ascii="仿宋" w:hAnsi="仿宋" w:eastAsia="仿宋" w:cs="仿宋"/>
                <w:b/>
                <w:bCs/>
                <w:color w:val="000000" w:themeColor="text1"/>
                <w:sz w:val="24"/>
              </w:rPr>
            </w:pPr>
            <w:r>
              <w:rPr>
                <w:rFonts w:hint="eastAsia" w:ascii="仿宋" w:hAnsi="仿宋" w:eastAsia="仿宋" w:cs="仿宋"/>
                <w:sz w:val="24"/>
              </w:rPr>
              <w:t xml:space="preserve">（提供相关证书扫描件及2025年8月以来供应商为上述人员缴纳的至少一个月</w:t>
            </w:r>
            <w:r>
              <w:rPr>
                <w:rFonts w:hint="eastAsia" w:ascii="仿宋" w:hAnsi="仿宋" w:eastAsia="仿宋" w:cs="仿宋"/>
                <w:sz w:val="24"/>
              </w:rPr>
              <w:t xml:space="preserve">社保证明</w:t>
            </w:r>
            <w:r>
              <w:rPr>
                <w:rFonts w:hint="eastAsia" w:ascii="仿宋" w:hAnsi="仿宋" w:eastAsia="仿宋" w:cs="仿宋"/>
                <w:sz w:val="24"/>
              </w:rPr>
              <w:t xml:space="preserve">并加盖供应商单位电子公章，一人多证不重复得分，未提供或提供不全不得分。）</w:t>
            </w:r>
            <w:r/>
          </w:p>
        </w:tc>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1</w:t>
            </w:r>
            <w:r>
              <w:rPr>
                <w:rFonts w:ascii="仿宋" w:hAnsi="仿宋" w:eastAsia="仿宋" w:cs="仿宋"/>
                <w:b/>
                <w:bCs/>
                <w:color w:val="000000" w:themeColor="text1"/>
                <w:sz w:val="24"/>
              </w:rPr>
              <w:t xml:space="preserve">4</w:t>
            </w:r>
            <w:r/>
          </w:p>
        </w:tc>
      </w:tr>
      <w:tr>
        <w:trPr>
          <w:jc w:val="center"/>
          <w:trHeight w:val="132"/>
        </w:trPr>
        <w:tc>
          <w:tcPr>
            <w:tcBorders>
              <w:left w:val="single" w:color="auto" w:sz="4" w:space="0"/>
              <w:bottom w:val="single" w:color="auto" w:sz="4" w:space="0"/>
              <w:right w:val="single" w:color="auto" w:sz="4" w:space="0"/>
            </w:tcBorders>
            <w:tcW w:w="1271" w:type="dxa"/>
            <w:vAlign w:val="center"/>
            <w:vMerge w:val="continue"/>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bCs/>
                <w:sz w:val="24"/>
              </w:rPr>
              <w:t xml:space="preserve">履约能力</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val="false"/>
          </w:tcPr>
          <w:p>
            <w:pPr>
              <w:spacing w:line="360" w:lineRule="auto"/>
              <w:widowControl/>
              <w:rPr>
                <w:rFonts w:hint="eastAsia" w:ascii="仿宋" w:hAnsi="仿宋" w:eastAsia="仿宋" w:cs="仿宋"/>
                <w:sz w:val="24"/>
              </w:rPr>
            </w:pPr>
            <w:r>
              <w:rPr>
                <w:rFonts w:hint="eastAsia" w:ascii="仿宋" w:hAnsi="仿宋" w:eastAsia="仿宋" w:cs="仿宋"/>
                <w:sz w:val="24"/>
              </w:rPr>
              <w:t xml:space="preserve">供应商具有CCRC信息安全服务资质-安全集成认证证书的得2分；</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供应商具有CCRC信息安全服务资质-</w:t>
            </w:r>
            <w:r>
              <w:rPr>
                <w:rFonts w:hint="eastAsia" w:ascii="仿宋" w:hAnsi="仿宋" w:eastAsia="仿宋" w:cs="仿宋"/>
                <w:sz w:val="24"/>
              </w:rPr>
              <w:t xml:space="preserve">安全运</w:t>
            </w:r>
            <w:r>
              <w:rPr>
                <w:rFonts w:hint="eastAsia" w:ascii="仿宋" w:hAnsi="仿宋" w:eastAsia="仿宋" w:cs="仿宋"/>
                <w:sz w:val="24"/>
              </w:rPr>
              <w:t xml:space="preserve">维认证证书的得2分；</w:t>
            </w:r>
            <w:r/>
          </w:p>
          <w:p>
            <w:pPr>
              <w:jc w:val="left"/>
              <w:spacing w:line="360" w:lineRule="auto"/>
              <w:rPr>
                <w:rFonts w:hint="eastAsia" w:ascii="仿宋" w:hAnsi="仿宋" w:eastAsia="仿宋" w:cs="仿宋"/>
                <w:color w:val="000000" w:themeColor="text1"/>
                <w:sz w:val="24"/>
              </w:rPr>
            </w:pPr>
            <w:r>
              <w:rPr>
                <w:rFonts w:hint="eastAsia" w:ascii="仿宋" w:hAnsi="仿宋" w:eastAsia="仿宋" w:cs="仿宋"/>
                <w:sz w:val="24"/>
              </w:rPr>
              <w:t xml:space="preserve">（提供有效证书</w:t>
            </w:r>
            <w:r>
              <w:rPr>
                <w:rFonts w:hint="eastAsia" w:ascii="仿宋" w:hAnsi="仿宋" w:eastAsia="仿宋" w:cs="仿宋"/>
                <w:sz w:val="24"/>
              </w:rPr>
              <w:t xml:space="preserve">扫描件并加盖</w:t>
            </w:r>
            <w:r>
              <w:rPr>
                <w:rFonts w:hint="eastAsia" w:ascii="仿宋" w:hAnsi="仿宋" w:eastAsia="仿宋" w:cs="仿宋"/>
                <w:sz w:val="24"/>
              </w:rPr>
              <w:t xml:space="preserve">供应商单位电子公章，未提供不得分。）</w:t>
            </w:r>
            <w:r/>
          </w:p>
        </w:tc>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4</w:t>
            </w:r>
            <w:r/>
          </w:p>
        </w:tc>
      </w:tr>
      <w:tr>
        <w:trPr>
          <w:jc w:val="center"/>
          <w:trHeight w:val="1253"/>
        </w:trPr>
        <w:tc>
          <w:tcPr>
            <w:tcBorders>
              <w:top w:val="single" w:color="auto" w:sz="4" w:space="0"/>
              <w:left w:val="single" w:color="auto" w:sz="4" w:space="0"/>
              <w:right w:val="single" w:color="auto" w:sz="4" w:space="0"/>
            </w:tcBorders>
            <w:tcW w:w="1271" w:type="dxa"/>
            <w:vAlign w:val="center"/>
            <w:vMerge w:val="restart"/>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bCs/>
                <w:color w:val="000000" w:themeColor="text1"/>
                <w:sz w:val="24"/>
              </w:rPr>
              <w:t xml:space="preserve">技术部分（48分）</w:t>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sz w:val="24"/>
              </w:rPr>
              <w:t xml:space="preserve">总体服务方案</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val="false"/>
          </w:tcPr>
          <w:p>
            <w:pPr>
              <w:jc w:val="left"/>
              <w:spacing w:line="360" w:lineRule="auto"/>
              <w:rPr>
                <w:rFonts w:hint="eastAsia" w:ascii="仿宋" w:hAnsi="仿宋" w:eastAsia="仿宋" w:cs="仿宋"/>
                <w:color w:val="000000" w:themeColor="text1"/>
                <w:sz w:val="24"/>
              </w:rPr>
            </w:pPr>
            <w:r>
              <w:rPr>
                <w:rFonts w:hint="eastAsia" w:ascii="仿宋" w:hAnsi="仿宋" w:eastAsia="仿宋" w:cs="仿宋"/>
                <w:sz w:val="24"/>
              </w:rPr>
              <w:t xml:space="preserve">评委根据供应商对本项目总体服务方案（包括但不限于运维内容、运维情况、服务承诺，工作</w:t>
            </w:r>
            <w:r>
              <w:rPr>
                <w:rFonts w:hint="eastAsia" w:ascii="仿宋" w:hAnsi="仿宋" w:eastAsia="仿宋" w:cs="仿宋"/>
                <w:sz w:val="24"/>
              </w:rPr>
              <w:t xml:space="preserve">维护样表及</w:t>
            </w:r>
            <w:r>
              <w:rPr>
                <w:rFonts w:hint="eastAsia" w:ascii="仿宋" w:hAnsi="仿宋" w:eastAsia="仿宋" w:cs="仿宋"/>
                <w:sz w:val="24"/>
              </w:rPr>
              <w:t xml:space="preserve">规章制度、响应时间、上门服务时间、备品更换情况等情况）进行评分：方案内容完整详尽、可行性强，全面的得</w:t>
            </w:r>
            <w:r>
              <w:rPr>
                <w:rFonts w:ascii="仿宋" w:hAnsi="仿宋" w:eastAsia="仿宋" w:cs="仿宋"/>
                <w:sz w:val="24"/>
              </w:rPr>
              <w:t xml:space="preserve">8分；方案内容比较完整、可行性较高的得5分；对本项目的采购需求和服务内容理解阐述简单，对本项目的重点、难点及应对措施等无实质性内容的得2分；未提供</w:t>
            </w:r>
            <w:r>
              <w:rPr>
                <w:rFonts w:hint="eastAsia" w:ascii="仿宋" w:hAnsi="仿宋" w:eastAsia="仿宋" w:cs="仿宋"/>
                <w:sz w:val="24"/>
              </w:rPr>
              <w:t xml:space="preserve">方案</w:t>
            </w:r>
            <w:r>
              <w:rPr>
                <w:rFonts w:ascii="仿宋" w:hAnsi="仿宋" w:eastAsia="仿宋" w:cs="仿宋"/>
                <w:sz w:val="24"/>
              </w:rPr>
              <w:t xml:space="preserve">不得分。</w:t>
            </w:r>
            <w:r/>
          </w:p>
        </w:tc>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宋体"/>
                <w:sz w:val="24"/>
              </w:rPr>
              <w:t xml:space="preserve">8</w:t>
            </w:r>
            <w:r/>
          </w:p>
        </w:tc>
      </w:tr>
      <w:tr>
        <w:trPr>
          <w:jc w:val="center"/>
          <w:trHeight w:val="303"/>
        </w:trPr>
        <w:tc>
          <w:tcPr>
            <w:tcBorders>
              <w:left w:val="single" w:color="auto" w:sz="4" w:space="0"/>
              <w:right w:val="single" w:color="auto" w:sz="4" w:space="0"/>
            </w:tcBorders>
            <w:tcW w:w="1271" w:type="dxa"/>
            <w:vAlign w:val="center"/>
            <w:vMerge w:val="continue"/>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cs="仿宋"/>
                <w:b/>
                <w:bCs/>
                <w:sz w:val="24"/>
              </w:rPr>
              <w:t xml:space="preserve">需求分析报告</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val="false"/>
          </w:tcPr>
          <w:p>
            <w:pPr>
              <w:jc w:val="left"/>
              <w:spacing w:line="360" w:lineRule="auto"/>
              <w:rPr>
                <w:rFonts w:hint="eastAsia" w:ascii="仿宋" w:hAnsi="仿宋" w:eastAsia="仿宋" w:cs="仿宋"/>
                <w:color w:val="000000" w:themeColor="text1"/>
                <w:sz w:val="24"/>
              </w:rPr>
            </w:pPr>
            <w:r>
              <w:rPr>
                <w:rFonts w:hint="eastAsia" w:ascii="仿宋" w:hAnsi="仿宋" w:eastAsia="仿宋" w:cs="仿宋"/>
                <w:sz w:val="24"/>
              </w:rPr>
              <w:t xml:space="preserve">评委根据供应商提供的需求分析报告（结合园区基础信息、企业信息、运营平台功能、现有信息化建设等情况，对项目实施过程中的重难点进行分析及并提出相应的提升方案（包括但不仅限于软硬件故障解决、服务能力提升、优秀案例经验、专项行动等内容））进行评分：需求分析报告对采购人现状及业务、技术需求有充分认识和理解，分析科学深入，对运维服务重点、难点具有明确合理的应对措施方案，具有针对性，可操作性强得</w:t>
            </w:r>
            <w:r>
              <w:rPr>
                <w:rFonts w:ascii="仿宋" w:hAnsi="仿宋" w:eastAsia="仿宋" w:cs="仿宋"/>
                <w:sz w:val="24"/>
              </w:rPr>
              <w:t xml:space="preserve">8分；需求分析报告对采购人现状及业务、技术需求认识和理解较充分，分析较科学深入得</w:t>
            </w:r>
            <w:r>
              <w:rPr>
                <w:rFonts w:ascii="仿宋" w:hAnsi="仿宋" w:eastAsia="仿宋" w:cs="仿宋"/>
                <w:sz w:val="24"/>
              </w:rPr>
              <w:t xml:space="preserve">得</w:t>
            </w:r>
            <w:r>
              <w:rPr>
                <w:rFonts w:ascii="仿宋" w:hAnsi="仿宋" w:eastAsia="仿宋" w:cs="仿宋"/>
                <w:sz w:val="24"/>
              </w:rPr>
              <w:t xml:space="preserve">5分；需求分析报告对采购人现状及业务、技术需求</w:t>
            </w:r>
            <w:r>
              <w:rPr>
                <w:rFonts w:hint="eastAsia" w:ascii="仿宋" w:hAnsi="仿宋" w:eastAsia="仿宋" w:cs="仿宋"/>
                <w:sz w:val="24"/>
              </w:rPr>
              <w:t xml:space="preserve">有基本的认识，对运维服务重点、难点有基本合理的应对措施，提升价值差的得</w:t>
            </w:r>
            <w:r>
              <w:rPr>
                <w:rFonts w:ascii="仿宋" w:hAnsi="仿宋" w:eastAsia="仿宋" w:cs="仿宋"/>
                <w:sz w:val="24"/>
              </w:rPr>
              <w:t xml:space="preserve">2分；未提供</w:t>
            </w:r>
            <w:r>
              <w:rPr>
                <w:rFonts w:hint="eastAsia" w:ascii="仿宋" w:hAnsi="仿宋" w:eastAsia="仿宋" w:cs="仿宋"/>
                <w:sz w:val="24"/>
              </w:rPr>
              <w:t xml:space="preserve">方案</w:t>
            </w:r>
            <w:r>
              <w:rPr>
                <w:rFonts w:ascii="仿宋" w:hAnsi="仿宋" w:eastAsia="仿宋" w:cs="仿宋"/>
                <w:sz w:val="24"/>
              </w:rPr>
              <w:t xml:space="preserve">不得分。</w:t>
            </w:r>
            <w:r/>
          </w:p>
        </w:tc>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宋体"/>
                <w:sz w:val="24"/>
              </w:rPr>
              <w:t xml:space="preserve">8</w:t>
            </w:r>
            <w:r/>
          </w:p>
        </w:tc>
      </w:tr>
      <w:tr>
        <w:trPr>
          <w:jc w:val="center"/>
          <w:trHeight w:val="557"/>
        </w:trPr>
        <w:tc>
          <w:tcPr>
            <w:tcBorders>
              <w:left w:val="single" w:color="auto" w:sz="4" w:space="0"/>
              <w:right w:val="single" w:color="auto" w:sz="4" w:space="0"/>
            </w:tcBorders>
            <w:tcW w:w="1271" w:type="dxa"/>
            <w:vAlign w:val="center"/>
            <w:vMerge w:val="continue"/>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cs="仿宋"/>
                <w:b/>
                <w:bCs/>
                <w:sz w:val="24"/>
              </w:rPr>
              <w:t xml:space="preserve">运维服务方案</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val="false"/>
          </w:tcPr>
          <w:p>
            <w:pPr>
              <w:jc w:val="left"/>
              <w:spacing w:line="360" w:lineRule="auto"/>
              <w:rPr>
                <w:rFonts w:hint="eastAsia" w:ascii="仿宋" w:hAnsi="仿宋" w:eastAsia="仿宋" w:cs="仿宋"/>
                <w:color w:val="000000" w:themeColor="text1"/>
                <w:sz w:val="24"/>
              </w:rPr>
            </w:pPr>
            <w:r>
              <w:rPr>
                <w:rFonts w:hint="eastAsia" w:ascii="仿宋" w:hAnsi="仿宋" w:eastAsia="仿宋" w:cs="仿宋"/>
                <w:sz w:val="24"/>
              </w:rPr>
              <w:t xml:space="preserve">评委根据供应商提供的本项目运维服务方案（包括但不限于应用组件更新优化及漏洞修补、数据库及数据仓库系统定期维护、维保服务流程）进行评分：方案思路清晰、描述详细、贴合实际要求，优于采购需求的得</w:t>
            </w:r>
            <w:r>
              <w:rPr>
                <w:rFonts w:ascii="仿宋" w:hAnsi="仿宋" w:eastAsia="仿宋" w:cs="仿宋"/>
                <w:sz w:val="24"/>
              </w:rPr>
              <w:t xml:space="preserve">8分；方案思路较完整、内容</w:t>
            </w:r>
            <w:r>
              <w:rPr>
                <w:rFonts w:ascii="仿宋" w:hAnsi="仿宋" w:eastAsia="仿宋" w:cs="仿宋"/>
                <w:sz w:val="24"/>
              </w:rPr>
              <w:t xml:space="preserve">基本详实，能够满足采购需求的得5分；方案内容不完善、操作性不强，不够符合项目需求的得2分，未提供</w:t>
            </w:r>
            <w:r>
              <w:rPr>
                <w:rFonts w:hint="eastAsia" w:ascii="仿宋" w:hAnsi="仿宋" w:eastAsia="仿宋" w:cs="仿宋"/>
                <w:sz w:val="24"/>
              </w:rPr>
              <w:t xml:space="preserve">方案</w:t>
            </w:r>
            <w:r>
              <w:rPr>
                <w:rFonts w:ascii="仿宋" w:hAnsi="仿宋" w:eastAsia="仿宋" w:cs="仿宋"/>
                <w:sz w:val="24"/>
              </w:rPr>
              <w:t xml:space="preserve">不得分。</w:t>
            </w:r>
            <w:r/>
          </w:p>
        </w:tc>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宋体"/>
                <w:sz w:val="24"/>
              </w:rPr>
              <w:t xml:space="preserve">8</w:t>
            </w:r>
            <w:r/>
          </w:p>
        </w:tc>
      </w:tr>
      <w:tr>
        <w:trPr>
          <w:jc w:val="center"/>
          <w:trHeight w:val="557"/>
        </w:trPr>
        <w:tc>
          <w:tcPr>
            <w:tcBorders>
              <w:left w:val="single" w:color="auto" w:sz="4" w:space="0"/>
              <w:right w:val="single" w:color="auto" w:sz="4" w:space="0"/>
            </w:tcBorders>
            <w:tcW w:w="1271" w:type="dxa"/>
            <w:vAlign w:val="center"/>
            <w:vMerge w:val="continue"/>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cs="仿宋"/>
                <w:b/>
                <w:bCs/>
                <w:sz w:val="24"/>
              </w:rPr>
              <w:t xml:space="preserve">巡检服务方案</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val="false"/>
          </w:tcPr>
          <w:p>
            <w:pPr>
              <w:jc w:val="left"/>
              <w:spacing w:line="360" w:lineRule="auto"/>
              <w:rPr>
                <w:rFonts w:hint="eastAsia" w:ascii="仿宋" w:hAnsi="仿宋" w:eastAsia="仿宋" w:cs="仿宋"/>
                <w:color w:val="000000" w:themeColor="text1"/>
                <w:sz w:val="24"/>
              </w:rPr>
            </w:pPr>
            <w:r>
              <w:rPr>
                <w:rFonts w:hint="eastAsia" w:ascii="仿宋" w:hAnsi="仿宋" w:eastAsia="仿宋" w:cs="仿宋"/>
                <w:sz w:val="24"/>
              </w:rPr>
              <w:t xml:space="preserve">评委根据供应商提供的本项目巡检服务方案（包括但不限于针对维保服务范围内的软硬件系统、网络设备、管理平台提供日常巡检服务流程、技术支持与故障处理流程、巡检内容）进行评分：方案内容完整详尽，流程规范，巡检内容全面、方案针对性、可行性强的得</w:t>
            </w:r>
            <w:r>
              <w:rPr>
                <w:rFonts w:ascii="仿宋" w:hAnsi="仿宋" w:eastAsia="仿宋" w:cs="仿宋"/>
                <w:sz w:val="24"/>
              </w:rPr>
              <w:t xml:space="preserve">8分；方案内容较完整、流程较规范，巡检内容较全面，方案针对性、可行性较强的得5分；方案内容不完善、操作性不强，不够符合项目需求的得2分；</w:t>
            </w:r>
            <w:bookmarkStart w:id="57" w:name="OLE_LINK3"/>
            <w:r>
              <w:rPr>
                <w:rFonts w:ascii="仿宋" w:hAnsi="仿宋" w:eastAsia="仿宋" w:cs="仿宋"/>
                <w:sz w:val="24"/>
              </w:rPr>
              <w:t xml:space="preserve">未提供</w:t>
            </w:r>
            <w:r>
              <w:rPr>
                <w:rFonts w:hint="eastAsia" w:ascii="仿宋" w:hAnsi="仿宋" w:eastAsia="仿宋" w:cs="仿宋"/>
                <w:sz w:val="24"/>
              </w:rPr>
              <w:t xml:space="preserve">方案</w:t>
            </w:r>
            <w:r>
              <w:rPr>
                <w:rFonts w:ascii="仿宋" w:hAnsi="仿宋" w:eastAsia="仿宋" w:cs="仿宋"/>
                <w:sz w:val="24"/>
              </w:rPr>
              <w:t xml:space="preserve">不得分</w:t>
            </w:r>
            <w:bookmarkEnd w:id="57"/>
            <w:r>
              <w:rPr>
                <w:rFonts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宋体"/>
                <w:sz w:val="24"/>
              </w:rPr>
              <w:t xml:space="preserve">8</w:t>
            </w:r>
            <w:r/>
          </w:p>
        </w:tc>
      </w:tr>
      <w:tr>
        <w:trPr>
          <w:jc w:val="center"/>
          <w:trHeight w:val="557"/>
        </w:trPr>
        <w:tc>
          <w:tcPr>
            <w:tcBorders>
              <w:left w:val="single" w:color="auto" w:sz="4" w:space="0"/>
              <w:right w:val="single" w:color="auto" w:sz="4" w:space="0"/>
            </w:tcBorders>
            <w:tcW w:w="1271" w:type="dxa"/>
            <w:vAlign w:val="center"/>
            <w:vMerge w:val="continue"/>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cs="仿宋"/>
                <w:b/>
                <w:bCs/>
                <w:sz w:val="24"/>
              </w:rPr>
              <w:t xml:space="preserve">应急预案</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val="false"/>
          </w:tcPr>
          <w:p>
            <w:pPr>
              <w:jc w:val="left"/>
              <w:spacing w:line="360" w:lineRule="auto"/>
              <w:rPr>
                <w:rFonts w:hint="eastAsia" w:ascii="仿宋" w:hAnsi="仿宋" w:eastAsia="仿宋" w:cs="仿宋"/>
                <w:color w:val="000000" w:themeColor="text1"/>
                <w:sz w:val="24"/>
              </w:rPr>
            </w:pPr>
            <w:r/>
            <w:bookmarkStart w:id="58" w:name="OLE_LINK13"/>
            <w:r>
              <w:rPr>
                <w:rFonts w:hint="eastAsia" w:ascii="仿宋" w:hAnsi="仿宋" w:eastAsia="仿宋" w:cs="仿宋"/>
                <w:sz w:val="24"/>
              </w:rPr>
              <w:t xml:space="preserve">评委根据供应商提供的本项目应急预案，包括售后维保体系、售后服务机构及人员安排，售后服务内容、服务响应时间、服务质量保证、保修方案、（包括但不限于软件系统故障、硬件系统故障、网络故障、网络安全事件、不同等级故障（包括一般事件、较大事件、重大事件、特大事件等内容）进行评分：应急预案细化全面，应急措施科学合理，服务响应及时高效，应急保障人力及物资安排合理突发情况的得8分；方案内容完整程度较高，应急措施恰当，服务</w:t>
            </w:r>
            <w:r>
              <w:rPr>
                <w:rFonts w:hint="eastAsia" w:ascii="仿宋" w:hAnsi="仿宋" w:eastAsia="仿宋" w:cs="仿宋"/>
                <w:sz w:val="24"/>
              </w:rPr>
              <w:t xml:space="preserve">响应较</w:t>
            </w:r>
            <w:r>
              <w:rPr>
                <w:rFonts w:hint="eastAsia" w:ascii="仿宋" w:hAnsi="仿宋" w:eastAsia="仿宋" w:cs="仿宋"/>
                <w:sz w:val="24"/>
              </w:rPr>
              <w:t xml:space="preserve">及时，具有基本的应急保障人力及物资安排的得5分；应急措施混乱，服务响应时间滞后，未考虑人力及物资安排或安排不合理的得2分；</w:t>
            </w:r>
            <w:r>
              <w:rPr>
                <w:rFonts w:ascii="仿宋" w:hAnsi="仿宋" w:eastAsia="仿宋" w:cs="仿宋"/>
                <w:sz w:val="24"/>
              </w:rPr>
              <w:t xml:space="preserve">未提供</w:t>
            </w:r>
            <w:r>
              <w:rPr>
                <w:rFonts w:hint="eastAsia" w:ascii="仿宋" w:hAnsi="仿宋" w:eastAsia="仿宋" w:cs="仿宋"/>
                <w:sz w:val="24"/>
              </w:rPr>
              <w:t xml:space="preserve">方案</w:t>
            </w:r>
            <w:r>
              <w:rPr>
                <w:rFonts w:ascii="仿宋" w:hAnsi="仿宋" w:eastAsia="仿宋" w:cs="仿宋"/>
                <w:sz w:val="24"/>
              </w:rPr>
              <w:t xml:space="preserve">不得分</w:t>
            </w:r>
            <w:r>
              <w:rPr>
                <w:rFonts w:hint="eastAsia" w:ascii="仿宋" w:hAnsi="仿宋" w:eastAsia="仿宋" w:cs="仿宋"/>
                <w:sz w:val="24"/>
              </w:rPr>
              <w:t xml:space="preserve">。</w:t>
            </w:r>
            <w:bookmarkEnd w:id="58"/>
            <w:r/>
            <w:r/>
          </w:p>
        </w:tc>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宋体"/>
                <w:sz w:val="24"/>
              </w:rPr>
              <w:t xml:space="preserve">8</w:t>
            </w:r>
            <w:r/>
          </w:p>
        </w:tc>
      </w:tr>
      <w:tr>
        <w:trPr>
          <w:jc w:val="center"/>
          <w:trHeight w:val="558"/>
        </w:trPr>
        <w:tc>
          <w:tcPr>
            <w:tcBorders>
              <w:left w:val="single" w:color="auto" w:sz="4" w:space="0"/>
              <w:bottom w:val="single" w:color="auto" w:sz="4" w:space="0"/>
              <w:right w:val="single" w:color="auto" w:sz="4" w:space="0"/>
            </w:tcBorders>
            <w:tcW w:w="1271" w:type="dxa"/>
            <w:vAlign w:val="center"/>
            <w:vMerge w:val="continue"/>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cs="仿宋"/>
                <w:b/>
                <w:bCs/>
                <w:sz w:val="24"/>
              </w:rPr>
              <w:t xml:space="preserve">人员管理制度</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val="false"/>
          </w:tcPr>
          <w:p>
            <w:pPr>
              <w:jc w:val="left"/>
              <w:spacing w:line="360" w:lineRule="auto"/>
              <w:rPr>
                <w:rFonts w:hint="eastAsia" w:ascii="仿宋" w:hAnsi="仿宋" w:eastAsia="仿宋" w:cs="仿宋"/>
                <w:color w:val="000000" w:themeColor="text1"/>
                <w:sz w:val="24"/>
              </w:rPr>
            </w:pPr>
            <w:r>
              <w:rPr>
                <w:rFonts w:hint="eastAsia" w:ascii="仿宋" w:hAnsi="仿宋" w:eastAsia="仿宋" w:cs="仿宋"/>
                <w:sz w:val="24"/>
              </w:rPr>
              <w:t xml:space="preserve">评委根据供应商提供的维保人员管理制度的合理性、完整性、可操作性等打分。方案中管理制度细化全面，措施科学合理，奖罚分明，可操作性强的得8分；管理制度基本全面，措施、</w:t>
            </w:r>
            <w:r>
              <w:rPr>
                <w:rFonts w:hint="eastAsia" w:ascii="仿宋" w:hAnsi="仿宋" w:eastAsia="仿宋" w:cs="仿宋"/>
                <w:sz w:val="24"/>
              </w:rPr>
              <w:t xml:space="preserve">奖罚较</w:t>
            </w:r>
            <w:r>
              <w:rPr>
                <w:rFonts w:hint="eastAsia" w:ascii="仿宋" w:hAnsi="仿宋" w:eastAsia="仿宋" w:cs="仿宋"/>
                <w:sz w:val="24"/>
              </w:rPr>
              <w:t xml:space="preserve">合理，可操作性较强的得5分；管理制度有漏洞或内容较空洞，措施奖罚针对性较差，整体可操作性较低的得2分；</w:t>
            </w:r>
            <w:r>
              <w:rPr>
                <w:rFonts w:ascii="仿宋" w:hAnsi="仿宋" w:eastAsia="仿宋" w:cs="仿宋"/>
                <w:sz w:val="24"/>
              </w:rPr>
              <w:t xml:space="preserve">未提供</w:t>
            </w:r>
            <w:r>
              <w:rPr>
                <w:rFonts w:hint="eastAsia" w:ascii="仿宋" w:hAnsi="仿宋" w:eastAsia="仿宋" w:cs="仿宋"/>
                <w:sz w:val="24"/>
              </w:rPr>
              <w:t xml:space="preserve">方案</w:t>
            </w:r>
            <w:r>
              <w:rPr>
                <w:rFonts w:ascii="仿宋" w:hAnsi="仿宋" w:eastAsia="仿宋" w:cs="仿宋"/>
                <w:sz w:val="24"/>
              </w:rPr>
              <w:t xml:space="preserve">不得分</w:t>
            </w: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宋体"/>
                <w:sz w:val="24"/>
              </w:rPr>
              <w:t xml:space="preserve">8</w:t>
            </w:r>
            <w:r/>
          </w:p>
        </w:tc>
      </w:tr>
      <w:tr>
        <w:trPr>
          <w:jc w:val="center"/>
          <w:trHeight w:val="64"/>
        </w:trPr>
        <w:tc>
          <w:tcPr>
            <w:gridSpan w:val="3"/>
            <w:tcBorders>
              <w:top w:val="single" w:color="auto" w:sz="4" w:space="0"/>
              <w:left w:val="single" w:color="auto" w:sz="4" w:space="0"/>
              <w:bottom w:val="single" w:color="auto" w:sz="4" w:space="0"/>
              <w:right w:val="single" w:color="auto" w:sz="4" w:space="0"/>
            </w:tcBorders>
            <w:tcW w:w="9190" w:type="dxa"/>
            <w:vAlign w:val="center"/>
            <w:textDirection w:val="lrTb"/>
            <w:noWrap w:val="false"/>
          </w:tcPr>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合计</w:t>
            </w:r>
            <w:r/>
          </w:p>
        </w:tc>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spacing w:line="360" w:lineRule="auto"/>
              <w:widowControl/>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100</w:t>
            </w:r>
            <w:r/>
          </w:p>
        </w:tc>
      </w:tr>
    </w:tbl>
    <w:p>
      <w:pPr>
        <w:ind w:firstLine="482"/>
        <w:spacing w:line="360" w:lineRule="auto"/>
        <w:widowControl/>
        <w:rPr>
          <w:rFonts w:hint="eastAsia" w:ascii="仿宋" w:hAnsi="仿宋" w:eastAsia="仿宋"/>
          <w:b/>
          <w:color w:val="000000" w:themeColor="text1"/>
          <w:sz w:val="24"/>
        </w:rPr>
      </w:pPr>
      <w:r>
        <w:rPr>
          <w:rFonts w:hint="eastAsia" w:ascii="仿宋" w:hAnsi="仿宋" w:eastAsia="仿宋"/>
          <w:b/>
          <w:color w:val="000000" w:themeColor="text1"/>
          <w:sz w:val="24"/>
        </w:rPr>
      </w:r>
      <w:r/>
    </w:p>
    <w:p>
      <w:pPr>
        <w:ind w:firstLine="60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说明：</w:t>
      </w:r>
      <w:bookmarkStart w:id="59" w:name="_Toc12893449"/>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1.小</w:t>
      </w:r>
      <w:r>
        <w:rPr>
          <w:rFonts w:hint="eastAsia" w:ascii="仿宋" w:hAnsi="仿宋" w:eastAsia="仿宋"/>
          <w:color w:val="000000" w:themeColor="text1"/>
          <w:sz w:val="24"/>
        </w:rPr>
        <w:t xml:space="preserve">微企业</w:t>
      </w:r>
      <w:r>
        <w:rPr>
          <w:rFonts w:hint="eastAsia" w:ascii="仿宋" w:hAnsi="仿宋" w:eastAsia="仿宋"/>
          <w:color w:val="000000" w:themeColor="text1"/>
          <w:sz w:val="24"/>
        </w:rPr>
        <w:t xml:space="preserve">价格扣除</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1.1对小</w:t>
      </w:r>
      <w:r>
        <w:rPr>
          <w:rFonts w:hint="eastAsia" w:ascii="仿宋" w:hAnsi="仿宋" w:eastAsia="仿宋"/>
          <w:color w:val="000000" w:themeColor="text1"/>
          <w:sz w:val="24"/>
        </w:rPr>
        <w:t xml:space="preserve">微企业</w:t>
      </w:r>
      <w:r>
        <w:rPr>
          <w:rFonts w:hint="eastAsia" w:ascii="仿宋" w:hAnsi="仿宋" w:eastAsia="仿宋"/>
          <w:color w:val="000000" w:themeColor="text1"/>
          <w:sz w:val="24"/>
        </w:rPr>
        <w:t xml:space="preserve">生产的产品给予报价的10%价格扣除，用扣除后的价格参与评审。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1.2大中型企业和其他自然人、法人或者其他组织与小型、微型企业组成联合体共同参加招标，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（1）供应商为小企业，且符合中小企业划分标准；</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（2）提供本企业制造的货物、承担的工程或者服务，或者提供其他小企业制造的货物。如果提供的货物为大中型企业注册商标的货物，视同大中型企业。</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2.监狱和戒毒企业的价格扣除</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2.1 本项目对监狱和戒毒企业，给予 10%的价格扣除，用扣除后的价格参与评审。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2.2 监狱企业需提供由省级以上监狱管理局、戒毒管理局（含新疆生产建设兵团）出具的属于监狱企业的证明文件。</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2.3 监狱企业标准请参照《关于政府采购支持监狱企业发展有关问题的通知》（财库〔2014〕68 号）。</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3.残疾人福利性单位的价格扣除</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3.1 本项目对残疾人福利性单位，给予 10%的价格扣除，用扣除后的价格参与评审。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3.2 残疾人福利性单位需提供《残疾人福利性单位声明函》。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3.3 残疾人福利性单位标准请参照《关于促进残疾人就业政府采购政策的通知》（财库〔2017〕141 号）。</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4.监狱企业、残疾人福利性单位属于小型、微型企业的，不重复享受政策。</w:t>
      </w:r>
      <w:r/>
    </w:p>
    <w:p>
      <w:pPr>
        <w:ind w:firstLine="48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5.评分标准中提到的认证、业绩均以有效的证明文件的扫描件（加盖电子公章）为依据。</w:t>
      </w:r>
      <w:r/>
    </w:p>
    <w:p>
      <w:pPr>
        <w:ind w:firstLine="480"/>
        <w:spacing w:line="360" w:lineRule="auto"/>
        <w:rPr>
          <w:rFonts w:hint="eastAsia" w:ascii="仿宋" w:hAnsi="仿宋" w:eastAsia="仿宋"/>
          <w:color w:val="000000" w:themeColor="text1"/>
          <w:sz w:val="24"/>
        </w:rPr>
        <w:sectPr>
          <w:headerReference w:type="default" r:id="rId8"/>
          <w:headerReference w:type="even" r:id="rId9"/>
          <w:headerReference w:type="first" r:id="rId10"/>
          <w:footerReference w:type="default" r:id="rId12"/>
          <w:footerReference w:type="even" r:id="rId13"/>
          <w:footerReference w:type="first" r:id="rId14"/>
          <w:footnotePr/>
          <w:endnotePr/>
          <w:type w:val="nextPage"/>
          <w:pgSz w:w="11906" w:h="16838" w:orient="portrait"/>
          <w:pgMar w:top="1440" w:right="1800" w:bottom="1440" w:left="1800" w:header="851" w:footer="567" w:gutter="0"/>
          <w:cols w:num="1" w:sep="0" w:space="720" w:equalWidth="1"/>
          <w:docGrid w:linePitch="360"/>
          <w:titlePg/>
        </w:sectPr>
      </w:pPr>
      <w:r>
        <w:rPr>
          <w:rFonts w:hint="eastAsia" w:ascii="仿宋" w:hAnsi="仿宋" w:eastAsia="仿宋"/>
          <w:color w:val="000000" w:themeColor="text1"/>
          <w:sz w:val="24"/>
        </w:rPr>
        <w:t xml:space="preserve">6.供应商必须提供真实信息，如有提供虚假信息、证明、合同或证书等虚假</w:t>
      </w:r>
      <w:r>
        <w:rPr>
          <w:rFonts w:hint="eastAsia" w:ascii="仿宋" w:hAnsi="仿宋" w:eastAsia="仿宋"/>
          <w:color w:val="000000" w:themeColor="text1"/>
          <w:sz w:val="24"/>
        </w:rPr>
        <w:t xml:space="preserve">资料的，按照无效投标处理，如已签署合同的，则中止合同并承担相应法律责任。</w:t>
      </w:r>
      <w:r/>
    </w:p>
    <w:p>
      <w:pPr>
        <w:pStyle w:val="902"/>
        <w:jc w:val="center"/>
        <w:spacing w:line="240" w:lineRule="auto"/>
        <w:rPr>
          <w:rFonts w:hint="eastAsia" w:ascii="仿宋" w:hAnsi="仿宋" w:eastAsia="仿宋"/>
          <w:color w:val="000000" w:themeColor="text1"/>
          <w:sz w:val="32"/>
        </w:rPr>
      </w:pPr>
      <w:r/>
      <w:bookmarkStart w:id="60" w:name="_Toc205561301"/>
      <w:r>
        <w:rPr>
          <w:rFonts w:hint="eastAsia" w:ascii="仿宋" w:hAnsi="仿宋" w:eastAsia="仿宋"/>
          <w:color w:val="000000" w:themeColor="text1"/>
          <w:sz w:val="32"/>
        </w:rPr>
        <w:t xml:space="preserve">第四章 采购需求及服务要求</w:t>
      </w:r>
      <w:bookmarkEnd w:id="60"/>
      <w:r/>
      <w:r/>
    </w:p>
    <w:p>
      <w:pPr>
        <w:ind w:firstLine="482"/>
        <w:spacing w:line="360" w:lineRule="auto"/>
        <w:rPr>
          <w:rFonts w:hint="eastAsia" w:ascii="仿宋" w:hAnsi="仿宋" w:eastAsia="仿宋"/>
          <w:b/>
          <w:bCs/>
          <w:sz w:val="24"/>
        </w:rPr>
      </w:pPr>
      <w:r/>
      <w:bookmarkStart w:id="61" w:name="_Toc488242648"/>
      <w:r/>
      <w:bookmarkStart w:id="62" w:name="_Toc492023678"/>
      <w:r/>
      <w:bookmarkEnd w:id="59"/>
      <w:r>
        <w:rPr>
          <w:rFonts w:hint="eastAsia" w:ascii="仿宋" w:hAnsi="仿宋" w:eastAsia="仿宋"/>
          <w:b/>
          <w:bCs/>
          <w:sz w:val="24"/>
        </w:rPr>
        <w:t xml:space="preserve">一、项目</w:t>
      </w:r>
      <w:r>
        <w:rPr>
          <w:rFonts w:hint="eastAsia" w:ascii="仿宋" w:hAnsi="仿宋" w:eastAsia="仿宋" w:cs="等线"/>
          <w:b/>
          <w:sz w:val="24"/>
        </w:rPr>
        <w:t xml:space="preserve">背景与目标</w:t>
      </w:r>
      <w:r/>
    </w:p>
    <w:p>
      <w:pPr>
        <w:ind w:firstLine="480"/>
        <w:spacing w:line="360" w:lineRule="auto"/>
        <w:rPr>
          <w:rFonts w:hint="eastAsia" w:ascii="仿宋" w:hAnsi="仿宋" w:eastAsia="仿宋" w:cs="仿宋"/>
          <w:bCs/>
          <w:sz w:val="24"/>
          <w:lang w:val="zh-CN"/>
        </w:rPr>
      </w:pPr>
      <w:r>
        <w:rPr>
          <w:rFonts w:hint="eastAsia" w:ascii="仿宋" w:hAnsi="仿宋" w:eastAsia="仿宋" w:cs="仿宋"/>
          <w:bCs/>
          <w:sz w:val="24"/>
          <w:lang w:val="zh-CN"/>
        </w:rPr>
        <w:t xml:space="preserve">根据《江宁开发区水环境治理工作方案》及开发区领导要求，开发区自然资源和规划建设局制定了治水“九大”工作任务，达到消除全区劣V类水体、实现水环境</w:t>
      </w:r>
      <w:r>
        <w:rPr>
          <w:rFonts w:hint="eastAsia" w:ascii="仿宋" w:hAnsi="仿宋" w:eastAsia="仿宋" w:cs="仿宋"/>
          <w:bCs/>
          <w:sz w:val="24"/>
          <w:lang w:val="zh-CN"/>
        </w:rPr>
        <w:t xml:space="preserve">长效管</w:t>
      </w:r>
      <w:r>
        <w:rPr>
          <w:rFonts w:hint="eastAsia" w:ascii="仿宋" w:hAnsi="仿宋" w:eastAsia="仿宋" w:cs="仿宋"/>
          <w:bCs/>
          <w:sz w:val="24"/>
          <w:lang w:val="zh-CN"/>
        </w:rPr>
        <w:t xml:space="preserve">控、全面提升水务工作能效的目标。</w:t>
      </w:r>
      <w:r/>
    </w:p>
    <w:p>
      <w:pPr>
        <w:ind w:firstLine="480"/>
        <w:spacing w:line="360" w:lineRule="auto"/>
        <w:rPr>
          <w:rFonts w:hint="eastAsia" w:ascii="仿宋" w:hAnsi="仿宋" w:eastAsia="仿宋" w:cs="仿宋"/>
          <w:bCs/>
          <w:sz w:val="24"/>
          <w:lang w:val="zh-CN"/>
        </w:rPr>
      </w:pPr>
      <w:r>
        <w:rPr>
          <w:rFonts w:hint="eastAsia" w:ascii="仿宋" w:hAnsi="仿宋" w:eastAsia="仿宋" w:cs="仿宋"/>
          <w:bCs/>
          <w:sz w:val="24"/>
          <w:lang w:val="zh-CN"/>
        </w:rPr>
        <w:t xml:space="preserve">江宁开发区“智慧水务”是实现数据共享、任务协同的重点，利用智慧城市领域信息化技术，建设感知网络、传输网络、水利数据中心和协同业务应用四大模块，利用监测与感知、预警与决策、控制与调度三大核心能力，实现开发区排水管网、水环境管理、防汛决策业务的感知全天候、业务全覆盖、</w:t>
      </w:r>
      <w:r>
        <w:rPr>
          <w:rFonts w:hint="eastAsia" w:ascii="仿宋" w:hAnsi="仿宋" w:eastAsia="仿宋" w:cs="仿宋"/>
          <w:bCs/>
          <w:sz w:val="24"/>
          <w:lang w:val="zh-CN"/>
        </w:rPr>
        <w:t xml:space="preserve">管控全过程</w:t>
      </w:r>
      <w:r>
        <w:rPr>
          <w:rFonts w:hint="eastAsia" w:ascii="仿宋" w:hAnsi="仿宋" w:eastAsia="仿宋" w:cs="仿宋"/>
          <w:bCs/>
          <w:sz w:val="24"/>
          <w:lang w:val="zh-CN"/>
        </w:rPr>
        <w:t xml:space="preserve">的三大监管目标。</w:t>
      </w:r>
      <w:r/>
    </w:p>
    <w:p>
      <w:pPr>
        <w:ind w:firstLine="480"/>
        <w:spacing w:line="360" w:lineRule="auto"/>
        <w:rPr>
          <w:rFonts w:hint="eastAsia" w:ascii="仿宋" w:hAnsi="仿宋" w:eastAsia="仿宋" w:cs="仿宋"/>
          <w:bCs/>
          <w:sz w:val="24"/>
          <w:lang w:val="zh-CN"/>
        </w:rPr>
      </w:pPr>
      <w:r>
        <w:rPr>
          <w:rFonts w:hint="eastAsia" w:ascii="仿宋" w:hAnsi="仿宋" w:eastAsia="仿宋" w:cs="仿宋"/>
          <w:bCs/>
          <w:sz w:val="24"/>
          <w:lang w:val="zh-CN"/>
        </w:rPr>
        <w:t xml:space="preserve">智慧水</w:t>
      </w:r>
      <w:r>
        <w:rPr>
          <w:rFonts w:hint="eastAsia" w:ascii="仿宋" w:hAnsi="仿宋" w:eastAsia="仿宋" w:cs="仿宋"/>
          <w:bCs/>
          <w:sz w:val="24"/>
          <w:lang w:val="zh-CN"/>
        </w:rPr>
        <w:t xml:space="preserve">务</w:t>
      </w:r>
      <w:r>
        <w:rPr>
          <w:rFonts w:hint="eastAsia" w:ascii="仿宋" w:hAnsi="仿宋" w:eastAsia="仿宋" w:cs="仿宋"/>
          <w:bCs/>
          <w:sz w:val="24"/>
          <w:lang w:val="zh-CN"/>
        </w:rPr>
        <w:t xml:space="preserve">平台2021年6月上线运行，为园区水环境治理、排水设施养护、污水泵站调度和防汛防台提供了有力的支撑，为水环境监测积累科学有效的数据和决策依据，有效提升了园区涉水事务安全运行保障能力，进一步保障断面水质稳定。目前，为了保障江宁开发区智慧水</w:t>
      </w:r>
      <w:r>
        <w:rPr>
          <w:rFonts w:hint="eastAsia" w:ascii="仿宋" w:hAnsi="仿宋" w:eastAsia="仿宋" w:cs="仿宋"/>
          <w:bCs/>
          <w:sz w:val="24"/>
          <w:lang w:val="zh-CN"/>
        </w:rPr>
        <w:t xml:space="preserve">务</w:t>
      </w:r>
      <w:r>
        <w:rPr>
          <w:rFonts w:hint="eastAsia" w:ascii="仿宋" w:hAnsi="仿宋" w:eastAsia="仿宋" w:cs="仿宋"/>
          <w:bCs/>
          <w:sz w:val="24"/>
          <w:lang w:val="zh-CN"/>
        </w:rPr>
        <w:t xml:space="preserve">项目稳定运行，现对智慧水</w:t>
      </w:r>
      <w:r>
        <w:rPr>
          <w:rFonts w:hint="eastAsia" w:ascii="仿宋" w:hAnsi="仿宋" w:eastAsia="仿宋" w:cs="仿宋"/>
          <w:bCs/>
          <w:sz w:val="24"/>
          <w:lang w:val="zh-CN"/>
        </w:rPr>
        <w:t xml:space="preserve">务</w:t>
      </w:r>
      <w:r>
        <w:rPr>
          <w:rFonts w:hint="eastAsia" w:ascii="仿宋" w:hAnsi="仿宋" w:eastAsia="仿宋" w:cs="仿宋"/>
          <w:bCs/>
          <w:sz w:val="24"/>
          <w:lang w:val="zh-CN"/>
        </w:rPr>
        <w:t xml:space="preserve">平台后期运</w:t>
      </w:r>
      <w:r>
        <w:rPr>
          <w:rFonts w:hint="eastAsia" w:ascii="仿宋" w:hAnsi="仿宋" w:eastAsia="仿宋" w:cs="仿宋"/>
          <w:bCs/>
          <w:sz w:val="24"/>
          <w:lang w:val="zh-CN"/>
        </w:rPr>
        <w:t xml:space="preserve">维进行</w:t>
      </w:r>
      <w:r>
        <w:rPr>
          <w:rFonts w:hint="eastAsia" w:ascii="仿宋" w:hAnsi="仿宋" w:eastAsia="仿宋" w:cs="仿宋"/>
          <w:bCs/>
          <w:sz w:val="24"/>
          <w:lang w:val="zh-CN"/>
        </w:rPr>
        <w:t xml:space="preserve">采购。</w:t>
      </w:r>
      <w:r/>
    </w:p>
    <w:p>
      <w:pPr>
        <w:ind w:firstLine="482"/>
        <w:spacing w:line="360" w:lineRule="auto"/>
        <w:tabs>
          <w:tab w:val="left" w:pos="1010" w:leader="none"/>
        </w:tabs>
        <w:rPr>
          <w:rFonts w:hint="eastAsia" w:ascii="仿宋" w:hAnsi="仿宋" w:eastAsia="仿宋" w:cs="宋体"/>
          <w:b/>
          <w:bCs/>
          <w:sz w:val="24"/>
        </w:rPr>
      </w:pPr>
      <w:r>
        <w:rPr>
          <w:rFonts w:hint="eastAsia" w:ascii="仿宋" w:hAnsi="仿宋" w:eastAsia="仿宋" w:cs="宋体"/>
          <w:b/>
          <w:bCs/>
          <w:sz w:val="24"/>
        </w:rPr>
        <w:t xml:space="preserve">二、</w:t>
      </w:r>
      <w:r>
        <w:rPr>
          <w:rFonts w:hint="eastAsia" w:ascii="仿宋" w:hAnsi="仿宋" w:eastAsia="仿宋" w:cs="等线"/>
          <w:b/>
          <w:sz w:val="24"/>
        </w:rPr>
        <w:t xml:space="preserve">基本情况</w:t>
      </w:r>
      <w:r/>
    </w:p>
    <w:p>
      <w:pPr>
        <w:ind w:firstLine="480"/>
        <w:spacing w:line="360" w:lineRule="auto"/>
        <w:tabs>
          <w:tab w:val="left" w:pos="1010" w:leader="none"/>
        </w:tabs>
        <w:rPr>
          <w:rFonts w:hint="eastAsia" w:ascii="仿宋" w:hAnsi="仿宋" w:eastAsia="仿宋" w:cs="宋体"/>
          <w:b/>
          <w:bCs/>
          <w:sz w:val="24"/>
        </w:rPr>
      </w:pPr>
      <w:r>
        <w:rPr>
          <w:rFonts w:hint="eastAsia" w:ascii="仿宋" w:hAnsi="仿宋" w:eastAsia="仿宋" w:cs="等线"/>
          <w:sz w:val="24"/>
        </w:rPr>
        <w:t xml:space="preserve">智慧水</w:t>
      </w:r>
      <w:r>
        <w:rPr>
          <w:rFonts w:hint="eastAsia" w:ascii="仿宋" w:hAnsi="仿宋" w:eastAsia="仿宋" w:cs="等线"/>
          <w:sz w:val="24"/>
        </w:rPr>
        <w:t xml:space="preserve">务</w:t>
      </w:r>
      <w:r>
        <w:rPr>
          <w:rFonts w:hint="eastAsia" w:ascii="仿宋" w:hAnsi="仿宋" w:eastAsia="仿宋" w:cs="等线"/>
          <w:sz w:val="24"/>
        </w:rPr>
        <w:t xml:space="preserve">平台系统底数清单：江宁开发区本部雨污水管网总计约730公里，污水泵站6座，应急处理装置15套，24个水体，山塘湖坝3个，涵闸11座，雨水泵站数量35座（其中7座为空港开发区）；对开发区19条沟渠+3条湖泊+2个外河总共24个水体的排口，进行了测绘，实现了图形化监管。同时，设立17个在线水质监测站，实时监测开发区重要水体的水质，对水质异常进行预警和水质数据统计分析。</w:t>
      </w:r>
      <w:r/>
    </w:p>
    <w:p>
      <w:pPr>
        <w:ind w:firstLine="482"/>
        <w:spacing w:line="360" w:lineRule="auto"/>
        <w:rPr>
          <w:rFonts w:hint="eastAsia" w:ascii="仿宋" w:hAnsi="仿宋" w:eastAsia="仿宋"/>
          <w:b/>
          <w:bCs/>
          <w:sz w:val="24"/>
        </w:rPr>
      </w:pPr>
      <w:r>
        <w:rPr>
          <w:rFonts w:hint="eastAsia" w:ascii="仿宋" w:hAnsi="仿宋" w:eastAsia="仿宋"/>
          <w:b/>
          <w:bCs/>
          <w:sz w:val="24"/>
        </w:rPr>
        <w:t xml:space="preserve">三、</w:t>
      </w:r>
      <w:r>
        <w:rPr>
          <w:rFonts w:hint="eastAsia" w:ascii="仿宋" w:hAnsi="仿宋" w:eastAsia="仿宋" w:cs="等线"/>
          <w:b/>
          <w:sz w:val="24"/>
        </w:rPr>
        <w:t xml:space="preserve">项目概况</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为确保江宁开发区智慧水</w:t>
      </w:r>
      <w:r>
        <w:rPr>
          <w:rFonts w:hint="eastAsia" w:ascii="仿宋" w:hAnsi="仿宋" w:eastAsia="仿宋" w:cs="仿宋"/>
          <w:bCs/>
          <w:sz w:val="24"/>
        </w:rPr>
        <w:t xml:space="preserve">务</w:t>
      </w:r>
      <w:r>
        <w:rPr>
          <w:rFonts w:hint="eastAsia" w:ascii="仿宋" w:hAnsi="仿宋" w:eastAsia="仿宋" w:cs="仿宋"/>
          <w:bCs/>
          <w:sz w:val="24"/>
        </w:rPr>
        <w:t xml:space="preserve">平台正常运行，本次运</w:t>
      </w:r>
      <w:r>
        <w:rPr>
          <w:rFonts w:hint="eastAsia" w:ascii="仿宋" w:hAnsi="仿宋" w:eastAsia="仿宋" w:cs="仿宋"/>
          <w:bCs/>
          <w:sz w:val="24"/>
        </w:rPr>
        <w:t xml:space="preserve">维项目</w:t>
      </w:r>
      <w:r>
        <w:rPr>
          <w:rFonts w:hint="eastAsia" w:ascii="仿宋" w:hAnsi="仿宋" w:eastAsia="仿宋" w:cs="仿宋"/>
          <w:bCs/>
          <w:sz w:val="24"/>
        </w:rPr>
        <w:t xml:space="preserve">主要分为软件系统、硬件设备和数据管理三大部分。</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软件系统主要包含：智慧水</w:t>
      </w:r>
      <w:r>
        <w:rPr>
          <w:rFonts w:hint="eastAsia" w:ascii="仿宋" w:hAnsi="仿宋" w:eastAsia="仿宋" w:cs="仿宋"/>
          <w:bCs/>
          <w:sz w:val="24"/>
        </w:rPr>
        <w:t xml:space="preserve">务</w:t>
      </w:r>
      <w:r>
        <w:rPr>
          <w:rFonts w:hint="eastAsia" w:ascii="仿宋" w:hAnsi="仿宋" w:eastAsia="仿宋" w:cs="仿宋"/>
          <w:bCs/>
          <w:sz w:val="24"/>
        </w:rPr>
        <w:t xml:space="preserve">数据共享中心、智慧水</w:t>
      </w:r>
      <w:r>
        <w:rPr>
          <w:rFonts w:hint="eastAsia" w:ascii="仿宋" w:hAnsi="仿宋" w:eastAsia="仿宋" w:cs="仿宋"/>
          <w:bCs/>
          <w:sz w:val="24"/>
        </w:rPr>
        <w:t xml:space="preserve">务</w:t>
      </w:r>
      <w:r>
        <w:rPr>
          <w:rFonts w:hint="eastAsia" w:ascii="仿宋" w:hAnsi="仿宋" w:eastAsia="仿宋" w:cs="仿宋"/>
          <w:bCs/>
          <w:sz w:val="24"/>
        </w:rPr>
        <w:t xml:space="preserve">综合业务系统、智慧水</w:t>
      </w:r>
      <w:r>
        <w:rPr>
          <w:rFonts w:hint="eastAsia" w:ascii="仿宋" w:hAnsi="仿宋" w:eastAsia="仿宋" w:cs="仿宋"/>
          <w:bCs/>
          <w:sz w:val="24"/>
        </w:rPr>
        <w:t xml:space="preserve">务</w:t>
      </w:r>
      <w:r>
        <w:rPr>
          <w:rFonts w:hint="eastAsia" w:ascii="仿宋" w:hAnsi="仿宋" w:eastAsia="仿宋" w:cs="仿宋"/>
          <w:bCs/>
          <w:sz w:val="24"/>
        </w:rPr>
        <w:t xml:space="preserve">信息发布系统、智慧水</w:t>
      </w:r>
      <w:r>
        <w:rPr>
          <w:rFonts w:hint="eastAsia" w:ascii="仿宋" w:hAnsi="仿宋" w:eastAsia="仿宋" w:cs="仿宋"/>
          <w:bCs/>
          <w:sz w:val="24"/>
        </w:rPr>
        <w:t xml:space="preserve">务</w:t>
      </w:r>
      <w:r>
        <w:rPr>
          <w:rFonts w:hint="eastAsia" w:ascii="仿宋" w:hAnsi="仿宋" w:eastAsia="仿宋" w:cs="仿宋"/>
          <w:bCs/>
          <w:sz w:val="24"/>
        </w:rPr>
        <w:t xml:space="preserve">终端应用系统、综合应用门户系统、水环境调度模型应用和开发区</w:t>
      </w:r>
      <w:r>
        <w:rPr>
          <w:rFonts w:hint="eastAsia" w:ascii="仿宋" w:hAnsi="仿宋" w:eastAsia="仿宋" w:cs="仿宋"/>
          <w:bCs/>
          <w:sz w:val="24"/>
        </w:rPr>
        <w:t xml:space="preserve">一张图雨污水</w:t>
      </w:r>
      <w:r>
        <w:rPr>
          <w:rFonts w:hint="eastAsia" w:ascii="仿宋" w:hAnsi="仿宋" w:eastAsia="仿宋" w:cs="仿宋"/>
          <w:bCs/>
          <w:sz w:val="24"/>
        </w:rPr>
        <w:t xml:space="preserve">管网数据。</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硬件设备主要包含：感知系统设备、污水泵站集群监控、河湖水质监测、浸水告警、视频一体化监控。</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数据管理主要包含：数据资产管理基于数据敏感程度实施差异化安全措施。</w:t>
      </w:r>
      <w:r/>
    </w:p>
    <w:p>
      <w:pPr>
        <w:ind w:firstLine="482"/>
        <w:spacing w:line="360" w:lineRule="auto"/>
        <w:tabs>
          <w:tab w:val="left" w:pos="1010" w:leader="none"/>
        </w:tabs>
        <w:rPr>
          <w:rFonts w:hint="eastAsia" w:ascii="仿宋" w:hAnsi="仿宋" w:eastAsia="仿宋" w:cs="宋体"/>
          <w:sz w:val="24"/>
        </w:rPr>
      </w:pPr>
      <w:r>
        <w:rPr>
          <w:rFonts w:hint="eastAsia" w:ascii="仿宋" w:hAnsi="仿宋" w:eastAsia="仿宋" w:cs="宋体"/>
          <w:b/>
          <w:bCs/>
          <w:sz w:val="24"/>
        </w:rPr>
        <w:t xml:space="preserve">四、</w:t>
      </w:r>
      <w:r>
        <w:rPr>
          <w:rFonts w:hint="eastAsia" w:ascii="仿宋" w:hAnsi="仿宋" w:eastAsia="仿宋" w:cs="等线"/>
          <w:b/>
          <w:sz w:val="24"/>
        </w:rPr>
        <w:t xml:space="preserve">服务内容</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对智慧水</w:t>
      </w:r>
      <w:r>
        <w:rPr>
          <w:rFonts w:hint="eastAsia" w:ascii="仿宋" w:hAnsi="仿宋" w:eastAsia="仿宋" w:cs="等线"/>
          <w:bCs/>
          <w:sz w:val="24"/>
        </w:rPr>
        <w:t xml:space="preserve">务</w:t>
      </w:r>
      <w:r>
        <w:rPr>
          <w:rFonts w:hint="eastAsia" w:ascii="仿宋" w:hAnsi="仿宋" w:eastAsia="仿宋" w:cs="等线"/>
          <w:bCs/>
          <w:sz w:val="24"/>
        </w:rPr>
        <w:t xml:space="preserve">平台进行运行维护，包括平台系统日常运行维护、市政管网数据更新维护和外接设备日常维保及更换三个部分。对在线设备进行养护，包括定期巡检、临时故障维修、试剂更换和设备校准等，具体服务内容详见运</w:t>
      </w:r>
      <w:r>
        <w:rPr>
          <w:rFonts w:hint="eastAsia" w:ascii="仿宋" w:hAnsi="仿宋" w:eastAsia="仿宋" w:cs="等线"/>
          <w:bCs/>
          <w:sz w:val="24"/>
        </w:rPr>
        <w:t xml:space="preserve">维软件</w:t>
      </w:r>
      <w:r>
        <w:rPr>
          <w:rFonts w:hint="eastAsia" w:ascii="仿宋" w:hAnsi="仿宋" w:eastAsia="仿宋" w:cs="等线"/>
          <w:bCs/>
          <w:sz w:val="24"/>
        </w:rPr>
        <w:t xml:space="preserve">及硬件清单。</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（一）系统运行管理</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1、系统监控与管理：系统运行环境的监控与资源调配。</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2、故障恢复与处理：响应并排查故障，制定备份恢复策略。</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3、软件更新与升级：定期或按照要求对系统软件执行升级与补丁更新。</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4、安全保障与升级：定期或按照要求</w:t>
      </w:r>
      <w:r>
        <w:rPr>
          <w:rFonts w:hint="eastAsia" w:ascii="仿宋" w:hAnsi="仿宋" w:eastAsia="仿宋" w:cs="等线"/>
          <w:bCs/>
          <w:sz w:val="24"/>
        </w:rPr>
        <w:t xml:space="preserve">对网信部门</w:t>
      </w:r>
      <w:r>
        <w:rPr>
          <w:rFonts w:hint="eastAsia" w:ascii="仿宋" w:hAnsi="仿宋" w:eastAsia="仿宋" w:cs="等线"/>
          <w:bCs/>
          <w:sz w:val="24"/>
        </w:rPr>
        <w:t xml:space="preserve">发布的风险隐患更新，定期或按照要求检查用户身份与访问安全措施。</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5、用户支持与服务：根据建设单位要求对现场与专业技术进行支持。</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6、日志审计与记录：记录系统运行的日志信息，对重要的操作行为进行审计跟踪，确保系统操作的合</w:t>
      </w:r>
      <w:r>
        <w:rPr>
          <w:rFonts w:hint="eastAsia" w:ascii="仿宋" w:hAnsi="仿宋" w:eastAsia="仿宋" w:cs="等线"/>
          <w:bCs/>
          <w:sz w:val="24"/>
        </w:rPr>
        <w:t xml:space="preserve">规</w:t>
      </w:r>
      <w:r>
        <w:rPr>
          <w:rFonts w:hint="eastAsia" w:ascii="仿宋" w:hAnsi="仿宋" w:eastAsia="仿宋" w:cs="等线"/>
          <w:bCs/>
          <w:sz w:val="24"/>
        </w:rPr>
        <w:t xml:space="preserve">性和</w:t>
      </w:r>
      <w:r>
        <w:rPr>
          <w:rFonts w:hint="eastAsia" w:ascii="仿宋" w:hAnsi="仿宋" w:eastAsia="仿宋" w:cs="等线"/>
          <w:bCs/>
          <w:sz w:val="24"/>
        </w:rPr>
        <w:t xml:space="preserve">可</w:t>
      </w:r>
      <w:r>
        <w:rPr>
          <w:rFonts w:hint="eastAsia" w:ascii="仿宋" w:hAnsi="仿宋" w:eastAsia="仿宋" w:cs="等线"/>
          <w:bCs/>
          <w:sz w:val="24"/>
        </w:rPr>
        <w:t xml:space="preserve">追溯性。</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（二）维保服务</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1、水质检测站日常运行检查</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2、污水泵站日常运行检查</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3、管网设备日常运行检查</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4、监控设备日常运行检查</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（三）备品备件</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1、涉及水质检测站的药剂采购、更换设备、材料</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2、涉及污水泵站自动化监测与控制的控制设备、流量设备、水位设备、视频监控设备的采购、更换设备、材料</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3、涉及管网窨井监测设备的采购、更换设备、材料</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4、涉及道路河道监控设备的采购、更换设备、材料</w:t>
      </w:r>
      <w:r/>
    </w:p>
    <w:p>
      <w:pPr>
        <w:ind w:firstLine="482"/>
        <w:jc w:val="center"/>
        <w:spacing w:line="360" w:lineRule="auto"/>
        <w:rPr>
          <w:rFonts w:hint="eastAsia" w:ascii="仿宋" w:hAnsi="仿宋" w:eastAsia="仿宋" w:cs="等线"/>
          <w:b/>
          <w:sz w:val="24"/>
        </w:rPr>
      </w:pPr>
      <w:r>
        <w:rPr>
          <w:rFonts w:hint="eastAsia" w:ascii="仿宋" w:hAnsi="仿宋" w:eastAsia="仿宋" w:cs="等线"/>
          <w:b/>
          <w:sz w:val="24"/>
        </w:rPr>
        <w:t xml:space="preserve">运</w:t>
      </w:r>
      <w:r>
        <w:rPr>
          <w:rFonts w:hint="eastAsia" w:ascii="仿宋" w:hAnsi="仿宋" w:eastAsia="仿宋" w:cs="等线"/>
          <w:b/>
          <w:sz w:val="24"/>
        </w:rPr>
        <w:t xml:space="preserve">维软件</w:t>
      </w:r>
      <w:r>
        <w:rPr>
          <w:rFonts w:hint="eastAsia" w:ascii="仿宋" w:hAnsi="仿宋" w:eastAsia="仿宋" w:cs="等线"/>
          <w:b/>
          <w:sz w:val="24"/>
        </w:rPr>
        <w:t xml:space="preserve">及硬件清单</w:t>
      </w:r>
      <w:r/>
    </w:p>
    <w:tbl>
      <w:tblPr>
        <w:tblW w:w="9746" w:type="dxa"/>
        <w:jc w:val="center"/>
        <w:tblLayout w:type="fixed"/>
        <w:tblLook w:val="04A0" w:firstRow="1" w:lastRow="0" w:firstColumn="1" w:lastColumn="0" w:noHBand="0" w:noVBand="1"/>
      </w:tblPr>
      <w:tblGrid>
        <w:gridCol w:w="704"/>
        <w:gridCol w:w="2557"/>
        <w:gridCol w:w="3964"/>
        <w:gridCol w:w="708"/>
        <w:gridCol w:w="49"/>
        <w:gridCol w:w="850"/>
        <w:gridCol w:w="914"/>
      </w:tblGrid>
      <w:tr>
        <w:trPr>
          <w:jc w:val="center"/>
          <w:trHeight w:val="426"/>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建设内容</w:t>
            </w:r>
            <w:r/>
          </w:p>
        </w:tc>
        <w:tc>
          <w:tcPr>
            <w:shd w:val="clear" w:color="auto" w:fill="auto"/>
            <w:tcBorders>
              <w:top w:val="single" w:color="auto" w:sz="4" w:space="0"/>
              <w:left w:val="none" w:color="000000" w:sz="4" w:space="0"/>
              <w:bottom w:val="single" w:color="auto" w:sz="4" w:space="0"/>
              <w:right w:val="single" w:color="auto" w:sz="4" w:space="0"/>
            </w:tcBorders>
            <w:tcW w:w="3964" w:type="dxa"/>
            <w:vAlign w:val="center"/>
            <w:textDirection w:val="lrTb"/>
            <w:noWrap w:val="false"/>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主要功能/技术参数</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单位</w:t>
            </w:r>
            <w:r/>
          </w:p>
        </w:tc>
        <w:tc>
          <w:tcPr>
            <w:gridSpan w:val="2"/>
            <w:shd w:val="clear" w:color="auto" w:fill="auto"/>
            <w:tcBorders>
              <w:top w:val="single" w:color="auto" w:sz="4" w:space="0"/>
              <w:left w:val="none" w:color="000000" w:sz="4" w:space="0"/>
              <w:bottom w:val="single" w:color="auto" w:sz="4" w:space="0"/>
              <w:right w:val="single" w:color="auto" w:sz="4" w:space="0"/>
            </w:tcBorders>
            <w:tcW w:w="899"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数量</w:t>
            </w:r>
            <w:r/>
          </w:p>
        </w:tc>
        <w:tc>
          <w:tcPr>
            <w:tcBorders>
              <w:top w:val="single" w:color="auto" w:sz="4" w:space="0"/>
              <w:left w:val="none" w:color="000000" w:sz="4" w:space="0"/>
              <w:bottom w:val="single" w:color="auto" w:sz="4" w:space="0"/>
              <w:right w:val="single" w:color="auto" w:sz="4" w:space="0"/>
            </w:tcBorders>
            <w:tcW w:w="914" w:type="dxa"/>
            <w:vAlign w:val="center"/>
            <w:textDirection w:val="lrTb"/>
            <w:noWrap w:val="false"/>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品牌</w:t>
            </w:r>
            <w:r/>
          </w:p>
        </w:tc>
      </w:tr>
      <w:tr>
        <w:trPr>
          <w:jc w:val="center"/>
          <w:trHeight w:val="285"/>
        </w:trPr>
        <w:tc>
          <w:tcPr>
            <w:gridSpan w:val="6"/>
            <w:shd w:val="clear" w:color="auto" w:fill="auto"/>
            <w:tcBorders>
              <w:top w:val="single" w:color="auto" w:sz="4" w:space="0"/>
              <w:left w:val="single" w:color="auto" w:sz="4" w:space="0"/>
              <w:bottom w:val="single" w:color="auto" w:sz="4" w:space="0"/>
              <w:right w:val="single" w:color="auto" w:sz="4" w:space="0"/>
            </w:tcBorders>
            <w:tcW w:w="8832"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一、感知系统设备</w:t>
            </w:r>
            <w:r/>
          </w:p>
        </w:tc>
        <w:tc>
          <w:tcPr>
            <w:tcBorders>
              <w:top w:val="single" w:color="auto" w:sz="4" w:space="0"/>
              <w:left w:val="single" w:color="auto"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r>
      <w:tr>
        <w:trPr>
          <w:jc w:val="center"/>
          <w:trHeight w:val="659"/>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（一）窨井(管网)液位监测</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窨井液</w:t>
            </w:r>
            <w:r>
              <w:rPr>
                <w:rFonts w:hint="eastAsia" w:ascii="仿宋" w:hAnsi="仿宋" w:eastAsia="仿宋"/>
                <w:color w:val="000000"/>
                <w:sz w:val="24"/>
              </w:rPr>
              <w:t xml:space="preserve">位计设备</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含触发、液位传感器、传输终端、电池、</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1.终端参数要求：</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馈电：100mA/14.4V DC；功耗：休眠电流≤30uA/14.4V，发送平均电流≤50mA/14.4V；电池寿命：1小时发送一次数据3年以上；接口类型：AI，DI/PI，RS485;</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功能：压力，温度，液位，流量，图像，井盖异动等，最多可支持8路传感器参数接入；信号：4mA～20mA DC，开关/脉冲，</w:t>
            </w:r>
            <w:r>
              <w:rPr>
                <w:rFonts w:hint="eastAsia" w:ascii="仿宋" w:hAnsi="仿宋" w:eastAsia="仿宋"/>
                <w:color w:val="000000"/>
                <w:sz w:val="24"/>
              </w:rPr>
              <w:t xml:space="preserve">ModBus</w:t>
            </w:r>
            <w:r>
              <w:rPr>
                <w:rFonts w:hint="eastAsia" w:ascii="仿宋" w:hAnsi="仿宋" w:eastAsia="仿宋"/>
                <w:color w:val="000000"/>
                <w:sz w:val="24"/>
              </w:rPr>
              <w:t xml:space="preserve"> RTU；通信制式：4G全网通；</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唤醒模式：磁触发/定时/告警唤醒；</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采样间隔：1,5,10,30,60,360,720,1440分钟可设；发送间隔：1,5,10,30,60,360,720,1440分钟可设；</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上传信息：传感器数据，电池信息，网络状态；告警上下限远程设置，网页实时告警；PC和移动</w:t>
            </w:r>
            <w:r>
              <w:rPr>
                <w:rFonts w:hint="eastAsia" w:ascii="仿宋" w:hAnsi="仿宋" w:eastAsia="仿宋"/>
                <w:color w:val="000000"/>
                <w:sz w:val="24"/>
              </w:rPr>
              <w:t xml:space="preserve">端数据</w:t>
            </w:r>
            <w:r>
              <w:rPr>
                <w:rFonts w:hint="eastAsia" w:ascii="仿宋" w:hAnsi="仿宋" w:eastAsia="仿宋"/>
                <w:color w:val="000000"/>
                <w:sz w:val="24"/>
              </w:rPr>
              <w:t xml:space="preserve">应用；</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支持客户自建系统应用；</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数据存储：本地存储，Flash容量4MB（20万条以上历史存储空间）；配置： 配置方式：</w:t>
            </w:r>
            <w:r>
              <w:rPr>
                <w:rFonts w:hint="eastAsia" w:ascii="仿宋" w:hAnsi="仿宋" w:eastAsia="仿宋"/>
                <w:color w:val="000000"/>
                <w:sz w:val="24"/>
              </w:rPr>
              <w:t xml:space="preserve">本地/</w:t>
            </w:r>
            <w:r>
              <w:rPr>
                <w:rFonts w:hint="eastAsia" w:ascii="仿宋" w:hAnsi="仿宋" w:eastAsia="仿宋"/>
                <w:color w:val="000000"/>
                <w:sz w:val="24"/>
              </w:rPr>
              <w:t xml:space="preserve">远程配置；显</w:t>
            </w:r>
            <w:r>
              <w:rPr>
                <w:rFonts w:hint="eastAsia" w:ascii="仿宋" w:hAnsi="仿宋" w:eastAsia="仿宋"/>
                <w:color w:val="000000"/>
                <w:sz w:val="24"/>
              </w:rPr>
              <w:t xml:space="preserve">示： </w:t>
            </w:r>
            <w:r>
              <w:rPr>
                <w:rFonts w:hint="eastAsia" w:ascii="仿宋" w:hAnsi="仿宋" w:eastAsia="仿宋"/>
                <w:color w:val="000000"/>
                <w:sz w:val="24"/>
              </w:rPr>
              <w:t xml:space="preserve">段码液晶</w:t>
            </w:r>
            <w:r>
              <w:rPr>
                <w:rFonts w:hint="eastAsia" w:ascii="仿宋" w:hAnsi="仿宋" w:eastAsia="仿宋"/>
                <w:color w:val="000000"/>
                <w:sz w:val="24"/>
              </w:rPr>
              <w:t xml:space="preserve">，带背光；工作温度： -20℃～70℃；</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存储温度： -40℃～85℃；防护等级： IP68（1m水下72h正常工作）；</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2.变送器参数要求：</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量程：0-10m可选；</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精度：±0.25%；</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电源:10V～28V；</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工作温度：-10℃～70℃；</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存储温度：20℃～80℃；</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绝缘电阻：100MΩ，50V；</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振动：20g，20Hz～5000Hz；</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冲击：20g，11ms；</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防护等级：IP68；</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介质兼容：膜片：不锈钢316L,壳体：不锈钢，O形密封圈：氟橡胶；</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1500</w:t>
            </w:r>
            <w:r/>
          </w:p>
        </w:tc>
        <w:tc>
          <w:tcPr>
            <w:tcBorders>
              <w:top w:val="none" w:color="000000" w:sz="4" w:space="0"/>
              <w:left w:val="none" w:color="000000" w:sz="4" w:space="0"/>
              <w:bottom w:val="single" w:color="auto" w:sz="4" w:space="0"/>
              <w:right w:val="single" w:color="auto" w:sz="4" w:space="0"/>
            </w:tcBorders>
            <w:tcW w:w="914"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麦克</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窨井液</w:t>
            </w:r>
            <w:r>
              <w:rPr>
                <w:rFonts w:hint="eastAsia" w:ascii="仿宋" w:hAnsi="仿宋" w:eastAsia="仿宋"/>
                <w:color w:val="000000"/>
                <w:sz w:val="24"/>
              </w:rPr>
              <w:t xml:space="preserve">位计材料</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PE管，接头，配套设备支架、设备成品保护盒等</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1500</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国产</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窨井监测无线网络传输</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江宁开发区平均分布,按需传输</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1500</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国产</w:t>
            </w:r>
            <w:r/>
          </w:p>
        </w:tc>
      </w:tr>
      <w:tr>
        <w:trPr>
          <w:jc w:val="center"/>
          <w:trHeight w:val="285"/>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（二）污水泵站集群监控</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left"/>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污水泵站自动化改造服务</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泵站自动化监测改造服务（含更换仪表、接地、线材、管材、测试、集成）</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6</w:t>
            </w:r>
            <w:r/>
          </w:p>
        </w:tc>
        <w:tc>
          <w:tcPr>
            <w:tcBorders>
              <w:top w:val="none" w:color="000000" w:sz="4" w:space="0"/>
              <w:left w:val="none" w:color="000000" w:sz="4" w:space="0"/>
              <w:bottom w:val="single" w:color="auto" w:sz="4" w:space="0"/>
              <w:right w:val="single" w:color="auto" w:sz="4" w:space="0"/>
            </w:tcBorders>
            <w:tcW w:w="914"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国产</w:t>
            </w:r>
            <w:r/>
          </w:p>
        </w:tc>
      </w:tr>
      <w:tr>
        <w:trPr>
          <w:jc w:val="center"/>
          <w:trHeight w:val="1980"/>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污水泵站自动化远程控制设备</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数字量：I/O 14DI/10DO；模拟量：4-2mA*2；中断输入：4；HSC输入 ：2（200 kHz）+ 4（30kHz）支持 A/B 模式；脉冲输出 ：2（100 kHz）；执行时间(位指令)： 0.22 s；数据存储器： 10240 B；接口功能：具备</w:t>
            </w:r>
            <w:r>
              <w:rPr>
                <w:rFonts w:hint="eastAsia" w:ascii="仿宋" w:hAnsi="仿宋" w:eastAsia="仿宋"/>
                <w:color w:val="000000"/>
                <w:sz w:val="24"/>
              </w:rPr>
              <w:t xml:space="preserve">RS232/485/RJ45接口；理论带宽：560Kbps；四行液晶显示（80*50）</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6</w:t>
            </w:r>
            <w:r/>
          </w:p>
        </w:tc>
        <w:tc>
          <w:tcPr>
            <w:tcBorders>
              <w:top w:val="none" w:color="000000" w:sz="4" w:space="0"/>
              <w:left w:val="none" w:color="000000" w:sz="4" w:space="0"/>
              <w:bottom w:val="single" w:color="auto" w:sz="4" w:space="0"/>
              <w:right w:val="single" w:color="auto" w:sz="4" w:space="0"/>
            </w:tcBorders>
            <w:tcW w:w="914"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西门子</w:t>
            </w:r>
            <w:r/>
          </w:p>
        </w:tc>
      </w:tr>
      <w:tr>
        <w:trPr>
          <w:jc w:val="center"/>
          <w:trHeight w:val="450"/>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污水泵站液位监测设备</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水位在线监测（含采集、传输、辅材、安装）</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6</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博恩</w:t>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视频监控设备</w:t>
            </w:r>
            <w:r/>
          </w:p>
        </w:tc>
        <w:tc>
          <w:tcPr>
            <w:shd w:val="clear" w:color="auto" w:fill="auto"/>
            <w:tcBorders>
              <w:top w:val="single" w:color="auto" w:sz="4" w:space="0"/>
              <w:left w:val="none" w:color="000000" w:sz="4" w:space="0"/>
              <w:bottom w:val="single" w:color="auto" w:sz="4" w:space="0"/>
              <w:right w:val="single" w:color="auto" w:sz="4" w:space="0"/>
            </w:tcBorders>
            <w:tcW w:w="3964" w:type="dxa"/>
            <w:vAlign w:val="center"/>
            <w:textDirection w:val="lrTb"/>
            <w:noWrap/>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r>
            <w:r/>
          </w:p>
        </w:tc>
        <w:tc>
          <w:tcPr>
            <w:gridSpan w:val="2"/>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宇视</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视频及监控杆件</w:t>
            </w:r>
            <w:r/>
          </w:p>
        </w:tc>
        <w:tc>
          <w:tcPr>
            <w:shd w:val="clear" w:color="auto" w:fill="auto"/>
            <w:tcBorders>
              <w:top w:val="single" w:color="auto"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含基座、开挖、3M杆件、安装施工、防雷</w:t>
            </w:r>
            <w:r/>
          </w:p>
        </w:tc>
        <w:tc>
          <w:tcPr>
            <w:gridSpan w:val="2"/>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国产</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网络设备及设备箱</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含机柜、交换机、路由器、附件、辅材、集成</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6</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国产</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组态软件终端费用</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现场及远程组态软件终端授权及开发费用</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6</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国产</w:t>
            </w:r>
            <w:r/>
          </w:p>
        </w:tc>
      </w:tr>
      <w:tr>
        <w:trPr>
          <w:jc w:val="center"/>
          <w:trHeight w:val="300"/>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（三）污水处理</w:t>
            </w:r>
            <w:r>
              <w:rPr>
                <w:rFonts w:hint="eastAsia" w:ascii="仿宋" w:hAnsi="仿宋" w:eastAsia="仿宋"/>
                <w:b/>
                <w:bCs/>
                <w:color w:val="000000"/>
                <w:sz w:val="24"/>
              </w:rPr>
              <w:t xml:space="preserve">厂管控服务</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left"/>
              <w:spacing w:line="360" w:lineRule="auto"/>
              <w:widowControl/>
              <w:rPr>
                <w:rFonts w:hint="eastAsia" w:ascii="仿宋" w:hAnsi="仿宋" w:eastAsia="仿宋"/>
                <w:color w:val="000000"/>
                <w:sz w:val="24"/>
              </w:rPr>
            </w:pPr>
            <w:r>
              <w:rPr>
                <w:rFonts w:hint="eastAsia" w:ascii="仿宋" w:hAnsi="仿宋" w:eastAsia="仿宋" w:cs="宋体"/>
                <w:sz w:val="24"/>
              </w:rPr>
              <w:t xml:space="preserve">污水处理</w:t>
            </w:r>
            <w:r>
              <w:rPr>
                <w:rFonts w:hint="eastAsia" w:ascii="仿宋" w:hAnsi="仿宋" w:eastAsia="仿宋" w:cs="宋体"/>
                <w:sz w:val="24"/>
              </w:rPr>
              <w:t xml:space="preserve">厂数据</w:t>
            </w:r>
            <w:r>
              <w:rPr>
                <w:rFonts w:hint="eastAsia" w:ascii="仿宋" w:hAnsi="仿宋" w:eastAsia="仿宋" w:cs="宋体"/>
                <w:sz w:val="24"/>
              </w:rPr>
              <w:t xml:space="preserve">接入填报</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r>
        <w:trPr>
          <w:jc w:val="center"/>
          <w:trHeight w:val="285"/>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（四）河湖水质监测</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left"/>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水质站检测主机设备</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监测因子：PH、温度、电导率、浊度、溶解氧、高锰酸盐指数、氨氮、总磷</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柜体：机箱+控制单元+采样单元+预处理单元+自清洗单元</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17</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博克斯</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水质监测无线网络传输</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点位详见方案</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17</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国产</w:t>
            </w:r>
            <w:r/>
          </w:p>
        </w:tc>
      </w:tr>
      <w:tr>
        <w:trPr>
          <w:jc w:val="center"/>
          <w:trHeight w:val="285"/>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（五）雨水泵站监控服务</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视频数据、水位数据、工况数据接入</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国产</w:t>
            </w:r>
            <w:r/>
          </w:p>
        </w:tc>
      </w:tr>
      <w:tr>
        <w:trPr>
          <w:jc w:val="center"/>
          <w:trHeight w:val="285"/>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（六）浸水告警</w:t>
            </w:r>
            <w:r/>
          </w:p>
        </w:tc>
        <w:tc>
          <w:tcPr>
            <w:shd w:val="clear" w:color="auto" w:fill="auto"/>
            <w:tcBorders>
              <w:top w:val="single" w:color="auto" w:sz="4" w:space="0"/>
              <w:left w:val="single" w:color="auto" w:sz="4" w:space="0"/>
              <w:bottom w:val="single" w:color="auto" w:sz="4" w:space="0"/>
              <w:right w:val="single" w:color="auto" w:sz="4" w:space="0"/>
            </w:tcBorders>
            <w:tcW w:w="3964" w:type="dxa"/>
            <w:vAlign w:val="center"/>
            <w:textDirection w:val="lrTb"/>
            <w:noWrap/>
          </w:tcPr>
          <w:p>
            <w:pPr>
              <w:jc w:val="left"/>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tcBorders>
              <w:top w:val="single" w:color="auto" w:sz="4" w:space="0"/>
              <w:left w:val="single" w:color="auto"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浸水告警系统主机设备</w:t>
            </w:r>
            <w:r/>
          </w:p>
        </w:tc>
        <w:tc>
          <w:tcPr>
            <w:shd w:val="clear" w:color="auto" w:fill="auto"/>
            <w:tcBorders>
              <w:top w:val="single" w:color="auto"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含传感器、传输设备、</w:t>
            </w:r>
            <w:r/>
          </w:p>
        </w:tc>
        <w:tc>
          <w:tcPr>
            <w:gridSpan w:val="2"/>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20</w:t>
            </w:r>
            <w:r/>
          </w:p>
        </w:tc>
        <w:tc>
          <w:tcPr>
            <w:tcBorders>
              <w:top w:val="single" w:color="auto"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爱体</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浸水告警系统材料</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PE管，配套设备支架、设备成品保护盒等；</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20</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国产</w:t>
            </w:r>
            <w:r/>
          </w:p>
        </w:tc>
      </w:tr>
      <w:tr>
        <w:trPr>
          <w:jc w:val="center"/>
          <w:trHeight w:val="499"/>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（七）视频一体化监控</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left"/>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r>
      <w:tr>
        <w:trPr>
          <w:jc w:val="center"/>
          <w:trHeight w:val="72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球型数字视频监控设备</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内置4.5~148.5mm，F1.5-4.0，33倍光学变倍电动变焦镜头；</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分辨力1100线；</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信噪比56.6dB，最大亮度鉴别等级11级；</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具有低拖影</w:t>
            </w:r>
            <w:r>
              <w:rPr>
                <w:rFonts w:hint="eastAsia" w:ascii="仿宋" w:hAnsi="仿宋" w:eastAsia="仿宋"/>
                <w:color w:val="000000"/>
                <w:sz w:val="24"/>
              </w:rPr>
              <w:t xml:space="preserve">曝光模式，可实现低</w:t>
            </w:r>
            <w:r>
              <w:rPr>
                <w:rFonts w:hint="eastAsia" w:ascii="仿宋" w:hAnsi="仿宋" w:eastAsia="仿宋"/>
                <w:color w:val="000000"/>
                <w:sz w:val="24"/>
              </w:rPr>
              <w:t xml:space="preserve">照环境</w:t>
            </w:r>
            <w:r>
              <w:rPr>
                <w:rFonts w:hint="eastAsia" w:ascii="仿宋" w:hAnsi="仿宋" w:eastAsia="仿宋"/>
                <w:color w:val="000000"/>
                <w:sz w:val="24"/>
              </w:rPr>
              <w:t xml:space="preserve">下，画面</w:t>
            </w:r>
            <w:r>
              <w:rPr>
                <w:rFonts w:hint="eastAsia" w:ascii="仿宋" w:hAnsi="仿宋" w:eastAsia="仿宋"/>
                <w:color w:val="000000"/>
                <w:sz w:val="24"/>
              </w:rPr>
              <w:t xml:space="preserve">清晰低拖影</w:t>
            </w:r>
            <w:r>
              <w:rPr>
                <w:rFonts w:hint="eastAsia" w:ascii="仿宋" w:hAnsi="仿宋" w:eastAsia="仿宋"/>
                <w:color w:val="000000"/>
                <w:sz w:val="24"/>
              </w:rPr>
              <w:t xml:space="preserve">；支持本机存储功能，支持TF卡热插拔，最大支持128GBTF卡；</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支持</w:t>
            </w:r>
            <w:r>
              <w:rPr>
                <w:rFonts w:hint="eastAsia" w:ascii="仿宋" w:hAnsi="仿宋" w:eastAsia="仿宋"/>
                <w:color w:val="000000"/>
                <w:sz w:val="24"/>
              </w:rPr>
              <w:t xml:space="preserve">断网续传</w:t>
            </w:r>
            <w:r>
              <w:rPr>
                <w:rFonts w:hint="eastAsia" w:ascii="仿宋" w:hAnsi="仿宋" w:eastAsia="仿宋"/>
                <w:color w:val="000000"/>
                <w:sz w:val="24"/>
              </w:rPr>
              <w:t xml:space="preserve">功能，当网络断开后，摄像机可将录像文件存储至内置SD卡中，当网络恢复后，再将这些录像文件上传至指定存储设备中；</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支持移动侦测，当设定侦测区域内有目标移动时，可在客户端给出报警提示，可同时支持18×22个区域的移动侦测；</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具有良好的网络适应能力，能够在丢包率20%，网络延迟50ms的网络环境下正常工作；</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具有认证模式，且WEB认证具有basic、digest和无三种选项；</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具有网关ARP绑定功能，有效防范ARP攻击，提升安全性；样机开启友好密码策略的情况下</w:t>
            </w:r>
            <w:r>
              <w:rPr>
                <w:rFonts w:hint="eastAsia" w:ascii="仿宋" w:hAnsi="仿宋" w:eastAsia="仿宋"/>
                <w:color w:val="000000"/>
                <w:sz w:val="24"/>
              </w:rPr>
              <w:t xml:space="preserve">跨网段弱密码</w:t>
            </w:r>
            <w:r>
              <w:rPr>
                <w:rFonts w:hint="eastAsia" w:ascii="仿宋" w:hAnsi="仿宋" w:eastAsia="仿宋"/>
                <w:color w:val="000000"/>
                <w:sz w:val="24"/>
              </w:rPr>
              <w:t xml:space="preserve">无法访问，</w:t>
            </w:r>
            <w:r>
              <w:rPr>
                <w:rFonts w:hint="eastAsia" w:ascii="仿宋" w:hAnsi="仿宋" w:eastAsia="仿宋"/>
                <w:color w:val="000000"/>
                <w:sz w:val="24"/>
              </w:rPr>
              <w:t xml:space="preserve">同网段弱密码</w:t>
            </w:r>
            <w:r>
              <w:rPr>
                <w:rFonts w:hint="eastAsia" w:ascii="仿宋" w:hAnsi="仿宋" w:eastAsia="仿宋"/>
                <w:color w:val="000000"/>
                <w:sz w:val="24"/>
              </w:rPr>
              <w:t xml:space="preserve">可以访问，关闭后则</w:t>
            </w:r>
            <w:r>
              <w:rPr>
                <w:rFonts w:hint="eastAsia" w:ascii="仿宋" w:hAnsi="仿宋" w:eastAsia="仿宋"/>
                <w:color w:val="000000"/>
                <w:sz w:val="24"/>
              </w:rPr>
              <w:t xml:space="preserve">同网段弱密码</w:t>
            </w:r>
            <w:r>
              <w:rPr>
                <w:rFonts w:hint="eastAsia" w:ascii="仿宋" w:hAnsi="仿宋" w:eastAsia="仿宋"/>
                <w:color w:val="000000"/>
                <w:sz w:val="24"/>
              </w:rPr>
              <w:t xml:space="preserve">无法访问，强制要求</w:t>
            </w:r>
            <w:r>
              <w:rPr>
                <w:rFonts w:hint="eastAsia" w:ascii="仿宋" w:hAnsi="仿宋" w:eastAsia="仿宋"/>
                <w:color w:val="000000"/>
                <w:sz w:val="24"/>
              </w:rPr>
              <w:t xml:space="preserve">改为强密码</w:t>
            </w:r>
            <w:r>
              <w:rPr>
                <w:rFonts w:hint="eastAsia" w:ascii="仿宋" w:hAnsi="仿宋" w:eastAsia="仿宋"/>
                <w:color w:val="000000"/>
                <w:sz w:val="24"/>
              </w:rPr>
              <w:t xml:space="preserve">才可以继续</w:t>
            </w:r>
            <w:r>
              <w:rPr>
                <w:rFonts w:hint="eastAsia" w:ascii="仿宋" w:hAnsi="仿宋" w:eastAsia="仿宋"/>
                <w:color w:val="000000"/>
                <w:sz w:val="24"/>
              </w:rPr>
              <w:t xml:space="preserve">登录</w:t>
            </w:r>
            <w:r>
              <w:rPr>
                <w:rFonts w:hint="eastAsia" w:ascii="仿宋" w:hAnsi="仿宋" w:eastAsia="仿宋"/>
                <w:color w:val="000000"/>
                <w:sz w:val="24"/>
              </w:rPr>
              <w:t xml:space="preserve">；</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防护等级：IP67；</w:t>
            </w:r>
            <w:r/>
          </w:p>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高低温工作环境：摄像机能够在-45℃~+70℃的环境下正常工作；</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90</w:t>
            </w:r>
            <w:r/>
          </w:p>
        </w:tc>
        <w:tc>
          <w:tcPr>
            <w:tcBorders>
              <w:top w:val="none" w:color="000000" w:sz="4" w:space="0"/>
              <w:left w:val="none" w:color="000000" w:sz="4" w:space="0"/>
              <w:bottom w:val="single" w:color="auto" w:sz="4" w:space="0"/>
              <w:right w:val="single" w:color="auto" w:sz="4" w:space="0"/>
            </w:tcBorders>
            <w:tcW w:w="914"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宇视</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室外视频监控杆件设备</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含运输、基座、6M杆件、集成</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90</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国产</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网络设备及设备箱</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含设备箱、路由交换机、防雷、附件、辅材、集成</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90</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国产</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视频周界报警分析服务</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left"/>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河道周界视频报警分析服务</w:t>
            </w:r>
            <w:r/>
          </w:p>
        </w:tc>
        <w:tc>
          <w:tcPr>
            <w:gridSpan w:val="2"/>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国产</w:t>
            </w:r>
            <w:r/>
          </w:p>
        </w:tc>
      </w:tr>
      <w:tr>
        <w:trPr>
          <w:jc w:val="center"/>
          <w:trHeight w:val="300"/>
        </w:trPr>
        <w:tc>
          <w:tcPr>
            <w:gridSpan w:val="6"/>
            <w:shd w:val="clear" w:color="auto" w:fill="auto"/>
            <w:tcBorders>
              <w:top w:val="single" w:color="auto" w:sz="4" w:space="0"/>
              <w:left w:val="single" w:color="auto" w:sz="4" w:space="0"/>
              <w:bottom w:val="single" w:color="auto" w:sz="4" w:space="0"/>
              <w:right w:val="single" w:color="auto" w:sz="4" w:space="0"/>
            </w:tcBorders>
            <w:tcW w:w="8832" w:type="dxa"/>
            <w:vAlign w:val="center"/>
            <w:textDirection w:val="lrTb"/>
            <w:noWrap/>
          </w:tcPr>
          <w:p>
            <w:pP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二、智慧水</w:t>
            </w:r>
            <w:r>
              <w:rPr>
                <w:rFonts w:hint="eastAsia" w:ascii="仿宋" w:hAnsi="仿宋" w:eastAsia="仿宋"/>
                <w:b/>
                <w:bCs/>
                <w:color w:val="000000"/>
                <w:sz w:val="24"/>
              </w:rPr>
              <w:t xml:space="preserve">务</w:t>
            </w:r>
            <w:r>
              <w:rPr>
                <w:rFonts w:hint="eastAsia" w:ascii="仿宋" w:hAnsi="仿宋" w:eastAsia="仿宋"/>
                <w:b/>
                <w:bCs/>
                <w:color w:val="000000"/>
                <w:sz w:val="24"/>
              </w:rPr>
              <w:t xml:space="preserve">综合管控系统及服务</w:t>
            </w:r>
            <w:r/>
          </w:p>
        </w:tc>
        <w:tc>
          <w:tcPr>
            <w:tcBorders>
              <w:top w:val="single" w:color="auto" w:sz="4" w:space="0"/>
              <w:left w:val="single" w:color="auto" w:sz="4" w:space="0"/>
              <w:bottom w:val="single" w:color="auto" w:sz="4" w:space="0"/>
              <w:right w:val="single" w:color="auto" w:sz="4" w:space="0"/>
            </w:tcBorders>
            <w:tcW w:w="914" w:type="dxa"/>
            <w:textDirection w:val="lrTb"/>
            <w:noWrap w:val="false"/>
          </w:tcPr>
          <w:p>
            <w:pP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r>
      <w:tr>
        <w:trPr>
          <w:jc w:val="center"/>
          <w:trHeight w:val="285"/>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（一）智慧水</w:t>
            </w:r>
            <w:r>
              <w:rPr>
                <w:rFonts w:hint="eastAsia" w:ascii="仿宋" w:hAnsi="仿宋" w:eastAsia="仿宋"/>
                <w:b/>
                <w:bCs/>
                <w:color w:val="000000"/>
                <w:sz w:val="24"/>
              </w:rPr>
              <w:t xml:space="preserve">务</w:t>
            </w:r>
            <w:r>
              <w:rPr>
                <w:rFonts w:hint="eastAsia" w:ascii="仿宋" w:hAnsi="仿宋" w:eastAsia="仿宋"/>
                <w:b/>
                <w:bCs/>
                <w:color w:val="000000"/>
                <w:sz w:val="24"/>
              </w:rPr>
              <w:t xml:space="preserve">数据共享中心</w:t>
            </w:r>
            <w:r/>
          </w:p>
        </w:tc>
        <w:tc>
          <w:tcPr>
            <w:shd w:val="clear" w:color="auto" w:fill="auto"/>
            <w:tcBorders>
              <w:top w:val="single" w:color="auto"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single" w:color="auto"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数据资源子系统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应用支撑子系统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数据共享子系统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地理信息子系统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运行管控子系统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数据汇聚子系统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业务管理子系统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设备维护子系统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数据加工及处理</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r>
        <w:trPr>
          <w:jc w:val="center"/>
          <w:trHeight w:val="285"/>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（二）智慧水</w:t>
            </w:r>
            <w:r>
              <w:rPr>
                <w:rFonts w:hint="eastAsia" w:ascii="仿宋" w:hAnsi="仿宋" w:eastAsia="仿宋"/>
                <w:b/>
                <w:bCs/>
                <w:color w:val="000000"/>
                <w:sz w:val="24"/>
              </w:rPr>
              <w:t xml:space="preserve">务</w:t>
            </w:r>
            <w:r>
              <w:rPr>
                <w:rFonts w:hint="eastAsia" w:ascii="仿宋" w:hAnsi="仿宋" w:eastAsia="仿宋"/>
                <w:b/>
                <w:bCs/>
                <w:color w:val="000000"/>
                <w:sz w:val="24"/>
              </w:rPr>
              <w:t xml:space="preserve">综合业务系统</w:t>
            </w:r>
            <w:r/>
          </w:p>
        </w:tc>
        <w:tc>
          <w:tcPr>
            <w:gridSpan w:val="4"/>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雨水管网监测告警管理子系统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r>
            <w:r/>
          </w:p>
        </w:tc>
      </w:tr>
      <w:tr>
        <w:trPr>
          <w:jc w:val="center"/>
          <w:trHeight w:val="4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水环境监测调度应用管理子系统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防汛调度管理应用信息子系统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片长制网格信息管理子系统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r>
            <w:r/>
          </w:p>
        </w:tc>
      </w:tr>
      <w:tr>
        <w:trPr>
          <w:jc w:val="center"/>
          <w:trHeight w:val="285"/>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（三）智慧水</w:t>
            </w:r>
            <w:r>
              <w:rPr>
                <w:rFonts w:hint="eastAsia" w:ascii="仿宋" w:hAnsi="仿宋" w:eastAsia="仿宋"/>
                <w:b/>
                <w:bCs/>
                <w:color w:val="000000"/>
                <w:sz w:val="24"/>
              </w:rPr>
              <w:t xml:space="preserve">务</w:t>
            </w:r>
            <w:r>
              <w:rPr>
                <w:rFonts w:hint="eastAsia" w:ascii="仿宋" w:hAnsi="仿宋" w:eastAsia="仿宋"/>
                <w:b/>
                <w:bCs/>
                <w:color w:val="000000"/>
                <w:sz w:val="24"/>
              </w:rPr>
              <w:t xml:space="preserve">信息发布系统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r>
            <w:r/>
          </w:p>
        </w:tc>
      </w:tr>
      <w:tr>
        <w:trPr>
          <w:jc w:val="center"/>
          <w:trHeight w:val="285"/>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（四）智慧水</w:t>
            </w:r>
            <w:r>
              <w:rPr>
                <w:rFonts w:hint="eastAsia" w:ascii="仿宋" w:hAnsi="仿宋" w:eastAsia="仿宋"/>
                <w:b/>
                <w:bCs/>
                <w:color w:val="000000"/>
                <w:sz w:val="24"/>
              </w:rPr>
              <w:t xml:space="preserve">务</w:t>
            </w:r>
            <w:r>
              <w:rPr>
                <w:rFonts w:hint="eastAsia" w:ascii="仿宋" w:hAnsi="仿宋" w:eastAsia="仿宋"/>
                <w:b/>
                <w:bCs/>
                <w:color w:val="000000"/>
                <w:sz w:val="24"/>
              </w:rPr>
              <w:t xml:space="preserve">终端应用系统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r>
            <w:r/>
          </w:p>
        </w:tc>
      </w:tr>
      <w:tr>
        <w:trPr>
          <w:jc w:val="center"/>
          <w:trHeight w:val="285"/>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（五）综合应用门户系统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r>
            <w:r/>
          </w:p>
        </w:tc>
      </w:tr>
      <w:tr>
        <w:trPr>
          <w:jc w:val="center"/>
          <w:trHeight w:val="285"/>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（六）水环境调度模型应用</w:t>
            </w:r>
            <w:r/>
          </w:p>
        </w:tc>
        <w:tc>
          <w:tcPr>
            <w:gridSpan w:val="4"/>
            <w:shd w:val="clear" w:color="auto" w:fill="auto"/>
            <w:tcBorders>
              <w:top w:val="single" w:color="auto" w:sz="4" w:space="0"/>
              <w:left w:val="single" w:color="auto" w:sz="4" w:space="0"/>
              <w:bottom w:val="single" w:color="auto" w:sz="4" w:space="0"/>
              <w:right w:val="single" w:color="auto" w:sz="4" w:space="0"/>
            </w:tcBorders>
            <w:tcW w:w="557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c>
          <w:tcPr>
            <w:tcBorders>
              <w:top w:val="single" w:color="auto" w:sz="4" w:space="0"/>
              <w:left w:val="single" w:color="auto"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水力水质离线模型</w:t>
            </w:r>
            <w:r/>
          </w:p>
        </w:tc>
        <w:tc>
          <w:tcPr>
            <w:shd w:val="clear" w:color="auto" w:fill="auto"/>
            <w:tcBorders>
              <w:top w:val="single" w:color="auto"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single" w:color="auto" w:sz="4" w:space="0"/>
              <w:left w:val="none" w:color="000000" w:sz="4" w:space="0"/>
              <w:bottom w:val="single" w:color="auto" w:sz="4" w:space="0"/>
              <w:right w:val="single" w:color="auto" w:sz="4" w:space="0"/>
            </w:tcBorders>
            <w:tcW w:w="899"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1</w:t>
            </w:r>
            <w:r/>
          </w:p>
        </w:tc>
        <w:tc>
          <w:tcPr>
            <w:tcBorders>
              <w:top w:val="single" w:color="auto"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水力水质的实时模拟系统</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tcPr>
          <w:p>
            <w:pPr>
              <w:jc w:val="center"/>
              <w:spacing w:line="360" w:lineRule="auto"/>
              <w:rPr>
                <w:rFonts w:hint="eastAsia" w:ascii="仿宋" w:hAnsi="仿宋" w:eastAsia="仿宋"/>
                <w:sz w:val="24"/>
              </w:rPr>
            </w:pPr>
            <w:r>
              <w:rPr>
                <w:rFonts w:hint="eastAsia" w:ascii="仿宋" w:hAnsi="仿宋" w:eastAsia="仿宋"/>
                <w:color w:val="000000"/>
                <w:sz w:val="24"/>
              </w:rPr>
              <w:t xml:space="preserve">详见系统情况</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套</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bCs/>
                <w:color w:val="000000"/>
                <w:sz w:val="24"/>
              </w:rPr>
            </w:pPr>
            <w:r>
              <w:rPr>
                <w:rFonts w:hint="eastAsia" w:ascii="仿宋" w:hAnsi="仿宋" w:eastAsia="仿宋"/>
                <w:bCs/>
                <w:color w:val="000000"/>
                <w:sz w:val="24"/>
              </w:rPr>
            </w:r>
            <w:r/>
          </w:p>
        </w:tc>
      </w:tr>
      <w:tr>
        <w:trPr>
          <w:jc w:val="center"/>
          <w:trHeight w:val="285"/>
        </w:trPr>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三、软件产品及测评费用</w:t>
            </w:r>
            <w:r/>
          </w:p>
        </w:tc>
        <w:tc>
          <w:tcPr>
            <w:gridSpan w:val="4"/>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57" w:type="dxa"/>
            <w:vAlign w:val="center"/>
            <w:textDirection w:val="lrTb"/>
            <w:noWrap/>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视频管理平台</w:t>
            </w:r>
            <w:r/>
          </w:p>
        </w:tc>
        <w:tc>
          <w:tcPr>
            <w:shd w:val="clear" w:color="auto" w:fill="auto"/>
            <w:tcBorders>
              <w:top w:val="none" w:color="000000" w:sz="4" w:space="0"/>
              <w:left w:val="none" w:color="000000" w:sz="4" w:space="0"/>
              <w:bottom w:val="single" w:color="auto" w:sz="4" w:space="0"/>
              <w:right w:val="single" w:color="auto" w:sz="4" w:space="0"/>
            </w:tcBorders>
            <w:tcW w:w="3964"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视频管理平台</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项</w:t>
            </w:r>
            <w:r/>
          </w:p>
        </w:tc>
        <w:tc>
          <w:tcPr>
            <w:gridSpan w:val="2"/>
            <w:shd w:val="clear" w:color="auto" w:fill="auto"/>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none" w:color="000000" w:sz="4" w:space="0"/>
              <w:left w:val="none" w:color="000000" w:sz="4" w:space="0"/>
              <w:bottom w:val="single" w:color="auto" w:sz="4" w:space="0"/>
              <w:right w:val="single" w:color="auto" w:sz="4" w:space="0"/>
            </w:tcBorders>
            <w:tcW w:w="914" w:type="dxa"/>
            <w:textDirection w:val="lrTb"/>
            <w:noWrap w:val="false"/>
          </w:tcPr>
          <w:p>
            <w:pPr>
              <w:jc w:val="center"/>
              <w:spacing w:line="360" w:lineRule="auto"/>
              <w:widowControl/>
              <w:rPr>
                <w:rFonts w:hint="eastAsia" w:ascii="仿宋" w:hAnsi="仿宋" w:eastAsia="仿宋"/>
                <w:color w:val="000000"/>
                <w:sz w:val="24"/>
              </w:rPr>
            </w:pPr>
            <w:r>
              <w:rPr>
                <w:rFonts w:hint="eastAsia" w:ascii="仿宋" w:hAnsi="仿宋" w:eastAsia="仿宋"/>
                <w:color w:val="000000"/>
                <w:sz w:val="24"/>
              </w:rPr>
            </w:r>
            <w:r/>
          </w:p>
        </w:tc>
      </w:tr>
    </w:tbl>
    <w:p>
      <w:pPr>
        <w:ind w:firstLine="482"/>
        <w:spacing w:line="360" w:lineRule="auto"/>
        <w:rPr>
          <w:rFonts w:hint="eastAsia" w:ascii="仿宋" w:hAnsi="仿宋" w:eastAsia="仿宋"/>
          <w:b/>
          <w:bCs/>
          <w:sz w:val="24"/>
        </w:rPr>
      </w:pPr>
      <w:r>
        <w:rPr>
          <w:rFonts w:hint="eastAsia" w:ascii="仿宋" w:hAnsi="仿宋" w:eastAsia="仿宋"/>
          <w:b/>
          <w:bCs/>
          <w:sz w:val="24"/>
        </w:rPr>
        <w:t xml:space="preserve">五、</w:t>
      </w:r>
      <w:r>
        <w:rPr>
          <w:rFonts w:hint="eastAsia" w:ascii="仿宋" w:hAnsi="仿宋" w:eastAsia="仿宋" w:cs="等线"/>
          <w:b/>
          <w:sz w:val="24"/>
        </w:rPr>
        <w:t xml:space="preserve">系统情况</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（一）智慧水</w:t>
      </w:r>
      <w:r>
        <w:rPr>
          <w:rFonts w:hint="eastAsia" w:ascii="仿宋" w:hAnsi="仿宋" w:eastAsia="仿宋" w:cs="等线"/>
          <w:bCs/>
          <w:sz w:val="24"/>
        </w:rPr>
        <w:t xml:space="preserve">务</w:t>
      </w:r>
      <w:r>
        <w:rPr>
          <w:rFonts w:hint="eastAsia" w:ascii="仿宋" w:hAnsi="仿宋" w:eastAsia="仿宋" w:cs="等线"/>
          <w:bCs/>
          <w:sz w:val="24"/>
        </w:rPr>
        <w:t xml:space="preserve">数据采集平台</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窨井（管网）液位监测，实现开发区内管网1500个支点的水位定时监测；6处污水泵站的</w:t>
      </w:r>
      <w:r>
        <w:rPr>
          <w:rFonts w:hint="eastAsia" w:ascii="仿宋" w:hAnsi="仿宋" w:eastAsia="仿宋" w:cs="等线"/>
          <w:bCs/>
          <w:sz w:val="24"/>
        </w:rPr>
        <w:t xml:space="preserve">集群管</w:t>
      </w:r>
      <w:r>
        <w:rPr>
          <w:rFonts w:hint="eastAsia" w:ascii="仿宋" w:hAnsi="仿宋" w:eastAsia="仿宋" w:cs="等线"/>
          <w:bCs/>
          <w:sz w:val="24"/>
        </w:rPr>
        <w:t xml:space="preserve">控系统，实现对站内水情和工情的集中管控；17处河湖水质监测站，检测江宁开发区河湖水质（至少包含COD、TP、NH3-N、pH、温度、溶氧、电导率、浊度）参数；20个浸水告警设备，实现积水告警；90个视频一体化监控站点，实现实时监视及智能检测分析。</w:t>
      </w:r>
      <w:r/>
    </w:p>
    <w:p>
      <w:pPr>
        <w:ind w:firstLine="480"/>
        <w:spacing w:line="360" w:lineRule="auto"/>
        <w:rPr>
          <w:rFonts w:hint="eastAsia" w:ascii="仿宋" w:hAnsi="仿宋" w:eastAsia="仿宋"/>
          <w:sz w:val="24"/>
        </w:rPr>
      </w:pPr>
      <w:r>
        <w:rPr>
          <w:rFonts w:hint="eastAsia" w:ascii="仿宋" w:hAnsi="仿宋" w:eastAsia="仿宋"/>
          <w:sz w:val="24"/>
        </w:rPr>
        <w:t xml:space="preserve">1、窨井（管网）液位监测</w:t>
      </w:r>
      <w:r/>
    </w:p>
    <w:p>
      <w:pPr>
        <w:rPr>
          <w:rFonts w:hint="eastAsia" w:ascii="仿宋" w:hAnsi="仿宋" w:eastAsia="仿宋" w:cs="等线"/>
          <w:bCs/>
        </w:rPr>
      </w:pPr>
      <w:r>
        <w:rPr>
          <w:rFonts w:hint="eastAsia" w:ascii="仿宋" w:hAnsi="仿宋" w:eastAsia="仿宋" w:cs="等线"/>
          <w:bCs/>
        </w:rPr>
      </w:r>
      <w:r/>
    </w:p>
    <w:p>
      <w:pPr>
        <w:ind w:firstLine="420"/>
        <w:jc w:val="center"/>
        <w:spacing w:line="360" w:lineRule="auto"/>
        <w:rPr>
          <w:rFonts w:hint="eastAsia" w:ascii="仿宋" w:hAnsi="仿宋" w:eastAsia="仿宋" w:cs="等线"/>
          <w:b/>
          <w:bCs/>
          <w:sz w:val="24"/>
        </w:rPr>
      </w:pPr>
      <w:r>
        <mc:AlternateContent>
          <mc:Choice Requires="wpg">
            <w:drawing>
              <wp:inline xmlns:wp="http://schemas.openxmlformats.org/drawingml/2006/wordprocessingDrawing" distT="0" distB="0" distL="0" distR="0">
                <wp:extent cx="5029200" cy="3159125"/>
                <wp:effectExtent l="0" t="0" r="0" b="3175"/>
                <wp:docPr id="2" name="图片 7"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地图&#10;&#10;描述已自动生成"/>
                        <pic:cNvPicPr>
                          <a:picLocks noChangeAspect="1"/>
                        </pic:cNvPicPr>
                        <pic:nvPr/>
                      </pic:nvPicPr>
                      <pic:blipFill>
                        <a:blip r:embed="rId18"/>
                        <a:stretch/>
                      </pic:blipFill>
                      <pic:spPr bwMode="auto">
                        <a:xfrm>
                          <a:off x="0" y="0"/>
                          <a:ext cx="5043148" cy="316788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6.0pt;height:248.8pt;mso-wrap-distance-left:0.0pt;mso-wrap-distance-top:0.0pt;mso-wrap-distance-right:0.0pt;mso-wrap-distance-bottom:0.0pt;" stroked="false">
                <v:path textboxrect="0,0,0,0"/>
                <v:imagedata r:id="rId18" o:title=""/>
              </v:shape>
            </w:pict>
          </mc:Fallback>
        </mc:AlternateContent>
      </w:r>
      <w:r>
        <w:rPr>
          <w:rFonts w:hint="eastAsia" w:ascii="仿宋" w:hAnsi="仿宋" w:eastAsia="仿宋" w:cs="等线"/>
          <w:b/>
          <w:bCs/>
          <w:sz w:val="24"/>
        </w:rPr>
        <w:t xml:space="preserve">江宁开发区水环境治理区域划分图</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本次运维在江宁区域范围内1500个结点监测设备。</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设备区域点位如下：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w:t>
      </w:r>
      <w:r>
        <w:rPr>
          <w:rFonts w:hint="eastAsia" w:ascii="仿宋" w:hAnsi="仿宋" w:eastAsia="仿宋" w:cs="等线"/>
          <w:sz w:val="24"/>
        </w:rPr>
        <w:t xml:space="preserve">入河排口</w:t>
      </w:r>
      <w:r>
        <w:rPr>
          <w:rFonts w:hint="eastAsia" w:ascii="仿宋" w:hAnsi="仿宋" w:eastAsia="仿宋" w:cs="等线"/>
          <w:sz w:val="24"/>
        </w:rPr>
        <w:t xml:space="preserve">节点：汛期或降雨用于判断入河水量，晴天用于</w:t>
      </w:r>
      <w:r>
        <w:rPr>
          <w:rFonts w:hint="eastAsia" w:ascii="仿宋" w:hAnsi="仿宋" w:eastAsia="仿宋" w:cs="等线"/>
          <w:sz w:val="24"/>
        </w:rPr>
        <w:t xml:space="preserve">判断非</w:t>
      </w:r>
      <w:r>
        <w:rPr>
          <w:rFonts w:hint="eastAsia" w:ascii="仿宋" w:hAnsi="仿宋" w:eastAsia="仿宋" w:cs="等线"/>
          <w:sz w:val="24"/>
        </w:rPr>
        <w:t xml:space="preserve">正常河道入水。</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（2）管网汇聚节点，一组中间及边缘节点组成，晴天用于判断偷排及流向，用于辅助判断偷排及溯源。</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（3）重点区域节点：商业区判断水量及流向，工业区判断水量及流向，集聚</w:t>
      </w:r>
      <w:r>
        <w:rPr>
          <w:rFonts w:hint="eastAsia" w:ascii="仿宋" w:hAnsi="仿宋" w:eastAsia="仿宋" w:cs="等线"/>
          <w:sz w:val="24"/>
        </w:rPr>
        <w:t xml:space="preserve">区判断</w:t>
      </w:r>
      <w:r>
        <w:rPr>
          <w:rFonts w:hint="eastAsia" w:ascii="仿宋" w:hAnsi="仿宋" w:eastAsia="仿宋" w:cs="等线"/>
          <w:sz w:val="24"/>
        </w:rPr>
        <w:t xml:space="preserve">水量及流向，居民区水量及漫水情况。</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（4）中间区域节点：汇聚及重点区域补充节点，用于丰富监测区域数据、</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设备环境适应要求如下：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通过对开发区内管网支点的水位定时监测，通过水位的变化来进行问题排查和风险规避。保障设备具有良好的环境，能够在窨井下稳定持续工作，通过设置液位规则</w:t>
      </w:r>
      <w:r>
        <w:rPr>
          <w:rFonts w:hint="eastAsia" w:ascii="仿宋" w:hAnsi="仿宋" w:eastAsia="仿宋" w:cs="等线"/>
          <w:sz w:val="24"/>
        </w:rPr>
        <w:t xml:space="preserve">可以对液位</w:t>
      </w:r>
      <w:r>
        <w:rPr>
          <w:rFonts w:hint="eastAsia" w:ascii="仿宋" w:hAnsi="仿宋" w:eastAsia="仿宋" w:cs="等线"/>
          <w:sz w:val="24"/>
        </w:rPr>
        <w:t xml:space="preserve">变化不正常（过快上涨、警戒液位等）的情况对平台及时发送数据，设备通过无线传输，维护正常工作。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2、污水泵站集群监控</w:t>
      </w:r>
      <w:r/>
    </w:p>
    <w:tbl>
      <w:tblPr>
        <w:tblW w:w="886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left w:w="0" w:type="dxa"/>
          <w:right w:w="0" w:type="dxa"/>
        </w:tblCellMar>
        <w:tblLook w:val="04A0" w:firstRow="1" w:lastRow="0" w:firstColumn="1" w:lastColumn="0" w:noHBand="0" w:noVBand="1"/>
      </w:tblPr>
      <w:tblGrid>
        <w:gridCol w:w="1200"/>
        <w:gridCol w:w="2900"/>
        <w:gridCol w:w="4760"/>
      </w:tblGrid>
      <w:tr>
        <w:trPr>
          <w:jc w:val="center"/>
          <w:trHeight w:val="666"/>
        </w:trPr>
        <w:tc>
          <w:tcPr>
            <w:shd w:val="clear" w:color="auto" w:fill="ffffff" w:themeFill="background1"/>
            <w:tcMar>
              <w:left w:w="144" w:type="dxa"/>
              <w:top w:w="72" w:type="dxa"/>
              <w:right w:w="144" w:type="dxa"/>
              <w:bottom w:w="72" w:type="dxa"/>
            </w:tcMar>
            <w:tcW w:w="12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b/>
                <w:bCs/>
                <w:sz w:val="24"/>
              </w:rPr>
              <w:t xml:space="preserve">序号</w:t>
            </w:r>
            <w:r/>
          </w:p>
        </w:tc>
        <w:tc>
          <w:tcPr>
            <w:shd w:val="clear" w:color="auto" w:fill="ffffff" w:themeFill="background1"/>
            <w:tcMar>
              <w:left w:w="144" w:type="dxa"/>
              <w:top w:w="72" w:type="dxa"/>
              <w:right w:w="144" w:type="dxa"/>
              <w:bottom w:w="72" w:type="dxa"/>
            </w:tcMar>
            <w:tcW w:w="29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b/>
                <w:bCs/>
                <w:sz w:val="24"/>
              </w:rPr>
              <w:t xml:space="preserve">污水泵站名称</w:t>
            </w:r>
            <w:r/>
          </w:p>
        </w:tc>
        <w:tc>
          <w:tcPr>
            <w:shd w:val="clear" w:color="auto" w:fill="ffffff" w:themeFill="background1"/>
            <w:tcMar>
              <w:left w:w="144" w:type="dxa"/>
              <w:top w:w="72" w:type="dxa"/>
              <w:right w:w="144" w:type="dxa"/>
              <w:bottom w:w="72" w:type="dxa"/>
            </w:tcMar>
            <w:tcW w:w="476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b/>
                <w:bCs/>
                <w:sz w:val="24"/>
              </w:rPr>
              <w:t xml:space="preserve">监测参数控制类型</w:t>
            </w:r>
            <w:r/>
          </w:p>
        </w:tc>
      </w:tr>
      <w:tr>
        <w:trPr>
          <w:jc w:val="center"/>
          <w:trHeight w:val="340"/>
        </w:trPr>
        <w:tc>
          <w:tcPr>
            <w:shd w:val="clear" w:color="auto" w:fill="ffffff" w:themeFill="background1"/>
            <w:tcMar>
              <w:left w:w="144" w:type="dxa"/>
              <w:top w:w="72" w:type="dxa"/>
              <w:right w:w="144" w:type="dxa"/>
              <w:bottom w:w="72" w:type="dxa"/>
            </w:tcMar>
            <w:tcW w:w="12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1</w:t>
            </w:r>
            <w:r/>
          </w:p>
        </w:tc>
        <w:tc>
          <w:tcPr>
            <w:shd w:val="clear" w:color="auto" w:fill="ffffff" w:themeFill="background1"/>
            <w:tcMar>
              <w:left w:w="144" w:type="dxa"/>
              <w:top w:w="72" w:type="dxa"/>
              <w:right w:w="144" w:type="dxa"/>
              <w:bottom w:w="72" w:type="dxa"/>
            </w:tcMar>
            <w:tcW w:w="29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1#</w:t>
            </w:r>
            <w:r/>
          </w:p>
        </w:tc>
        <w:tc>
          <w:tcPr>
            <w:shd w:val="clear" w:color="auto" w:fill="ffffff" w:themeFill="background1"/>
            <w:tcMar>
              <w:left w:w="144" w:type="dxa"/>
              <w:top w:w="72" w:type="dxa"/>
              <w:right w:w="144" w:type="dxa"/>
              <w:bottom w:w="72" w:type="dxa"/>
            </w:tcMar>
            <w:tcW w:w="476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水位、工况、现地远程控制</w:t>
            </w:r>
            <w:r/>
          </w:p>
        </w:tc>
      </w:tr>
      <w:tr>
        <w:trPr>
          <w:jc w:val="center"/>
          <w:trHeight w:val="340"/>
        </w:trPr>
        <w:tc>
          <w:tcPr>
            <w:shd w:val="clear" w:color="auto" w:fill="ffffff" w:themeFill="background1"/>
            <w:tcMar>
              <w:left w:w="144" w:type="dxa"/>
              <w:top w:w="72" w:type="dxa"/>
              <w:right w:w="144" w:type="dxa"/>
              <w:bottom w:w="72" w:type="dxa"/>
            </w:tcMar>
            <w:tcW w:w="12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2</w:t>
            </w:r>
            <w:r/>
          </w:p>
        </w:tc>
        <w:tc>
          <w:tcPr>
            <w:shd w:val="clear" w:color="auto" w:fill="ffffff" w:themeFill="background1"/>
            <w:tcMar>
              <w:left w:w="144" w:type="dxa"/>
              <w:top w:w="72" w:type="dxa"/>
              <w:right w:w="144" w:type="dxa"/>
              <w:bottom w:w="72" w:type="dxa"/>
            </w:tcMar>
            <w:tcW w:w="29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2#</w:t>
            </w:r>
            <w:r/>
          </w:p>
        </w:tc>
        <w:tc>
          <w:tcPr>
            <w:shd w:val="clear" w:color="auto" w:fill="ffffff" w:themeFill="background1"/>
            <w:tcMar>
              <w:left w:w="144" w:type="dxa"/>
              <w:top w:w="72" w:type="dxa"/>
              <w:right w:w="144" w:type="dxa"/>
              <w:bottom w:w="72" w:type="dxa"/>
            </w:tcMar>
            <w:tcW w:w="476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水位、工况、现地远程控制</w:t>
            </w:r>
            <w:r/>
          </w:p>
        </w:tc>
      </w:tr>
      <w:tr>
        <w:trPr>
          <w:jc w:val="center"/>
          <w:trHeight w:val="340"/>
        </w:trPr>
        <w:tc>
          <w:tcPr>
            <w:shd w:val="clear" w:color="auto" w:fill="ffffff" w:themeFill="background1"/>
            <w:tcMar>
              <w:left w:w="144" w:type="dxa"/>
              <w:top w:w="72" w:type="dxa"/>
              <w:right w:w="144" w:type="dxa"/>
              <w:bottom w:w="72" w:type="dxa"/>
            </w:tcMar>
            <w:tcW w:w="12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3</w:t>
            </w:r>
            <w:r/>
          </w:p>
        </w:tc>
        <w:tc>
          <w:tcPr>
            <w:shd w:val="clear" w:color="auto" w:fill="ffffff" w:themeFill="background1"/>
            <w:tcMar>
              <w:left w:w="144" w:type="dxa"/>
              <w:top w:w="72" w:type="dxa"/>
              <w:right w:w="144" w:type="dxa"/>
              <w:bottom w:w="72" w:type="dxa"/>
            </w:tcMar>
            <w:tcW w:w="29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3#</w:t>
            </w:r>
            <w:r/>
          </w:p>
        </w:tc>
        <w:tc>
          <w:tcPr>
            <w:shd w:val="clear" w:color="auto" w:fill="ffffff" w:themeFill="background1"/>
            <w:tcMar>
              <w:left w:w="144" w:type="dxa"/>
              <w:top w:w="72" w:type="dxa"/>
              <w:right w:w="144" w:type="dxa"/>
              <w:bottom w:w="72" w:type="dxa"/>
            </w:tcMar>
            <w:tcW w:w="476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水位、工况、现地远程控制</w:t>
            </w:r>
            <w:r/>
          </w:p>
        </w:tc>
      </w:tr>
      <w:tr>
        <w:trPr>
          <w:jc w:val="center"/>
          <w:trHeight w:val="340"/>
        </w:trPr>
        <w:tc>
          <w:tcPr>
            <w:shd w:val="clear" w:color="auto" w:fill="ffffff" w:themeFill="background1"/>
            <w:tcMar>
              <w:left w:w="144" w:type="dxa"/>
              <w:top w:w="72" w:type="dxa"/>
              <w:right w:w="144" w:type="dxa"/>
              <w:bottom w:w="72" w:type="dxa"/>
            </w:tcMar>
            <w:tcW w:w="12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4</w:t>
            </w:r>
            <w:r/>
          </w:p>
        </w:tc>
        <w:tc>
          <w:tcPr>
            <w:shd w:val="clear" w:color="auto" w:fill="ffffff" w:themeFill="background1"/>
            <w:tcMar>
              <w:left w:w="144" w:type="dxa"/>
              <w:top w:w="72" w:type="dxa"/>
              <w:right w:w="144" w:type="dxa"/>
              <w:bottom w:w="72" w:type="dxa"/>
            </w:tcMar>
            <w:tcW w:w="29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4#</w:t>
            </w:r>
            <w:r/>
          </w:p>
        </w:tc>
        <w:tc>
          <w:tcPr>
            <w:shd w:val="clear" w:color="auto" w:fill="ffffff" w:themeFill="background1"/>
            <w:tcMar>
              <w:left w:w="144" w:type="dxa"/>
              <w:top w:w="72" w:type="dxa"/>
              <w:right w:w="144" w:type="dxa"/>
              <w:bottom w:w="72" w:type="dxa"/>
            </w:tcMar>
            <w:tcW w:w="476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水位、工况、现地远程控制</w:t>
            </w:r>
            <w:r/>
          </w:p>
        </w:tc>
      </w:tr>
      <w:tr>
        <w:trPr>
          <w:jc w:val="center"/>
          <w:trHeight w:val="340"/>
        </w:trPr>
        <w:tc>
          <w:tcPr>
            <w:shd w:val="clear" w:color="auto" w:fill="ffffff" w:themeFill="background1"/>
            <w:tcMar>
              <w:left w:w="144" w:type="dxa"/>
              <w:top w:w="72" w:type="dxa"/>
              <w:right w:w="144" w:type="dxa"/>
              <w:bottom w:w="72" w:type="dxa"/>
            </w:tcMar>
            <w:tcW w:w="12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5</w:t>
            </w:r>
            <w:r/>
          </w:p>
        </w:tc>
        <w:tc>
          <w:tcPr>
            <w:shd w:val="clear" w:color="auto" w:fill="ffffff" w:themeFill="background1"/>
            <w:tcMar>
              <w:left w:w="144" w:type="dxa"/>
              <w:top w:w="72" w:type="dxa"/>
              <w:right w:w="144" w:type="dxa"/>
              <w:bottom w:w="72" w:type="dxa"/>
            </w:tcMar>
            <w:tcW w:w="29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清水亭</w:t>
            </w:r>
            <w:r/>
          </w:p>
        </w:tc>
        <w:tc>
          <w:tcPr>
            <w:shd w:val="clear" w:color="auto" w:fill="ffffff" w:themeFill="background1"/>
            <w:tcMar>
              <w:left w:w="144" w:type="dxa"/>
              <w:top w:w="72" w:type="dxa"/>
              <w:right w:w="144" w:type="dxa"/>
              <w:bottom w:w="72" w:type="dxa"/>
            </w:tcMar>
            <w:tcW w:w="476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水位、工况、现地远程控制</w:t>
            </w:r>
            <w:r/>
          </w:p>
        </w:tc>
      </w:tr>
      <w:tr>
        <w:trPr>
          <w:jc w:val="center"/>
          <w:trHeight w:val="340"/>
        </w:trPr>
        <w:tc>
          <w:tcPr>
            <w:shd w:val="clear" w:color="auto" w:fill="ffffff" w:themeFill="background1"/>
            <w:tcMar>
              <w:left w:w="144" w:type="dxa"/>
              <w:top w:w="72" w:type="dxa"/>
              <w:right w:w="144" w:type="dxa"/>
              <w:bottom w:w="72" w:type="dxa"/>
            </w:tcMar>
            <w:tcW w:w="12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6</w:t>
            </w:r>
            <w:r/>
          </w:p>
        </w:tc>
        <w:tc>
          <w:tcPr>
            <w:shd w:val="clear" w:color="auto" w:fill="ffffff" w:themeFill="background1"/>
            <w:tcMar>
              <w:left w:w="144" w:type="dxa"/>
              <w:top w:w="72" w:type="dxa"/>
              <w:right w:w="144" w:type="dxa"/>
              <w:bottom w:w="72" w:type="dxa"/>
            </w:tcMar>
            <w:tcW w:w="29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将军南路</w:t>
            </w:r>
            <w:r/>
          </w:p>
        </w:tc>
        <w:tc>
          <w:tcPr>
            <w:shd w:val="clear" w:color="auto" w:fill="ffffff" w:themeFill="background1"/>
            <w:tcMar>
              <w:left w:w="144" w:type="dxa"/>
              <w:top w:w="72" w:type="dxa"/>
              <w:right w:w="144" w:type="dxa"/>
              <w:bottom w:w="72" w:type="dxa"/>
            </w:tcMar>
            <w:tcW w:w="476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水位、工况、现地远程控制</w:t>
            </w:r>
            <w:r/>
          </w:p>
        </w:tc>
      </w:tr>
      <w:tr>
        <w:trPr>
          <w:jc w:val="center"/>
          <w:trHeight w:val="340"/>
        </w:trPr>
        <w:tc>
          <w:tcPr>
            <w:shd w:val="clear" w:color="auto" w:fill="ffffff" w:themeFill="background1"/>
            <w:tcMar>
              <w:left w:w="144" w:type="dxa"/>
              <w:top w:w="72" w:type="dxa"/>
              <w:right w:w="144" w:type="dxa"/>
              <w:bottom w:w="72" w:type="dxa"/>
            </w:tcMar>
            <w:tcW w:w="12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7</w:t>
            </w:r>
            <w:r/>
          </w:p>
        </w:tc>
        <w:tc>
          <w:tcPr>
            <w:shd w:val="clear" w:color="auto" w:fill="ffffff" w:themeFill="background1"/>
            <w:tcMar>
              <w:left w:w="144" w:type="dxa"/>
              <w:top w:w="72" w:type="dxa"/>
              <w:right w:w="144" w:type="dxa"/>
              <w:bottom w:w="72" w:type="dxa"/>
            </w:tcMar>
            <w:tcW w:w="290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殷华街污水提升泵站</w:t>
            </w:r>
            <w:r/>
          </w:p>
        </w:tc>
        <w:tc>
          <w:tcPr>
            <w:shd w:val="clear" w:color="auto" w:fill="ffffff" w:themeFill="background1"/>
            <w:tcMar>
              <w:left w:w="144" w:type="dxa"/>
              <w:top w:w="72" w:type="dxa"/>
              <w:right w:w="144" w:type="dxa"/>
              <w:bottom w:w="72" w:type="dxa"/>
            </w:tcMar>
            <w:tcW w:w="4760"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水位、工况</w:t>
            </w:r>
            <w:r/>
          </w:p>
        </w:tc>
      </w:tr>
    </w:tbl>
    <w:p>
      <w:pPr>
        <w:ind w:firstLine="480"/>
        <w:spacing w:line="360" w:lineRule="auto"/>
        <w:rPr>
          <w:rFonts w:hint="eastAsia" w:ascii="仿宋" w:hAnsi="仿宋" w:eastAsia="仿宋" w:cs="等线"/>
          <w:sz w:val="24"/>
        </w:rPr>
      </w:pPr>
      <w:r>
        <w:rPr>
          <w:rFonts w:hint="eastAsia" w:ascii="仿宋" w:hAnsi="仿宋" w:eastAsia="仿宋" w:cs="等线"/>
          <w:sz w:val="24"/>
        </w:rPr>
        <w:t xml:space="preserve">设备主要功能如下：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控制系统采用基于PLC的远程TCP/IP通讯，实现泵站的远程控制，采用本地控制、远程控制、自动控制三级控制逻辑，实现泵站的远程控制。纯硬件的本</w:t>
      </w:r>
      <w:r>
        <w:rPr>
          <w:rFonts w:hint="eastAsia" w:ascii="仿宋" w:hAnsi="仿宋" w:eastAsia="仿宋" w:cs="等线"/>
          <w:sz w:val="24"/>
        </w:rPr>
        <w:t xml:space="preserve">地控制保护逻辑，当运行于本地控制逻辑时，系统禁止远程控制和自动控制。日常保障设备控制系统通讯正常。有效的降低污水泵站的运行成本，提高运行效率，提高泵站的自动化控制及信息化管理水平。设备需具备保护功能即在任何状态下都确保设备能安全运行。泵站电气信息化自控装置集成了泵站电气主回路及二次回路，软启、</w:t>
      </w:r>
      <w:r>
        <w:rPr>
          <w:rFonts w:hint="eastAsia" w:ascii="仿宋" w:hAnsi="仿宋" w:eastAsia="仿宋" w:cs="等线"/>
          <w:sz w:val="24"/>
        </w:rPr>
        <w:t xml:space="preserve">软停及</w:t>
      </w:r>
      <w:r>
        <w:rPr>
          <w:rFonts w:hint="eastAsia" w:ascii="仿宋" w:hAnsi="仿宋" w:eastAsia="仿宋" w:cs="等线"/>
          <w:sz w:val="24"/>
        </w:rPr>
        <w:t xml:space="preserve">节能控制，主设备保护泵站各种运行参数检测，辅助设备的控制及保护，个性化人机界面的操作控制，各种泵站运行参数信息的储存及远传，远程指令的接受及控制。通过有线或无线的通信网络将泵站信息传输到管理中心。</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3、河湖沟渠水系水质监测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河湖沟渠水系水质监测监测江宁开发区主要河渠水质（COD、TP、NH3-N、pH、温度、溶氧、电导率、浊度）参数，保障设备在线状态，主动检测水质标本，上报实时动态数据至管理平台，定期更换检测药剂，为开发区内引水补源、水质净化提供数据支撑。</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3.1设备区域点位如下：</w:t>
      </w:r>
      <w:r/>
    </w:p>
    <w:tbl>
      <w:tblPr>
        <w:tblW w:w="886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left w:w="0" w:type="dxa"/>
          <w:right w:w="0" w:type="dxa"/>
        </w:tblCellMar>
        <w:tblLook w:val="04A0" w:firstRow="1" w:lastRow="0" w:firstColumn="1" w:lastColumn="0" w:noHBand="0" w:noVBand="1"/>
      </w:tblPr>
      <w:tblGrid>
        <w:gridCol w:w="853"/>
        <w:gridCol w:w="2126"/>
        <w:gridCol w:w="5881"/>
      </w:tblGrid>
      <w:tr>
        <w:trPr>
          <w:trHeight w:val="456"/>
        </w:trPr>
        <w:tc>
          <w:tcPr>
            <w:shd w:val="clear" w:color="auto" w:fill="ffffff" w:themeFill="background1"/>
            <w:tcMar>
              <w:left w:w="144" w:type="dxa"/>
              <w:top w:w="72" w:type="dxa"/>
              <w:right w:w="144" w:type="dxa"/>
              <w:bottom w:w="72" w:type="dxa"/>
            </w:tcMar>
            <w:tcW w:w="853"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b/>
                <w:bCs/>
                <w:sz w:val="24"/>
              </w:rPr>
              <w:t xml:space="preserve">序号</w:t>
            </w:r>
            <w:r/>
          </w:p>
        </w:tc>
        <w:tc>
          <w:tcPr>
            <w:shd w:val="clear" w:color="auto" w:fill="ffffff" w:themeFill="background1"/>
            <w:tcMar>
              <w:left w:w="144" w:type="dxa"/>
              <w:top w:w="72" w:type="dxa"/>
              <w:right w:w="144" w:type="dxa"/>
              <w:bottom w:w="72" w:type="dxa"/>
            </w:tcMar>
            <w:tcW w:w="2126"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b/>
                <w:bCs/>
                <w:sz w:val="24"/>
              </w:rPr>
              <w:t xml:space="preserve">河流名称</w:t>
            </w:r>
            <w:r/>
          </w:p>
        </w:tc>
        <w:tc>
          <w:tcPr>
            <w:shd w:val="clear" w:color="auto" w:fill="ffffff" w:themeFill="background1"/>
            <w:tcMar>
              <w:left w:w="144" w:type="dxa"/>
              <w:top w:w="72" w:type="dxa"/>
              <w:right w:w="144" w:type="dxa"/>
              <w:bottom w:w="72" w:type="dxa"/>
            </w:tcMar>
            <w:tcW w:w="5881"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b/>
                <w:bCs/>
                <w:sz w:val="24"/>
              </w:rPr>
              <w:t xml:space="preserve">监测参数</w:t>
            </w:r>
            <w:r/>
          </w:p>
        </w:tc>
      </w:tr>
      <w:tr>
        <w:trPr>
          <w:trHeight w:val="141"/>
        </w:trPr>
        <w:tc>
          <w:tcPr>
            <w:shd w:val="clear" w:color="auto" w:fill="ffffff" w:themeFill="background1"/>
            <w:tcMar>
              <w:left w:w="144" w:type="dxa"/>
              <w:top w:w="72" w:type="dxa"/>
              <w:right w:w="144" w:type="dxa"/>
              <w:bottom w:w="72" w:type="dxa"/>
            </w:tcMar>
            <w:tcW w:w="853"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1</w:t>
            </w:r>
            <w:r/>
          </w:p>
        </w:tc>
        <w:tc>
          <w:tcPr>
            <w:shd w:val="clear" w:color="auto" w:fill="ffffff" w:themeFill="background1"/>
            <w:tcMar>
              <w:left w:w="144" w:type="dxa"/>
              <w:top w:w="72" w:type="dxa"/>
              <w:right w:w="144" w:type="dxa"/>
              <w:bottom w:w="72" w:type="dxa"/>
            </w:tcMar>
            <w:tcW w:w="2126"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秦淮河区域</w:t>
            </w:r>
            <w:r/>
          </w:p>
        </w:tc>
        <w:tc>
          <w:tcPr>
            <w:shd w:val="clear" w:color="auto" w:fill="ffffff" w:themeFill="background1"/>
            <w:tcMar>
              <w:left w:w="144" w:type="dxa"/>
              <w:top w:w="72" w:type="dxa"/>
              <w:right w:w="144" w:type="dxa"/>
              <w:bottom w:w="72" w:type="dxa"/>
            </w:tcMar>
            <w:tcW w:w="5881"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COD、TP、NH3-N、pH、温度、溶氧、电导率、浊度</w:t>
            </w:r>
            <w:r/>
          </w:p>
        </w:tc>
      </w:tr>
      <w:tr>
        <w:trPr>
          <w:trHeight w:val="233"/>
        </w:trPr>
        <w:tc>
          <w:tcPr>
            <w:shd w:val="clear" w:color="auto" w:fill="ffffff" w:themeFill="background1"/>
            <w:tcMar>
              <w:left w:w="144" w:type="dxa"/>
              <w:top w:w="72" w:type="dxa"/>
              <w:right w:w="144" w:type="dxa"/>
              <w:bottom w:w="72" w:type="dxa"/>
            </w:tcMar>
            <w:tcW w:w="853"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2</w:t>
            </w:r>
            <w:r/>
          </w:p>
        </w:tc>
        <w:tc>
          <w:tcPr>
            <w:shd w:val="clear" w:color="auto" w:fill="ffffff" w:themeFill="background1"/>
            <w:tcMar>
              <w:left w:w="144" w:type="dxa"/>
              <w:top w:w="72" w:type="dxa"/>
              <w:right w:w="144" w:type="dxa"/>
              <w:bottom w:w="72" w:type="dxa"/>
            </w:tcMar>
            <w:tcW w:w="2126"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秦淮新河区域</w:t>
            </w:r>
            <w:r/>
          </w:p>
        </w:tc>
        <w:tc>
          <w:tcPr>
            <w:shd w:val="clear" w:color="auto" w:fill="ffffff" w:themeFill="background1"/>
            <w:tcMar>
              <w:left w:w="144" w:type="dxa"/>
              <w:top w:w="72" w:type="dxa"/>
              <w:right w:w="144" w:type="dxa"/>
              <w:bottom w:w="72" w:type="dxa"/>
            </w:tcMar>
            <w:tcW w:w="5881"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COD、TP、NH3-N、pH、温度、溶氧、电导率、浊度</w:t>
            </w:r>
            <w:r/>
          </w:p>
        </w:tc>
      </w:tr>
      <w:tr>
        <w:trPr>
          <w:trHeight w:val="197"/>
        </w:trPr>
        <w:tc>
          <w:tcPr>
            <w:shd w:val="clear" w:color="auto" w:fill="ffffff" w:themeFill="background1"/>
            <w:tcMar>
              <w:left w:w="144" w:type="dxa"/>
              <w:top w:w="72" w:type="dxa"/>
              <w:right w:w="144" w:type="dxa"/>
              <w:bottom w:w="72" w:type="dxa"/>
            </w:tcMar>
            <w:tcW w:w="853"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3</w:t>
            </w:r>
            <w:r/>
          </w:p>
        </w:tc>
        <w:tc>
          <w:tcPr>
            <w:shd w:val="clear" w:color="auto" w:fill="ffffff" w:themeFill="background1"/>
            <w:tcMar>
              <w:left w:w="144" w:type="dxa"/>
              <w:top w:w="72" w:type="dxa"/>
              <w:right w:w="144" w:type="dxa"/>
              <w:bottom w:w="72" w:type="dxa"/>
            </w:tcMar>
            <w:tcW w:w="2126"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牛首山河区域</w:t>
            </w:r>
            <w:r/>
          </w:p>
        </w:tc>
        <w:tc>
          <w:tcPr>
            <w:shd w:val="clear" w:color="auto" w:fill="ffffff" w:themeFill="background1"/>
            <w:tcMar>
              <w:left w:w="144" w:type="dxa"/>
              <w:top w:w="72" w:type="dxa"/>
              <w:right w:w="144" w:type="dxa"/>
              <w:bottom w:w="72" w:type="dxa"/>
            </w:tcMar>
            <w:tcW w:w="5881"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COD、TP、NH3-N、pH、温度、溶氧、电导率、浊度</w:t>
            </w:r>
            <w:r/>
          </w:p>
        </w:tc>
      </w:tr>
      <w:tr>
        <w:trPr>
          <w:trHeight w:val="18"/>
        </w:trPr>
        <w:tc>
          <w:tcPr>
            <w:shd w:val="clear" w:color="auto" w:fill="ffffff" w:themeFill="background1"/>
            <w:tcMar>
              <w:left w:w="144" w:type="dxa"/>
              <w:top w:w="72" w:type="dxa"/>
              <w:right w:w="144" w:type="dxa"/>
              <w:bottom w:w="72" w:type="dxa"/>
            </w:tcMar>
            <w:tcW w:w="853"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4</w:t>
            </w:r>
            <w:r/>
          </w:p>
        </w:tc>
        <w:tc>
          <w:tcPr>
            <w:shd w:val="clear" w:color="auto" w:fill="ffffff" w:themeFill="background1"/>
            <w:tcMar>
              <w:left w:w="144" w:type="dxa"/>
              <w:top w:w="72" w:type="dxa"/>
              <w:right w:w="144" w:type="dxa"/>
              <w:bottom w:w="72" w:type="dxa"/>
            </w:tcMar>
            <w:tcW w:w="2126"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马木桥区域</w:t>
            </w:r>
            <w:r/>
          </w:p>
        </w:tc>
        <w:tc>
          <w:tcPr>
            <w:shd w:val="clear" w:color="auto" w:fill="ffffff" w:themeFill="background1"/>
            <w:tcMar>
              <w:left w:w="144" w:type="dxa"/>
              <w:top w:w="72" w:type="dxa"/>
              <w:right w:w="144" w:type="dxa"/>
              <w:bottom w:w="72" w:type="dxa"/>
            </w:tcMar>
            <w:tcW w:w="5881"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COD、TP、NH3-N、pH、温度、溶氧、电导率、浊度</w:t>
            </w:r>
            <w:r/>
          </w:p>
        </w:tc>
      </w:tr>
      <w:tr>
        <w:trPr>
          <w:trHeight w:val="18"/>
        </w:trPr>
        <w:tc>
          <w:tcPr>
            <w:shd w:val="clear" w:color="auto" w:fill="ffffff" w:themeFill="background1"/>
            <w:tcMar>
              <w:left w:w="144" w:type="dxa"/>
              <w:top w:w="72" w:type="dxa"/>
              <w:right w:w="144" w:type="dxa"/>
              <w:bottom w:w="72" w:type="dxa"/>
            </w:tcMar>
            <w:tcW w:w="853"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5</w:t>
            </w:r>
            <w:r/>
          </w:p>
        </w:tc>
        <w:tc>
          <w:tcPr>
            <w:shd w:val="clear" w:color="auto" w:fill="ffffff" w:themeFill="background1"/>
            <w:tcMar>
              <w:left w:w="144" w:type="dxa"/>
              <w:top w:w="72" w:type="dxa"/>
              <w:right w:w="144" w:type="dxa"/>
              <w:bottom w:w="72" w:type="dxa"/>
            </w:tcMar>
            <w:tcW w:w="2126"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前桥</w:t>
            </w:r>
            <w:r>
              <w:rPr>
                <w:rFonts w:hint="eastAsia" w:ascii="仿宋" w:hAnsi="仿宋" w:eastAsia="仿宋"/>
                <w:sz w:val="24"/>
              </w:rPr>
              <w:t xml:space="preserve">站区域</w:t>
            </w:r>
            <w:r/>
          </w:p>
        </w:tc>
        <w:tc>
          <w:tcPr>
            <w:shd w:val="clear" w:color="auto" w:fill="ffffff" w:themeFill="background1"/>
            <w:tcMar>
              <w:left w:w="144" w:type="dxa"/>
              <w:top w:w="72" w:type="dxa"/>
              <w:right w:w="144" w:type="dxa"/>
              <w:bottom w:w="72" w:type="dxa"/>
            </w:tcMar>
            <w:tcW w:w="5881"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COD、TP、NH3-N、pH、温度、溶氧、电导率、浊度</w:t>
            </w:r>
            <w:r/>
          </w:p>
        </w:tc>
      </w:tr>
      <w:tr>
        <w:trPr>
          <w:trHeight w:val="18"/>
        </w:trPr>
        <w:tc>
          <w:tcPr>
            <w:shd w:val="clear" w:color="auto" w:fill="ffffff" w:themeFill="background1"/>
            <w:tcMar>
              <w:left w:w="144" w:type="dxa"/>
              <w:top w:w="72" w:type="dxa"/>
              <w:right w:w="144" w:type="dxa"/>
              <w:bottom w:w="72" w:type="dxa"/>
            </w:tcMar>
            <w:tcW w:w="853"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6</w:t>
            </w:r>
            <w:r/>
          </w:p>
        </w:tc>
        <w:tc>
          <w:tcPr>
            <w:shd w:val="clear" w:color="auto" w:fill="ffffff" w:themeFill="background1"/>
            <w:tcMar>
              <w:left w:w="144" w:type="dxa"/>
              <w:top w:w="72" w:type="dxa"/>
              <w:right w:w="144" w:type="dxa"/>
              <w:bottom w:w="72" w:type="dxa"/>
            </w:tcMar>
            <w:tcW w:w="2126"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太平</w:t>
            </w:r>
            <w:r>
              <w:rPr>
                <w:rFonts w:hint="eastAsia" w:ascii="仿宋" w:hAnsi="仿宋" w:eastAsia="仿宋"/>
                <w:sz w:val="24"/>
              </w:rPr>
              <w:t xml:space="preserve">站区域</w:t>
            </w:r>
            <w:r/>
          </w:p>
        </w:tc>
        <w:tc>
          <w:tcPr>
            <w:shd w:val="clear" w:color="auto" w:fill="ffffff" w:themeFill="background1"/>
            <w:tcMar>
              <w:left w:w="144" w:type="dxa"/>
              <w:top w:w="72" w:type="dxa"/>
              <w:right w:w="144" w:type="dxa"/>
              <w:bottom w:w="72" w:type="dxa"/>
            </w:tcMar>
            <w:tcW w:w="5881"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COD、TP、NH3-N、pH、温度、溶氧、电导率、浊度</w:t>
            </w:r>
            <w:r/>
          </w:p>
        </w:tc>
      </w:tr>
      <w:tr>
        <w:trPr>
          <w:trHeight w:val="18"/>
        </w:trPr>
        <w:tc>
          <w:tcPr>
            <w:shd w:val="clear" w:color="auto" w:fill="ffffff" w:themeFill="background1"/>
            <w:tcMar>
              <w:left w:w="144" w:type="dxa"/>
              <w:top w:w="72" w:type="dxa"/>
              <w:right w:w="144" w:type="dxa"/>
              <w:bottom w:w="72" w:type="dxa"/>
            </w:tcMar>
            <w:tcW w:w="853"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7</w:t>
            </w:r>
            <w:r/>
          </w:p>
        </w:tc>
        <w:tc>
          <w:tcPr>
            <w:shd w:val="clear" w:color="auto" w:fill="ffffff" w:themeFill="background1"/>
            <w:tcMar>
              <w:left w:w="144" w:type="dxa"/>
              <w:top w:w="72" w:type="dxa"/>
              <w:right w:w="144" w:type="dxa"/>
              <w:bottom w:w="72" w:type="dxa"/>
            </w:tcMar>
            <w:tcW w:w="2126"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小</w:t>
            </w:r>
            <w:r>
              <w:rPr>
                <w:rFonts w:hint="eastAsia" w:ascii="仿宋" w:hAnsi="仿宋" w:eastAsia="仿宋"/>
                <w:sz w:val="24"/>
              </w:rPr>
              <w:t xml:space="preserve">西圩站区域</w:t>
            </w:r>
            <w:r/>
          </w:p>
        </w:tc>
        <w:tc>
          <w:tcPr>
            <w:shd w:val="clear" w:color="auto" w:fill="ffffff" w:themeFill="background1"/>
            <w:tcMar>
              <w:left w:w="144" w:type="dxa"/>
              <w:top w:w="72" w:type="dxa"/>
              <w:right w:w="144" w:type="dxa"/>
              <w:bottom w:w="72" w:type="dxa"/>
            </w:tcMar>
            <w:tcW w:w="5881" w:type="dxa"/>
            <w:vAlign w:val="center"/>
            <w:textDirection w:val="lrTb"/>
            <w:noWrap w:val="false"/>
          </w:tcPr>
          <w:p>
            <w:pPr>
              <w:jc w:val="center"/>
              <w:spacing w:before="120" w:after="120"/>
              <w:rPr>
                <w:rFonts w:hint="eastAsia" w:ascii="仿宋" w:hAnsi="仿宋" w:eastAsia="仿宋"/>
                <w:sz w:val="24"/>
              </w:rPr>
            </w:pPr>
            <w:r>
              <w:rPr>
                <w:rFonts w:hint="eastAsia" w:ascii="仿宋" w:hAnsi="仿宋" w:eastAsia="仿宋"/>
                <w:sz w:val="24"/>
              </w:rPr>
              <w:t xml:space="preserve">COD、TP、NH3-N、pH、温度、溶氧、电导率、浊度</w:t>
            </w:r>
            <w:r/>
          </w:p>
        </w:tc>
      </w:tr>
    </w:tbl>
    <w:p>
      <w:pPr>
        <w:ind w:firstLine="480"/>
        <w:spacing w:line="360" w:lineRule="auto"/>
        <w:rPr>
          <w:rFonts w:hint="eastAsia" w:ascii="仿宋" w:hAnsi="仿宋" w:eastAsia="仿宋" w:cs="等线"/>
          <w:sz w:val="24"/>
        </w:rPr>
      </w:pPr>
      <w:r>
        <w:rPr>
          <w:rFonts w:hint="eastAsia" w:ascii="仿宋" w:hAnsi="仿宋" w:eastAsia="仿宋" w:cs="等线"/>
          <w:sz w:val="24"/>
        </w:rPr>
        <w:t xml:space="preserve">3.2设备主要功能如下：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水质自动监测需由采水单元、预处理单元、检测单元、控制单元、数据传输通讯单元等组成，以实现水质的实时在线自动分析。其中采水</w:t>
      </w:r>
      <w:r>
        <w:rPr>
          <w:rFonts w:hint="eastAsia" w:ascii="仿宋" w:hAnsi="仿宋" w:eastAsia="仿宋" w:cs="等线"/>
          <w:sz w:val="24"/>
        </w:rPr>
        <w:t xml:space="preserve">单元由采水泵</w:t>
      </w:r>
      <w:r>
        <w:rPr>
          <w:rFonts w:hint="eastAsia" w:ascii="仿宋" w:hAnsi="仿宋" w:eastAsia="仿宋" w:cs="等线"/>
          <w:sz w:val="24"/>
        </w:rPr>
        <w:t xml:space="preserve">、采水管路及辅助设施浮筒、栈桥、电缆等组成；预处理单元由沉沙、粗滤、细虑及</w:t>
      </w:r>
      <w:r>
        <w:rPr>
          <w:rFonts w:hint="eastAsia" w:ascii="仿宋" w:hAnsi="仿宋" w:eastAsia="仿宋" w:cs="等线"/>
          <w:sz w:val="24"/>
        </w:rPr>
        <w:t xml:space="preserve">管路、阀门、液位传感器等组成；仪表分析检测单元由五参数分析仪（温度、PH、溶解氧、电导率、浊度）、氨氮分析仪、高锰酸</w:t>
      </w:r>
      <w:r>
        <w:rPr>
          <w:rFonts w:hint="eastAsia" w:ascii="仿宋" w:hAnsi="仿宋" w:eastAsia="仿宋" w:cs="等线"/>
          <w:sz w:val="24"/>
        </w:rPr>
        <w:t xml:space="preserve">盐分析</w:t>
      </w:r>
      <w:r>
        <w:rPr>
          <w:rFonts w:hint="eastAsia" w:ascii="仿宋" w:hAnsi="仿宋" w:eastAsia="仿宋" w:cs="等线"/>
          <w:sz w:val="24"/>
        </w:rPr>
        <w:t xml:space="preserve">仪、总磷</w:t>
      </w:r>
      <w:r>
        <w:rPr>
          <w:rFonts w:hint="eastAsia" w:ascii="仿宋" w:hAnsi="仿宋" w:eastAsia="仿宋" w:cs="等线"/>
          <w:sz w:val="24"/>
        </w:rPr>
        <w:t xml:space="preserve">分析仪分析仪</w:t>
      </w:r>
      <w:r>
        <w:rPr>
          <w:rFonts w:hint="eastAsia" w:ascii="仿宋" w:hAnsi="仿宋" w:eastAsia="仿宋" w:cs="等线"/>
          <w:sz w:val="24"/>
        </w:rPr>
        <w:t xml:space="preserve">等组成；控制单元由仪器控制元器件、逻辑控制器等组成，数据传输通讯单元由数据采集模块，现场总线、通讯系统等组成。保障日常监测药剂的更换。</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4、积水告警监测</w:t>
      </w:r>
      <w:r/>
    </w:p>
    <w:p>
      <w:pPr>
        <w:jc w:val="center"/>
        <w:spacing w:line="360" w:lineRule="auto"/>
        <w:rPr>
          <w:rFonts w:hint="eastAsia" w:ascii="仿宋" w:hAnsi="仿宋" w:eastAsia="仿宋" w:cs="等线"/>
          <w:sz w:val="24"/>
        </w:rPr>
      </w:pPr>
      <w:r>
        <w:rPr>
          <w:rFonts w:ascii="仿宋" w:hAnsi="仿宋" w:eastAsia="仿宋"/>
        </w:rPr>
        <mc:AlternateContent>
          <mc:Choice Requires="wpg">
            <w:drawing>
              <wp:inline xmlns:wp="http://schemas.openxmlformats.org/drawingml/2006/wordprocessingDrawing" distT="0" distB="0" distL="0" distR="0">
                <wp:extent cx="5229225" cy="2667000"/>
                <wp:effectExtent l="0" t="0" r="0" b="0"/>
                <wp:docPr id="3" name="图片 560438650"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38650" name="图片 560438650" descr="地图&#10;&#10;描述已自动生成"/>
                        <pic:cNvPicPr>
                          <a:picLocks noChangeAspect="1"/>
                        </pic:cNvPicPr>
                        <pic:nvPr/>
                      </pic:nvPicPr>
                      <pic:blipFill>
                        <a:blip r:embed="rId19"/>
                        <a:stretch/>
                      </pic:blipFill>
                      <pic:spPr bwMode="auto">
                        <a:xfrm>
                          <a:off x="0" y="0"/>
                          <a:ext cx="5236589" cy="267075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1.8pt;height:210.0pt;mso-wrap-distance-left:0.0pt;mso-wrap-distance-top:0.0pt;mso-wrap-distance-right:0.0pt;mso-wrap-distance-bottom:0.0pt;" stroked="false">
                <v:path textboxrect="0,0,0,0"/>
                <v:imagedata r:id="rId19" o:title=""/>
              </v:shape>
            </w:pict>
          </mc:Fallback>
        </mc:AlternateConten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城市道路积水监测预警系统可实时监测城区各低洼路段的积水水位并实现自动预警。市政管理部门借助该系统可整体把握整个城区内涝状况，及时进行排水调度。本次要求保障低洼路口设置浸水监测警报系统稳定运行，当有积水时可通过软件平台进行提醒。</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5、视频监控</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智慧水</w:t>
      </w:r>
      <w:r>
        <w:rPr>
          <w:rFonts w:hint="eastAsia" w:ascii="仿宋" w:hAnsi="仿宋" w:eastAsia="仿宋" w:cs="等线"/>
          <w:sz w:val="24"/>
        </w:rPr>
        <w:t xml:space="preserve">务</w:t>
      </w:r>
      <w:r>
        <w:rPr>
          <w:rFonts w:hint="eastAsia" w:ascii="仿宋" w:hAnsi="仿宋" w:eastAsia="仿宋" w:cs="等线"/>
          <w:sz w:val="24"/>
        </w:rPr>
        <w:t xml:space="preserve">视频可视化监控系统由监控中心和前端各监控系统组成。在前端河网及水系重点区域范围设置的监控系统，包括图像视频采集系统、监控中心和前端各监控系统通过传输网络连接，通过与上级单位的联网，构成一个多级联网的</w:t>
      </w:r>
      <w:r>
        <w:rPr>
          <w:rFonts w:hint="eastAsia" w:ascii="仿宋" w:hAnsi="仿宋" w:eastAsia="仿宋" w:cs="等线"/>
          <w:sz w:val="24"/>
        </w:rPr>
        <w:t xml:space="preserve">”</w:t>
      </w:r>
      <w:r>
        <w:rPr>
          <w:rFonts w:hint="eastAsia" w:ascii="仿宋" w:hAnsi="仿宋" w:eastAsia="仿宋" w:cs="等线"/>
          <w:sz w:val="24"/>
        </w:rPr>
        <w:t xml:space="preserve">河长制</w:t>
      </w:r>
      <w:r>
        <w:rPr>
          <w:rFonts w:hint="eastAsia" w:ascii="仿宋" w:hAnsi="仿宋" w:eastAsia="仿宋" w:cs="等线"/>
          <w:sz w:val="24"/>
        </w:rPr>
        <w:t xml:space="preserve">”</w:t>
      </w:r>
      <w:r>
        <w:rPr>
          <w:rFonts w:hint="eastAsia" w:ascii="仿宋" w:hAnsi="仿宋" w:eastAsia="仿宋" w:cs="等线"/>
          <w:sz w:val="24"/>
        </w:rPr>
        <w:t xml:space="preserve">可视化监控系统。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5.1设备点位如下：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分别在20条沟渠内视频监控设备、3个湖泊的视频监控设备。每条沟渠按照3个摄像头配置，每个湖泊按照10个摄像头配置，总计为90处。</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5.2监控设备要求如下：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（1）实时视频监控：通过客户端和浏览器可以实时掌握重点河道现场的一切情况，对所辖区域的任一摄像机进行控制，实现遥控云台的上/下/左/右和镜</w:t>
      </w:r>
      <w:r>
        <w:rPr>
          <w:rFonts w:hint="eastAsia" w:ascii="仿宋" w:hAnsi="仿宋" w:eastAsia="仿宋" w:cs="等线"/>
          <w:sz w:val="24"/>
        </w:rPr>
        <w:t xml:space="preserve">头的变倍/聚焦，并对摄像机的</w:t>
      </w:r>
      <w:r>
        <w:rPr>
          <w:rFonts w:hint="eastAsia" w:ascii="仿宋" w:hAnsi="仿宋" w:eastAsia="仿宋" w:cs="等线"/>
          <w:sz w:val="24"/>
        </w:rPr>
        <w:t xml:space="preserve">预置位</w:t>
      </w:r>
      <w:r>
        <w:rPr>
          <w:rFonts w:hint="eastAsia" w:ascii="仿宋" w:hAnsi="仿宋" w:eastAsia="仿宋" w:cs="等线"/>
          <w:sz w:val="24"/>
        </w:rPr>
        <w:t xml:space="preserve">和巡航进行设置控制应具有唯一性和权限性，同一时间只允许一个高权限用户操作。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（2）智能视频分析：通过智能视频设备，支持穿越</w:t>
      </w:r>
      <w:r>
        <w:rPr>
          <w:rFonts w:hint="eastAsia" w:ascii="仿宋" w:hAnsi="仿宋" w:eastAsia="仿宋" w:cs="等线"/>
          <w:sz w:val="24"/>
        </w:rPr>
        <w:t xml:space="preserve">警戒面检测</w:t>
      </w:r>
      <w:r>
        <w:rPr>
          <w:rFonts w:hint="eastAsia" w:ascii="仿宋" w:hAnsi="仿宋" w:eastAsia="仿宋" w:cs="等线"/>
          <w:sz w:val="24"/>
        </w:rPr>
        <w:t xml:space="preserve">、进入离开入侵区域检测、物体快速移动检测、徘徊检测、人物聚集检测等应用。针对监视目标进行实时检测并按照用户设置的预案触发报警，发生入侵行为后，系统能对非法目标实现移动跟踪。</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预案系统：通过现场设备和平台软件对各子系统进行关联，制定联动预案：当安全防范设备被触发时，有预置功能的摄像机还能自动转到预置点，按需设置联动录像功能，同时联动灯光装置，对目标位进行照明；预设的报警能弹出窗口，并配合电子地图显示。</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录像回放：对监控视频进行实时存储，记录告警前后的现场情况，记录水利工程内设备操作、事故检修过程；通过网络调用回放录像，提供事故发生时的资料，为事故分析和事故处理提供帮助，并为事故处理和标准化作业教学提供宝贵的资料。</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（5）远程配置维护：系统提供远程访问功能，管理员不必到达设备现场，就可修改设备的各项参数，实现校时、重新启动、修改参数、软件升级、远程维护等功能，提高的设备维护效率。</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6）立体监管模式：实现前端、中心两级垂直监管，固定网络采用C/S、B/S方式进行访问，移动网络通过手持终端（手机、平板等）进行访问；通过标准的IE浏览器，相关负责人和管理人员可根据不同的权限对系统进行配置及监控，操作界面全部为中文可视化界面，使用非常方便。</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（二）智慧水</w:t>
      </w:r>
      <w:r>
        <w:rPr>
          <w:rFonts w:hint="eastAsia" w:ascii="仿宋" w:hAnsi="仿宋" w:eastAsia="仿宋" w:cs="等线"/>
          <w:sz w:val="24"/>
        </w:rPr>
        <w:t xml:space="preserve">务</w:t>
      </w:r>
      <w:r>
        <w:rPr>
          <w:rFonts w:hint="eastAsia" w:ascii="仿宋" w:hAnsi="仿宋" w:eastAsia="仿宋" w:cs="等线"/>
          <w:sz w:val="24"/>
        </w:rPr>
        <w:t xml:space="preserve">数据共享中心</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1、数据资源子系统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1.1基础数据资源服务数据库：</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（1）根据片长制管理业</w:t>
      </w:r>
      <w:r>
        <w:rPr>
          <w:rFonts w:hint="eastAsia" w:ascii="仿宋" w:hAnsi="仿宋" w:eastAsia="仿宋" w:cs="等线"/>
          <w:sz w:val="24"/>
        </w:rPr>
        <w:t xml:space="preserve">务需</w:t>
      </w:r>
      <w:r>
        <w:rPr>
          <w:rFonts w:hint="eastAsia" w:ascii="仿宋" w:hAnsi="仿宋" w:eastAsia="仿宋" w:cs="等线"/>
          <w:sz w:val="24"/>
        </w:rPr>
        <w:t xml:space="preserve">要梳理相关承载信息的对象，如：河流（河段）、湖泊、行政区划、河长（总河长）、湖长、事件等；</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w:t>
      </w:r>
      <w:r>
        <w:rPr>
          <w:rFonts w:hint="eastAsia" w:ascii="仿宋" w:hAnsi="仿宋" w:eastAsia="仿宋" w:cs="等线"/>
          <w:sz w:val="24"/>
        </w:rPr>
        <w:t xml:space="preserve">构河湖水</w:t>
      </w:r>
      <w:r>
        <w:rPr>
          <w:rFonts w:hint="eastAsia" w:ascii="仿宋" w:hAnsi="仿宋" w:eastAsia="仿宋" w:cs="等线"/>
          <w:sz w:val="24"/>
        </w:rPr>
        <w:t xml:space="preserve">系、管护工程管理业务相关对象、对象基础、对象管理业务、对象之间关系等信息；</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（3）装载该地区（系统服务范围）相关对象基础信息，动态信息由数源系统在运行过程中同步更新；</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（4）与相关业务系统实现共享信息的自动同步更新，或采用服务调用方式相互提供数据服务。</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1.2数据资源系统功能要求如下：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（1）数据标准存储：实现基础数据的汇聚、存储和标准化管理；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（2）数据共享交换：承担信息中介作用，完成数据的交换和数据服务；</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（3）数据资源维护：实现对数据的维护功能；</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（4）数据资源分析：实现对大数据分析的分析、存储、管理。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2、用支撑子系统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系统主要功能如下：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（1）应用集成服务：实现业务系统的“统一建设”与“个性化定制”的有机结合；</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（2）业务交换管理：实现纵向业务数据标准统一业务访问交换与管理；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（3）资源整合集中：实现信息系统的应用资源整合与集中；</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（4）信息业务协同：实现与系统内其他业务部门的信息共享和业务协同；</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（5）应用弹性扩展：基于信息系统及业务应用的发展，实现应用的弹性可扩充。</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3、数据共享子系统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系统主要功能如下：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（1）数据访问接口：采用标准的数据访问接口，保证应用系统对数据的访问独立于数据库；</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（2）数据关系映射：数据层和应用层间提供映射机制，保证应用层和数据层相互独立，数据层数据结构的变化不会导致应用系统的代码修改，不影响应用层的正常运行；</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（3）数据关联查询：应、提供包括结构化数据的查询和非结构化数据的查询，并且应对存储在网络上的任何地方的数据，都能提供透明的信息搜索服务；</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（4）数据集成发布：主要是指在不同的数据源（异构数据）之间实现数据交换，或者将不同的数据源的数据集中在一起，整合成统一结构的信息。</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4、地理信息子系统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系统主要功能如下：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（1）基础地理信息系统开发与服务发布与数据管理，按照约定坐标系开发；</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（2）漫游、测量、缩放、查询、对象特征、规划等基础应用开发；</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（3）完成建设</w:t>
      </w:r>
      <w:r>
        <w:rPr>
          <w:rFonts w:hint="eastAsia" w:ascii="仿宋" w:hAnsi="仿宋" w:eastAsia="仿宋" w:cs="等线"/>
          <w:sz w:val="24"/>
        </w:rPr>
        <w:t xml:space="preserve">方基础</w:t>
      </w:r>
      <w:r>
        <w:rPr>
          <w:rFonts w:hint="eastAsia" w:ascii="仿宋" w:hAnsi="仿宋" w:eastAsia="仿宋" w:cs="等线"/>
          <w:sz w:val="24"/>
        </w:rPr>
        <w:t xml:space="preserve">地理信息系统开发，并具备基础测量与操作功能；</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（4）完成地理信息系统数据采集与编辑、数据处理与存储管理、图形显示、空间查询与分析以及地图制作。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5、运行管控子系统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系统主要功能如下：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（1）系统运行分析：对系统无故障运行时间、系统数据量、数据资源量；用户量、访问量、使用时间；设备总量、在线率、数据质量；数据接口、数据共享、数源交换等系统运行指标形成分析；</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系统运行管理：系统权限管理，配置管理，变量管理；系统初始化数据管理；业务系统基础数据，运行数据，定制数据管理；专题系统条件数据，接口数据，结果数据，定制展示管理；地理信息系统基础数据设置及管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6、数据汇聚子系统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系统需具备以下功能：</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（1）雨水管网窨井液位状态监测数据、污水泵站液位及工况监测数据、河道水质状态监测数据、城市内涝水位监测数据、新建及已建视频系统汇聚处理与汇聚；</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（2）已建水利工程雨水泵站、闸站水雨情、工情数据汇聚；</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（3）水利信息化管理监测系统、环保信息化管理监测系统、工程建设信息化管理监测系统、规划信息化管理系统、气象当前及预测预报信息系统数据汇集、气象数据系统汇聚；</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（4）城市污水处理厂、污水处理设施设备、水质监测信息管理</w:t>
      </w:r>
      <w:r>
        <w:rPr>
          <w:rFonts w:hint="eastAsia" w:ascii="仿宋" w:hAnsi="仿宋" w:eastAsia="仿宋" w:cs="等线"/>
          <w:sz w:val="24"/>
        </w:rPr>
        <w:t xml:space="preserve">系统系统</w:t>
      </w:r>
      <w:r>
        <w:rPr>
          <w:rFonts w:hint="eastAsia" w:ascii="仿宋" w:hAnsi="仿宋" w:eastAsia="仿宋" w:cs="等线"/>
          <w:sz w:val="24"/>
        </w:rPr>
        <w:t xml:space="preserve">汇聚；</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（5）多数据源适配：同时支持</w:t>
      </w:r>
      <w:r>
        <w:rPr>
          <w:rFonts w:hint="eastAsia" w:ascii="仿宋" w:hAnsi="仿宋" w:eastAsia="仿宋" w:cs="等线"/>
          <w:sz w:val="24"/>
        </w:rPr>
        <w:t xml:space="preserve">MySql</w:t>
      </w:r>
      <w:r>
        <w:rPr>
          <w:rFonts w:hint="eastAsia" w:ascii="仿宋" w:hAnsi="仿宋" w:eastAsia="仿宋" w:cs="等线"/>
          <w:sz w:val="24"/>
        </w:rPr>
        <w:t xml:space="preserve">、MSSQL、Oracle等数据库，网关数据，设备数据，接口数据等适配功能；</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（6）增量数据抽取：通过时间戳、CDC、以及数据备份日志实现增量抽取功能；</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（7）中断传输恢复：通过数据重复检查、断点续传等手段实现数据中断传输恢复功能；</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（8）结构变更通知：通过结构对齐功能实现数据库表结构发生变更通知数</w:t>
      </w:r>
      <w:r>
        <w:rPr>
          <w:rFonts w:hint="eastAsia" w:ascii="仿宋" w:hAnsi="仿宋" w:eastAsia="仿宋" w:cs="等线"/>
          <w:sz w:val="24"/>
        </w:rPr>
        <w:t xml:space="preserve">据不对等传输功能。</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7、业务管理子系统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围绕江宁开发区智慧水</w:t>
      </w:r>
      <w:r>
        <w:rPr>
          <w:rFonts w:hint="eastAsia" w:ascii="仿宋" w:hAnsi="仿宋" w:eastAsia="仿宋" w:cs="等线"/>
          <w:sz w:val="24"/>
        </w:rPr>
        <w:t xml:space="preserve">务</w:t>
      </w:r>
      <w:r>
        <w:rPr>
          <w:rFonts w:hint="eastAsia" w:ascii="仿宋" w:hAnsi="仿宋" w:eastAsia="仿宋" w:cs="等线"/>
          <w:sz w:val="24"/>
        </w:rPr>
        <w:t xml:space="preserve">业务的实际需求，接入液位、积水、水质、泵站等现地监测信息；建设监测数据库、业务数据库、基础数据库、空间数据库、多媒体数据库、共享交换数据库等；保障业务应用支撑平台，子系统中的雨水管网监测告警系统、片长制信息管理系统、水环境调度支持系统、防汛调度信息系统、引水补源智慧调度模型相关数据满足日常使用及平台管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业务管理子系统分为三个模块：</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7.1管网预警管理模块</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7.2水环境调度管理模块</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7.3片长制管理模块</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8、设备维护子系统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（1）运</w:t>
      </w:r>
      <w:r>
        <w:rPr>
          <w:rFonts w:hint="eastAsia" w:ascii="仿宋" w:hAnsi="仿宋" w:eastAsia="仿宋" w:cs="等线"/>
          <w:sz w:val="24"/>
        </w:rPr>
        <w:t xml:space="preserve">维管理</w:t>
      </w:r>
      <w:r>
        <w:rPr>
          <w:rFonts w:hint="eastAsia" w:ascii="仿宋" w:hAnsi="仿宋" w:eastAsia="仿宋" w:cs="等线"/>
          <w:sz w:val="24"/>
        </w:rPr>
        <w:t xml:space="preserve">数据分析展示模块：设备在线率、准确率；运维考核、效率展示；系统</w:t>
      </w:r>
      <w:r>
        <w:rPr>
          <w:rFonts w:hint="eastAsia" w:ascii="仿宋" w:hAnsi="仿宋" w:eastAsia="仿宋" w:cs="等线"/>
          <w:sz w:val="24"/>
        </w:rPr>
        <w:t xml:space="preserve">运维工单</w:t>
      </w:r>
      <w:r>
        <w:rPr>
          <w:rFonts w:hint="eastAsia" w:ascii="仿宋" w:hAnsi="仿宋" w:eastAsia="仿宋" w:cs="等线"/>
          <w:sz w:val="24"/>
        </w:rPr>
        <w:t xml:space="preserve">及系统效率分析展示；系统监测点区域展示；</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（2）运</w:t>
      </w:r>
      <w:r>
        <w:rPr>
          <w:rFonts w:hint="eastAsia" w:ascii="仿宋" w:hAnsi="仿宋" w:eastAsia="仿宋" w:cs="等线"/>
          <w:sz w:val="24"/>
        </w:rPr>
        <w:t xml:space="preserve">维管理</w:t>
      </w:r>
      <w:r>
        <w:rPr>
          <w:rFonts w:hint="eastAsia" w:ascii="仿宋" w:hAnsi="仿宋" w:eastAsia="仿宋" w:cs="等线"/>
          <w:sz w:val="24"/>
        </w:rPr>
        <w:t xml:space="preserve">基础数据专题管理模块：运</w:t>
      </w:r>
      <w:r>
        <w:rPr>
          <w:rFonts w:hint="eastAsia" w:ascii="仿宋" w:hAnsi="仿宋" w:eastAsia="仿宋" w:cs="等线"/>
          <w:sz w:val="24"/>
        </w:rPr>
        <w:t xml:space="preserve">维基础</w:t>
      </w:r>
      <w:r>
        <w:rPr>
          <w:rFonts w:hint="eastAsia" w:ascii="仿宋" w:hAnsi="仿宋" w:eastAsia="仿宋" w:cs="等线"/>
          <w:sz w:val="24"/>
        </w:rPr>
        <w:t xml:space="preserve">数据管理：运维流程及规范管理；运维服务提供商、设备、材料、工时信息管理；运</w:t>
      </w:r>
      <w:r>
        <w:rPr>
          <w:rFonts w:hint="eastAsia" w:ascii="仿宋" w:hAnsi="仿宋" w:eastAsia="仿宋" w:cs="等线"/>
          <w:sz w:val="24"/>
        </w:rPr>
        <w:t xml:space="preserve">维考核</w:t>
      </w:r>
      <w:r>
        <w:rPr>
          <w:rFonts w:hint="eastAsia" w:ascii="仿宋" w:hAnsi="仿宋" w:eastAsia="仿宋" w:cs="等线"/>
          <w:sz w:val="24"/>
        </w:rPr>
        <w:t xml:space="preserve">数据标准管理；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（3）虚拟服务器基础运维数据管理模块：虚拟服务器设备状态管理：虚拟服务器运行状态监测；虚拟服务器运行状态监测；虚拟服务器运行系统性能监测；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（4）监测设备基础运维数据管理模块：监测设备状态管理：监测设备运行状态监测；故障率监测；数据准确率监测；数据质量监测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（5）设备故障分析介入管理应用模块：故障分析介入管理：故障及运</w:t>
      </w:r>
      <w:r>
        <w:rPr>
          <w:rFonts w:hint="eastAsia" w:ascii="仿宋" w:hAnsi="仿宋" w:eastAsia="仿宋" w:cs="等线"/>
          <w:sz w:val="24"/>
        </w:rPr>
        <w:t xml:space="preserve">维方案</w:t>
      </w:r>
      <w:r>
        <w:rPr>
          <w:rFonts w:hint="eastAsia" w:ascii="仿宋" w:hAnsi="仿宋" w:eastAsia="仿宋" w:cs="等线"/>
          <w:sz w:val="24"/>
        </w:rPr>
        <w:t xml:space="preserve">自动生成；方案介入调整；故障流程发起；</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（6）设备故障工单流程管理应用模块：故障系统流程处理：故障流程跟踪管理；系统故障处理结果跟踪评价；</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（7）系统运</w:t>
      </w:r>
      <w:r>
        <w:rPr>
          <w:rFonts w:hint="eastAsia" w:ascii="仿宋" w:hAnsi="仿宋" w:eastAsia="仿宋" w:cs="等线"/>
          <w:sz w:val="24"/>
        </w:rPr>
        <w:t xml:space="preserve">维考核</w:t>
      </w:r>
      <w:r>
        <w:rPr>
          <w:rFonts w:hint="eastAsia" w:ascii="仿宋" w:hAnsi="仿宋" w:eastAsia="仿宋" w:cs="等线"/>
          <w:sz w:val="24"/>
        </w:rPr>
        <w:t xml:space="preserve">分析应用展示模块：故障系统流程处理：故障流程跟踪管理；系统故障处理结果跟踪评价。</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9、数据加工及处理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系统涉及加工数据如下：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w:t>
      </w:r>
      <w:r>
        <w:rPr>
          <w:rFonts w:hint="eastAsia" w:ascii="仿宋" w:hAnsi="仿宋" w:eastAsia="仿宋" w:cs="等线"/>
          <w:sz w:val="24"/>
        </w:rPr>
        <w:t xml:space="preserve">基础图层维护</w:t>
      </w:r>
      <w:r>
        <w:rPr>
          <w:rFonts w:hint="eastAsia" w:ascii="仿宋" w:hAnsi="仿宋" w:eastAsia="仿宋" w:cs="等线"/>
          <w:sz w:val="24"/>
        </w:rPr>
        <w:t xml:space="preserve">：排水管网及污水管网相关图层数据整理与加工；河道水系及片区涉及相关图层数据整理与加工；片长制管理区域相关数据整理与加工。</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（2）基础数据维护：河网水系、调水工程、雨污管网、雨污窨井、雨污工程、引水补</w:t>
      </w:r>
      <w:r>
        <w:rPr>
          <w:rFonts w:hint="eastAsia" w:ascii="仿宋" w:hAnsi="仿宋" w:eastAsia="仿宋" w:cs="等线"/>
          <w:sz w:val="24"/>
        </w:rPr>
        <w:t xml:space="preserve">源基础</w:t>
      </w:r>
      <w:r>
        <w:rPr>
          <w:rFonts w:hint="eastAsia" w:ascii="仿宋" w:hAnsi="仿宋" w:eastAsia="仿宋" w:cs="等线"/>
          <w:sz w:val="24"/>
        </w:rPr>
        <w:t xml:space="preserve">数据整理与加工。</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（3）基础数据分析：完成对象分析、属性数据整理、对方方法整理并形成分析文档资料及CAD电子图纸资料。</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（4）基础数据入库：完成基础数据GIS、业务规范（按照国标、</w:t>
      </w:r>
      <w:r>
        <w:rPr>
          <w:rFonts w:hint="eastAsia" w:ascii="仿宋" w:hAnsi="仿宋" w:eastAsia="仿宋" w:cs="等线"/>
          <w:sz w:val="24"/>
        </w:rPr>
        <w:t xml:space="preserve">行标规范</w:t>
      </w:r>
      <w:r>
        <w:rPr>
          <w:rFonts w:hint="eastAsia" w:ascii="仿宋" w:hAnsi="仿宋" w:eastAsia="仿宋" w:cs="等线"/>
          <w:sz w:val="24"/>
        </w:rPr>
        <w:t xml:space="preserve">）入库。</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（5）基础数据制作：重点区域设备、工程三维模拟场景制作。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（三）智慧水</w:t>
      </w:r>
      <w:r>
        <w:rPr>
          <w:rFonts w:hint="eastAsia" w:ascii="仿宋" w:hAnsi="仿宋" w:eastAsia="仿宋" w:cs="等线"/>
          <w:sz w:val="24"/>
        </w:rPr>
        <w:t xml:space="preserve">务</w:t>
      </w:r>
      <w:r>
        <w:rPr>
          <w:rFonts w:hint="eastAsia" w:ascii="仿宋" w:hAnsi="仿宋" w:eastAsia="仿宋" w:cs="等线"/>
          <w:sz w:val="24"/>
        </w:rPr>
        <w:t xml:space="preserve">综合业务系统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1、雨水管网监测告警管理子系统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系统主要功能如下：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1.1雨水管井告警数据分析展示模块</w:t>
      </w:r>
      <w:r>
        <w:rPr>
          <w:rFonts w:hint="eastAsia" w:ascii="仿宋" w:hAnsi="仿宋" w:eastAsia="仿宋" w:cs="等线"/>
          <w:sz w:val="24"/>
        </w:rPr>
        <w:tab/>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1.2管网预警</w:t>
      </w:r>
      <w:r>
        <w:rPr>
          <w:rFonts w:hint="eastAsia" w:ascii="仿宋" w:hAnsi="仿宋" w:eastAsia="仿宋" w:cs="等线"/>
          <w:sz w:val="24"/>
        </w:rPr>
        <w:t xml:space="preserve">WebGIS</w:t>
      </w:r>
      <w:r>
        <w:rPr>
          <w:rFonts w:hint="eastAsia" w:ascii="仿宋" w:hAnsi="仿宋" w:eastAsia="仿宋" w:cs="等线"/>
          <w:sz w:val="24"/>
        </w:rPr>
        <w:t xml:space="preserve">应用展示系统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1.3雨水管井基础资料数据专题管理模块</w:t>
      </w:r>
      <w:r>
        <w:rPr>
          <w:rFonts w:hint="eastAsia" w:ascii="仿宋" w:hAnsi="仿宋" w:eastAsia="仿宋" w:cs="等线"/>
          <w:sz w:val="24"/>
        </w:rPr>
        <w:tab/>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1.4雨水管井监测设备集中专题管理模块</w:t>
      </w:r>
      <w:r>
        <w:rPr>
          <w:rFonts w:hint="eastAsia" w:ascii="仿宋" w:hAnsi="仿宋" w:eastAsia="仿宋" w:cs="等线"/>
          <w:sz w:val="24"/>
        </w:rPr>
        <w:tab/>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1.5雨水管井监测数据分析专题管理模块</w:t>
      </w:r>
      <w:r>
        <w:rPr>
          <w:rFonts w:hint="eastAsia" w:ascii="仿宋" w:hAnsi="仿宋" w:eastAsia="仿宋" w:cs="等线"/>
          <w:sz w:val="24"/>
        </w:rPr>
        <w:tab/>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1.6雨水管井告警分析数据管理模块</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2、水环境监测调度应用管理子系统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2.1水环境调度数据分析展示模块</w:t>
      </w:r>
      <w:r>
        <w:rPr>
          <w:rFonts w:hint="eastAsia" w:ascii="仿宋" w:hAnsi="仿宋" w:eastAsia="仿宋" w:cs="等线"/>
          <w:sz w:val="24"/>
        </w:rPr>
        <w:tab/>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2.2引水补源</w:t>
      </w:r>
      <w:r>
        <w:rPr>
          <w:rFonts w:hint="eastAsia" w:ascii="仿宋" w:hAnsi="仿宋" w:eastAsia="仿宋" w:cs="等线"/>
          <w:sz w:val="24"/>
        </w:rPr>
        <w:t xml:space="preserve">WebGIS</w:t>
      </w:r>
      <w:r>
        <w:rPr>
          <w:rFonts w:hint="eastAsia" w:ascii="仿宋" w:hAnsi="仿宋" w:eastAsia="仿宋" w:cs="等线"/>
          <w:sz w:val="24"/>
        </w:rPr>
        <w:t xml:space="preserve">应用展示系统</w:t>
      </w:r>
      <w:r>
        <w:rPr>
          <w:rFonts w:hint="eastAsia" w:ascii="仿宋" w:hAnsi="仿宋" w:eastAsia="仿宋" w:cs="等线"/>
          <w:sz w:val="24"/>
        </w:rPr>
        <w:tab/>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2.3、调度模型基础数据管理模块</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2.4调度模型接口数据管理模块：通过与模型交互取得接口参数，并根据接口参数输入规范数据并调用计算服务；</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2.5调度模型调用分析应用模块：通过页面参数调用后台模型并进行</w:t>
      </w:r>
      <w:r>
        <w:rPr>
          <w:rFonts w:hint="eastAsia" w:ascii="仿宋" w:hAnsi="仿宋" w:eastAsia="仿宋" w:cs="等线"/>
          <w:sz w:val="24"/>
        </w:rPr>
        <w:t xml:space="preserve">传输传输</w:t>
      </w:r>
      <w:r>
        <w:rPr>
          <w:rFonts w:hint="eastAsia" w:ascii="仿宋" w:hAnsi="仿宋" w:eastAsia="仿宋" w:cs="等线"/>
          <w:sz w:val="24"/>
        </w:rPr>
        <w:t xml:space="preserve">及运算结果模拟显示；</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2.6调度模型应用评价应用模块评价应用：根据模型算法及基础资料，生成模型场景并输入基本参数后，生成辅助决策调水方案，包括水源、水量、频次、方向、过程与目标分析等辅助决策过程分析与展示;系统运行GIS展示。</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3、片长制网格信息管理子系统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3.1片长制网格数据分析展示模块</w:t>
      </w:r>
      <w:r>
        <w:rPr>
          <w:rFonts w:hint="eastAsia" w:ascii="仿宋" w:hAnsi="仿宋" w:eastAsia="仿宋" w:cs="等线"/>
          <w:sz w:val="24"/>
        </w:rPr>
        <w:tab/>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3.2片长管理</w:t>
      </w:r>
      <w:r>
        <w:rPr>
          <w:rFonts w:hint="eastAsia" w:ascii="仿宋" w:hAnsi="仿宋" w:eastAsia="仿宋" w:cs="等线"/>
          <w:sz w:val="24"/>
        </w:rPr>
        <w:t xml:space="preserve">WebGIS</w:t>
      </w:r>
      <w:r>
        <w:rPr>
          <w:rFonts w:hint="eastAsia" w:ascii="仿宋" w:hAnsi="仿宋" w:eastAsia="仿宋" w:cs="等线"/>
          <w:sz w:val="24"/>
        </w:rPr>
        <w:t xml:space="preserve">应用展示系统</w:t>
      </w:r>
      <w:r>
        <w:rPr>
          <w:rFonts w:hint="eastAsia" w:ascii="仿宋" w:hAnsi="仿宋" w:eastAsia="仿宋" w:cs="等线"/>
          <w:sz w:val="24"/>
        </w:rPr>
        <w:tab/>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3.3片长基础资料数据专题管理模块</w:t>
      </w:r>
      <w:r>
        <w:rPr>
          <w:rFonts w:hint="eastAsia" w:ascii="仿宋" w:hAnsi="仿宋" w:eastAsia="仿宋" w:cs="等线"/>
          <w:sz w:val="24"/>
        </w:rPr>
        <w:tab/>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3.4水系基础资料数据专题管理模块</w:t>
      </w:r>
      <w:r>
        <w:rPr>
          <w:rFonts w:hint="eastAsia" w:ascii="仿宋" w:hAnsi="仿宋" w:eastAsia="仿宋" w:cs="等线"/>
          <w:sz w:val="24"/>
        </w:rPr>
        <w:tab/>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3.5工程基础资料数据专题管理模块：治水工程立项、施工、考核、评价管理；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3.6治水工程过程动态管理展示模块：施工现场数据采集及动态管理；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3.7片长制地理数据关联分析管理模块：片长制IPO点位与LBS关联分析。</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（四）智慧水</w:t>
      </w:r>
      <w:r>
        <w:rPr>
          <w:rFonts w:hint="eastAsia" w:ascii="仿宋" w:hAnsi="仿宋" w:eastAsia="仿宋" w:cs="等线"/>
          <w:sz w:val="24"/>
        </w:rPr>
        <w:t xml:space="preserve">务</w:t>
      </w:r>
      <w:r>
        <w:rPr>
          <w:rFonts w:hint="eastAsia" w:ascii="仿宋" w:hAnsi="仿宋" w:eastAsia="仿宋" w:cs="等线"/>
          <w:sz w:val="24"/>
        </w:rPr>
        <w:t xml:space="preserve">信息发布系统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智慧水</w:t>
      </w:r>
      <w:r>
        <w:rPr>
          <w:rFonts w:hint="eastAsia" w:ascii="仿宋" w:hAnsi="仿宋" w:eastAsia="仿宋" w:cs="等线"/>
          <w:sz w:val="24"/>
        </w:rPr>
        <w:t xml:space="preserve">务</w:t>
      </w:r>
      <w:r>
        <w:rPr>
          <w:rFonts w:hint="eastAsia" w:ascii="仿宋" w:hAnsi="仿宋" w:eastAsia="仿宋" w:cs="等线"/>
          <w:sz w:val="24"/>
        </w:rPr>
        <w:t xml:space="preserve">信息发布系统：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1、数据采集层：包括数据传感体系、网络通信体系、传感</w:t>
      </w:r>
      <w:r>
        <w:rPr>
          <w:rFonts w:hint="eastAsia" w:ascii="仿宋" w:hAnsi="仿宋" w:eastAsia="仿宋" w:cs="等线"/>
          <w:sz w:val="24"/>
        </w:rPr>
        <w:t xml:space="preserve">适</w:t>
      </w:r>
      <w:r>
        <w:rPr>
          <w:rFonts w:hint="eastAsia" w:ascii="仿宋" w:hAnsi="仿宋" w:eastAsia="仿宋" w:cs="等线"/>
          <w:sz w:val="24"/>
        </w:rPr>
        <w:t xml:space="preserve">配体系、智能识别体系及软硬件资源接入系统，实现对结构化、半结构化、非结构化的海量数据的智能化识别、定位、跟踪、接入、传输、信号转换、监控、初步处理和管理等功能。</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2、基础支撑层：结构化、半结构化及非结构化数据的数据库及物</w:t>
      </w:r>
      <w:r>
        <w:rPr>
          <w:rFonts w:hint="eastAsia" w:ascii="仿宋" w:hAnsi="仿宋" w:eastAsia="仿宋" w:cs="等线"/>
          <w:sz w:val="24"/>
        </w:rPr>
        <w:t xml:space="preserve">联网络</w:t>
      </w:r>
      <w:r>
        <w:rPr>
          <w:rFonts w:hint="eastAsia" w:ascii="仿宋" w:hAnsi="仿宋" w:eastAsia="仿宋" w:cs="等线"/>
          <w:sz w:val="24"/>
        </w:rPr>
        <w:t xml:space="preserve">资源等基础支撑环境。实现分布式虚拟存储技术，大数据获取、存储、组织、分析和决策操作的可视化接口技术，大数据的网络传输与压缩、大数据隐私保护功能。</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数据处理层：完成对已接收数据的辨析、抽取、清洗等操作。（1）抽取：因获取的数据可能具有多种结构和类型，数据抽取过程可以帮助我们将这些复杂的数据转化为单一的或者便于处理的构型，以达到快速分析处理。（2）清洗：利用清洗技术实现对数据通过过滤“去噪”从而提取出有效数据。</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数据存储层：从大量的、不完全的、有噪声的、模糊的、随机的实际应用数据中，提取隐含在其中但又是潜在有用的信息和知识。根据挖掘任务可分为分类或预测模型发现、数据总结、聚类、关联规则发现、序列模式发现、依赖关系或依赖模型发现、异常和趋势发现等等；根据挖掘对象可分为关系数据库、面向对象数据库、空间数据库、时态数据库、文本数据源、多媒体数据库、异质数据库，透过标准化流程和机器对数据进行处理可以确保获得一个预设质量的分析结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5、大数据展现与应用</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利用大规模序列</w:t>
      </w:r>
      <w:r>
        <w:rPr>
          <w:rFonts w:hint="eastAsia" w:ascii="仿宋" w:hAnsi="仿宋" w:eastAsia="仿宋" w:cs="等线"/>
          <w:sz w:val="24"/>
        </w:rPr>
        <w:t xml:space="preserve">列</w:t>
      </w:r>
      <w:r>
        <w:rPr>
          <w:rFonts w:hint="eastAsia" w:ascii="仿宋" w:hAnsi="仿宋" w:eastAsia="仿宋" w:cs="等线"/>
          <w:sz w:val="24"/>
        </w:rPr>
        <w:t xml:space="preserve">分析比对、信息模式展示、多媒体数据并行化处理技术，效果渲染技术，实现大量数据处理应用，提升数据利用与展示效果。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5.1综合信息分析与发布子系统建设</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5.2雨水管网预警发布子系统建设</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5.3水环境调度发布子系统建设</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5.4防汛调度管理发布子系统建设</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5.5片长制网格管理发布子系统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（五）智慧水</w:t>
      </w:r>
      <w:r>
        <w:rPr>
          <w:rFonts w:hint="eastAsia" w:ascii="仿宋" w:hAnsi="仿宋" w:eastAsia="仿宋" w:cs="等线"/>
          <w:sz w:val="24"/>
        </w:rPr>
        <w:t xml:space="preserve">务</w:t>
      </w:r>
      <w:r>
        <w:rPr>
          <w:rFonts w:hint="eastAsia" w:ascii="仿宋" w:hAnsi="仿宋" w:eastAsia="仿宋" w:cs="等线"/>
          <w:sz w:val="24"/>
        </w:rPr>
        <w:t xml:space="preserve">终端应用系统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1、智慧水</w:t>
      </w:r>
      <w:r>
        <w:rPr>
          <w:rFonts w:hint="eastAsia" w:ascii="仿宋" w:hAnsi="仿宋" w:eastAsia="仿宋" w:cs="等线"/>
          <w:sz w:val="24"/>
        </w:rPr>
        <w:t xml:space="preserve">务</w:t>
      </w:r>
      <w:r>
        <w:rPr>
          <w:rFonts w:hint="eastAsia" w:ascii="仿宋" w:hAnsi="仿宋" w:eastAsia="仿宋" w:cs="等线"/>
          <w:sz w:val="24"/>
        </w:rPr>
        <w:t xml:space="preserve">终端应用APP主要包括移动地理信息系统、实时监测、预警信息、事件管理、片长履职、考核评价、巡查养护、通知公告、信息管理等移动应用功能。</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2、业务终端应用利用门户及集成手机功能，实现监测信息实时展示与分析，个人事务综合管理，基础数据分析查看等功能。</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（六）综合应用门户系统</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1、统一用户管理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2、用户注册</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3、权限管理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4、用户统一登录</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（七）水环境调度模型应用</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系统主要实现功能如下：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水力水质离线模型：建立江宁开发区考核的20条黑臭河道的水力水质离线模型，实现区域河道引换水的水动力和水质模拟，支撑区域河道水循环调度的方案分析。其中水力模型要能够实现河道连通拓扑建立，河道断面数据的输入，闸泵等水工构筑物的运行方</w:t>
      </w:r>
      <w:r>
        <w:rPr>
          <w:rFonts w:hint="eastAsia" w:ascii="仿宋" w:hAnsi="仿宋" w:eastAsia="仿宋" w:cs="等线"/>
          <w:sz w:val="24"/>
        </w:rPr>
        <w:t xml:space="preserve">式模拟，以及河道的水位、流速、流向的计算模拟；水质模拟要能够实现区域河道在泵闸等水工构筑物运行方案下的水质如COD等参数模拟，呈现不同河段的水质浓度空间分布。水力水质的实时模拟系统：建立江宁开发区考核的20条黑臭河道水力水质的实时模拟系统，开发连接水位、水质、泵闸运行状态等监测数据库的接口，实现模型计算所需的河道水位和水质、泵闸设施等的初始状态的一键更新；在系统中内嵌水力水质模型，实现模拟计算的一键启动，计算结束后自动反馈并呈现模拟的河道水位和水质等关键信息，并对超标的水质数据进行预警，辅助引调水方案决策。</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（1）水环境调度专题设计：根据建设单位水环境现状提出适应现状的水环境调度方案设计。</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（2）水环境调度资料调查：根据调度方案开展针对性调查并进行资料补充。</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（3）模型开发与约束调整：根据建设单位水环境现状开发调水模型，重点解决源水、水量、方向、频次、时间指标。</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（4）调水模型推演应用：根据预定参数生成调水方案并在GIS系统进行针对性推演与过程监控、</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（5）引水补源辅助计算：根据建设方调水方案给予专业性辅助计算生成数据辅助决策。</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（八）</w:t>
      </w:r>
      <w:r>
        <w:rPr>
          <w:rFonts w:hint="eastAsia" w:ascii="仿宋" w:hAnsi="仿宋" w:eastAsia="仿宋" w:cs="等线"/>
          <w:sz w:val="24"/>
        </w:rPr>
        <w:t xml:space="preserve">一张图雨污水</w:t>
      </w:r>
      <w:r>
        <w:rPr>
          <w:rFonts w:hint="eastAsia" w:ascii="仿宋" w:hAnsi="仿宋" w:eastAsia="仿宋" w:cs="等线"/>
          <w:sz w:val="24"/>
        </w:rPr>
        <w:t xml:space="preserve">管网数据</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1、数据管理职责</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（1）数据管理员：负责管网GIS数据的日常管理和维护，包括数据的下载、录入、更新、删除、备份等操作；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（2）数据使用者：根据工作需要，合理使用管网GIS数据，并确保数据的安全和保密；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（3）系统管理员：负责管网GIS系统的安装、配置、维护和升级，确保系统的正常运行。</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2、数据录入与更新</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（1）数据录入：对开发区内所有新建的排水管网探测和检测数据必须经过严格的质量控制，包括数据的准确性、完整性和一致性；</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（2）数据更新：对于已有的排水管网探测和检测数据，应定期进行更新，确保数据的时效性和准确性；</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（3）数据审核：对录入和更新的数据进行审核，确保数据的准确性和一致性。</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3、数据备份与恢复</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（1）数据备份：定期对管网GIS数据进行备份，确保数据的安全性和可恢复性；</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（2）数据恢复：在数据丢失或损坏时，及时进行数据恢复操作，确保数据的完整性和可用性。</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4、工作内容</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（1）江宁开发区排水数据动态更新维护，在排水数据核实建库的基础上，提供一年的排水数据动态更新维护服务，包括存量和新增管网数据整理入库，不</w:t>
      </w:r>
      <w:r>
        <w:rPr>
          <w:rFonts w:hint="eastAsia" w:ascii="仿宋" w:hAnsi="仿宋" w:eastAsia="仿宋" w:cs="等线"/>
          <w:sz w:val="24"/>
        </w:rPr>
        <w:t xml:space="preserve">包括外业测绘检测工作；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（2）提取排水许可资料，建立排水许可证编号、许可证有效期、申请单位名称、地址、法人代表、排放重点污染物及特征污染物种类等排水许可证档案以及排水单元节点的标记；</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（3）调查河道以及河道的所属水系、河道名称、河道长度等属性信息，建立泵站、闸、排口、污水处理厂、截流设施与河道的拓扑关系。</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（九）数据管理及网络安全</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保证数据资产管理需在保障网络安全的前提下推进，审慎处理敏感数据资产化，防范数据泄露和滥用风险。采用“分类分级与平等保护”原则，基于数据敏感程度实施差异化安全措施，例如对公共数据和个人信息强化保护机制。</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数据资产运营平台层</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这是整个数据资产的“大脑”和“心脏”，采购时需重点强化其治理与服务能力。</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数据资产全生命周期管理：涵盖智慧水</w:t>
      </w:r>
      <w:r>
        <w:rPr>
          <w:rFonts w:hint="eastAsia" w:ascii="仿宋" w:hAnsi="仿宋" w:eastAsia="仿宋" w:cs="等线"/>
          <w:sz w:val="24"/>
        </w:rPr>
        <w:t xml:space="preserve">务</w:t>
      </w:r>
      <w:r>
        <w:rPr>
          <w:rFonts w:hint="eastAsia" w:ascii="仿宋" w:hAnsi="仿宋" w:eastAsia="仿宋" w:cs="等线"/>
          <w:sz w:val="24"/>
        </w:rPr>
        <w:t xml:space="preserve">各项业务及数据从预算、评审、采购、合</w:t>
      </w:r>
      <w:r>
        <w:rPr>
          <w:rFonts w:hint="eastAsia" w:ascii="仿宋" w:hAnsi="仿宋" w:eastAsia="仿宋" w:cs="等线"/>
          <w:sz w:val="24"/>
        </w:rPr>
        <w:t xml:space="preserve">规</w:t>
      </w:r>
      <w:r>
        <w:rPr>
          <w:rFonts w:hint="eastAsia" w:ascii="仿宋" w:hAnsi="仿宋" w:eastAsia="仿宋" w:cs="等线"/>
          <w:sz w:val="24"/>
        </w:rPr>
        <w:t xml:space="preserve">、以及数据产生、汇聚、治理、建模、服务到归档/销毁的全过程管理能力。</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强化数据治理与质量管控：在“数据资源子系统”中，除了数据处理本身的功能模块外。明确要求提供符合水利、住建、环保等行业及国标的数据标准体系，并实现质量问题的发现、工单派发与闭环管理。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构建数据资产目录与服务目录：“数据共享子系统”应能生成、可视化展示数据资产地图，让业务人员能像逛图书馆一样查找数据。</w:t>
      </w:r>
      <w:r/>
    </w:p>
    <w:p>
      <w:pPr>
        <w:ind w:firstLine="482"/>
        <w:spacing w:line="360" w:lineRule="auto"/>
        <w:rPr>
          <w:rFonts w:hint="eastAsia" w:ascii="仿宋" w:hAnsi="仿宋" w:eastAsia="仿宋"/>
          <w:b/>
          <w:bCs/>
          <w:sz w:val="24"/>
        </w:rPr>
      </w:pPr>
      <w:r>
        <w:rPr>
          <w:rFonts w:hint="eastAsia" w:ascii="仿宋" w:hAnsi="仿宋" w:eastAsia="仿宋"/>
          <w:b/>
          <w:bCs/>
          <w:sz w:val="24"/>
        </w:rPr>
        <w:t xml:space="preserve">六、</w:t>
      </w:r>
      <w:r>
        <w:rPr>
          <w:rFonts w:hint="eastAsia" w:ascii="仿宋" w:hAnsi="仿宋" w:eastAsia="仿宋" w:cs="等线"/>
          <w:b/>
          <w:sz w:val="24"/>
        </w:rPr>
        <w:t xml:space="preserve">人员要求</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（一）项目工程师1人，工作要求：</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1、负责日常运</w:t>
      </w:r>
      <w:r>
        <w:rPr>
          <w:rFonts w:hint="eastAsia" w:ascii="仿宋" w:hAnsi="仿宋" w:eastAsia="仿宋" w:cs="等线"/>
          <w:sz w:val="24"/>
        </w:rPr>
        <w:t xml:space="preserve">维管理</w:t>
      </w:r>
      <w:r>
        <w:rPr>
          <w:rFonts w:hint="eastAsia" w:ascii="仿宋" w:hAnsi="仿宋" w:eastAsia="仿宋" w:cs="等线"/>
          <w:sz w:val="24"/>
        </w:rPr>
        <w:t xml:space="preserve">工作, 熟悉整个智慧水</w:t>
      </w:r>
      <w:r>
        <w:rPr>
          <w:rFonts w:hint="eastAsia" w:ascii="仿宋" w:hAnsi="仿宋" w:eastAsia="仿宋" w:cs="等线"/>
          <w:sz w:val="24"/>
        </w:rPr>
        <w:t xml:space="preserve">务</w:t>
      </w:r>
      <w:r>
        <w:rPr>
          <w:rFonts w:hint="eastAsia" w:ascii="仿宋" w:hAnsi="仿宋" w:eastAsia="仿宋" w:cs="等线"/>
          <w:sz w:val="24"/>
        </w:rPr>
        <w:t xml:space="preserve">平台的维保工作，并熟悉相关技术执行标准，确保江宁开发区智慧水</w:t>
      </w:r>
      <w:r>
        <w:rPr>
          <w:rFonts w:hint="eastAsia" w:ascii="仿宋" w:hAnsi="仿宋" w:eastAsia="仿宋" w:cs="等线"/>
          <w:sz w:val="24"/>
        </w:rPr>
        <w:t xml:space="preserve">务</w:t>
      </w:r>
      <w:r>
        <w:rPr>
          <w:rFonts w:hint="eastAsia" w:ascii="仿宋" w:hAnsi="仿宋" w:eastAsia="仿宋" w:cs="等线"/>
          <w:sz w:val="24"/>
        </w:rPr>
        <w:t xml:space="preserve">平台全部业务、系统正常使用；负责指挥中心设备日常巡查工作；配合采购方对系统进行升级、改造，配合后续增加的其他传感器等软硬件接入工作。 </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2、完成采购方安排的其他合理工作。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（二）软件工程师1人，工作要求：</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1、负责软件统筹管理工作，熟悉整个智慧水</w:t>
      </w:r>
      <w:r>
        <w:rPr>
          <w:rFonts w:hint="eastAsia" w:ascii="仿宋" w:hAnsi="仿宋" w:eastAsia="仿宋" w:cs="等线"/>
          <w:sz w:val="24"/>
        </w:rPr>
        <w:t xml:space="preserve">务</w:t>
      </w:r>
      <w:r>
        <w:rPr>
          <w:rFonts w:hint="eastAsia" w:ascii="仿宋" w:hAnsi="仿宋" w:eastAsia="仿宋" w:cs="等线"/>
          <w:sz w:val="24"/>
        </w:rPr>
        <w:t xml:space="preserve">平台的软件系统，并熟悉相</w:t>
      </w:r>
      <w:r>
        <w:rPr>
          <w:rFonts w:hint="eastAsia" w:ascii="仿宋" w:hAnsi="仿宋" w:eastAsia="仿宋" w:cs="等线"/>
          <w:sz w:val="24"/>
        </w:rPr>
        <w:t xml:space="preserve">关技术执行标准，负责软件功能的开发、升级、修改等工作；配合采购方对系统进行升级、改造，配合后续增加的其他传感器等软硬件接入工作。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2、完成采购方安排的其他合理工作。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（三）现场工程师2人，工作要求：</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1、负责前端设备日常巡查工作，熟悉防汛系统前端设备的维保工作，能独立完成前端设备的检修、更换、调试等工作，熟悉设备的技术特点以及产品特点，并熟悉相关技术执行标准。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2、完成采购方安排的其他合理工作。</w:t>
      </w:r>
      <w:r/>
    </w:p>
    <w:p>
      <w:pPr>
        <w:ind w:firstLine="482"/>
        <w:spacing w:line="360" w:lineRule="auto"/>
        <w:rPr>
          <w:rFonts w:hint="eastAsia" w:ascii="仿宋" w:hAnsi="仿宋" w:eastAsia="仿宋"/>
          <w:b/>
          <w:bCs/>
          <w:sz w:val="24"/>
        </w:rPr>
      </w:pPr>
      <w:r>
        <w:rPr>
          <w:rFonts w:hint="eastAsia" w:ascii="仿宋" w:hAnsi="仿宋" w:eastAsia="仿宋"/>
          <w:b/>
          <w:bCs/>
          <w:sz w:val="24"/>
        </w:rPr>
        <w:t xml:space="preserve">七、</w:t>
      </w:r>
      <w:r>
        <w:rPr>
          <w:rFonts w:hint="eastAsia" w:ascii="仿宋" w:hAnsi="仿宋" w:eastAsia="仿宋" w:cs="等线"/>
          <w:b/>
          <w:sz w:val="24"/>
        </w:rPr>
        <w:t xml:space="preserve">系统、设备、服务要求</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1、日常运作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按系统的功能和性能要求，维护系统的日常运作。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每天对监测数据和系统运行情况进行查看和检查，发现异常及时汇报和处理；</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根据甲方临时需求对监测数据报表进行自定义导出；</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对所有导出的报表进行归档整理，形成电子</w:t>
      </w:r>
      <w:r>
        <w:rPr>
          <w:rFonts w:hint="eastAsia" w:ascii="仿宋" w:hAnsi="仿宋" w:eastAsia="仿宋" w:cs="等线"/>
          <w:sz w:val="24"/>
        </w:rPr>
        <w:t xml:space="preserve">档</w:t>
      </w:r>
      <w:r>
        <w:rPr>
          <w:rFonts w:hint="eastAsia" w:ascii="仿宋" w:hAnsi="仿宋" w:eastAsia="仿宋" w:cs="等线"/>
          <w:sz w:val="24"/>
        </w:rPr>
        <w:t xml:space="preserve">文件和纸质</w:t>
      </w:r>
      <w:r>
        <w:rPr>
          <w:rFonts w:hint="eastAsia" w:ascii="仿宋" w:hAnsi="仿宋" w:eastAsia="仿宋" w:cs="等线"/>
          <w:sz w:val="24"/>
        </w:rPr>
        <w:t xml:space="preserve">档</w:t>
      </w:r>
      <w:r>
        <w:rPr>
          <w:rFonts w:hint="eastAsia" w:ascii="仿宋" w:hAnsi="仿宋" w:eastAsia="仿宋" w:cs="等线"/>
          <w:sz w:val="24"/>
        </w:rPr>
        <w:t xml:space="preserve">文件各一份；</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根据甲方要求，每天对泵站排水记录进行核对、梳理，按季度形成分析报告并及时上报甲方。</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2、服务咨询</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设立专门的服务咨询中心，提供免费的服务热线电话，接受系统故障报修、使用帮助要求、业务和技术咨询、服务投诉等。</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该服务咨询中心7*24小时全天候运行，配备足够的咨询人员或技术工程师，热线电话的拨通率达到90%以上。在热线电话发生故障情况下，提供其它备份的方便和迅速的联系方式。</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3、巡检</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（1）定期巡检服务</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①每季度对前端安装点进行巡检，并填写巡检记录表，对可能影响线路及前端的情况要及时协调，防止因线路中断等情况造成系统中断；</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②每季度对工程范围内的设备箱、设备及其供电系统进行一次保养性维护，包括设备除尘、排除故障隐患等，并填写设备养护记录表；以确认所有设备及系统工作正常；</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（2）定期抽检服务</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进行随机抽查，对系统的运行情况进行检测。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4、主动监测</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（1）设备监控</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建立设备管理监控体系，有效地对系统的监控设备运作情况和传输线路的性能、通断情况进行实时监控，每月开展一轮检查，及早发现问题，排除故障。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（2）数据、图像监控</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每周对每个监控点的数据及图像显示是否正常进行一轮监测，以减少故障时间。</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5、故障修复</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（1）紧急抢修</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承担合同期内系统发生任何故障的抢修任务。</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（2）备用方案</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如特殊原因造成系统无法正常使用，提供备用方案和措施确保系统运行正常。</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6、特殊保障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（1）临时保障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如有重大事件、临时现场监控等较特殊的保障措施，须根据甲方要求按时提供服务。</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（2）安全保障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如有安全保卫、系统接管等较特殊的要求，须按照甲方要求提供服务。</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7、更新升级</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（1）文档更新</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建立完备的资料库，包括用户的电路资料、装机地址、备份情况、应用特性以及用户配置等，这些资料应作为成果提交给用户。一旦资料进行了版本更新，应在3天内向用户提供最新版本的资料。</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（2）系统优化</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根据运行情况定期向用户提供使用优化和管理优化服务，根据系统升级同步对相关硬件设备内</w:t>
      </w:r>
      <w:r>
        <w:rPr>
          <w:rFonts w:hint="eastAsia" w:ascii="仿宋" w:hAnsi="仿宋" w:eastAsia="仿宋" w:cs="等线"/>
          <w:sz w:val="24"/>
        </w:rPr>
        <w:t xml:space="preserve">嵌软件</w:t>
      </w:r>
      <w:r>
        <w:rPr>
          <w:rFonts w:hint="eastAsia" w:ascii="仿宋" w:hAnsi="仿宋" w:eastAsia="仿宋" w:cs="等线"/>
          <w:sz w:val="24"/>
        </w:rPr>
        <w:t xml:space="preserve">进行优化升级，确保系统以最优状态运行。</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（3）服务时间：</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①提供7*24小时服务承诺</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承诺提供全天候7*24小时的运行维护服务和技术业务咨询服务，并有专业</w:t>
      </w:r>
      <w:r>
        <w:rPr>
          <w:rFonts w:hint="eastAsia" w:ascii="仿宋" w:hAnsi="仿宋" w:eastAsia="仿宋" w:cs="等线"/>
          <w:sz w:val="24"/>
        </w:rPr>
        <w:t xml:space="preserve">的技术人员负责及时解决系统出现的任何故障。</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②故障修复时限承诺</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服务期内，设立7*24小时热线服务电话，受理用户系统故障申告、技术咨询。</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在收到用户系统故障申告后，按要求及时解决。故障级别定义与服务的具体要求如下表：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425"/>
        <w:gridCol w:w="1573"/>
        <w:gridCol w:w="2076"/>
        <w:gridCol w:w="1458"/>
      </w:tblGrid>
      <w:tr>
        <w:trPr>
          <w:jc w:val="center"/>
        </w:trPr>
        <w:tc>
          <w:tcPr>
            <w:tcW w:w="3701"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故障级别</w:t>
            </w:r>
            <w:r/>
          </w:p>
        </w:tc>
        <w:tc>
          <w:tcPr>
            <w:tcW w:w="168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技术人员到场时间</w:t>
            </w:r>
            <w:r/>
          </w:p>
        </w:tc>
        <w:tc>
          <w:tcPr>
            <w:tcW w:w="224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提出解决方案</w:t>
            </w:r>
            <w:r/>
          </w:p>
        </w:tc>
        <w:tc>
          <w:tcPr>
            <w:tcW w:w="1559"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解决时间</w:t>
            </w:r>
            <w:r/>
          </w:p>
        </w:tc>
      </w:tr>
      <w:tr>
        <w:trPr>
          <w:jc w:val="center"/>
        </w:trPr>
        <w:tc>
          <w:tcPr>
            <w:tcW w:w="3701"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I级：属于重特大故障</w:t>
            </w:r>
            <w:r/>
          </w:p>
          <w:p>
            <w:pPr>
              <w:jc w:val="center"/>
              <w:spacing w:line="360" w:lineRule="auto"/>
              <w:rPr>
                <w:rFonts w:hint="eastAsia" w:ascii="仿宋" w:hAnsi="仿宋" w:eastAsia="仿宋"/>
                <w:sz w:val="24"/>
              </w:rPr>
            </w:pPr>
            <w:r>
              <w:rPr>
                <w:rFonts w:hint="eastAsia" w:ascii="仿宋" w:hAnsi="仿宋" w:eastAsia="仿宋"/>
                <w:sz w:val="24"/>
              </w:rPr>
              <w:t xml:space="preserve">其具体现象为：设备、系统全面瘫痪</w:t>
            </w:r>
            <w:r/>
          </w:p>
        </w:tc>
        <w:tc>
          <w:tcPr>
            <w:tcW w:w="168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1小时以内到达现场</w:t>
            </w:r>
            <w:r/>
          </w:p>
        </w:tc>
        <w:tc>
          <w:tcPr>
            <w:tcW w:w="224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到达现场后2小时内提交故障解决方案</w:t>
            </w:r>
            <w:r/>
          </w:p>
        </w:tc>
        <w:tc>
          <w:tcPr>
            <w:tcW w:w="1559"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8小时以内</w:t>
            </w:r>
            <w:r/>
          </w:p>
        </w:tc>
      </w:tr>
      <w:tr>
        <w:trPr>
          <w:jc w:val="center"/>
        </w:trPr>
        <w:tc>
          <w:tcPr>
            <w:tcW w:w="3701"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II级：属于严重问题</w:t>
            </w:r>
            <w:r/>
          </w:p>
          <w:p>
            <w:pPr>
              <w:jc w:val="center"/>
              <w:spacing w:line="360" w:lineRule="auto"/>
              <w:rPr>
                <w:rFonts w:hint="eastAsia" w:ascii="仿宋" w:hAnsi="仿宋" w:eastAsia="仿宋"/>
                <w:sz w:val="24"/>
              </w:rPr>
            </w:pPr>
            <w:r>
              <w:rPr>
                <w:rFonts w:hint="eastAsia" w:ascii="仿宋" w:hAnsi="仿宋" w:eastAsia="仿宋"/>
                <w:sz w:val="24"/>
              </w:rPr>
              <w:t xml:space="preserve">其具体现象为：部分设备、站点发生故障或小面积瘫痪但不影响系统整体运行</w:t>
            </w:r>
            <w:r/>
          </w:p>
        </w:tc>
        <w:tc>
          <w:tcPr>
            <w:tcW w:w="168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1小时以内到达现场</w:t>
            </w:r>
            <w:r/>
          </w:p>
        </w:tc>
        <w:tc>
          <w:tcPr>
            <w:tcW w:w="224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到达现场后2小时内提交故障解决方案</w:t>
            </w:r>
            <w:r/>
          </w:p>
        </w:tc>
        <w:tc>
          <w:tcPr>
            <w:tcW w:w="1559"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12小时以内</w:t>
            </w:r>
            <w:r/>
          </w:p>
        </w:tc>
      </w:tr>
      <w:tr>
        <w:trPr>
          <w:jc w:val="center"/>
        </w:trPr>
        <w:tc>
          <w:tcPr>
            <w:tcW w:w="3701"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III级：属于较严重问题</w:t>
            </w:r>
            <w:r/>
          </w:p>
          <w:p>
            <w:pPr>
              <w:jc w:val="center"/>
              <w:spacing w:line="360" w:lineRule="auto"/>
              <w:rPr>
                <w:rFonts w:hint="eastAsia" w:ascii="仿宋" w:hAnsi="仿宋" w:eastAsia="仿宋"/>
                <w:sz w:val="24"/>
              </w:rPr>
            </w:pPr>
            <w:r>
              <w:rPr>
                <w:rFonts w:hint="eastAsia" w:ascii="仿宋" w:hAnsi="仿宋" w:eastAsia="仿宋"/>
                <w:sz w:val="24"/>
              </w:rPr>
              <w:t xml:space="preserve">其具体现象为：小部分设备、站点故障或出现报错、告警或故障</w:t>
            </w:r>
            <w:r/>
          </w:p>
        </w:tc>
        <w:tc>
          <w:tcPr>
            <w:tcW w:w="168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3小时以内到达现场</w:t>
            </w:r>
            <w:r/>
          </w:p>
        </w:tc>
        <w:tc>
          <w:tcPr>
            <w:tcW w:w="224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到达现场后12小时内提交故障解决方案</w:t>
            </w:r>
            <w:r/>
          </w:p>
        </w:tc>
        <w:tc>
          <w:tcPr>
            <w:tcW w:w="1559"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24小时以内</w:t>
            </w:r>
            <w:r/>
          </w:p>
        </w:tc>
      </w:tr>
      <w:tr>
        <w:trPr>
          <w:jc w:val="center"/>
        </w:trPr>
        <w:tc>
          <w:tcPr>
            <w:tcW w:w="3701"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IV级：属于普通问题</w:t>
            </w:r>
            <w:r/>
          </w:p>
          <w:p>
            <w:pPr>
              <w:jc w:val="center"/>
              <w:spacing w:line="360" w:lineRule="auto"/>
              <w:rPr>
                <w:rFonts w:hint="eastAsia" w:ascii="仿宋" w:hAnsi="仿宋" w:eastAsia="仿宋"/>
                <w:sz w:val="24"/>
              </w:rPr>
            </w:pPr>
            <w:r>
              <w:rPr>
                <w:rFonts w:hint="eastAsia" w:ascii="仿宋" w:hAnsi="仿宋" w:eastAsia="仿宋"/>
                <w:sz w:val="24"/>
              </w:rPr>
              <w:t xml:space="preserve">其具体现象为：前端监控点单个设备故障或线路故障</w:t>
            </w:r>
            <w:r/>
          </w:p>
        </w:tc>
        <w:tc>
          <w:tcPr>
            <w:tcW w:w="168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6小时以内到达现场</w:t>
            </w:r>
            <w:r/>
          </w:p>
        </w:tc>
        <w:tc>
          <w:tcPr>
            <w:tcW w:w="224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到达现场后12小时内提交故障解决方案</w:t>
            </w:r>
            <w:r/>
          </w:p>
        </w:tc>
        <w:tc>
          <w:tcPr>
            <w:tcW w:w="1559"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48小时以内</w:t>
            </w:r>
            <w:r/>
          </w:p>
        </w:tc>
      </w:tr>
    </w:tbl>
    <w:p>
      <w:pPr>
        <w:ind w:firstLine="480"/>
        <w:spacing w:line="360" w:lineRule="auto"/>
        <w:rPr>
          <w:rFonts w:hint="eastAsia" w:ascii="仿宋" w:hAnsi="仿宋" w:eastAsia="仿宋" w:cs="等线"/>
          <w:sz w:val="24"/>
        </w:rPr>
      </w:pPr>
      <w:r>
        <w:rPr>
          <w:rFonts w:hint="eastAsia" w:ascii="仿宋" w:hAnsi="仿宋" w:eastAsia="仿宋" w:cs="等线"/>
          <w:sz w:val="24"/>
        </w:rPr>
        <w:t xml:space="preserve">8、服务报告：</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在整个运行维护服务周期内，须与用户建立完善的沟通协调机制，及时提供运行维护服务的各种报告。包括重大故障情况报告、每季度的设备和系统管理报告、监测数据自定义报表等。此外用户还可根据实际情况需要，要求就特定事件提交说明报告。</w:t>
      </w:r>
      <w:r/>
    </w:p>
    <w:p>
      <w:pPr>
        <w:ind w:firstLine="480"/>
        <w:spacing w:line="360" w:lineRule="auto"/>
        <w:rPr>
          <w:rFonts w:hint="eastAsia" w:ascii="仿宋" w:hAnsi="仿宋" w:eastAsia="仿宋" w:cs="等线"/>
          <w:sz w:val="24"/>
        </w:rPr>
      </w:pPr>
      <w:r>
        <w:rPr>
          <w:rFonts w:hint="eastAsia" w:ascii="仿宋" w:hAnsi="仿宋" w:eastAsia="仿宋" w:cs="等线"/>
          <w:sz w:val="24"/>
        </w:rPr>
        <w:t xml:space="preserve">提供各种设备管理的原始数据（包括设备故障数据），接受用户的独立检查。</w:t>
      </w:r>
      <w:r/>
    </w:p>
    <w:p>
      <w:pPr>
        <w:ind w:firstLine="482"/>
        <w:spacing w:line="360" w:lineRule="auto"/>
        <w:rPr>
          <w:rFonts w:hint="eastAsia" w:ascii="仿宋" w:hAnsi="仿宋" w:eastAsia="仿宋"/>
          <w:b/>
          <w:bCs/>
          <w:sz w:val="24"/>
        </w:rPr>
      </w:pPr>
      <w:r>
        <w:rPr>
          <w:rFonts w:hint="eastAsia" w:ascii="仿宋" w:hAnsi="仿宋" w:eastAsia="仿宋"/>
          <w:b/>
          <w:bCs/>
          <w:sz w:val="24"/>
        </w:rPr>
        <w:t xml:space="preserve">八、</w:t>
      </w:r>
      <w:r>
        <w:rPr>
          <w:rFonts w:hint="eastAsia" w:ascii="仿宋" w:hAnsi="仿宋" w:eastAsia="仿宋" w:cs="等线"/>
          <w:b/>
          <w:sz w:val="24"/>
        </w:rPr>
        <w:t xml:space="preserve">驻场运维要求</w:t>
      </w:r>
      <w:r/>
    </w:p>
    <w:p>
      <w:pPr>
        <w:ind w:firstLine="480"/>
        <w:spacing w:line="360" w:lineRule="auto"/>
        <w:tabs>
          <w:tab w:val="left" w:pos="480" w:leader="none"/>
          <w:tab w:val="left" w:pos="1260" w:leader="none"/>
          <w:tab w:val="left" w:pos="1287" w:leader="none"/>
        </w:tabs>
        <w:rPr>
          <w:rFonts w:hint="eastAsia" w:ascii="仿宋" w:hAnsi="仿宋" w:eastAsia="仿宋" w:cs="等线"/>
          <w:sz w:val="24"/>
        </w:rPr>
      </w:pPr>
      <w:r>
        <w:rPr>
          <w:rFonts w:hint="eastAsia" w:ascii="仿宋" w:hAnsi="仿宋" w:eastAsia="仿宋" w:cs="等线"/>
          <w:sz w:val="24"/>
        </w:rPr>
        <w:t xml:space="preserve">（一）软件工程师负责内容</w:t>
      </w:r>
      <w:r/>
    </w:p>
    <w:p>
      <w:pPr>
        <w:ind w:firstLine="480"/>
        <w:spacing w:line="360" w:lineRule="auto"/>
        <w:tabs>
          <w:tab w:val="left" w:pos="480" w:leader="none"/>
          <w:tab w:val="left" w:pos="1260" w:leader="none"/>
          <w:tab w:val="left" w:pos="1287" w:leader="none"/>
        </w:tabs>
        <w:rPr>
          <w:rFonts w:hint="eastAsia" w:ascii="仿宋" w:hAnsi="仿宋" w:eastAsia="仿宋" w:cs="等线"/>
          <w:sz w:val="24"/>
        </w:rPr>
      </w:pPr>
      <w:r>
        <w:rPr>
          <w:rFonts w:hint="eastAsia" w:ascii="仿宋" w:hAnsi="仿宋" w:eastAsia="仿宋" w:cs="等线"/>
          <w:sz w:val="24"/>
        </w:rPr>
        <w:t xml:space="preserve">1、管网测绘数据加工处理：对现场产生的管网数据加工、核对并提交审核。</w:t>
      </w:r>
      <w:r/>
    </w:p>
    <w:p>
      <w:pPr>
        <w:ind w:firstLine="480"/>
        <w:spacing w:line="360" w:lineRule="auto"/>
        <w:tabs>
          <w:tab w:val="left" w:pos="480" w:leader="none"/>
          <w:tab w:val="left" w:pos="1260" w:leader="none"/>
          <w:tab w:val="left" w:pos="1287" w:leader="none"/>
        </w:tabs>
        <w:rPr>
          <w:rFonts w:hint="eastAsia" w:ascii="仿宋" w:hAnsi="仿宋" w:eastAsia="仿宋" w:cs="等线"/>
          <w:sz w:val="24"/>
        </w:rPr>
      </w:pPr>
      <w:r>
        <w:rPr>
          <w:rFonts w:hint="eastAsia" w:ascii="仿宋" w:hAnsi="仿宋" w:eastAsia="仿宋" w:cs="等线"/>
          <w:sz w:val="24"/>
        </w:rPr>
        <w:t xml:space="preserve">2、空间数据更新与处理：将审核完成后的数据按照系统平台要求入库核对并上图。</w:t>
      </w:r>
      <w:r/>
    </w:p>
    <w:p>
      <w:pPr>
        <w:ind w:firstLine="480"/>
        <w:spacing w:line="360" w:lineRule="auto"/>
        <w:tabs>
          <w:tab w:val="left" w:pos="480" w:leader="none"/>
          <w:tab w:val="left" w:pos="1260" w:leader="none"/>
          <w:tab w:val="left" w:pos="1287" w:leader="none"/>
        </w:tabs>
        <w:rPr>
          <w:rFonts w:hint="eastAsia" w:ascii="仿宋" w:hAnsi="仿宋" w:eastAsia="仿宋" w:cs="等线"/>
          <w:sz w:val="24"/>
        </w:rPr>
      </w:pPr>
      <w:r>
        <w:rPr>
          <w:rFonts w:hint="eastAsia" w:ascii="仿宋" w:hAnsi="仿宋" w:eastAsia="仿宋" w:cs="等线"/>
          <w:sz w:val="24"/>
        </w:rPr>
        <w:t xml:space="preserve">3、属性数据更新与处理：按照更新后的管网</w:t>
      </w:r>
      <w:r>
        <w:rPr>
          <w:rFonts w:hint="eastAsia" w:ascii="仿宋" w:hAnsi="仿宋" w:eastAsia="仿宋" w:cs="等线"/>
          <w:sz w:val="24"/>
        </w:rPr>
        <w:t xml:space="preserve">设施图层数据</w:t>
      </w:r>
      <w:r>
        <w:rPr>
          <w:rFonts w:hint="eastAsia" w:ascii="仿宋" w:hAnsi="仿宋" w:eastAsia="仿宋" w:cs="等线"/>
          <w:sz w:val="24"/>
        </w:rPr>
        <w:t xml:space="preserve">，按照最新的测绘结果对基本、缺陷、修复等数据加工入库。</w:t>
      </w:r>
      <w:r/>
    </w:p>
    <w:p>
      <w:pPr>
        <w:ind w:firstLine="480"/>
        <w:spacing w:line="360" w:lineRule="auto"/>
        <w:tabs>
          <w:tab w:val="left" w:pos="480" w:leader="none"/>
          <w:tab w:val="left" w:pos="1260" w:leader="none"/>
          <w:tab w:val="left" w:pos="1287" w:leader="none"/>
        </w:tabs>
        <w:rPr>
          <w:rFonts w:hint="eastAsia" w:ascii="仿宋" w:hAnsi="仿宋" w:eastAsia="仿宋" w:cs="等线"/>
          <w:sz w:val="24"/>
        </w:rPr>
      </w:pPr>
      <w:r>
        <w:rPr>
          <w:rFonts w:hint="eastAsia" w:ascii="仿宋" w:hAnsi="仿宋" w:eastAsia="仿宋" w:cs="等线"/>
          <w:sz w:val="24"/>
        </w:rPr>
        <w:t xml:space="preserve">4、</w:t>
      </w:r>
      <w:r>
        <w:rPr>
          <w:rFonts w:hint="eastAsia" w:ascii="仿宋" w:hAnsi="仿宋" w:eastAsia="仿宋" w:cs="等线"/>
          <w:sz w:val="24"/>
        </w:rPr>
        <w:t xml:space="preserve">图层发布</w:t>
      </w:r>
      <w:r>
        <w:rPr>
          <w:rFonts w:hint="eastAsia" w:ascii="仿宋" w:hAnsi="仿宋" w:eastAsia="仿宋" w:cs="等线"/>
          <w:sz w:val="24"/>
        </w:rPr>
        <w:t xml:space="preserve">更新与处理：按照建设单位要求对更新后的数据执行更新发布。</w:t>
      </w:r>
      <w:r/>
    </w:p>
    <w:p>
      <w:pPr>
        <w:ind w:firstLine="480"/>
        <w:spacing w:line="360" w:lineRule="auto"/>
        <w:tabs>
          <w:tab w:val="left" w:pos="480" w:leader="none"/>
          <w:tab w:val="left" w:pos="1260" w:leader="none"/>
          <w:tab w:val="left" w:pos="1287" w:leader="none"/>
        </w:tabs>
        <w:rPr>
          <w:rFonts w:hint="eastAsia" w:ascii="仿宋" w:hAnsi="仿宋" w:eastAsia="仿宋" w:cs="等线"/>
          <w:sz w:val="24"/>
        </w:rPr>
      </w:pPr>
      <w:r>
        <w:rPr>
          <w:rFonts w:hint="eastAsia" w:ascii="仿宋" w:hAnsi="仿宋" w:eastAsia="仿宋" w:cs="等线"/>
          <w:sz w:val="24"/>
        </w:rPr>
        <w:t xml:space="preserve">（二）其他人员运维内容</w:t>
      </w:r>
      <w:r/>
    </w:p>
    <w:p>
      <w:pPr>
        <w:ind w:firstLine="480"/>
        <w:spacing w:line="360" w:lineRule="auto"/>
        <w:tabs>
          <w:tab w:val="left" w:pos="480" w:leader="none"/>
          <w:tab w:val="left" w:pos="1260" w:leader="none"/>
          <w:tab w:val="left" w:pos="1287" w:leader="none"/>
        </w:tabs>
        <w:rPr>
          <w:rFonts w:hint="eastAsia" w:ascii="仿宋" w:hAnsi="仿宋" w:eastAsia="仿宋" w:cs="等线"/>
          <w:sz w:val="24"/>
        </w:rPr>
      </w:pPr>
      <w:r>
        <w:rPr>
          <w:rFonts w:hint="eastAsia" w:ascii="仿宋" w:hAnsi="仿宋" w:eastAsia="仿宋" w:cs="等线"/>
          <w:sz w:val="24"/>
        </w:rPr>
        <w:t xml:space="preserve">负责前端设备日常巡查工作，熟悉防汛系统前端设备的维保工作，能独立完成前端设备的检修、更换、调试等工作，熟悉设备的技术特点以及产品特点，并熟悉相关技术执行标准，对所有设备按照一下要求进行全面维护检测；</w:t>
      </w:r>
      <w:r/>
    </w:p>
    <w:p>
      <w:pPr>
        <w:ind w:firstLine="480"/>
        <w:spacing w:line="360" w:lineRule="auto"/>
        <w:tabs>
          <w:tab w:val="left" w:pos="480" w:leader="none"/>
          <w:tab w:val="left" w:pos="1260" w:leader="none"/>
          <w:tab w:val="left" w:pos="1287" w:leader="none"/>
        </w:tabs>
        <w:rPr>
          <w:rFonts w:hint="eastAsia" w:ascii="仿宋" w:hAnsi="仿宋" w:eastAsia="仿宋" w:cs="等线"/>
          <w:sz w:val="24"/>
        </w:rPr>
      </w:pPr>
      <w:r>
        <w:rPr>
          <w:rFonts w:hint="eastAsia" w:ascii="仿宋" w:hAnsi="仿宋" w:eastAsia="仿宋" w:cs="等线"/>
          <w:sz w:val="24"/>
        </w:rPr>
        <w:t xml:space="preserve">1、1500个管网液位监测设备一年二次； </w:t>
      </w:r>
      <w:r/>
    </w:p>
    <w:p>
      <w:pPr>
        <w:ind w:firstLine="480"/>
        <w:spacing w:line="360" w:lineRule="auto"/>
        <w:tabs>
          <w:tab w:val="left" w:pos="480" w:leader="none"/>
          <w:tab w:val="left" w:pos="1260" w:leader="none"/>
          <w:tab w:val="left" w:pos="1287" w:leader="none"/>
        </w:tabs>
        <w:rPr>
          <w:rFonts w:hint="eastAsia" w:ascii="仿宋" w:hAnsi="仿宋" w:eastAsia="仿宋" w:cs="等线"/>
          <w:sz w:val="24"/>
        </w:rPr>
      </w:pPr>
      <w:r>
        <w:rPr>
          <w:rFonts w:hint="eastAsia" w:ascii="仿宋" w:hAnsi="仿宋" w:eastAsia="仿宋" w:cs="等线"/>
          <w:sz w:val="24"/>
        </w:rPr>
        <w:t xml:space="preserve">2、17座水质监测站每月一次； </w:t>
      </w:r>
      <w:r/>
    </w:p>
    <w:p>
      <w:pPr>
        <w:ind w:firstLine="480"/>
        <w:spacing w:line="360" w:lineRule="auto"/>
        <w:tabs>
          <w:tab w:val="left" w:pos="480" w:leader="none"/>
          <w:tab w:val="left" w:pos="1260" w:leader="none"/>
          <w:tab w:val="left" w:pos="1287" w:leader="none"/>
        </w:tabs>
        <w:rPr>
          <w:rFonts w:hint="eastAsia" w:ascii="仿宋" w:hAnsi="仿宋" w:eastAsia="仿宋" w:cs="等线"/>
          <w:sz w:val="24"/>
        </w:rPr>
      </w:pPr>
      <w:r>
        <w:rPr>
          <w:rFonts w:hint="eastAsia" w:ascii="仿宋" w:hAnsi="仿宋" w:eastAsia="仿宋" w:cs="等线"/>
          <w:sz w:val="24"/>
        </w:rPr>
        <w:t xml:space="preserve">3、6座污水泵站设备每月一次； </w:t>
      </w:r>
      <w:r/>
    </w:p>
    <w:p>
      <w:pPr>
        <w:ind w:firstLine="480"/>
        <w:spacing w:line="360" w:lineRule="auto"/>
        <w:tabs>
          <w:tab w:val="left" w:pos="480" w:leader="none"/>
          <w:tab w:val="left" w:pos="1260" w:leader="none"/>
          <w:tab w:val="left" w:pos="1287" w:leader="none"/>
        </w:tabs>
        <w:rPr>
          <w:rFonts w:hint="eastAsia" w:ascii="仿宋" w:hAnsi="仿宋" w:eastAsia="仿宋" w:cs="等线"/>
          <w:sz w:val="24"/>
        </w:rPr>
      </w:pPr>
      <w:r>
        <w:rPr>
          <w:rFonts w:hint="eastAsia" w:ascii="仿宋" w:hAnsi="仿宋" w:eastAsia="仿宋" w:cs="等线"/>
          <w:sz w:val="24"/>
        </w:rPr>
        <w:t xml:space="preserve">4、视频监控设备每月一次；</w:t>
      </w:r>
      <w:r/>
    </w:p>
    <w:p>
      <w:pPr>
        <w:ind w:firstLine="480"/>
        <w:spacing w:line="360" w:lineRule="auto"/>
        <w:tabs>
          <w:tab w:val="left" w:pos="480" w:leader="none"/>
          <w:tab w:val="left" w:pos="1260" w:leader="none"/>
          <w:tab w:val="left" w:pos="1287" w:leader="none"/>
        </w:tabs>
        <w:rPr>
          <w:rFonts w:hint="eastAsia" w:ascii="仿宋" w:hAnsi="仿宋" w:eastAsia="仿宋" w:cs="等线"/>
          <w:sz w:val="24"/>
        </w:rPr>
      </w:pPr>
      <w:r>
        <w:rPr>
          <w:rFonts w:hint="eastAsia" w:ascii="仿宋" w:hAnsi="仿宋" w:eastAsia="仿宋" w:cs="等线"/>
          <w:sz w:val="24"/>
        </w:rPr>
        <w:t xml:space="preserve">5、汛期时间段，除</w:t>
      </w:r>
      <w:r>
        <w:rPr>
          <w:rFonts w:hint="eastAsia" w:ascii="仿宋" w:hAnsi="仿宋" w:eastAsia="仿宋" w:cs="等线"/>
          <w:sz w:val="24"/>
        </w:rPr>
        <w:t xml:space="preserve">正常维护外</w:t>
      </w:r>
      <w:r>
        <w:rPr>
          <w:rFonts w:hint="eastAsia" w:ascii="仿宋" w:hAnsi="仿宋" w:eastAsia="仿宋" w:cs="等线"/>
          <w:sz w:val="24"/>
        </w:rPr>
        <w:t xml:space="preserve">，对突发事件随时解决。</w:t>
      </w:r>
      <w:r/>
    </w:p>
    <w:p>
      <w:pPr>
        <w:ind w:firstLine="482"/>
        <w:spacing w:line="360" w:lineRule="auto"/>
        <w:rPr>
          <w:rFonts w:hint="eastAsia" w:ascii="仿宋" w:hAnsi="仿宋" w:eastAsia="仿宋"/>
          <w:b/>
          <w:bCs/>
          <w:sz w:val="24"/>
        </w:rPr>
      </w:pPr>
      <w:r>
        <w:rPr>
          <w:rFonts w:hint="eastAsia" w:ascii="仿宋" w:hAnsi="仿宋" w:eastAsia="仿宋"/>
          <w:b/>
          <w:bCs/>
          <w:sz w:val="24"/>
        </w:rPr>
        <w:t xml:space="preserve">九、备品备件</w:t>
      </w:r>
      <w:r/>
    </w:p>
    <w:tbl>
      <w:tblPr>
        <w:tblW w:w="9093" w:type="dxa"/>
        <w:tblLayout w:type="fixed"/>
        <w:tblLook w:val="04A0" w:firstRow="1" w:lastRow="0" w:firstColumn="1" w:lastColumn="0" w:noHBand="0" w:noVBand="1"/>
      </w:tblPr>
      <w:tblGrid>
        <w:gridCol w:w="733"/>
        <w:gridCol w:w="1436"/>
        <w:gridCol w:w="1256"/>
        <w:gridCol w:w="2184"/>
        <w:gridCol w:w="1190"/>
        <w:gridCol w:w="1079"/>
        <w:gridCol w:w="1215"/>
      </w:tblGrid>
      <w:tr>
        <w:trPr>
          <w:trHeight w:val="437"/>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备件类型</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品牌</w:t>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规格/型号</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备品数量</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备  注</w:t>
            </w:r>
            <w:r/>
          </w:p>
        </w:tc>
      </w:tr>
      <w:tr>
        <w:trPr>
          <w:trHeight w:val="437"/>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摄像机</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宇视</w:t>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IPC-B612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20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套</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r>
            <w:r/>
          </w:p>
        </w:tc>
      </w:tr>
      <w:tr>
        <w:trPr>
          <w:trHeight w:val="437"/>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2</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液位计</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麦克</w:t>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Earth1006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200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套</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r>
            <w:r/>
          </w:p>
        </w:tc>
      </w:tr>
      <w:tr>
        <w:trPr>
          <w:trHeight w:val="437"/>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3</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滴定阀</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百</w:t>
            </w:r>
            <w:r>
              <w:rPr>
                <w:rFonts w:hint="eastAsia" w:ascii="仿宋" w:hAnsi="仿宋" w:eastAsia="仿宋" w:cs="宋体"/>
                <w:sz w:val="24"/>
              </w:rPr>
              <w:t xml:space="preserve">柯</w:t>
            </w:r>
            <w:r>
              <w:rPr>
                <w:rFonts w:hint="eastAsia" w:ascii="仿宋" w:hAnsi="仿宋" w:eastAsia="仿宋" w:cs="宋体"/>
                <w:sz w:val="24"/>
              </w:rPr>
              <w:t xml:space="preserve">流体</w:t>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定制</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70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套</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八</w:t>
            </w:r>
            <w:r>
              <w:rPr>
                <w:rFonts w:hint="eastAsia" w:ascii="仿宋" w:hAnsi="仿宋" w:eastAsia="仿宋" w:cs="宋体"/>
                <w:sz w:val="24"/>
              </w:rPr>
              <w:t xml:space="preserve">连体排阀</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垦拓</w:t>
            </w:r>
            <w:r/>
          </w:p>
        </w:tc>
        <w:tc>
          <w:tcPr>
            <w:shd w:val="clear" w:color="auto" w:fill="ffffff"/>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5NC120</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70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套</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屏幕</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昆仑通泰</w:t>
            </w:r>
            <w:r/>
          </w:p>
        </w:tc>
        <w:tc>
          <w:tcPr>
            <w:shd w:val="clear" w:color="auto" w:fill="ffffff"/>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TPC1061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10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套</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r>
            <w:r/>
          </w:p>
        </w:tc>
      </w:tr>
      <w:tr>
        <w:trPr>
          <w:trHeight w:val="437"/>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6</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控制柜</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施耐德</w:t>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定制</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套</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r>
            <w:r/>
          </w:p>
        </w:tc>
      </w:tr>
      <w:tr>
        <w:trPr>
          <w:trHeight w:val="437"/>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7</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光纤收发器</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360" w:lineRule="auto"/>
              <w:widowControl/>
              <w:rPr>
                <w:rFonts w:hint="eastAsia" w:ascii="仿宋" w:hAnsi="仿宋" w:eastAsia="仿宋" w:cs="宋体"/>
                <w:sz w:val="24"/>
              </w:rPr>
            </w:pPr>
            <w:r>
              <w:rPr>
                <w:rFonts w:ascii="仿宋" w:hAnsi="仿宋" w:eastAsia="仿宋" w:cs="宋体"/>
                <w:sz w:val="24"/>
              </w:rPr>
              <w:t xml:space="preserve">FABCOM</w:t>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单模单</w:t>
            </w:r>
            <w:r>
              <w:rPr>
                <w:rFonts w:hint="eastAsia" w:ascii="仿宋" w:hAnsi="仿宋" w:eastAsia="仿宋" w:cs="宋体"/>
                <w:sz w:val="24"/>
              </w:rPr>
              <w:t xml:space="preserve">纤</w:t>
            </w:r>
            <w:r>
              <w:rPr>
                <w:rFonts w:hint="eastAsia" w:ascii="仿宋" w:hAnsi="仿宋" w:eastAsia="仿宋" w:cs="宋体"/>
                <w:sz w:val="24"/>
              </w:rPr>
              <w:t xml:space="preserve">千兆</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10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台</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r>
            <w:r/>
          </w:p>
        </w:tc>
      </w:tr>
      <w:tr>
        <w:trPr>
          <w:trHeight w:val="437"/>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8</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线缆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国产</w:t>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定制</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500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米</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宋体"/>
                <w:sz w:val="24"/>
              </w:rPr>
            </w:r>
            <w:r/>
          </w:p>
        </w:tc>
      </w:tr>
    </w:tbl>
    <w:p>
      <w:pPr>
        <w:ind w:firstLine="482"/>
        <w:spacing w:line="360" w:lineRule="auto"/>
        <w:rPr>
          <w:rFonts w:hint="eastAsia" w:ascii="仿宋" w:hAnsi="仿宋" w:eastAsia="仿宋"/>
          <w:b/>
          <w:bCs/>
          <w:sz w:val="24"/>
        </w:rPr>
      </w:pPr>
      <w:r>
        <w:rPr>
          <w:rFonts w:hint="eastAsia" w:ascii="仿宋" w:hAnsi="仿宋" w:eastAsia="仿宋"/>
          <w:b/>
          <w:bCs/>
          <w:sz w:val="24"/>
        </w:rPr>
        <w:t xml:space="preserve">十、</w:t>
      </w:r>
      <w:r>
        <w:rPr>
          <w:rFonts w:hint="eastAsia" w:ascii="仿宋" w:hAnsi="仿宋" w:eastAsia="仿宋" w:cs="等线"/>
          <w:b/>
          <w:sz w:val="24"/>
        </w:rPr>
        <w:t xml:space="preserve">执行的标准和规范</w:t>
      </w:r>
      <w:r/>
    </w:p>
    <w:p>
      <w:pPr>
        <w:ind w:firstLine="480"/>
        <w:spacing w:line="360" w:lineRule="auto"/>
        <w:rPr>
          <w:rFonts w:hint="eastAsia" w:ascii="仿宋" w:hAnsi="仿宋" w:eastAsia="仿宋" w:cs="等线"/>
          <w:sz w:val="24"/>
          <w:lang w:val="zh-CN"/>
        </w:rPr>
      </w:pPr>
      <w:r>
        <w:rPr>
          <w:rFonts w:hint="eastAsia" w:ascii="仿宋" w:hAnsi="仿宋" w:eastAsia="仿宋" w:cs="等线"/>
          <w:sz w:val="24"/>
          <w:lang w:val="zh-CN"/>
        </w:rPr>
        <w:t xml:space="preserve">1.GB 50014-2021《室外排水设计标准》。</w:t>
      </w:r>
      <w:r/>
    </w:p>
    <w:p>
      <w:pPr>
        <w:ind w:firstLine="480"/>
        <w:spacing w:line="360" w:lineRule="auto"/>
        <w:rPr>
          <w:rFonts w:hint="eastAsia" w:ascii="仿宋" w:hAnsi="仿宋" w:eastAsia="仿宋" w:cs="等线"/>
          <w:sz w:val="24"/>
          <w:lang w:val="zh-CN"/>
        </w:rPr>
      </w:pPr>
      <w:r>
        <w:rPr>
          <w:rFonts w:hint="eastAsia" w:ascii="仿宋" w:hAnsi="仿宋" w:eastAsia="仿宋" w:cs="等线"/>
          <w:sz w:val="24"/>
          <w:lang w:val="zh-CN"/>
        </w:rPr>
        <w:t xml:space="preserve">2.GB 50268-2008《给水排水管道工程施工及验收规范》。</w:t>
      </w:r>
      <w:r/>
    </w:p>
    <w:p>
      <w:pPr>
        <w:ind w:firstLine="480"/>
        <w:spacing w:line="360" w:lineRule="auto"/>
        <w:rPr>
          <w:rFonts w:hint="eastAsia" w:ascii="仿宋" w:hAnsi="仿宋" w:eastAsia="仿宋" w:cs="等线"/>
          <w:sz w:val="24"/>
          <w:lang w:val="zh-CN"/>
        </w:rPr>
      </w:pPr>
      <w:r>
        <w:rPr>
          <w:rFonts w:hint="eastAsia" w:ascii="仿宋" w:hAnsi="仿宋" w:eastAsia="仿宋" w:cs="等线"/>
          <w:sz w:val="24"/>
          <w:lang w:val="zh-CN"/>
        </w:rPr>
        <w:t xml:space="preserve">3.GB 50288-2018《灌溉与排水工程设计标准》。</w:t>
      </w:r>
      <w:r/>
    </w:p>
    <w:p>
      <w:pPr>
        <w:ind w:firstLine="480"/>
        <w:spacing w:line="360" w:lineRule="auto"/>
        <w:rPr>
          <w:rFonts w:hint="eastAsia" w:ascii="仿宋" w:hAnsi="仿宋" w:eastAsia="仿宋" w:cs="等线"/>
          <w:sz w:val="24"/>
          <w:lang w:val="zh-CN"/>
        </w:rPr>
      </w:pPr>
      <w:r>
        <w:rPr>
          <w:rFonts w:hint="eastAsia" w:ascii="仿宋" w:hAnsi="仿宋" w:eastAsia="仿宋" w:cs="等线"/>
          <w:sz w:val="24"/>
          <w:lang w:val="zh-CN"/>
        </w:rPr>
        <w:t xml:space="preserve">4.GB 50318-2017《城市排水工程规划规范》。</w:t>
      </w:r>
      <w:r/>
    </w:p>
    <w:p>
      <w:pPr>
        <w:ind w:firstLine="480"/>
        <w:spacing w:line="360" w:lineRule="auto"/>
        <w:rPr>
          <w:rFonts w:hint="eastAsia" w:ascii="仿宋" w:hAnsi="仿宋" w:eastAsia="仿宋" w:cs="等线"/>
          <w:sz w:val="24"/>
          <w:lang w:val="zh-CN"/>
        </w:rPr>
      </w:pPr>
      <w:r>
        <w:rPr>
          <w:rFonts w:hint="eastAsia" w:ascii="仿宋" w:hAnsi="仿宋" w:eastAsia="仿宋" w:cs="等线"/>
          <w:sz w:val="24"/>
          <w:lang w:val="zh-CN"/>
        </w:rPr>
        <w:t xml:space="preserve">5.GB/T 41368-2022《水文自动测报系统技术规范》。</w:t>
      </w:r>
      <w:r/>
    </w:p>
    <w:p>
      <w:pPr>
        <w:ind w:firstLine="480"/>
        <w:spacing w:line="360" w:lineRule="auto"/>
        <w:rPr>
          <w:rFonts w:hint="eastAsia" w:ascii="仿宋" w:hAnsi="仿宋" w:eastAsia="仿宋" w:cs="等线"/>
          <w:sz w:val="24"/>
          <w:lang w:val="zh-CN"/>
        </w:rPr>
      </w:pPr>
      <w:r>
        <w:rPr>
          <w:rFonts w:hint="eastAsia" w:ascii="仿宋" w:hAnsi="仿宋" w:eastAsia="仿宋" w:cs="等线"/>
          <w:sz w:val="24"/>
          <w:lang w:val="zh-CN"/>
        </w:rPr>
        <w:t xml:space="preserve">6.GB/T 51187-2016《城市排水防涝设施数据采集与维护技术规范》</w:t>
      </w:r>
      <w:r/>
    </w:p>
    <w:p>
      <w:pPr>
        <w:ind w:firstLine="480"/>
        <w:spacing w:line="360" w:lineRule="auto"/>
        <w:rPr>
          <w:rFonts w:hint="eastAsia" w:ascii="仿宋" w:hAnsi="仿宋" w:eastAsia="仿宋" w:cs="等线"/>
          <w:sz w:val="24"/>
          <w:lang w:val="zh-CN"/>
        </w:rPr>
      </w:pPr>
      <w:r>
        <w:rPr>
          <w:rFonts w:hint="eastAsia" w:ascii="仿宋" w:hAnsi="仿宋" w:eastAsia="仿宋" w:cs="等线"/>
          <w:sz w:val="24"/>
          <w:lang w:val="zh-CN"/>
        </w:rPr>
        <w:t xml:space="preserve">7.CJ 343-2010《污水排入城镇下水道水质标准》。</w:t>
      </w:r>
      <w:r/>
    </w:p>
    <w:p>
      <w:pPr>
        <w:ind w:firstLine="480"/>
        <w:spacing w:line="360" w:lineRule="auto"/>
        <w:rPr>
          <w:rFonts w:hint="eastAsia" w:ascii="仿宋" w:hAnsi="仿宋" w:eastAsia="仿宋" w:cs="等线"/>
          <w:sz w:val="24"/>
          <w:lang w:val="zh-CN"/>
        </w:rPr>
      </w:pPr>
      <w:r>
        <w:rPr>
          <w:rFonts w:hint="eastAsia" w:ascii="仿宋" w:hAnsi="仿宋" w:eastAsia="仿宋" w:cs="等线"/>
          <w:sz w:val="24"/>
          <w:lang w:val="zh-CN"/>
        </w:rPr>
        <w:t xml:space="preserve">8.CJJ 68-2016《城镇排水管渠与泵站运行、维护及安全技术规程》。</w:t>
      </w:r>
      <w:r/>
    </w:p>
    <w:p>
      <w:pPr>
        <w:ind w:firstLine="480"/>
        <w:spacing w:line="360" w:lineRule="auto"/>
        <w:rPr>
          <w:rFonts w:hint="eastAsia" w:ascii="仿宋" w:hAnsi="仿宋" w:eastAsia="仿宋" w:cs="等线"/>
          <w:sz w:val="24"/>
          <w:lang w:val="zh-CN"/>
        </w:rPr>
      </w:pPr>
      <w:r>
        <w:rPr>
          <w:rFonts w:hint="eastAsia" w:ascii="仿宋" w:hAnsi="仿宋" w:eastAsia="仿宋" w:cs="等线"/>
          <w:sz w:val="24"/>
          <w:lang w:val="zh-CN"/>
        </w:rPr>
        <w:t xml:space="preserve">9. GB/T 35640-2017《智慧城市 地理空间信息共享与服务》。</w:t>
      </w:r>
      <w:r/>
    </w:p>
    <w:p>
      <w:pPr>
        <w:ind w:firstLine="482"/>
        <w:spacing w:line="360" w:lineRule="auto"/>
        <w:rPr>
          <w:rFonts w:hint="eastAsia" w:ascii="仿宋" w:hAnsi="仿宋" w:eastAsia="仿宋"/>
          <w:b/>
          <w:bCs/>
          <w:sz w:val="24"/>
        </w:rPr>
      </w:pPr>
      <w:r>
        <w:rPr>
          <w:rFonts w:hint="eastAsia" w:ascii="仿宋" w:hAnsi="仿宋" w:eastAsia="仿宋"/>
          <w:b/>
          <w:bCs/>
          <w:sz w:val="24"/>
        </w:rPr>
        <w:t xml:space="preserve">十、</w:t>
      </w:r>
      <w:r>
        <w:rPr>
          <w:rFonts w:hint="eastAsia" w:ascii="仿宋" w:hAnsi="仿宋" w:eastAsia="仿宋" w:cs="等线"/>
          <w:b/>
          <w:sz w:val="24"/>
        </w:rPr>
        <w:t xml:space="preserve">报价要求</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1、本项目报价需</w:t>
      </w:r>
      <w:r>
        <w:rPr>
          <w:rFonts w:hint="eastAsia" w:ascii="仿宋" w:hAnsi="仿宋" w:eastAsia="仿宋" w:cs="等线"/>
          <w:b/>
          <w:sz w:val="24"/>
        </w:rPr>
        <w:t xml:space="preserve">两年总价</w:t>
      </w:r>
      <w:r>
        <w:rPr>
          <w:rFonts w:hint="eastAsia" w:ascii="仿宋" w:hAnsi="仿宋" w:eastAsia="仿宋" w:cs="等线"/>
          <w:bCs/>
          <w:sz w:val="24"/>
        </w:rPr>
        <w:t xml:space="preserve">，最终报</w:t>
      </w:r>
      <w:r>
        <w:rPr>
          <w:rFonts w:hint="eastAsia" w:ascii="仿宋" w:hAnsi="仿宋" w:eastAsia="仿宋" w:cs="等线"/>
          <w:bCs/>
          <w:sz w:val="24"/>
        </w:rPr>
        <w:t xml:space="preserve">价应包括完成本项目可能发生的所有费用，包括但不限于场地勘察、资料搜集、专家咨询和劳务、水电、人力资源、办公耗材、差旅、检测和测试、税金等一切为完成本次项目所需的全部费用。成交后不得擅自改变服务内容、质量标准、期限与追加项目费用。</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2、对于甲方在招标文件中所要求的及乙方在投标文件和合同中所承诺提供的服务，乙方应无条件提供，乙方在签订合同时已充分考虑了合同履行期间的所有风险，在项目实施过程中及项目实施完成后，乙方承诺不以任何理由向甲方提出增加费用的要求。</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3、投标人所投本项目中的服务等各项技术标准应当符合国家（强制性）标准、各项规范要求；国家没有相应标准、规范的，可使用行业标准、规定；非标设备按采购文件约定的技术要求和规范。</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4、中标人应做好职工的安全生产教育，并配备一定的劳动保护必需品以供职工使用。除应为服务相关人员提供必要的劳动保护条件外，还应为其办理作业时的人身安全保险和意外伤害险。中标单位工作人员在岗履行职责期间（包括上下班途中），发生自身的人身伤害、伤亡，均由中标单位负责处理并承担经济和道义上的责任，招标单位不承担任何责任。</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5、中标人对服务缺陷不予更正，招标人有权另请其他单位更正，所发生的费用由中标人支付。</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6、若中标人在服务管理期间，违反下列规定将被解除服务合同，并扣除相应服务费。</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（1）本项目严禁将承包的服务转包他人；</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（2）出现安全生产责任事故。</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7、现场踏勘：投标人自行对有关现场和周围环境进行考察，以获取编制投标文件和签署合同所需的信息。考察现场所发生的费用由投标人自己承担。投标</w:t>
      </w:r>
      <w:r>
        <w:rPr>
          <w:rFonts w:hint="eastAsia" w:ascii="仿宋" w:hAnsi="仿宋" w:eastAsia="仿宋" w:cs="等线"/>
          <w:bCs/>
          <w:sz w:val="24"/>
        </w:rPr>
        <w:t xml:space="preserve">人中标后，不得以不完全了解现场情况为理由而向招标采购单位提出任何索赔的要求，对此招标采购单位不承担任何责任并将不作任何答复与考虑。</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8、知识产权：编制各</w:t>
      </w:r>
      <w:r>
        <w:rPr>
          <w:rFonts w:hint="eastAsia" w:ascii="仿宋" w:hAnsi="仿宋" w:eastAsia="仿宋" w:cs="等线"/>
          <w:bCs/>
          <w:sz w:val="24"/>
        </w:rPr>
        <w:t xml:space="preserve">类报告</w:t>
      </w:r>
      <w:r>
        <w:rPr>
          <w:rFonts w:hint="eastAsia" w:ascii="仿宋" w:hAnsi="仿宋" w:eastAsia="仿宋" w:cs="等线"/>
          <w:bCs/>
          <w:sz w:val="24"/>
        </w:rPr>
        <w:t xml:space="preserve">的知识产权归招标单位所有，供方承担由于需方在使用其投标的产品或其任何一部分时而引起第三方提出的侵犯专利权、商标权或工业设计权的起诉、行动、行政程序索赔、请求等以及需方为此而产生的损失和损害、费用和支出（包括律师费）。</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9、凡涉及采购文件的补充说明和修改，均以书面文件通知为准。</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10、采购人、代理机构对本次采购结果不作任何解释。</w:t>
      </w:r>
      <w:r/>
    </w:p>
    <w:p>
      <w:pPr>
        <w:spacing w:line="360" w:lineRule="auto"/>
        <w:rPr>
          <w:rFonts w:hint="eastAsia" w:ascii="仿宋" w:hAnsi="仿宋" w:eastAsia="仿宋" w:cs="等线"/>
          <w:b/>
          <w:sz w:val="24"/>
        </w:rPr>
      </w:pPr>
      <w:r>
        <w:rPr>
          <w:rFonts w:hint="eastAsia" w:ascii="仿宋" w:hAnsi="仿宋" w:eastAsia="仿宋" w:cs="等线"/>
          <w:b/>
          <w:sz w:val="24"/>
        </w:rPr>
        <w:t xml:space="preserve">十一、履约验收与</w:t>
      </w:r>
      <w:r>
        <w:rPr>
          <w:rFonts w:ascii="仿宋" w:hAnsi="仿宋" w:eastAsia="仿宋" w:cs="等线"/>
          <w:b/>
          <w:sz w:val="24"/>
        </w:rPr>
        <w:t xml:space="preserve">考核</w:t>
      </w:r>
      <w:r/>
    </w:p>
    <w:p>
      <w:pPr>
        <w:ind w:firstLine="482"/>
        <w:spacing w:line="360" w:lineRule="auto"/>
        <w:rPr>
          <w:rFonts w:hint="eastAsia" w:ascii="仿宋" w:hAnsi="仿宋" w:eastAsia="仿宋" w:cs="等线"/>
          <w:bCs/>
          <w:sz w:val="24"/>
        </w:rPr>
      </w:pPr>
      <w:r/>
      <w:bookmarkStart w:id="63" w:name="OLE_LINK4"/>
      <w:r>
        <w:rPr>
          <w:rFonts w:hint="eastAsia" w:ascii="仿宋" w:hAnsi="仿宋" w:eastAsia="仿宋" w:cs="等线"/>
          <w:b/>
          <w:sz w:val="24"/>
        </w:rPr>
        <w:t xml:space="preserve">（一）</w:t>
      </w:r>
      <w:bookmarkEnd w:id="63"/>
      <w:r>
        <w:rPr>
          <w:rFonts w:hint="eastAsia" w:ascii="仿宋" w:hAnsi="仿宋" w:eastAsia="仿宋" w:cs="等线"/>
          <w:b/>
          <w:sz w:val="24"/>
        </w:rPr>
        <w:t xml:space="preserve">履约验收标准：</w:t>
      </w:r>
      <w:r>
        <w:rPr>
          <w:rFonts w:hint="eastAsia" w:ascii="仿宋" w:hAnsi="仿宋" w:eastAsia="仿宋" w:cs="等线"/>
          <w:bCs/>
          <w:sz w:val="24"/>
        </w:rPr>
        <w:t xml:space="preserve">现场运</w:t>
      </w:r>
      <w:r>
        <w:rPr>
          <w:rFonts w:hint="eastAsia" w:ascii="仿宋" w:hAnsi="仿宋" w:eastAsia="仿宋" w:cs="等线"/>
          <w:bCs/>
          <w:sz w:val="24"/>
        </w:rPr>
        <w:t xml:space="preserve">维达到</w:t>
      </w:r>
      <w:r>
        <w:rPr>
          <w:rFonts w:hint="eastAsia" w:ascii="仿宋" w:hAnsi="仿宋" w:eastAsia="仿宋" w:cs="等线"/>
          <w:bCs/>
          <w:sz w:val="24"/>
        </w:rPr>
        <w:t xml:space="preserve">合同要求</w:t>
      </w:r>
      <w:r/>
    </w:p>
    <w:p>
      <w:pPr>
        <w:ind w:firstLine="482"/>
        <w:spacing w:line="360" w:lineRule="auto"/>
        <w:rPr>
          <w:rFonts w:hint="eastAsia" w:ascii="仿宋" w:hAnsi="仿宋" w:eastAsia="仿宋" w:cs="等线"/>
          <w:bCs/>
          <w:sz w:val="24"/>
        </w:rPr>
      </w:pPr>
      <w:r>
        <w:rPr>
          <w:rFonts w:hint="eastAsia" w:ascii="仿宋" w:hAnsi="仿宋" w:eastAsia="仿宋" w:cs="等线"/>
          <w:b/>
          <w:sz w:val="24"/>
        </w:rPr>
        <w:t xml:space="preserve">（二）履约验收程序：</w:t>
      </w:r>
      <w:r>
        <w:rPr>
          <w:rFonts w:hint="eastAsia" w:ascii="仿宋" w:hAnsi="仿宋" w:eastAsia="仿宋" w:cs="等线"/>
          <w:bCs/>
          <w:sz w:val="24"/>
        </w:rPr>
        <w:t xml:space="preserve">开发区市政部每半年对智慧水</w:t>
      </w:r>
      <w:r>
        <w:rPr>
          <w:rFonts w:hint="eastAsia" w:ascii="仿宋" w:hAnsi="仿宋" w:eastAsia="仿宋" w:cs="等线"/>
          <w:bCs/>
          <w:sz w:val="24"/>
        </w:rPr>
        <w:t xml:space="preserve">务</w:t>
      </w:r>
      <w:r>
        <w:rPr>
          <w:rFonts w:hint="eastAsia" w:ascii="仿宋" w:hAnsi="仿宋" w:eastAsia="仿宋" w:cs="等线"/>
          <w:bCs/>
          <w:sz w:val="24"/>
        </w:rPr>
        <w:t xml:space="preserve">平台运</w:t>
      </w:r>
      <w:r>
        <w:rPr>
          <w:rFonts w:hint="eastAsia" w:ascii="仿宋" w:hAnsi="仿宋" w:eastAsia="仿宋" w:cs="等线"/>
          <w:bCs/>
          <w:sz w:val="24"/>
        </w:rPr>
        <w:t xml:space="preserve">维情况</w:t>
      </w:r>
      <w:r>
        <w:rPr>
          <w:rFonts w:hint="eastAsia" w:ascii="仿宋" w:hAnsi="仿宋" w:eastAsia="仿宋" w:cs="等线"/>
          <w:bCs/>
          <w:sz w:val="24"/>
        </w:rPr>
        <w:t xml:space="preserve">进行考核</w:t>
      </w:r>
      <w:r/>
    </w:p>
    <w:p>
      <w:pPr>
        <w:ind w:firstLine="482"/>
        <w:spacing w:line="360" w:lineRule="auto"/>
        <w:rPr>
          <w:rFonts w:hint="eastAsia" w:ascii="仿宋" w:hAnsi="仿宋" w:eastAsia="仿宋" w:cs="等线"/>
          <w:b/>
          <w:sz w:val="24"/>
        </w:rPr>
      </w:pPr>
      <w:r>
        <w:rPr>
          <w:rFonts w:hint="eastAsia" w:ascii="仿宋" w:hAnsi="仿宋" w:eastAsia="仿宋" w:cs="等线"/>
          <w:b/>
          <w:sz w:val="24"/>
        </w:rPr>
        <w:t xml:space="preserve">（三）</w:t>
      </w:r>
      <w:r>
        <w:rPr>
          <w:rFonts w:ascii="仿宋" w:hAnsi="仿宋" w:eastAsia="仿宋" w:cs="等线"/>
          <w:b/>
          <w:sz w:val="24"/>
        </w:rPr>
        <w:t xml:space="preserve">考核</w:t>
      </w:r>
      <w:r>
        <w:rPr>
          <w:rFonts w:hint="eastAsia" w:ascii="仿宋" w:hAnsi="仿宋" w:eastAsia="仿宋" w:cs="等线"/>
          <w:b/>
          <w:sz w:val="24"/>
        </w:rPr>
        <w:t xml:space="preserve">要求</w:t>
      </w:r>
      <w:r/>
    </w:p>
    <w:p>
      <w:pPr>
        <w:pStyle w:val="1352"/>
        <w:ind w:firstLine="480"/>
        <w:spacing w:line="360" w:lineRule="auto"/>
        <w:rPr>
          <w:rFonts w:hint="eastAsia" w:ascii="仿宋" w:hAnsi="仿宋" w:eastAsia="仿宋" w:cs="等线"/>
        </w:rPr>
      </w:pPr>
      <w:r>
        <w:rPr>
          <w:rFonts w:hint="eastAsia" w:ascii="仿宋" w:hAnsi="仿宋" w:eastAsia="仿宋" w:cs="等线"/>
        </w:rPr>
        <w:t xml:space="preserve">1、考核办法：</w:t>
      </w:r>
      <w:r>
        <w:rPr>
          <w:rFonts w:hint="eastAsia" w:ascii="仿宋" w:hAnsi="仿宋" w:eastAsia="仿宋" w:cs="等线"/>
          <w:bCs/>
        </w:rPr>
        <w:t xml:space="preserve">每半年</w:t>
      </w:r>
      <w:r>
        <w:rPr>
          <w:rFonts w:hint="eastAsia" w:ascii="仿宋" w:hAnsi="仿宋" w:eastAsia="仿宋" w:cs="等线"/>
        </w:rPr>
        <w:t xml:space="preserve">考核一次，根据考核结果支付当期运维费用。</w:t>
      </w:r>
      <w:r/>
    </w:p>
    <w:p>
      <w:pPr>
        <w:pStyle w:val="1352"/>
        <w:ind w:firstLine="480"/>
        <w:spacing w:line="360" w:lineRule="auto"/>
        <w:rPr>
          <w:rFonts w:hint="eastAsia" w:ascii="仿宋" w:hAnsi="仿宋" w:eastAsia="仿宋" w:cs="等线"/>
        </w:rPr>
      </w:pPr>
      <w:r>
        <w:rPr>
          <w:rFonts w:hint="eastAsia" w:ascii="仿宋" w:hAnsi="仿宋" w:eastAsia="仿宋" w:cs="等线"/>
        </w:rPr>
        <w:t xml:space="preserve">2、考核：考核结果与乙方的运维服务费挂钩，考核细则双方另行协商。采购人每半年对中标人进行一次综合性服务质量考核，考核分值≥90分（含90分）为合格；考核分值≥70分（含70分）每低于合格分1分扣除运维服务费1000元（例：考核分值为80分，90分-80分=10分，10分*1000元=扣除10000元）；＜70分，采购人将终止服务合同，同时一年内不得参加采购人组织的任何形式的招标活动。</w:t>
      </w:r>
      <w:r/>
    </w:p>
    <w:p>
      <w:pPr>
        <w:pStyle w:val="1352"/>
        <w:ind w:firstLine="480"/>
        <w:spacing w:line="360" w:lineRule="auto"/>
        <w:rPr>
          <w:rFonts w:hint="eastAsia" w:ascii="仿宋" w:hAnsi="仿宋" w:eastAsia="仿宋" w:cs="等线"/>
          <w:b/>
          <w:lang w:val="en-US"/>
        </w:rPr>
      </w:pPr>
      <w:r>
        <w:rPr>
          <w:rFonts w:hint="eastAsia" w:ascii="仿宋" w:hAnsi="仿宋" w:eastAsia="仿宋" w:cs="等线"/>
        </w:rPr>
        <w:t xml:space="preserve">3、考核细则：</w:t>
      </w:r>
      <w:r>
        <w:rPr>
          <w:rFonts w:hint="eastAsia" w:ascii="仿宋" w:hAnsi="仿宋" w:eastAsia="仿宋" w:cs="等线"/>
          <w:b/>
          <w:lang w:val="en-US"/>
        </w:rPr>
        <w:t xml:space="preserve"> </w:t>
      </w:r>
      <w:r/>
    </w:p>
    <w:tbl>
      <w:tblPr>
        <w:tblW w:w="9433" w:type="dxa"/>
        <w:tblInd w:w="-601" w:type="dxa"/>
        <w:tblLook w:val="04A0" w:firstRow="1" w:lastRow="0" w:firstColumn="1" w:lastColumn="0" w:noHBand="0" w:noVBand="1"/>
      </w:tblPr>
      <w:tblGrid>
        <w:gridCol w:w="709"/>
        <w:gridCol w:w="1560"/>
        <w:gridCol w:w="1559"/>
        <w:gridCol w:w="4640"/>
        <w:gridCol w:w="965"/>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b/>
                <w:bCs/>
                <w:sz w:val="24"/>
              </w:rPr>
            </w:pPr>
            <w:r>
              <w:rPr>
                <w:rFonts w:hint="eastAsia" w:ascii="仿宋" w:hAnsi="仿宋" w:eastAsia="仿宋"/>
                <w:b/>
                <w:bCs/>
                <w:sz w:val="24"/>
              </w:rPr>
              <w:t xml:space="preserve">编号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jc w:val="center"/>
              <w:spacing w:line="360" w:lineRule="auto"/>
              <w:widowControl/>
              <w:rPr>
                <w:rFonts w:hint="eastAsia" w:ascii="仿宋" w:hAnsi="仿宋" w:eastAsia="仿宋"/>
                <w:b/>
                <w:bCs/>
                <w:sz w:val="24"/>
              </w:rPr>
            </w:pPr>
            <w:r>
              <w:rPr>
                <w:rFonts w:hint="eastAsia" w:ascii="仿宋" w:hAnsi="仿宋" w:eastAsia="仿宋"/>
                <w:b/>
                <w:bCs/>
                <w:sz w:val="24"/>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spacing w:line="360" w:lineRule="auto"/>
              <w:widowControl/>
              <w:rPr>
                <w:rFonts w:hint="eastAsia" w:ascii="仿宋" w:hAnsi="仿宋" w:eastAsia="仿宋"/>
                <w:b/>
                <w:bCs/>
                <w:sz w:val="24"/>
              </w:rPr>
            </w:pPr>
            <w:r>
              <w:rPr>
                <w:rFonts w:hint="eastAsia" w:ascii="仿宋" w:hAnsi="仿宋" w:eastAsia="仿宋"/>
                <w:b/>
                <w:bCs/>
                <w:sz w:val="24"/>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b/>
                <w:bCs/>
                <w:sz w:val="24"/>
              </w:rPr>
            </w:pPr>
            <w:r>
              <w:rPr>
                <w:rFonts w:hint="eastAsia" w:ascii="仿宋" w:hAnsi="仿宋" w:eastAsia="仿宋"/>
                <w:b/>
                <w:bCs/>
                <w:sz w:val="24"/>
              </w:rPr>
              <w:t xml:space="preserve">分值</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spacing w:line="360" w:lineRule="auto"/>
              <w:rPr>
                <w:rFonts w:hint="eastAsia" w:ascii="仿宋" w:hAnsi="仿宋" w:eastAsia="仿宋"/>
                <w:sz w:val="24"/>
              </w:rPr>
            </w:pPr>
            <w:r>
              <w:rPr>
                <w:rStyle w:val="1354"/>
                <w:rFonts w:hint="default" w:ascii="仿宋" w:hAnsi="仿宋" w:eastAsia="仿宋"/>
                <w:sz w:val="24"/>
                <w:szCs w:val="24"/>
              </w:rPr>
              <w:t xml:space="preserve">内业台账资料（共</w:t>
            </w:r>
            <w:r>
              <w:rPr>
                <w:rStyle w:val="1353"/>
                <w:rFonts w:ascii="仿宋" w:hAnsi="仿宋" w:eastAsia="仿宋"/>
                <w:sz w:val="24"/>
                <w:szCs w:val="24"/>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日常运维服务记录</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Style w:val="1347"/>
                <w:rFonts w:hint="default" w:ascii="仿宋" w:hAnsi="仿宋" w:eastAsia="仿宋"/>
                <w:sz w:val="24"/>
                <w:szCs w:val="24"/>
              </w:rPr>
              <w:t xml:space="preserve">每周对系统进行检查，发现异常及时处理并记录，未做记录或未及时上报问题每次扣</w:t>
            </w:r>
            <w:r>
              <w:rPr>
                <w:rStyle w:val="1359"/>
                <w:rFonts w:hint="default" w:ascii="仿宋" w:hAnsi="仿宋" w:eastAsia="仿宋"/>
                <w:sz w:val="24"/>
                <w:szCs w:val="24"/>
              </w:rPr>
              <w:t xml:space="preserve">0.5</w:t>
            </w:r>
            <w:r>
              <w:rPr>
                <w:rStyle w:val="1347"/>
                <w:rFonts w:hint="default" w:ascii="仿宋" w:hAnsi="仿宋" w:eastAsia="仿宋"/>
                <w:sz w:val="24"/>
                <w:szCs w:val="24"/>
              </w:rPr>
              <w:t xml:space="preserve">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6</w:t>
            </w:r>
            <w:r/>
          </w:p>
        </w:tc>
      </w:tr>
      <w:tr>
        <w:trPr>
          <w:trHeight w:val="1577"/>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每季度巡检记录及运行报告</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每季度对前端安装点进行巡检，并填写巡检记录，并形成季度运行报告，汇总季度问题，漏做1项扣0.5分，扣完为止。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8</w:t>
            </w:r>
            <w:r/>
          </w:p>
        </w:tc>
      </w:tr>
      <w:tr>
        <w:trPr>
          <w:trHeight w:val="1059"/>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每月抽检记录</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每月进行随机抽查，对系统的运行情况进行检测，并填写记录表。漏做1项扣0.5分，扣完为止。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8</w:t>
            </w:r>
            <w:r/>
          </w:p>
        </w:tc>
      </w:tr>
      <w:tr>
        <w:trPr>
          <w:trHeight w:val="1152"/>
        </w:trPr>
        <w:tc>
          <w:tcPr>
            <w:shd w:val="clear" w:color="auto" w:fill="auto"/>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auto" w:sz="4" w:space="0"/>
              <w:right w:val="single" w:color="000000"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季度保养维护记录及系统管理报告</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Style w:val="1347"/>
                <w:rFonts w:hint="default" w:ascii="仿宋" w:hAnsi="仿宋" w:eastAsia="仿宋"/>
                <w:sz w:val="24"/>
                <w:szCs w:val="24"/>
              </w:rPr>
              <w:t xml:space="preserve">每季度对工程范围内的设备箱、设备及其供电系统进行一次保养性维护，对多参数在线自清洗</w:t>
            </w:r>
            <w:r>
              <w:rPr>
                <w:rStyle w:val="1347"/>
                <w:rFonts w:hint="default" w:ascii="仿宋" w:hAnsi="仿宋" w:eastAsia="仿宋"/>
                <w:sz w:val="24"/>
                <w:szCs w:val="24"/>
              </w:rPr>
              <w:t xml:space="preserve">一</w:t>
            </w:r>
            <w:r>
              <w:rPr>
                <w:rStyle w:val="1347"/>
                <w:rFonts w:hint="default" w:ascii="仿宋" w:hAnsi="仿宋" w:eastAsia="仿宋"/>
                <w:sz w:val="24"/>
                <w:szCs w:val="24"/>
              </w:rPr>
              <w:t xml:space="preserve">体式水质传感器进行标定，并对一季度的运行情况进行系统性总结。漏做</w:t>
            </w:r>
            <w:r>
              <w:rPr>
                <w:rStyle w:val="1359"/>
                <w:rFonts w:hint="default" w:ascii="仿宋" w:hAnsi="仿宋" w:eastAsia="仿宋"/>
                <w:sz w:val="24"/>
                <w:szCs w:val="24"/>
              </w:rPr>
              <w:t xml:space="preserve">1</w:t>
            </w:r>
            <w:r>
              <w:rPr>
                <w:rStyle w:val="1347"/>
                <w:rFonts w:hint="default" w:ascii="仿宋" w:hAnsi="仿宋" w:eastAsia="仿宋"/>
                <w:sz w:val="24"/>
                <w:szCs w:val="24"/>
              </w:rPr>
              <w:t xml:space="preserve">项扣</w:t>
            </w:r>
            <w:r>
              <w:rPr>
                <w:rStyle w:val="1359"/>
                <w:rFonts w:hint="default" w:ascii="仿宋" w:hAnsi="仿宋" w:eastAsia="仿宋"/>
                <w:sz w:val="24"/>
                <w:szCs w:val="24"/>
              </w:rPr>
              <w:t xml:space="preserve">0.5</w:t>
            </w:r>
            <w:r>
              <w:rPr>
                <w:rStyle w:val="1347"/>
                <w:rFonts w:hint="default" w:ascii="仿宋" w:hAnsi="仿宋" w:eastAsia="仿宋"/>
                <w:sz w:val="24"/>
                <w:szCs w:val="24"/>
              </w:rPr>
              <w:t xml:space="preserve">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8</w:t>
            </w:r>
            <w:r/>
          </w:p>
        </w:tc>
      </w:tr>
      <w:tr>
        <w:trPr>
          <w:trHeight w:val="86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vMerge w:val="restart"/>
            <w:textDirection w:val="lrTb"/>
            <w:noWrap w:val="false"/>
          </w:tcPr>
          <w:p>
            <w:pPr>
              <w:jc w:val="center"/>
              <w:spacing w:line="360" w:lineRule="auto"/>
              <w:widowControl/>
              <w:rPr>
                <w:rFonts w:hint="eastAsia" w:ascii="仿宋" w:hAnsi="仿宋" w:eastAsia="仿宋"/>
                <w:sz w:val="24"/>
              </w:rPr>
            </w:pPr>
            <w:r>
              <w:rPr>
                <w:rStyle w:val="1354"/>
                <w:rFonts w:hint="default" w:ascii="仿宋" w:hAnsi="仿宋" w:eastAsia="仿宋"/>
                <w:sz w:val="24"/>
                <w:szCs w:val="24"/>
              </w:rPr>
              <w:t xml:space="preserve">日常运维（共</w:t>
            </w:r>
            <w:r>
              <w:rPr>
                <w:rStyle w:val="1353"/>
                <w:rFonts w:ascii="仿宋" w:hAnsi="仿宋" w:eastAsia="仿宋"/>
                <w:sz w:val="24"/>
                <w:szCs w:val="24"/>
              </w:rPr>
              <w:t xml:space="preserve">12分）</w:t>
            </w:r>
            <w:r/>
          </w:p>
        </w:tc>
        <w:tc>
          <w:tcPr>
            <w:shd w:val="clear" w:color="auto" w:fill="auto"/>
            <w:tcBorders>
              <w:top w:val="single" w:color="auto" w:sz="4" w:space="0"/>
              <w:left w:val="single" w:color="auto" w:sz="4" w:space="0"/>
              <w:bottom w:val="single" w:color="000000" w:sz="4" w:space="0"/>
              <w:right w:val="single" w:color="auto"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异常及故障响应</w:t>
            </w:r>
            <w:r/>
          </w:p>
        </w:tc>
        <w:tc>
          <w:tcPr>
            <w:shd w:val="clear" w:color="auto" w:fill="auto"/>
            <w:tcBorders>
              <w:top w:val="single" w:color="000000" w:sz="4" w:space="0"/>
              <w:left w:val="single" w:color="auto"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故障维修人员按照投标响应文件内的故障级别提供维修响应服务，1次未及时解决扣1分，扣完为止。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5</w:t>
            </w:r>
            <w:r/>
          </w:p>
        </w:tc>
      </w:tr>
      <w:tr>
        <w:trPr>
          <w:trHeight w:val="576"/>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终端使用情况</w:t>
            </w:r>
            <w:r/>
          </w:p>
        </w:tc>
        <w:tc>
          <w:tcPr>
            <w:shd w:val="clear" w:color="auto" w:fill="auto"/>
            <w:tcBorders>
              <w:top w:val="single" w:color="000000" w:sz="4" w:space="0"/>
              <w:left w:val="single" w:color="auto"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水质监测系统可以正常使用，登录异常且不能在24小时内解决扣1分，扣完为止。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5</w:t>
            </w:r>
            <w:r/>
          </w:p>
        </w:tc>
      </w:tr>
      <w:tr>
        <w:trPr>
          <w:trHeight w:val="576"/>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网络安全情况</w:t>
            </w:r>
            <w:r/>
          </w:p>
        </w:tc>
        <w:tc>
          <w:tcPr>
            <w:shd w:val="clear" w:color="auto" w:fill="auto"/>
            <w:tcBorders>
              <w:top w:val="single" w:color="000000" w:sz="4" w:space="0"/>
              <w:left w:val="single" w:color="auto"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运行期未发生网络安全事件，发生安全事故或收到上级部门整改通知扣2分。</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2</w:t>
            </w:r>
            <w:r/>
          </w:p>
        </w:tc>
      </w:tr>
      <w:tr>
        <w:trPr>
          <w:trHeight w:val="1152"/>
        </w:trPr>
        <w:tc>
          <w:tcPr>
            <w:shd w:val="clear" w:color="auto" w:fill="auto"/>
            <w:tcBorders>
              <w:top w:val="single" w:color="auto"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8</w:t>
            </w:r>
            <w:r/>
          </w:p>
        </w:tc>
        <w:tc>
          <w:tcPr>
            <w:shd w:val="clear" w:color="auto" w:fill="auto"/>
            <w:tcBorders>
              <w:top w:val="single" w:color="auto"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spacing w:line="360" w:lineRule="auto"/>
              <w:widowControl/>
              <w:rPr>
                <w:rFonts w:hint="eastAsia" w:ascii="仿宋" w:hAnsi="仿宋" w:eastAsia="仿宋"/>
                <w:sz w:val="24"/>
              </w:rPr>
            </w:pPr>
            <w:r>
              <w:rPr>
                <w:rStyle w:val="1354"/>
                <w:rFonts w:hint="default" w:ascii="仿宋" w:hAnsi="仿宋" w:eastAsia="仿宋"/>
                <w:sz w:val="24"/>
                <w:szCs w:val="24"/>
              </w:rPr>
              <w:t xml:space="preserve">现场检查（共</w:t>
            </w:r>
            <w:r>
              <w:rPr>
                <w:rStyle w:val="1353"/>
                <w:rFonts w:ascii="仿宋" w:hAnsi="仿宋" w:eastAsia="仿宋"/>
                <w:sz w:val="24"/>
                <w:szCs w:val="24"/>
              </w:rPr>
              <w:t xml:space="preserve">58</w:t>
            </w:r>
            <w:r>
              <w:rPr>
                <w:rStyle w:val="1354"/>
                <w:rFonts w:hint="default" w:ascii="仿宋" w:hAnsi="仿宋" w:eastAsia="仿宋"/>
                <w:sz w:val="24"/>
                <w:szCs w:val="24"/>
              </w:rPr>
              <w:t xml:space="preserve">分）</w:t>
            </w:r>
            <w:r/>
          </w:p>
        </w:tc>
        <w:tc>
          <w:tcPr>
            <w:shd w:val="clear" w:color="auto" w:fill="auto"/>
            <w:tcBorders>
              <w:top w:val="single" w:color="auto"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污水泵站智能化设备</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浮筒位置正常，外观完好。警示</w:t>
            </w:r>
            <w:r>
              <w:rPr>
                <w:rFonts w:hint="eastAsia" w:ascii="仿宋" w:hAnsi="仿宋" w:eastAsia="仿宋"/>
                <w:sz w:val="24"/>
              </w:rPr>
              <w:t xml:space="preserve">灯工作</w:t>
            </w:r>
            <w:r>
              <w:rPr>
                <w:rFonts w:hint="eastAsia" w:ascii="仿宋" w:hAnsi="仿宋" w:eastAsia="仿宋"/>
                <w:sz w:val="24"/>
              </w:rPr>
              <w:t xml:space="preserve">正常，外观完好，供电正常。发现一处问题扣1分，扣完为止。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10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感知系统设备</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窨井传感器固定牢固可靠,外观完好 ，供电正常。发现一处问题扣1分，扣完为止。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10</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1</w:t>
            </w:r>
            <w:r>
              <w:rPr>
                <w:rFonts w:hint="eastAsia" w:ascii="仿宋" w:hAnsi="仿宋" w:eastAsia="仿宋"/>
                <w:sz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视频监控单元</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摄像机固定牢固可靠，外观完好。供电正常。图像清晰。监控区域位置正确。硬盘录像机工作、录像正常。发现一处问题扣1分，扣完为止。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10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1</w:t>
            </w:r>
            <w:r>
              <w:rPr>
                <w:rFonts w:hint="eastAsia" w:ascii="仿宋" w:hAnsi="仿宋" w:eastAsia="仿宋"/>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数据采集分发单元</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智能网关、数据采集分发引擎固定牢固可靠，外观完好，供电正常。发现一处问题扣1分，扣完为止。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10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1</w:t>
            </w:r>
            <w:r>
              <w:rPr>
                <w:rFonts w:hint="eastAsia" w:ascii="仿宋" w:hAnsi="仿宋" w:eastAsia="仿宋"/>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通信单元</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无线基站、交换机固定牢固可靠,外观完好，供电正常。发现一处问题扣1分，扣</w:t>
            </w:r>
            <w:r>
              <w:rPr>
                <w:rFonts w:hint="eastAsia" w:ascii="仿宋" w:hAnsi="仿宋" w:eastAsia="仿宋"/>
                <w:sz w:val="24"/>
              </w:rPr>
              <w:t xml:space="preserve">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9</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1</w:t>
            </w:r>
            <w:r>
              <w:rPr>
                <w:rFonts w:hint="eastAsia" w:ascii="仿宋" w:hAnsi="仿宋" w:eastAsia="仿宋"/>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外部结构</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机柜固定牢固可靠,外观完好。立杆、设备</w:t>
            </w:r>
            <w:r>
              <w:rPr>
                <w:rFonts w:hint="eastAsia" w:ascii="仿宋" w:hAnsi="仿宋" w:eastAsia="仿宋"/>
                <w:sz w:val="24"/>
              </w:rPr>
              <w:t xml:space="preserve">箱固定</w:t>
            </w:r>
            <w:r>
              <w:rPr>
                <w:rFonts w:hint="eastAsia" w:ascii="仿宋" w:hAnsi="仿宋" w:eastAsia="仿宋"/>
                <w:sz w:val="24"/>
              </w:rPr>
              <w:t xml:space="preserve">牢固可靠,外观完好。发现一处问题扣1分，扣完为止。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9</w:t>
            </w:r>
            <w:r/>
          </w:p>
        </w:tc>
      </w:tr>
      <w:tr>
        <w:trPr>
          <w:trHeight w:val="288"/>
        </w:trPr>
        <w:tc>
          <w:tcPr>
            <w:gridSpan w:val="3"/>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100</w:t>
            </w:r>
            <w:r/>
          </w:p>
        </w:tc>
      </w:tr>
    </w:tbl>
    <w:p>
      <w:pPr>
        <w:pStyle w:val="1352"/>
        <w:ind w:firstLine="482"/>
        <w:spacing w:line="360" w:lineRule="auto"/>
        <w:rPr>
          <w:rFonts w:hint="eastAsia" w:ascii="仿宋" w:hAnsi="仿宋" w:eastAsia="仿宋" w:cs="等线"/>
          <w:b/>
          <w:lang w:val="en-US"/>
        </w:rPr>
      </w:pPr>
      <w:r>
        <w:rPr>
          <w:rFonts w:hint="eastAsia" w:ascii="仿宋" w:hAnsi="仿宋" w:eastAsia="仿宋" w:cs="等线"/>
          <w:b/>
          <w:lang w:val="en-US"/>
        </w:rPr>
        <w:t xml:space="preserve">十二、服务时间：</w:t>
      </w:r>
      <w:r>
        <w:rPr>
          <w:rFonts w:hint="eastAsia" w:ascii="仿宋" w:hAnsi="仿宋" w:eastAsia="仿宋" w:cs="等线"/>
          <w:bCs/>
          <w:lang w:val="en-US"/>
        </w:rPr>
        <w:t xml:space="preserve">两年，合同一年一签。</w:t>
      </w:r>
      <w:r/>
    </w:p>
    <w:p>
      <w:pPr>
        <w:pStyle w:val="1352"/>
        <w:ind w:firstLine="482"/>
        <w:spacing w:line="360" w:lineRule="auto"/>
        <w:rPr>
          <w:rFonts w:hint="eastAsia" w:ascii="仿宋" w:hAnsi="仿宋" w:eastAsia="仿宋" w:cs="仿宋"/>
          <w:szCs w:val="19"/>
        </w:rPr>
        <w:sectPr>
          <w:headerReference w:type="first" r:id="rId11"/>
          <w:footerReference w:type="default" r:id="rId15"/>
          <w:footnotePr/>
          <w:endnotePr>
            <w:numFmt w:val="decimal"/>
          </w:endnotePr>
          <w:type w:val="nextPage"/>
          <w:pgSz w:w="11910" w:h="16840" w:orient="portrait"/>
          <w:pgMar w:top="1440" w:right="1797" w:bottom="1440" w:left="1797" w:header="720" w:footer="907" w:gutter="0"/>
          <w:pgBorders w:display="allPages" w:offsetFrom="page" w:zOrder="front">
            <w:bottom w:color="auto" w:space="24" w:sz="4" w:val="single"/>
          </w:pgBorders>
          <w:cols w:num="1" w:sep="0" w:space="720" w:equalWidth="1"/>
          <w:docGrid w:linePitch="360"/>
          <w:titlePg/>
        </w:sectPr>
      </w:pPr>
      <w:r>
        <w:rPr>
          <w:rFonts w:hint="eastAsia" w:ascii="仿宋" w:hAnsi="仿宋" w:eastAsia="仿宋" w:cs="等线"/>
          <w:b/>
          <w:lang w:val="en-US"/>
        </w:rPr>
        <w:t xml:space="preserve">十三、付款方式：</w:t>
      </w:r>
      <w:r>
        <w:rPr>
          <w:rFonts w:hint="eastAsia" w:ascii="仿宋" w:hAnsi="仿宋" w:eastAsia="仿宋" w:cs="等线"/>
          <w:bCs/>
          <w:lang w:val="en-US"/>
        </w:rPr>
        <w:t xml:space="preserve">按照合同约定，每半年考核一次，根据考核结果支付当期运维费用。</w:t>
      </w:r>
      <w:r/>
    </w:p>
    <w:p>
      <w:pPr>
        <w:pStyle w:val="902"/>
        <w:jc w:val="center"/>
        <w:spacing w:line="240" w:lineRule="auto"/>
        <w:rPr>
          <w:rFonts w:hint="eastAsia" w:ascii="仿宋" w:hAnsi="仿宋" w:eastAsia="仿宋" w:cs="仿宋"/>
          <w:color w:val="000000" w:themeColor="text1"/>
          <w:sz w:val="32"/>
        </w:rPr>
      </w:pPr>
      <w:r/>
      <w:bookmarkStart w:id="64" w:name="_Toc205561302"/>
      <w:r/>
      <w:bookmarkEnd w:id="61"/>
      <w:r/>
      <w:bookmarkEnd w:id="62"/>
      <w:r>
        <w:rPr>
          <w:rFonts w:hint="eastAsia" w:ascii="仿宋" w:hAnsi="仿宋" w:eastAsia="仿宋" w:cs="仿宋"/>
          <w:color w:val="000000" w:themeColor="text1"/>
          <w:sz w:val="32"/>
        </w:rPr>
        <w:t xml:space="preserve">第五章 合同主要条款及格式</w:t>
      </w:r>
      <w:bookmarkEnd w:id="64"/>
      <w:r/>
      <w:r/>
    </w:p>
    <w:p>
      <w:pPr>
        <w:pStyle w:val="1007"/>
        <w:jc w:val="center"/>
        <w:rPr>
          <w:rFonts w:hint="eastAsia" w:ascii="仿宋" w:hAnsi="仿宋" w:eastAsia="仿宋"/>
        </w:rPr>
      </w:pPr>
      <w:r/>
      <w:bookmarkStart w:id="65" w:name="_Hlk203555858"/>
      <w:r/>
      <w:r/>
    </w:p>
    <w:p>
      <w:pPr>
        <w:jc w:val="center"/>
        <w:spacing w:line="360" w:lineRule="auto"/>
        <w:rPr>
          <w:rStyle w:val="974"/>
          <w:rFonts w:hint="eastAsia" w:ascii="仿宋" w:hAnsi="仿宋" w:eastAsia="仿宋" w:cs="仿宋"/>
          <w:sz w:val="36"/>
          <w:szCs w:val="36"/>
        </w:rPr>
      </w:pPr>
      <w:r/>
      <w:bookmarkStart w:id="66" w:name="_Toc31779"/>
      <w:r>
        <w:rPr>
          <w:rStyle w:val="974"/>
          <w:rFonts w:hint="eastAsia" w:ascii="仿宋" w:hAnsi="仿宋" w:eastAsia="仿宋" w:cs="仿宋"/>
          <w:sz w:val="36"/>
          <w:szCs w:val="36"/>
        </w:rPr>
        <w:t xml:space="preserve">南京市江宁区政府采购合同格式</w:t>
      </w:r>
      <w:bookmarkEnd w:id="66"/>
      <w:r/>
      <w:r/>
    </w:p>
    <w:p>
      <w:pPr>
        <w:jc w:val="center"/>
        <w:spacing w:line="360" w:lineRule="auto"/>
        <w:rPr>
          <w:rFonts w:hint="eastAsia" w:ascii="仿宋" w:hAnsi="仿宋" w:eastAsia="仿宋" w:cs="仿宋"/>
          <w:sz w:val="24"/>
        </w:rPr>
      </w:pPr>
      <w:r>
        <w:rPr>
          <w:rFonts w:hint="eastAsia" w:ascii="仿宋" w:hAnsi="仿宋" w:eastAsia="仿宋" w:cs="仿宋"/>
          <w:sz w:val="24"/>
        </w:rPr>
        <w:t xml:space="preserve">（具体合同条款由采购人和供应商依据招投标文件拟定，本件仅供格式参考）</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 w:val="44"/>
          <w:szCs w:val="44"/>
        </w:rPr>
      </w:pPr>
      <w:r>
        <w:rPr>
          <w:rFonts w:hint="eastAsia" w:ascii="仿宋" w:hAnsi="仿宋" w:eastAsia="仿宋" w:cs="仿宋"/>
          <w:b/>
          <w:bCs/>
          <w:sz w:val="44"/>
          <w:szCs w:val="44"/>
        </w:rPr>
      </w:r>
      <w:r/>
    </w:p>
    <w:p>
      <w:pPr>
        <w:pStyle w:val="1007"/>
        <w:ind w:firstLine="0"/>
        <w:rPr>
          <w:rFonts w:hint="eastAsia" w:ascii="仿宋" w:hAnsi="仿宋" w:eastAsia="仿宋"/>
        </w:rPr>
      </w:pPr>
      <w:r>
        <w:rPr>
          <w:rFonts w:hint="eastAsia" w:ascii="仿宋" w:hAnsi="仿宋" w:eastAsia="仿宋"/>
        </w:rPr>
      </w:r>
      <w:r/>
    </w:p>
    <w:p>
      <w:pPr>
        <w:pStyle w:val="1007"/>
        <w:ind w:firstLine="0"/>
        <w:rPr>
          <w:rFonts w:hint="eastAsia" w:ascii="仿宋" w:hAnsi="仿宋" w:eastAsia="仿宋"/>
        </w:rPr>
      </w:pPr>
      <w:r>
        <w:rPr>
          <w:rFonts w:hint="eastAsia" w:ascii="仿宋" w:hAnsi="仿宋" w:eastAsia="仿宋"/>
        </w:rPr>
      </w:r>
      <w:r/>
    </w:p>
    <w:p>
      <w:pPr>
        <w:pStyle w:val="1007"/>
        <w:ind w:firstLine="0"/>
        <w:rPr>
          <w:rFonts w:hint="eastAsia" w:ascii="仿宋" w:hAnsi="仿宋" w:eastAsia="仿宋"/>
        </w:rPr>
      </w:pPr>
      <w:r>
        <w:rPr>
          <w:rFonts w:hint="eastAsia" w:ascii="仿宋" w:hAnsi="仿宋" w:eastAsia="仿宋"/>
        </w:rPr>
      </w:r>
      <w:r/>
    </w:p>
    <w:p>
      <w:pPr>
        <w:jc w:val="center"/>
        <w:widowControl/>
        <w:rPr>
          <w:rFonts w:hint="eastAsia" w:ascii="仿宋" w:hAnsi="仿宋" w:eastAsia="仿宋" w:cs="仿宋"/>
          <w:b/>
          <w:bCs/>
          <w:sz w:val="72"/>
          <w:szCs w:val="44"/>
        </w:rPr>
      </w:pPr>
      <w:r>
        <w:rPr>
          <w:rFonts w:hint="eastAsia" w:ascii="仿宋" w:hAnsi="仿宋" w:eastAsia="仿宋" w:cs="仿宋"/>
          <w:b/>
          <w:bCs/>
          <w:sz w:val="72"/>
          <w:szCs w:val="44"/>
        </w:rPr>
        <w:t xml:space="preserve">服务合同</w:t>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项目编号 ：</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项目名称 ：</w:t>
      </w:r>
      <w:r>
        <w:rPr>
          <w:rFonts w:hint="eastAsia" w:ascii="仿宋" w:hAnsi="仿宋" w:eastAsia="仿宋" w:cs="仿宋"/>
          <w:b/>
          <w:bCs/>
          <w:sz w:val="32"/>
          <w:szCs w:val="44"/>
        </w:rPr>
        <w:t xml:space="preserve">江宁开发区智慧水</w:t>
      </w:r>
      <w:r>
        <w:rPr>
          <w:rFonts w:hint="eastAsia" w:ascii="仿宋" w:hAnsi="仿宋" w:eastAsia="仿宋" w:cs="仿宋"/>
          <w:b/>
          <w:bCs/>
          <w:sz w:val="32"/>
          <w:szCs w:val="44"/>
        </w:rPr>
        <w:t xml:space="preserve">务</w:t>
      </w:r>
      <w:r>
        <w:rPr>
          <w:rFonts w:hint="eastAsia" w:ascii="仿宋" w:hAnsi="仿宋" w:eastAsia="仿宋" w:cs="仿宋"/>
          <w:b/>
          <w:bCs/>
          <w:sz w:val="32"/>
          <w:szCs w:val="44"/>
        </w:rPr>
        <w:t xml:space="preserve">平台后期运维服务</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采购单位 ：南京江宁经济技术开发区管理委员会</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服务单位 ：                       </w:t>
      </w:r>
      <w:r/>
    </w:p>
    <w:p>
      <w:pPr>
        <w:jc w:val="left"/>
        <w:spacing w:line="360" w:lineRule="auto"/>
        <w:rPr>
          <w:rFonts w:hint="eastAsia" w:ascii="仿宋" w:hAnsi="仿宋" w:eastAsia="仿宋" w:cs="仿宋_GB2312"/>
          <w:b/>
          <w:color w:val="000000" w:themeColor="text1"/>
          <w:sz w:val="24"/>
          <w:lang w:val="zh-CN"/>
        </w:rPr>
      </w:pPr>
      <w:r>
        <w:rPr>
          <w:rFonts w:hint="eastAsia" w:ascii="仿宋" w:hAnsi="仿宋" w:eastAsia="仿宋" w:cs="仿宋"/>
          <w:b/>
          <w:bCs/>
          <w:sz w:val="32"/>
          <w:szCs w:val="44"/>
        </w:rPr>
        <w:t xml:space="preserve">签订日期 ：</w:t>
      </w:r>
      <w:r>
        <w:rPr>
          <w:rFonts w:hint="eastAsia" w:ascii="仿宋" w:hAnsi="仿宋" w:eastAsia="仿宋" w:cs="仿宋"/>
          <w:sz w:val="24"/>
          <w:lang w:val="zh-CN"/>
        </w:rPr>
        <w:br w:type="page" w:clear="all"/>
      </w:r>
      <w:r>
        <w:rPr>
          <w:rFonts w:hint="eastAsia" w:ascii="仿宋" w:hAnsi="仿宋" w:eastAsia="仿宋" w:cs="仿宋_GB2312"/>
          <w:color w:val="000000" w:themeColor="text1"/>
          <w:sz w:val="24"/>
          <w:lang w:val="zh-CN"/>
        </w:rPr>
        <w:t xml:space="preserve">合同编号：</w:t>
      </w:r>
      <w:r/>
    </w:p>
    <w:tbl>
      <w:tblPr>
        <w:tblW w:w="9178" w:type="dxa"/>
        <w:tblLayout w:type="fixed"/>
        <w:tblCellMar>
          <w:left w:w="0" w:type="dxa"/>
          <w:right w:w="0" w:type="dxa"/>
        </w:tblCellMar>
        <w:tblLook w:val="04A0" w:firstRow="1" w:lastRow="0" w:firstColumn="1" w:lastColumn="0" w:noHBand="0" w:noVBand="1"/>
      </w:tblPr>
      <w:tblGrid>
        <w:gridCol w:w="5529"/>
        <w:gridCol w:w="3649"/>
      </w:tblGrid>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采购人：（以下称甲方） </w:t>
            </w:r>
            <w:r/>
          </w:p>
          <w:p>
            <w:pPr>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南京江宁经济技术开发区管理委员会</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供应商：（以下称乙方）</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r>
            <w:r/>
          </w:p>
        </w:tc>
      </w:tr>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住所地：</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住所地：</w:t>
            </w:r>
            <w:bookmarkEnd w:id="65"/>
            <w:r/>
            <w:r/>
          </w:p>
        </w:tc>
      </w:tr>
    </w:tbl>
    <w:p>
      <w:pPr>
        <w:pStyle w:val="1358"/>
        <w:rPr>
          <w:rFonts w:hint="eastAsia"/>
          <w:b/>
          <w:bCs/>
        </w:rPr>
      </w:pPr>
      <w:r>
        <w:rPr>
          <w:rFonts w:hint="eastAsia"/>
          <w:b/>
          <w:bCs/>
        </w:rPr>
        <w:t xml:space="preserve">第一条 合同标的</w:t>
      </w:r>
      <w:r/>
    </w:p>
    <w:p>
      <w:pPr>
        <w:pStyle w:val="1358"/>
        <w:ind w:firstLine="480"/>
        <w:rPr>
          <w:rFonts w:hint="eastAsia"/>
        </w:rPr>
      </w:pPr>
      <w:r>
        <w:rPr>
          <w:rFonts w:hint="eastAsia"/>
        </w:rPr>
        <w:t xml:space="preserve">乙方根据甲方需求提供下列服务：</w:t>
      </w:r>
      <w:r>
        <w:rPr>
          <w:rFonts w:hint="eastAsia"/>
          <w:u w:val="single"/>
        </w:rPr>
        <w:t xml:space="preserve">江宁开发区智慧水</w:t>
      </w:r>
      <w:r>
        <w:rPr>
          <w:rFonts w:hint="eastAsia"/>
          <w:u w:val="single"/>
        </w:rPr>
        <w:t xml:space="preserve">务</w:t>
      </w:r>
      <w:r>
        <w:rPr>
          <w:rFonts w:hint="eastAsia"/>
          <w:u w:val="single"/>
        </w:rPr>
        <w:t xml:space="preserve">平台后期运维服务</w:t>
      </w:r>
      <w:r>
        <w:rPr>
          <w:rFonts w:hint="eastAsia"/>
        </w:rPr>
        <w:t xml:space="preserve">，详见乙方响应文件。</w:t>
      </w:r>
      <w:r/>
    </w:p>
    <w:p>
      <w:pPr>
        <w:pStyle w:val="1358"/>
        <w:rPr>
          <w:rFonts w:hint="eastAsia"/>
          <w:b/>
          <w:bCs/>
        </w:rPr>
      </w:pPr>
      <w:r>
        <w:rPr>
          <w:rFonts w:hint="eastAsia"/>
          <w:b/>
          <w:bCs/>
        </w:rPr>
        <w:t xml:space="preserve">第二条 合同总价款</w:t>
      </w:r>
      <w:r/>
    </w:p>
    <w:p>
      <w:pPr>
        <w:pStyle w:val="1358"/>
        <w:ind w:firstLine="480"/>
        <w:rPr>
          <w:rFonts w:hint="eastAsia"/>
        </w:rPr>
      </w:pPr>
      <w:r>
        <w:rPr>
          <w:rFonts w:hint="eastAsia"/>
        </w:rPr>
        <w:t xml:space="preserve">本合同项下服务总价款为</w:t>
      </w:r>
      <w:r>
        <w:rPr>
          <w:rFonts w:hint="eastAsia"/>
          <w:u w:val="single"/>
        </w:rPr>
        <w:t xml:space="preserve">       </w:t>
      </w:r>
      <w:r>
        <w:rPr>
          <w:rFonts w:hint="eastAsia"/>
        </w:rPr>
        <w:t xml:space="preserve">（大写）人民币，分项价款在乙方“响应文件价格部分”中有明确规定。</w:t>
      </w:r>
      <w:r/>
    </w:p>
    <w:p>
      <w:pPr>
        <w:pStyle w:val="1358"/>
        <w:ind w:firstLine="480"/>
        <w:rPr>
          <w:rFonts w:hint="eastAsia"/>
        </w:rPr>
      </w:pPr>
      <w:r>
        <w:rPr>
          <w:rFonts w:hint="eastAsia"/>
        </w:rPr>
        <w:t xml:space="preserve">本合同总价款是完成本项目所发生的所有含税费用、支付给员工的工资和国家强制缴纳的各种社会保障资金，以及乙方认为需要的其他费用等。</w:t>
      </w:r>
      <w:r/>
    </w:p>
    <w:p>
      <w:pPr>
        <w:pStyle w:val="1358"/>
        <w:rPr>
          <w:rFonts w:hint="eastAsia"/>
          <w:b/>
          <w:bCs/>
        </w:rPr>
      </w:pPr>
      <w:r>
        <w:rPr>
          <w:rFonts w:hint="eastAsia"/>
          <w:b/>
          <w:bCs/>
        </w:rPr>
        <w:t xml:space="preserve">第三条 组成本合同的有关文件</w:t>
      </w:r>
      <w:r/>
    </w:p>
    <w:p>
      <w:pPr>
        <w:pStyle w:val="1358"/>
        <w:ind w:firstLine="480"/>
        <w:rPr>
          <w:rFonts w:hint="eastAsia"/>
        </w:rPr>
      </w:pPr>
      <w:r>
        <w:rPr>
          <w:rFonts w:hint="eastAsia"/>
        </w:rPr>
        <w:t xml:space="preserve">下列关于本项目的招响应文件或与本次采购活动方式相适应的文件及有关附件是本合同不可分割的组成部分，与本合同具有同等法律效力，这些文件包括但不限于：</w:t>
      </w:r>
      <w:r/>
    </w:p>
    <w:p>
      <w:pPr>
        <w:pStyle w:val="1358"/>
        <w:ind w:firstLine="480"/>
        <w:rPr>
          <w:rFonts w:hint="eastAsia"/>
        </w:rPr>
      </w:pPr>
      <w:r>
        <w:rPr>
          <w:rFonts w:hint="eastAsia"/>
        </w:rPr>
        <w:t xml:space="preserve">（1）乙方提供的响应文件和报价表；</w:t>
      </w:r>
      <w:r/>
    </w:p>
    <w:p>
      <w:pPr>
        <w:pStyle w:val="1358"/>
        <w:ind w:firstLine="480"/>
        <w:rPr>
          <w:rFonts w:hint="eastAsia"/>
        </w:rPr>
      </w:pPr>
      <w:r>
        <w:rPr>
          <w:rFonts w:hint="eastAsia"/>
        </w:rPr>
        <w:t xml:space="preserve">（2）中标通知书；</w:t>
      </w:r>
      <w:r/>
    </w:p>
    <w:p>
      <w:pPr>
        <w:pStyle w:val="1358"/>
        <w:ind w:firstLine="480"/>
        <w:rPr>
          <w:rFonts w:hint="eastAsia"/>
        </w:rPr>
      </w:pPr>
      <w:r>
        <w:rPr>
          <w:rFonts w:hint="eastAsia"/>
        </w:rPr>
        <w:t xml:space="preserve">（3）甲乙双方商定的其他文件等。</w:t>
      </w:r>
      <w:r/>
    </w:p>
    <w:p>
      <w:pPr>
        <w:pStyle w:val="1358"/>
        <w:rPr>
          <w:rFonts w:hint="eastAsia"/>
          <w:b/>
          <w:bCs/>
        </w:rPr>
      </w:pPr>
      <w:r>
        <w:rPr>
          <w:rFonts w:hint="eastAsia"/>
          <w:b/>
          <w:bCs/>
        </w:rPr>
        <w:t xml:space="preserve">第四条 服务期限</w:t>
      </w:r>
      <w:r/>
    </w:p>
    <w:p>
      <w:pPr>
        <w:pStyle w:val="1358"/>
        <w:ind w:firstLine="480"/>
        <w:rPr>
          <w:rFonts w:hint="eastAsia"/>
        </w:rPr>
      </w:pPr>
      <w:r>
        <w:rPr>
          <w:rFonts w:hint="eastAsia"/>
        </w:rPr>
        <w:t xml:space="preserve">服务期限：</w:t>
      </w:r>
      <w:r>
        <w:rPr>
          <w:rFonts w:hint="eastAsia" w:cs="等线"/>
          <w:bCs/>
          <w:lang w:val="en-US"/>
        </w:rPr>
        <w:t xml:space="preserve">两</w:t>
      </w:r>
      <w:r>
        <w:rPr>
          <w:rFonts w:hint="eastAsia"/>
        </w:rPr>
        <w:t xml:space="preserve">年，  年  月  日至   年  月  日。</w:t>
      </w:r>
      <w:r/>
    </w:p>
    <w:p>
      <w:pPr>
        <w:pStyle w:val="1358"/>
        <w:rPr>
          <w:rFonts w:hint="eastAsia"/>
          <w:b/>
          <w:bCs/>
        </w:rPr>
      </w:pPr>
      <w:r>
        <w:rPr>
          <w:rFonts w:hint="eastAsia"/>
          <w:b/>
          <w:bCs/>
        </w:rPr>
        <w:t xml:space="preserve">第五条权利保证</w:t>
      </w:r>
      <w:r/>
    </w:p>
    <w:p>
      <w:pPr>
        <w:pStyle w:val="1358"/>
        <w:ind w:firstLine="480"/>
        <w:rPr>
          <w:rFonts w:hint="eastAsia"/>
        </w:rPr>
      </w:pPr>
      <w:r>
        <w:rPr>
          <w:rFonts w:hint="eastAsia"/>
        </w:rPr>
        <w:t xml:space="preserve">乙方应保证为甲方提供货物和服务任何一部分时不受第三方提出侵犯其专利权、版 权、商标权或其他权利的起诉。一旦出现侵权，乙方应承担全部责任。</w:t>
      </w:r>
      <w:r/>
    </w:p>
    <w:p>
      <w:pPr>
        <w:pStyle w:val="1358"/>
        <w:rPr>
          <w:rFonts w:hint="eastAsia"/>
          <w:b/>
          <w:bCs/>
        </w:rPr>
      </w:pPr>
      <w:r>
        <w:rPr>
          <w:rFonts w:hint="eastAsia"/>
          <w:b/>
          <w:bCs/>
        </w:rPr>
        <w:t xml:space="preserve">第六条 质量保证</w:t>
      </w:r>
      <w:r/>
    </w:p>
    <w:p>
      <w:pPr>
        <w:pStyle w:val="1358"/>
        <w:ind w:firstLine="480"/>
        <w:rPr>
          <w:rFonts w:hint="eastAsia"/>
        </w:rPr>
      </w:pPr>
      <w:r>
        <w:rPr>
          <w:rFonts w:hint="eastAsia"/>
        </w:rPr>
        <w:t xml:space="preserve">乙方提供的服务必须全部达到采购文件各项要求，国家或行业有规定的，还要符合相应规定。 </w:t>
      </w:r>
      <w:r/>
    </w:p>
    <w:p>
      <w:pPr>
        <w:pStyle w:val="1358"/>
        <w:rPr>
          <w:rFonts w:hint="eastAsia"/>
          <w:b/>
          <w:bCs/>
        </w:rPr>
      </w:pPr>
      <w:r>
        <w:rPr>
          <w:rFonts w:hint="eastAsia"/>
          <w:b/>
          <w:bCs/>
        </w:rPr>
        <w:t xml:space="preserve">第七条 交付使用和验收</w:t>
      </w:r>
      <w:r/>
    </w:p>
    <w:p>
      <w:pPr>
        <w:pStyle w:val="1358"/>
        <w:ind w:firstLine="480"/>
        <w:rPr>
          <w:rFonts w:hint="eastAsia"/>
        </w:rPr>
      </w:pPr>
      <w:r>
        <w:rPr>
          <w:rFonts w:hint="eastAsia"/>
        </w:rPr>
        <w:t xml:space="preserve">1、乙方应当在合同签订后天内完成采购文件规定的项目并交付甲方使用。采购文件有约定的，从其约定。 </w:t>
      </w:r>
      <w:r/>
    </w:p>
    <w:p>
      <w:pPr>
        <w:pStyle w:val="1358"/>
        <w:ind w:firstLine="480"/>
        <w:rPr>
          <w:rFonts w:hint="eastAsia"/>
        </w:rPr>
      </w:pPr>
      <w:r>
        <w:rPr>
          <w:rFonts w:hint="eastAsia"/>
        </w:rPr>
        <w:t xml:space="preserve">2、甲方自行组织或视情邀请相关专家或国家认可的质量检测机构参加验收，乙方提供的服务不符合采购文件和合同规定的，甲方有权拒收，并承担验收费用等。</w:t>
      </w:r>
      <w:r/>
    </w:p>
    <w:p>
      <w:pPr>
        <w:pStyle w:val="1358"/>
        <w:rPr>
          <w:rFonts w:hint="eastAsia"/>
          <w:b/>
          <w:bCs/>
        </w:rPr>
      </w:pPr>
      <w:r>
        <w:rPr>
          <w:rFonts w:hint="eastAsia"/>
          <w:b/>
          <w:bCs/>
        </w:rPr>
        <w:t xml:space="preserve">第八条 合同款支付</w:t>
      </w:r>
      <w:r/>
    </w:p>
    <w:p>
      <w:pPr>
        <w:ind w:firstLine="420"/>
        <w:spacing w:line="360" w:lineRule="auto"/>
        <w:rPr>
          <w:rFonts w:hint="eastAsia" w:ascii="仿宋" w:hAnsi="仿宋" w:eastAsia="仿宋"/>
          <w:sz w:val="24"/>
        </w:rPr>
      </w:pPr>
      <w:r>
        <w:rPr>
          <w:rFonts w:hint="eastAsia" w:ascii="仿宋" w:hAnsi="仿宋" w:eastAsia="仿宋"/>
          <w:sz w:val="24"/>
        </w:rPr>
        <w:t xml:space="preserve">1、本合同项下所有款项均以人民币支付。</w:t>
      </w:r>
      <w:r/>
    </w:p>
    <w:p>
      <w:pPr>
        <w:ind w:firstLine="420"/>
        <w:spacing w:line="360" w:lineRule="auto"/>
        <w:rPr>
          <w:rFonts w:hint="eastAsia" w:ascii="仿宋" w:hAnsi="仿宋" w:eastAsia="仿宋"/>
          <w:sz w:val="24"/>
        </w:rPr>
      </w:pPr>
      <w:r>
        <w:rPr>
          <w:rFonts w:hint="eastAsia" w:ascii="仿宋" w:hAnsi="仿宋" w:eastAsia="仿宋"/>
          <w:sz w:val="24"/>
        </w:rPr>
        <w:t xml:space="preserve">2、本合同项下的采购资金由甲方自行支付，乙方应在甲方付款前向甲方开具等额合法的发票。</w:t>
      </w:r>
      <w:r/>
    </w:p>
    <w:p>
      <w:pPr>
        <w:pStyle w:val="1358"/>
        <w:ind w:firstLine="480"/>
        <w:rPr>
          <w:rFonts w:hint="eastAsia"/>
        </w:rPr>
      </w:pPr>
      <w:r>
        <w:rPr>
          <w:rFonts w:hint="eastAsia"/>
          <w:lang w:val="en-US"/>
        </w:rPr>
        <w:t xml:space="preserve">3、</w:t>
      </w:r>
      <w:r>
        <w:rPr>
          <w:rFonts w:hint="eastAsia" w:cs="等线"/>
          <w:bCs/>
          <w:lang w:val="en-US"/>
        </w:rPr>
        <w:t xml:space="preserve">付款方式：每半年考核一次，根据考核结果支付当期运维费用。</w:t>
      </w:r>
      <w:r/>
    </w:p>
    <w:p>
      <w:pPr>
        <w:pStyle w:val="1358"/>
        <w:rPr>
          <w:rFonts w:hint="eastAsia"/>
          <w:b/>
          <w:bCs/>
        </w:rPr>
      </w:pPr>
      <w:r>
        <w:rPr>
          <w:rFonts w:hint="eastAsia"/>
          <w:b/>
          <w:bCs/>
        </w:rPr>
        <w:t xml:space="preserve">第</w:t>
      </w:r>
      <w:r>
        <w:rPr>
          <w:rFonts w:hint="eastAsia"/>
          <w:b/>
          <w:bCs/>
          <w:lang w:val="en-US"/>
        </w:rPr>
        <w:t xml:space="preserve">九</w:t>
      </w:r>
      <w:r>
        <w:rPr>
          <w:rFonts w:hint="eastAsia"/>
          <w:b/>
          <w:bCs/>
        </w:rPr>
        <w:t xml:space="preserve">条 违约责任</w:t>
      </w:r>
      <w:r/>
    </w:p>
    <w:p>
      <w:pPr>
        <w:pStyle w:val="1358"/>
        <w:ind w:firstLine="480"/>
        <w:rPr>
          <w:rFonts w:hint="eastAsia"/>
        </w:rPr>
      </w:pPr>
      <w:r>
        <w:rPr>
          <w:rFonts w:hint="eastAsia"/>
        </w:rPr>
        <w:t xml:space="preserve">１、甲方无正当理由拒收服务、拒付款的，由甲方向乙方偿付合同总价的5%违约金。</w:t>
      </w:r>
      <w:r/>
    </w:p>
    <w:p>
      <w:pPr>
        <w:pStyle w:val="1358"/>
        <w:ind w:firstLine="480"/>
        <w:rPr>
          <w:rFonts w:hint="eastAsia"/>
        </w:rPr>
      </w:pPr>
      <w:r>
        <w:rPr>
          <w:rFonts w:hint="eastAsia"/>
        </w:rPr>
        <w:t xml:space="preserve">２、甲方未按合同规定的期限向乙方支付总价款的，每逾期1天甲方向乙方偿付欠款总额的5‰逾期违约金，但累计逾期违约金总额不超过欠款总额的5%。</w:t>
      </w:r>
      <w:r/>
    </w:p>
    <w:p>
      <w:pPr>
        <w:pStyle w:val="1358"/>
        <w:ind w:firstLine="480"/>
        <w:rPr>
          <w:rFonts w:hint="eastAsia"/>
        </w:rPr>
      </w:pPr>
      <w:r>
        <w:rPr>
          <w:rFonts w:hint="eastAsia"/>
        </w:rPr>
        <w:t xml:space="preserve">３、如乙方不能按期交付服务的，乙方应向甲方支付合同总价5%的违约金。</w:t>
      </w:r>
      <w:r/>
    </w:p>
    <w:p>
      <w:pPr>
        <w:pStyle w:val="1358"/>
        <w:ind w:firstLine="480"/>
        <w:rPr>
          <w:rFonts w:hint="eastAsia"/>
        </w:rPr>
      </w:pPr>
      <w:r>
        <w:rPr>
          <w:rFonts w:hint="eastAsia"/>
        </w:rPr>
        <w:t xml:space="preserve">４、乙方逾期交付的，每逾期1天，乙方向甲方偿付合同总额的5‰的逾期违约金。如乙方逾期交付达10天，甲方有权解除合同，解除合同的通知自到达乙方时生效。</w:t>
      </w:r>
      <w:r/>
    </w:p>
    <w:p>
      <w:pPr>
        <w:pStyle w:val="1358"/>
        <w:ind w:firstLine="480"/>
        <w:rPr>
          <w:rFonts w:hint="eastAsia"/>
        </w:rPr>
      </w:pPr>
      <w:r>
        <w:rPr>
          <w:rFonts w:hint="eastAsia"/>
        </w:rPr>
        <w:t xml:space="preserve">5、乙方提供的服务不符合要求的，甲方有权要求乙方进行整改，乙方经整改后仍然不合要求的，除须继续履行本合同约定的义务外，还应按照合同款的1%/次向甲方支付违约金；如经乙方两次整改仍不能达到合同约定的质量标准，乙方应退回全部合同价款，并按第3款处理，同时，乙方还须赔偿甲方因此遭受的损失。</w:t>
      </w:r>
      <w:r/>
    </w:p>
    <w:p>
      <w:pPr>
        <w:pStyle w:val="1358"/>
        <w:ind w:firstLine="480"/>
        <w:rPr>
          <w:rFonts w:hint="eastAsia"/>
        </w:rPr>
      </w:pPr>
      <w:r>
        <w:rPr>
          <w:rFonts w:hint="eastAsia"/>
        </w:rPr>
        <w:t xml:space="preserve">6、乙方在承担上述4-5款一项或多项违约责任后，仍应继续履行合同规定的义务（甲方解除合同的除外）。甲方未能及时追究乙方的任何一项违约责任并不表明甲方放弃追究乙方该项或其他违约责任。</w:t>
      </w:r>
      <w:r/>
    </w:p>
    <w:p>
      <w:pPr>
        <w:pStyle w:val="1358"/>
        <w:rPr>
          <w:rFonts w:hint="eastAsia"/>
          <w:b/>
          <w:bCs/>
        </w:rPr>
      </w:pPr>
      <w:r>
        <w:rPr>
          <w:rFonts w:hint="eastAsia"/>
          <w:b/>
          <w:bCs/>
        </w:rPr>
        <w:t xml:space="preserve">第十一条 合同的变更和终止</w:t>
      </w:r>
      <w:r/>
    </w:p>
    <w:p>
      <w:pPr>
        <w:pStyle w:val="1358"/>
        <w:ind w:firstLine="480"/>
        <w:rPr>
          <w:rFonts w:hint="eastAsia"/>
        </w:rPr>
      </w:pPr>
      <w:r>
        <w:rPr>
          <w:rFonts w:hint="eastAsia"/>
        </w:rPr>
        <w:t xml:space="preserve">遇到《政府采购法》第50条规定的情形，双方当事人应当变更、中止或者终止合同。有过错的一方应当承担赔偿责任，双方都有过错的，各自承担相应的责任。</w:t>
      </w:r>
      <w:r/>
    </w:p>
    <w:p>
      <w:pPr>
        <w:pStyle w:val="1358"/>
        <w:rPr>
          <w:rFonts w:hint="eastAsia"/>
          <w:b/>
          <w:bCs/>
        </w:rPr>
      </w:pPr>
      <w:r>
        <w:rPr>
          <w:rFonts w:hint="eastAsia"/>
          <w:b/>
          <w:bCs/>
        </w:rPr>
        <w:t xml:space="preserve">第十二条 合同的转让</w:t>
      </w:r>
      <w:r/>
    </w:p>
    <w:p>
      <w:pPr>
        <w:pStyle w:val="1358"/>
        <w:ind w:firstLine="480"/>
        <w:rPr>
          <w:rFonts w:hint="eastAsia"/>
        </w:rPr>
      </w:pPr>
      <w:r>
        <w:rPr>
          <w:rFonts w:hint="eastAsia"/>
        </w:rPr>
        <w:t xml:space="preserve">乙方不得擅自部分或全部转让其应履行的合同义务。</w:t>
      </w:r>
      <w:r/>
    </w:p>
    <w:p>
      <w:pPr>
        <w:pStyle w:val="1358"/>
        <w:rPr>
          <w:rFonts w:hint="eastAsia"/>
          <w:b/>
          <w:bCs/>
        </w:rPr>
      </w:pPr>
      <w:r>
        <w:rPr>
          <w:rFonts w:hint="eastAsia"/>
          <w:b/>
          <w:bCs/>
        </w:rPr>
        <w:t xml:space="preserve">第十三条 争议的解决</w:t>
      </w:r>
      <w:r/>
    </w:p>
    <w:p>
      <w:pPr>
        <w:pStyle w:val="1358"/>
        <w:ind w:firstLine="480"/>
        <w:rPr>
          <w:rFonts w:hint="eastAsia"/>
        </w:rPr>
      </w:pPr>
      <w:r>
        <w:rPr>
          <w:rFonts w:hint="eastAsia"/>
        </w:rPr>
        <w:t xml:space="preserve">1、因质量问题发生争议的，应当邀请国家认可的质量检测机构对服务质量进行鉴定。符合标准的，鉴定费由甲方承担；不符合质量标准的，鉴定费由乙方承担。</w:t>
      </w:r>
      <w:r/>
    </w:p>
    <w:p>
      <w:pPr>
        <w:pStyle w:val="1358"/>
        <w:ind w:firstLine="480"/>
        <w:rPr>
          <w:rFonts w:hint="eastAsia"/>
        </w:rPr>
      </w:pPr>
      <w:r>
        <w:rPr>
          <w:rFonts w:hint="eastAsia"/>
        </w:rPr>
        <w:t xml:space="preserve">2、因履行本合同引起的或与本合同有关的争议，甲、乙双方应首先通过友好协商解决，如果协商不能解决争议，则可向甲方所在地有管辖权的人民法院提起诉讼；</w:t>
      </w:r>
      <w:r/>
    </w:p>
    <w:p>
      <w:pPr>
        <w:pStyle w:val="1358"/>
        <w:rPr>
          <w:rFonts w:hint="eastAsia"/>
          <w:b/>
          <w:bCs/>
        </w:rPr>
      </w:pPr>
      <w:r>
        <w:rPr>
          <w:rFonts w:hint="eastAsia"/>
          <w:b/>
          <w:bCs/>
        </w:rPr>
        <w:t xml:space="preserve">第十四条 诚实信用</w:t>
      </w:r>
      <w:r/>
    </w:p>
    <w:p>
      <w:pPr>
        <w:pStyle w:val="1358"/>
        <w:ind w:firstLine="480"/>
        <w:rPr>
          <w:rFonts w:hint="eastAsia"/>
        </w:rPr>
      </w:pPr>
      <w:r>
        <w:rPr>
          <w:rFonts w:hint="eastAsia"/>
        </w:rPr>
        <w:t xml:space="preserve">乙方应诚实信用，严格按照招标文件要求和投标承诺履行合同，不向甲方进行商业贿赂或者提供不正当利益。</w:t>
      </w:r>
      <w:r/>
    </w:p>
    <w:p>
      <w:pPr>
        <w:pStyle w:val="1358"/>
        <w:rPr>
          <w:rFonts w:hint="eastAsia"/>
          <w:b/>
          <w:bCs/>
        </w:rPr>
      </w:pPr>
      <w:r>
        <w:rPr>
          <w:rFonts w:hint="eastAsia"/>
          <w:b/>
          <w:bCs/>
        </w:rPr>
        <w:t xml:space="preserve">第十五条 合同生效及其他</w:t>
      </w:r>
      <w:r/>
    </w:p>
    <w:p>
      <w:pPr>
        <w:pStyle w:val="1358"/>
        <w:ind w:firstLine="480"/>
        <w:rPr>
          <w:rFonts w:hint="eastAsia"/>
        </w:rPr>
      </w:pPr>
      <w:r>
        <w:rPr>
          <w:rFonts w:hint="eastAsia"/>
        </w:rPr>
        <w:t xml:space="preserve">1、本合同自签订之日起签字并盖章生效。</w:t>
      </w:r>
      <w:r/>
    </w:p>
    <w:p>
      <w:pPr>
        <w:pStyle w:val="1358"/>
        <w:ind w:firstLine="480"/>
        <w:rPr>
          <w:rFonts w:hint="eastAsia"/>
        </w:rPr>
      </w:pPr>
      <w:r>
        <w:rPr>
          <w:rFonts w:hint="eastAsia"/>
        </w:rPr>
        <w:t xml:space="preserve">2、本合同一式肆份，甲乙双方各执贰份。</w:t>
      </w:r>
      <w:r/>
    </w:p>
    <w:p>
      <w:pPr>
        <w:pStyle w:val="1358"/>
        <w:ind w:firstLine="480"/>
        <w:rPr>
          <w:rFonts w:hint="eastAsia"/>
        </w:rPr>
      </w:pPr>
      <w:r>
        <w:rPr>
          <w:rFonts w:hint="eastAsia"/>
        </w:rPr>
        <w:t xml:space="preserve">3、本合同应按照中华人民共和国的现行法律进行解释。</w:t>
      </w:r>
      <w:r/>
    </w:p>
    <w:p>
      <w:pPr>
        <w:pStyle w:val="1358"/>
        <w:rPr>
          <w:rFonts w:hint="eastAsia"/>
        </w:rPr>
      </w:pPr>
      <w:r>
        <w:t xml:space="preserve"> </w:t>
      </w:r>
      <w:r/>
    </w:p>
    <w:p>
      <w:pPr>
        <w:pStyle w:val="1352"/>
        <w:spacing w:line="360" w:lineRule="auto"/>
        <w:rPr>
          <w:rFonts w:hint="eastAsia" w:ascii="仿宋" w:hAnsi="仿宋" w:eastAsia="仿宋"/>
        </w:rPr>
      </w:pPr>
      <w:r>
        <w:rPr>
          <w:rFonts w:hint="eastAsia" w:ascii="仿宋" w:hAnsi="仿宋" w:eastAsia="仿宋"/>
        </w:rPr>
      </w:r>
      <w:r/>
    </w:p>
    <w:p>
      <w:pPr>
        <w:pStyle w:val="1352"/>
        <w:spacing w:line="360" w:lineRule="auto"/>
        <w:rPr>
          <w:rFonts w:hint="eastAsia" w:ascii="仿宋" w:hAnsi="仿宋" w:eastAsia="仿宋"/>
        </w:rPr>
      </w:pPr>
      <w:r>
        <w:rPr>
          <w:rFonts w:hint="eastAsia" w:ascii="仿宋" w:hAnsi="仿宋" w:eastAsia="仿宋"/>
        </w:rPr>
      </w:r>
      <w:r/>
    </w:p>
    <w:p>
      <w:pPr>
        <w:pStyle w:val="1352"/>
        <w:spacing w:line="360" w:lineRule="auto"/>
        <w:rPr>
          <w:rFonts w:hint="eastAsia" w:ascii="仿宋" w:hAnsi="仿宋" w:eastAsia="仿宋"/>
        </w:rPr>
      </w:pPr>
      <w:r>
        <w:rPr>
          <w:rFonts w:hint="eastAsia" w:ascii="仿宋" w:hAnsi="仿宋" w:eastAsia="仿宋"/>
        </w:rPr>
        <w:t xml:space="preserve">甲方：南京江宁经济技术开发区管理委员会（盖章）</w:t>
      </w:r>
      <w:r/>
    </w:p>
    <w:p>
      <w:pPr>
        <w:pStyle w:val="1352"/>
        <w:spacing w:line="360" w:lineRule="auto"/>
        <w:rPr>
          <w:rFonts w:hint="eastAsia" w:ascii="仿宋" w:hAnsi="仿宋" w:eastAsia="仿宋"/>
        </w:rPr>
      </w:pPr>
      <w:r>
        <w:rPr>
          <w:rFonts w:hint="eastAsia" w:ascii="仿宋" w:hAnsi="仿宋" w:eastAsia="仿宋"/>
        </w:rPr>
        <w:t xml:space="preserve">负责人或授权代表签字：</w:t>
      </w:r>
      <w:r/>
    </w:p>
    <w:p>
      <w:pPr>
        <w:pStyle w:val="1352"/>
        <w:spacing w:line="360" w:lineRule="auto"/>
        <w:rPr>
          <w:rFonts w:hint="eastAsia" w:ascii="仿宋" w:hAnsi="仿宋" w:eastAsia="仿宋"/>
        </w:rPr>
      </w:pPr>
      <w:r>
        <w:rPr>
          <w:rFonts w:hint="eastAsia" w:ascii="仿宋" w:hAnsi="仿宋" w:eastAsia="仿宋"/>
        </w:rPr>
        <w:t xml:space="preserve">日期：   年  月  日</w:t>
      </w:r>
      <w:r/>
    </w:p>
    <w:p>
      <w:pPr>
        <w:pStyle w:val="1352"/>
        <w:spacing w:line="360" w:lineRule="auto"/>
        <w:rPr>
          <w:rFonts w:hint="eastAsia" w:ascii="仿宋" w:hAnsi="仿宋" w:eastAsia="仿宋"/>
        </w:rPr>
      </w:pPr>
      <w:r>
        <w:rPr>
          <w:rFonts w:hint="eastAsia" w:ascii="仿宋" w:hAnsi="仿宋" w:eastAsia="仿宋"/>
        </w:rPr>
      </w:r>
      <w:r/>
    </w:p>
    <w:p>
      <w:pPr>
        <w:pStyle w:val="1352"/>
        <w:spacing w:line="360" w:lineRule="auto"/>
        <w:rPr>
          <w:rFonts w:hint="eastAsia" w:ascii="仿宋" w:hAnsi="仿宋" w:eastAsia="仿宋"/>
        </w:rPr>
      </w:pPr>
      <w:r>
        <w:rPr>
          <w:rFonts w:hint="eastAsia" w:ascii="仿宋" w:hAnsi="仿宋" w:eastAsia="仿宋"/>
        </w:rPr>
        <w:t xml:space="preserve">乙方：（盖章）</w:t>
      </w:r>
      <w:r/>
    </w:p>
    <w:p>
      <w:pPr>
        <w:pStyle w:val="1352"/>
        <w:spacing w:line="360" w:lineRule="auto"/>
        <w:rPr>
          <w:rFonts w:hint="eastAsia" w:ascii="仿宋" w:hAnsi="仿宋" w:eastAsia="仿宋"/>
        </w:rPr>
      </w:pPr>
      <w:r>
        <w:rPr>
          <w:rFonts w:hint="eastAsia" w:ascii="仿宋" w:hAnsi="仿宋" w:eastAsia="仿宋"/>
        </w:rPr>
        <w:t xml:space="preserve">负责人或授权代表签字：</w:t>
      </w:r>
      <w:r/>
    </w:p>
    <w:p>
      <w:pPr>
        <w:pStyle w:val="1352"/>
        <w:spacing w:line="360" w:lineRule="auto"/>
        <w:rPr>
          <w:rFonts w:hint="eastAsia" w:ascii="仿宋" w:hAnsi="仿宋" w:eastAsia="仿宋"/>
        </w:rPr>
      </w:pPr>
      <w:r>
        <w:rPr>
          <w:rFonts w:hint="eastAsia" w:ascii="仿宋" w:hAnsi="仿宋" w:eastAsia="仿宋"/>
        </w:rPr>
        <w:t xml:space="preserve">日期：   年  月  日</w:t>
      </w:r>
      <w:r/>
    </w:p>
    <w:p>
      <w:pPr>
        <w:jc w:val="left"/>
        <w:widowControl/>
        <w:rPr>
          <w:rFonts w:hint="eastAsia" w:ascii="仿宋" w:hAnsi="仿宋" w:eastAsia="仿宋"/>
          <w:sz w:val="24"/>
          <w:lang w:val="zh-CN"/>
        </w:rPr>
      </w:pPr>
      <w:r>
        <w:rPr>
          <w:rFonts w:hint="eastAsia" w:ascii="仿宋" w:hAnsi="仿宋" w:eastAsia="仿宋"/>
        </w:rPr>
        <w:br w:type="page" w:clear="all"/>
      </w:r>
      <w:r/>
    </w:p>
    <w:p>
      <w:pPr>
        <w:pStyle w:val="1352"/>
        <w:ind w:firstLine="482"/>
        <w:spacing w:line="360" w:lineRule="auto"/>
        <w:rPr>
          <w:rFonts w:hint="eastAsia" w:ascii="仿宋" w:hAnsi="仿宋" w:eastAsia="仿宋" w:cs="等线"/>
          <w:b/>
          <w:bCs/>
        </w:rPr>
      </w:pPr>
      <w:r>
        <w:rPr>
          <w:rFonts w:hint="eastAsia" w:ascii="仿宋" w:hAnsi="仿宋" w:eastAsia="仿宋"/>
          <w:b/>
          <w:bCs/>
        </w:rPr>
        <w:t xml:space="preserve">附件：考核办法</w:t>
      </w:r>
      <w:r/>
    </w:p>
    <w:p>
      <w:pPr>
        <w:pStyle w:val="1352"/>
        <w:ind w:firstLine="480"/>
        <w:spacing w:line="360" w:lineRule="auto"/>
        <w:rPr>
          <w:rFonts w:hint="eastAsia" w:ascii="仿宋" w:hAnsi="仿宋" w:eastAsia="仿宋" w:cs="等线"/>
        </w:rPr>
      </w:pPr>
      <w:r>
        <w:rPr>
          <w:rFonts w:hint="eastAsia" w:ascii="仿宋" w:hAnsi="仿宋" w:eastAsia="仿宋" w:cs="等线"/>
        </w:rPr>
        <w:t xml:space="preserve">1、考核办法：</w:t>
      </w:r>
      <w:r>
        <w:rPr>
          <w:rFonts w:hint="eastAsia" w:ascii="仿宋" w:hAnsi="仿宋" w:eastAsia="仿宋" w:cs="等线"/>
          <w:bCs/>
        </w:rPr>
        <w:t xml:space="preserve">每半年</w:t>
      </w:r>
      <w:r>
        <w:rPr>
          <w:rFonts w:hint="eastAsia" w:ascii="仿宋" w:hAnsi="仿宋" w:eastAsia="仿宋" w:cs="等线"/>
        </w:rPr>
        <w:t xml:space="preserve">考核一次，根据考核结果支付当期运维费用。</w:t>
      </w:r>
      <w:r/>
    </w:p>
    <w:p>
      <w:pPr>
        <w:pStyle w:val="1352"/>
        <w:ind w:firstLine="480"/>
        <w:spacing w:line="360" w:lineRule="auto"/>
        <w:rPr>
          <w:rFonts w:hint="eastAsia" w:ascii="仿宋" w:hAnsi="仿宋" w:eastAsia="仿宋" w:cs="等线"/>
        </w:rPr>
      </w:pPr>
      <w:r>
        <w:rPr>
          <w:rFonts w:hint="eastAsia" w:ascii="仿宋" w:hAnsi="仿宋" w:eastAsia="仿宋" w:cs="等线"/>
        </w:rPr>
        <w:t xml:space="preserve">2、考核：考核结果与乙方的运维服务费挂钩，考核细则双方另行协商。采购人每半年对中标人进行一次综合性服务质量考核，考核分值≥90分（含90分）为合格；考核分值≥70分（含70分）每低于合格分1分扣除运维服务费1000元（例：考核分值为80分，90分-80分=10分，10分*1000元=扣除10000元）；＜70分，采购人将终止服务合同，同时一年内不得参加采购人组织的任何形式的招标活动。</w:t>
      </w:r>
      <w:r/>
    </w:p>
    <w:p>
      <w:pPr>
        <w:pStyle w:val="1352"/>
        <w:ind w:firstLine="480"/>
        <w:spacing w:line="360" w:lineRule="auto"/>
        <w:rPr>
          <w:rFonts w:hint="eastAsia" w:ascii="仿宋" w:hAnsi="仿宋" w:eastAsia="仿宋" w:cs="等线"/>
          <w:b/>
          <w:lang w:val="en-US"/>
        </w:rPr>
      </w:pPr>
      <w:r>
        <w:rPr>
          <w:rFonts w:hint="eastAsia" w:ascii="仿宋" w:hAnsi="仿宋" w:eastAsia="仿宋" w:cs="等线"/>
        </w:rPr>
        <w:t xml:space="preserve">3、考核细则：</w:t>
      </w:r>
      <w:r>
        <w:rPr>
          <w:rFonts w:hint="eastAsia" w:ascii="仿宋" w:hAnsi="仿宋" w:eastAsia="仿宋" w:cs="等线"/>
          <w:b/>
          <w:lang w:val="en-US"/>
        </w:rPr>
        <w:t xml:space="preserve"> </w:t>
      </w:r>
      <w:r/>
    </w:p>
    <w:tbl>
      <w:tblPr>
        <w:tblW w:w="9433" w:type="dxa"/>
        <w:tblInd w:w="-601" w:type="dxa"/>
        <w:tblLook w:val="04A0" w:firstRow="1" w:lastRow="0" w:firstColumn="1" w:lastColumn="0" w:noHBand="0" w:noVBand="1"/>
      </w:tblPr>
      <w:tblGrid>
        <w:gridCol w:w="709"/>
        <w:gridCol w:w="1560"/>
        <w:gridCol w:w="1559"/>
        <w:gridCol w:w="4640"/>
        <w:gridCol w:w="965"/>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b/>
                <w:bCs/>
                <w:sz w:val="24"/>
              </w:rPr>
            </w:pPr>
            <w:r>
              <w:rPr>
                <w:rFonts w:hint="eastAsia" w:ascii="仿宋" w:hAnsi="仿宋" w:eastAsia="仿宋"/>
                <w:b/>
                <w:bCs/>
                <w:sz w:val="24"/>
              </w:rPr>
              <w:t xml:space="preserve">编号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jc w:val="center"/>
              <w:spacing w:line="360" w:lineRule="auto"/>
              <w:widowControl/>
              <w:rPr>
                <w:rFonts w:hint="eastAsia" w:ascii="仿宋" w:hAnsi="仿宋" w:eastAsia="仿宋"/>
                <w:b/>
                <w:bCs/>
                <w:sz w:val="24"/>
              </w:rPr>
            </w:pPr>
            <w:r>
              <w:rPr>
                <w:rFonts w:hint="eastAsia" w:ascii="仿宋" w:hAnsi="仿宋" w:eastAsia="仿宋"/>
                <w:b/>
                <w:bCs/>
                <w:sz w:val="24"/>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spacing w:line="360" w:lineRule="auto"/>
              <w:widowControl/>
              <w:rPr>
                <w:rFonts w:hint="eastAsia" w:ascii="仿宋" w:hAnsi="仿宋" w:eastAsia="仿宋"/>
                <w:b/>
                <w:bCs/>
                <w:sz w:val="24"/>
              </w:rPr>
            </w:pPr>
            <w:r>
              <w:rPr>
                <w:rFonts w:hint="eastAsia" w:ascii="仿宋" w:hAnsi="仿宋" w:eastAsia="仿宋"/>
                <w:b/>
                <w:bCs/>
                <w:sz w:val="24"/>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b/>
                <w:bCs/>
                <w:sz w:val="24"/>
              </w:rPr>
            </w:pPr>
            <w:r>
              <w:rPr>
                <w:rFonts w:hint="eastAsia" w:ascii="仿宋" w:hAnsi="仿宋" w:eastAsia="仿宋"/>
                <w:b/>
                <w:bCs/>
                <w:sz w:val="24"/>
              </w:rPr>
              <w:t xml:space="preserve">分值</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spacing w:line="360" w:lineRule="auto"/>
              <w:rPr>
                <w:rFonts w:hint="eastAsia" w:ascii="仿宋" w:hAnsi="仿宋" w:eastAsia="仿宋"/>
                <w:sz w:val="24"/>
              </w:rPr>
            </w:pPr>
            <w:r>
              <w:rPr>
                <w:rStyle w:val="1354"/>
                <w:rFonts w:hint="default" w:ascii="仿宋" w:hAnsi="仿宋" w:eastAsia="仿宋"/>
                <w:sz w:val="24"/>
                <w:szCs w:val="24"/>
              </w:rPr>
              <w:t xml:space="preserve">内业台账资料（共</w:t>
            </w:r>
            <w:r>
              <w:rPr>
                <w:rStyle w:val="1353"/>
                <w:rFonts w:ascii="仿宋" w:hAnsi="仿宋" w:eastAsia="仿宋"/>
                <w:sz w:val="24"/>
                <w:szCs w:val="24"/>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日常运维服务记录</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Style w:val="1347"/>
                <w:rFonts w:hint="default" w:ascii="仿宋" w:hAnsi="仿宋" w:eastAsia="仿宋"/>
                <w:sz w:val="24"/>
                <w:szCs w:val="24"/>
              </w:rPr>
              <w:t xml:space="preserve">每周对系统进行检查，发现异常及时处理并记录，未做记录或未及时上报问题每次扣</w:t>
            </w:r>
            <w:r>
              <w:rPr>
                <w:rStyle w:val="1359"/>
                <w:rFonts w:hint="default" w:ascii="仿宋" w:hAnsi="仿宋" w:eastAsia="仿宋"/>
                <w:sz w:val="24"/>
                <w:szCs w:val="24"/>
              </w:rPr>
              <w:t xml:space="preserve">0.5</w:t>
            </w:r>
            <w:r>
              <w:rPr>
                <w:rStyle w:val="1347"/>
                <w:rFonts w:hint="default" w:ascii="仿宋" w:hAnsi="仿宋" w:eastAsia="仿宋"/>
                <w:sz w:val="24"/>
                <w:szCs w:val="24"/>
              </w:rPr>
              <w:t xml:space="preserve">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6</w:t>
            </w:r>
            <w:r/>
          </w:p>
        </w:tc>
      </w:tr>
      <w:tr>
        <w:trPr>
          <w:trHeight w:val="1577"/>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每季度巡检记录及运行报告</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每季度对前端安装点进行巡检，并填写巡检记录，并形成季度运行报告，汇总季度问题，漏做1项扣0.5分，扣完为止。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8</w:t>
            </w:r>
            <w:r/>
          </w:p>
        </w:tc>
      </w:tr>
      <w:tr>
        <w:trPr>
          <w:trHeight w:val="1059"/>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每月抽检记录</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每月进行随机抽查，对系统的运行情况进行检测，并填写记录表。漏做1项扣0.5分，扣完为止。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8</w:t>
            </w:r>
            <w:r/>
          </w:p>
        </w:tc>
      </w:tr>
      <w:tr>
        <w:trPr>
          <w:trHeight w:val="1152"/>
        </w:trPr>
        <w:tc>
          <w:tcPr>
            <w:shd w:val="clear" w:color="auto" w:fill="auto"/>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auto" w:sz="4" w:space="0"/>
              <w:right w:val="single" w:color="000000"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季度保养维护记录及系统管理报告</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Style w:val="1347"/>
                <w:rFonts w:hint="default" w:ascii="仿宋" w:hAnsi="仿宋" w:eastAsia="仿宋"/>
                <w:sz w:val="24"/>
                <w:szCs w:val="24"/>
              </w:rPr>
              <w:t xml:space="preserve">每季度对工程范围内的设备箱、设备及其供电系统进行一次保养性维护，对多参数在线自清洗</w:t>
            </w:r>
            <w:r>
              <w:rPr>
                <w:rStyle w:val="1347"/>
                <w:rFonts w:hint="default" w:ascii="仿宋" w:hAnsi="仿宋" w:eastAsia="仿宋"/>
                <w:sz w:val="24"/>
                <w:szCs w:val="24"/>
              </w:rPr>
              <w:t xml:space="preserve">一</w:t>
            </w:r>
            <w:r>
              <w:rPr>
                <w:rStyle w:val="1347"/>
                <w:rFonts w:hint="default" w:ascii="仿宋" w:hAnsi="仿宋" w:eastAsia="仿宋"/>
                <w:sz w:val="24"/>
                <w:szCs w:val="24"/>
              </w:rPr>
              <w:t xml:space="preserve">体式水质传感器进行标定，并对一季度的运行情况进行系统性总结。漏做</w:t>
            </w:r>
            <w:r>
              <w:rPr>
                <w:rStyle w:val="1359"/>
                <w:rFonts w:hint="default" w:ascii="仿宋" w:hAnsi="仿宋" w:eastAsia="仿宋"/>
                <w:sz w:val="24"/>
                <w:szCs w:val="24"/>
              </w:rPr>
              <w:t xml:space="preserve">1</w:t>
            </w:r>
            <w:r>
              <w:rPr>
                <w:rStyle w:val="1347"/>
                <w:rFonts w:hint="default" w:ascii="仿宋" w:hAnsi="仿宋" w:eastAsia="仿宋"/>
                <w:sz w:val="24"/>
                <w:szCs w:val="24"/>
              </w:rPr>
              <w:t xml:space="preserve">项扣</w:t>
            </w:r>
            <w:r>
              <w:rPr>
                <w:rStyle w:val="1359"/>
                <w:rFonts w:hint="default" w:ascii="仿宋" w:hAnsi="仿宋" w:eastAsia="仿宋"/>
                <w:sz w:val="24"/>
                <w:szCs w:val="24"/>
              </w:rPr>
              <w:t xml:space="preserve">0.5</w:t>
            </w:r>
            <w:r>
              <w:rPr>
                <w:rStyle w:val="1347"/>
                <w:rFonts w:hint="default" w:ascii="仿宋" w:hAnsi="仿宋" w:eastAsia="仿宋"/>
                <w:sz w:val="24"/>
                <w:szCs w:val="24"/>
              </w:rPr>
              <w:t xml:space="preserve">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8</w:t>
            </w:r>
            <w:r/>
          </w:p>
        </w:tc>
      </w:tr>
      <w:tr>
        <w:trPr>
          <w:trHeight w:val="86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vMerge w:val="restart"/>
            <w:textDirection w:val="lrTb"/>
            <w:noWrap w:val="false"/>
          </w:tcPr>
          <w:p>
            <w:pPr>
              <w:jc w:val="center"/>
              <w:spacing w:line="360" w:lineRule="auto"/>
              <w:widowControl/>
              <w:rPr>
                <w:rFonts w:hint="eastAsia" w:ascii="仿宋" w:hAnsi="仿宋" w:eastAsia="仿宋"/>
                <w:sz w:val="24"/>
              </w:rPr>
            </w:pPr>
            <w:r>
              <w:rPr>
                <w:rStyle w:val="1354"/>
                <w:rFonts w:hint="default" w:ascii="仿宋" w:hAnsi="仿宋" w:eastAsia="仿宋"/>
                <w:sz w:val="24"/>
                <w:szCs w:val="24"/>
              </w:rPr>
              <w:t xml:space="preserve">日常运维（共</w:t>
            </w:r>
            <w:r>
              <w:rPr>
                <w:rStyle w:val="1353"/>
                <w:rFonts w:ascii="仿宋" w:hAnsi="仿宋" w:eastAsia="仿宋"/>
                <w:sz w:val="24"/>
                <w:szCs w:val="24"/>
              </w:rPr>
              <w:t xml:space="preserve">12分）</w:t>
            </w:r>
            <w:r/>
          </w:p>
        </w:tc>
        <w:tc>
          <w:tcPr>
            <w:shd w:val="clear" w:color="auto" w:fill="auto"/>
            <w:tcBorders>
              <w:top w:val="single" w:color="auto" w:sz="4" w:space="0"/>
              <w:left w:val="single" w:color="auto" w:sz="4" w:space="0"/>
              <w:bottom w:val="single" w:color="000000" w:sz="4" w:space="0"/>
              <w:right w:val="single" w:color="auto"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异常及故障响应</w:t>
            </w:r>
            <w:r/>
          </w:p>
        </w:tc>
        <w:tc>
          <w:tcPr>
            <w:shd w:val="clear" w:color="auto" w:fill="auto"/>
            <w:tcBorders>
              <w:top w:val="single" w:color="000000" w:sz="4" w:space="0"/>
              <w:left w:val="single" w:color="auto"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故障维修人员按照投标响应文件内的故障级别提供维修响应服务，1次未及时解决扣1分，扣完为止。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5</w:t>
            </w:r>
            <w:r/>
          </w:p>
        </w:tc>
      </w:tr>
      <w:tr>
        <w:trPr>
          <w:trHeight w:val="576"/>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终端使用情况</w:t>
            </w:r>
            <w:r/>
          </w:p>
        </w:tc>
        <w:tc>
          <w:tcPr>
            <w:shd w:val="clear" w:color="auto" w:fill="auto"/>
            <w:tcBorders>
              <w:top w:val="single" w:color="000000" w:sz="4" w:space="0"/>
              <w:left w:val="single" w:color="auto"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水质监测系统可以正常使用，登录异常且不能在24小时内解决扣1分，扣完为止。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5</w:t>
            </w:r>
            <w:r/>
          </w:p>
        </w:tc>
      </w:tr>
      <w:tr>
        <w:trPr>
          <w:trHeight w:val="576"/>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网络安全情况</w:t>
            </w:r>
            <w:r/>
          </w:p>
        </w:tc>
        <w:tc>
          <w:tcPr>
            <w:shd w:val="clear" w:color="auto" w:fill="auto"/>
            <w:tcBorders>
              <w:top w:val="single" w:color="000000" w:sz="4" w:space="0"/>
              <w:left w:val="single" w:color="auto" w:sz="4" w:space="0"/>
              <w:bottom w:val="single" w:color="000000" w:sz="4" w:space="0"/>
              <w:right w:val="single" w:color="000000" w:sz="4" w:space="0"/>
            </w:tcBorders>
            <w:tcW w:w="4640" w:type="dxa"/>
            <w:vAlign w:val="center"/>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运行期未发生网络安全事件，发生安全事故或收到上级部门整改通知扣2分。</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2</w:t>
            </w:r>
            <w:r/>
          </w:p>
        </w:tc>
      </w:tr>
      <w:tr>
        <w:trPr>
          <w:trHeight w:val="1152"/>
        </w:trPr>
        <w:tc>
          <w:tcPr>
            <w:shd w:val="clear" w:color="auto" w:fill="auto"/>
            <w:tcBorders>
              <w:top w:val="single" w:color="auto"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8</w:t>
            </w:r>
            <w:r/>
          </w:p>
        </w:tc>
        <w:tc>
          <w:tcPr>
            <w:shd w:val="clear" w:color="auto" w:fill="auto"/>
            <w:tcBorders>
              <w:top w:val="single" w:color="auto"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spacing w:line="360" w:lineRule="auto"/>
              <w:widowControl/>
              <w:rPr>
                <w:rFonts w:hint="eastAsia" w:ascii="仿宋" w:hAnsi="仿宋" w:eastAsia="仿宋"/>
                <w:sz w:val="24"/>
              </w:rPr>
            </w:pPr>
            <w:r>
              <w:rPr>
                <w:rStyle w:val="1354"/>
                <w:rFonts w:hint="default" w:ascii="仿宋" w:hAnsi="仿宋" w:eastAsia="仿宋"/>
                <w:sz w:val="24"/>
                <w:szCs w:val="24"/>
              </w:rPr>
              <w:t xml:space="preserve">现场检查（共</w:t>
            </w:r>
            <w:r>
              <w:rPr>
                <w:rStyle w:val="1353"/>
                <w:rFonts w:ascii="仿宋" w:hAnsi="仿宋" w:eastAsia="仿宋"/>
                <w:sz w:val="24"/>
                <w:szCs w:val="24"/>
              </w:rPr>
              <w:t xml:space="preserve">58</w:t>
            </w:r>
            <w:r>
              <w:rPr>
                <w:rStyle w:val="1354"/>
                <w:rFonts w:hint="default" w:ascii="仿宋" w:hAnsi="仿宋" w:eastAsia="仿宋"/>
                <w:sz w:val="24"/>
                <w:szCs w:val="24"/>
              </w:rPr>
              <w:t xml:space="preserve">分）</w:t>
            </w:r>
            <w:r/>
          </w:p>
        </w:tc>
        <w:tc>
          <w:tcPr>
            <w:shd w:val="clear" w:color="auto" w:fill="auto"/>
            <w:tcBorders>
              <w:top w:val="single" w:color="auto"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污水泵站智能化设备</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浮筒位置正常，外观完好。警示</w:t>
            </w:r>
            <w:r>
              <w:rPr>
                <w:rFonts w:hint="eastAsia" w:ascii="仿宋" w:hAnsi="仿宋" w:eastAsia="仿宋"/>
                <w:sz w:val="24"/>
              </w:rPr>
              <w:t xml:space="preserve">灯工作</w:t>
            </w:r>
            <w:r>
              <w:rPr>
                <w:rFonts w:hint="eastAsia" w:ascii="仿宋" w:hAnsi="仿宋" w:eastAsia="仿宋"/>
                <w:sz w:val="24"/>
              </w:rPr>
              <w:t xml:space="preserve">正常，外观完好，供电正常。发现一处问题扣1分，扣完为止。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10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感知系统设备</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窨井传感器固定牢固可靠,外观完好 ，供电正常。发现一处问题扣1分，扣完为止。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10</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1</w:t>
            </w:r>
            <w:r>
              <w:rPr>
                <w:rFonts w:hint="eastAsia" w:ascii="仿宋" w:hAnsi="仿宋" w:eastAsia="仿宋"/>
                <w:sz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视频监控单元</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摄像机固定牢固可靠，外观完好。供电正常。图像清晰。监控区域位置正确。硬盘录像机工作、录像正常。发现一处问题扣1分，扣完为止。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10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1</w:t>
            </w:r>
            <w:r>
              <w:rPr>
                <w:rFonts w:hint="eastAsia" w:ascii="仿宋" w:hAnsi="仿宋" w:eastAsia="仿宋"/>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数据采集分发单元</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智能网关、数据采集分发引擎固定牢固可靠，外观完好，供电正常。发现一处问题扣1分，扣完为止。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10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1</w:t>
            </w:r>
            <w:r>
              <w:rPr>
                <w:rFonts w:hint="eastAsia" w:ascii="仿宋" w:hAnsi="仿宋" w:eastAsia="仿宋"/>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通信单元</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无线基站、交换机固定牢固可靠,外观完好，供电正常。发现一处问题扣1分，扣完为止。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9</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1</w:t>
            </w:r>
            <w:r>
              <w:rPr>
                <w:rFonts w:hint="eastAsia" w:ascii="仿宋" w:hAnsi="仿宋" w:eastAsia="仿宋"/>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外部结构</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textDirection w:val="lrTb"/>
            <w:noWrap w:val="false"/>
          </w:tcPr>
          <w:p>
            <w:pPr>
              <w:jc w:val="left"/>
              <w:spacing w:line="360" w:lineRule="auto"/>
              <w:widowControl/>
              <w:rPr>
                <w:rFonts w:hint="eastAsia" w:ascii="仿宋" w:hAnsi="仿宋" w:eastAsia="仿宋"/>
                <w:sz w:val="24"/>
              </w:rPr>
            </w:pPr>
            <w:r>
              <w:rPr>
                <w:rFonts w:hint="eastAsia" w:ascii="仿宋" w:hAnsi="仿宋" w:eastAsia="仿宋"/>
                <w:sz w:val="24"/>
              </w:rPr>
              <w:t xml:space="preserve">机柜固定牢固可靠,外观完好。立杆、设备</w:t>
            </w:r>
            <w:r>
              <w:rPr>
                <w:rFonts w:hint="eastAsia" w:ascii="仿宋" w:hAnsi="仿宋" w:eastAsia="仿宋"/>
                <w:sz w:val="24"/>
              </w:rPr>
              <w:t xml:space="preserve">箱固定</w:t>
            </w:r>
            <w:r>
              <w:rPr>
                <w:rFonts w:hint="eastAsia" w:ascii="仿宋" w:hAnsi="仿宋" w:eastAsia="仿宋"/>
                <w:sz w:val="24"/>
              </w:rPr>
              <w:t xml:space="preserve">牢固可靠,外观完好。发现一处问题扣1分，扣完为止。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sz w:val="24"/>
              </w:rPr>
              <w:t xml:space="preserve">9</w:t>
            </w:r>
            <w:r/>
          </w:p>
        </w:tc>
      </w:tr>
      <w:tr>
        <w:trPr>
          <w:trHeight w:val="288"/>
        </w:trPr>
        <w:tc>
          <w:tcPr>
            <w:gridSpan w:val="3"/>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spacing w:line="360" w:lineRule="auto"/>
              <w:widowControl/>
              <w:rPr>
                <w:rFonts w:hint="eastAsia" w:ascii="仿宋" w:hAnsi="仿宋" w:eastAsia="仿宋"/>
                <w:sz w:val="24"/>
              </w:rPr>
            </w:pPr>
            <w:r>
              <w:rPr>
                <w:rFonts w:hint="eastAsia" w:ascii="仿宋" w:hAnsi="仿宋" w:eastAsia="仿宋"/>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spacing w:line="360" w:lineRule="auto"/>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widowControl/>
              <w:rPr>
                <w:rFonts w:hint="eastAsia" w:ascii="仿宋" w:hAnsi="仿宋" w:eastAsia="仿宋"/>
                <w:sz w:val="24"/>
              </w:rPr>
            </w:pPr>
            <w:r>
              <w:rPr>
                <w:rFonts w:ascii="仿宋" w:hAnsi="仿宋" w:eastAsia="仿宋"/>
                <w:sz w:val="24"/>
              </w:rPr>
              <w:t xml:space="preserve">100</w:t>
            </w:r>
            <w:r/>
          </w:p>
        </w:tc>
      </w:tr>
    </w:tbl>
    <w:p>
      <w:pPr>
        <w:pStyle w:val="1352"/>
        <w:ind w:firstLine="480"/>
        <w:spacing w:line="360" w:lineRule="auto"/>
        <w:rPr>
          <w:rFonts w:hint="eastAsia" w:ascii="仿宋" w:hAnsi="仿宋" w:eastAsia="仿宋" w:cs="等线"/>
          <w:b/>
          <w:lang w:val="en-US"/>
        </w:rPr>
      </w:pPr>
      <w:r>
        <w:rPr>
          <w:rFonts w:hint="eastAsia" w:ascii="仿宋" w:hAnsi="仿宋" w:eastAsia="仿宋" w:cs="等线"/>
          <w:b/>
          <w:lang w:val="en-US"/>
        </w:rPr>
      </w:r>
      <w:r/>
    </w:p>
    <w:p>
      <w:pPr>
        <w:pStyle w:val="1352"/>
        <w:spacing w:line="360" w:lineRule="auto"/>
        <w:rPr>
          <w:rFonts w:hint="eastAsia" w:ascii="仿宋" w:hAnsi="仿宋" w:eastAsia="仿宋"/>
        </w:rPr>
      </w:pPr>
      <w:r>
        <w:rPr>
          <w:rFonts w:hint="eastAsia" w:ascii="仿宋" w:hAnsi="仿宋" w:eastAsia="仿宋"/>
        </w:rPr>
      </w:r>
      <w:r/>
    </w:p>
    <w:p>
      <w:pPr>
        <w:jc w:val="left"/>
        <w:spacing w:line="360" w:lineRule="auto"/>
        <w:widowControl/>
        <w:rPr>
          <w:rFonts w:hint="eastAsia" w:ascii="仿宋" w:hAnsi="仿宋" w:eastAsia="仿宋" w:cs="仿宋_GB2312"/>
          <w:color w:val="000000" w:themeColor="text1"/>
          <w:sz w:val="24"/>
        </w:rPr>
      </w:pPr>
      <w:r>
        <w:rPr>
          <w:rFonts w:ascii="仿宋" w:hAnsi="仿宋" w:eastAsia="仿宋" w:cs="仿宋_GB2312"/>
          <w:color w:val="000000" w:themeColor="text1"/>
          <w:sz w:val="24"/>
        </w:rPr>
        <w:br w:type="page" w:clear="all"/>
      </w:r>
      <w:r/>
    </w:p>
    <w:p>
      <w:pPr>
        <w:pStyle w:val="902"/>
        <w:jc w:val="center"/>
        <w:spacing w:line="240" w:lineRule="auto"/>
        <w:rPr>
          <w:rFonts w:hint="eastAsia" w:ascii="仿宋" w:hAnsi="仿宋" w:eastAsia="仿宋" w:cs="仿宋"/>
          <w:color w:val="000000" w:themeColor="text1"/>
          <w:sz w:val="32"/>
        </w:rPr>
      </w:pPr>
      <w:r/>
      <w:bookmarkStart w:id="67" w:name="_Toc205561303"/>
      <w:r>
        <w:rPr>
          <w:rFonts w:ascii="仿宋" w:hAnsi="仿宋" w:eastAsia="仿宋" w:cs="仿宋"/>
          <w:color w:val="000000" w:themeColor="text1"/>
          <w:sz w:val="32"/>
        </w:rPr>
        <w:t xml:space="preserve">第</w:t>
      </w:r>
      <w:r>
        <w:rPr>
          <w:rFonts w:hint="eastAsia" w:ascii="仿宋" w:hAnsi="仿宋" w:eastAsia="仿宋" w:cs="仿宋"/>
          <w:color w:val="000000" w:themeColor="text1"/>
          <w:sz w:val="32"/>
        </w:rPr>
        <w:t xml:space="preserve">六</w:t>
      </w:r>
      <w:r>
        <w:rPr>
          <w:rFonts w:ascii="仿宋" w:hAnsi="仿宋" w:eastAsia="仿宋" w:cs="仿宋"/>
          <w:color w:val="000000" w:themeColor="text1"/>
          <w:sz w:val="32"/>
        </w:rPr>
        <w:t xml:space="preserve">章 投标文件格式及附件</w:t>
      </w:r>
      <w:bookmarkEnd w:id="67"/>
      <w:r/>
      <w:r/>
    </w:p>
    <w:p>
      <w:pPr>
        <w:ind w:firstLine="904"/>
        <w:jc w:val="center"/>
        <w:rPr>
          <w:rStyle w:val="1079"/>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1079"/>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1079"/>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1079"/>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jc w:val="center"/>
        <w:rPr>
          <w:rStyle w:val="1079"/>
          <w:rFonts w:hint="eastAsia" w:ascii="仿宋" w:hAnsi="仿宋" w:eastAsia="仿宋"/>
          <w:b/>
          <w:bCs/>
          <w:color w:val="000000" w:themeColor="text1"/>
          <w:sz w:val="72"/>
          <w:szCs w:val="72"/>
        </w:rPr>
      </w:pPr>
      <w:r>
        <w:rPr>
          <w:rStyle w:val="1079"/>
          <w:rFonts w:hint="eastAsia" w:ascii="仿宋" w:hAnsi="仿宋" w:eastAsia="仿宋" w:cs="宋体"/>
          <w:b/>
          <w:bCs/>
          <w:color w:val="000000" w:themeColor="text1"/>
          <w:sz w:val="72"/>
          <w:szCs w:val="72"/>
        </w:rPr>
        <w:t xml:space="preserve">投 标 </w:t>
      </w:r>
      <w:r>
        <w:rPr>
          <w:rStyle w:val="1079"/>
          <w:rFonts w:ascii="仿宋" w:hAnsi="仿宋" w:eastAsia="仿宋" w:cs="宋体"/>
          <w:b/>
          <w:bCs/>
          <w:color w:val="000000" w:themeColor="text1"/>
          <w:sz w:val="72"/>
          <w:szCs w:val="72"/>
        </w:rPr>
        <w:t xml:space="preserve">文 件</w:t>
      </w:r>
      <w:r/>
    </w:p>
    <w:p>
      <w:pPr>
        <w:pStyle w:val="1007"/>
        <w:jc w:val="center"/>
        <w:rPr>
          <w:rFonts w:hint="eastAsia" w:ascii="仿宋" w:hAnsi="仿宋" w:eastAsia="仿宋"/>
          <w:color w:val="000000" w:themeColor="text1"/>
        </w:rPr>
      </w:pPr>
      <w:r>
        <w:rPr>
          <w:rFonts w:hint="eastAsia" w:ascii="仿宋" w:hAnsi="仿宋" w:eastAsia="仿宋"/>
          <w:color w:val="000000" w:themeColor="text1"/>
        </w:rPr>
      </w:r>
      <w:r/>
    </w:p>
    <w:p>
      <w:pPr>
        <w:pStyle w:val="1007"/>
        <w:jc w:val="center"/>
        <w:rPr>
          <w:rFonts w:hint="eastAsia" w:ascii="仿宋" w:hAnsi="仿宋" w:eastAsia="仿宋"/>
          <w:color w:val="000000" w:themeColor="text1"/>
        </w:rPr>
      </w:pPr>
      <w:r>
        <w:rPr>
          <w:rFonts w:hint="eastAsia" w:ascii="仿宋" w:hAnsi="仿宋" w:eastAsia="仿宋"/>
          <w:color w:val="000000" w:themeColor="text1"/>
        </w:rPr>
      </w:r>
      <w:r/>
    </w:p>
    <w:p>
      <w:pPr>
        <w:pStyle w:val="1007"/>
        <w:jc w:val="center"/>
        <w:rPr>
          <w:rFonts w:hint="eastAsia" w:ascii="仿宋" w:hAnsi="仿宋" w:eastAsia="仿宋"/>
          <w:color w:val="000000" w:themeColor="text1"/>
        </w:rPr>
      </w:pPr>
      <w:r>
        <w:rPr>
          <w:rFonts w:hint="eastAsia" w:ascii="仿宋" w:hAnsi="仿宋" w:eastAsia="仿宋"/>
          <w:color w:val="000000" w:themeColor="text1"/>
        </w:rPr>
      </w:r>
      <w:r/>
    </w:p>
    <w:p>
      <w:pPr>
        <w:pStyle w:val="1007"/>
        <w:jc w:val="center"/>
        <w:rPr>
          <w:rFonts w:hint="eastAsia" w:ascii="仿宋" w:hAnsi="仿宋" w:eastAsia="仿宋"/>
          <w:color w:val="000000" w:themeColor="text1"/>
        </w:rPr>
      </w:pPr>
      <w:r>
        <w:rPr>
          <w:rFonts w:hint="eastAsia" w:ascii="仿宋" w:hAnsi="仿宋" w:eastAsia="仿宋"/>
          <w:color w:val="000000" w:themeColor="text1"/>
        </w:rPr>
      </w:r>
      <w:r/>
    </w:p>
    <w:p>
      <w:pPr>
        <w:pStyle w:val="1007"/>
        <w:jc w:val="center"/>
        <w:rPr>
          <w:rFonts w:hint="eastAsia" w:ascii="仿宋" w:hAnsi="仿宋" w:eastAsia="仿宋"/>
          <w:color w:val="000000" w:themeColor="text1"/>
        </w:rPr>
      </w:pPr>
      <w:r>
        <w:rPr>
          <w:rFonts w:hint="eastAsia" w:ascii="仿宋" w:hAnsi="仿宋" w:eastAsia="仿宋"/>
          <w:color w:val="000000" w:themeColor="text1"/>
        </w:rPr>
      </w:r>
      <w:r/>
    </w:p>
    <w:p>
      <w:pPr>
        <w:pStyle w:val="1007"/>
        <w:jc w:val="center"/>
        <w:rPr>
          <w:rFonts w:hint="eastAsia" w:ascii="仿宋" w:hAnsi="仿宋" w:eastAsia="仿宋"/>
          <w:color w:val="000000" w:themeColor="text1"/>
        </w:rPr>
      </w:pPr>
      <w:r>
        <w:rPr>
          <w:rFonts w:hint="eastAsia" w:ascii="仿宋" w:hAnsi="仿宋" w:eastAsia="仿宋"/>
          <w:color w:val="000000" w:themeColor="text1"/>
        </w:rPr>
      </w:r>
      <w:r/>
    </w:p>
    <w:p>
      <w:pPr>
        <w:pStyle w:val="1007"/>
        <w:jc w:val="center"/>
        <w:rPr>
          <w:rFonts w:hint="eastAsia" w:ascii="仿宋" w:hAnsi="仿宋" w:eastAsia="仿宋"/>
          <w:color w:val="000000" w:themeColor="text1"/>
        </w:rPr>
      </w:pPr>
      <w:r>
        <w:rPr>
          <w:rFonts w:hint="eastAsia" w:ascii="仿宋" w:hAnsi="仿宋" w:eastAsia="仿宋"/>
          <w:color w:val="000000" w:themeColor="text1"/>
        </w:rPr>
      </w:r>
      <w:r/>
    </w:p>
    <w:p>
      <w:pPr>
        <w:pStyle w:val="1007"/>
        <w:jc w:val="center"/>
        <w:rPr>
          <w:rFonts w:hint="eastAsia" w:ascii="仿宋" w:hAnsi="仿宋" w:eastAsia="仿宋"/>
          <w:color w:val="000000" w:themeColor="text1"/>
        </w:rPr>
      </w:pPr>
      <w:r>
        <w:rPr>
          <w:rFonts w:hint="eastAsia" w:ascii="仿宋" w:hAnsi="仿宋" w:eastAsia="仿宋"/>
          <w:color w:val="000000" w:themeColor="text1"/>
        </w:rPr>
      </w:r>
      <w:r/>
    </w:p>
    <w:p>
      <w:pPr>
        <w:pStyle w:val="1007"/>
        <w:jc w:val="center"/>
        <w:rPr>
          <w:rFonts w:hint="eastAsia" w:ascii="仿宋" w:hAnsi="仿宋" w:eastAsia="仿宋"/>
          <w:color w:val="000000" w:themeColor="text1"/>
        </w:rPr>
      </w:pPr>
      <w:r>
        <w:rPr>
          <w:rFonts w:hint="eastAsia" w:ascii="仿宋" w:hAnsi="仿宋" w:eastAsia="仿宋"/>
          <w:color w:val="000000" w:themeColor="text1"/>
        </w:rPr>
      </w:r>
      <w:r/>
    </w:p>
    <w:p>
      <w:pPr>
        <w:pStyle w:val="1007"/>
        <w:jc w:val="center"/>
        <w:rPr>
          <w:rFonts w:hint="eastAsia" w:ascii="仿宋" w:hAnsi="仿宋" w:eastAsia="仿宋"/>
          <w:color w:val="000000" w:themeColor="text1"/>
        </w:rPr>
      </w:pPr>
      <w:r>
        <w:rPr>
          <w:rFonts w:hint="eastAsia" w:ascii="仿宋" w:hAnsi="仿宋" w:eastAsia="仿宋"/>
          <w:color w:val="000000" w:themeColor="text1"/>
        </w:rPr>
      </w:r>
      <w:r/>
    </w:p>
    <w:p>
      <w:pPr>
        <w:pStyle w:val="1007"/>
        <w:jc w:val="center"/>
        <w:rPr>
          <w:rFonts w:hint="eastAsia" w:ascii="仿宋" w:hAnsi="仿宋" w:eastAsia="仿宋"/>
          <w:color w:val="000000" w:themeColor="text1"/>
        </w:rPr>
      </w:pPr>
      <w:r>
        <w:rPr>
          <w:rFonts w:hint="eastAsia" w:ascii="仿宋" w:hAnsi="仿宋" w:eastAsia="仿宋"/>
          <w:color w:val="000000" w:themeColor="text1"/>
        </w:rPr>
      </w:r>
      <w:r/>
    </w:p>
    <w:p>
      <w:pPr>
        <w:pStyle w:val="1007"/>
        <w:jc w:val="center"/>
        <w:rPr>
          <w:rFonts w:hint="eastAsia" w:ascii="仿宋" w:hAnsi="仿宋" w:eastAsia="仿宋"/>
          <w:color w:val="000000" w:themeColor="text1"/>
        </w:rPr>
      </w:pPr>
      <w:r>
        <w:rPr>
          <w:rFonts w:hint="eastAsia" w:ascii="仿宋" w:hAnsi="仿宋" w:eastAsia="仿宋"/>
          <w:color w:val="000000" w:themeColor="text1"/>
        </w:rPr>
      </w:r>
      <w:r/>
    </w:p>
    <w:p>
      <w:pPr>
        <w:jc w:val="center"/>
        <w:spacing w:line="360" w:lineRule="auto"/>
        <w:rPr>
          <w:rStyle w:val="1079"/>
          <w:rFonts w:hint="eastAsia" w:ascii="仿宋" w:hAnsi="仿宋" w:eastAsia="仿宋" w:cs="宋体"/>
          <w:b/>
          <w:bCs/>
          <w:color w:val="000000" w:themeColor="text1"/>
          <w:sz w:val="36"/>
          <w:szCs w:val="36"/>
        </w:rPr>
      </w:pPr>
      <w:r>
        <w:rPr>
          <w:rStyle w:val="1079"/>
          <w:rFonts w:ascii="仿宋" w:hAnsi="仿宋" w:eastAsia="仿宋" w:cs="宋体"/>
          <w:b/>
          <w:bCs/>
          <w:color w:val="000000" w:themeColor="text1"/>
          <w:sz w:val="36"/>
          <w:szCs w:val="36"/>
        </w:rPr>
        <w:t xml:space="preserve">项目编号：</w:t>
      </w:r>
      <w:r>
        <w:rPr>
          <w:rStyle w:val="1079"/>
          <w:rFonts w:ascii="仿宋" w:hAnsi="仿宋" w:eastAsia="仿宋" w:cs="宋体"/>
          <w:b/>
          <w:bCs/>
          <w:color w:val="000000" w:themeColor="text1"/>
          <w:sz w:val="36"/>
          <w:szCs w:val="36"/>
        </w:rPr>
        <w:t xml:space="preserve">JSZC-320115-NJRJ-G2026-0006</w:t>
      </w:r>
      <w:r>
        <w:rPr>
          <w:rStyle w:val="1079"/>
          <w:rFonts w:ascii="仿宋" w:hAnsi="仿宋" w:eastAsia="仿宋" w:cs="宋体"/>
          <w:b/>
          <w:bCs/>
          <w:color w:val="000000" w:themeColor="text1"/>
          <w:sz w:val="36"/>
          <w:szCs w:val="36"/>
        </w:rPr>
        <w:tab/>
      </w:r>
      <w:r/>
    </w:p>
    <w:p>
      <w:pPr>
        <w:jc w:val="center"/>
        <w:spacing w:line="360" w:lineRule="auto"/>
        <w:rPr>
          <w:rStyle w:val="1079"/>
          <w:rFonts w:hint="eastAsia" w:ascii="仿宋" w:hAnsi="仿宋" w:eastAsia="仿宋" w:cs="宋体"/>
          <w:b/>
          <w:bCs/>
          <w:color w:val="000000" w:themeColor="text1"/>
          <w:sz w:val="36"/>
          <w:szCs w:val="36"/>
        </w:rPr>
      </w:pPr>
      <w:r>
        <w:rPr>
          <w:rStyle w:val="1079"/>
          <w:rFonts w:ascii="仿宋" w:hAnsi="仿宋" w:eastAsia="仿宋" w:cs="宋体"/>
          <w:b/>
          <w:bCs/>
          <w:color w:val="000000" w:themeColor="text1"/>
          <w:sz w:val="36"/>
          <w:szCs w:val="36"/>
        </w:rPr>
        <w:t xml:space="preserve">项目名称：</w:t>
      </w:r>
      <w:r>
        <w:rPr>
          <w:rStyle w:val="1079"/>
          <w:rFonts w:hint="eastAsia" w:ascii="仿宋" w:hAnsi="仿宋" w:eastAsia="仿宋" w:cs="宋体"/>
          <w:b/>
          <w:bCs/>
          <w:color w:val="000000" w:themeColor="text1"/>
          <w:sz w:val="36"/>
          <w:szCs w:val="36"/>
        </w:rPr>
        <w:t xml:space="preserve">江宁开发区智慧水</w:t>
      </w:r>
      <w:r>
        <w:rPr>
          <w:rStyle w:val="1079"/>
          <w:rFonts w:hint="eastAsia" w:ascii="仿宋" w:hAnsi="仿宋" w:eastAsia="仿宋" w:cs="宋体"/>
          <w:b/>
          <w:bCs/>
          <w:color w:val="000000" w:themeColor="text1"/>
          <w:sz w:val="36"/>
          <w:szCs w:val="36"/>
        </w:rPr>
        <w:t xml:space="preserve">务</w:t>
      </w:r>
      <w:r>
        <w:rPr>
          <w:rStyle w:val="1079"/>
          <w:rFonts w:hint="eastAsia" w:ascii="仿宋" w:hAnsi="仿宋" w:eastAsia="仿宋" w:cs="宋体"/>
          <w:b/>
          <w:bCs/>
          <w:color w:val="000000" w:themeColor="text1"/>
          <w:sz w:val="36"/>
          <w:szCs w:val="36"/>
        </w:rPr>
        <w:t xml:space="preserve">平台后期运维服务</w:t>
      </w:r>
      <w:r/>
    </w:p>
    <w:p>
      <w:pPr>
        <w:ind w:firstLine="904"/>
        <w:jc w:val="center"/>
        <w:rPr>
          <w:rStyle w:val="1079"/>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1079"/>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1079"/>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1079"/>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1079"/>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1079"/>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jc w:val="center"/>
        <w:spacing w:line="360" w:lineRule="auto"/>
        <w:rPr>
          <w:rStyle w:val="1079"/>
          <w:rFonts w:hint="eastAsia" w:ascii="仿宋" w:hAnsi="仿宋" w:eastAsia="仿宋" w:cs="宋体"/>
          <w:b/>
          <w:bCs/>
          <w:color w:val="000000" w:themeColor="text1"/>
          <w:sz w:val="36"/>
          <w:szCs w:val="36"/>
        </w:rPr>
      </w:pPr>
      <w:r>
        <w:rPr>
          <w:rStyle w:val="1079"/>
          <w:rFonts w:ascii="仿宋" w:hAnsi="仿宋" w:eastAsia="仿宋" w:cs="宋体"/>
          <w:b/>
          <w:bCs/>
          <w:color w:val="000000" w:themeColor="text1"/>
          <w:sz w:val="36"/>
          <w:szCs w:val="36"/>
        </w:rPr>
        <w:t xml:space="preserve">供应商名称：</w:t>
      </w:r>
      <w:r>
        <w:rPr>
          <w:rStyle w:val="1079"/>
          <w:rFonts w:hint="eastAsia" w:ascii="仿宋" w:hAnsi="仿宋" w:eastAsia="仿宋" w:cs="宋体"/>
          <w:b/>
          <w:bCs/>
          <w:color w:val="000000" w:themeColor="text1"/>
          <w:sz w:val="36"/>
          <w:szCs w:val="36"/>
        </w:rPr>
        <w:t xml:space="preserve">（加盖电子公章）</w:t>
      </w:r>
      <w:r/>
    </w:p>
    <w:p>
      <w:pPr>
        <w:jc w:val="center"/>
        <w:spacing w:line="360" w:lineRule="auto"/>
        <w:rPr>
          <w:rStyle w:val="1079"/>
          <w:rFonts w:hint="eastAsia" w:ascii="仿宋" w:hAnsi="仿宋" w:eastAsia="仿宋"/>
          <w:b/>
          <w:bCs/>
          <w:color w:val="000000" w:themeColor="text1"/>
          <w:sz w:val="44"/>
          <w:szCs w:val="44"/>
        </w:rPr>
      </w:pPr>
      <w:r>
        <w:rPr>
          <w:rStyle w:val="1079"/>
          <w:rFonts w:ascii="仿宋" w:hAnsi="仿宋" w:eastAsia="仿宋" w:cs="宋体"/>
          <w:b/>
          <w:bCs/>
          <w:color w:val="000000" w:themeColor="text1"/>
          <w:sz w:val="36"/>
          <w:szCs w:val="36"/>
        </w:rPr>
        <w:t xml:space="preserve">日      期 ：</w:t>
      </w:r>
      <w:r/>
    </w:p>
    <w:p>
      <w:pPr>
        <w:ind w:firstLine="600"/>
        <w:rPr>
          <w:rFonts w:hint="eastAsia" w:ascii="仿宋" w:hAnsi="仿宋" w:eastAsia="仿宋"/>
          <w:color w:val="000000" w:themeColor="text1"/>
        </w:rPr>
      </w:pPr>
      <w:r>
        <w:rPr>
          <w:rStyle w:val="1079"/>
          <w:rFonts w:ascii="仿宋" w:hAnsi="仿宋" w:eastAsia="仿宋"/>
          <w:b/>
          <w:bCs/>
          <w:color w:val="000000" w:themeColor="text1"/>
          <w:sz w:val="36"/>
          <w:szCs w:val="36"/>
        </w:rPr>
        <w:br w:type="page" w:clear="all"/>
      </w:r>
      <w:r/>
    </w:p>
    <w:p>
      <w:pPr>
        <w:jc w:val="center"/>
        <w:spacing w:line="360" w:lineRule="auto"/>
        <w:rPr>
          <w:rFonts w:hint="eastAsia" w:ascii="仿宋" w:hAnsi="仿宋" w:eastAsia="仿宋" w:cs="宋体"/>
          <w:b/>
          <w:bCs/>
          <w:color w:val="000000" w:themeColor="text1"/>
          <w:sz w:val="32"/>
          <w:szCs w:val="32"/>
        </w:rPr>
      </w:pPr>
      <w:r>
        <w:rPr>
          <w:rFonts w:hint="eastAsia" w:ascii="仿宋" w:hAnsi="仿宋" w:eastAsia="仿宋" w:cs="宋体"/>
          <w:b/>
          <w:bCs/>
          <w:color w:val="000000" w:themeColor="text1"/>
          <w:sz w:val="32"/>
          <w:szCs w:val="32"/>
        </w:rPr>
        <w:t xml:space="preserve">目录</w:t>
      </w:r>
      <w:r/>
    </w:p>
    <w:p>
      <w:pPr>
        <w:jc w:val="center"/>
        <w:spacing w:line="360" w:lineRule="auto"/>
        <w:rPr>
          <w:rFonts w:hint="eastAsia" w:ascii="仿宋" w:hAnsi="仿宋" w:eastAsia="仿宋" w:cs="仿宋"/>
          <w:color w:val="000000" w:themeColor="text1"/>
        </w:rPr>
      </w:pPr>
      <w:r>
        <w:rPr>
          <w:rFonts w:hint="eastAsia" w:ascii="仿宋" w:hAnsi="仿宋" w:eastAsia="仿宋" w:cs="仿宋"/>
          <w:color w:val="000000" w:themeColor="text1"/>
          <w:sz w:val="24"/>
        </w:rPr>
        <w:t xml:space="preserve">注：供应商根据附件顺序编制投标文件并制作目录（须生成页码）</w:t>
      </w:r>
      <w:r/>
    </w:p>
    <w:p>
      <w:pPr>
        <w:pStyle w:val="903"/>
        <w:spacing w:line="360" w:lineRule="auto"/>
        <w:rPr>
          <w:rFonts w:hint="eastAsia" w:ascii="仿宋" w:hAnsi="仿宋" w:eastAsia="仿宋"/>
          <w:color w:val="000000" w:themeColor="text1"/>
          <w:sz w:val="24"/>
          <w:szCs w:val="24"/>
        </w:rPr>
      </w:pPr>
      <w:r/>
      <w:bookmarkStart w:id="68" w:name="_Toc33266152"/>
      <w:r>
        <w:rPr>
          <w:rFonts w:ascii="仿宋" w:hAnsi="仿宋" w:eastAsia="仿宋"/>
          <w:color w:val="000000" w:themeColor="text1"/>
          <w:sz w:val="28"/>
          <w:szCs w:val="28"/>
        </w:rPr>
        <w:br w:type="page" w:clear="all"/>
      </w:r>
      <w:bookmarkStart w:id="69" w:name="_Toc50974349"/>
      <w:r/>
      <w:bookmarkStart w:id="70" w:name="_Toc50644490"/>
      <w:r/>
      <w:bookmarkStart w:id="71" w:name="_Toc38723691"/>
      <w:r/>
      <w:bookmarkStart w:id="72" w:name="_Toc5654"/>
      <w:r/>
      <w:bookmarkStart w:id="73" w:name="_Toc126827488"/>
      <w:r/>
      <w:bookmarkStart w:id="74" w:name="_Toc119344344"/>
      <w:r/>
      <w:bookmarkStart w:id="75" w:name="_Toc38721218"/>
      <w:r/>
      <w:bookmarkStart w:id="76" w:name="_Toc205561304"/>
      <w:r/>
      <w:bookmarkEnd w:id="68"/>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附件一、投标申请及声明格式</w:t>
      </w:r>
      <w:bookmarkEnd w:id="69"/>
      <w:r/>
      <w:bookmarkEnd w:id="70"/>
      <w:r/>
      <w:bookmarkEnd w:id="71"/>
      <w:r/>
      <w:bookmarkEnd w:id="72"/>
      <w:r/>
      <w:bookmarkEnd w:id="73"/>
      <w:r/>
      <w:bookmarkEnd w:id="74"/>
      <w:r/>
      <w:bookmarkEnd w:id="75"/>
      <w:r/>
      <w:bookmarkEnd w:id="76"/>
      <w:r/>
      <w:r/>
    </w:p>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投标申请及声明</w:t>
      </w:r>
      <w:r/>
    </w:p>
    <w:p>
      <w:pP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lang w:val="zh-CN"/>
        </w:rPr>
        <w:t xml:space="preserve">致</w:t>
      </w:r>
      <w:r>
        <w:rPr>
          <w:rFonts w:hint="eastAsia" w:ascii="仿宋" w:hAnsi="仿宋" w:eastAsia="仿宋" w:cs="宋体"/>
          <w:color w:val="000000" w:themeColor="text1"/>
          <w:sz w:val="24"/>
        </w:rPr>
        <w:t xml:space="preserve">：</w:t>
      </w:r>
      <w:r>
        <w:rPr>
          <w:rFonts w:hint="eastAsia" w:ascii="仿宋" w:hAnsi="仿宋" w:eastAsia="仿宋"/>
          <w:b/>
          <w:color w:val="000000" w:themeColor="text1"/>
          <w:sz w:val="24"/>
          <w:lang w:val="zh-CN"/>
        </w:rPr>
        <w:t xml:space="preserve">南京江宁经济技术开发区管理委员会</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根据贵方</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（项目名称）</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（项目编号）招标公告，正式授权下述签字人</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（姓名和职务）代表供应商</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（供应商名称），提交投标文件。</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据此函，签字</w:t>
      </w:r>
      <w:r>
        <w:rPr>
          <w:rFonts w:hint="eastAsia" w:ascii="仿宋" w:hAnsi="仿宋" w:eastAsia="仿宋" w:cs="宋体"/>
          <w:color w:val="000000" w:themeColor="text1"/>
          <w:sz w:val="24"/>
          <w:lang w:val="zh-CN"/>
        </w:rPr>
        <w:t xml:space="preserve">人兹宣布</w:t>
      </w:r>
      <w:r>
        <w:rPr>
          <w:rFonts w:hint="eastAsia" w:ascii="仿宋" w:hAnsi="仿宋" w:eastAsia="仿宋" w:cs="宋体"/>
          <w:color w:val="000000" w:themeColor="text1"/>
          <w:sz w:val="24"/>
          <w:lang w:val="zh-CN"/>
        </w:rPr>
        <w:t xml:space="preserve">声明和承诺如下：</w:t>
      </w:r>
      <w:r/>
    </w:p>
    <w:p>
      <w:pPr>
        <w:ind w:firstLine="485"/>
        <w:spacing w:line="360" w:lineRule="auto"/>
        <w:rPr>
          <w:rFonts w:hint="eastAsia" w:ascii="仿宋" w:hAnsi="仿宋" w:eastAsia="仿宋"/>
          <w:color w:val="000000" w:themeColor="text1"/>
          <w:sz w:val="24"/>
        </w:rPr>
      </w:pPr>
      <w:r>
        <w:rPr>
          <w:rFonts w:ascii="仿宋" w:hAnsi="仿宋" w:eastAsia="仿宋" w:cs="宋体"/>
          <w:color w:val="000000" w:themeColor="text1"/>
          <w:sz w:val="24"/>
          <w:lang w:val="zh-CN"/>
        </w:rPr>
        <w:t xml:space="preserve">1</w:t>
      </w:r>
      <w:r>
        <w:rPr>
          <w:rFonts w:hint="eastAsia" w:ascii="仿宋" w:hAnsi="仿宋" w:eastAsia="仿宋" w:cs="宋体"/>
          <w:color w:val="000000" w:themeColor="text1"/>
          <w:sz w:val="24"/>
          <w:lang w:val="zh-CN"/>
        </w:rPr>
        <w:t xml:space="preserve">、</w:t>
      </w:r>
      <w:r>
        <w:rPr>
          <w:rFonts w:hint="eastAsia" w:ascii="仿宋" w:hAnsi="仿宋" w:eastAsia="仿宋" w:cs="宋体"/>
          <w:b/>
          <w:bCs/>
          <w:color w:val="000000" w:themeColor="text1"/>
          <w:sz w:val="24"/>
          <w:lang w:val="zh-CN"/>
        </w:rPr>
        <w:t xml:space="preserve">我们的资格条件完全符合政府采购法和本次招标要求</w:t>
      </w:r>
      <w:r>
        <w:rPr>
          <w:rFonts w:hint="eastAsia" w:ascii="仿宋" w:hAnsi="仿宋" w:eastAsia="仿宋" w:cs="宋体"/>
          <w:color w:val="000000" w:themeColor="text1"/>
          <w:sz w:val="24"/>
          <w:lang w:val="zh-CN"/>
        </w:rPr>
        <w:t xml:space="preserve">，</w:t>
      </w:r>
      <w:r>
        <w:rPr>
          <w:rFonts w:hint="eastAsia" w:ascii="仿宋" w:hAnsi="仿宋" w:eastAsia="仿宋" w:cs="宋体"/>
          <w:color w:val="000000" w:themeColor="text1"/>
          <w:sz w:val="24"/>
        </w:rPr>
        <w:t xml:space="preserve">我们</w:t>
      </w:r>
      <w:r>
        <w:rPr>
          <w:rFonts w:hint="eastAsia" w:ascii="仿宋" w:hAnsi="仿宋" w:eastAsia="仿宋" w:cs="宋体"/>
          <w:color w:val="000000" w:themeColor="text1"/>
          <w:sz w:val="24"/>
          <w:lang w:val="zh-CN"/>
        </w:rPr>
        <w:t xml:space="preserve">同意并向贵方提供了与投标有关的所有证据和资料。</w:t>
      </w:r>
      <w:r/>
    </w:p>
    <w:p>
      <w:pPr>
        <w:ind w:firstLine="480"/>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2、按招标文件要求，我们的投标总报价详见开标一览表。</w:t>
      </w:r>
      <w:r/>
    </w:p>
    <w:p>
      <w:pPr>
        <w:ind w:firstLine="480"/>
        <w:spacing w:line="360" w:lineRule="auto"/>
        <w:rPr>
          <w:rFonts w:hint="eastAsia" w:ascii="仿宋" w:hAnsi="仿宋" w:eastAsia="仿宋"/>
          <w:color w:val="000000" w:themeColor="text1"/>
          <w:sz w:val="24"/>
          <w:u w:val="single"/>
          <w:lang w:val="zh-CN"/>
        </w:rPr>
      </w:pPr>
      <w:r>
        <w:rPr>
          <w:rFonts w:hint="eastAsia" w:ascii="仿宋" w:hAnsi="仿宋" w:eastAsia="仿宋" w:cs="宋体"/>
          <w:color w:val="000000" w:themeColor="text1"/>
          <w:sz w:val="24"/>
          <w:lang w:val="zh-CN"/>
        </w:rPr>
        <w:t xml:space="preserve">3、</w:t>
      </w:r>
      <w:r>
        <w:rPr>
          <w:rFonts w:hint="eastAsia" w:ascii="仿宋" w:hAnsi="仿宋" w:eastAsia="仿宋" w:cs="宋体"/>
          <w:color w:val="000000" w:themeColor="text1"/>
          <w:sz w:val="24"/>
        </w:rPr>
        <w:t xml:space="preserve">拟派本项目</w:t>
      </w:r>
      <w:r>
        <w:rPr>
          <w:rFonts w:hint="eastAsia" w:ascii="仿宋" w:hAnsi="仿宋" w:eastAsia="仿宋" w:cs="宋体"/>
          <w:color w:val="000000" w:themeColor="text1"/>
          <w:sz w:val="24"/>
          <w:lang w:val="zh-CN"/>
        </w:rPr>
        <w:t xml:space="preserve">负责人为</w:t>
      </w:r>
      <w:r>
        <w:rPr>
          <w:rFonts w:hint="eastAsia" w:ascii="仿宋" w:hAnsi="仿宋" w:eastAsia="仿宋" w:cs="宋体"/>
          <w:color w:val="000000" w:themeColor="text1"/>
          <w:sz w:val="24"/>
          <w:u w:val="single"/>
          <w:lang w:val="zh-CN"/>
        </w:rPr>
        <w:t xml:space="preserve">        </w:t>
      </w:r>
      <w:r>
        <w:rPr>
          <w:rFonts w:hint="eastAsia" w:ascii="仿宋" w:hAnsi="仿宋" w:eastAsia="仿宋" w:cs="宋体"/>
          <w:color w:val="000000" w:themeColor="text1"/>
          <w:sz w:val="24"/>
          <w:lang w:val="zh-CN"/>
        </w:rPr>
        <w:t xml:space="preserve">（姓名）。</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4、我方参加本次采购活动前三年内，在经营活动中没有重大违法记录。</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5、我方参加本次采购活动前，没有被信用中国网站、中国政府采购网站列入失信被执行人名单、重大税收违法案件当事人名单、政府采购严重违法失信行为记录名单。</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8、我方与参与本次采购活动的其他供应商的授权代理人（或法定代表人、项目经理、项目总监、项目负责人等），在招标文件发布日上月至投标截止日当月未在同一单位缴纳社会保险。</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11、我方已详细审阅全部招标文件及其有效补充文件，放弃对招标文件任何误解的权利，提交投标文件后，不对招标文件本身提出质疑。否则，属于</w:t>
      </w:r>
      <w:r>
        <w:rPr>
          <w:rFonts w:hint="eastAsia" w:ascii="仿宋" w:hAnsi="仿宋" w:eastAsia="仿宋" w:cs="宋体"/>
          <w:color w:val="000000" w:themeColor="text1"/>
          <w:sz w:val="24"/>
          <w:lang w:val="zh-CN"/>
        </w:rPr>
        <w:t xml:space="preserve">不</w:t>
      </w:r>
      <w:r>
        <w:rPr>
          <w:rFonts w:hint="eastAsia" w:ascii="仿宋" w:hAnsi="仿宋" w:eastAsia="仿宋" w:cs="宋体"/>
          <w:color w:val="000000" w:themeColor="text1"/>
          <w:sz w:val="24"/>
          <w:lang w:val="zh-CN"/>
        </w:rPr>
        <w:t xml:space="preserve">诚信和故意扰乱政府采购活动行为，我们将无条件接受处罚。</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12、我方同意从规定的开标日期起遵循本投标文件，并在规定的投标有效期</w:t>
      </w:r>
      <w:r>
        <w:rPr>
          <w:rFonts w:hint="eastAsia" w:ascii="仿宋" w:hAnsi="仿宋" w:eastAsia="仿宋" w:cs="宋体"/>
          <w:color w:val="000000" w:themeColor="text1"/>
          <w:sz w:val="24"/>
          <w:lang w:val="zh-CN"/>
        </w:rPr>
        <w:t xml:space="preserve">期满之前均具有约束力。</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13、一旦我方中标，将根据招标文件的规定严格履行合同，并保证按承诺的时间完成服务的启动/集成、调试等服务，交付采购人验收、使用。</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rPr>
        <w:t xml:space="preserve">15</w:t>
      </w:r>
      <w:r>
        <w:rPr>
          <w:rFonts w:hint="eastAsia" w:ascii="仿宋" w:hAnsi="仿宋" w:eastAsia="仿宋" w:cs="宋体"/>
          <w:color w:val="000000" w:themeColor="text1"/>
          <w:sz w:val="24"/>
          <w:lang w:val="zh-CN"/>
        </w:rPr>
        <w:t xml:space="preserve">、与本投标有关的正式联系方式为：</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地址：</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电话：</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传真：</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开户银行：</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银行账号：</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日期：年月日</w:t>
      </w:r>
      <w:r/>
    </w:p>
    <w:p>
      <w:pPr>
        <w:pStyle w:val="903"/>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lang w:val="zh-CN"/>
        </w:rPr>
        <w:br w:type="page" w:clear="all"/>
      </w:r>
      <w:bookmarkStart w:id="77" w:name="_Toc38723692"/>
      <w:r/>
      <w:bookmarkStart w:id="78" w:name="_Toc126827489"/>
      <w:r/>
      <w:bookmarkStart w:id="79" w:name="_Toc19502"/>
      <w:r/>
      <w:bookmarkStart w:id="80" w:name="_Toc38721219"/>
      <w:r/>
      <w:bookmarkStart w:id="81" w:name="_Toc50644491"/>
      <w:r/>
      <w:bookmarkStart w:id="82" w:name="_Toc119344345"/>
      <w:r/>
      <w:bookmarkStart w:id="83" w:name="_Toc33266153"/>
      <w:r/>
      <w:bookmarkStart w:id="84" w:name="_Toc50974350"/>
      <w:r/>
      <w:bookmarkStart w:id="85" w:name="_Toc205561305"/>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附件二、</w:t>
      </w:r>
      <w:bookmarkEnd w:id="77"/>
      <w:r/>
      <w:bookmarkEnd w:id="78"/>
      <w:r/>
      <w:bookmarkEnd w:id="79"/>
      <w:r/>
      <w:bookmarkEnd w:id="80"/>
      <w:r/>
      <w:bookmarkEnd w:id="81"/>
      <w:r/>
      <w:bookmarkEnd w:id="82"/>
      <w:r/>
      <w:bookmarkEnd w:id="83"/>
      <w:r/>
      <w:bookmarkEnd w:id="84"/>
      <w:r>
        <w:rPr>
          <w:rFonts w:hint="eastAsia" w:ascii="仿宋" w:hAnsi="仿宋" w:eastAsia="仿宋"/>
          <w:color w:val="000000" w:themeColor="text1"/>
          <w:sz w:val="24"/>
          <w:szCs w:val="24"/>
        </w:rPr>
        <w:t xml:space="preserve">法人授权委托书格式</w:t>
      </w:r>
      <w:bookmarkEnd w:id="85"/>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法人授权委托书</w:t>
      </w:r>
      <w:r/>
    </w:p>
    <w:p>
      <w:pPr>
        <w:spacing w:line="360" w:lineRule="auto"/>
        <w:rPr>
          <w:rFonts w:hint="eastAsia" w:ascii="仿宋" w:hAnsi="仿宋" w:eastAsia="仿宋"/>
          <w:color w:val="000000" w:themeColor="text1"/>
          <w:sz w:val="24"/>
        </w:rPr>
      </w:pPr>
      <w:r>
        <w:rPr>
          <w:rFonts w:hint="eastAsia" w:ascii="仿宋" w:hAnsi="仿宋" w:eastAsia="仿宋"/>
          <w:b/>
          <w:color w:val="000000" w:themeColor="text1"/>
          <w:sz w:val="24"/>
          <w:lang w:val="zh-CN"/>
        </w:rPr>
        <w:t xml:space="preserve">南京江宁经济技术开发区管理委员会</w:t>
      </w:r>
      <w:r>
        <w:rPr>
          <w:rFonts w:hint="eastAsia" w:ascii="仿宋" w:hAnsi="仿宋" w:eastAsia="仿宋" w:cs="宋体"/>
          <w:color w:val="000000" w:themeColor="text1"/>
          <w:sz w:val="24"/>
        </w:rPr>
        <w:t xml:space="preserve">：</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本授权书声明：注册于</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（供应商住址）的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（供应商名称）代表本公司授权在下面签字的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（供应商代表姓名、职务）为本公司的合法代理人，就贵方组织的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（项目名称），</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（项目编号）投标，以本公司名义处理一切与之有关的事务。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本授权书于</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年</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月</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日盖章生效，特此声明。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被授权委托人姓名：</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年龄：</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职务：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身份证：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联系电话：</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w:t>
      </w:r>
      <w:r>
        <w:rPr>
          <w:rFonts w:hint="eastAsia" w:ascii="仿宋" w:hAnsi="仿宋" w:eastAsia="仿宋" w:cs="宋体"/>
          <w:color w:val="000000" w:themeColor="text1"/>
          <w:sz w:val="24"/>
        </w:rPr>
        <w:t xml:space="preserve">加盖电子公章</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日期：  年  月  日</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（注：</w:t>
      </w:r>
      <w:r>
        <w:rPr>
          <w:rFonts w:hint="eastAsia" w:ascii="仿宋" w:hAnsi="仿宋" w:eastAsia="仿宋" w:cs="仿宋"/>
          <w:color w:val="000000" w:themeColor="text1"/>
          <w:sz w:val="24"/>
        </w:rPr>
        <w:t xml:space="preserve">后附被授权</w:t>
      </w:r>
      <w:r>
        <w:rPr>
          <w:rFonts w:hint="eastAsia" w:ascii="仿宋" w:hAnsi="仿宋" w:eastAsia="仿宋" w:cs="仿宋"/>
          <w:color w:val="000000" w:themeColor="text1"/>
          <w:sz w:val="24"/>
        </w:rPr>
        <w:t xml:space="preserve">委托人身份证正反面扫描件）</w:t>
      </w:r>
      <w:r/>
    </w:p>
    <w:p>
      <w:pPr>
        <w:pStyle w:val="903"/>
        <w:spacing w:line="360" w:lineRule="auto"/>
        <w:rPr>
          <w:rFonts w:hint="eastAsia" w:ascii="仿宋" w:hAnsi="仿宋" w:eastAsia="仿宋" w:cs="仿宋"/>
          <w:color w:val="000000" w:themeColor="text1"/>
          <w:sz w:val="24"/>
          <w:szCs w:val="24"/>
        </w:rPr>
      </w:pPr>
      <w:r>
        <w:rPr>
          <w:rFonts w:ascii="仿宋" w:hAnsi="仿宋" w:eastAsia="仿宋" w:cs="仿宋"/>
          <w:color w:val="000000" w:themeColor="text1"/>
          <w:sz w:val="24"/>
          <w:szCs w:val="24"/>
        </w:rPr>
        <w:br w:type="page" w:clear="all"/>
      </w:r>
      <w:bookmarkStart w:id="86" w:name="_Toc38723693"/>
      <w:r/>
      <w:bookmarkStart w:id="87" w:name="_Toc50644492"/>
      <w:r/>
      <w:bookmarkStart w:id="88" w:name="_Toc126827490"/>
      <w:r/>
      <w:bookmarkStart w:id="89" w:name="_Toc50974351"/>
      <w:r/>
      <w:bookmarkStart w:id="90" w:name="_Toc119344346"/>
      <w:r/>
      <w:bookmarkStart w:id="91" w:name="_Toc33266154"/>
      <w:r/>
      <w:bookmarkStart w:id="92" w:name="_Toc30876"/>
      <w:r/>
      <w:bookmarkStart w:id="93" w:name="_Toc205561306"/>
      <w:r/>
      <w:bookmarkStart w:id="94" w:name="_Toc38721220"/>
      <w:r/>
      <w:r/>
    </w:p>
    <w:p>
      <w:pPr>
        <w:pStyle w:val="903"/>
        <w:spacing w:line="360" w:lineRule="auto"/>
        <w:tabs>
          <w:tab w:val="left" w:pos="1853" w:leader="none"/>
        </w:tabs>
        <w:rPr>
          <w:rFonts w:hint="eastAsia" w:ascii="仿宋" w:hAnsi="仿宋" w:eastAsia="仿宋"/>
          <w:color w:val="000000" w:themeColor="text1"/>
          <w:sz w:val="24"/>
        </w:rPr>
      </w:pPr>
      <w:r/>
      <w:bookmarkStart w:id="95" w:name="_Toc207712368"/>
      <w:r/>
      <w:bookmarkStart w:id="96" w:name="_Toc33266157"/>
      <w:r>
        <w:rPr>
          <w:rFonts w:hint="eastAsia" w:ascii="仿宋" w:hAnsi="仿宋" w:eastAsia="仿宋"/>
          <w:color w:val="000000" w:themeColor="text1"/>
          <w:sz w:val="24"/>
        </w:rPr>
        <w:t xml:space="preserve">★</w:t>
      </w:r>
      <w:r>
        <w:rPr>
          <w:rFonts w:hint="eastAsia" w:eastAsia="仿宋"/>
          <w:color w:val="000000" w:themeColor="text1"/>
          <w:sz w:val="24"/>
        </w:rPr>
        <w:t xml:space="preserve">附件</w:t>
      </w:r>
      <w:r>
        <w:rPr>
          <w:rFonts w:hint="eastAsia" w:ascii="仿宋" w:hAnsi="仿宋" w:eastAsia="仿宋"/>
          <w:color w:val="000000" w:themeColor="text1"/>
          <w:sz w:val="24"/>
        </w:rPr>
        <w:t xml:space="preserve">三、资格证明文件</w:t>
      </w:r>
      <w:bookmarkEnd w:id="95"/>
      <w:r/>
      <w:bookmarkEnd w:id="96"/>
      <w:r/>
      <w:r/>
    </w:p>
    <w:p>
      <w:pPr>
        <w:jc w:val="center"/>
        <w:spacing w:line="360" w:lineRule="auto"/>
        <w:rPr>
          <w:rFonts w:hint="eastAsia" w:ascii="仿宋" w:hAnsi="仿宋" w:eastAsia="仿宋" w:cs="宋体"/>
          <w:b/>
          <w:bCs/>
          <w:color w:val="000000" w:themeColor="text1"/>
          <w:sz w:val="24"/>
        </w:rPr>
      </w:pPr>
      <w:r/>
      <w:bookmarkStart w:id="97" w:name="_Toc489655335"/>
      <w:r>
        <w:rPr>
          <w:rFonts w:hint="eastAsia" w:ascii="仿宋" w:hAnsi="仿宋" w:eastAsia="仿宋" w:cs="宋体"/>
          <w:b/>
          <w:bCs/>
          <w:color w:val="000000" w:themeColor="text1"/>
          <w:sz w:val="24"/>
        </w:rPr>
        <w:t xml:space="preserve">资格证明文件</w:t>
      </w:r>
      <w:bookmarkEnd w:id="97"/>
      <w:r/>
      <w:r/>
    </w:p>
    <w:p>
      <w:pPr>
        <w:ind w:firstLine="480"/>
        <w:spacing w:line="360" w:lineRule="auto"/>
        <w:rPr>
          <w:rFonts w:hint="eastAsia" w:ascii="仿宋" w:hAnsi="仿宋" w:eastAsia="仿宋"/>
          <w:color w:val="000000" w:themeColor="text1"/>
          <w:sz w:val="24"/>
        </w:rPr>
      </w:pPr>
      <w:r>
        <w:rPr>
          <w:rFonts w:hint="eastAsia" w:ascii="仿宋" w:hAnsi="仿宋" w:eastAsia="仿宋" w:cs="仿宋"/>
          <w:bCs/>
          <w:color w:val="000000" w:themeColor="text1"/>
          <w:sz w:val="24"/>
          <w:lang w:val="zh-CN"/>
        </w:rPr>
        <w:t xml:space="preserve">1、</w:t>
      </w:r>
      <w:r>
        <w:rPr>
          <w:rFonts w:hint="eastAsia" w:ascii="仿宋" w:hAnsi="仿宋" w:eastAsia="仿宋" w:cs="仿宋"/>
          <w:color w:val="000000" w:themeColor="text1"/>
          <w:sz w:val="24"/>
        </w:rPr>
        <w:t xml:space="preserve">满足《中华人民共和国政府采购法》第二十二条规定</w:t>
      </w:r>
      <w:r>
        <w:rPr>
          <w:rFonts w:hint="eastAsia" w:ascii="仿宋" w:hAnsi="仿宋" w:eastAsia="仿宋"/>
          <w:color w:val="000000" w:themeColor="text1"/>
          <w:sz w:val="24"/>
        </w:rPr>
        <w:t xml:space="preserve">：</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（1）具有独立承担民事责任的能力（提供法人或者其他组织的营业执照，自然人的身份证，</w:t>
      </w:r>
      <w:r>
        <w:rPr>
          <w:rFonts w:hint="eastAsia" w:ascii="仿宋" w:hAnsi="仿宋" w:eastAsia="仿宋"/>
          <w:color w:val="000000" w:themeColor="text1"/>
          <w:sz w:val="24"/>
        </w:rPr>
        <w:t xml:space="preserve">扫描件</w:t>
      </w:r>
      <w:r>
        <w:rPr>
          <w:rFonts w:hint="eastAsia" w:ascii="仿宋" w:hAnsi="仿宋" w:eastAsia="仿宋"/>
          <w:bCs/>
          <w:color w:val="000000" w:themeColor="text1"/>
          <w:sz w:val="24"/>
        </w:rPr>
        <w:t xml:space="preserve">加盖电子公章）；</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（2）具有良好的商业信誉和健全的财务会计制度（提供参加本次政府采购活动前一年内（至少一个月）的会计报表扫描件加盖电子公章或提供《南京市政府采购供应商信用记录表暨信用承诺书》）；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具有履行合同所必需的设备和专业技术能力（根据项目需求提供履行合同所必需的设备和专业技术能力的证明材料加盖电子公章（格式见附件十五）或提供《南京市政府采购供应商信用记录表暨信用承诺书》）； </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有依法缴纳税收和社会保障资金的良好记录（提供参加本次采购活动前半年内（至少一个月）依法缴纳税收和社会保障资金的相关资料扫描件加盖电子公章或提供《南京市政府采购供应商信用记录表暨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参加政府采购活动前三年内，在经营活动中没有重大违法记录（提供参加本次采购活动前三年内在经营活动中没有重大违法记录的书面声明材料加盖电子公章（格式见附件十六）或提供《南京市政府采购供应商信用记录表暨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（6）法律、行政法规规定的其他条件。</w:t>
      </w:r>
      <w:r/>
    </w:p>
    <w:p>
      <w:pPr>
        <w:ind w:firstLine="36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w:t>
      </w:r>
      <w:r>
        <w:rPr>
          <w:rFonts w:hint="eastAsia" w:ascii="仿宋" w:hAnsi="仿宋" w:eastAsia="仿宋" w:cs="仿宋"/>
          <w:color w:val="000000" w:themeColor="text1"/>
          <w:sz w:val="24"/>
        </w:rPr>
        <w:t xml:space="preserve">本次采购项目实施所必须的特定资格要求证明材料</w:t>
      </w:r>
      <w:r>
        <w:rPr>
          <w:rFonts w:hint="eastAsia" w:ascii="仿宋" w:hAnsi="仿宋" w:eastAsia="仿宋"/>
          <w:color w:val="000000" w:themeColor="text1"/>
          <w:sz w:val="24"/>
        </w:rPr>
        <w:t xml:space="preserve">（如有）。</w:t>
      </w:r>
      <w:r/>
    </w:p>
    <w:p>
      <w:pPr>
        <w:pStyle w:val="926"/>
        <w:ind w:left="1470" w:right="1470"/>
        <w:rPr>
          <w:color w:val="000000" w:themeColor="text1"/>
        </w:rPr>
      </w:pPr>
      <w:r>
        <w:rPr>
          <w:color w:val="000000" w:themeColor="text1"/>
        </w:rPr>
      </w:r>
      <w:r/>
    </w:p>
    <w:p>
      <w:pP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p>
      <w:pPr>
        <w:rPr>
          <w:rFonts w:hint="eastAsia" w:ascii="仿宋" w:hAnsi="仿宋" w:eastAsia="仿宋" w:cs="仿宋"/>
          <w:b/>
          <w:bCs/>
          <w:color w:val="000000" w:themeColor="text1"/>
          <w:sz w:val="24"/>
        </w:rPr>
      </w:pPr>
      <w:r>
        <w:rPr>
          <w:rFonts w:ascii="仿宋" w:hAnsi="仿宋" w:eastAsia="仿宋" w:cs="仿宋"/>
          <w:b/>
          <w:bCs/>
          <w:color w:val="000000" w:themeColor="text1"/>
          <w:sz w:val="24"/>
        </w:rPr>
        <w:br w:type="page" w:clear="all"/>
      </w:r>
      <w:r/>
    </w:p>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南京市政府采购供应商信用</w:t>
      </w:r>
      <w:r>
        <w:rPr>
          <w:rFonts w:hint="eastAsia" w:ascii="仿宋" w:hAnsi="仿宋" w:eastAsia="仿宋" w:cs="仿宋"/>
          <w:b/>
          <w:bCs/>
          <w:color w:val="000000" w:themeColor="text1"/>
          <w:sz w:val="24"/>
        </w:rPr>
        <w:t xml:space="preserve">记录表暨信用</w:t>
      </w:r>
      <w:r>
        <w:rPr>
          <w:rFonts w:hint="eastAsia" w:ascii="仿宋" w:hAnsi="仿宋" w:eastAsia="仿宋" w:cs="仿宋"/>
          <w:b/>
          <w:bCs/>
          <w:color w:val="000000" w:themeColor="text1"/>
          <w:sz w:val="24"/>
        </w:rPr>
        <w:t xml:space="preserve">承诺书示范格式</w:t>
      </w:r>
      <w:r/>
    </w:p>
    <w:p>
      <w:pPr>
        <w:spacing w:line="360" w:lineRule="auto"/>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（仅为示范格式，直接填写无效，需至“南京政府采购供应商诚信档案管理系统”在线打印）</w:t>
      </w:r>
      <w:r/>
    </w:p>
    <w:tbl>
      <w:tblPr>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单位名称</w:t>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统一社会信用代码</w:t>
            </w:r>
            <w:r/>
          </w:p>
        </w:tc>
        <w:tc>
          <w:tcPr>
            <w:tcW w:w="255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452"/>
        </w:trPr>
        <w:tc>
          <w:tcPr>
            <w:tcW w:w="2085" w:type="dxa"/>
            <w:vAlign w:val="center"/>
            <w:textDirection w:val="lrTb"/>
            <w:noWrap w:val="false"/>
          </w:tcPr>
          <w:p>
            <w:pPr>
              <w:ind w:left="20"/>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法定代表人</w:t>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联系人</w:t>
            </w:r>
            <w:r/>
          </w:p>
        </w:tc>
        <w:tc>
          <w:tcPr>
            <w:tcW w:w="255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474"/>
        </w:trPr>
        <w:tc>
          <w:tcPr>
            <w:tcW w:w="2085" w:type="dxa"/>
            <w:vAlign w:val="center"/>
            <w:textDirection w:val="lrTb"/>
            <w:noWrap w:val="false"/>
          </w:tcPr>
          <w:p>
            <w:pPr>
              <w:ind w:left="20"/>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联系地址</w:t>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联系电话</w:t>
            </w:r>
            <w:r/>
          </w:p>
        </w:tc>
        <w:tc>
          <w:tcPr>
            <w:tcW w:w="255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1344"/>
        </w:trPr>
        <w:tc>
          <w:tcPr>
            <w:tcW w:w="2085"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诚信档案记录情况</w:t>
            </w:r>
            <w:r/>
          </w:p>
        </w:tc>
        <w:tc>
          <w:tcPr>
            <w:gridSpan w:val="3"/>
            <w:tcW w:w="6995"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6513"/>
        </w:trPr>
        <w:tc>
          <w:tcPr>
            <w:tcW w:w="2085" w:type="dxa"/>
            <w:vAlign w:val="center"/>
            <w:textDirection w:val="lrTb"/>
            <w:noWrap w:val="false"/>
          </w:tcPr>
          <w:p>
            <w:pPr>
              <w:ind w:left="20"/>
              <w:jc w:val="center"/>
              <w:spacing w:line="251" w:lineRule="exact"/>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信用承诺</w:t>
            </w:r>
            <w:r/>
          </w:p>
        </w:tc>
        <w:tc>
          <w:tcPr>
            <w:gridSpan w:val="3"/>
            <w:tcW w:w="6995" w:type="dxa"/>
            <w:vAlign w:val="center"/>
            <w:textDirection w:val="lrTb"/>
            <w:noWrap w:val="false"/>
          </w:tcPr>
          <w:p>
            <w:pPr>
              <w:pStyle w:val="1007"/>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我公司自愿参加贵中心（公司）组织的本次采购活动，严格遵守《中华人民政府采购法》及相关</w:t>
            </w:r>
            <w:r>
              <w:rPr>
                <w:rFonts w:hint="eastAsia" w:ascii="仿宋" w:hAnsi="仿宋" w:eastAsia="仿宋" w:cs="仿宋"/>
                <w:color w:val="000000" w:themeColor="text1"/>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1007"/>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pStyle w:val="1007"/>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right="3180"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供应商名称（盖章）：</w:t>
            </w:r>
            <w:r/>
          </w:p>
          <w:p>
            <w:pPr>
              <w:ind w:right="3180"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法定代表人（签字）：</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二〇   年  月    日</w:t>
            </w:r>
            <w:r/>
          </w:p>
        </w:tc>
      </w:tr>
    </w:tbl>
    <w:p>
      <w:pPr>
        <w:rPr>
          <w:rStyle w:val="977"/>
          <w:rFonts w:hint="eastAsia" w:ascii="仿宋" w:hAnsi="仿宋"/>
          <w:color w:val="000000" w:themeColor="text1"/>
          <w:szCs w:val="24"/>
        </w:rPr>
      </w:pPr>
      <w:r>
        <w:rPr>
          <w:rFonts w:hint="eastAsia" w:ascii="仿宋" w:hAnsi="仿宋"/>
          <w:color w:val="000000" w:themeColor="text1"/>
          <w:szCs w:val="24"/>
        </w:rPr>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注：根据《关于在政府采购活动中推行信用承诺制的通知》（</w:t>
      </w:r>
      <w:r>
        <w:rPr>
          <w:rFonts w:hint="eastAsia" w:ascii="仿宋" w:hAnsi="仿宋" w:eastAsia="仿宋" w:cs="仿宋"/>
          <w:color w:val="000000" w:themeColor="text1"/>
          <w:sz w:val="24"/>
          <w:szCs w:val="22"/>
        </w:rPr>
        <w:t xml:space="preserve">宁财购通</w:t>
      </w:r>
      <w:r>
        <w:rPr>
          <w:rFonts w:hint="eastAsia" w:ascii="仿宋" w:hAnsi="仿宋" w:eastAsia="仿宋" w:cs="仿宋"/>
          <w:color w:val="000000" w:themeColor="text1"/>
          <w:sz w:val="24"/>
        </w:rPr>
        <w:t xml:space="preserve">〔2021〕</w:t>
      </w:r>
      <w:r>
        <w:rPr>
          <w:rFonts w:hint="eastAsia" w:ascii="仿宋" w:hAnsi="仿宋" w:eastAsia="仿宋" w:cs="仿宋"/>
          <w:color w:val="000000" w:themeColor="text1"/>
          <w:sz w:val="24"/>
          <w:szCs w:val="22"/>
        </w:rPr>
        <w:t xml:space="preserve">5 号）规定，针对本项目第一章招标公告中 “二、供应商资格要求 2.1 满足《中华人民共和国政府采购法》第二十二条规定” 所涉及的证明材料，供应商可选择以下任</w:t>
      </w:r>
      <w:r>
        <w:rPr>
          <w:rFonts w:hint="eastAsia" w:ascii="仿宋" w:hAnsi="仿宋" w:eastAsia="仿宋" w:cs="仿宋"/>
          <w:color w:val="000000" w:themeColor="text1"/>
          <w:sz w:val="24"/>
          <w:szCs w:val="22"/>
        </w:rPr>
        <w:t xml:space="preserve">一</w:t>
      </w:r>
      <w:r>
        <w:rPr>
          <w:rFonts w:hint="eastAsia" w:ascii="仿宋" w:hAnsi="仿宋" w:eastAsia="仿宋" w:cs="仿宋"/>
          <w:color w:val="000000" w:themeColor="text1"/>
          <w:sz w:val="24"/>
          <w:szCs w:val="22"/>
        </w:rPr>
        <w:t xml:space="preserve">方式在投标文件中提供：</w:t>
      </w:r>
      <w:r/>
    </w:p>
    <w:p>
      <w:pPr>
        <w:ind w:firstLine="480"/>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①</w:t>
      </w:r>
      <w:r>
        <w:rPr>
          <w:rFonts w:hint="eastAsia" w:ascii="仿宋" w:hAnsi="仿宋" w:eastAsia="仿宋" w:cs="仿宋"/>
          <w:color w:val="000000" w:themeColor="text1"/>
          <w:sz w:val="24"/>
          <w:szCs w:val="22"/>
        </w:rPr>
        <w:t xml:space="preserve">一次性提交完整的相关证明材料；</w:t>
      </w:r>
      <w:r/>
    </w:p>
    <w:p>
      <w:pPr>
        <w:ind w:firstLine="480"/>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②</w:t>
      </w:r>
      <w:r>
        <w:rPr>
          <w:rFonts w:hint="eastAsia" w:ascii="仿宋" w:hAnsi="仿宋" w:eastAsia="仿宋" w:cs="仿宋"/>
          <w:color w:val="000000" w:themeColor="text1"/>
          <w:sz w:val="24"/>
          <w:szCs w:val="22"/>
        </w:rPr>
        <w:t xml:space="preserve">提供满足该资格条件的书面承诺书（即《南京市政府采购供应商信用记录表暨信用承诺书》）。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若供应商选择以《南京市政府采购供应商信用记录表暨信用承诺书》作为符合第一章招标公告中“二、供应商资格要求 2.1”</w:t>
      </w:r>
      <w:r>
        <w:rPr>
          <w:rFonts w:hint="eastAsia" w:ascii="仿宋" w:hAnsi="仿宋" w:eastAsia="仿宋" w:cs="仿宋"/>
          <w:color w:val="000000" w:themeColor="text1"/>
          <w:sz w:val="24"/>
          <w:szCs w:val="22"/>
        </w:rPr>
        <w:t xml:space="preserve">项资格</w:t>
      </w:r>
      <w:r>
        <w:rPr>
          <w:rFonts w:hint="eastAsia" w:ascii="仿宋" w:hAnsi="仿宋" w:eastAsia="仿宋" w:cs="仿宋"/>
          <w:color w:val="000000" w:themeColor="text1"/>
          <w:sz w:val="24"/>
          <w:szCs w:val="22"/>
        </w:rPr>
        <w:t xml:space="preserve">要求的证明文件，需确保该信用记录表的打印时间处于本招标公告发布之日起至投标文件递交截止日期间；未按上述要求提供信用记录表（包括打印时间不符合规定或未提供）的，其投标文件将被视为不符合资格要求。</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在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供应商对信用承诺内容的真实性、合法性、有效性负责。如</w:t>
      </w:r>
      <w:r>
        <w:rPr>
          <w:rFonts w:hint="eastAsia" w:ascii="仿宋" w:hAnsi="仿宋" w:eastAsia="仿宋" w:cs="仿宋"/>
          <w:color w:val="000000" w:themeColor="text1"/>
          <w:sz w:val="24"/>
          <w:szCs w:val="22"/>
        </w:rPr>
        <w:t xml:space="preserve">作出</w:t>
      </w:r>
      <w:r>
        <w:rPr>
          <w:rFonts w:hint="eastAsia" w:ascii="仿宋" w:hAnsi="仿宋" w:eastAsia="仿宋" w:cs="仿宋"/>
          <w:color w:val="000000" w:themeColor="text1"/>
          <w:sz w:val="24"/>
          <w:szCs w:val="22"/>
        </w:rPr>
        <w:t xml:space="preserve">虚假信用承诺，视同为“提供虚假材料谋取中标、成交”的违法行为。</w:t>
      </w:r>
      <w:r/>
    </w:p>
    <w:p>
      <w:pPr>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br w:type="page" w:clear="all"/>
      </w:r>
      <w:r/>
    </w:p>
    <w:p>
      <w:pPr>
        <w:spacing w:line="360" w:lineRule="auto"/>
        <w:rPr>
          <w:rStyle w:val="977"/>
          <w:rFonts w:hint="eastAsia" w:ascii="仿宋" w:hAnsi="仿宋" w:eastAsia="仿宋" w:cs="仿宋"/>
          <w:b w:val="0"/>
          <w:bCs w:val="0"/>
          <w:color w:val="000000" w:themeColor="text1"/>
          <w:sz w:val="24"/>
          <w:szCs w:val="22"/>
        </w:rPr>
      </w:pPr>
      <w:r>
        <w:rPr>
          <w:rFonts w:hint="eastAsia" w:ascii="仿宋" w:hAnsi="仿宋" w:eastAsia="仿宋"/>
          <w:bCs/>
          <w:color w:val="000000" w:themeColor="text1"/>
          <w:sz w:val="24"/>
        </w:rPr>
        <w:t xml:space="preserve">★</w:t>
      </w:r>
      <w:r>
        <w:rPr>
          <w:rFonts w:hint="eastAsia" w:ascii="仿宋" w:hAnsi="仿宋" w:eastAsia="仿宋"/>
          <w:b/>
          <w:bCs/>
          <w:color w:val="000000" w:themeColor="text1"/>
          <w:sz w:val="24"/>
        </w:rPr>
        <w:t xml:space="preserve">附件四、供应商资格承诺函</w:t>
      </w:r>
      <w:r/>
    </w:p>
    <w:p>
      <w:pPr>
        <w:jc w:val="center"/>
        <w:spacing w:line="360" w:lineRule="auto"/>
        <w:rPr>
          <w:rFonts w:eastAsia="仿宋" w:cs="宋体"/>
          <w:b/>
          <w:bCs/>
          <w:color w:val="000000" w:themeColor="text1"/>
          <w:sz w:val="24"/>
          <w:lang w:val="zh-CN"/>
        </w:rPr>
      </w:pPr>
      <w:r>
        <w:rPr>
          <w:rFonts w:hint="eastAsia" w:eastAsia="仿宋" w:cs="宋体"/>
          <w:b/>
          <w:bCs/>
          <w:color w:val="000000" w:themeColor="text1"/>
          <w:sz w:val="24"/>
        </w:rPr>
        <w:t xml:space="preserve">供应商资格承诺函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rPr>
          <w:rFonts w:ascii="仿宋" w:hAnsi="仿宋" w:eastAsia="仿宋"/>
          <w:color w:val="000000" w:themeColor="text1"/>
          <w:sz w:val="24"/>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如果我公司中标（成交），将在结果公告发布后 7 </w:t>
      </w:r>
      <w:r>
        <w:rPr>
          <w:rFonts w:ascii="仿宋" w:hAnsi="仿宋" w:eastAsia="仿宋"/>
          <w:color w:val="000000" w:themeColor="text1"/>
          <w:sz w:val="24"/>
        </w:rPr>
        <w:t xml:space="preserve">个</w:t>
      </w:r>
      <w:r>
        <w:rPr>
          <w:rFonts w:ascii="仿宋" w:hAnsi="仿宋" w:eastAsia="仿宋"/>
          <w:color w:val="000000" w:themeColor="text1"/>
          <w:sz w:val="24"/>
        </w:rPr>
        <w:t xml:space="preserve">工作日内向采购人提供下列材料核验：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（1）营业执照副本或事业单位法人登记证书；</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（3）履行合同所必需的设备和专业技术能力证明材料；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（4）参加本次政府采购活动前半年内（至少一个月）依法缴纳税收和社会保障资金的证明材料。</w:t>
      </w:r>
      <w:r/>
    </w:p>
    <w:p>
      <w:pPr>
        <w:ind w:firstLine="480"/>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本公司对上述承诺的真实性负责，如有虚假，将依法承担相应责任。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504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供应商名称（加盖电子公章）：</w:t>
      </w:r>
      <w:r/>
    </w:p>
    <w:p>
      <w:pPr>
        <w:ind w:firstLine="504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二〇 年 月 日</w:t>
      </w:r>
      <w:r/>
    </w:p>
    <w:p>
      <w:pPr>
        <w:pStyle w:val="903"/>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pStyle w:val="903"/>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br w:type="page" w:clear="all"/>
      </w:r>
      <w:r/>
    </w:p>
    <w:p>
      <w:pPr>
        <w:pStyle w:val="903"/>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附件五、开标一览表格式</w:t>
      </w:r>
      <w:bookmarkEnd w:id="86"/>
      <w:r/>
      <w:bookmarkEnd w:id="87"/>
      <w:r/>
      <w:bookmarkEnd w:id="88"/>
      <w:r/>
      <w:bookmarkEnd w:id="89"/>
      <w:r/>
      <w:bookmarkEnd w:id="90"/>
      <w:r/>
      <w:bookmarkEnd w:id="91"/>
      <w:r/>
      <w:bookmarkEnd w:id="92"/>
      <w:r/>
      <w:bookmarkEnd w:id="93"/>
      <w:r/>
      <w:bookmarkEnd w:id="94"/>
      <w:r/>
      <w:r/>
    </w:p>
    <w:p>
      <w:pPr>
        <w:jc w:val="center"/>
        <w:widowControl/>
        <w:rPr>
          <w:rFonts w:hint="eastAsia" w:ascii="仿宋" w:hAnsi="仿宋" w:eastAsia="仿宋" w:cs="仿宋"/>
          <w:b/>
          <w:bCs/>
          <w:color w:val="000000" w:themeColor="text1"/>
          <w:sz w:val="24"/>
        </w:rPr>
      </w:pPr>
      <w:r/>
      <w:bookmarkStart w:id="98" w:name="_Toc126827491"/>
      <w:r/>
      <w:bookmarkStart w:id="99" w:name="_Toc38721221"/>
      <w:r/>
      <w:bookmarkStart w:id="100" w:name="_Toc33266155"/>
      <w:r/>
      <w:bookmarkStart w:id="101" w:name="_Toc119344347"/>
      <w:r/>
      <w:bookmarkStart w:id="102" w:name="_Toc50974352"/>
      <w:r>
        <w:rPr>
          <w:rFonts w:hint="eastAsia" w:ascii="仿宋" w:hAnsi="仿宋" w:eastAsia="仿宋" w:cs="仿宋"/>
          <w:b/>
          <w:bCs/>
          <w:color w:val="000000" w:themeColor="text1"/>
          <w:sz w:val="24"/>
        </w:rPr>
        <w:t xml:space="preserve">开标一览表</w:t>
      </w:r>
      <w:r/>
    </w:p>
    <w:p>
      <w:pPr>
        <w:spacing w:line="360" w:lineRule="auto"/>
        <w:rPr>
          <w:rFonts w:hint="eastAsia" w:ascii="仿宋" w:hAnsi="仿宋" w:eastAsia="仿宋" w:cs="宋体"/>
          <w:color w:val="000000" w:themeColor="text1"/>
          <w:lang w:val="zh-CN"/>
        </w:rPr>
      </w:pPr>
      <w:r>
        <w:rPr>
          <w:rFonts w:hint="eastAsia" w:ascii="仿宋" w:hAnsi="仿宋" w:eastAsia="仿宋" w:cs="宋体"/>
          <w:color w:val="000000" w:themeColor="text1"/>
          <w:lang w:val="zh-CN"/>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投标人名称：（加盖电子公章）</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项目名称：</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项目编号：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356"/>
                <w:rFonts w:hint="eastAsia" w:ascii="仿宋" w:hAnsi="仿宋" w:eastAsia="仿宋"/>
                <w:color w:val="000000" w:themeColor="text1"/>
                <w:sz w:val="24"/>
              </w:rPr>
            </w:pPr>
            <w:r>
              <w:rPr>
                <w:rFonts w:hint="eastAsia" w:ascii="仿宋" w:hAnsi="仿宋" w:eastAsia="仿宋"/>
                <w:color w:val="000000" w:themeColor="text1"/>
                <w:sz w:val="24"/>
              </w:rPr>
              <w:t xml:space="preserve">投标报价</w:t>
            </w:r>
            <w:r/>
          </w:p>
        </w:tc>
      </w:tr>
      <w:tr>
        <w:trPr>
          <w:cantSplit/>
          <w:jc w:val="center"/>
          <w:trHeight w:val="780"/>
        </w:trPr>
        <w:tc>
          <w:tcPr>
            <w:tcW w:w="9311" w:type="dxa"/>
            <w:vAlign w:val="center"/>
            <w:textDirection w:val="lrTb"/>
            <w:noWrap w:val="false"/>
          </w:tcPr>
          <w:p>
            <w:pPr>
              <w:pStyle w:val="1229"/>
              <w:spacing w:before="0" w:after="0"/>
              <w:rPr>
                <w:rStyle w:val="1356"/>
                <w:rFonts w:hint="eastAsia" w:ascii="仿宋" w:hAnsi="仿宋" w:eastAsia="仿宋"/>
                <w:color w:val="000000" w:themeColor="text1"/>
              </w:rPr>
            </w:pPr>
            <w:r>
              <w:rPr>
                <w:rFonts w:hint="eastAsia" w:ascii="仿宋" w:hAnsi="仿宋" w:eastAsia="仿宋" w:cs="宋体"/>
                <w:color w:val="000000" w:themeColor="text1"/>
              </w:rPr>
              <w:t xml:space="preserve">小写（人民币：元）：                   </w:t>
            </w:r>
            <w:r/>
          </w:p>
        </w:tc>
      </w:tr>
    </w:tbl>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                                              日  期：</w:t>
      </w:r>
      <w:r/>
    </w:p>
    <w:p>
      <w:pPr>
        <w:spacing w:line="360" w:lineRule="auto"/>
        <w:rPr>
          <w:rFonts w:hint="eastAsia" w:ascii="仿宋" w:hAnsi="仿宋" w:eastAsia="仿宋"/>
          <w:b/>
          <w:i/>
          <w:color w:val="000000" w:themeColor="text1"/>
          <w:sz w:val="24"/>
          <w:u w:val="single"/>
        </w:rPr>
      </w:pPr>
      <w:r>
        <w:rPr>
          <w:rFonts w:hint="eastAsia" w:ascii="仿宋" w:hAnsi="仿宋" w:eastAsia="仿宋"/>
          <w:color w:val="000000" w:themeColor="text1"/>
          <w:sz w:val="24"/>
        </w:rPr>
        <w:t xml:space="preserve">注：</w:t>
      </w:r>
      <w:bookmarkStart w:id="103" w:name="_Toc2975"/>
      <w:r/>
      <w:bookmarkStart w:id="104" w:name="_Toc119344348"/>
      <w:r/>
      <w:bookmarkStart w:id="105" w:name="_Toc126827492"/>
      <w:r/>
      <w:bookmarkStart w:id="106" w:name="_Toc33266156"/>
      <w:r/>
      <w:bookmarkStart w:id="107" w:name="_Toc50974353"/>
      <w:r/>
      <w:bookmarkEnd w:id="98"/>
      <w:r/>
      <w:bookmarkEnd w:id="99"/>
      <w:r/>
      <w:bookmarkEnd w:id="100"/>
      <w:r/>
      <w:bookmarkEnd w:id="101"/>
      <w:r/>
      <w:bookmarkEnd w:id="102"/>
      <w:r>
        <w:rPr>
          <w:rFonts w:hint="eastAsia" w:ascii="仿宋" w:hAnsi="仿宋" w:eastAsia="仿宋"/>
          <w:b/>
          <w:bCs/>
          <w:color w:val="000000" w:themeColor="text1"/>
          <w:sz w:val="24"/>
        </w:rPr>
        <w:t xml:space="preserve">各投标供应商需在开标一览表中填报两年含税总报价，未按要求报价作无效投标处理</w:t>
      </w:r>
      <w:r>
        <w:rPr>
          <w:rFonts w:hint="eastAsia" w:ascii="仿宋" w:hAnsi="仿宋" w:eastAsia="仿宋"/>
          <w:color w:val="000000" w:themeColor="text1"/>
          <w:sz w:val="24"/>
        </w:rPr>
        <w:t xml:space="preserve">。</w:t>
      </w:r>
      <w:r>
        <w:rPr>
          <w:rFonts w:hint="eastAsia" w:ascii="仿宋" w:hAnsi="仿宋" w:eastAsia="仿宋"/>
          <w:color w:val="000000" w:themeColor="text1"/>
          <w:sz w:val="24"/>
        </w:rPr>
        <w:br w:type="page" w:clear="all"/>
      </w:r>
      <w:r/>
    </w:p>
    <w:p>
      <w:pPr>
        <w:pStyle w:val="903"/>
        <w:spacing w:line="360" w:lineRule="auto"/>
        <w:rPr>
          <w:rFonts w:hint="eastAsia" w:ascii="仿宋" w:hAnsi="仿宋" w:eastAsia="仿宋"/>
          <w:color w:val="000000" w:themeColor="text1"/>
          <w:sz w:val="24"/>
          <w:szCs w:val="24"/>
        </w:rPr>
      </w:pPr>
      <w:r/>
      <w:bookmarkStart w:id="108" w:name="_Toc205561307"/>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附件六、分项报价表</w:t>
      </w:r>
      <w:bookmarkEnd w:id="108"/>
      <w:r/>
      <w:r/>
    </w:p>
    <w:p>
      <w:pPr>
        <w:jc w:val="center"/>
        <w:spacing w:line="360" w:lineRule="auto"/>
        <w:rPr>
          <w:rStyle w:val="1079"/>
          <w:rFonts w:hint="eastAsia" w:ascii="仿宋" w:hAnsi="仿宋" w:eastAsia="仿宋"/>
          <w:b/>
          <w:bCs/>
          <w:color w:val="000000" w:themeColor="text1"/>
          <w:sz w:val="24"/>
          <w:lang w:val="zh-CN"/>
        </w:rPr>
      </w:pPr>
      <w:r>
        <w:rPr>
          <w:rStyle w:val="1079"/>
          <w:rFonts w:hint="eastAsia" w:ascii="仿宋" w:hAnsi="仿宋" w:eastAsia="仿宋"/>
          <w:b/>
          <w:bCs/>
          <w:color w:val="000000" w:themeColor="text1"/>
          <w:sz w:val="24"/>
          <w:lang w:val="zh-CN"/>
        </w:rPr>
        <w:t xml:space="preserve">分项报价表</w:t>
      </w:r>
      <w:r/>
    </w:p>
    <w:p>
      <w:pPr>
        <w:spacing w:line="360" w:lineRule="auto"/>
        <w:rPr>
          <w:rFonts w:hint="eastAsia" w:ascii="仿宋" w:hAnsi="仿宋" w:eastAsia="仿宋" w:cs="仿宋"/>
          <w:sz w:val="24"/>
        </w:rPr>
      </w:pPr>
      <w:r>
        <w:rPr>
          <w:rFonts w:hint="eastAsia" w:ascii="仿宋" w:hAnsi="仿宋" w:eastAsia="仿宋" w:cs="仿宋"/>
          <w:sz w:val="24"/>
        </w:rPr>
        <w:t xml:space="preserve">项目名称： </w:t>
      </w:r>
      <w:r/>
    </w:p>
    <w:p>
      <w:pPr>
        <w:spacing w:line="360" w:lineRule="auto"/>
        <w:rPr>
          <w:rFonts w:hint="eastAsia" w:ascii="仿宋" w:hAnsi="仿宋" w:eastAsia="仿宋" w:cs="仿宋"/>
          <w:sz w:val="24"/>
        </w:rPr>
      </w:pPr>
      <w:r>
        <w:rPr>
          <w:rFonts w:hint="eastAsia" w:ascii="仿宋" w:hAnsi="仿宋" w:eastAsia="仿宋" w:cs="仿宋"/>
          <w:sz w:val="24"/>
        </w:rPr>
        <w:t xml:space="preserve">项目编号： </w:t>
      </w:r>
      <w:r/>
    </w:p>
    <w:tbl>
      <w:tblPr>
        <w:tblW w:w="5718" w:type="pct"/>
        <w:jc w:val="center"/>
        <w:tblLayout w:type="fixed"/>
        <w:tblLook w:val="04A0" w:firstRow="1" w:lastRow="0" w:firstColumn="1" w:lastColumn="0" w:noHBand="0" w:noVBand="1"/>
      </w:tblPr>
      <w:tblGrid>
        <w:gridCol w:w="3052"/>
        <w:gridCol w:w="3481"/>
        <w:gridCol w:w="1555"/>
        <w:gridCol w:w="49"/>
        <w:gridCol w:w="1608"/>
      </w:tblGrid>
      <w:tr>
        <w:trPr>
          <w:jc w:val="center"/>
          <w:trHeight w:val="313"/>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运维内容</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金额（元）</w:t>
            </w:r>
            <w:r/>
          </w:p>
        </w:tc>
        <w:tc>
          <w:tcPr>
            <w:gridSpan w:val="2"/>
            <w:tcBorders>
              <w:top w:val="single" w:color="000000" w:sz="4" w:space="0"/>
              <w:left w:val="single" w:color="000000" w:sz="4" w:space="0"/>
              <w:bottom w:val="single" w:color="000000" w:sz="4" w:space="0"/>
              <w:right w:val="single" w:color="000000" w:sz="4" w:space="0"/>
            </w:tcBorders>
            <w:tcW w:w="849" w:type="pct"/>
            <w:vAlign w:val="center"/>
            <w:textDirection w:val="lrTb"/>
            <w:noWrap w:val="false"/>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备注</w:t>
            </w:r>
            <w:r/>
          </w:p>
        </w:tc>
      </w:tr>
      <w:tr>
        <w:trPr>
          <w:jc w:val="center"/>
          <w:trHeight w:val="28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360" w:lineRule="auto"/>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一、硬件运维</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Style w:val="1427"/>
                <w:rFonts w:hint="eastAsia" w:ascii="仿宋" w:hAnsi="仿宋" w:eastAsia="仿宋" w:cs="仿宋"/>
                <w:sz w:val="24"/>
                <w:szCs w:val="24"/>
                <w:lang w:bidi="ar"/>
              </w:rPr>
              <w:t xml:space="preserve">1、</w:t>
            </w:r>
            <w:r>
              <w:rPr>
                <w:rFonts w:hint="eastAsia" w:ascii="仿宋" w:hAnsi="仿宋" w:eastAsia="仿宋" w:cs="仿宋"/>
                <w:color w:val="000000"/>
                <w:sz w:val="24"/>
                <w:lang w:bidi="ar"/>
              </w:rPr>
              <w:t xml:space="preserve">液位监测设备</w:t>
            </w:r>
            <w:r/>
          </w:p>
        </w:tc>
        <w:tc>
          <w:tcPr>
            <w:tcBorders>
              <w:top w:val="single" w:color="000000" w:sz="4" w:space="0"/>
              <w:left w:val="single" w:color="000000" w:sz="4" w:space="0"/>
              <w:bottom w:val="single" w:color="000000" w:sz="4" w:space="0"/>
              <w:right w:val="single" w:color="000000" w:sz="4" w:space="0"/>
            </w:tcBorders>
            <w:tcW w:w="1786" w:type="pct"/>
            <w:vAlign w:val="center"/>
            <w:vMerge w:val="restart"/>
            <w:textDirection w:val="lrTb"/>
            <w:noWrap w:val="false"/>
          </w:tcPr>
          <w:p>
            <w:pPr>
              <w:jc w:val="left"/>
              <w:spacing w:line="360" w:lineRule="auto"/>
              <w:widowControl/>
              <w:rPr>
                <w:rFonts w:hint="eastAsia" w:ascii="仿宋" w:hAnsi="仿宋" w:eastAsia="仿宋" w:cs="仿宋"/>
                <w:color w:val="000000"/>
                <w:sz w:val="24"/>
              </w:rPr>
            </w:pPr>
            <w:r>
              <w:rPr>
                <w:rStyle w:val="1427"/>
                <w:rFonts w:hint="eastAsia" w:ascii="仿宋" w:hAnsi="仿宋" w:eastAsia="仿宋" w:cs="仿宋"/>
                <w:sz w:val="24"/>
                <w:szCs w:val="24"/>
                <w:lang w:bidi="ar"/>
              </w:rPr>
              <w:t xml:space="preserve">1、</w:t>
            </w:r>
            <w:r>
              <w:rPr>
                <w:rFonts w:hint="eastAsia" w:ascii="仿宋" w:hAnsi="仿宋" w:eastAsia="仿宋" w:cs="仿宋"/>
                <w:color w:val="000000"/>
                <w:sz w:val="24"/>
                <w:lang w:bidi="ar"/>
              </w:rPr>
              <w:t xml:space="preserve">对管网窨井监测设备的采购、更换设备、材料</w:t>
            </w:r>
            <w:r>
              <w:rPr>
                <w:rFonts w:hint="eastAsia" w:ascii="仿宋" w:hAnsi="仿宋" w:eastAsia="仿宋" w:cs="仿宋"/>
                <w:color w:val="000000"/>
                <w:sz w:val="24"/>
                <w:lang w:bidi="ar"/>
              </w:rPr>
              <w:br/>
            </w:r>
            <w:r>
              <w:rPr>
                <w:rStyle w:val="1427"/>
                <w:rFonts w:hint="eastAsia" w:ascii="仿宋" w:hAnsi="仿宋" w:eastAsia="仿宋" w:cs="仿宋"/>
                <w:sz w:val="24"/>
                <w:szCs w:val="24"/>
                <w:lang w:bidi="ar"/>
              </w:rPr>
              <w:t xml:space="preserve">2、</w:t>
            </w:r>
            <w:r>
              <w:rPr>
                <w:rFonts w:hint="eastAsia" w:ascii="仿宋" w:hAnsi="仿宋" w:eastAsia="仿宋" w:cs="仿宋"/>
                <w:color w:val="000000"/>
                <w:sz w:val="24"/>
                <w:lang w:bidi="ar"/>
              </w:rPr>
              <w:t xml:space="preserve">对污水泵站自动化监测与控制的控制设备、流量设备、水位设备、视频监控设备的采购、更换设备、材料</w:t>
            </w:r>
            <w:r>
              <w:rPr>
                <w:rFonts w:hint="eastAsia" w:ascii="仿宋" w:hAnsi="仿宋" w:eastAsia="仿宋" w:cs="仿宋"/>
                <w:color w:val="000000"/>
                <w:sz w:val="24"/>
                <w:lang w:bidi="ar"/>
              </w:rPr>
              <w:br/>
            </w:r>
            <w:r>
              <w:rPr>
                <w:rStyle w:val="1427"/>
                <w:rFonts w:hint="eastAsia" w:ascii="仿宋" w:hAnsi="仿宋" w:eastAsia="仿宋" w:cs="仿宋"/>
                <w:sz w:val="24"/>
                <w:szCs w:val="24"/>
                <w:lang w:bidi="ar"/>
              </w:rPr>
              <w:t xml:space="preserve">3、</w:t>
            </w:r>
            <w:r>
              <w:rPr>
                <w:rFonts w:hint="eastAsia" w:ascii="仿宋" w:hAnsi="仿宋" w:eastAsia="仿宋" w:cs="仿宋"/>
                <w:color w:val="000000"/>
                <w:sz w:val="24"/>
                <w:lang w:bidi="ar"/>
              </w:rPr>
              <w:t xml:space="preserve">对道路河道监控设备的采购、更换设备、材料</w:t>
            </w:r>
            <w:r>
              <w:rPr>
                <w:rFonts w:hint="eastAsia" w:ascii="仿宋" w:hAnsi="仿宋" w:eastAsia="仿宋" w:cs="仿宋"/>
                <w:color w:val="000000"/>
                <w:sz w:val="24"/>
                <w:lang w:bidi="ar"/>
              </w:rPr>
              <w:br/>
            </w:r>
            <w:r>
              <w:rPr>
                <w:rStyle w:val="1427"/>
                <w:rFonts w:hint="eastAsia" w:ascii="仿宋" w:hAnsi="仿宋" w:eastAsia="仿宋" w:cs="仿宋"/>
                <w:sz w:val="24"/>
                <w:szCs w:val="24"/>
                <w:lang w:bidi="ar"/>
              </w:rPr>
              <w:t xml:space="preserve">4、</w:t>
            </w:r>
            <w:r>
              <w:rPr>
                <w:rFonts w:hint="eastAsia" w:ascii="仿宋" w:hAnsi="仿宋" w:eastAsia="仿宋" w:cs="仿宋"/>
                <w:color w:val="000000"/>
                <w:sz w:val="24"/>
                <w:lang w:bidi="ar"/>
              </w:rPr>
              <w:t xml:space="preserve">对河湖水质监测设备的采购、更换设备、材料</w:t>
            </w:r>
            <w:r>
              <w:rPr>
                <w:rFonts w:hint="eastAsia" w:ascii="仿宋" w:hAnsi="仿宋" w:eastAsia="仿宋" w:cs="仿宋"/>
                <w:color w:val="000000"/>
                <w:sz w:val="24"/>
                <w:lang w:bidi="ar"/>
              </w:rPr>
              <w:br/>
            </w:r>
            <w:r>
              <w:rPr>
                <w:rStyle w:val="1427"/>
                <w:rFonts w:hint="eastAsia" w:ascii="仿宋" w:hAnsi="仿宋" w:eastAsia="仿宋" w:cs="仿宋"/>
                <w:sz w:val="24"/>
                <w:szCs w:val="24"/>
                <w:lang w:bidi="ar"/>
              </w:rPr>
              <w:t xml:space="preserve">5、</w:t>
            </w:r>
            <w:r>
              <w:rPr>
                <w:rFonts w:hint="eastAsia" w:ascii="仿宋" w:hAnsi="仿宋" w:eastAsia="仿宋" w:cs="仿宋"/>
                <w:color w:val="000000"/>
                <w:sz w:val="24"/>
                <w:lang w:bidi="ar"/>
              </w:rPr>
              <w:t xml:space="preserve">对道路浸水监测设备的采购、更换设备、材料</w:t>
            </w:r>
            <w:r/>
          </w:p>
        </w:tc>
        <w:tc>
          <w:tcPr>
            <w:tcBorders>
              <w:top w:val="single" w:color="000000" w:sz="4" w:space="0"/>
              <w:left w:val="single" w:color="000000" w:sz="4" w:space="0"/>
              <w:bottom w:val="single" w:color="000000" w:sz="4" w:space="0"/>
              <w:right w:val="single" w:color="000000" w:sz="4" w:space="0"/>
            </w:tcBorders>
            <w:tcW w:w="798" w:type="pct"/>
            <w:vAlign w:val="center"/>
            <w:vMerge w:val="restart"/>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restart"/>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Style w:val="1427"/>
                <w:rFonts w:hint="eastAsia" w:ascii="仿宋" w:hAnsi="仿宋" w:eastAsia="仿宋" w:cs="仿宋"/>
                <w:sz w:val="24"/>
                <w:szCs w:val="24"/>
                <w:lang w:bidi="ar"/>
              </w:rPr>
              <w:t xml:space="preserve">2、</w:t>
            </w:r>
            <w:r>
              <w:rPr>
                <w:rFonts w:hint="eastAsia" w:ascii="仿宋" w:hAnsi="仿宋" w:eastAsia="仿宋" w:cs="仿宋"/>
                <w:color w:val="000000"/>
                <w:sz w:val="24"/>
                <w:lang w:bidi="ar"/>
              </w:rPr>
              <w:t xml:space="preserve">污水泵站集中控制设备</w:t>
            </w:r>
            <w:r/>
          </w:p>
        </w:tc>
        <w:tc>
          <w:tcPr>
            <w:tcBorders>
              <w:top w:val="single" w:color="000000" w:sz="4" w:space="0"/>
              <w:left w:val="single" w:color="000000" w:sz="4" w:space="0"/>
              <w:bottom w:val="single" w:color="000000" w:sz="4" w:space="0"/>
              <w:right w:val="single" w:color="000000" w:sz="4" w:space="0"/>
            </w:tcBorders>
            <w:tcW w:w="1786" w:type="pct"/>
            <w:vAlign w:val="center"/>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Style w:val="1427"/>
                <w:rFonts w:hint="eastAsia" w:ascii="仿宋" w:hAnsi="仿宋" w:eastAsia="仿宋" w:cs="仿宋"/>
                <w:sz w:val="24"/>
                <w:szCs w:val="24"/>
                <w:lang w:bidi="ar"/>
              </w:rPr>
              <w:t xml:space="preserve">3、</w:t>
            </w:r>
            <w:r>
              <w:rPr>
                <w:rFonts w:hint="eastAsia" w:ascii="仿宋" w:hAnsi="仿宋" w:eastAsia="仿宋" w:cs="仿宋"/>
                <w:color w:val="000000"/>
                <w:sz w:val="24"/>
                <w:lang w:bidi="ar"/>
              </w:rPr>
              <w:t xml:space="preserve">污水泵站流量监测设备</w:t>
            </w:r>
            <w:r/>
          </w:p>
        </w:tc>
        <w:tc>
          <w:tcPr>
            <w:tcBorders>
              <w:top w:val="single" w:color="000000" w:sz="4" w:space="0"/>
              <w:left w:val="single" w:color="000000" w:sz="4" w:space="0"/>
              <w:bottom w:val="single" w:color="000000" w:sz="4" w:space="0"/>
              <w:right w:val="single" w:color="000000" w:sz="4" w:space="0"/>
            </w:tcBorders>
            <w:tcW w:w="1786" w:type="pct"/>
            <w:vAlign w:val="center"/>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Style w:val="1427"/>
                <w:rFonts w:hint="eastAsia" w:ascii="仿宋" w:hAnsi="仿宋" w:eastAsia="仿宋" w:cs="仿宋"/>
                <w:sz w:val="24"/>
                <w:szCs w:val="24"/>
                <w:lang w:bidi="ar"/>
              </w:rPr>
              <w:t xml:space="preserve">4、</w:t>
            </w:r>
            <w:r>
              <w:rPr>
                <w:rFonts w:hint="eastAsia" w:ascii="仿宋" w:hAnsi="仿宋" w:eastAsia="仿宋" w:cs="仿宋"/>
                <w:color w:val="000000"/>
                <w:sz w:val="24"/>
                <w:lang w:bidi="ar"/>
              </w:rPr>
              <w:t xml:space="preserve">污水泵站水位监测设备</w:t>
            </w:r>
            <w:r/>
          </w:p>
        </w:tc>
        <w:tc>
          <w:tcPr>
            <w:tcBorders>
              <w:top w:val="single" w:color="000000" w:sz="4" w:space="0"/>
              <w:left w:val="single" w:color="000000" w:sz="4" w:space="0"/>
              <w:bottom w:val="single" w:color="000000" w:sz="4" w:space="0"/>
              <w:right w:val="single" w:color="000000" w:sz="4" w:space="0"/>
            </w:tcBorders>
            <w:tcW w:w="1786" w:type="pct"/>
            <w:vAlign w:val="center"/>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Style w:val="1427"/>
                <w:rFonts w:hint="eastAsia" w:ascii="仿宋" w:hAnsi="仿宋" w:eastAsia="仿宋" w:cs="仿宋"/>
                <w:sz w:val="24"/>
                <w:szCs w:val="24"/>
                <w:lang w:bidi="ar"/>
              </w:rPr>
              <w:t xml:space="preserve">5、</w:t>
            </w:r>
            <w:r>
              <w:rPr>
                <w:rFonts w:hint="eastAsia" w:ascii="仿宋" w:hAnsi="仿宋" w:eastAsia="仿宋" w:cs="仿宋"/>
                <w:color w:val="000000"/>
                <w:sz w:val="24"/>
                <w:lang w:bidi="ar"/>
              </w:rPr>
              <w:t xml:space="preserve">污水泵站视频监控设备</w:t>
            </w:r>
            <w:r/>
          </w:p>
        </w:tc>
        <w:tc>
          <w:tcPr>
            <w:tcBorders>
              <w:top w:val="single" w:color="000000" w:sz="4" w:space="0"/>
              <w:left w:val="single" w:color="000000" w:sz="4" w:space="0"/>
              <w:bottom w:val="single" w:color="000000" w:sz="4" w:space="0"/>
              <w:right w:val="single" w:color="000000" w:sz="4" w:space="0"/>
            </w:tcBorders>
            <w:tcW w:w="1786" w:type="pct"/>
            <w:vAlign w:val="center"/>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Style w:val="1427"/>
                <w:rFonts w:hint="eastAsia" w:ascii="仿宋" w:hAnsi="仿宋" w:eastAsia="仿宋" w:cs="仿宋"/>
                <w:sz w:val="24"/>
                <w:szCs w:val="24"/>
                <w:lang w:bidi="ar"/>
              </w:rPr>
              <w:t xml:space="preserve">6、</w:t>
            </w:r>
            <w:r>
              <w:rPr>
                <w:rFonts w:hint="eastAsia" w:ascii="仿宋" w:hAnsi="仿宋" w:eastAsia="仿宋" w:cs="仿宋"/>
                <w:color w:val="000000"/>
                <w:sz w:val="24"/>
                <w:lang w:bidi="ar"/>
              </w:rPr>
              <w:t xml:space="preserve">水质监测主机设备</w:t>
            </w:r>
            <w:r/>
          </w:p>
        </w:tc>
        <w:tc>
          <w:tcPr>
            <w:tcBorders>
              <w:top w:val="single" w:color="000000" w:sz="4" w:space="0"/>
              <w:left w:val="single" w:color="000000" w:sz="4" w:space="0"/>
              <w:bottom w:val="single" w:color="000000" w:sz="4" w:space="0"/>
              <w:right w:val="single" w:color="000000" w:sz="4" w:space="0"/>
            </w:tcBorders>
            <w:tcW w:w="1786" w:type="pct"/>
            <w:vAlign w:val="center"/>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Style w:val="1427"/>
                <w:rFonts w:hint="eastAsia" w:ascii="仿宋" w:hAnsi="仿宋" w:eastAsia="仿宋" w:cs="仿宋"/>
                <w:sz w:val="24"/>
                <w:szCs w:val="24"/>
                <w:lang w:bidi="ar"/>
              </w:rPr>
              <w:t xml:space="preserve">7、</w:t>
            </w:r>
            <w:r>
              <w:rPr>
                <w:rFonts w:hint="eastAsia" w:ascii="仿宋" w:hAnsi="仿宋" w:eastAsia="仿宋" w:cs="仿宋"/>
                <w:color w:val="000000"/>
                <w:sz w:val="24"/>
                <w:lang w:bidi="ar"/>
              </w:rPr>
              <w:t xml:space="preserve">道路河道浸水告警设备</w:t>
            </w:r>
            <w:r/>
          </w:p>
        </w:tc>
        <w:tc>
          <w:tcPr>
            <w:tcBorders>
              <w:top w:val="single" w:color="000000" w:sz="4" w:space="0"/>
              <w:left w:val="single" w:color="000000" w:sz="4" w:space="0"/>
              <w:bottom w:val="single" w:color="000000" w:sz="4" w:space="0"/>
              <w:right w:val="single" w:color="000000" w:sz="4" w:space="0"/>
            </w:tcBorders>
            <w:tcW w:w="1786" w:type="pct"/>
            <w:vAlign w:val="center"/>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Style w:val="1427"/>
                <w:rFonts w:hint="eastAsia" w:ascii="仿宋" w:hAnsi="仿宋" w:eastAsia="仿宋" w:cs="仿宋"/>
                <w:sz w:val="24"/>
                <w:szCs w:val="24"/>
                <w:lang w:bidi="ar"/>
              </w:rPr>
              <w:t xml:space="preserve">8、</w:t>
            </w:r>
            <w:r>
              <w:rPr>
                <w:rFonts w:hint="eastAsia" w:ascii="仿宋" w:hAnsi="仿宋" w:eastAsia="仿宋" w:cs="仿宋"/>
                <w:color w:val="000000"/>
                <w:sz w:val="24"/>
                <w:lang w:bidi="ar"/>
              </w:rPr>
              <w:t xml:space="preserve">道路河道视频监控设备</w:t>
            </w:r>
            <w:r/>
          </w:p>
        </w:tc>
        <w:tc>
          <w:tcPr>
            <w:tcBorders>
              <w:top w:val="single" w:color="000000" w:sz="4" w:space="0"/>
              <w:left w:val="single" w:color="000000" w:sz="4" w:space="0"/>
              <w:bottom w:val="single" w:color="000000" w:sz="4" w:space="0"/>
              <w:right w:val="single" w:color="000000" w:sz="4" w:space="0"/>
            </w:tcBorders>
            <w:tcW w:w="1786" w:type="pct"/>
            <w:vAlign w:val="center"/>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360" w:lineRule="auto"/>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二、软件运维</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1、</w:t>
            </w:r>
            <w:r>
              <w:rPr>
                <w:rStyle w:val="1428"/>
                <w:rFonts w:hint="default" w:ascii="仿宋" w:hAnsi="仿宋" w:eastAsia="仿宋" w:cs="仿宋"/>
                <w:sz w:val="24"/>
                <w:szCs w:val="24"/>
                <w:lang w:bidi="ar"/>
              </w:rPr>
              <w:t xml:space="preserve">基础环境运行维护</w:t>
            </w:r>
            <w:r/>
          </w:p>
        </w:tc>
        <w:tc>
          <w:tcPr>
            <w:tcBorders>
              <w:top w:val="single" w:color="000000" w:sz="4" w:space="0"/>
              <w:left w:val="single" w:color="000000" w:sz="4" w:space="0"/>
              <w:bottom w:val="single" w:color="000000" w:sz="4" w:space="0"/>
              <w:right w:val="single" w:color="000000" w:sz="4" w:space="0"/>
            </w:tcBorders>
            <w:tcW w:w="1786" w:type="pct"/>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98" w:type="pct"/>
            <w:vAlign w:val="center"/>
            <w:vMerge w:val="restart"/>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restart"/>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1</w:t>
            </w:r>
            <w:r>
              <w:rPr>
                <w:rFonts w:hint="eastAsia" w:ascii="仿宋" w:hAnsi="仿宋" w:eastAsia="仿宋" w:cs="仿宋"/>
                <w:color w:val="000000"/>
                <w:sz w:val="24"/>
                <w:lang w:bidi="ar"/>
              </w:rPr>
              <w:t xml:space="preserve">）操作系统</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系统更新及漏洞修补</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2</w:t>
            </w:r>
            <w:r>
              <w:rPr>
                <w:rFonts w:hint="eastAsia" w:ascii="仿宋" w:hAnsi="仿宋" w:eastAsia="仿宋" w:cs="仿宋"/>
                <w:color w:val="000000"/>
                <w:sz w:val="24"/>
                <w:lang w:bidi="ar"/>
              </w:rPr>
              <w:t xml:space="preserve">）基础软件</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应用组件更新优化及漏洞修补</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3</w:t>
            </w:r>
            <w:r>
              <w:rPr>
                <w:rFonts w:hint="eastAsia" w:ascii="仿宋" w:hAnsi="仿宋" w:eastAsia="仿宋" w:cs="仿宋"/>
                <w:color w:val="000000"/>
                <w:sz w:val="24"/>
                <w:lang w:bidi="ar"/>
              </w:rPr>
              <w:t xml:space="preserve">）数据软件</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应用组件更新优化及漏洞修补</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4</w:t>
            </w:r>
            <w:r>
              <w:rPr>
                <w:rFonts w:hint="eastAsia" w:ascii="仿宋" w:hAnsi="仿宋" w:eastAsia="仿宋" w:cs="仿宋"/>
                <w:color w:val="000000"/>
                <w:sz w:val="24"/>
                <w:lang w:bidi="ar"/>
              </w:rPr>
              <w:t xml:space="preserve">）系统调优</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运行性能优化及升级方案建议</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5</w:t>
            </w:r>
            <w:r>
              <w:rPr>
                <w:rFonts w:hint="eastAsia" w:ascii="仿宋" w:hAnsi="仿宋" w:eastAsia="仿宋" w:cs="仿宋"/>
                <w:color w:val="000000"/>
                <w:sz w:val="24"/>
                <w:lang w:bidi="ar"/>
              </w:rPr>
              <w:t xml:space="preserve">）故障恢复</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系统运行故障修复及系统恢复 </w:t>
            </w:r>
            <w:r>
              <w:rPr>
                <w:rStyle w:val="1427"/>
                <w:rFonts w:hint="eastAsia" w:ascii="仿宋" w:hAnsi="仿宋" w:eastAsia="仿宋" w:cs="仿宋"/>
                <w:sz w:val="24"/>
                <w:szCs w:val="24"/>
                <w:lang w:bidi="ar"/>
              </w:rPr>
              <w:t xml:space="preserve">(</w:t>
            </w:r>
            <w:r>
              <w:rPr>
                <w:rFonts w:hint="eastAsia" w:ascii="仿宋" w:hAnsi="仿宋" w:eastAsia="仿宋" w:cs="仿宋"/>
                <w:color w:val="000000"/>
                <w:sz w:val="24"/>
                <w:lang w:bidi="ar"/>
              </w:rPr>
              <w:t xml:space="preserve">基于现有应用及数据</w:t>
            </w:r>
            <w:r>
              <w:rPr>
                <w:rStyle w:val="1427"/>
                <w:rFonts w:hint="eastAsia" w:ascii="仿宋" w:hAnsi="仿宋" w:eastAsia="仿宋" w:cs="仿宋"/>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6</w:t>
            </w:r>
            <w:r>
              <w:rPr>
                <w:rFonts w:hint="eastAsia" w:ascii="仿宋" w:hAnsi="仿宋" w:eastAsia="仿宋" w:cs="仿宋"/>
                <w:color w:val="000000"/>
                <w:sz w:val="24"/>
                <w:lang w:bidi="ar"/>
              </w:rPr>
              <w:t xml:space="preserve">）安全措施</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根据上级部门要求基于现有条件完成安全措施实施</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2、</w:t>
            </w:r>
            <w:r>
              <w:rPr>
                <w:rStyle w:val="1428"/>
                <w:rFonts w:hint="default" w:ascii="仿宋" w:hAnsi="仿宋" w:eastAsia="仿宋" w:cs="仿宋"/>
                <w:sz w:val="24"/>
                <w:szCs w:val="24"/>
                <w:lang w:bidi="ar"/>
              </w:rPr>
              <w:t xml:space="preserve">应用系统运行维护</w:t>
            </w:r>
            <w:r/>
          </w:p>
        </w:tc>
        <w:tc>
          <w:tcPr>
            <w:tcBorders>
              <w:top w:val="single" w:color="000000" w:sz="4" w:space="0"/>
              <w:left w:val="single" w:color="000000" w:sz="4" w:space="0"/>
              <w:bottom w:val="single" w:color="000000" w:sz="4" w:space="0"/>
              <w:right w:val="single" w:color="000000" w:sz="4" w:space="0"/>
            </w:tcBorders>
            <w:tcW w:w="1786" w:type="pct"/>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1</w:t>
            </w:r>
            <w:r>
              <w:rPr>
                <w:rFonts w:hint="eastAsia" w:ascii="仿宋" w:hAnsi="仿宋" w:eastAsia="仿宋" w:cs="仿宋"/>
                <w:color w:val="000000"/>
                <w:sz w:val="24"/>
                <w:lang w:bidi="ar"/>
              </w:rPr>
              <w:t xml:space="preserve">）</w:t>
            </w:r>
            <w:r>
              <w:rPr>
                <w:rFonts w:hint="eastAsia" w:ascii="仿宋" w:hAnsi="仿宋" w:eastAsia="仿宋" w:cs="仿宋"/>
                <w:color w:val="000000"/>
                <w:sz w:val="24"/>
                <w:lang w:bidi="ar"/>
              </w:rPr>
              <w:t xml:space="preserve">物联数据</w:t>
            </w:r>
            <w:r>
              <w:rPr>
                <w:rFonts w:hint="eastAsia" w:ascii="仿宋" w:hAnsi="仿宋" w:eastAsia="仿宋" w:cs="仿宋"/>
                <w:color w:val="000000"/>
                <w:sz w:val="24"/>
                <w:lang w:bidi="ar"/>
              </w:rPr>
              <w:t xml:space="preserve">应用</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已建物联感知</w:t>
            </w:r>
            <w:r>
              <w:rPr>
                <w:rFonts w:hint="eastAsia" w:ascii="仿宋" w:hAnsi="仿宋" w:eastAsia="仿宋" w:cs="仿宋"/>
                <w:color w:val="000000"/>
                <w:sz w:val="24"/>
                <w:lang w:bidi="ar"/>
              </w:rPr>
              <w:t xml:space="preserve">设备数据接口故障分析、恢复</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2</w:t>
            </w:r>
            <w:r>
              <w:rPr>
                <w:rFonts w:hint="eastAsia" w:ascii="仿宋" w:hAnsi="仿宋" w:eastAsia="仿宋" w:cs="仿宋"/>
                <w:color w:val="000000"/>
                <w:sz w:val="24"/>
                <w:lang w:bidi="ar"/>
              </w:rPr>
              <w:t xml:space="preserve">）汇聚数据应用</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已汇聚应用系统数据接口故障分析、恢复</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3</w:t>
            </w:r>
            <w:r>
              <w:rPr>
                <w:rFonts w:hint="eastAsia" w:ascii="仿宋" w:hAnsi="仿宋" w:eastAsia="仿宋" w:cs="仿宋"/>
                <w:color w:val="000000"/>
                <w:sz w:val="24"/>
                <w:lang w:bidi="ar"/>
              </w:rPr>
              <w:t xml:space="preserve">）智慧水</w:t>
            </w:r>
            <w:r>
              <w:rPr>
                <w:rFonts w:hint="eastAsia" w:ascii="仿宋" w:hAnsi="仿宋" w:eastAsia="仿宋" w:cs="仿宋"/>
                <w:color w:val="000000"/>
                <w:sz w:val="24"/>
                <w:lang w:bidi="ar"/>
              </w:rPr>
              <w:t xml:space="preserve">务</w:t>
            </w:r>
            <w:r>
              <w:rPr>
                <w:rFonts w:hint="eastAsia" w:ascii="仿宋" w:hAnsi="仿宋" w:eastAsia="仿宋" w:cs="仿宋"/>
                <w:color w:val="000000"/>
                <w:sz w:val="24"/>
                <w:lang w:bidi="ar"/>
              </w:rPr>
              <w:t xml:space="preserve">平台</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已交付功能的修改分析、流程调整、数据核对</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3、</w:t>
            </w:r>
            <w:r>
              <w:rPr>
                <w:rStyle w:val="1428"/>
                <w:rFonts w:hint="default" w:ascii="仿宋" w:hAnsi="仿宋" w:eastAsia="仿宋" w:cs="仿宋"/>
                <w:sz w:val="24"/>
                <w:szCs w:val="24"/>
                <w:lang w:bidi="ar"/>
              </w:rPr>
              <w:t xml:space="preserve">系统运行测试巡检</w:t>
            </w:r>
            <w:r/>
          </w:p>
        </w:tc>
        <w:tc>
          <w:tcPr>
            <w:tcBorders>
              <w:top w:val="single" w:color="000000" w:sz="4" w:space="0"/>
              <w:left w:val="single" w:color="000000" w:sz="4" w:space="0"/>
              <w:bottom w:val="single" w:color="000000" w:sz="4" w:space="0"/>
              <w:right w:val="single" w:color="000000" w:sz="4" w:space="0"/>
            </w:tcBorders>
            <w:tcW w:w="1786" w:type="pct"/>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1</w:t>
            </w:r>
            <w:r>
              <w:rPr>
                <w:rFonts w:hint="eastAsia" w:ascii="仿宋" w:hAnsi="仿宋" w:eastAsia="仿宋" w:cs="仿宋"/>
                <w:color w:val="000000"/>
                <w:sz w:val="24"/>
                <w:lang w:bidi="ar"/>
              </w:rPr>
              <w:t xml:space="preserve">）基础环境巡检</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基础运行环境性能测试巡检（每周一次）</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2</w:t>
            </w:r>
            <w:r>
              <w:rPr>
                <w:rFonts w:hint="eastAsia" w:ascii="仿宋" w:hAnsi="仿宋" w:eastAsia="仿宋" w:cs="仿宋"/>
                <w:color w:val="000000"/>
                <w:sz w:val="24"/>
                <w:lang w:bidi="ar"/>
              </w:rPr>
              <w:t xml:space="preserve">）应用系统巡检</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应用系统环境性能测试巡检（每周一次）</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3</w:t>
            </w:r>
            <w:r>
              <w:rPr>
                <w:rFonts w:hint="eastAsia" w:ascii="仿宋" w:hAnsi="仿宋" w:eastAsia="仿宋" w:cs="仿宋"/>
                <w:color w:val="000000"/>
                <w:sz w:val="24"/>
                <w:lang w:bidi="ar"/>
              </w:rPr>
              <w:t xml:space="preserve">）数据系统巡检</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数据接口环境性能测试巡检（每周一次）</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4</w:t>
            </w:r>
            <w:r>
              <w:rPr>
                <w:rFonts w:hint="eastAsia" w:ascii="仿宋" w:hAnsi="仿宋" w:eastAsia="仿宋" w:cs="仿宋"/>
                <w:color w:val="000000"/>
                <w:sz w:val="24"/>
                <w:lang w:bidi="ar"/>
              </w:rPr>
              <w:t xml:space="preserve">）账户系统巡检</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系统账户运行记录测试巡检（每周一次）</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Style w:val="1427"/>
                <w:rFonts w:hint="eastAsia" w:ascii="仿宋" w:hAnsi="仿宋" w:eastAsia="仿宋" w:cs="仿宋"/>
                <w:sz w:val="24"/>
                <w:szCs w:val="24"/>
                <w:lang w:bidi="ar"/>
              </w:rPr>
              <w:t xml:space="preserve">5</w:t>
            </w:r>
            <w:r>
              <w:rPr>
                <w:rFonts w:hint="eastAsia" w:ascii="仿宋" w:hAnsi="仿宋" w:eastAsia="仿宋" w:cs="仿宋"/>
                <w:color w:val="000000"/>
                <w:sz w:val="24"/>
                <w:lang w:bidi="ar"/>
              </w:rPr>
              <w:t xml:space="preserve">）运行日志巡检</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系统运行记录测试巡检分析（每季一次 ）</w:t>
            </w:r>
            <w:r/>
          </w:p>
        </w:tc>
        <w:tc>
          <w:tcPr>
            <w:tcBorders>
              <w:top w:val="single" w:color="000000" w:sz="4" w:space="0"/>
              <w:left w:val="single" w:color="000000" w:sz="4" w:space="0"/>
              <w:bottom w:val="single" w:color="000000" w:sz="4" w:space="0"/>
              <w:right w:val="single" w:color="000000" w:sz="4" w:space="0"/>
            </w:tcBorders>
            <w:tcW w:w="798" w:type="pct"/>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Merge w:val="continue"/>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59"/>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360" w:lineRule="auto"/>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三、数据管理</w:t>
            </w:r>
            <w:r/>
          </w:p>
        </w:tc>
      </w:tr>
      <w:tr>
        <w:trPr>
          <w:jc w:val="center"/>
          <w:trHeight w:val="494"/>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b/>
                <w:bCs/>
                <w:color w:val="000000"/>
                <w:sz w:val="24"/>
                <w:lang w:bidi="ar"/>
              </w:rPr>
              <w:t xml:space="preserve">1、</w:t>
            </w:r>
            <w:r>
              <w:rPr>
                <w:rStyle w:val="1429"/>
                <w:rFonts w:hint="eastAsia" w:ascii="仿宋" w:hAnsi="仿宋" w:eastAsia="仿宋" w:cs="仿宋"/>
                <w:sz w:val="24"/>
                <w:szCs w:val="24"/>
                <w:lang w:bidi="ar"/>
              </w:rPr>
              <w:t xml:space="preserve">数据资产</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Style w:val="1429"/>
                <w:rFonts w:hint="eastAsia" w:ascii="仿宋" w:hAnsi="仿宋" w:eastAsia="仿宋" w:cs="仿宋"/>
                <w:sz w:val="24"/>
                <w:szCs w:val="24"/>
                <w:lang w:bidi="ar"/>
              </w:rPr>
              <w:t xml:space="preserve">数据资产运营平台、数据生产源（感知硬件）、数据消费端（应用软件）、核心数据模型的授权使用</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 </w:t>
            </w:r>
            <w:r/>
          </w:p>
        </w:tc>
        <w:tc>
          <w:tcPr>
            <w:gridSpan w:val="2"/>
            <w:tcBorders>
              <w:top w:val="single" w:color="000000" w:sz="4" w:space="0"/>
              <w:left w:val="single" w:color="000000" w:sz="4" w:space="0"/>
              <w:bottom w:val="single" w:color="000000" w:sz="4" w:space="0"/>
              <w:right w:val="single" w:color="000000" w:sz="4" w:space="0"/>
            </w:tcBorders>
            <w:tcW w:w="849" w:type="pct"/>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360" w:lineRule="auto"/>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四、其他运维费</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1、</w:t>
            </w:r>
            <w:r>
              <w:rPr>
                <w:rStyle w:val="1428"/>
                <w:rFonts w:hint="default" w:ascii="仿宋" w:hAnsi="仿宋" w:eastAsia="仿宋" w:cs="仿宋"/>
                <w:sz w:val="24"/>
                <w:szCs w:val="24"/>
                <w:lang w:bidi="ar"/>
              </w:rPr>
              <w:t xml:space="preserve">水质监测站药剂费</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涉及水质检测站的药剂采购、更换设备、材料以及废液处理费</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药剂指标：氨氮、总磷、化学需氧量、溶</w:t>
            </w:r>
            <w:r>
              <w:rPr>
                <w:rFonts w:hint="eastAsia" w:ascii="仿宋" w:hAnsi="仿宋" w:eastAsia="仿宋" w:cs="仿宋"/>
                <w:color w:val="000000"/>
                <w:sz w:val="24"/>
                <w:lang w:bidi="ar"/>
              </w:rPr>
              <w:br/>
              <w:t xml:space="preserve">解氧、</w:t>
            </w:r>
            <w:r>
              <w:rPr>
                <w:rStyle w:val="1427"/>
                <w:rFonts w:hint="eastAsia" w:ascii="仿宋" w:hAnsi="仿宋" w:eastAsia="仿宋" w:cs="仿宋"/>
                <w:sz w:val="24"/>
                <w:szCs w:val="24"/>
                <w:lang w:bidi="ar"/>
              </w:rPr>
              <w:t xml:space="preserve">ph</w:t>
            </w:r>
            <w:r>
              <w:rPr>
                <w:rFonts w:hint="eastAsia" w:ascii="仿宋" w:hAnsi="仿宋" w:eastAsia="仿宋" w:cs="仿宋"/>
                <w:color w:val="000000"/>
                <w:sz w:val="24"/>
                <w:lang w:bidi="ar"/>
              </w:rPr>
              <w:t xml:space="preserve">值</w:t>
            </w:r>
            <w:r/>
          </w:p>
        </w:tc>
      </w:tr>
      <w:tr>
        <w:trPr>
          <w:jc w:val="center"/>
          <w:trHeight w:val="298"/>
        </w:trPr>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2、</w:t>
            </w:r>
            <w:r>
              <w:rPr>
                <w:rStyle w:val="1428"/>
                <w:rFonts w:hint="default" w:ascii="仿宋" w:hAnsi="仿宋" w:eastAsia="仿宋" w:cs="仿宋"/>
                <w:sz w:val="24"/>
                <w:szCs w:val="24"/>
                <w:lang w:bidi="ar"/>
              </w:rPr>
              <w:t xml:space="preserve">无线传输设备</w:t>
            </w:r>
            <w:r/>
          </w:p>
        </w:tc>
        <w:tc>
          <w:tcPr>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left"/>
              <w:spacing w:line="360" w:lineRule="auto"/>
              <w:widowControl/>
              <w:rPr>
                <w:rFonts w:hint="eastAsia" w:ascii="仿宋" w:hAnsi="仿宋" w:eastAsia="仿宋" w:cs="仿宋"/>
                <w:color w:val="000000"/>
                <w:sz w:val="24"/>
              </w:rPr>
            </w:pPr>
            <w:r>
              <w:rPr>
                <w:rStyle w:val="1427"/>
                <w:rFonts w:hint="eastAsia" w:ascii="仿宋" w:hAnsi="仿宋" w:eastAsia="仿宋" w:cs="仿宋"/>
                <w:sz w:val="24"/>
                <w:szCs w:val="24"/>
                <w:lang w:bidi="ar"/>
              </w:rPr>
              <w:t xml:space="preserve">1500</w:t>
            </w:r>
            <w:r>
              <w:rPr>
                <w:rFonts w:hint="eastAsia" w:ascii="仿宋" w:hAnsi="仿宋" w:eastAsia="仿宋" w:cs="仿宋"/>
                <w:color w:val="000000"/>
                <w:sz w:val="24"/>
                <w:lang w:bidi="ar"/>
              </w:rPr>
              <w:t xml:space="preserve">水质监测点及</w:t>
            </w:r>
            <w:r>
              <w:rPr>
                <w:rStyle w:val="1427"/>
                <w:rFonts w:hint="eastAsia" w:ascii="仿宋" w:hAnsi="仿宋" w:eastAsia="仿宋" w:cs="仿宋"/>
                <w:sz w:val="24"/>
                <w:szCs w:val="24"/>
                <w:lang w:bidi="ar"/>
              </w:rPr>
              <w:t xml:space="preserve">17</w:t>
            </w:r>
            <w:r>
              <w:rPr>
                <w:rFonts w:hint="eastAsia" w:ascii="仿宋" w:hAnsi="仿宋" w:eastAsia="仿宋" w:cs="仿宋"/>
                <w:color w:val="000000"/>
                <w:sz w:val="24"/>
                <w:lang w:bidi="ar"/>
              </w:rPr>
              <w:t xml:space="preserve">座水质监测站无线网络传输</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849" w:type="pct"/>
            <w:textDirection w:val="lrTb"/>
            <w:noWrap w:val="false"/>
          </w:tcPr>
          <w:p>
            <w:pPr>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85"/>
        </w:trPr>
        <w:tc>
          <w:tcPr>
            <w:gridSpan w:val="2"/>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center"/>
              <w:spacing w:line="360" w:lineRule="auto"/>
              <w:widowControl/>
              <w:rPr>
                <w:rFonts w:hint="eastAsia" w:ascii="仿宋" w:hAnsi="仿宋" w:eastAsia="仿宋" w:cs="仿宋"/>
                <w:b/>
                <w:bCs/>
                <w:color w:val="000000"/>
                <w:sz w:val="24"/>
              </w:rPr>
            </w:pPr>
            <w:r>
              <w:rPr>
                <w:rStyle w:val="1428"/>
                <w:rFonts w:hint="default" w:ascii="仿宋" w:hAnsi="仿宋" w:eastAsia="仿宋" w:cs="仿宋"/>
                <w:sz w:val="24"/>
                <w:szCs w:val="24"/>
                <w:lang w:bidi="ar"/>
              </w:rPr>
              <w:t xml:space="preserve">一年小计</w:t>
            </w:r>
            <w:r/>
          </w:p>
        </w:tc>
        <w:tc>
          <w:tcPr>
            <w:gridSpan w:val="2"/>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w:t>
            </w:r>
            <w:r>
              <w:rPr>
                <w:rFonts w:hint="eastAsia" w:ascii="仿宋" w:hAnsi="仿宋" w:eastAsia="仿宋" w:cs="仿宋"/>
                <w:b/>
                <w:bCs/>
                <w:sz w:val="24"/>
              </w:rPr>
              <w:t xml:space="preserve">每年报价不得超过</w:t>
            </w:r>
            <w:r>
              <w:rPr>
                <w:rFonts w:hint="eastAsia" w:ascii="仿宋" w:hAnsi="仿宋" w:eastAsia="仿宋"/>
                <w:b/>
                <w:bCs/>
                <w:sz w:val="24"/>
              </w:rPr>
              <w:t xml:space="preserve">185.71万元，未按要求报价作无效投标处理。</w:t>
            </w:r>
            <w:r/>
          </w:p>
        </w:tc>
      </w:tr>
      <w:tr>
        <w:trPr>
          <w:jc w:val="center"/>
          <w:trHeight w:val="387"/>
        </w:trPr>
        <w:tc>
          <w:tcPr>
            <w:gridSpan w:val="2"/>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center"/>
              <w:spacing w:line="360" w:lineRule="auto"/>
              <w:widowControl/>
              <w:rPr>
                <w:rFonts w:hint="eastAsia" w:ascii="仿宋" w:hAnsi="仿宋" w:eastAsia="仿宋" w:cs="仿宋"/>
                <w:b/>
                <w:bCs/>
                <w:color w:val="000000"/>
                <w:sz w:val="24"/>
              </w:rPr>
            </w:pPr>
            <w:r>
              <w:rPr>
                <w:rStyle w:val="1428"/>
                <w:rFonts w:hint="default" w:ascii="仿宋" w:hAnsi="仿宋" w:eastAsia="仿宋" w:cs="仿宋"/>
                <w:sz w:val="24"/>
                <w:szCs w:val="24"/>
                <w:lang w:bidi="ar"/>
              </w:rPr>
              <w:t xml:space="preserve">二年合计</w:t>
            </w:r>
            <w:r/>
          </w:p>
        </w:tc>
        <w:tc>
          <w:tcPr>
            <w:gridSpan w:val="2"/>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sz w:val="24"/>
              </w:rPr>
              <w:t xml:space="preserve">★</w:t>
            </w:r>
            <w:r>
              <w:rPr>
                <w:rStyle w:val="1428"/>
                <w:rFonts w:hint="default" w:ascii="仿宋" w:hAnsi="仿宋" w:eastAsia="仿宋" w:cs="仿宋"/>
                <w:sz w:val="24"/>
                <w:szCs w:val="24"/>
                <w:lang w:bidi="ar"/>
              </w:rPr>
              <w:t xml:space="preserve">二年</w:t>
            </w:r>
            <w:r>
              <w:rPr>
                <w:rFonts w:hint="eastAsia" w:ascii="仿宋" w:hAnsi="仿宋" w:eastAsia="仿宋" w:cs="仿宋"/>
                <w:b/>
                <w:bCs/>
                <w:color w:val="000000"/>
                <w:sz w:val="24"/>
              </w:rPr>
              <w:t xml:space="preserve">合计计算公式：一年小计*2</w:t>
            </w:r>
            <w:r/>
          </w:p>
        </w:tc>
      </w:tr>
    </w:tbl>
    <w:p>
      <w:pPr>
        <w:spacing w:line="360" w:lineRule="auto"/>
        <w:rPr>
          <w:rFonts w:hint="eastAsia" w:ascii="仿宋" w:hAnsi="仿宋" w:eastAsia="仿宋" w:cs="宋体"/>
          <w:sz w:val="24"/>
          <w:lang w:val="zh-CN"/>
        </w:rPr>
      </w:pPr>
      <w:r>
        <w:rPr>
          <w:rFonts w:hint="eastAsia" w:ascii="仿宋" w:hAnsi="仿宋" w:eastAsia="仿宋" w:cs="宋体"/>
          <w:sz w:val="24"/>
          <w:lang w:val="zh-CN"/>
        </w:rPr>
      </w:r>
      <w:r/>
    </w:p>
    <w:p>
      <w:pPr>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供应商（</w:t>
      </w:r>
      <w:r>
        <w:rPr>
          <w:rFonts w:hint="eastAsia" w:ascii="仿宋" w:hAnsi="仿宋" w:eastAsia="仿宋" w:cs="宋体"/>
          <w:sz w:val="24"/>
        </w:rPr>
        <w:t xml:space="preserve">加盖电子公章</w:t>
      </w:r>
      <w:r>
        <w:rPr>
          <w:rFonts w:hint="eastAsia" w:ascii="仿宋" w:hAnsi="仿宋" w:eastAsia="仿宋" w:cs="宋体"/>
          <w:sz w:val="24"/>
          <w:lang w:val="zh-CN"/>
        </w:rPr>
        <w:t xml:space="preserve">）：   </w:t>
      </w:r>
      <w:r/>
    </w:p>
    <w:p>
      <w:pPr>
        <w:jc w:val="left"/>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日期：年  月 日</w:t>
      </w:r>
      <w:r/>
    </w:p>
    <w:p>
      <w:pPr>
        <w:spacing w:line="360" w:lineRule="auto"/>
        <w:rPr>
          <w:rFonts w:hint="eastAsia" w:ascii="仿宋" w:hAnsi="仿宋" w:eastAsia="仿宋" w:cs="等线"/>
          <w:bCs/>
          <w:color w:val="ff0000"/>
          <w:sz w:val="24"/>
        </w:rPr>
      </w:pPr>
      <w:r>
        <w:rPr>
          <w:rFonts w:hint="eastAsia" w:ascii="仿宋" w:hAnsi="仿宋" w:eastAsia="仿宋" w:cs="等线"/>
          <w:bCs/>
          <w:color w:val="ff0000"/>
          <w:sz w:val="24"/>
        </w:rPr>
      </w:r>
      <w:r/>
    </w:p>
    <w:p>
      <w:pPr>
        <w:spacing w:line="360" w:lineRule="auto"/>
        <w:rPr>
          <w:rFonts w:hint="eastAsia" w:ascii="仿宋" w:hAnsi="仿宋" w:eastAsia="仿宋" w:cs="等线"/>
          <w:bCs/>
          <w:sz w:val="24"/>
        </w:rPr>
      </w:pPr>
      <w:r>
        <w:rPr>
          <w:rFonts w:hint="eastAsia" w:ascii="仿宋" w:hAnsi="仿宋" w:eastAsia="仿宋" w:cs="等线"/>
          <w:bCs/>
          <w:sz w:val="24"/>
        </w:rPr>
        <w:t xml:space="preserve">说明：</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1、最终报价应包括完成本项目可能发生的所有费用，包括但不限于场地勘察、资料搜集、专家咨询和劳务、水电、人力资源、办公耗材、差旅、检测和测试、税金等一切为完成本次项目所需的全部费用。成交后不得擅自改变服务内容、质量标准、期限与追加项目费用。</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2、对于甲方在招标文件中所要求的及乙方在投标文件和合同中所承诺提供的服务，乙方应无条件提供，乙方在签订合同时已充分考虑了合同履行期间的所有风险，在项目实施过程中及项目实施完成后，乙方承诺不以任何理由向甲方提出增加费用的要求。</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3、投标人所投本项目中的服务等各项技术标准应当符合国家（强制性）标准、各项规范要求；国家没有相应标准、规范的，可使用行业标准、规定；非标设备按采购文件约定的技术要求和规范。</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4、中标人应做好职工的安全生产教育，并配备一定的劳动保护必需品以供职工使用。除应为服务相关人员提供必要的劳动保护条件外，还应为其办理作业时的人身安全保险和意外伤害险。中标单位工作人员在岗履行职责期间（包括上下班途中），发生自身的人身伤害、伤亡，均由中标单位负责处理并承担经济和道义上的责任，招标单位不承担任何责任。</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5、中标人对服务缺陷不予更正，招标人有权另请其他单位更正，所发生的费用由中标人支付。</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6、若中标人在服务管理期间，违反下列规定将被解除服务合同，并扣除相应服务费。</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（1）本项目严禁将承包的服务转包他人；</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（2）出现安全生产责任事故。</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7、现场踏勘：投标人自行对有关现场和周围环境进行考察，以获取编制投标文件和签署合同所需的信息。考察现场所发生的费用由投标人自己承担。投标人中标后，不得以不完全了解现场情况为理由而向招标采购单位提出任何索赔的要求，对此招标采购单位不承担任何责任并将不作任何答复与考虑。</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8、知识产权：编制各</w:t>
      </w:r>
      <w:r>
        <w:rPr>
          <w:rFonts w:hint="eastAsia" w:ascii="仿宋" w:hAnsi="仿宋" w:eastAsia="仿宋" w:cs="等线"/>
          <w:bCs/>
          <w:sz w:val="24"/>
        </w:rPr>
        <w:t xml:space="preserve">类报告</w:t>
      </w:r>
      <w:r>
        <w:rPr>
          <w:rFonts w:hint="eastAsia" w:ascii="仿宋" w:hAnsi="仿宋" w:eastAsia="仿宋" w:cs="等线"/>
          <w:bCs/>
          <w:sz w:val="24"/>
        </w:rPr>
        <w:t xml:space="preserve">的知识产权归招标单位所有，供方承担由于需方在使用其投标的产品或其任何一部分时而引起第三方提出的侵犯专利权、商标权或工业设计权的起诉、行动、行政程序索赔、请求等以及需方为此而产生的损失和损害、费用和支出（包括律师费）。</w:t>
      </w:r>
      <w:r/>
    </w:p>
    <w:p>
      <w:pPr>
        <w:ind w:firstLine="480"/>
        <w:spacing w:line="360" w:lineRule="auto"/>
        <w:rPr>
          <w:rFonts w:hint="eastAsia" w:ascii="仿宋" w:hAnsi="仿宋" w:eastAsia="仿宋" w:cs="等线"/>
          <w:bCs/>
          <w:sz w:val="24"/>
        </w:rPr>
      </w:pPr>
      <w:r>
        <w:rPr>
          <w:rFonts w:hint="eastAsia" w:ascii="仿宋" w:hAnsi="仿宋" w:eastAsia="仿宋" w:cs="等线"/>
          <w:bCs/>
          <w:sz w:val="24"/>
        </w:rPr>
        <w:t xml:space="preserve">9、凡涉及采购文件的补充说明和修改，均以书面文件通知为准。</w:t>
      </w:r>
      <w:r/>
    </w:p>
    <w:p>
      <w:pPr>
        <w:ind w:firstLine="480"/>
        <w:spacing w:line="360" w:lineRule="auto"/>
        <w:rPr>
          <w:rStyle w:val="1079"/>
          <w:rFonts w:hint="eastAsia" w:ascii="仿宋" w:hAnsi="仿宋" w:eastAsia="仿宋"/>
          <w:b/>
          <w:bCs/>
          <w:color w:val="000000" w:themeColor="text1"/>
          <w:sz w:val="24"/>
          <w:lang w:val="zh-CN"/>
        </w:rPr>
      </w:pPr>
      <w:r>
        <w:rPr>
          <w:rFonts w:hint="eastAsia" w:ascii="仿宋" w:hAnsi="仿宋" w:eastAsia="仿宋" w:cs="等线"/>
          <w:bCs/>
          <w:sz w:val="24"/>
        </w:rPr>
        <w:t xml:space="preserve">10、采购人、代理机构对本次采购结果不作任何解释。</w:t>
      </w:r>
      <w:r/>
    </w:p>
    <w:p>
      <w:pPr>
        <w:jc w:val="center"/>
        <w:spacing w:line="360" w:lineRule="auto"/>
        <w:rPr>
          <w:rStyle w:val="1079"/>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r>
      <w:r/>
    </w:p>
    <w:p>
      <w:pPr>
        <w:pStyle w:val="903"/>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br w:type="page" w:clear="all"/>
      </w:r>
      <w:bookmarkStart w:id="109" w:name="_Toc38721223"/>
      <w:r/>
      <w:bookmarkStart w:id="110" w:name="_Toc126827496"/>
      <w:r/>
      <w:bookmarkStart w:id="111" w:name="_Toc119344350"/>
      <w:r/>
      <w:bookmarkStart w:id="112" w:name="_Toc38723695"/>
      <w:r/>
      <w:bookmarkStart w:id="113" w:name="_Toc205561308"/>
      <w:r/>
      <w:bookmarkStart w:id="114" w:name="_Toc50644494"/>
      <w:r/>
      <w:bookmarkStart w:id="115" w:name="_Toc50974355"/>
      <w:r/>
      <w:bookmarkStart w:id="116" w:name="_Toc33266158"/>
      <w:r/>
      <w:bookmarkStart w:id="117" w:name="_Toc25563"/>
      <w:r/>
      <w:bookmarkEnd w:id="103"/>
      <w:r/>
      <w:bookmarkEnd w:id="104"/>
      <w:r/>
      <w:bookmarkEnd w:id="105"/>
      <w:r/>
      <w:bookmarkEnd w:id="106"/>
      <w:r/>
      <w:bookmarkEnd w:id="107"/>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附件七、技术条款偏离表格式</w:t>
      </w:r>
      <w:bookmarkEnd w:id="109"/>
      <w:r/>
      <w:bookmarkEnd w:id="110"/>
      <w:r/>
      <w:bookmarkEnd w:id="111"/>
      <w:r/>
      <w:bookmarkEnd w:id="112"/>
      <w:r/>
      <w:bookmarkEnd w:id="113"/>
      <w:r/>
      <w:bookmarkEnd w:id="114"/>
      <w:r/>
      <w:bookmarkEnd w:id="115"/>
      <w:r/>
      <w:bookmarkEnd w:id="116"/>
      <w:r/>
      <w:bookmarkEnd w:id="117"/>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技术条款偏离表</w:t>
      </w:r>
      <w:r/>
    </w:p>
    <w:tbl>
      <w:tblPr>
        <w:tblW w:w="9051" w:type="dxa"/>
        <w:jc w:val="center"/>
        <w:tblLayout w:type="fixed"/>
        <w:tblCellMar>
          <w:left w:w="0" w:type="dxa"/>
          <w:right w:w="0" w:type="dxa"/>
        </w:tblCellMar>
        <w:tblLook w:val="04A0" w:firstRow="1" w:lastRow="0" w:firstColumn="1" w:lastColumn="0" w:noHBand="0" w:noVBand="1"/>
      </w:tblPr>
      <w:tblGrid>
        <w:gridCol w:w="870"/>
        <w:gridCol w:w="1559"/>
        <w:gridCol w:w="2552"/>
        <w:gridCol w:w="1802"/>
        <w:gridCol w:w="1134"/>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51" w:type="dxa"/>
            <w:vAlign w:val="center"/>
            <w:textDirection w:val="lrTb"/>
            <w:noWrap w:val="false"/>
          </w:tcPr>
          <w:p>
            <w:pPr>
              <w:jc w:val="left"/>
              <w:spacing w:line="360" w:lineRule="auto"/>
              <w:widowControl/>
              <w:rPr>
                <w:rFonts w:hint="eastAsia" w:ascii="仿宋" w:hAnsi="仿宋" w:eastAsia="仿宋" w:cs="宋体"/>
                <w:color w:val="000000" w:themeColor="text1"/>
                <w:sz w:val="24"/>
                <w:lang w:val="zh-CN"/>
              </w:rPr>
            </w:pPr>
            <w:r>
              <w:rPr>
                <w:rFonts w:ascii="仿宋" w:hAnsi="仿宋" w:eastAsia="仿宋" w:cs="宋体"/>
                <w:color w:val="000000" w:themeColor="text1"/>
                <w:sz w:val="24"/>
                <w:lang w:val="zh-CN"/>
              </w:rPr>
              <w:t xml:space="preserve">项目名称： </w:t>
            </w:r>
            <w:r/>
          </w:p>
          <w:p>
            <w:pPr>
              <w:spacing w:line="360" w:lineRule="auto"/>
              <w:rPr>
                <w:rFonts w:hint="eastAsia" w:ascii="仿宋" w:hAnsi="仿宋" w:eastAsia="仿宋" w:cs="仿宋"/>
                <w:color w:val="000000" w:themeColor="text1"/>
                <w:sz w:val="24"/>
                <w:lang w:val="zh-CN"/>
              </w:rPr>
            </w:pPr>
            <w:r>
              <w:rPr>
                <w:rFonts w:hint="eastAsia" w:ascii="仿宋" w:hAnsi="仿宋" w:eastAsia="仿宋" w:cs="宋体"/>
                <w:color w:val="000000" w:themeColor="text1"/>
                <w:sz w:val="24"/>
              </w:rPr>
              <w:t xml:space="preserve">项目</w:t>
            </w:r>
            <w:r>
              <w:rPr>
                <w:rFonts w:ascii="仿宋" w:hAnsi="仿宋" w:eastAsia="仿宋" w:cs="宋体"/>
                <w:color w:val="000000" w:themeColor="text1"/>
                <w:sz w:val="24"/>
                <w:lang w:val="zh-CN"/>
              </w:rPr>
              <w:t xml:space="preserve">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序号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公开招标文件要求的参数、规格</w:t>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rPr>
                <w:rFonts w:hint="eastAsia" w:ascii="仿宋" w:hAnsi="仿宋" w:eastAsia="仿宋" w:cs="仿宋"/>
                <w:color w:val="000000" w:themeColor="text1"/>
                <w:sz w:val="24"/>
                <w:lang w:val="zh-CN"/>
              </w:rPr>
            </w:pPr>
            <w:r>
              <w:rPr>
                <w:rFonts w:ascii="仿宋" w:hAnsi="仿宋" w:eastAsia="仿宋" w:cs="仿宋"/>
                <w:color w:val="000000" w:themeColor="text1"/>
                <w:sz w:val="24"/>
                <w:lang w:val="zh-CN"/>
              </w:rPr>
              <w:t xml:space="preserve">供应商提供的技术参数</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bl>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说明：</w:t>
      </w:r>
      <w:r/>
    </w:p>
    <w:p>
      <w:pPr>
        <w:ind w:firstLine="480"/>
        <w:spacing w:line="360" w:lineRule="auto"/>
        <w:rPr>
          <w:rFonts w:hint="eastAsia" w:ascii="仿宋" w:hAnsi="仿宋" w:eastAsia="仿宋"/>
          <w:color w:val="000000" w:themeColor="text1"/>
          <w:sz w:val="24"/>
          <w:lang w:val="zh-CN"/>
        </w:rPr>
      </w:pPr>
      <w:r>
        <w:rPr>
          <w:rFonts w:ascii="仿宋" w:hAnsi="仿宋" w:eastAsia="仿宋" w:cs="宋体"/>
          <w:color w:val="000000" w:themeColor="text1"/>
          <w:sz w:val="24"/>
        </w:rPr>
        <w:t xml:space="preserve">1</w:t>
      </w:r>
      <w:r>
        <w:rPr>
          <w:rFonts w:hint="eastAsia" w:ascii="仿宋" w:hAnsi="仿宋" w:eastAsia="仿宋" w:cs="宋体"/>
          <w:color w:val="000000" w:themeColor="text1"/>
          <w:sz w:val="24"/>
          <w:lang w:val="zh-CN"/>
        </w:rPr>
        <w:t xml:space="preserve">、如果行数不够，请自行增加。</w:t>
      </w:r>
      <w:r/>
    </w:p>
    <w:p>
      <w:pPr>
        <w:ind w:firstLine="480"/>
        <w:spacing w:line="360" w:lineRule="auto"/>
        <w:rPr>
          <w:rFonts w:hint="eastAsia" w:ascii="仿宋" w:hAnsi="仿宋" w:eastAsia="仿宋" w:cs="宋体"/>
          <w:color w:val="000000" w:themeColor="text1"/>
          <w:sz w:val="24"/>
          <w:lang w:val="zh-CN"/>
        </w:rPr>
      </w:pPr>
      <w:r>
        <w:rPr>
          <w:rFonts w:ascii="仿宋" w:hAnsi="仿宋" w:eastAsia="仿宋" w:cs="宋体"/>
          <w:bCs/>
          <w:color w:val="000000" w:themeColor="text1"/>
          <w:sz w:val="24"/>
        </w:rPr>
        <w:t xml:space="preserve">2</w:t>
      </w:r>
      <w:r>
        <w:rPr>
          <w:rFonts w:hint="eastAsia" w:ascii="仿宋" w:hAnsi="仿宋" w:eastAsia="仿宋" w:cs="宋体"/>
          <w:bCs/>
          <w:color w:val="000000" w:themeColor="text1"/>
          <w:sz w:val="24"/>
        </w:rPr>
        <w:t xml:space="preserve">、</w:t>
      </w:r>
      <w:r>
        <w:rPr>
          <w:rFonts w:hint="eastAsia" w:ascii="仿宋" w:hAnsi="仿宋" w:eastAsia="仿宋" w:cs="宋体"/>
          <w:color w:val="000000" w:themeColor="text1"/>
          <w:sz w:val="24"/>
          <w:lang w:val="zh-CN"/>
        </w:rPr>
        <w:t xml:space="preserve">供应商</w:t>
      </w:r>
      <w:r>
        <w:rPr>
          <w:rFonts w:ascii="仿宋" w:hAnsi="仿宋" w:eastAsia="仿宋" w:cs="宋体"/>
          <w:color w:val="000000" w:themeColor="text1"/>
          <w:sz w:val="24"/>
          <w:lang w:val="zh-CN"/>
        </w:rPr>
        <w:t xml:space="preserve">必须仔细阅读招标文件所有条款，并对所有偏离的条目列入上表，未列入上表的视作供应</w:t>
      </w:r>
      <w:r>
        <w:rPr>
          <w:rFonts w:ascii="仿宋" w:hAnsi="仿宋" w:eastAsia="仿宋" w:cs="宋体"/>
          <w:color w:val="000000" w:themeColor="text1"/>
          <w:sz w:val="24"/>
          <w:lang w:val="zh-CN"/>
        </w:rPr>
        <w:t xml:space="preserve">商完全</w:t>
      </w:r>
      <w:r>
        <w:rPr>
          <w:rFonts w:ascii="仿宋" w:hAnsi="仿宋" w:eastAsia="仿宋" w:cs="宋体"/>
          <w:color w:val="000000" w:themeColor="text1"/>
          <w:sz w:val="24"/>
          <w:lang w:val="zh-CN"/>
        </w:rPr>
        <w:t xml:space="preserve">接受。</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仿宋"/>
          <w:color w:val="000000" w:themeColor="text1"/>
          <w:sz w:val="24"/>
          <w:lang w:val="zh-CN"/>
        </w:rPr>
        <w:t xml:space="preserve">3、供应商须对招标文件技术要求中的实质性要求（斜体下划线内容或打“★”内容）做出明确响应，供应商未对实质性要求</w:t>
      </w:r>
      <w:r>
        <w:rPr>
          <w:rFonts w:hint="eastAsia" w:ascii="仿宋" w:hAnsi="仿宋" w:eastAsia="仿宋" w:cs="仿宋"/>
          <w:color w:val="000000" w:themeColor="text1"/>
          <w:sz w:val="24"/>
          <w:lang w:val="zh-CN"/>
        </w:rPr>
        <w:t xml:space="preserve">作出</w:t>
      </w:r>
      <w:r>
        <w:rPr>
          <w:rFonts w:hint="eastAsia" w:ascii="仿宋" w:hAnsi="仿宋" w:eastAsia="仿宋" w:cs="仿宋"/>
          <w:color w:val="000000" w:themeColor="text1"/>
          <w:sz w:val="24"/>
          <w:lang w:val="zh-CN"/>
        </w:rPr>
        <w:t xml:space="preserve">明确响应的，视为无效投标。</w:t>
      </w:r>
      <w:r/>
    </w:p>
    <w:p>
      <w:pPr>
        <w:pStyle w:val="903"/>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lang w:val="zh-CN"/>
        </w:rPr>
        <w:br w:type="page" w:clear="all"/>
      </w:r>
      <w:bookmarkStart w:id="118" w:name="_Toc38721224"/>
      <w:r/>
      <w:bookmarkStart w:id="119" w:name="_Toc126827497"/>
      <w:r/>
      <w:bookmarkStart w:id="120" w:name="_Toc50644495"/>
      <w:r/>
      <w:bookmarkStart w:id="121" w:name="_Toc50974356"/>
      <w:r/>
      <w:bookmarkStart w:id="122" w:name="_Toc5173"/>
      <w:r/>
      <w:bookmarkStart w:id="123" w:name="_Toc33266159"/>
      <w:r/>
      <w:bookmarkStart w:id="124" w:name="_Toc205561309"/>
      <w:r/>
      <w:bookmarkStart w:id="125" w:name="_Toc38723696"/>
      <w:r/>
      <w:bookmarkStart w:id="126" w:name="_Toc119344351"/>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附件八、商务条款偏离表格式</w:t>
      </w:r>
      <w:bookmarkEnd w:id="118"/>
      <w:r/>
      <w:bookmarkEnd w:id="119"/>
      <w:r/>
      <w:bookmarkEnd w:id="120"/>
      <w:r/>
      <w:bookmarkEnd w:id="121"/>
      <w:r/>
      <w:bookmarkEnd w:id="122"/>
      <w:r/>
      <w:bookmarkEnd w:id="123"/>
      <w:r/>
      <w:bookmarkEnd w:id="124"/>
      <w:r/>
      <w:bookmarkEnd w:id="125"/>
      <w:r/>
      <w:bookmarkEnd w:id="126"/>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商务条款偏离表</w:t>
      </w:r>
      <w:r/>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项目名称：</w:t>
            </w:r>
            <w:r/>
          </w:p>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项目编号：</w:t>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序号</w:t>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w:t>
            </w:r>
            <w:r/>
          </w:p>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条目号</w:t>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公开招标文件要求的商务条款</w:t>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参与投标的</w:t>
            </w:r>
            <w:r/>
          </w:p>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商务响应</w:t>
            </w:r>
            <w:r/>
          </w:p>
        </w:tc>
        <w:tc>
          <w:tcPr>
            <w:tcW w:w="1259"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是否偏离</w:t>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843"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6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259" w:type="dxa"/>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372"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bl>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说明：</w:t>
      </w:r>
      <w:r/>
    </w:p>
    <w:p>
      <w:pPr>
        <w:ind w:firstLine="480"/>
        <w:spacing w:line="360" w:lineRule="auto"/>
        <w:rPr>
          <w:rFonts w:hint="eastAsia" w:ascii="仿宋" w:hAnsi="仿宋" w:eastAsia="仿宋"/>
          <w:color w:val="000000" w:themeColor="text1"/>
          <w:sz w:val="24"/>
          <w:lang w:val="zh-CN"/>
        </w:rPr>
      </w:pPr>
      <w:r>
        <w:rPr>
          <w:rFonts w:ascii="仿宋" w:hAnsi="仿宋" w:eastAsia="仿宋" w:cs="宋体"/>
          <w:color w:val="000000" w:themeColor="text1"/>
          <w:sz w:val="24"/>
        </w:rPr>
        <w:t xml:space="preserve">1</w:t>
      </w:r>
      <w:r>
        <w:rPr>
          <w:rFonts w:hint="eastAsia" w:ascii="仿宋" w:hAnsi="仿宋" w:eastAsia="仿宋" w:cs="宋体"/>
          <w:color w:val="000000" w:themeColor="text1"/>
          <w:sz w:val="24"/>
          <w:lang w:val="zh-CN"/>
        </w:rPr>
        <w:t xml:space="preserve">、如果行数不够，请自行增加。</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2、</w:t>
      </w:r>
      <w:r>
        <w:rPr>
          <w:rFonts w:ascii="仿宋" w:hAnsi="仿宋" w:eastAsia="仿宋" w:cs="宋体"/>
          <w:color w:val="000000" w:themeColor="text1"/>
          <w:sz w:val="24"/>
          <w:lang w:val="zh-CN"/>
        </w:rPr>
        <w:t xml:space="preserve">供应商必须仔细阅读招标文件所有条款，并对所有偏离的条目列入上表，未列入上表的视作供应</w:t>
      </w:r>
      <w:r>
        <w:rPr>
          <w:rFonts w:ascii="仿宋" w:hAnsi="仿宋" w:eastAsia="仿宋" w:cs="宋体"/>
          <w:color w:val="000000" w:themeColor="text1"/>
          <w:sz w:val="24"/>
          <w:lang w:val="zh-CN"/>
        </w:rPr>
        <w:t xml:space="preserve">商完全</w:t>
      </w:r>
      <w:r>
        <w:rPr>
          <w:rFonts w:ascii="仿宋" w:hAnsi="仿宋" w:eastAsia="仿宋" w:cs="宋体"/>
          <w:color w:val="000000" w:themeColor="text1"/>
          <w:sz w:val="24"/>
          <w:lang w:val="zh-CN"/>
        </w:rPr>
        <w:t xml:space="preserve">接受。</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仿宋"/>
          <w:color w:val="000000" w:themeColor="text1"/>
          <w:sz w:val="24"/>
          <w:lang w:val="zh-CN"/>
        </w:rPr>
        <w:t xml:space="preserve">3、供应商须对招标文件商务要求中的实质性要求（斜体下划线内容或打“★”内容）做出明确响应，供应商未对实质性要求</w:t>
      </w:r>
      <w:r>
        <w:rPr>
          <w:rFonts w:hint="eastAsia" w:ascii="仿宋" w:hAnsi="仿宋" w:eastAsia="仿宋" w:cs="仿宋"/>
          <w:color w:val="000000" w:themeColor="text1"/>
          <w:sz w:val="24"/>
          <w:lang w:val="zh-CN"/>
        </w:rPr>
        <w:t xml:space="preserve">作出</w:t>
      </w:r>
      <w:r>
        <w:rPr>
          <w:rFonts w:hint="eastAsia" w:ascii="仿宋" w:hAnsi="仿宋" w:eastAsia="仿宋" w:cs="仿宋"/>
          <w:color w:val="000000" w:themeColor="text1"/>
          <w:sz w:val="24"/>
          <w:lang w:val="zh-CN"/>
        </w:rPr>
        <w:t xml:space="preserve">明确响应的，视为无效投标。</w:t>
      </w:r>
      <w:r/>
    </w:p>
    <w:p>
      <w:pPr>
        <w:pStyle w:val="903"/>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lang w:val="zh-CN"/>
        </w:rPr>
        <w:br w:type="page" w:clear="all"/>
      </w:r>
      <w:bookmarkStart w:id="127" w:name="_Toc39048947"/>
      <w:r/>
      <w:bookmarkStart w:id="128" w:name="_Toc50974357"/>
      <w:r/>
      <w:bookmarkStart w:id="129" w:name="_Toc126827498"/>
      <w:r/>
      <w:bookmarkStart w:id="130" w:name="_Toc50035737"/>
      <w:r/>
      <w:bookmarkStart w:id="131" w:name="_Toc50644496"/>
      <w:r/>
      <w:bookmarkStart w:id="132" w:name="_Toc18387"/>
      <w:r/>
      <w:bookmarkStart w:id="133" w:name="_Toc205561310"/>
      <w:r/>
      <w:bookmarkStart w:id="134" w:name="_Toc119344352"/>
      <w:r/>
      <w:bookmarkStart w:id="135" w:name="_Toc33266160"/>
      <w:r/>
      <w:bookmarkStart w:id="136" w:name="_Toc38723697"/>
      <w:r/>
      <w:bookmarkStart w:id="137" w:name="_Toc38721225"/>
      <w:r>
        <w:rPr>
          <w:rFonts w:hint="eastAsia" w:ascii="仿宋" w:hAnsi="仿宋" w:eastAsia="仿宋"/>
          <w:color w:val="000000" w:themeColor="text1"/>
          <w:sz w:val="24"/>
          <w:szCs w:val="24"/>
        </w:rPr>
        <w:t xml:space="preserve">附件九、</w:t>
      </w:r>
      <w:bookmarkEnd w:id="127"/>
      <w:r>
        <w:rPr>
          <w:rFonts w:hint="eastAsia" w:ascii="仿宋" w:hAnsi="仿宋" w:eastAsia="仿宋"/>
          <w:color w:val="000000" w:themeColor="text1"/>
          <w:sz w:val="24"/>
          <w:szCs w:val="24"/>
        </w:rPr>
        <w:t xml:space="preserve">拟参与本项目人员一览表</w:t>
      </w:r>
      <w:bookmarkEnd w:id="128"/>
      <w:r/>
      <w:bookmarkEnd w:id="129"/>
      <w:r/>
      <w:bookmarkEnd w:id="130"/>
      <w:r/>
      <w:bookmarkEnd w:id="131"/>
      <w:r/>
      <w:bookmarkEnd w:id="132"/>
      <w:r/>
      <w:bookmarkEnd w:id="133"/>
      <w:r/>
      <w:bookmarkEnd w:id="134"/>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拟参与本项目人员一览表（参考）</w:t>
      </w:r>
      <w:r/>
    </w:p>
    <w:p>
      <w:pPr>
        <w:jc w:val="left"/>
        <w:spacing w:line="360" w:lineRule="auto"/>
        <w:widowControl/>
        <w:rPr>
          <w:rFonts w:hint="eastAsia" w:ascii="仿宋" w:hAnsi="仿宋" w:eastAsia="仿宋" w:cs="宋体"/>
          <w:color w:val="000000" w:themeColor="text1"/>
          <w:sz w:val="24"/>
          <w:lang w:val="zh-CN"/>
        </w:rPr>
      </w:pPr>
      <w:r>
        <w:rPr>
          <w:rFonts w:ascii="仿宋" w:hAnsi="仿宋" w:eastAsia="仿宋" w:cs="宋体"/>
          <w:color w:val="000000" w:themeColor="text1"/>
          <w:sz w:val="24"/>
          <w:lang w:val="zh-CN"/>
        </w:rPr>
        <w:t xml:space="preserve">项目名称： </w:t>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rPr>
        <w:t xml:space="preserve">项目</w:t>
      </w:r>
      <w:r>
        <w:rPr>
          <w:rFonts w:ascii="仿宋" w:hAnsi="仿宋" w:eastAsia="仿宋" w:cs="宋体"/>
          <w:color w:val="000000" w:themeColor="text1"/>
          <w:sz w:val="24"/>
          <w:lang w:val="zh-CN"/>
        </w:rPr>
        <w:t xml:space="preserve">编号：</w:t>
      </w:r>
      <w:r/>
    </w:p>
    <w:tbl>
      <w:tblPr>
        <w:tblW w:w="10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3"/>
        <w:gridCol w:w="851"/>
        <w:gridCol w:w="709"/>
        <w:gridCol w:w="709"/>
        <w:gridCol w:w="992"/>
        <w:gridCol w:w="1456"/>
        <w:gridCol w:w="850"/>
        <w:gridCol w:w="1660"/>
        <w:gridCol w:w="1418"/>
        <w:gridCol w:w="807"/>
      </w:tblGrid>
      <w:tr>
        <w:trPr>
          <w:jc w:val="center"/>
          <w:trHeight w:val="1107"/>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序号</w:t>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姓名</w:t>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性别</w:t>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年龄</w:t>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学历及专业</w:t>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执业资格及证书号</w:t>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技术</w:t>
            </w:r>
            <w:r/>
          </w:p>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职称</w:t>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相关工作年限及工作经历</w:t>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拟担任本项目何种工作</w:t>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备注</w:t>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项目负责人</w:t>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bl>
    <w:p>
      <w:pPr>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说明：</w:t>
      </w:r>
      <w:r/>
    </w:p>
    <w:p>
      <w:pPr>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1、如果行数不够，请自行增加。</w:t>
      </w:r>
      <w:r/>
    </w:p>
    <w:p>
      <w:pPr>
        <w:spacing w:line="360" w:lineRule="auto"/>
        <w:rPr>
          <w:rFonts w:hint="eastAsia" w:ascii="仿宋" w:hAnsi="仿宋" w:eastAsia="仿宋" w:cs="仿宋"/>
          <w:bCs/>
          <w:color w:val="000000" w:themeColor="text1"/>
          <w:sz w:val="24"/>
          <w:szCs w:val="28"/>
        </w:rPr>
      </w:pPr>
      <w:r>
        <w:rPr>
          <w:rFonts w:hint="eastAsia" w:ascii="仿宋" w:hAnsi="仿宋" w:eastAsia="仿宋"/>
          <w:bCs/>
          <w:color w:val="000000" w:themeColor="text1"/>
          <w:sz w:val="24"/>
        </w:rPr>
        <w:t xml:space="preserve">2、按评审因素要求提供相关资料。</w:t>
      </w:r>
      <w:r/>
    </w:p>
    <w:p>
      <w:pPr>
        <w:pStyle w:val="1007"/>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1007"/>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1007"/>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1007"/>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1007"/>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1007"/>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1007"/>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1007"/>
        <w:ind w:firstLine="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03"/>
        <w:spacing w:line="360" w:lineRule="auto"/>
        <w:rPr>
          <w:rFonts w:hint="eastAsia" w:ascii="仿宋" w:hAnsi="仿宋" w:eastAsia="仿宋"/>
          <w:color w:val="000000" w:themeColor="text1"/>
          <w:sz w:val="24"/>
          <w:szCs w:val="24"/>
        </w:rPr>
      </w:pPr>
      <w:r/>
      <w:bookmarkStart w:id="138" w:name="_Toc50974358"/>
      <w:r/>
      <w:bookmarkStart w:id="139" w:name="_Toc50644497"/>
      <w:r>
        <w:rPr>
          <w:rFonts w:hint="eastAsia" w:ascii="仿宋" w:hAnsi="仿宋" w:eastAsia="仿宋"/>
          <w:color w:val="000000" w:themeColor="text1"/>
          <w:sz w:val="24"/>
          <w:szCs w:val="24"/>
        </w:rPr>
        <w:br w:type="page" w:clear="all"/>
      </w:r>
      <w:bookmarkStart w:id="140" w:name="_Toc13863"/>
      <w:r/>
      <w:bookmarkStart w:id="141" w:name="_Toc126827499"/>
      <w:r/>
      <w:bookmarkStart w:id="142" w:name="_Toc119344353"/>
      <w:r/>
      <w:bookmarkStart w:id="143" w:name="_Toc205561311"/>
      <w:r>
        <w:rPr>
          <w:rFonts w:hint="eastAsia" w:ascii="仿宋" w:hAnsi="仿宋" w:eastAsia="仿宋"/>
          <w:color w:val="000000" w:themeColor="text1"/>
          <w:sz w:val="24"/>
          <w:szCs w:val="24"/>
        </w:rPr>
        <w:t xml:space="preserve">附件</w:t>
      </w:r>
      <w:bookmarkStart w:id="144" w:name="_Toc50035738"/>
      <w:r/>
      <w:bookmarkEnd w:id="135"/>
      <w:r/>
      <w:bookmarkEnd w:id="136"/>
      <w:r/>
      <w:bookmarkEnd w:id="137"/>
      <w:r>
        <w:rPr>
          <w:rFonts w:hint="eastAsia" w:ascii="仿宋" w:hAnsi="仿宋" w:eastAsia="仿宋"/>
          <w:color w:val="000000" w:themeColor="text1"/>
          <w:sz w:val="24"/>
          <w:szCs w:val="24"/>
        </w:rPr>
        <w:t xml:space="preserve">十</w:t>
      </w:r>
      <w:r>
        <w:rPr>
          <w:rFonts w:hint="eastAsia" w:eastAsia="仿宋"/>
          <w:color w:val="000000" w:themeColor="text1"/>
          <w:sz w:val="24"/>
          <w:szCs w:val="24"/>
        </w:rPr>
        <w:t xml:space="preserve">、供应</w:t>
      </w:r>
      <w:r>
        <w:rPr>
          <w:rFonts w:hint="eastAsia" w:eastAsia="仿宋"/>
          <w:color w:val="000000" w:themeColor="text1"/>
          <w:sz w:val="24"/>
          <w:szCs w:val="24"/>
        </w:rPr>
        <w:t xml:space="preserve">商类似</w:t>
      </w:r>
      <w:r>
        <w:rPr>
          <w:rFonts w:hint="eastAsia" w:eastAsia="仿宋"/>
          <w:color w:val="000000" w:themeColor="text1"/>
          <w:sz w:val="24"/>
          <w:szCs w:val="24"/>
        </w:rPr>
        <w:t xml:space="preserve">业绩情况表</w:t>
      </w:r>
      <w:bookmarkEnd w:id="140"/>
      <w:r/>
      <w:bookmarkEnd w:id="141"/>
      <w:r/>
      <w:bookmarkEnd w:id="142"/>
      <w:r/>
      <w:bookmarkEnd w:id="143"/>
      <w:r/>
      <w:bookmarkEnd w:id="144"/>
      <w:r/>
      <w:r/>
    </w:p>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供应商近年类似业绩情况表</w:t>
      </w:r>
      <w:r/>
    </w:p>
    <w:p>
      <w:pPr>
        <w:jc w:val="left"/>
        <w:spacing w:line="360" w:lineRule="auto"/>
        <w:widowControl/>
        <w:rPr>
          <w:rFonts w:hint="eastAsia" w:ascii="仿宋" w:hAnsi="仿宋" w:eastAsia="仿宋" w:cs="宋体"/>
          <w:color w:val="000000" w:themeColor="text1"/>
          <w:sz w:val="24"/>
          <w:lang w:val="zh-CN"/>
        </w:rPr>
      </w:pPr>
      <w:r>
        <w:rPr>
          <w:rFonts w:ascii="仿宋" w:hAnsi="仿宋" w:eastAsia="仿宋" w:cs="宋体"/>
          <w:color w:val="000000" w:themeColor="text1"/>
          <w:sz w:val="24"/>
          <w:lang w:val="zh-CN"/>
        </w:rPr>
        <w:t xml:space="preserve">项目名称： </w:t>
      </w:r>
      <w:r/>
    </w:p>
    <w:p>
      <w:pP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项目</w:t>
      </w:r>
      <w:r>
        <w:rPr>
          <w:rFonts w:ascii="仿宋" w:hAnsi="仿宋" w:eastAsia="仿宋" w:cs="宋体"/>
          <w:color w:val="000000" w:themeColor="text1"/>
          <w:sz w:val="24"/>
          <w:lang w:val="zh-CN"/>
        </w:rPr>
        <w:t xml:space="preserve">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序号</w:t>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项目名称</w:t>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业主单位及联系方式</w:t>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项目合同价</w:t>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项目概况</w:t>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项目实施期限</w:t>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备注</w:t>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ind w:firstLine="120"/>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bl>
    <w:p>
      <w:pPr>
        <w:ind w:firstLine="602"/>
        <w:spacing w:line="360" w:lineRule="auto"/>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说明：请供应商根据本格式要求如实填写业绩情况表，并</w:t>
      </w:r>
      <w:r>
        <w:rPr>
          <w:rFonts w:hint="eastAsia" w:ascii="仿宋" w:hAnsi="仿宋" w:eastAsia="仿宋" w:cs="仿宋"/>
          <w:bCs/>
          <w:color w:val="000000" w:themeColor="text1"/>
          <w:sz w:val="24"/>
        </w:rPr>
        <w:t xml:space="preserve">附业绩</w:t>
      </w:r>
      <w:r>
        <w:rPr>
          <w:rFonts w:hint="eastAsia" w:ascii="仿宋" w:hAnsi="仿宋" w:eastAsia="仿宋" w:cs="仿宋"/>
          <w:bCs/>
          <w:color w:val="000000" w:themeColor="text1"/>
          <w:sz w:val="24"/>
        </w:rPr>
        <w:t xml:space="preserve">合同扫描件等相关证明。</w:t>
      </w:r>
      <w:r/>
    </w:p>
    <w:p>
      <w:pPr>
        <w:ind w:firstLine="600"/>
        <w:rPr>
          <w:color w:val="000000" w:themeColor="text1"/>
        </w:rPr>
      </w:pPr>
      <w:r>
        <w:rPr>
          <w:color w:val="000000" w:themeColor="text1"/>
        </w:rPr>
      </w:r>
      <w:r/>
    </w:p>
    <w:p>
      <w:pPr>
        <w:pStyle w:val="903"/>
        <w:spacing w:line="360" w:lineRule="auto"/>
        <w:rPr>
          <w:rFonts w:hint="eastAsia" w:ascii="仿宋" w:hAnsi="仿宋" w:eastAsia="仿宋"/>
          <w:color w:val="000000" w:themeColor="text1"/>
          <w:sz w:val="24"/>
          <w:szCs w:val="24"/>
        </w:rPr>
      </w:pPr>
      <w:r>
        <w:rPr>
          <w:color w:val="000000" w:themeColor="text1"/>
        </w:rPr>
        <w:br w:type="page" w:clear="all"/>
      </w:r>
      <w:bookmarkStart w:id="145" w:name="_Toc205561312"/>
      <w:r/>
      <w:bookmarkStart w:id="146" w:name="_Toc126827500"/>
      <w:r/>
      <w:bookmarkStart w:id="147" w:name="_Toc2583"/>
      <w:r/>
      <w:bookmarkStart w:id="148" w:name="_Toc119344354"/>
      <w:r>
        <w:rPr>
          <w:rFonts w:hint="eastAsia" w:ascii="仿宋" w:hAnsi="仿宋" w:eastAsia="仿宋"/>
          <w:color w:val="000000" w:themeColor="text1"/>
          <w:sz w:val="24"/>
          <w:szCs w:val="24"/>
        </w:rPr>
        <w:t xml:space="preserve">附件十一、</w:t>
      </w:r>
      <w:bookmarkEnd w:id="138"/>
      <w:r/>
      <w:bookmarkEnd w:id="139"/>
      <w:r>
        <w:rPr>
          <w:rFonts w:hint="eastAsia" w:ascii="仿宋" w:hAnsi="仿宋" w:eastAsia="仿宋"/>
          <w:color w:val="000000" w:themeColor="text1"/>
          <w:sz w:val="24"/>
          <w:szCs w:val="24"/>
        </w:rPr>
        <w:t xml:space="preserve">技术说明（项目实施方案）</w:t>
      </w:r>
      <w:bookmarkEnd w:id="145"/>
      <w:r/>
      <w:bookmarkEnd w:id="146"/>
      <w:r/>
      <w:bookmarkEnd w:id="147"/>
      <w:r/>
      <w:bookmarkEnd w:id="148"/>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项目实施方案（自行编制）</w:t>
      </w:r>
      <w:r/>
    </w:p>
    <w:p>
      <w:pPr>
        <w:pStyle w:val="1007"/>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1007"/>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1007"/>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1007"/>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1007"/>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903"/>
        <w:spacing w:line="360" w:lineRule="auto"/>
        <w:rPr>
          <w:rFonts w:hint="eastAsia" w:ascii="仿宋" w:hAnsi="仿宋" w:eastAsia="仿宋"/>
          <w:color w:val="000000" w:themeColor="text1"/>
          <w:sz w:val="24"/>
          <w:szCs w:val="24"/>
        </w:rPr>
      </w:pPr>
      <w:r/>
      <w:bookmarkStart w:id="149" w:name="_Toc33266161"/>
      <w:r/>
      <w:bookmarkStart w:id="150" w:name="_Toc38723698"/>
      <w:r/>
      <w:bookmarkStart w:id="151" w:name="_Toc50644498"/>
      <w:r/>
      <w:bookmarkStart w:id="152" w:name="_Toc50974359"/>
      <w:r/>
      <w:bookmarkStart w:id="153" w:name="_Toc126827501"/>
      <w:r/>
      <w:bookmarkStart w:id="154" w:name="_Toc38721226"/>
      <w:r/>
      <w:bookmarkStart w:id="155" w:name="_Toc119344355"/>
      <w:r/>
      <w:bookmarkStart w:id="156" w:name="_Toc16945"/>
      <w:r/>
      <w:bookmarkStart w:id="157" w:name="_Toc205561313"/>
      <w:r>
        <w:rPr>
          <w:rFonts w:hint="eastAsia" w:ascii="仿宋" w:hAnsi="仿宋" w:eastAsia="仿宋"/>
          <w:color w:val="000000" w:themeColor="text1"/>
          <w:sz w:val="24"/>
          <w:szCs w:val="24"/>
        </w:rPr>
        <w:t xml:space="preserve">附件十二、</w:t>
      </w:r>
      <w:bookmarkEnd w:id="149"/>
      <w:r/>
      <w:bookmarkEnd w:id="150"/>
      <w:r/>
      <w:bookmarkEnd w:id="151"/>
      <w:r/>
      <w:bookmarkEnd w:id="152"/>
      <w:r/>
      <w:bookmarkEnd w:id="153"/>
      <w:r/>
      <w:bookmarkEnd w:id="154"/>
      <w:r/>
      <w:bookmarkEnd w:id="155"/>
      <w:r>
        <w:rPr>
          <w:rFonts w:hint="eastAsia" w:eastAsia="仿宋" w:cs="宋体"/>
          <w:color w:val="000000" w:themeColor="text1"/>
          <w:sz w:val="24"/>
        </w:rPr>
        <w:t xml:space="preserve">质量保证及服务承诺</w:t>
      </w:r>
      <w:bookmarkEnd w:id="156"/>
      <w:r/>
      <w:bookmarkEnd w:id="157"/>
      <w:r/>
      <w:r/>
    </w:p>
    <w:p>
      <w:pPr>
        <w:ind w:firstLine="602"/>
        <w:jc w:val="center"/>
        <w:spacing w:line="360" w:lineRule="auto"/>
        <w:rPr>
          <w:rFonts w:hint="eastAsia" w:ascii="仿宋" w:hAnsi="仿宋" w:eastAsia="仿宋" w:cs="宋体"/>
          <w:b/>
          <w:bCs/>
          <w:color w:val="000000" w:themeColor="text1"/>
          <w:sz w:val="24"/>
        </w:rPr>
      </w:pPr>
      <w:r/>
      <w:bookmarkStart w:id="158" w:name="_Hlk216874666"/>
      <w:r>
        <w:rPr>
          <w:rFonts w:hint="eastAsia" w:eastAsia="仿宋" w:cs="宋体"/>
          <w:b/>
          <w:bCs/>
          <w:color w:val="000000" w:themeColor="text1"/>
          <w:sz w:val="24"/>
        </w:rPr>
        <w:t xml:space="preserve">质量保证及服务承诺</w:t>
      </w:r>
      <w:bookmarkEnd w:id="158"/>
      <w:r>
        <w:rPr>
          <w:rFonts w:hint="eastAsia" w:ascii="仿宋" w:hAnsi="仿宋" w:eastAsia="仿宋" w:cs="宋体"/>
          <w:b/>
          <w:bCs/>
          <w:color w:val="000000" w:themeColor="text1"/>
          <w:sz w:val="24"/>
        </w:rPr>
        <w:t xml:space="preserve">（自行编制，格式自拟）</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1007"/>
        <w:rPr>
          <w:rFonts w:hint="eastAsia" w:ascii="仿宋" w:hAnsi="仿宋" w:eastAsia="仿宋"/>
          <w:color w:val="000000" w:themeColor="text1"/>
        </w:rPr>
      </w:pPr>
      <w:r>
        <w:rPr>
          <w:rFonts w:hint="eastAsia" w:ascii="仿宋" w:hAnsi="仿宋" w:eastAsia="仿宋"/>
          <w:color w:val="000000" w:themeColor="text1"/>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color w:val="000000" w:themeColor="text1"/>
        </w:rPr>
      </w:pPr>
      <w:r>
        <w:rPr>
          <w:color w:val="000000" w:themeColor="text1"/>
        </w:rPr>
      </w:r>
      <w:r/>
    </w:p>
    <w:p>
      <w:pPr>
        <w:pStyle w:val="903"/>
        <w:spacing w:line="360" w:lineRule="auto"/>
        <w:rPr>
          <w:rFonts w:hint="eastAsia" w:ascii="仿宋" w:hAnsi="仿宋" w:eastAsia="仿宋"/>
          <w:color w:val="000000" w:themeColor="text1"/>
          <w:sz w:val="24"/>
          <w:szCs w:val="24"/>
        </w:rPr>
      </w:pPr>
      <w:r/>
      <w:bookmarkStart w:id="159" w:name="_Toc205561314"/>
      <w:r/>
      <w:bookmarkStart w:id="160" w:name="_Toc33266163"/>
      <w:r/>
      <w:bookmarkStart w:id="161" w:name="_Toc50974361"/>
      <w:r/>
      <w:bookmarkStart w:id="162" w:name="_Toc38721228"/>
      <w:r/>
      <w:bookmarkStart w:id="163" w:name="_Toc38723700"/>
      <w:r/>
      <w:bookmarkStart w:id="164" w:name="_Toc50644500"/>
      <w:r>
        <w:rPr>
          <w:rFonts w:hint="eastAsia" w:ascii="仿宋" w:hAnsi="仿宋" w:eastAsia="仿宋"/>
          <w:color w:val="000000" w:themeColor="text1"/>
          <w:sz w:val="24"/>
          <w:szCs w:val="24"/>
        </w:rPr>
        <w:t xml:space="preserve">附件十三、公开招标文件要求或供应商认为投标需要的其他证明文件及材料</w:t>
      </w:r>
      <w:bookmarkEnd w:id="159"/>
      <w:r/>
      <w:r/>
    </w:p>
    <w:p>
      <w:pPr>
        <w:spacing w:line="360" w:lineRule="auto"/>
        <w:rPr>
          <w:rFonts w:hint="eastAsia" w:ascii="仿宋" w:hAnsi="仿宋" w:eastAsia="仿宋"/>
          <w:color w:val="000000" w:themeColor="text1"/>
          <w:sz w:val="24"/>
        </w:rPr>
      </w:pPr>
      <w:r>
        <w:rPr>
          <w:rFonts w:ascii="仿宋" w:hAnsi="仿宋" w:eastAsia="仿宋" w:cs="仿宋"/>
          <w:color w:val="000000" w:themeColor="text1"/>
          <w:sz w:val="24"/>
        </w:rPr>
        <w:br w:type="page" w:clear="all"/>
      </w:r>
      <w:r/>
    </w:p>
    <w:p>
      <w:pPr>
        <w:pStyle w:val="903"/>
        <w:spacing w:line="360" w:lineRule="auto"/>
        <w:rPr>
          <w:rFonts w:hint="eastAsia" w:ascii="仿宋" w:hAnsi="仿宋" w:eastAsia="仿宋"/>
          <w:color w:val="000000" w:themeColor="text1"/>
          <w:sz w:val="24"/>
          <w:szCs w:val="24"/>
        </w:rPr>
      </w:pPr>
      <w:r/>
      <w:bookmarkStart w:id="165" w:name="_Toc205561315"/>
      <w:r>
        <w:rPr>
          <w:rFonts w:hint="eastAsia" w:ascii="仿宋" w:hAnsi="仿宋" w:eastAsia="仿宋"/>
          <w:color w:val="000000" w:themeColor="text1"/>
          <w:sz w:val="24"/>
          <w:szCs w:val="24"/>
        </w:rPr>
        <w:t xml:space="preserve">附件十四、</w:t>
      </w:r>
      <w:bookmarkStart w:id="166" w:name="_Toc469583074"/>
      <w:r/>
      <w:bookmarkStart w:id="167" w:name="_Toc524964900"/>
      <w:r/>
      <w:bookmarkStart w:id="168" w:name="_Toc447021131"/>
      <w:r>
        <w:rPr>
          <w:rFonts w:hint="eastAsia" w:ascii="仿宋" w:hAnsi="仿宋" w:eastAsia="仿宋"/>
          <w:color w:val="000000" w:themeColor="text1"/>
          <w:sz w:val="24"/>
          <w:szCs w:val="24"/>
        </w:rPr>
        <w:t xml:space="preserve">政府采购政策</w:t>
      </w:r>
      <w:bookmarkEnd w:id="160"/>
      <w:r/>
      <w:bookmarkEnd w:id="161"/>
      <w:r/>
      <w:bookmarkEnd w:id="162"/>
      <w:r/>
      <w:bookmarkEnd w:id="163"/>
      <w:r/>
      <w:bookmarkEnd w:id="164"/>
      <w:r>
        <w:rPr>
          <w:rFonts w:hint="eastAsia" w:ascii="仿宋" w:hAnsi="仿宋" w:eastAsia="仿宋"/>
          <w:color w:val="000000" w:themeColor="text1"/>
          <w:sz w:val="24"/>
          <w:szCs w:val="24"/>
        </w:rPr>
        <w:t xml:space="preserve">（企业报价折扣证明）</w:t>
      </w:r>
      <w:bookmarkEnd w:id="165"/>
      <w:r/>
      <w:bookmarkEnd w:id="166"/>
      <w:r/>
      <w:bookmarkEnd w:id="167"/>
      <w:r/>
      <w:bookmarkEnd w:id="168"/>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1、中小企业声明函</w:t>
      </w:r>
      <w:r/>
    </w:p>
    <w:p>
      <w:pPr>
        <w:ind w:left="107" w:right="105" w:firstLine="602"/>
        <w:jc w:val="center"/>
        <w:spacing w:before="14"/>
        <w:rPr>
          <w:rFonts w:hint="eastAsia" w:ascii="仿宋" w:hAnsi="仿宋" w:eastAsia="仿宋" w:cs="仿宋"/>
          <w:color w:val="000000" w:themeColor="text1"/>
          <w:sz w:val="24"/>
        </w:rPr>
      </w:pPr>
      <w:r/>
      <w:bookmarkStart w:id="169" w:name="_Hlk138682453"/>
      <w:r>
        <w:rPr>
          <w:rFonts w:hint="eastAsia" w:ascii="仿宋" w:hAnsi="仿宋" w:eastAsia="仿宋" w:cs="仿宋"/>
          <w:b/>
          <w:bCs/>
          <w:color w:val="000000" w:themeColor="text1"/>
          <w:sz w:val="24"/>
        </w:rPr>
        <w:t xml:space="preserve">中小企业声明函（服务）</w:t>
      </w:r>
      <w:r/>
    </w:p>
    <w:p>
      <w:pPr>
        <w:ind w:firstLine="480"/>
        <w:jc w:val="center"/>
        <w:spacing w:line="360" w:lineRule="auto"/>
        <w:shd w:val="clear" w:color="auto" w:fill="ffffff"/>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本单位郑重声明，根据《政府采购促进中小企业发展管理办法》（财库</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w:t>
      </w:r>
      <w:r>
        <w:rPr>
          <w:rFonts w:ascii="仿宋" w:hAnsi="仿宋" w:eastAsia="仿宋" w:cs="仿宋"/>
          <w:color w:val="000000" w:themeColor="text1"/>
          <w:sz w:val="24"/>
        </w:rPr>
        <w:t xml:space="preserve">2020﹞46号）的规定，本单位参加</w:t>
      </w:r>
      <w:r>
        <w:rPr>
          <w:rFonts w:hint="eastAsia" w:ascii="仿宋" w:hAnsi="仿宋" w:eastAsia="仿宋" w:cs="仿宋"/>
          <w:color w:val="000000" w:themeColor="text1"/>
          <w:sz w:val="24"/>
          <w:u w:val="single"/>
        </w:rPr>
        <w:t xml:space="preserve">南京江宁经济技术开发区管理委员会</w:t>
      </w:r>
      <w:r>
        <w:rPr>
          <w:rFonts w:hint="eastAsia" w:ascii="仿宋" w:hAnsi="仿宋" w:eastAsia="仿宋" w:cs="仿宋"/>
          <w:color w:val="000000" w:themeColor="text1"/>
          <w:spacing w:val="-2"/>
          <w:sz w:val="24"/>
        </w:rPr>
        <w:t xml:space="preserve">的</w:t>
      </w:r>
      <w:r>
        <w:rPr>
          <w:rFonts w:hint="eastAsia" w:ascii="仿宋" w:hAnsi="仿宋" w:eastAsia="仿宋" w:cs="仿宋"/>
          <w:color w:val="000000" w:themeColor="text1"/>
          <w:sz w:val="24"/>
          <w:u w:val="single"/>
        </w:rPr>
        <w:t xml:space="preserve">江宁开发区智慧水</w:t>
      </w:r>
      <w:r>
        <w:rPr>
          <w:rFonts w:hint="eastAsia" w:ascii="仿宋" w:hAnsi="仿宋" w:eastAsia="仿宋" w:cs="仿宋"/>
          <w:color w:val="000000" w:themeColor="text1"/>
          <w:sz w:val="24"/>
          <w:u w:val="single"/>
        </w:rPr>
        <w:t xml:space="preserve">务</w:t>
      </w:r>
      <w:r>
        <w:rPr>
          <w:rFonts w:hint="eastAsia" w:ascii="仿宋" w:hAnsi="仿宋" w:eastAsia="仿宋" w:cs="仿宋"/>
          <w:color w:val="000000" w:themeColor="text1"/>
          <w:sz w:val="24"/>
          <w:u w:val="single"/>
        </w:rPr>
        <w:t xml:space="preserve">平台后期运维服务</w:t>
      </w:r>
      <w:r>
        <w:rPr>
          <w:rFonts w:hint="eastAsia" w:ascii="仿宋" w:hAnsi="仿宋" w:eastAsia="仿宋" w:cs="仿宋"/>
          <w:color w:val="000000" w:themeColor="text1"/>
          <w:sz w:val="24"/>
        </w:rPr>
        <w:t xml:space="preserve">采购活动，服务全部由符合政策要求的中小企业承接。相关企业的具体情况如下：</w:t>
      </w:r>
      <w:r/>
    </w:p>
    <w:p>
      <w:pPr>
        <w:ind w:firstLine="60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u w:val="single"/>
        </w:rPr>
        <w:t xml:space="preserve">江宁开发区智慧水</w:t>
      </w:r>
      <w:r>
        <w:rPr>
          <w:rFonts w:hint="eastAsia" w:ascii="仿宋" w:hAnsi="仿宋" w:eastAsia="仿宋" w:cs="仿宋"/>
          <w:color w:val="000000" w:themeColor="text1"/>
          <w:sz w:val="24"/>
          <w:u w:val="single"/>
        </w:rPr>
        <w:t xml:space="preserve">务</w:t>
      </w:r>
      <w:r>
        <w:rPr>
          <w:rFonts w:hint="eastAsia" w:ascii="仿宋" w:hAnsi="仿宋" w:eastAsia="仿宋" w:cs="仿宋"/>
          <w:color w:val="000000" w:themeColor="text1"/>
          <w:sz w:val="24"/>
          <w:u w:val="single"/>
        </w:rPr>
        <w:t xml:space="preserve">平台后期运维服务</w:t>
      </w:r>
      <w:r>
        <w:rPr>
          <w:rFonts w:hint="eastAsia" w:ascii="仿宋" w:hAnsi="仿宋" w:eastAsia="仿宋" w:cs="仿宋"/>
          <w:color w:val="000000" w:themeColor="text1"/>
          <w:sz w:val="24"/>
        </w:rPr>
        <w:t xml:space="preserve">，属于</w:t>
      </w:r>
      <w:r>
        <w:rPr>
          <w:rFonts w:hint="eastAsia" w:ascii="仿宋" w:hAnsi="仿宋" w:eastAsia="仿宋" w:cs="仿宋"/>
          <w:color w:val="000000" w:themeColor="text1"/>
          <w:sz w:val="24"/>
          <w:u w:val="single"/>
        </w:rPr>
        <w:t xml:space="preserve">其他未列明行业</w:t>
      </w:r>
      <w:r>
        <w:rPr>
          <w:rFonts w:hint="eastAsia" w:ascii="仿宋" w:hAnsi="仿宋" w:eastAsia="仿宋" w:cs="仿宋"/>
          <w:color w:val="000000" w:themeColor="text1"/>
          <w:sz w:val="24"/>
        </w:rPr>
        <w:t xml:space="preserve">，承接企业为</w:t>
      </w:r>
      <w:r>
        <w:rPr>
          <w:rFonts w:hint="eastAsia" w:ascii="仿宋" w:hAnsi="仿宋" w:eastAsia="仿宋" w:cs="仿宋"/>
          <w:iCs/>
          <w:color w:val="000000" w:themeColor="text1"/>
          <w:sz w:val="24"/>
          <w:u w:val="single"/>
        </w:rPr>
        <w:t xml:space="preserve">（企业名称）</w:t>
      </w:r>
      <w:r>
        <w:rPr>
          <w:rFonts w:hint="eastAsia" w:ascii="仿宋" w:hAnsi="仿宋" w:eastAsia="仿宋" w:cs="仿宋"/>
          <w:color w:val="000000" w:themeColor="text1"/>
          <w:sz w:val="24"/>
        </w:rPr>
        <w:t xml:space="preserve">，从业人员＿人，营业收入为＿万元，资产总额为＿万元，属于</w:t>
      </w:r>
      <w:r/>
    </w:p>
    <w:p>
      <w:pPr>
        <w:ind w:firstLine="600"/>
        <w:spacing w:line="360" w:lineRule="auto"/>
        <w:widowControl/>
        <w:rPr>
          <w:rFonts w:hint="eastAsia" w:ascii="仿宋" w:hAnsi="仿宋" w:eastAsia="仿宋" w:cs="仿宋"/>
          <w:color w:val="000000" w:themeColor="text1"/>
          <w:sz w:val="24"/>
        </w:rPr>
      </w:pP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中型企业    </w:t>
      </w: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小型企业    </w:t>
      </w: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微型企业。</w:t>
      </w:r>
      <w:r/>
    </w:p>
    <w:p>
      <w:pPr>
        <w:pStyle w:val="923"/>
        <w:ind w:firstLine="480"/>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本单位</w:t>
      </w:r>
      <w:r>
        <w:rPr>
          <w:rFonts w:hint="eastAsia" w:ascii="仿宋" w:hAnsi="仿宋" w:eastAsia="仿宋" w:cs="仿宋"/>
          <w:color w:val="000000" w:themeColor="text1"/>
          <w:spacing w:val="-2"/>
        </w:rPr>
        <w:t xml:space="preserve">不属于大企业的分支机构，不存在控股股东为大企业的情形，也不存在与大</w:t>
      </w:r>
      <w:r>
        <w:rPr>
          <w:rFonts w:hint="eastAsia" w:ascii="仿宋" w:hAnsi="仿宋" w:eastAsia="仿宋" w:cs="仿宋"/>
          <w:color w:val="000000" w:themeColor="text1"/>
        </w:rPr>
        <w:t xml:space="preserve">企业的负责人为同一人的情形。</w:t>
      </w:r>
      <w:r/>
    </w:p>
    <w:p>
      <w:pPr>
        <w:pStyle w:val="923"/>
        <w:ind w:left="538"/>
        <w:spacing w:before="36" w:line="360" w:lineRule="auto"/>
        <w:rPr>
          <w:rFonts w:hint="eastAsia" w:ascii="仿宋" w:hAnsi="仿宋" w:eastAsia="仿宋" w:cs="仿宋"/>
          <w:color w:val="000000" w:themeColor="text1"/>
        </w:rPr>
      </w:pPr>
      <w:r>
        <w:rPr>
          <w:rFonts w:hint="eastAsia" w:ascii="仿宋" w:hAnsi="仿宋" w:eastAsia="仿宋" w:cs="仿宋"/>
          <w:color w:val="000000" w:themeColor="text1"/>
          <w:spacing w:val="-2"/>
        </w:rPr>
        <w:t xml:space="preserve">本企业对上述声明内容的真实性负责。如有虚假，将依法承担相应责任。</w:t>
      </w:r>
      <w:r/>
    </w:p>
    <w:p>
      <w:pPr>
        <w:ind w:firstLine="48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pStyle w:val="923"/>
        <w:ind w:right="1096"/>
        <w:jc w:val="right"/>
        <w:spacing w:line="360" w:lineRule="auto"/>
        <w:rPr>
          <w:rFonts w:hint="eastAsia" w:ascii="仿宋" w:hAnsi="仿宋" w:eastAsia="仿宋" w:cs="仿宋"/>
          <w:color w:val="000000" w:themeColor="text1"/>
          <w:spacing w:val="-1"/>
        </w:rPr>
      </w:pPr>
      <w:r>
        <w:rPr>
          <w:rFonts w:hint="eastAsia" w:ascii="仿宋" w:hAnsi="仿宋" w:eastAsia="仿宋" w:cs="仿宋"/>
          <w:color w:val="000000" w:themeColor="text1"/>
          <w:spacing w:val="-1"/>
        </w:rPr>
        <w:t xml:space="preserve">企业名称（</w:t>
      </w:r>
      <w:r>
        <w:rPr>
          <w:rFonts w:hint="eastAsia" w:ascii="仿宋" w:hAnsi="仿宋" w:eastAsia="仿宋" w:cs="仿宋"/>
          <w:color w:val="000000" w:themeColor="text1"/>
        </w:rPr>
        <w:t xml:space="preserve">加盖电子公章</w:t>
      </w:r>
      <w:r>
        <w:rPr>
          <w:rFonts w:hint="eastAsia" w:ascii="仿宋" w:hAnsi="仿宋" w:eastAsia="仿宋" w:cs="仿宋"/>
          <w:color w:val="000000" w:themeColor="text1"/>
          <w:spacing w:val="-1"/>
        </w:rPr>
        <w:t xml:space="preserve">）：</w:t>
      </w:r>
      <w:r/>
    </w:p>
    <w:p>
      <w:pPr>
        <w:pStyle w:val="923"/>
        <w:ind w:right="1096"/>
        <w:jc w:val="right"/>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日期：</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备注：</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1.从业人员、营业收入、资产总额填报上一年度数据，无上</w:t>
      </w:r>
      <w:r>
        <w:rPr>
          <w:rFonts w:hint="eastAsia" w:ascii="仿宋" w:hAnsi="仿宋" w:eastAsia="仿宋" w:cs="仿宋"/>
          <w:color w:val="000000" w:themeColor="text1"/>
          <w:sz w:val="24"/>
        </w:rPr>
        <w:t xml:space="preserve">一</w:t>
      </w:r>
      <w:r>
        <w:rPr>
          <w:rFonts w:hint="eastAsia" w:ascii="仿宋" w:hAnsi="仿宋" w:eastAsia="仿宋" w:cs="仿宋"/>
          <w:color w:val="000000" w:themeColor="text1"/>
          <w:sz w:val="24"/>
        </w:rPr>
        <w:t xml:space="preserve">年度数据的新成立企业可不填报。</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2.在所属企业类型前的</w:t>
      </w: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内打“√”。</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3.供应商如不提供此声明函，不得参加专门面向中小企业采购项目或者不得享受小</w:t>
      </w:r>
      <w:r>
        <w:rPr>
          <w:rFonts w:hint="eastAsia" w:ascii="仿宋" w:hAnsi="仿宋" w:eastAsia="仿宋" w:cs="仿宋"/>
          <w:color w:val="000000" w:themeColor="text1"/>
          <w:sz w:val="24"/>
        </w:rPr>
        <w:t xml:space="preserve">微企业</w:t>
      </w:r>
      <w:r>
        <w:rPr>
          <w:rFonts w:hint="eastAsia" w:ascii="仿宋" w:hAnsi="仿宋" w:eastAsia="仿宋" w:cs="仿宋"/>
          <w:color w:val="000000" w:themeColor="text1"/>
          <w:sz w:val="24"/>
        </w:rPr>
        <w:t xml:space="preserve">价格扣除政策。此</w:t>
      </w:r>
      <w:r>
        <w:rPr>
          <w:rFonts w:hint="eastAsia" w:ascii="仿宋" w:hAnsi="仿宋" w:eastAsia="仿宋" w:cs="仿宋"/>
          <w:color w:val="000000" w:themeColor="text1"/>
          <w:sz w:val="24"/>
        </w:rPr>
        <w:t xml:space="preserve">声明函将随</w:t>
      </w:r>
      <w:r>
        <w:rPr>
          <w:rFonts w:hint="eastAsia" w:ascii="仿宋" w:hAnsi="仿宋" w:eastAsia="仿宋" w:cs="仿宋"/>
          <w:color w:val="000000" w:themeColor="text1"/>
          <w:sz w:val="24"/>
        </w:rPr>
        <w:t xml:space="preserve">中标结果同时公告，接受社会监督。</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4.服务采购项目中，服务的</w:t>
      </w:r>
      <w:r>
        <w:rPr>
          <w:rFonts w:hint="eastAsia" w:ascii="仿宋" w:hAnsi="仿宋" w:eastAsia="仿宋" w:cs="仿宋"/>
          <w:color w:val="000000" w:themeColor="text1"/>
          <w:sz w:val="24"/>
        </w:rPr>
        <w:t xml:space="preserve">承接商</w:t>
      </w:r>
      <w:r>
        <w:rPr>
          <w:rFonts w:hint="eastAsia" w:ascii="仿宋" w:hAnsi="仿宋" w:eastAsia="仿宋" w:cs="仿宋"/>
          <w:color w:val="000000" w:themeColor="text1"/>
          <w:sz w:val="24"/>
        </w:rPr>
        <w:t xml:space="preserve">应当为中小企业，不对其中涉及的货物的制造商、工程的承建商</w:t>
      </w:r>
      <w:r>
        <w:rPr>
          <w:rFonts w:hint="eastAsia" w:ascii="仿宋" w:hAnsi="仿宋" w:eastAsia="仿宋" w:cs="仿宋"/>
          <w:color w:val="000000" w:themeColor="text1"/>
          <w:sz w:val="24"/>
        </w:rPr>
        <w:t xml:space="preserve">作出</w:t>
      </w:r>
      <w:r>
        <w:rPr>
          <w:rFonts w:hint="eastAsia" w:ascii="仿宋" w:hAnsi="仿宋" w:eastAsia="仿宋" w:cs="仿宋"/>
          <w:color w:val="000000" w:themeColor="text1"/>
          <w:sz w:val="24"/>
        </w:rPr>
        <w:t xml:space="preserve">要求。</w:t>
      </w:r>
      <w:r/>
    </w:p>
    <w:p>
      <w:pPr>
        <w:spacing w:line="360" w:lineRule="auto"/>
        <w:rPr>
          <w:rFonts w:hint="eastAsia" w:ascii="仿宋" w:hAnsi="仿宋" w:eastAsia="仿宋"/>
          <w:b/>
          <w:bCs/>
          <w:color w:val="000000" w:themeColor="text1"/>
          <w:sz w:val="24"/>
        </w:rPr>
      </w:pPr>
      <w:r>
        <w:rPr>
          <w:rFonts w:ascii="仿宋" w:hAnsi="仿宋" w:eastAsia="仿宋"/>
          <w:color w:val="000000" w:themeColor="text1"/>
          <w:sz w:val="24"/>
        </w:rPr>
        <w:br w:type="page" w:clear="all"/>
      </w:r>
      <w:bookmarkEnd w:id="169"/>
      <w:r>
        <w:rPr>
          <w:rFonts w:hint="eastAsia" w:ascii="仿宋" w:hAnsi="仿宋" w:eastAsia="仿宋"/>
          <w:b/>
          <w:bCs/>
          <w:color w:val="000000" w:themeColor="text1"/>
          <w:sz w:val="24"/>
        </w:rPr>
        <w:t xml:space="preserve">2、残疾人福利性单位声明函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本单位对上述声明的真实性负责。如有虚假，将依法承担相应责任。 </w:t>
      </w:r>
      <w:r/>
    </w:p>
    <w:p>
      <w:pPr>
        <w:ind w:firstLine="480"/>
        <w:jc w:val="right"/>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单位名称（</w:t>
      </w:r>
      <w:r>
        <w:rPr>
          <w:rFonts w:hint="eastAsia" w:ascii="仿宋" w:hAnsi="仿宋" w:eastAsia="仿宋" w:cs="仿宋"/>
          <w:color w:val="000000" w:themeColor="text1"/>
          <w:sz w:val="24"/>
        </w:rPr>
        <w:t xml:space="preserve">加盖电子公章</w:t>
      </w:r>
      <w:r>
        <w:rPr>
          <w:rFonts w:hint="eastAsia" w:ascii="仿宋" w:hAnsi="仿宋" w:eastAsia="仿宋"/>
          <w:color w:val="000000" w:themeColor="text1"/>
          <w:sz w:val="24"/>
        </w:rPr>
        <w:t xml:space="preserve">）： </w:t>
      </w:r>
      <w:r/>
    </w:p>
    <w:p>
      <w:pPr>
        <w:ind w:firstLine="480"/>
        <w:jc w:val="right"/>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日  期：</w:t>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3、属于监狱企业的证明文件</w:t>
      </w:r>
      <w:r/>
    </w:p>
    <w:p>
      <w:pPr>
        <w:ind w:firstLine="480"/>
        <w:jc w:val="left"/>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（提供由省级以上监狱管理局、戒毒管理局（含新疆生产建设兵团）出具的属于监狱企业的证明文件）</w:t>
      </w:r>
      <w:r/>
    </w:p>
    <w:p>
      <w:pPr>
        <w:ind w:firstLine="480"/>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jc w:val="left"/>
        <w:spacing w:line="360" w:lineRule="auto"/>
        <w:rPr>
          <w:rFonts w:hint="eastAsia" w:ascii="仿宋" w:hAnsi="仿宋" w:eastAsia="仿宋"/>
          <w:color w:val="000000" w:themeColor="text1"/>
          <w:sz w:val="24"/>
        </w:rPr>
      </w:pPr>
      <w:r/>
      <w:bookmarkStart w:id="170" w:name="_Toc33266164"/>
      <w:r/>
      <w:r/>
    </w:p>
    <w:p>
      <w:pPr>
        <w:spacing w:line="360" w:lineRule="auto"/>
        <w:rPr>
          <w:rFonts w:hint="eastAsia" w:ascii="仿宋" w:hAnsi="仿宋" w:eastAsia="仿宋" w:cs="仿宋"/>
          <w:b/>
          <w:bCs/>
          <w:color w:val="000000" w:themeColor="text1"/>
          <w:sz w:val="24"/>
        </w:rPr>
      </w:pPr>
      <w:r/>
      <w:bookmarkStart w:id="171" w:name="_Toc38723701"/>
      <w:r/>
      <w:bookmarkStart w:id="172" w:name="_Toc38721229"/>
      <w:r>
        <w:rPr>
          <w:rFonts w:ascii="仿宋" w:hAnsi="仿宋" w:eastAsia="仿宋"/>
          <w:color w:val="000000" w:themeColor="text1"/>
          <w:sz w:val="24"/>
        </w:rPr>
        <w:br w:type="page" w:clear="all"/>
      </w:r>
      <w:bookmarkEnd w:id="170"/>
      <w:r/>
      <w:bookmarkEnd w:id="171"/>
      <w:r/>
      <w:bookmarkEnd w:id="172"/>
      <w:r/>
      <w:r/>
    </w:p>
    <w:p>
      <w:pPr>
        <w:pStyle w:val="903"/>
        <w:spacing w:line="360" w:lineRule="auto"/>
        <w:rPr>
          <w:rFonts w:hint="eastAsia" w:ascii="仿宋" w:hAnsi="仿宋" w:eastAsia="仿宋"/>
          <w:color w:val="000000" w:themeColor="text1"/>
          <w:sz w:val="24"/>
          <w:szCs w:val="24"/>
        </w:rPr>
      </w:pPr>
      <w:r/>
      <w:bookmarkStart w:id="173" w:name="_Toc207712379"/>
      <w:r/>
      <w:bookmarkStart w:id="174" w:name="_Toc207116114"/>
      <w:r/>
      <w:bookmarkStart w:id="175" w:name="_Toc23630"/>
      <w:r/>
      <w:bookmarkStart w:id="176" w:name="_Toc38723702"/>
      <w:r/>
      <w:bookmarkStart w:id="177" w:name="_Toc33266165"/>
      <w:r/>
      <w:bookmarkStart w:id="178" w:name="_Toc50974363"/>
      <w:r/>
      <w:bookmarkStart w:id="179" w:name="_Toc50644502"/>
      <w:r/>
      <w:bookmarkStart w:id="180" w:name="_Toc38721230"/>
      <w:r>
        <w:rPr>
          <w:rFonts w:hint="eastAsia" w:ascii="仿宋" w:hAnsi="仿宋" w:eastAsia="仿宋"/>
          <w:color w:val="000000" w:themeColor="text1"/>
          <w:sz w:val="24"/>
          <w:szCs w:val="24"/>
        </w:rPr>
        <w:t xml:space="preserve">附件十五、</w:t>
      </w:r>
      <w:r>
        <w:rPr>
          <w:rFonts w:ascii="仿宋" w:hAnsi="仿宋" w:eastAsia="仿宋"/>
          <w:color w:val="000000" w:themeColor="text1"/>
          <w:sz w:val="24"/>
          <w:szCs w:val="24"/>
        </w:rPr>
        <w:t xml:space="preserve">具备履行合同所必需的设备和专业技术能力的书面声明的格式</w:t>
      </w:r>
      <w:bookmarkEnd w:id="173"/>
      <w:r/>
      <w:bookmarkEnd w:id="174"/>
      <w:r/>
      <w:bookmarkEnd w:id="175"/>
      <w:r/>
      <w:r/>
    </w:p>
    <w:p>
      <w:pPr>
        <w:ind w:firstLine="466"/>
        <w:jc w:val="center"/>
        <w:spacing w:line="360" w:lineRule="auto"/>
        <w:rPr>
          <w:rFonts w:hint="eastAsia" w:ascii="仿宋" w:hAnsi="仿宋" w:eastAsia="仿宋" w:cs="仿宋"/>
          <w:b/>
          <w:color w:val="000000" w:themeColor="text1"/>
          <w:sz w:val="24"/>
          <w:lang w:val="zh-CN"/>
        </w:rPr>
      </w:pPr>
      <w:r>
        <w:rPr>
          <w:rFonts w:hint="eastAsia" w:ascii="仿宋" w:hAnsi="仿宋" w:eastAsia="仿宋" w:cs="仿宋"/>
          <w:b/>
          <w:color w:val="000000" w:themeColor="text1"/>
          <w:sz w:val="24"/>
          <w:lang w:val="zh-CN"/>
        </w:rPr>
        <w:t xml:space="preserve">具备履行合同所必需的设备和专业技术能力的书面声明</w:t>
      </w:r>
      <w:r/>
    </w:p>
    <w:p>
      <w:pPr>
        <w:spacing w:line="360" w:lineRule="auto"/>
        <w:rPr>
          <w:rFonts w:hint="eastAsia" w:ascii="仿宋" w:hAnsi="仿宋" w:eastAsia="仿宋" w:cs="仿宋"/>
          <w:color w:val="000000" w:themeColor="text1"/>
          <w:sz w:val="24"/>
        </w:rPr>
      </w:pPr>
      <w:r>
        <w:rPr>
          <w:rFonts w:hint="eastAsia" w:ascii="仿宋" w:hAnsi="仿宋" w:eastAsia="仿宋" w:cs="仿宋"/>
          <w:b/>
          <w:color w:val="000000" w:themeColor="text1"/>
          <w:sz w:val="24"/>
          <w:lang w:val="zh-CN"/>
        </w:rPr>
        <w:t xml:space="preserve">南京江宁经济技术开发区管理委员会</w:t>
      </w:r>
      <w:r>
        <w:rPr>
          <w:rFonts w:hint="eastAsia" w:ascii="仿宋" w:hAnsi="仿宋" w:eastAsia="仿宋" w:cs="仿宋"/>
          <w:color w:val="000000" w:themeColor="text1"/>
          <w:sz w:val="24"/>
        </w:rPr>
        <w:t xml:space="preserve">：</w:t>
      </w:r>
      <w:r/>
    </w:p>
    <w:p>
      <w:pPr>
        <w:ind w:firstLine="464"/>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我单位</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（供应商名称）郑重声明：</w:t>
      </w:r>
      <w:r/>
    </w:p>
    <w:p>
      <w:pPr>
        <w:ind w:firstLine="48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我公司具备履行本项采购合同所必需的设备和专业技术能力，为履行本项采购合同我公司具备如下主要设备和主要专业技术能力：</w:t>
      </w:r>
      <w:r/>
    </w:p>
    <w:p>
      <w:pPr>
        <w:ind w:firstLine="464"/>
        <w:spacing w:line="360" w:lineRule="auto"/>
        <w:rPr>
          <w:color w:val="000000" w:themeColor="text1"/>
        </w:rPr>
      </w:pPr>
      <w:r>
        <w:rPr>
          <w:rFonts w:hint="eastAsia" w:ascii="仿宋" w:hAnsi="仿宋" w:eastAsia="仿宋" w:cs="仿宋"/>
          <w:color w:val="000000" w:themeColor="text1"/>
          <w:sz w:val="24"/>
        </w:rPr>
        <w:t xml:space="preserve">主要设备有：________</w:t>
      </w:r>
      <w:r/>
    </w:p>
    <w:p>
      <w:pPr>
        <w:ind w:firstLine="464"/>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主要专业技术能力有：________</w:t>
      </w:r>
      <w:r/>
    </w:p>
    <w:p>
      <w:pPr>
        <w:ind w:firstLine="464"/>
        <w:spacing w:line="46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64"/>
        <w:spacing w:line="46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bookmarkEnd w:id="176"/>
      <w:r/>
      <w:bookmarkEnd w:id="177"/>
      <w:r/>
      <w:bookmarkEnd w:id="178"/>
      <w:r/>
      <w:bookmarkEnd w:id="179"/>
      <w:r/>
      <w:bookmarkEnd w:id="180"/>
      <w:r/>
      <w:r/>
    </w:p>
    <w:p>
      <w:pPr>
        <w:ind w:firstLine="480"/>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供应商名称：</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加盖电子公章</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日期：年月日</w:t>
      </w:r>
      <w:r/>
    </w:p>
    <w:p>
      <w:pPr>
        <w:jc w:val="left"/>
        <w:widowControl/>
        <w:rPr>
          <w:color w:val="000000" w:themeColor="text1"/>
        </w:rPr>
      </w:pPr>
      <w:r>
        <w:rPr>
          <w:color w:val="000000" w:themeColor="text1"/>
        </w:rPr>
      </w:r>
      <w:r/>
    </w:p>
    <w:p>
      <w:pPr>
        <w:spacing w:line="360" w:lineRule="auto"/>
        <w:rPr>
          <w:rFonts w:hint="eastAsia" w:ascii="仿宋" w:hAnsi="仿宋" w:eastAsia="仿宋"/>
          <w:b/>
          <w:bCs/>
          <w:color w:val="000000" w:themeColor="text1"/>
          <w:sz w:val="24"/>
          <w:lang w:val="zh-CN"/>
        </w:rPr>
      </w:pPr>
      <w:r/>
      <w:bookmarkStart w:id="181" w:name="_Toc108793407"/>
      <w:r/>
      <w:bookmarkStart w:id="182" w:name="_Toc133418970"/>
      <w:r/>
      <w:bookmarkStart w:id="183" w:name="_Toc5923"/>
      <w:r/>
      <w:bookmarkStart w:id="184" w:name="_Toc69202857"/>
      <w:r/>
      <w:bookmarkStart w:id="185" w:name="_Toc50035742"/>
      <w:r/>
      <w:bookmarkStart w:id="186" w:name="_Toc99466371"/>
      <w:r/>
      <w:bookmarkStart w:id="187" w:name="_Toc16734"/>
      <w:r/>
      <w:bookmarkStart w:id="188" w:name="_Toc126065766"/>
      <w:r/>
      <w:bookmarkStart w:id="189" w:name="_Toc120873498"/>
      <w:r/>
      <w:bookmarkStart w:id="190" w:name="_Toc39048952"/>
      <w:r/>
      <w:r/>
    </w:p>
    <w:p>
      <w:pPr>
        <w:spacing w:line="360" w:lineRule="auto"/>
        <w:rPr>
          <w:rFonts w:hint="eastAsia" w:ascii="仿宋" w:hAnsi="仿宋" w:eastAsia="仿宋" w:cs="仿宋"/>
          <w:b/>
          <w:bCs/>
          <w:color w:val="000000" w:themeColor="text1"/>
          <w:sz w:val="24"/>
        </w:rPr>
      </w:pPr>
      <w:r>
        <w:rPr>
          <w:rFonts w:hint="eastAsia" w:ascii="仿宋" w:hAnsi="仿宋" w:eastAsia="仿宋"/>
          <w:b/>
          <w:bCs/>
          <w:color w:val="000000" w:themeColor="text1"/>
          <w:sz w:val="24"/>
          <w:lang w:val="zh-CN"/>
        </w:rPr>
        <w:t xml:space="preserve">附件十</w:t>
      </w:r>
      <w:r>
        <w:rPr>
          <w:rFonts w:hint="eastAsia" w:ascii="仿宋" w:hAnsi="仿宋" w:eastAsia="仿宋"/>
          <w:b/>
          <w:bCs/>
          <w:color w:val="000000" w:themeColor="text1"/>
          <w:sz w:val="24"/>
        </w:rPr>
        <w:t xml:space="preserve">六</w:t>
      </w:r>
      <w:r>
        <w:rPr>
          <w:rFonts w:hint="eastAsia" w:ascii="仿宋" w:hAnsi="仿宋" w:eastAsia="仿宋"/>
          <w:b/>
          <w:bCs/>
          <w:color w:val="000000" w:themeColor="text1"/>
          <w:sz w:val="24"/>
          <w:lang w:val="zh-CN"/>
        </w:rPr>
        <w:t xml:space="preserve">、无重大违法记录声明格式</w:t>
      </w:r>
      <w:bookmarkEnd w:id="181"/>
      <w:r/>
      <w:bookmarkEnd w:id="182"/>
      <w:r/>
      <w:bookmarkEnd w:id="183"/>
      <w:r/>
      <w:bookmarkEnd w:id="184"/>
      <w:r/>
      <w:bookmarkEnd w:id="185"/>
      <w:r/>
      <w:bookmarkEnd w:id="186"/>
      <w:r/>
      <w:bookmarkEnd w:id="187"/>
      <w:r/>
      <w:bookmarkEnd w:id="188"/>
      <w:r/>
      <w:bookmarkEnd w:id="189"/>
      <w:r/>
      <w:bookmarkEnd w:id="190"/>
      <w:r/>
      <w:r/>
    </w:p>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无重大违法记录声明</w:t>
      </w:r>
      <w:r/>
    </w:p>
    <w:p>
      <w:pPr>
        <w:spacing w:line="360" w:lineRule="auto"/>
        <w:rPr>
          <w:rFonts w:hint="eastAsia" w:ascii="仿宋" w:hAnsi="仿宋" w:eastAsia="仿宋" w:cs="仿宋"/>
          <w:color w:val="000000" w:themeColor="text1"/>
          <w:sz w:val="24"/>
        </w:rPr>
      </w:pPr>
      <w:r>
        <w:rPr>
          <w:rFonts w:hint="eastAsia" w:ascii="仿宋" w:hAnsi="仿宋" w:eastAsia="仿宋" w:cs="仿宋"/>
          <w:b/>
          <w:color w:val="000000" w:themeColor="text1"/>
          <w:sz w:val="24"/>
          <w:lang w:val="zh-CN"/>
        </w:rPr>
        <w:t xml:space="preserve">南京江宁经济技术开发区管理委员会</w:t>
      </w:r>
      <w:r>
        <w:rPr>
          <w:rFonts w:hint="eastAsia" w:ascii="仿宋" w:hAnsi="仿宋" w:eastAsia="仿宋" w:cs="仿宋"/>
          <w:color w:val="000000" w:themeColor="text1"/>
          <w:sz w:val="24"/>
        </w:rPr>
        <w:t xml:space="preserve">：</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我单位</w:t>
      </w:r>
      <w:r>
        <w:rPr>
          <w:rFonts w:hint="eastAsia" w:ascii="仿宋" w:hAnsi="仿宋" w:eastAsia="仿宋" w:cs="仿宋"/>
          <w:color w:val="000000" w:themeColor="text1"/>
          <w:sz w:val="24"/>
          <w:u w:val="single"/>
        </w:rPr>
        <w:t xml:space="preserve">＿＿＿＿</w:t>
      </w:r>
      <w:r>
        <w:rPr>
          <w:rFonts w:hint="eastAsia" w:ascii="仿宋" w:hAnsi="仿宋" w:eastAsia="仿宋" w:cs="仿宋"/>
          <w:color w:val="000000" w:themeColor="text1"/>
          <w:sz w:val="24"/>
        </w:rPr>
        <w:t xml:space="preserve">（供应商名称）郑重声明：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参加政府采购活动前</w:t>
      </w:r>
      <w:r>
        <w:rPr>
          <w:rFonts w:ascii="仿宋" w:hAnsi="仿宋" w:eastAsia="仿宋" w:cs="仿宋"/>
          <w:color w:val="000000" w:themeColor="text1"/>
          <w:sz w:val="24"/>
        </w:rPr>
        <w:t xml:space="preserve">3年内在经营活动中</w:t>
      </w:r>
      <w:r>
        <w:rPr>
          <w:rFonts w:hint="eastAsia" w:ascii="仿宋" w:hAnsi="仿宋" w:eastAsia="仿宋" w:cs="仿宋"/>
          <w:color w:val="000000" w:themeColor="text1"/>
          <w:sz w:val="24"/>
          <w:u w:val="single"/>
        </w:rPr>
        <w:t xml:space="preserve">＿＿＿＿</w:t>
      </w:r>
      <w:r>
        <w:rPr>
          <w:rFonts w:ascii="仿宋" w:hAnsi="仿宋" w:eastAsia="仿宋" w:cs="仿宋"/>
          <w:color w:val="000000" w:themeColor="text1"/>
          <w:sz w:val="24"/>
        </w:rPr>
        <w:t xml:space="preserve">（在下划线上如实填写：有或没有）重大违法记录</w:t>
      </w:r>
      <w:r>
        <w:rPr>
          <w:rFonts w:hint="eastAsia" w:ascii="仿宋" w:hAnsi="仿宋" w:eastAsia="仿宋" w:cs="仿宋"/>
          <w:color w:val="000000" w:themeColor="text1"/>
          <w:sz w:val="24"/>
        </w:rPr>
        <w:t xml:space="preserve">。</w:t>
      </w:r>
      <w:r/>
    </w:p>
    <w:p>
      <w:pPr>
        <w:ind w:firstLine="485"/>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（说明：政府采购法第二十二条第一款第五项所</w:t>
      </w:r>
      <w:r>
        <w:rPr>
          <w:rFonts w:hint="eastAsia" w:ascii="仿宋" w:hAnsi="仿宋" w:eastAsia="仿宋" w:cs="仿宋"/>
          <w:color w:val="000000" w:themeColor="text1"/>
          <w:sz w:val="24"/>
        </w:rPr>
        <w:t xml:space="preserve">称重大</w:t>
      </w:r>
      <w:r>
        <w:rPr>
          <w:rFonts w:hint="eastAsia" w:ascii="仿宋" w:hAnsi="仿宋" w:eastAsia="仿宋" w:cs="仿宋"/>
          <w:color w:val="000000" w:themeColor="text1"/>
          <w:sz w:val="24"/>
        </w:rPr>
        <w:t xml:space="preserve">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声明人（加盖电子公章）：</w:t>
      </w:r>
      <w:r/>
    </w:p>
    <w:p>
      <w:pPr>
        <w:ind w:firstLine="480"/>
        <w:spacing w:line="360" w:lineRule="auto"/>
        <w:rPr>
          <w:rFonts w:hint="eastAsia" w:ascii="仿宋" w:hAnsi="仿宋" w:eastAsia="仿宋" w:cs="仿宋"/>
          <w:b/>
          <w:bCs/>
          <w:color w:val="000000" w:themeColor="text1"/>
          <w:sz w:val="24"/>
        </w:rPr>
      </w:pPr>
      <w:r>
        <w:rPr>
          <w:rFonts w:hint="eastAsia" w:ascii="仿宋" w:hAnsi="仿宋" w:eastAsia="仿宋" w:cs="仿宋"/>
          <w:color w:val="000000" w:themeColor="text1"/>
          <w:sz w:val="24"/>
        </w:rPr>
        <w:t xml:space="preserve">日期：年月日</w:t>
      </w:r>
      <w:r/>
    </w:p>
    <w:sectPr>
      <w:footerReference w:type="default" r:id="rId16"/>
      <w:footnotePr/>
      <w:endnotePr>
        <w:numFmt w:val="decimal"/>
      </w:endnotePr>
      <w:type w:val="nextPage"/>
      <w:pgSz w:w="11905" w:h="16838" w:orient="portrait"/>
      <w:pgMar w:top="1440" w:right="1800" w:bottom="1440" w:left="1800" w:header="680"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otum">
    <w:panose1 w:val="020B0600000101010101"/>
  </w:font>
  <w:font w:name="楷体">
    <w:panose1 w:val="02010609060101010101"/>
  </w:font>
  <w:font w:name="华文细黑">
    <w:panose1 w:val="02010600040101010101"/>
  </w:font>
  <w:font w:name="方正小标宋_GBK">
    <w:panose1 w:val="020B0503020202020204"/>
  </w:font>
  <w:font w:name="汉仪大黑简">
    <w:panose1 w:val="020B0503020202020204"/>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等线">
    <w:panose1 w:val="02010600030101010101"/>
  </w:font>
  <w:font w:name="仿宋">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微软雅黑">
    <w:panose1 w:val="020B0503020204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rPr>
        <w:rFonts w:eastAsia="仿宋"/>
      </w:rPr>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27</w:t>
    </w:r>
    <w:r>
      <w:rPr>
        <w:rFonts w:ascii="仿宋" w:hAnsi="仿宋" w:eastAsia="仿宋"/>
        <w:b/>
        <w:bCs/>
        <w:szCs w:val="21"/>
      </w:rPr>
      <w:fldChar w:fldCharType="end"/>
    </w:r>
    <w:r>
      <w:rPr>
        <w:rFonts w:hint="eastAsia" w:ascii="仿宋" w:hAnsi="仿宋" w:eastAsia="仿宋"/>
        <w:b/>
        <w:bCs/>
        <w:szCs w:val="21"/>
      </w:rPr>
      <w:t xml:space="preserve"> </w:t>
    </w:r>
    <w:r>
      <w:rPr>
        <w:rFonts w:hint="eastAsia" w:ascii="仿宋" w:hAnsi="仿宋" w:eastAsia="仿宋"/>
        <w:b/>
        <w:bCs/>
        <w:szCs w:val="21"/>
      </w:rPr>
      <w:t xml:space="preserve">页共</w:t>
    </w:r>
    <w:r>
      <w:rPr>
        <w:rFonts w:hint="eastAsia" w:ascii="仿宋" w:hAnsi="仿宋" w:eastAsia="仿宋"/>
        <w:b/>
        <w:bCs/>
        <w:szCs w:val="21"/>
      </w:rPr>
      <w:t xml:space="preserve"> </w:t>
    </w:r>
    <w:r>
      <w:rPr>
        <w:rFonts w:hint="eastAsia" w:ascii="仿宋" w:hAnsi="仿宋" w:eastAsia="仿宋"/>
        <w:b/>
        <w:bCs/>
        <w:szCs w:val="21"/>
      </w:rPr>
      <w:t xml:space="preserve">86</w:t>
    </w:r>
    <w:r>
      <w:rPr>
        <w:rFonts w:hint="eastAsia" w:ascii="仿宋" w:hAnsi="仿宋" w:eastAsia="仿宋"/>
        <w:b/>
        <w:bCs/>
        <w:szCs w:val="21"/>
      </w:rPr>
      <w:t xml:space="preserve"> 页                  电话：025-83111722</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Fonts w:eastAsia="仿宋"/>
      </w:rPr>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59</w:t>
    </w:r>
    <w:r>
      <w:rPr>
        <w:rFonts w:ascii="仿宋" w:hAnsi="仿宋" w:eastAsia="仿宋"/>
        <w:b/>
        <w:bCs/>
        <w:szCs w:val="21"/>
      </w:rPr>
      <w:fldChar w:fldCharType="end"/>
    </w:r>
    <w:r>
      <w:rPr>
        <w:rFonts w:hint="eastAsia" w:ascii="仿宋" w:hAnsi="仿宋" w:eastAsia="仿宋"/>
        <w:b/>
        <w:bCs/>
        <w:szCs w:val="21"/>
      </w:rPr>
      <w:t xml:space="preserve">页共8</w:t>
    </w:r>
    <w:r>
      <w:rPr>
        <w:rFonts w:hint="eastAsia" w:ascii="仿宋" w:hAnsi="仿宋" w:eastAsia="仿宋"/>
        <w:b/>
        <w:bCs/>
        <w:szCs w:val="21"/>
      </w:rPr>
      <w:t xml:space="preserve">6</w:t>
    </w:r>
    <w:r>
      <w:rPr>
        <w:rFonts w:hint="eastAsia" w:ascii="仿宋" w:hAnsi="仿宋" w:eastAsia="仿宋"/>
        <w:b/>
        <w:bCs/>
        <w:szCs w:val="21"/>
      </w:rPr>
      <w:t xml:space="preserve">页</w:t>
    </w:r>
    <w:r>
      <w:rPr>
        <w:rFonts w:hint="eastAsia" w:ascii="仿宋" w:hAnsi="仿宋" w:eastAsia="仿宋"/>
        <w:b/>
        <w:bCs/>
        <w:szCs w:val="21"/>
      </w:rPr>
      <w:t xml:space="preserve">              电话：025-83111722</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84</w:t>
    </w:r>
    <w:r>
      <w:rPr>
        <w:rFonts w:ascii="仿宋" w:hAnsi="仿宋" w:eastAsia="仿宋"/>
        <w:b/>
        <w:bCs/>
        <w:szCs w:val="21"/>
      </w:rPr>
      <w:fldChar w:fldCharType="end"/>
    </w:r>
    <w:r>
      <w:rPr>
        <w:rFonts w:hint="eastAsia" w:ascii="仿宋" w:hAnsi="仿宋" w:eastAsia="仿宋"/>
        <w:b/>
        <w:bCs/>
        <w:szCs w:val="21"/>
      </w:rPr>
      <w:t xml:space="preserve">页共8</w:t>
    </w:r>
    <w:r>
      <w:rPr>
        <w:rFonts w:hint="eastAsia" w:ascii="仿宋" w:hAnsi="仿宋" w:eastAsia="仿宋"/>
        <w:b/>
        <w:bCs/>
        <w:szCs w:val="21"/>
      </w:rPr>
      <w:t xml:space="preserve">6</w:t>
    </w:r>
    <w:r>
      <w:rPr>
        <w:rFonts w:hint="eastAsia" w:ascii="仿宋" w:hAnsi="仿宋" w:eastAsia="仿宋"/>
        <w:b/>
        <w:bCs/>
        <w:szCs w:val="21"/>
      </w:rPr>
      <w:t xml:space="preserve">页</w:t>
    </w:r>
    <w:r>
      <w:rPr>
        <w:rFonts w:hint="eastAsia" w:ascii="仿宋" w:hAnsi="仿宋" w:eastAsia="仿宋"/>
        <w:b/>
        <w:bCs/>
        <w:szCs w:val="21"/>
      </w:rPr>
      <w:t xml:space="preserve">               电话：025-83111722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Fonts w:hint="eastAsia"/>
      </w:rPr>
    </w:pPr>
    <w:r>
      <w:rPr>
        <w:rFonts w:hint="eastAsia"/>
      </w:rPr>
      <w:t xml:space="preserve">江宁开发区智慧水</w:t>
    </w:r>
    <w:r>
      <w:rPr>
        <w:rFonts w:hint="eastAsia"/>
      </w:rPr>
      <w:t xml:space="preserve">务</w:t>
    </w:r>
    <w:r>
      <w:rPr>
        <w:rFonts w:hint="eastAsia"/>
      </w:rPr>
      <w:t xml:space="preserve">平台后期运维服务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Fonts w:hint="eastAsia"/>
      </w:rPr>
    </w:pPr>
    <w:r>
      <w:rPr>
        <w:rFonts w:hint="eastAsia" w:cs="仿宋"/>
        <w:bCs/>
      </w:rPr>
      <w:t xml:space="preserve">江宁开发区2025年智慧水</w:t>
    </w:r>
    <w:r>
      <w:rPr>
        <w:rFonts w:hint="eastAsia" w:cs="仿宋"/>
        <w:bCs/>
      </w:rPr>
      <w:t xml:space="preserve">务</w:t>
    </w:r>
    <w:r>
      <w:rPr>
        <w:rFonts w:hint="eastAsia" w:cs="仿宋"/>
        <w:bCs/>
      </w:rPr>
      <w:t xml:space="preserve">平台后期运维服务</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911"/>
    <w:link w:val="1301"/>
    <w:uiPriority w:val="9"/>
    <w:rPr>
      <w:rFonts w:ascii="Arial" w:hAnsi="Arial" w:eastAsia="Arial" w:cs="Arial"/>
      <w:sz w:val="40"/>
      <w:szCs w:val="40"/>
    </w:rPr>
  </w:style>
  <w:style w:type="character" w:styleId="757">
    <w:name w:val="Heading 2 Char"/>
    <w:basedOn w:val="911"/>
    <w:link w:val="903"/>
    <w:uiPriority w:val="9"/>
    <w:rPr>
      <w:rFonts w:ascii="Arial" w:hAnsi="Arial" w:eastAsia="Arial" w:cs="Arial"/>
      <w:sz w:val="34"/>
    </w:rPr>
  </w:style>
  <w:style w:type="character" w:styleId="758">
    <w:name w:val="Heading 3 Char"/>
    <w:basedOn w:val="911"/>
    <w:link w:val="904"/>
    <w:uiPriority w:val="9"/>
    <w:rPr>
      <w:rFonts w:ascii="Arial" w:hAnsi="Arial" w:eastAsia="Arial" w:cs="Arial"/>
      <w:sz w:val="30"/>
      <w:szCs w:val="30"/>
    </w:rPr>
  </w:style>
  <w:style w:type="character" w:styleId="759">
    <w:name w:val="Heading 4 Char"/>
    <w:basedOn w:val="911"/>
    <w:link w:val="905"/>
    <w:uiPriority w:val="9"/>
    <w:rPr>
      <w:rFonts w:ascii="Arial" w:hAnsi="Arial" w:eastAsia="Arial" w:cs="Arial"/>
      <w:b/>
      <w:bCs/>
      <w:sz w:val="26"/>
      <w:szCs w:val="26"/>
    </w:rPr>
  </w:style>
  <w:style w:type="character" w:styleId="760">
    <w:name w:val="Heading 5 Char"/>
    <w:basedOn w:val="911"/>
    <w:link w:val="906"/>
    <w:uiPriority w:val="9"/>
    <w:rPr>
      <w:rFonts w:ascii="Arial" w:hAnsi="Arial" w:eastAsia="Arial" w:cs="Arial"/>
      <w:b/>
      <w:bCs/>
      <w:sz w:val="24"/>
      <w:szCs w:val="24"/>
    </w:rPr>
  </w:style>
  <w:style w:type="character" w:styleId="761">
    <w:name w:val="Heading 6 Char"/>
    <w:basedOn w:val="911"/>
    <w:link w:val="907"/>
    <w:uiPriority w:val="9"/>
    <w:rPr>
      <w:rFonts w:ascii="Arial" w:hAnsi="Arial" w:eastAsia="Arial" w:cs="Arial"/>
      <w:b/>
      <w:bCs/>
      <w:sz w:val="22"/>
      <w:szCs w:val="22"/>
    </w:rPr>
  </w:style>
  <w:style w:type="character" w:styleId="762">
    <w:name w:val="Heading 7 Char"/>
    <w:basedOn w:val="911"/>
    <w:link w:val="908"/>
    <w:uiPriority w:val="9"/>
    <w:rPr>
      <w:rFonts w:ascii="Arial" w:hAnsi="Arial" w:eastAsia="Arial" w:cs="Arial"/>
      <w:b/>
      <w:bCs/>
      <w:i/>
      <w:iCs/>
      <w:sz w:val="22"/>
      <w:szCs w:val="22"/>
    </w:rPr>
  </w:style>
  <w:style w:type="character" w:styleId="763">
    <w:name w:val="Heading 8 Char"/>
    <w:basedOn w:val="911"/>
    <w:link w:val="909"/>
    <w:uiPriority w:val="9"/>
    <w:rPr>
      <w:rFonts w:ascii="Arial" w:hAnsi="Arial" w:eastAsia="Arial" w:cs="Arial"/>
      <w:i/>
      <w:iCs/>
      <w:sz w:val="22"/>
      <w:szCs w:val="22"/>
    </w:rPr>
  </w:style>
  <w:style w:type="character" w:styleId="764">
    <w:name w:val="Heading 9 Char"/>
    <w:basedOn w:val="911"/>
    <w:link w:val="1017"/>
    <w:uiPriority w:val="9"/>
    <w:rPr>
      <w:rFonts w:ascii="Arial" w:hAnsi="Arial" w:eastAsia="Arial" w:cs="Arial"/>
      <w:i/>
      <w:iCs/>
      <w:sz w:val="21"/>
      <w:szCs w:val="21"/>
    </w:rPr>
  </w:style>
  <w:style w:type="character" w:styleId="765">
    <w:name w:val="Title Char"/>
    <w:basedOn w:val="911"/>
    <w:link w:val="957"/>
    <w:uiPriority w:val="10"/>
    <w:rPr>
      <w:sz w:val="48"/>
      <w:szCs w:val="48"/>
    </w:rPr>
  </w:style>
  <w:style w:type="character" w:styleId="766">
    <w:name w:val="Subtitle Char"/>
    <w:basedOn w:val="911"/>
    <w:link w:val="945"/>
    <w:uiPriority w:val="11"/>
    <w:rPr>
      <w:sz w:val="24"/>
      <w:szCs w:val="24"/>
    </w:rPr>
  </w:style>
  <w:style w:type="paragraph" w:styleId="767">
    <w:name w:val="Quote"/>
    <w:basedOn w:val="901"/>
    <w:next w:val="901"/>
    <w:link w:val="1010"/>
    <w:uiPriority w:val="29"/>
    <w:qFormat/>
    <w:pPr>
      <w:ind w:left="720" w:right="720"/>
    </w:pPr>
    <w:rPr>
      <w:i/>
    </w:rPr>
  </w:style>
  <w:style w:type="paragraph" w:styleId="768">
    <w:name w:val="Intense Quote"/>
    <w:basedOn w:val="901"/>
    <w:next w:val="901"/>
    <w:link w:val="10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Header Char"/>
    <w:basedOn w:val="911"/>
    <w:link w:val="939"/>
    <w:uiPriority w:val="99"/>
  </w:style>
  <w:style w:type="character" w:styleId="770">
    <w:name w:val="Footer Char"/>
    <w:basedOn w:val="911"/>
    <w:link w:val="937"/>
    <w:uiPriority w:val="99"/>
  </w:style>
  <w:style w:type="paragraph" w:styleId="771">
    <w:name w:val="Caption"/>
    <w:basedOn w:val="901"/>
    <w:next w:val="901"/>
    <w:uiPriority w:val="35"/>
    <w:semiHidden/>
    <w:unhideWhenUsed/>
    <w:qFormat/>
    <w:pPr>
      <w:spacing w:line="276" w:lineRule="auto"/>
    </w:pPr>
    <w:rPr>
      <w:b/>
      <w:bCs/>
      <w:color w:val="4f81bd" w:themeColor="accent1"/>
      <w:sz w:val="18"/>
      <w:szCs w:val="18"/>
    </w:rPr>
  </w:style>
  <w:style w:type="character" w:styleId="772">
    <w:name w:val="Caption Char"/>
    <w:basedOn w:val="771"/>
    <w:link w:val="937"/>
    <w:uiPriority w:val="99"/>
  </w:style>
  <w:style w:type="table" w:styleId="773">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Footnote Text Char"/>
    <w:link w:val="947"/>
    <w:uiPriority w:val="99"/>
    <w:rPr>
      <w:sz w:val="18"/>
    </w:rPr>
  </w:style>
  <w:style w:type="character" w:styleId="899">
    <w:name w:val="Endnote Text Char"/>
    <w:link w:val="935"/>
    <w:uiPriority w:val="99"/>
    <w:rPr>
      <w:sz w:val="20"/>
    </w:rPr>
  </w:style>
  <w:style w:type="paragraph" w:styleId="900">
    <w:name w:val="TOC Heading"/>
    <w:uiPriority w:val="39"/>
    <w:unhideWhenUsed/>
  </w:style>
  <w:style w:type="paragraph" w:styleId="901" w:default="1">
    <w:name w:val="Normal"/>
    <w:qFormat/>
    <w:pPr>
      <w:jc w:val="both"/>
      <w:widowControl w:val="off"/>
    </w:pPr>
    <w:rPr>
      <w:rFonts w:ascii="Calibri" w:hAnsi="Calibri"/>
      <w:sz w:val="21"/>
      <w:szCs w:val="24"/>
    </w:rPr>
  </w:style>
  <w:style w:type="paragraph" w:styleId="902">
    <w:name w:val="Heading 1"/>
    <w:basedOn w:val="901"/>
    <w:next w:val="901"/>
    <w:link w:val="977"/>
    <w:qFormat/>
    <w:pPr>
      <w:keepLines/>
      <w:keepNext/>
      <w:spacing w:before="340" w:after="330" w:line="576" w:lineRule="auto"/>
      <w:outlineLvl w:val="0"/>
    </w:pPr>
    <w:rPr>
      <w:rFonts w:ascii="Times New Roman" w:hAnsi="Times New Roman"/>
      <w:b/>
      <w:bCs/>
      <w:sz w:val="44"/>
      <w:szCs w:val="44"/>
    </w:rPr>
  </w:style>
  <w:style w:type="paragraph" w:styleId="903">
    <w:name w:val="Heading 2"/>
    <w:basedOn w:val="901"/>
    <w:next w:val="901"/>
    <w:link w:val="978"/>
    <w:qFormat/>
    <w:pPr>
      <w:keepLines/>
      <w:keepNext/>
      <w:spacing w:before="260" w:after="260" w:line="413" w:lineRule="auto"/>
      <w:outlineLvl w:val="1"/>
    </w:pPr>
    <w:rPr>
      <w:rFonts w:ascii="Arial" w:hAnsi="Arial" w:eastAsia="黑体"/>
      <w:b/>
      <w:bCs/>
      <w:sz w:val="32"/>
      <w:szCs w:val="32"/>
    </w:rPr>
  </w:style>
  <w:style w:type="paragraph" w:styleId="904">
    <w:name w:val="Heading 3"/>
    <w:basedOn w:val="901"/>
    <w:next w:val="901"/>
    <w:link w:val="979"/>
    <w:qFormat/>
    <w:pPr>
      <w:keepLines/>
      <w:keepNext/>
      <w:spacing w:before="260" w:after="260" w:line="413" w:lineRule="auto"/>
      <w:outlineLvl w:val="2"/>
    </w:pPr>
    <w:rPr>
      <w:rFonts w:ascii="Times New Roman" w:hAnsi="Times New Roman"/>
      <w:b/>
      <w:bCs/>
      <w:sz w:val="32"/>
      <w:szCs w:val="32"/>
    </w:rPr>
  </w:style>
  <w:style w:type="paragraph" w:styleId="905">
    <w:name w:val="Heading 4"/>
    <w:basedOn w:val="901"/>
    <w:next w:val="914"/>
    <w:link w:val="980"/>
    <w:uiPriority w:val="9"/>
    <w:qFormat/>
    <w:pPr>
      <w:keepLines/>
      <w:keepNext/>
      <w:spacing w:before="120" w:after="120"/>
      <w:outlineLvl w:val="3"/>
    </w:pPr>
    <w:rPr>
      <w:rFonts w:ascii="Arial" w:hAnsi="Arial" w:eastAsia="黑体"/>
      <w:b/>
      <w:sz w:val="20"/>
      <w:szCs w:val="20"/>
    </w:rPr>
  </w:style>
  <w:style w:type="paragraph" w:styleId="906">
    <w:name w:val="Heading 5"/>
    <w:basedOn w:val="901"/>
    <w:next w:val="901"/>
    <w:link w:val="981"/>
    <w:uiPriority w:val="9"/>
    <w:qFormat/>
    <w:pPr>
      <w:ind w:left="1008" w:hanging="1008"/>
      <w:keepLines/>
      <w:keepNext/>
      <w:spacing w:before="280" w:after="290" w:line="372" w:lineRule="auto"/>
      <w:tabs>
        <w:tab w:val="left" w:pos="1008" w:leader="none"/>
      </w:tabs>
      <w:outlineLvl w:val="4"/>
    </w:pPr>
    <w:rPr>
      <w:rFonts w:ascii="Times New Roman" w:hAnsi="Times New Roman"/>
      <w:b/>
      <w:bCs/>
      <w:sz w:val="28"/>
      <w:szCs w:val="28"/>
    </w:rPr>
  </w:style>
  <w:style w:type="paragraph" w:styleId="907">
    <w:name w:val="Heading 6"/>
    <w:basedOn w:val="901"/>
    <w:next w:val="901"/>
    <w:link w:val="982"/>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08">
    <w:name w:val="Heading 7"/>
    <w:basedOn w:val="901"/>
    <w:next w:val="901"/>
    <w:link w:val="983"/>
    <w:uiPriority w:val="9"/>
    <w:qFormat/>
    <w:pPr>
      <w:ind w:left="1296" w:hanging="1296"/>
      <w:keepLines/>
      <w:keepNext/>
      <w:spacing w:before="240" w:after="64" w:line="317" w:lineRule="auto"/>
      <w:tabs>
        <w:tab w:val="left" w:pos="1296" w:leader="none"/>
      </w:tabs>
      <w:outlineLvl w:val="6"/>
    </w:pPr>
    <w:rPr>
      <w:rFonts w:ascii="Times New Roman" w:hAnsi="Times New Roman"/>
      <w:b/>
      <w:bCs/>
      <w:sz w:val="24"/>
    </w:rPr>
  </w:style>
  <w:style w:type="paragraph" w:styleId="909">
    <w:name w:val="Heading 8"/>
    <w:basedOn w:val="901"/>
    <w:next w:val="901"/>
    <w:link w:val="984"/>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10">
    <w:name w:val="Heading 9"/>
    <w:basedOn w:val="901"/>
    <w:next w:val="901"/>
    <w:link w:val="985"/>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11" w:default="1">
    <w:name w:val="Default Paragraph Font"/>
    <w:uiPriority w:val="1"/>
    <w:semiHidden/>
    <w:unhideWhenUsed/>
  </w:style>
  <w:style w:type="table" w:styleId="912" w:default="1">
    <w:name w:val="Normal Table"/>
    <w:uiPriority w:val="99"/>
    <w:semiHidden/>
    <w:unhideWhenUsed/>
    <w:tblPr>
      <w:tblInd w:w="0" w:type="dxa"/>
      <w:tblCellMar>
        <w:left w:w="108" w:type="dxa"/>
        <w:top w:w="0" w:type="dxa"/>
        <w:right w:w="108" w:type="dxa"/>
        <w:bottom w:w="0" w:type="dxa"/>
      </w:tblCellMar>
    </w:tblPr>
  </w:style>
  <w:style w:type="numbering" w:styleId="913" w:default="1">
    <w:name w:val="No List"/>
    <w:uiPriority w:val="99"/>
    <w:semiHidden/>
    <w:unhideWhenUsed/>
  </w:style>
  <w:style w:type="paragraph" w:styleId="914">
    <w:name w:val="Normal Indent"/>
    <w:basedOn w:val="901"/>
    <w:link w:val="1355"/>
    <w:qFormat/>
    <w:pPr>
      <w:ind w:firstLine="420"/>
    </w:pPr>
    <w:rPr>
      <w:szCs w:val="20"/>
    </w:rPr>
  </w:style>
  <w:style w:type="paragraph" w:styleId="915">
    <w:name w:val="List 3"/>
    <w:basedOn w:val="901"/>
    <w:uiPriority w:val="99"/>
    <w:qFormat/>
    <w:pPr>
      <w:ind w:left="1260" w:hanging="420"/>
    </w:pPr>
    <w:rPr>
      <w:szCs w:val="20"/>
    </w:rPr>
  </w:style>
  <w:style w:type="paragraph" w:styleId="916">
    <w:name w:val="toc 7"/>
    <w:basedOn w:val="901"/>
    <w:next w:val="901"/>
    <w:uiPriority w:val="39"/>
    <w:qFormat/>
    <w:pPr>
      <w:ind w:left="1260"/>
      <w:jc w:val="left"/>
    </w:pPr>
    <w:rPr>
      <w:szCs w:val="21"/>
    </w:rPr>
  </w:style>
  <w:style w:type="paragraph" w:styleId="917">
    <w:name w:val="List Number 2"/>
    <w:basedOn w:val="901"/>
    <w:uiPriority w:val="99"/>
    <w:qFormat/>
    <w:pPr>
      <w:ind w:left="1440" w:hanging="1440"/>
      <w:spacing w:line="360" w:lineRule="auto"/>
      <w:tabs>
        <w:tab w:val="left" w:pos="1440" w:leader="none"/>
      </w:tabs>
    </w:pPr>
    <w:rPr>
      <w:sz w:val="24"/>
    </w:rPr>
  </w:style>
  <w:style w:type="paragraph" w:styleId="918">
    <w:name w:val="List Number"/>
    <w:basedOn w:val="901"/>
    <w:uiPriority w:val="99"/>
    <w:qFormat/>
    <w:pPr>
      <w:ind w:left="2952" w:hanging="432"/>
      <w:tabs>
        <w:tab w:val="left" w:pos="2952" w:leader="none"/>
      </w:tabs>
    </w:pPr>
  </w:style>
  <w:style w:type="paragraph" w:styleId="919">
    <w:name w:val="Document Map"/>
    <w:basedOn w:val="901"/>
    <w:link w:val="986"/>
    <w:uiPriority w:val="99"/>
    <w:semiHidden/>
    <w:qFormat/>
    <w:pPr>
      <w:shd w:val="clear" w:color="auto" w:fill="000080"/>
    </w:pPr>
    <w:rPr>
      <w:rFonts w:ascii="Times New Roman" w:hAnsi="Times New Roman"/>
      <w:sz w:val="24"/>
    </w:rPr>
  </w:style>
  <w:style w:type="paragraph" w:styleId="920">
    <w:name w:val="annotation text"/>
    <w:basedOn w:val="901"/>
    <w:link w:val="987"/>
    <w:uiPriority w:val="99"/>
    <w:qFormat/>
    <w:pPr>
      <w:jc w:val="left"/>
    </w:pPr>
    <w:rPr>
      <w:rFonts w:ascii="Times New Roman" w:hAnsi="Times New Roman"/>
      <w:bCs/>
      <w:sz w:val="20"/>
      <w:szCs w:val="20"/>
    </w:rPr>
  </w:style>
  <w:style w:type="paragraph" w:styleId="921">
    <w:name w:val="Salutation"/>
    <w:basedOn w:val="901"/>
    <w:next w:val="901"/>
    <w:link w:val="988"/>
    <w:uiPriority w:val="99"/>
    <w:qFormat/>
    <w:rPr>
      <w:rFonts w:ascii="仿宋_GB2312" w:hAnsi="Times New Roman" w:eastAsia="仿宋_GB2312"/>
      <w:sz w:val="20"/>
      <w:szCs w:val="20"/>
    </w:rPr>
  </w:style>
  <w:style w:type="paragraph" w:styleId="922">
    <w:name w:val="Body Text 3"/>
    <w:basedOn w:val="901"/>
    <w:link w:val="989"/>
    <w:uiPriority w:val="99"/>
    <w:qFormat/>
    <w:pPr>
      <w:spacing w:after="120"/>
    </w:pPr>
    <w:rPr>
      <w:rFonts w:ascii="Times New Roman" w:hAnsi="Times New Roman"/>
      <w:sz w:val="16"/>
      <w:szCs w:val="16"/>
    </w:rPr>
  </w:style>
  <w:style w:type="paragraph" w:styleId="923">
    <w:name w:val="Body Text"/>
    <w:basedOn w:val="901"/>
    <w:link w:val="990"/>
    <w:uiPriority w:val="1"/>
    <w:unhideWhenUsed/>
    <w:qFormat/>
    <w:pPr>
      <w:spacing w:after="120"/>
    </w:pPr>
    <w:rPr>
      <w:rFonts w:ascii="Times New Roman" w:hAnsi="Times New Roman"/>
      <w:sz w:val="24"/>
    </w:rPr>
  </w:style>
  <w:style w:type="paragraph" w:styleId="924">
    <w:name w:val="Body Text Indent"/>
    <w:basedOn w:val="901"/>
    <w:link w:val="975"/>
    <w:uiPriority w:val="99"/>
    <w:qFormat/>
    <w:pPr>
      <w:spacing w:after="120" w:line="360" w:lineRule="auto"/>
    </w:pPr>
    <w:rPr>
      <w:rFonts w:ascii="仿宋" w:hAnsi="仿宋" w:eastAsia="仿宋"/>
      <w:color w:val="ff0000"/>
      <w:sz w:val="24"/>
    </w:rPr>
  </w:style>
  <w:style w:type="paragraph" w:styleId="925">
    <w:name w:val="List 2"/>
    <w:basedOn w:val="901"/>
    <w:uiPriority w:val="99"/>
    <w:qFormat/>
    <w:pPr>
      <w:ind w:left="100" w:hanging="200"/>
    </w:pPr>
    <w:rPr>
      <w:szCs w:val="21"/>
    </w:rPr>
  </w:style>
  <w:style w:type="paragraph" w:styleId="926">
    <w:name w:val="Block Text"/>
    <w:basedOn w:val="901"/>
    <w:uiPriority w:val="99"/>
    <w:unhideWhenUsed/>
    <w:qFormat/>
    <w:pPr>
      <w:ind w:left="1440" w:right="1440"/>
      <w:spacing w:after="120"/>
    </w:pPr>
  </w:style>
  <w:style w:type="paragraph" w:styleId="927">
    <w:name w:val="index 4"/>
    <w:basedOn w:val="901"/>
    <w:next w:val="901"/>
    <w:uiPriority w:val="99"/>
    <w:qFormat/>
    <w:pPr>
      <w:ind w:left="1260"/>
    </w:pPr>
  </w:style>
  <w:style w:type="paragraph" w:styleId="928">
    <w:name w:val="toc 5"/>
    <w:basedOn w:val="901"/>
    <w:next w:val="901"/>
    <w:uiPriority w:val="39"/>
    <w:qFormat/>
    <w:pPr>
      <w:ind w:left="840"/>
      <w:jc w:val="left"/>
    </w:pPr>
    <w:rPr>
      <w:szCs w:val="21"/>
    </w:rPr>
  </w:style>
  <w:style w:type="paragraph" w:styleId="929">
    <w:name w:val="toc 3"/>
    <w:basedOn w:val="901"/>
    <w:next w:val="901"/>
    <w:uiPriority w:val="39"/>
    <w:qFormat/>
    <w:pPr>
      <w:ind w:left="840"/>
    </w:pPr>
  </w:style>
  <w:style w:type="paragraph" w:styleId="930">
    <w:name w:val="Plain Text"/>
    <w:basedOn w:val="901"/>
    <w:link w:val="991"/>
    <w:qFormat/>
    <w:rPr>
      <w:rFonts w:ascii="宋体" w:hAnsi="Courier New"/>
      <w:szCs w:val="21"/>
    </w:rPr>
  </w:style>
  <w:style w:type="paragraph" w:styleId="931">
    <w:name w:val="toc 8"/>
    <w:basedOn w:val="901"/>
    <w:next w:val="901"/>
    <w:uiPriority w:val="39"/>
    <w:qFormat/>
    <w:pPr>
      <w:ind w:left="1470"/>
      <w:jc w:val="left"/>
    </w:pPr>
    <w:rPr>
      <w:szCs w:val="21"/>
    </w:rPr>
  </w:style>
  <w:style w:type="paragraph" w:styleId="932">
    <w:name w:val="index 3"/>
    <w:basedOn w:val="901"/>
    <w:next w:val="901"/>
    <w:uiPriority w:val="99"/>
    <w:semiHidden/>
    <w:qFormat/>
    <w:pPr>
      <w:ind w:left="840"/>
    </w:pPr>
    <w:rPr>
      <w:szCs w:val="20"/>
    </w:rPr>
  </w:style>
  <w:style w:type="paragraph" w:styleId="933">
    <w:name w:val="Date"/>
    <w:basedOn w:val="901"/>
    <w:next w:val="901"/>
    <w:link w:val="992"/>
    <w:qFormat/>
    <w:pPr>
      <w:ind w:left="100"/>
    </w:pPr>
    <w:rPr>
      <w:rFonts w:ascii="Times New Roman" w:hAnsi="Times New Roman"/>
      <w:sz w:val="20"/>
      <w:szCs w:val="20"/>
    </w:rPr>
  </w:style>
  <w:style w:type="paragraph" w:styleId="934">
    <w:name w:val="Body Text Indent 2"/>
    <w:basedOn w:val="901"/>
    <w:link w:val="993"/>
    <w:uiPriority w:val="99"/>
    <w:qFormat/>
    <w:pPr>
      <w:ind w:firstLine="480"/>
      <w:spacing w:line="400" w:lineRule="exact"/>
    </w:pPr>
    <w:rPr>
      <w:rFonts w:ascii="宋体" w:hAnsi="宋体"/>
      <w:sz w:val="24"/>
    </w:rPr>
  </w:style>
  <w:style w:type="paragraph" w:styleId="935">
    <w:name w:val="endnote text"/>
    <w:basedOn w:val="901"/>
    <w:link w:val="994"/>
    <w:uiPriority w:val="99"/>
    <w:semiHidden/>
    <w:qFormat/>
    <w:pPr>
      <w:jc w:val="left"/>
    </w:pPr>
    <w:rPr>
      <w:rFonts w:ascii="Times New Roman" w:hAnsi="Times New Roman"/>
      <w:sz w:val="24"/>
    </w:rPr>
  </w:style>
  <w:style w:type="paragraph" w:styleId="936">
    <w:name w:val="Balloon Text"/>
    <w:basedOn w:val="901"/>
    <w:link w:val="995"/>
    <w:uiPriority w:val="99"/>
    <w:semiHidden/>
    <w:qFormat/>
    <w:rPr>
      <w:rFonts w:ascii="Times New Roman" w:hAnsi="Times New Roman"/>
      <w:sz w:val="18"/>
      <w:szCs w:val="18"/>
    </w:rPr>
  </w:style>
  <w:style w:type="paragraph" w:styleId="937">
    <w:name w:val="Footer"/>
    <w:basedOn w:val="901"/>
    <w:link w:val="996"/>
    <w:unhideWhenUsed/>
    <w:qFormat/>
    <w:pPr>
      <w:jc w:val="left"/>
      <w:tabs>
        <w:tab w:val="center" w:pos="4153" w:leader="none"/>
        <w:tab w:val="right" w:pos="8306" w:leader="none"/>
      </w:tabs>
    </w:pPr>
    <w:rPr>
      <w:sz w:val="18"/>
      <w:szCs w:val="18"/>
    </w:rPr>
  </w:style>
  <w:style w:type="paragraph" w:styleId="938">
    <w:name w:val="envelope return"/>
    <w:basedOn w:val="901"/>
    <w:uiPriority w:val="99"/>
    <w:unhideWhenUsed/>
    <w:qFormat/>
    <w:rPr>
      <w:rFonts w:ascii="Arial" w:hAnsi="Arial" w:eastAsiaTheme="minorEastAsia" w:cstheme="minorBidi"/>
    </w:rPr>
  </w:style>
  <w:style w:type="paragraph" w:styleId="939">
    <w:name w:val="Header"/>
    <w:basedOn w:val="901"/>
    <w:link w:val="997"/>
    <w:unhideWhenUsed/>
    <w:qFormat/>
    <w:pPr>
      <w:jc w:val="center"/>
      <w:tabs>
        <w:tab w:val="center" w:pos="4153" w:leader="none"/>
        <w:tab w:val="right" w:pos="8306" w:leader="none"/>
      </w:tabs>
      <w:pBdr>
        <w:bottom w:val="single" w:color="auto" w:sz="6" w:space="1"/>
      </w:pBdr>
    </w:pPr>
    <w:rPr>
      <w:rFonts w:ascii="仿宋" w:hAnsi="仿宋" w:eastAsia="仿宋"/>
      <w:b/>
      <w:sz w:val="20"/>
      <w:szCs w:val="20"/>
    </w:rPr>
  </w:style>
  <w:style w:type="paragraph" w:styleId="940">
    <w:name w:val="Signature"/>
    <w:basedOn w:val="901"/>
    <w:link w:val="998"/>
    <w:uiPriority w:val="99"/>
    <w:qFormat/>
    <w:pPr>
      <w:jc w:val="center"/>
      <w:spacing w:after="600" w:line="312" w:lineRule="atLeast"/>
    </w:pPr>
    <w:rPr>
      <w:rFonts w:ascii="Times New Roman" w:hAnsi="Times New Roman" w:eastAsia="仿宋_GB2312"/>
      <w:sz w:val="20"/>
      <w:szCs w:val="20"/>
    </w:rPr>
  </w:style>
  <w:style w:type="paragraph" w:styleId="941">
    <w:name w:val="toc 1"/>
    <w:basedOn w:val="901"/>
    <w:next w:val="901"/>
    <w:uiPriority w:val="39"/>
    <w:qFormat/>
  </w:style>
  <w:style w:type="paragraph" w:styleId="942">
    <w:name w:val="toc 4"/>
    <w:basedOn w:val="901"/>
    <w:next w:val="901"/>
    <w:uiPriority w:val="39"/>
    <w:qFormat/>
    <w:pPr>
      <w:ind w:left="630"/>
      <w:jc w:val="left"/>
    </w:pPr>
    <w:rPr>
      <w:szCs w:val="21"/>
    </w:rPr>
  </w:style>
  <w:style w:type="paragraph" w:styleId="943">
    <w:name w:val="index heading"/>
    <w:basedOn w:val="901"/>
    <w:next w:val="944"/>
    <w:uiPriority w:val="99"/>
    <w:semiHidden/>
    <w:qFormat/>
    <w:rPr>
      <w:szCs w:val="20"/>
    </w:rPr>
  </w:style>
  <w:style w:type="paragraph" w:styleId="944">
    <w:name w:val="index 1"/>
    <w:basedOn w:val="901"/>
    <w:next w:val="901"/>
    <w:uiPriority w:val="99"/>
    <w:semiHidden/>
    <w:qFormat/>
    <w:pPr>
      <w:jc w:val="center"/>
      <w:tabs>
        <w:tab w:val="left" w:pos="1260" w:leader="none"/>
      </w:tabs>
    </w:pPr>
    <w:rPr>
      <w:rFonts w:ascii="仿宋_GB2312" w:hAnsi="宋体" w:eastAsia="仿宋_GB2312"/>
      <w:sz w:val="30"/>
      <w:szCs w:val="20"/>
    </w:rPr>
  </w:style>
  <w:style w:type="paragraph" w:styleId="945">
    <w:name w:val="Subtitle"/>
    <w:basedOn w:val="901"/>
    <w:next w:val="901"/>
    <w:link w:val="999"/>
    <w:uiPriority w:val="11"/>
    <w:qFormat/>
    <w:pPr>
      <w:jc w:val="left"/>
      <w:spacing w:after="600" w:line="276" w:lineRule="auto"/>
      <w:widowControl/>
    </w:pPr>
    <w:rPr>
      <w:rFonts w:ascii="Cambria" w:hAnsi="Cambria"/>
      <w:i/>
      <w:iCs/>
      <w:spacing w:val="13"/>
      <w:sz w:val="24"/>
      <w:lang w:eastAsia="en-US"/>
    </w:rPr>
  </w:style>
  <w:style w:type="paragraph" w:styleId="946">
    <w:name w:val="List"/>
    <w:basedOn w:val="901"/>
    <w:uiPriority w:val="99"/>
    <w:qFormat/>
    <w:pPr>
      <w:ind w:left="200" w:hanging="200"/>
    </w:pPr>
    <w:rPr>
      <w:szCs w:val="21"/>
    </w:rPr>
  </w:style>
  <w:style w:type="paragraph" w:styleId="947">
    <w:name w:val="footnote text"/>
    <w:basedOn w:val="901"/>
    <w:link w:val="1000"/>
    <w:uiPriority w:val="99"/>
    <w:semiHidden/>
    <w:qFormat/>
    <w:pPr>
      <w:jc w:val="left"/>
    </w:pPr>
    <w:rPr>
      <w:rFonts w:ascii="Times New Roman" w:hAnsi="Times New Roman"/>
      <w:sz w:val="18"/>
      <w:szCs w:val="18"/>
    </w:rPr>
  </w:style>
  <w:style w:type="paragraph" w:styleId="948">
    <w:name w:val="toc 6"/>
    <w:basedOn w:val="901"/>
    <w:next w:val="901"/>
    <w:uiPriority w:val="39"/>
    <w:qFormat/>
    <w:pPr>
      <w:ind w:left="1050"/>
      <w:jc w:val="left"/>
    </w:pPr>
    <w:rPr>
      <w:szCs w:val="21"/>
    </w:rPr>
  </w:style>
  <w:style w:type="paragraph" w:styleId="949">
    <w:name w:val="Body Text Indent 3"/>
    <w:basedOn w:val="901"/>
    <w:link w:val="1001"/>
    <w:uiPriority w:val="99"/>
    <w:qFormat/>
    <w:pPr>
      <w:ind w:left="480"/>
      <w:spacing w:before="120" w:after="120" w:line="264" w:lineRule="auto"/>
    </w:pPr>
    <w:rPr>
      <w:rFonts w:ascii="Times New Roman" w:hAnsi="Times New Roman"/>
      <w:b/>
      <w:bCs/>
      <w:sz w:val="20"/>
      <w:szCs w:val="20"/>
    </w:rPr>
  </w:style>
  <w:style w:type="paragraph" w:styleId="950">
    <w:name w:val="table of figures"/>
    <w:basedOn w:val="901"/>
    <w:next w:val="901"/>
    <w:uiPriority w:val="99"/>
    <w:semiHidden/>
    <w:qFormat/>
    <w:pPr>
      <w:ind w:left="840" w:hanging="420"/>
    </w:pPr>
    <w:rPr>
      <w:szCs w:val="21"/>
    </w:rPr>
  </w:style>
  <w:style w:type="paragraph" w:styleId="951">
    <w:name w:val="toc 2"/>
    <w:basedOn w:val="901"/>
    <w:next w:val="901"/>
    <w:uiPriority w:val="39"/>
    <w:qFormat/>
    <w:pPr>
      <w:ind w:left="420"/>
    </w:pPr>
  </w:style>
  <w:style w:type="paragraph" w:styleId="952">
    <w:name w:val="toc 9"/>
    <w:basedOn w:val="901"/>
    <w:next w:val="901"/>
    <w:uiPriority w:val="39"/>
    <w:qFormat/>
    <w:pPr>
      <w:ind w:left="1680"/>
      <w:jc w:val="left"/>
    </w:pPr>
    <w:rPr>
      <w:szCs w:val="21"/>
    </w:rPr>
  </w:style>
  <w:style w:type="paragraph" w:styleId="953">
    <w:name w:val="Body Text 2"/>
    <w:basedOn w:val="901"/>
    <w:link w:val="1002"/>
    <w:uiPriority w:val="99"/>
    <w:qFormat/>
    <w:pPr>
      <w:jc w:val="center"/>
    </w:pPr>
    <w:rPr>
      <w:rFonts w:ascii="Times New Roman" w:hAnsi="Times New Roman"/>
      <w:b/>
      <w:bCs/>
      <w:sz w:val="20"/>
      <w:szCs w:val="20"/>
    </w:rPr>
  </w:style>
  <w:style w:type="paragraph" w:styleId="954">
    <w:name w:val="HTML Preformatted"/>
    <w:basedOn w:val="901"/>
    <w:link w:val="100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55">
    <w:name w:val="Normal (Web)"/>
    <w:basedOn w:val="901"/>
    <w:uiPriority w:val="99"/>
    <w:qFormat/>
    <w:pPr>
      <w:jc w:val="left"/>
      <w:spacing w:before="100" w:beforeAutospacing="1" w:after="100" w:afterAutospacing="1"/>
      <w:widowControl/>
    </w:pPr>
    <w:rPr>
      <w:rFonts w:ascii="宋体" w:hAnsi="宋体" w:cs="宋体"/>
      <w:sz w:val="24"/>
    </w:rPr>
  </w:style>
  <w:style w:type="paragraph" w:styleId="956">
    <w:name w:val="index 2"/>
    <w:basedOn w:val="901"/>
    <w:next w:val="901"/>
    <w:uiPriority w:val="99"/>
    <w:semiHidden/>
    <w:qFormat/>
    <w:pPr>
      <w:ind w:left="420"/>
      <w:jc w:val="center"/>
    </w:pPr>
    <w:rPr>
      <w:rFonts w:ascii="宋体" w:hAnsi="宋体"/>
      <w:b/>
      <w:sz w:val="32"/>
      <w:szCs w:val="20"/>
    </w:rPr>
  </w:style>
  <w:style w:type="paragraph" w:styleId="957">
    <w:name w:val="Title"/>
    <w:basedOn w:val="901"/>
    <w:link w:val="1004"/>
    <w:uiPriority w:val="10"/>
    <w:qFormat/>
    <w:pPr>
      <w:jc w:val="center"/>
      <w:spacing w:line="420" w:lineRule="exact"/>
      <w:widowControl/>
    </w:pPr>
    <w:rPr>
      <w:rFonts w:ascii="Times New Roman" w:hAnsi="Times New Roman" w:eastAsia="黑体"/>
      <w:b/>
      <w:sz w:val="20"/>
      <w:szCs w:val="20"/>
      <w:lang w:val="en-GB"/>
    </w:rPr>
  </w:style>
  <w:style w:type="paragraph" w:styleId="958">
    <w:name w:val="annotation subject"/>
    <w:basedOn w:val="920"/>
    <w:next w:val="920"/>
    <w:link w:val="1005"/>
    <w:uiPriority w:val="99"/>
    <w:semiHidden/>
    <w:qFormat/>
    <w:rPr>
      <w:b/>
      <w:bCs w:val="0"/>
      <w:sz w:val="24"/>
      <w:szCs w:val="24"/>
    </w:rPr>
  </w:style>
  <w:style w:type="paragraph" w:styleId="959">
    <w:name w:val="Body Text First Indent"/>
    <w:basedOn w:val="923"/>
    <w:link w:val="1006"/>
    <w:uiPriority w:val="99"/>
    <w:qFormat/>
    <w:pPr>
      <w:ind w:firstLine="420"/>
    </w:pPr>
  </w:style>
  <w:style w:type="paragraph" w:styleId="960">
    <w:name w:val="Body Text First Indent 2"/>
    <w:basedOn w:val="924"/>
    <w:link w:val="976"/>
    <w:uiPriority w:val="99"/>
    <w:qFormat/>
    <w:pPr>
      <w:ind w:firstLine="420"/>
      <w:spacing w:after="0"/>
    </w:pPr>
    <w:rPr>
      <w:rFonts w:ascii="宋体" w:hAnsi="宋体"/>
      <w:sz w:val="20"/>
      <w:szCs w:val="20"/>
    </w:rPr>
  </w:style>
  <w:style w:type="table" w:styleId="961">
    <w:name w:val="Table Grid"/>
    <w:basedOn w:val="912"/>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uiPriority w:val="22"/>
    <w:qFormat/>
    <w:rPr>
      <w:b/>
    </w:rPr>
  </w:style>
  <w:style w:type="character" w:styleId="963">
    <w:name w:val="endnote reference"/>
    <w:uiPriority w:val="99"/>
    <w:semiHidden/>
    <w:qFormat/>
    <w:rPr>
      <w:vertAlign w:val="superscript"/>
    </w:rPr>
  </w:style>
  <w:style w:type="character" w:styleId="964">
    <w:name w:val="page number"/>
    <w:uiPriority w:val="99"/>
    <w:qFormat/>
    <w:rPr>
      <w:rFonts w:cs="Times New Roman"/>
    </w:rPr>
  </w:style>
  <w:style w:type="character" w:styleId="965">
    <w:name w:val="FollowedHyperlink"/>
    <w:uiPriority w:val="99"/>
    <w:qFormat/>
    <w:rPr>
      <w:color w:val="800080"/>
      <w:u w:val="single"/>
    </w:rPr>
  </w:style>
  <w:style w:type="character" w:styleId="966">
    <w:name w:val="Emphasis"/>
    <w:uiPriority w:val="20"/>
    <w:qFormat/>
    <w:rPr>
      <w:b/>
      <w:i/>
      <w:spacing w:val="10"/>
      <w:shd w:val="clear" w:color="auto" w:fill="auto"/>
    </w:rPr>
  </w:style>
  <w:style w:type="character" w:styleId="967">
    <w:name w:val="line number"/>
    <w:uiPriority w:val="99"/>
    <w:qFormat/>
    <w:rPr>
      <w:rFonts w:cs="Times New Roman"/>
    </w:rPr>
  </w:style>
  <w:style w:type="character" w:styleId="968">
    <w:name w:val="HTML Typewriter"/>
    <w:uiPriority w:val="99"/>
    <w:qFormat/>
    <w:rPr>
      <w:rFonts w:ascii="宋体" w:hAnsi="宋体" w:eastAsia="宋体"/>
      <w:sz w:val="24"/>
    </w:rPr>
  </w:style>
  <w:style w:type="character" w:styleId="969">
    <w:name w:val="Hyperlink"/>
    <w:uiPriority w:val="99"/>
    <w:qFormat/>
    <w:rPr>
      <w:color w:val="0000ff"/>
      <w:u w:val="single"/>
    </w:rPr>
  </w:style>
  <w:style w:type="character" w:styleId="970">
    <w:name w:val="annotation reference"/>
    <w:qFormat/>
    <w:rPr>
      <w:sz w:val="21"/>
    </w:rPr>
  </w:style>
  <w:style w:type="character" w:styleId="971">
    <w:name w:val="footnote reference"/>
    <w:uiPriority w:val="99"/>
    <w:semiHidden/>
    <w:qFormat/>
    <w:rPr>
      <w:vertAlign w:val="superscript"/>
    </w:rPr>
  </w:style>
  <w:style w:type="character" w:styleId="972">
    <w:name w:val="HTML Sample"/>
    <w:uiPriority w:val="99"/>
    <w:qFormat/>
    <w:rPr>
      <w:rFonts w:ascii="Courier New" w:hAnsi="宋体" w:eastAsia="宋体"/>
    </w:rPr>
  </w:style>
  <w:style w:type="character" w:styleId="973" w:customStyle="1">
    <w:name w:val="标题 2 Char"/>
    <w:qFormat/>
    <w:rPr>
      <w:rFonts w:ascii="Arial" w:hAnsi="Arial" w:eastAsia="黑体" w:cs="Times New Roman"/>
      <w:b/>
      <w:bCs/>
      <w:sz w:val="32"/>
      <w:szCs w:val="32"/>
    </w:rPr>
  </w:style>
  <w:style w:type="character" w:styleId="974" w:customStyle="1">
    <w:name w:val="标题 1 Char"/>
    <w:qFormat/>
    <w:rPr>
      <w:rFonts w:ascii="Times New Roman" w:hAnsi="Times New Roman" w:eastAsia="宋体" w:cs="Times New Roman"/>
      <w:b/>
      <w:bCs/>
      <w:sz w:val="44"/>
      <w:szCs w:val="44"/>
    </w:rPr>
  </w:style>
  <w:style w:type="character" w:styleId="975" w:customStyle="1">
    <w:name w:val="正文文本缩进 字符"/>
    <w:link w:val="924"/>
    <w:uiPriority w:val="99"/>
    <w:qFormat/>
    <w:rPr>
      <w:rFonts w:ascii="仿宋" w:hAnsi="仿宋" w:eastAsia="仿宋"/>
      <w:color w:val="ff0000"/>
      <w:sz w:val="24"/>
      <w:szCs w:val="24"/>
    </w:rPr>
  </w:style>
  <w:style w:type="character" w:styleId="976" w:customStyle="1">
    <w:name w:val="正文文本首行缩进 2 字符"/>
    <w:link w:val="960"/>
    <w:uiPriority w:val="99"/>
    <w:qFormat/>
    <w:rPr>
      <w:rFonts w:ascii="宋体" w:hAnsi="宋体" w:eastAsia="宋体" w:cs="Times New Roman"/>
      <w:sz w:val="20"/>
      <w:szCs w:val="20"/>
    </w:rPr>
  </w:style>
  <w:style w:type="character" w:styleId="977" w:customStyle="1">
    <w:name w:val="标题 1 字符"/>
    <w:basedOn w:val="911"/>
    <w:link w:val="902"/>
    <w:qFormat/>
    <w:rPr>
      <w:rFonts w:ascii="Times New Roman" w:hAnsi="Times New Roman" w:eastAsia="宋体" w:cs="Times New Roman"/>
      <w:b/>
      <w:bCs/>
      <w:sz w:val="44"/>
      <w:szCs w:val="44"/>
    </w:rPr>
  </w:style>
  <w:style w:type="character" w:styleId="978" w:customStyle="1">
    <w:name w:val="标题 2 字符"/>
    <w:link w:val="903"/>
    <w:qFormat/>
    <w:rPr>
      <w:rFonts w:ascii="Arial" w:hAnsi="Arial" w:eastAsia="黑体" w:cs="Times New Roman"/>
      <w:b/>
      <w:bCs/>
      <w:sz w:val="32"/>
      <w:szCs w:val="32"/>
    </w:rPr>
  </w:style>
  <w:style w:type="character" w:styleId="979" w:customStyle="1">
    <w:name w:val="标题 3 字符"/>
    <w:link w:val="904"/>
    <w:qFormat/>
    <w:rPr>
      <w:rFonts w:ascii="Times New Roman" w:hAnsi="Times New Roman" w:eastAsia="宋体" w:cs="Times New Roman"/>
      <w:b/>
      <w:bCs/>
      <w:sz w:val="32"/>
      <w:szCs w:val="32"/>
    </w:rPr>
  </w:style>
  <w:style w:type="character" w:styleId="980" w:customStyle="1">
    <w:name w:val="标题 4 字符"/>
    <w:link w:val="905"/>
    <w:uiPriority w:val="9"/>
    <w:qFormat/>
    <w:rPr>
      <w:rFonts w:ascii="Arial" w:hAnsi="Arial" w:eastAsia="黑体" w:cs="Times New Roman"/>
      <w:b/>
      <w:sz w:val="20"/>
      <w:szCs w:val="20"/>
    </w:rPr>
  </w:style>
  <w:style w:type="character" w:styleId="981" w:customStyle="1">
    <w:name w:val="标题 5 字符"/>
    <w:link w:val="906"/>
    <w:uiPriority w:val="9"/>
    <w:qFormat/>
    <w:rPr>
      <w:rFonts w:ascii="Times New Roman" w:hAnsi="Times New Roman" w:eastAsia="宋体" w:cs="Times New Roman"/>
      <w:b/>
      <w:bCs/>
      <w:sz w:val="28"/>
      <w:szCs w:val="28"/>
    </w:rPr>
  </w:style>
  <w:style w:type="character" w:styleId="982" w:customStyle="1">
    <w:name w:val="标题 6 字符"/>
    <w:link w:val="907"/>
    <w:uiPriority w:val="9"/>
    <w:qFormat/>
    <w:rPr>
      <w:rFonts w:ascii="Arial" w:hAnsi="Arial" w:eastAsia="黑体" w:cs="Times New Roman"/>
      <w:b/>
      <w:bCs/>
      <w:sz w:val="24"/>
      <w:szCs w:val="24"/>
    </w:rPr>
  </w:style>
  <w:style w:type="character" w:styleId="983" w:customStyle="1">
    <w:name w:val="标题 7 字符"/>
    <w:link w:val="908"/>
    <w:uiPriority w:val="9"/>
    <w:qFormat/>
    <w:rPr>
      <w:rFonts w:ascii="Times New Roman" w:hAnsi="Times New Roman" w:eastAsia="宋体" w:cs="Times New Roman"/>
      <w:b/>
      <w:bCs/>
      <w:sz w:val="24"/>
      <w:szCs w:val="24"/>
    </w:rPr>
  </w:style>
  <w:style w:type="character" w:styleId="984" w:customStyle="1">
    <w:name w:val="标题 8 字符"/>
    <w:link w:val="909"/>
    <w:uiPriority w:val="9"/>
    <w:qFormat/>
    <w:rPr>
      <w:rFonts w:ascii="Arial" w:hAnsi="Arial" w:eastAsia="黑体" w:cs="Times New Roman"/>
      <w:sz w:val="24"/>
      <w:szCs w:val="24"/>
    </w:rPr>
  </w:style>
  <w:style w:type="character" w:styleId="985" w:customStyle="1">
    <w:name w:val="标题 9 字符"/>
    <w:link w:val="910"/>
    <w:uiPriority w:val="9"/>
    <w:qFormat/>
    <w:rPr>
      <w:rFonts w:ascii="Arial" w:hAnsi="Arial" w:eastAsia="黑体" w:cs="Times New Roman"/>
      <w:sz w:val="21"/>
      <w:szCs w:val="21"/>
    </w:rPr>
  </w:style>
  <w:style w:type="character" w:styleId="986" w:customStyle="1">
    <w:name w:val="文档结构图 字符"/>
    <w:link w:val="919"/>
    <w:uiPriority w:val="99"/>
    <w:semiHidden/>
    <w:qFormat/>
    <w:rPr>
      <w:rFonts w:ascii="Times New Roman" w:hAnsi="Times New Roman" w:eastAsia="宋体" w:cs="Times New Roman"/>
      <w:sz w:val="24"/>
      <w:szCs w:val="24"/>
      <w:shd w:val="clear" w:color="auto" w:fill="000080"/>
    </w:rPr>
  </w:style>
  <w:style w:type="character" w:styleId="987" w:customStyle="1">
    <w:name w:val="批注文字 字符"/>
    <w:link w:val="920"/>
    <w:uiPriority w:val="99"/>
    <w:qFormat/>
    <w:rPr>
      <w:bCs/>
    </w:rPr>
  </w:style>
  <w:style w:type="character" w:styleId="988" w:customStyle="1">
    <w:name w:val="称呼 字符"/>
    <w:link w:val="921"/>
    <w:uiPriority w:val="99"/>
    <w:qFormat/>
    <w:rPr>
      <w:rFonts w:ascii="仿宋_GB2312" w:hAnsi="Times New Roman" w:eastAsia="仿宋_GB2312" w:cs="Times New Roman"/>
      <w:sz w:val="20"/>
      <w:szCs w:val="20"/>
    </w:rPr>
  </w:style>
  <w:style w:type="character" w:styleId="989" w:customStyle="1">
    <w:name w:val="正文文本 3 字符"/>
    <w:link w:val="922"/>
    <w:uiPriority w:val="99"/>
    <w:qFormat/>
    <w:rPr>
      <w:rFonts w:ascii="Times New Roman" w:hAnsi="Times New Roman" w:eastAsia="宋体" w:cs="Times New Roman"/>
      <w:sz w:val="16"/>
      <w:szCs w:val="16"/>
    </w:rPr>
  </w:style>
  <w:style w:type="character" w:styleId="990" w:customStyle="1">
    <w:name w:val="正文文本 字符"/>
    <w:link w:val="923"/>
    <w:uiPriority w:val="1"/>
    <w:qFormat/>
    <w:rPr>
      <w:rFonts w:ascii="Times New Roman" w:hAnsi="Times New Roman" w:eastAsia="宋体" w:cs="Times New Roman"/>
      <w:sz w:val="24"/>
      <w:szCs w:val="24"/>
    </w:rPr>
  </w:style>
  <w:style w:type="character" w:styleId="991" w:customStyle="1">
    <w:name w:val="纯文本 字符"/>
    <w:link w:val="930"/>
    <w:qFormat/>
    <w:rPr>
      <w:rFonts w:ascii="宋体" w:hAnsi="Courier New" w:eastAsia="宋体" w:cs="Times New Roman"/>
      <w:sz w:val="21"/>
      <w:szCs w:val="21"/>
    </w:rPr>
  </w:style>
  <w:style w:type="character" w:styleId="992" w:customStyle="1">
    <w:name w:val="日期 字符"/>
    <w:link w:val="933"/>
    <w:qFormat/>
    <w:rPr>
      <w:rFonts w:ascii="Times New Roman" w:hAnsi="Times New Roman" w:eastAsia="宋体" w:cs="Times New Roman"/>
      <w:sz w:val="20"/>
      <w:szCs w:val="20"/>
    </w:rPr>
  </w:style>
  <w:style w:type="character" w:styleId="993" w:customStyle="1">
    <w:name w:val="正文文本缩进 2 字符"/>
    <w:link w:val="934"/>
    <w:uiPriority w:val="99"/>
    <w:qFormat/>
    <w:rPr>
      <w:rFonts w:ascii="宋体" w:hAnsi="宋体" w:eastAsia="宋体" w:cs="Times New Roman"/>
      <w:sz w:val="24"/>
      <w:szCs w:val="24"/>
    </w:rPr>
  </w:style>
  <w:style w:type="character" w:styleId="994" w:customStyle="1">
    <w:name w:val="尾注文本 字符"/>
    <w:link w:val="935"/>
    <w:uiPriority w:val="99"/>
    <w:semiHidden/>
    <w:qFormat/>
    <w:rPr>
      <w:rFonts w:ascii="Times New Roman" w:hAnsi="Times New Roman" w:eastAsia="宋体" w:cs="Times New Roman"/>
      <w:sz w:val="24"/>
      <w:szCs w:val="24"/>
    </w:rPr>
  </w:style>
  <w:style w:type="character" w:styleId="995" w:customStyle="1">
    <w:name w:val="批注框文本 字符"/>
    <w:link w:val="936"/>
    <w:uiPriority w:val="99"/>
    <w:semiHidden/>
    <w:qFormat/>
    <w:rPr>
      <w:rFonts w:ascii="Times New Roman" w:hAnsi="Times New Roman" w:eastAsia="宋体" w:cs="Times New Roman"/>
      <w:sz w:val="18"/>
      <w:szCs w:val="18"/>
    </w:rPr>
  </w:style>
  <w:style w:type="character" w:styleId="996" w:customStyle="1">
    <w:name w:val="页脚 字符"/>
    <w:link w:val="937"/>
    <w:qFormat/>
    <w:rPr>
      <w:rFonts w:cs="Times New Roman"/>
      <w:sz w:val="18"/>
      <w:szCs w:val="18"/>
    </w:rPr>
  </w:style>
  <w:style w:type="character" w:styleId="997" w:customStyle="1">
    <w:name w:val="页眉 字符"/>
    <w:link w:val="939"/>
    <w:qFormat/>
    <w:rPr>
      <w:rFonts w:ascii="仿宋" w:hAnsi="仿宋" w:eastAsia="仿宋"/>
      <w:b/>
    </w:rPr>
  </w:style>
  <w:style w:type="character" w:styleId="998" w:customStyle="1">
    <w:name w:val="签名 字符"/>
    <w:link w:val="940"/>
    <w:uiPriority w:val="99"/>
    <w:qFormat/>
    <w:rPr>
      <w:rFonts w:ascii="Times New Roman" w:hAnsi="Times New Roman" w:eastAsia="仿宋_GB2312" w:cs="Times New Roman"/>
      <w:sz w:val="20"/>
      <w:szCs w:val="20"/>
    </w:rPr>
  </w:style>
  <w:style w:type="character" w:styleId="999" w:customStyle="1">
    <w:name w:val="副标题 字符"/>
    <w:link w:val="945"/>
    <w:uiPriority w:val="11"/>
    <w:qFormat/>
    <w:rPr>
      <w:rFonts w:ascii="Cambria" w:hAnsi="Cambria" w:eastAsia="宋体" w:cs="Times New Roman"/>
      <w:i/>
      <w:iCs/>
      <w:spacing w:val="13"/>
      <w:sz w:val="24"/>
      <w:szCs w:val="24"/>
      <w:lang w:eastAsia="en-US"/>
    </w:rPr>
  </w:style>
  <w:style w:type="character" w:styleId="1000" w:customStyle="1">
    <w:name w:val="脚注文本 字符"/>
    <w:link w:val="947"/>
    <w:uiPriority w:val="99"/>
    <w:semiHidden/>
    <w:qFormat/>
    <w:rPr>
      <w:rFonts w:ascii="Times New Roman" w:hAnsi="Times New Roman" w:eastAsia="宋体" w:cs="Times New Roman"/>
      <w:sz w:val="18"/>
      <w:szCs w:val="18"/>
    </w:rPr>
  </w:style>
  <w:style w:type="character" w:styleId="1001" w:customStyle="1">
    <w:name w:val="正文文本缩进 3 字符"/>
    <w:link w:val="949"/>
    <w:uiPriority w:val="99"/>
    <w:qFormat/>
    <w:rPr>
      <w:rFonts w:ascii="Times New Roman" w:hAnsi="Times New Roman" w:eastAsia="宋体" w:cs="Times New Roman"/>
      <w:b/>
      <w:bCs/>
      <w:sz w:val="20"/>
      <w:szCs w:val="20"/>
    </w:rPr>
  </w:style>
  <w:style w:type="character" w:styleId="1002" w:customStyle="1">
    <w:name w:val="正文文本 2 字符"/>
    <w:link w:val="953"/>
    <w:uiPriority w:val="99"/>
    <w:qFormat/>
    <w:rPr>
      <w:rFonts w:ascii="Times New Roman" w:hAnsi="Times New Roman" w:eastAsia="宋体" w:cs="Times New Roman"/>
      <w:b/>
      <w:bCs/>
      <w:sz w:val="20"/>
      <w:szCs w:val="20"/>
    </w:rPr>
  </w:style>
  <w:style w:type="character" w:styleId="1003" w:customStyle="1">
    <w:name w:val="HTML 预设格式 字符"/>
    <w:link w:val="954"/>
    <w:uiPriority w:val="99"/>
    <w:qFormat/>
    <w:rPr>
      <w:rFonts w:ascii="宋体" w:hAnsi="宋体" w:eastAsia="宋体" w:cs="宋体"/>
      <w:sz w:val="24"/>
      <w:szCs w:val="24"/>
    </w:rPr>
  </w:style>
  <w:style w:type="character" w:styleId="1004" w:customStyle="1">
    <w:name w:val="标题 字符"/>
    <w:link w:val="957"/>
    <w:uiPriority w:val="10"/>
    <w:qFormat/>
    <w:rPr>
      <w:rFonts w:ascii="Times New Roman" w:hAnsi="Times New Roman" w:eastAsia="黑体" w:cs="Times New Roman"/>
      <w:b/>
      <w:sz w:val="20"/>
      <w:szCs w:val="20"/>
      <w:lang w:val="en-GB"/>
    </w:rPr>
  </w:style>
  <w:style w:type="character" w:styleId="1005" w:customStyle="1">
    <w:name w:val="批注主题 字符"/>
    <w:link w:val="958"/>
    <w:uiPriority w:val="99"/>
    <w:semiHidden/>
    <w:qFormat/>
    <w:rPr>
      <w:rFonts w:ascii="Times New Roman" w:hAnsi="Times New Roman" w:eastAsia="宋体" w:cs="Times New Roman"/>
      <w:b/>
      <w:bCs/>
      <w:sz w:val="24"/>
      <w:szCs w:val="24"/>
    </w:rPr>
  </w:style>
  <w:style w:type="character" w:styleId="1006" w:customStyle="1">
    <w:name w:val="正文文本首行缩进 字符"/>
    <w:basedOn w:val="990"/>
    <w:link w:val="959"/>
    <w:uiPriority w:val="99"/>
    <w:qFormat/>
    <w:rPr>
      <w:rFonts w:ascii="Times New Roman" w:hAnsi="Times New Roman" w:eastAsia="宋体" w:cs="Times New Roman"/>
      <w:sz w:val="24"/>
      <w:szCs w:val="24"/>
    </w:rPr>
  </w:style>
  <w:style w:type="paragraph" w:styleId="1007">
    <w:name w:val="List Paragraph"/>
    <w:basedOn w:val="901"/>
    <w:link w:val="1348"/>
    <w:uiPriority w:val="34"/>
    <w:qFormat/>
    <w:pPr>
      <w:ind w:firstLine="420"/>
    </w:pPr>
  </w:style>
  <w:style w:type="character" w:styleId="1008" w:customStyle="1">
    <w:name w:val="明显引用 Char"/>
    <w:qFormat/>
    <w:rPr>
      <w:rFonts w:ascii="Calibri" w:hAnsi="Calibri" w:eastAsia="宋体"/>
      <w:b/>
      <w:i/>
      <w:sz w:val="22"/>
      <w:lang w:val="en-US" w:eastAsia="en-US"/>
    </w:rPr>
  </w:style>
  <w:style w:type="character" w:styleId="1009" w:customStyle="1">
    <w:name w:val="普通文字1 Char"/>
    <w:qFormat/>
    <w:rPr>
      <w:rFonts w:ascii="宋体" w:eastAsia="宋体"/>
      <w:sz w:val="21"/>
      <w:lang w:val="en-US" w:eastAsia="zh-CN"/>
    </w:rPr>
  </w:style>
  <w:style w:type="character" w:styleId="1010" w:customStyle="1">
    <w:name w:val="Quote Char"/>
    <w:link w:val="1011"/>
    <w:uiPriority w:val="29"/>
    <w:qFormat/>
    <w:rPr>
      <w:rFonts w:ascii="Calibri" w:hAnsi="Calibri" w:eastAsia="宋体" w:cs="Times New Roman"/>
      <w:i/>
      <w:iCs/>
      <w:sz w:val="22"/>
      <w:lang w:eastAsia="en-US"/>
    </w:rPr>
  </w:style>
  <w:style w:type="paragraph" w:styleId="1011" w:customStyle="1">
    <w:name w:val="引用1"/>
    <w:basedOn w:val="901"/>
    <w:next w:val="901"/>
    <w:link w:val="1010"/>
    <w:uiPriority w:val="29"/>
    <w:qFormat/>
    <w:pPr>
      <w:ind w:left="360" w:right="360"/>
      <w:jc w:val="left"/>
      <w:spacing w:before="200" w:line="276" w:lineRule="auto"/>
      <w:widowControl/>
    </w:pPr>
    <w:rPr>
      <w:i/>
      <w:iCs/>
      <w:sz w:val="22"/>
      <w:szCs w:val="20"/>
      <w:lang w:eastAsia="en-US"/>
    </w:rPr>
  </w:style>
  <w:style w:type="character" w:styleId="1012" w:customStyle="1">
    <w:name w:val="小四 段落 宋体 Char Char Char Char Char Char Char Char"/>
    <w:qFormat/>
    <w:rPr>
      <w:rFonts w:eastAsia="宋体"/>
      <w:sz w:val="24"/>
      <w:lang w:val="en-US" w:eastAsia="zh-CN"/>
    </w:rPr>
  </w:style>
  <w:style w:type="character" w:styleId="1013" w:customStyle="1">
    <w:name w:val="apple-style-span"/>
    <w:qFormat/>
    <w:rPr>
      <w:rFonts w:cs="Times New Roman"/>
    </w:rPr>
  </w:style>
  <w:style w:type="character" w:styleId="1014" w:customStyle="1">
    <w:name w:val="t1"/>
    <w:qFormat/>
  </w:style>
  <w:style w:type="character" w:styleId="1015" w:customStyle="1">
    <w:name w:val="纯文本 Char Char"/>
    <w:qFormat/>
    <w:rPr>
      <w:rFonts w:ascii="宋体" w:hAnsi="Courier New" w:eastAsia="宋体"/>
      <w:sz w:val="21"/>
      <w:lang w:val="en-US" w:eastAsia="zh-CN"/>
    </w:rPr>
  </w:style>
  <w:style w:type="character" w:styleId="1016" w:customStyle="1">
    <w:name w:val="UserStyle_0"/>
    <w:link w:val="1017"/>
    <w:qFormat/>
    <w:rPr>
      <w:rFonts w:ascii="Arial" w:hAnsi="Arial" w:eastAsia="黑体"/>
      <w:sz w:val="21"/>
      <w:szCs w:val="21"/>
    </w:rPr>
  </w:style>
  <w:style w:type="paragraph" w:styleId="1017" w:customStyle="1">
    <w:name w:val="Heading 9"/>
    <w:basedOn w:val="901"/>
    <w:next w:val="901"/>
    <w:link w:val="1016"/>
    <w:qFormat/>
    <w:pPr>
      <w:keepLines/>
      <w:keepNext/>
      <w:spacing w:before="240" w:after="64" w:line="320" w:lineRule="auto"/>
      <w:widowControl/>
    </w:pPr>
    <w:rPr>
      <w:rFonts w:ascii="Arial" w:hAnsi="Arial" w:eastAsia="黑体"/>
      <w:szCs w:val="21"/>
    </w:rPr>
  </w:style>
  <w:style w:type="character" w:styleId="1018" w:customStyle="1">
    <w:name w:val="样式 首行缩进:  2 字符 Char Char Char"/>
    <w:qFormat/>
    <w:rPr>
      <w:rFonts w:eastAsia="宋体"/>
      <w:sz w:val="24"/>
      <w:lang w:val="en-US" w:eastAsia="zh-CN"/>
    </w:rPr>
  </w:style>
  <w:style w:type="character" w:styleId="1019" w:customStyle="1">
    <w:name w:val="Char Char8"/>
    <w:qFormat/>
    <w:rPr>
      <w:rFonts w:eastAsia="宋体"/>
      <w:sz w:val="18"/>
      <w:lang w:val="en-US" w:eastAsia="zh-CN"/>
    </w:rPr>
  </w:style>
  <w:style w:type="character" w:styleId="1020" w:customStyle="1">
    <w:name w:val="Char Char12"/>
    <w:qFormat/>
    <w:rPr>
      <w:rFonts w:ascii="Arial" w:hAnsi="Arial" w:eastAsia="黑体"/>
      <w:sz w:val="21"/>
      <w:lang w:val="en-US" w:eastAsia="zh-CN"/>
    </w:rPr>
  </w:style>
  <w:style w:type="character" w:styleId="1021" w:customStyle="1">
    <w:name w:val="标题 3 Char Char"/>
    <w:qFormat/>
    <w:rPr>
      <w:rFonts w:eastAsia="仿宋_GB2312"/>
      <w:b/>
      <w:sz w:val="32"/>
      <w:lang w:val="en-US" w:eastAsia="zh-CN"/>
    </w:rPr>
  </w:style>
  <w:style w:type="character" w:styleId="1022" w:customStyle="1">
    <w:name w:val="标准小四 Char"/>
    <w:qFormat/>
    <w:rPr>
      <w:rFonts w:ascii="Arial" w:hAnsi="Arial" w:eastAsia="宋体"/>
      <w:sz w:val="21"/>
      <w:lang w:val="en-US" w:eastAsia="zh-CN"/>
    </w:rPr>
  </w:style>
  <w:style w:type="character" w:styleId="1023" w:customStyle="1">
    <w:name w:val="标题 3 Char1"/>
    <w:qFormat/>
    <w:rPr>
      <w:rFonts w:eastAsia="宋体"/>
      <w:b/>
      <w:sz w:val="32"/>
      <w:lang w:val="en-US" w:eastAsia="zh-CN"/>
    </w:rPr>
  </w:style>
  <w:style w:type="character" w:styleId="1024" w:customStyle="1">
    <w:name w:val="Char Char31"/>
    <w:qFormat/>
    <w:rPr>
      <w:rFonts w:ascii="Arial" w:hAnsi="Arial" w:eastAsia="黑体"/>
      <w:b/>
      <w:sz w:val="28"/>
      <w:lang w:val="en-US" w:eastAsia="zh-CN"/>
    </w:rPr>
  </w:style>
  <w:style w:type="character" w:styleId="1025" w:customStyle="1">
    <w:name w:val="content_lineheight1"/>
    <w:qFormat/>
    <w:rPr>
      <w:rFonts w:cs="Times New Roman"/>
    </w:rPr>
  </w:style>
  <w:style w:type="character" w:styleId="1026" w:customStyle="1">
    <w:name w:val="Char Char6"/>
    <w:qFormat/>
    <w:rPr>
      <w:rFonts w:eastAsia="宋体"/>
      <w:sz w:val="24"/>
      <w:lang w:val="en-US" w:eastAsia="zh-CN"/>
    </w:rPr>
  </w:style>
  <w:style w:type="character" w:styleId="1027" w:customStyle="1">
    <w:name w:val="style131"/>
    <w:qFormat/>
    <w:rPr>
      <w:sz w:val="18"/>
    </w:rPr>
  </w:style>
  <w:style w:type="character" w:styleId="1028" w:customStyle="1">
    <w:name w:val="明显参考1"/>
    <w:uiPriority w:val="32"/>
    <w:qFormat/>
    <w:rPr>
      <w:smallCaps/>
      <w:spacing w:val="5"/>
      <w:u w:val="single"/>
    </w:rPr>
  </w:style>
  <w:style w:type="character" w:styleId="1029" w:customStyle="1">
    <w:name w:val="3zw"/>
    <w:qFormat/>
    <w:rPr>
      <w:rFonts w:cs="Times New Roman"/>
    </w:rPr>
  </w:style>
  <w:style w:type="character" w:styleId="1030" w:customStyle="1">
    <w:name w:val="Char Char27"/>
    <w:qFormat/>
    <w:rPr>
      <w:b/>
      <w:sz w:val="44"/>
    </w:rPr>
  </w:style>
  <w:style w:type="character" w:styleId="1031" w:customStyle="1">
    <w:name w:val="标准文本 Char"/>
    <w:qFormat/>
    <w:rPr>
      <w:rFonts w:eastAsia="宋体"/>
      <w:sz w:val="24"/>
      <w:lang w:val="en-US" w:eastAsia="zh-CN"/>
    </w:rPr>
  </w:style>
  <w:style w:type="character" w:styleId="1032" w:customStyle="1">
    <w:name w:val="Char Char18"/>
    <w:qFormat/>
    <w:rPr>
      <w:rFonts w:eastAsia="宋体"/>
      <w:b/>
      <w:sz w:val="24"/>
      <w:lang w:val="en-US" w:eastAsia="zh-CN"/>
    </w:rPr>
  </w:style>
  <w:style w:type="character" w:styleId="1033" w:customStyle="1">
    <w:name w:val="Char Char26"/>
    <w:qFormat/>
    <w:rPr>
      <w:b/>
      <w:sz w:val="32"/>
    </w:rPr>
  </w:style>
  <w:style w:type="character" w:styleId="1034" w:customStyle="1">
    <w:name w:val="纯文本 Char1"/>
    <w:qFormat/>
    <w:rPr>
      <w:rFonts w:ascii="宋体" w:hAnsi="Courier New"/>
      <w:sz w:val="21"/>
    </w:rPr>
  </w:style>
  <w:style w:type="character" w:styleId="1035" w:customStyle="1">
    <w:name w:val="Char Char23"/>
    <w:qFormat/>
    <w:rPr>
      <w:rFonts w:ascii="Arial" w:hAnsi="Arial" w:eastAsia="黑体"/>
      <w:b/>
      <w:sz w:val="24"/>
    </w:rPr>
  </w:style>
  <w:style w:type="character" w:styleId="1036" w:customStyle="1">
    <w:name w:val="小四 段落 宋体 Char Char Char Char Char Char"/>
    <w:qFormat/>
    <w:rPr>
      <w:rFonts w:eastAsia="宋体"/>
      <w:sz w:val="24"/>
      <w:lang w:val="en-US" w:eastAsia="zh-CN"/>
    </w:rPr>
  </w:style>
  <w:style w:type="character" w:styleId="1037" w:customStyle="1">
    <w:name w:val="纯文本 Char"/>
    <w:qFormat/>
    <w:rPr>
      <w:rFonts w:ascii="宋体" w:hAnsi="Courier New" w:eastAsia="宋体" w:cs="Times New Roman"/>
      <w:sz w:val="21"/>
      <w:szCs w:val="21"/>
    </w:rPr>
  </w:style>
  <w:style w:type="character" w:styleId="1038" w:customStyle="1">
    <w:name w:val="小四 段落 宋体 Char1"/>
    <w:qFormat/>
    <w:rPr>
      <w:rFonts w:eastAsia="宋体"/>
      <w:sz w:val="24"/>
      <w:lang w:val="en-US" w:eastAsia="zh-CN"/>
    </w:rPr>
  </w:style>
  <w:style w:type="character" w:styleId="1039" w:customStyle="1">
    <w:name w:val="不明显强调1"/>
    <w:uiPriority w:val="19"/>
    <w:qFormat/>
    <w:rPr>
      <w:i/>
    </w:rPr>
  </w:style>
  <w:style w:type="character" w:styleId="1040" w:customStyle="1">
    <w:name w:val="Char Char21"/>
    <w:qFormat/>
    <w:rPr>
      <w:rFonts w:ascii="Arial" w:hAnsi="Arial" w:eastAsia="黑体"/>
      <w:sz w:val="24"/>
    </w:rPr>
  </w:style>
  <w:style w:type="character" w:styleId="1041" w:customStyle="1">
    <w:name w:val="Char Char22"/>
    <w:qFormat/>
    <w:rPr>
      <w:b/>
      <w:sz w:val="24"/>
    </w:rPr>
  </w:style>
  <w:style w:type="character" w:styleId="1042" w:customStyle="1">
    <w:name w:val="已访问的超链接1"/>
    <w:qFormat/>
    <w:rPr>
      <w:color w:val="auto"/>
      <w:u w:val="none"/>
    </w:rPr>
  </w:style>
  <w:style w:type="character" w:styleId="1043" w:customStyle="1">
    <w:name w:val="特点 Char1"/>
    <w:qFormat/>
    <w:rPr>
      <w:rFonts w:eastAsia="宋体"/>
      <w:sz w:val="21"/>
      <w:lang w:val="en-US" w:eastAsia="zh-CN"/>
    </w:rPr>
  </w:style>
  <w:style w:type="character" w:styleId="1044" w:customStyle="1">
    <w:name w:val="Char Char17"/>
    <w:qFormat/>
    <w:rPr>
      <w:rFonts w:ascii="宋体" w:hAnsi="Courier New"/>
      <w:sz w:val="21"/>
    </w:rPr>
  </w:style>
  <w:style w:type="character" w:styleId="1045" w:customStyle="1">
    <w:name w:val="Title1 Char"/>
    <w:qFormat/>
    <w:rPr>
      <w:rFonts w:eastAsia="宋体"/>
      <w:b/>
      <w:sz w:val="44"/>
      <w:lang w:val="en-US" w:eastAsia="zh-CN"/>
    </w:rPr>
  </w:style>
  <w:style w:type="character" w:styleId="1046" w:customStyle="1">
    <w:name w:val="Char Char10"/>
    <w:qFormat/>
    <w:rPr>
      <w:rFonts w:eastAsia="宋体"/>
      <w:b/>
      <w:sz w:val="24"/>
      <w:lang w:val="en-US" w:eastAsia="zh-CN"/>
    </w:rPr>
  </w:style>
  <w:style w:type="character" w:styleId="1047" w:customStyle="1">
    <w:name w:val="小四 段落 宋体 Char Char Char Char1"/>
    <w:qFormat/>
    <w:rPr>
      <w:rFonts w:eastAsia="宋体"/>
      <w:sz w:val="24"/>
      <w:lang w:val="en-US" w:eastAsia="zh-CN"/>
    </w:rPr>
  </w:style>
  <w:style w:type="character" w:styleId="1048" w:customStyle="1">
    <w:name w:val="页眉 Char"/>
    <w:uiPriority w:val="99"/>
    <w:qFormat/>
    <w:rPr>
      <w:rFonts w:ascii="Times New Roman" w:hAnsi="Times New Roman"/>
      <w:sz w:val="18"/>
    </w:rPr>
  </w:style>
  <w:style w:type="character" w:styleId="1049" w:customStyle="1">
    <w:name w:val="ih151"/>
    <w:qFormat/>
    <w:rPr>
      <w:color w:val="666666"/>
      <w:sz w:val="18"/>
      <w:u w:val="none"/>
    </w:rPr>
  </w:style>
  <w:style w:type="character" w:styleId="1050" w:customStyle="1">
    <w:name w:val="listbenefit"/>
    <w:qFormat/>
  </w:style>
  <w:style w:type="character" w:styleId="1051" w:customStyle="1">
    <w:name w:val="页脚 Char"/>
    <w:uiPriority w:val="99"/>
    <w:qFormat/>
    <w:rPr>
      <w:sz w:val="18"/>
    </w:rPr>
  </w:style>
  <w:style w:type="character" w:styleId="1052" w:customStyle="1">
    <w:name w:val="正文缩进 Char1"/>
    <w:qFormat/>
    <w:rPr>
      <w:rFonts w:eastAsia="宋体"/>
    </w:rPr>
  </w:style>
  <w:style w:type="character" w:styleId="1053" w:customStyle="1">
    <w:name w:val="小四 段落 宋体 Char Char Char Char Char Char Char"/>
    <w:qFormat/>
    <w:rPr>
      <w:rFonts w:eastAsia="宋体"/>
      <w:sz w:val="24"/>
      <w:lang w:val="en-US" w:eastAsia="zh-CN"/>
    </w:rPr>
  </w:style>
  <w:style w:type="character" w:styleId="1054" w:customStyle="1">
    <w:name w:val="Char Char25"/>
    <w:qFormat/>
    <w:rPr>
      <w:rFonts w:ascii="Arial" w:hAnsi="Arial" w:eastAsia="黑体"/>
      <w:b/>
      <w:sz w:val="28"/>
    </w:rPr>
  </w:style>
  <w:style w:type="character" w:styleId="1055" w:customStyle="1">
    <w:name w:val="书籍标题1"/>
    <w:uiPriority w:val="33"/>
    <w:qFormat/>
    <w:rPr>
      <w:i/>
      <w:smallCaps/>
      <w:spacing w:val="5"/>
    </w:rPr>
  </w:style>
  <w:style w:type="character" w:styleId="1056" w:customStyle="1">
    <w:name w:val="subtitle1"/>
    <w:qFormat/>
    <w:rPr>
      <w:rFonts w:ascii="Georgia" w:hAnsi="Georgia"/>
      <w:b/>
      <w:color w:val="666666"/>
      <w:sz w:val="18"/>
    </w:rPr>
  </w:style>
  <w:style w:type="character" w:styleId="1057" w:customStyle="1">
    <w:name w:val="标准文本 Char Char"/>
    <w:qFormat/>
    <w:rPr>
      <w:rFonts w:eastAsia="宋体"/>
      <w:sz w:val="24"/>
      <w:lang w:val="en-US" w:eastAsia="zh-CN"/>
    </w:rPr>
  </w:style>
  <w:style w:type="character" w:styleId="1058" w:customStyle="1">
    <w:name w:val="不明显参考1"/>
    <w:uiPriority w:val="31"/>
    <w:qFormat/>
    <w:rPr>
      <w:smallCaps/>
    </w:rPr>
  </w:style>
  <w:style w:type="character" w:styleId="1059" w:customStyle="1">
    <w:name w:val="font5 Char Char"/>
    <w:qFormat/>
    <w:rPr>
      <w:rFonts w:ascii="宋体" w:hAnsi="宋体" w:eastAsia="宋体"/>
      <w:sz w:val="28"/>
      <w:lang w:val="en-US" w:eastAsia="zh-CN"/>
    </w:rPr>
  </w:style>
  <w:style w:type="character" w:styleId="106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061" w:customStyle="1">
    <w:name w:val="小四 段落 宋体 Char Char Char1"/>
    <w:qFormat/>
    <w:rPr>
      <w:rFonts w:ascii="宋体" w:hAnsi="宋体" w:eastAsia="宋体"/>
      <w:sz w:val="24"/>
      <w:lang w:val="en-US" w:eastAsia="zh-CN"/>
    </w:rPr>
  </w:style>
  <w:style w:type="character" w:styleId="1062" w:customStyle="1">
    <w:name w:val="h Char Char"/>
    <w:qFormat/>
    <w:rPr>
      <w:rFonts w:eastAsia="宋体"/>
      <w:sz w:val="18"/>
      <w:lang w:val="en-US" w:eastAsia="zh-CN"/>
    </w:rPr>
  </w:style>
  <w:style w:type="character" w:styleId="1063" w:customStyle="1">
    <w:name w:val="方案文档 Char Char"/>
    <w:qFormat/>
    <w:rPr>
      <w:rFonts w:ascii="宋体" w:hAnsi="宋体" w:eastAsia="宋体"/>
      <w:sz w:val="24"/>
      <w:lang w:val="zh-CN" w:eastAsia="zh-CN"/>
    </w:rPr>
  </w:style>
  <w:style w:type="character" w:styleId="1064" w:customStyle="1">
    <w:name w:val="小四 段落 宋体 Char Char Char Char Char"/>
    <w:qFormat/>
    <w:rPr>
      <w:rFonts w:eastAsia="宋体"/>
      <w:sz w:val="24"/>
      <w:lang w:val="en-US" w:eastAsia="zh-CN"/>
    </w:rPr>
  </w:style>
  <w:style w:type="character" w:styleId="1065" w:customStyle="1">
    <w:name w:val="A2"/>
    <w:qFormat/>
    <w:rPr>
      <w:color w:val="000000"/>
      <w:sz w:val="18"/>
    </w:rPr>
  </w:style>
  <w:style w:type="character" w:styleId="1066" w:customStyle="1">
    <w:name w:val="纯文本 Char Char Char"/>
    <w:qFormat/>
    <w:rPr>
      <w:rFonts w:ascii="宋体" w:hAnsi="Courier New" w:eastAsia="宋体"/>
      <w:sz w:val="21"/>
      <w:lang w:val="en-US" w:eastAsia="zh-CN"/>
    </w:rPr>
  </w:style>
  <w:style w:type="character" w:styleId="1067" w:customStyle="1">
    <w:name w:val="华宇段落1 Char Char"/>
    <w:qFormat/>
    <w:rPr>
      <w:rFonts w:eastAsia="宋体"/>
      <w:sz w:val="24"/>
      <w:lang w:val="en-US" w:eastAsia="zh-CN"/>
    </w:rPr>
  </w:style>
  <w:style w:type="character" w:styleId="1068" w:customStyle="1">
    <w:name w:val="Char Char3"/>
    <w:qFormat/>
    <w:rPr>
      <w:rFonts w:eastAsia="宋体"/>
      <w:sz w:val="18"/>
      <w:lang w:val="en-US" w:eastAsia="zh-CN"/>
    </w:rPr>
  </w:style>
  <w:style w:type="character" w:styleId="1069" w:customStyle="1">
    <w:name w:val="Char Char32"/>
    <w:qFormat/>
    <w:rPr>
      <w:rFonts w:eastAsia="宋体"/>
      <w:b/>
      <w:sz w:val="32"/>
      <w:lang w:val="en-US" w:eastAsia="zh-CN"/>
    </w:rPr>
  </w:style>
  <w:style w:type="character" w:styleId="1070" w:customStyle="1">
    <w:name w:val="样式 宋体 小四"/>
    <w:qFormat/>
    <w:rPr>
      <w:rFonts w:ascii="宋体" w:eastAsia="宋体"/>
      <w:sz w:val="24"/>
    </w:rPr>
  </w:style>
  <w:style w:type="character" w:styleId="1071" w:customStyle="1">
    <w:name w:val="Char Char28"/>
    <w:qFormat/>
    <w:rPr>
      <w:rFonts w:ascii="Arial" w:hAnsi="Arial" w:eastAsia="黑体"/>
      <w:b/>
      <w:sz w:val="32"/>
    </w:rPr>
  </w:style>
  <w:style w:type="character" w:styleId="1072" w:customStyle="1">
    <w:name w:val="content"/>
    <w:qFormat/>
    <w:rPr>
      <w:rFonts w:cs="Times New Roman"/>
    </w:rPr>
  </w:style>
  <w:style w:type="character" w:styleId="1073" w:customStyle="1">
    <w:name w:val="华宇段落1 Char Char Char Char"/>
    <w:qFormat/>
    <w:rPr>
      <w:rFonts w:eastAsia="宋体"/>
      <w:sz w:val="24"/>
      <w:lang w:val="en-US" w:eastAsia="zh-CN"/>
    </w:rPr>
  </w:style>
  <w:style w:type="character" w:styleId="1074" w:customStyle="1">
    <w:name w:val="Char Char20"/>
    <w:qFormat/>
    <w:rPr>
      <w:rFonts w:ascii="Arial" w:hAnsi="Arial" w:eastAsia="黑体"/>
      <w:sz w:val="21"/>
    </w:rPr>
  </w:style>
  <w:style w:type="character" w:styleId="1075" w:customStyle="1">
    <w:name w:val="Char Char24"/>
    <w:qFormat/>
    <w:rPr>
      <w:b/>
      <w:sz w:val="28"/>
    </w:rPr>
  </w:style>
  <w:style w:type="character" w:styleId="1076" w:customStyle="1">
    <w:name w:val="Char Char11"/>
    <w:qFormat/>
    <w:rPr>
      <w:rFonts w:ascii="宋体" w:hAnsi="宋体" w:eastAsia="宋体"/>
      <w:sz w:val="24"/>
      <w:lang w:val="en-US" w:eastAsia="zh-CN"/>
    </w:rPr>
  </w:style>
  <w:style w:type="character" w:styleId="1077" w:customStyle="1">
    <w:name w:val="标准小四 Char Char Char"/>
    <w:qFormat/>
    <w:rPr>
      <w:rFonts w:ascii="Arial" w:hAnsi="Arial" w:eastAsia="宋体"/>
      <w:sz w:val="21"/>
      <w:lang w:val="en-US" w:eastAsia="zh-CN"/>
    </w:rPr>
  </w:style>
  <w:style w:type="character" w:styleId="1078" w:customStyle="1">
    <w:name w:val="Char Char30"/>
    <w:qFormat/>
    <w:rPr>
      <w:rFonts w:eastAsia="宋体"/>
      <w:b/>
      <w:sz w:val="28"/>
      <w:lang w:val="en-US" w:eastAsia="zh-CN"/>
    </w:rPr>
  </w:style>
  <w:style w:type="character" w:styleId="1079" w:customStyle="1">
    <w:name w:val="NormalCharacter"/>
    <w:qFormat/>
  </w:style>
  <w:style w:type="character" w:styleId="1080" w:customStyle="1">
    <w:name w:val="case31"/>
    <w:qFormat/>
    <w:rPr>
      <w:sz w:val="21"/>
    </w:rPr>
  </w:style>
  <w:style w:type="character" w:styleId="1081" w:customStyle="1">
    <w:name w:val="medium_text1"/>
    <w:qFormat/>
    <w:rPr>
      <w:sz w:val="24"/>
    </w:rPr>
  </w:style>
  <w:style w:type="character" w:styleId="1082" w:customStyle="1">
    <w:name w:val="Char Char7"/>
    <w:qFormat/>
    <w:rPr>
      <w:rFonts w:eastAsia="宋体"/>
      <w:b/>
      <w:sz w:val="24"/>
      <w:lang w:val="en-US" w:eastAsia="zh-CN"/>
    </w:rPr>
  </w:style>
  <w:style w:type="character" w:styleId="1083" w:customStyle="1">
    <w:name w:val="样式 首行缩进:  2 字符 Char"/>
    <w:qFormat/>
    <w:rPr>
      <w:rFonts w:eastAsia="宋体"/>
      <w:sz w:val="24"/>
      <w:lang w:val="en-US" w:eastAsia="zh-CN"/>
    </w:rPr>
  </w:style>
  <w:style w:type="character" w:styleId="1084" w:customStyle="1">
    <w:name w:val="apple-converted-space"/>
    <w:qFormat/>
    <w:rPr>
      <w:rFonts w:cs="Times New Roman"/>
    </w:rPr>
  </w:style>
  <w:style w:type="character" w:styleId="1085" w:customStyle="1">
    <w:name w:val="无间隔 Char"/>
    <w:qFormat/>
    <w:rPr>
      <w:rFonts w:ascii="Calibri" w:hAnsi="Calibri" w:eastAsia="微软雅黑"/>
      <w:sz w:val="22"/>
      <w:lang w:val="en-US" w:eastAsia="zh-CN"/>
    </w:rPr>
  </w:style>
  <w:style w:type="character" w:styleId="1086" w:customStyle="1">
    <w:name w:val="Char Char4"/>
    <w:qFormat/>
    <w:rPr>
      <w:rFonts w:ascii="方正大黑简体" w:eastAsia="方正大黑简体"/>
      <w:position w:val="6"/>
      <w:sz w:val="30"/>
      <w:lang w:val="en-US" w:eastAsia="zh-CN"/>
    </w:rPr>
  </w:style>
  <w:style w:type="character" w:styleId="1087" w:customStyle="1">
    <w:name w:val="标准小四 Char Char"/>
    <w:qFormat/>
    <w:rPr>
      <w:rFonts w:ascii="Arial" w:hAnsi="Arial" w:eastAsia="宋体"/>
      <w:sz w:val="21"/>
      <w:lang w:val="en-US" w:eastAsia="zh-CN"/>
    </w:rPr>
  </w:style>
  <w:style w:type="character" w:styleId="1088" w:customStyle="1">
    <w:name w:val="111111 Char Char"/>
    <w:qFormat/>
    <w:rPr>
      <w:rFonts w:ascii="宋体" w:hAnsi="宋体" w:eastAsia="黑体"/>
      <w:b/>
      <w:sz w:val="21"/>
      <w:lang w:val="en-US" w:eastAsia="zh-CN"/>
    </w:rPr>
  </w:style>
  <w:style w:type="character" w:styleId="1089" w:customStyle="1">
    <w:name w:val="Char Char34"/>
    <w:qFormat/>
    <w:rPr>
      <w:rFonts w:eastAsia="宋体"/>
      <w:b/>
      <w:sz w:val="44"/>
      <w:lang w:val="en-US" w:eastAsia="zh-CN"/>
    </w:rPr>
  </w:style>
  <w:style w:type="character" w:styleId="1090" w:customStyle="1">
    <w:name w:val="Char Char14"/>
    <w:qFormat/>
    <w:rPr>
      <w:rFonts w:eastAsia="黑体"/>
      <w:b/>
      <w:sz w:val="28"/>
      <w:lang w:val="en-GB" w:eastAsia="zh-CN"/>
    </w:rPr>
  </w:style>
  <w:style w:type="character" w:styleId="1091" w:customStyle="1">
    <w:name w:val="Intense Quote Char"/>
    <w:link w:val="1092"/>
    <w:uiPriority w:val="30"/>
    <w:qFormat/>
    <w:rPr>
      <w:rFonts w:ascii="Calibri" w:hAnsi="Calibri" w:eastAsia="宋体" w:cs="Times New Roman"/>
      <w:b/>
      <w:bCs/>
      <w:i/>
      <w:iCs/>
      <w:sz w:val="22"/>
      <w:lang w:eastAsia="en-US"/>
    </w:rPr>
  </w:style>
  <w:style w:type="paragraph" w:styleId="1092" w:customStyle="1">
    <w:name w:val="明显引用1"/>
    <w:basedOn w:val="901"/>
    <w:next w:val="901"/>
    <w:link w:val="1091"/>
    <w:uiPriority w:val="30"/>
    <w:qFormat/>
    <w:pPr>
      <w:ind w:left="1008" w:right="1152"/>
      <w:spacing w:before="200" w:after="280" w:line="276" w:lineRule="auto"/>
      <w:widowControl/>
      <w:pBdr>
        <w:bottom w:val="single" w:color="auto" w:sz="4" w:space="1"/>
      </w:pBdr>
    </w:pPr>
    <w:rPr>
      <w:b/>
      <w:bCs/>
      <w:i/>
      <w:iCs/>
      <w:sz w:val="22"/>
      <w:szCs w:val="20"/>
      <w:lang w:eastAsia="en-US"/>
    </w:rPr>
  </w:style>
  <w:style w:type="character" w:styleId="1093" w:customStyle="1">
    <w:name w:val="样式 非加粗"/>
    <w:qFormat/>
    <w:rPr>
      <w:rFonts w:eastAsia="宋体"/>
      <w:sz w:val="28"/>
    </w:rPr>
  </w:style>
  <w:style w:type="character" w:styleId="1094" w:customStyle="1">
    <w:name w:val="标题 Char1"/>
    <w:qFormat/>
    <w:rPr>
      <w:rFonts w:ascii="Cambria" w:eastAsia="宋体"/>
      <w:b/>
      <w:sz w:val="32"/>
    </w:rPr>
  </w:style>
  <w:style w:type="character" w:styleId="1095" w:customStyle="1">
    <w:name w:val="标准文本 Char Char Char"/>
    <w:qFormat/>
    <w:rPr>
      <w:rFonts w:eastAsia="宋体"/>
      <w:sz w:val="24"/>
      <w:lang w:val="en-US" w:eastAsia="zh-CN"/>
    </w:rPr>
  </w:style>
  <w:style w:type="character" w:styleId="1096" w:customStyle="1">
    <w:name w:val="普通文字 Char Char3"/>
    <w:qFormat/>
    <w:rPr>
      <w:rFonts w:ascii="宋体" w:hAnsi="Courier New" w:eastAsia="宋体"/>
      <w:sz w:val="21"/>
      <w:lang w:val="en-US" w:eastAsia="zh-CN"/>
    </w:rPr>
  </w:style>
  <w:style w:type="character" w:styleId="1097" w:customStyle="1">
    <w:name w:val="Char Char19"/>
    <w:qFormat/>
    <w:rPr>
      <w:rFonts w:ascii="Arial" w:hAnsi="Arial" w:eastAsia="黑体"/>
      <w:b/>
      <w:sz w:val="24"/>
      <w:lang w:val="en-US" w:eastAsia="zh-CN"/>
    </w:rPr>
  </w:style>
  <w:style w:type="character" w:styleId="1098" w:customStyle="1">
    <w:name w:val="纯文本 Char Char Char1"/>
    <w:qFormat/>
    <w:rPr>
      <w:rFonts w:ascii="宋体" w:hAnsi="Courier New" w:eastAsia="宋体"/>
      <w:sz w:val="21"/>
      <w:lang w:val="en-US" w:eastAsia="zh-CN"/>
    </w:rPr>
  </w:style>
  <w:style w:type="character" w:styleId="1099" w:customStyle="1">
    <w:name w:val="title_emph1"/>
    <w:qFormat/>
    <w:rPr>
      <w:rFonts w:ascii="Arial"/>
      <w:b/>
      <w:sz w:val="18"/>
    </w:rPr>
  </w:style>
  <w:style w:type="character" w:styleId="1100" w:customStyle="1">
    <w:name w:val="Char Char5"/>
    <w:qFormat/>
    <w:rPr>
      <w:rFonts w:eastAsia="宋体"/>
      <w:sz w:val="24"/>
      <w:lang w:val="en-US" w:eastAsia="zh-CN"/>
    </w:rPr>
  </w:style>
  <w:style w:type="character" w:styleId="1101" w:customStyle="1">
    <w:name w:val="Char Char13"/>
    <w:qFormat/>
    <w:rPr>
      <w:rFonts w:ascii="宋体" w:hAnsi="宋体" w:eastAsia="宋体"/>
      <w:sz w:val="24"/>
      <w:lang w:val="en-US" w:eastAsia="zh-CN"/>
    </w:rPr>
  </w:style>
  <w:style w:type="character" w:styleId="1102" w:customStyle="1">
    <w:name w:val="明显强调1"/>
    <w:uiPriority w:val="21"/>
    <w:qFormat/>
    <w:rPr>
      <w:b/>
    </w:rPr>
  </w:style>
  <w:style w:type="character" w:styleId="1103" w:customStyle="1">
    <w:name w:val="Char Char9"/>
    <w:qFormat/>
    <w:rPr>
      <w:rFonts w:eastAsia="宋体"/>
      <w:sz w:val="21"/>
      <w:lang w:val="en-US" w:eastAsia="zh-CN"/>
    </w:rPr>
  </w:style>
  <w:style w:type="character" w:styleId="1104" w:customStyle="1">
    <w:name w:val="Char Char2"/>
    <w:qFormat/>
    <w:rPr>
      <w:rFonts w:ascii="宋体" w:hAnsi="Courier New" w:eastAsia="宋体"/>
      <w:sz w:val="21"/>
      <w:lang w:val="en-US" w:eastAsia="zh-CN"/>
    </w:rPr>
  </w:style>
  <w:style w:type="character" w:styleId="1105" w:customStyle="1">
    <w:name w:val="concon"/>
    <w:qFormat/>
  </w:style>
  <w:style w:type="character" w:styleId="1106" w:customStyle="1">
    <w:name w:val="normalfont1"/>
    <w:qFormat/>
    <w:rPr>
      <w:rFonts w:ascii="??" w:hAnsi="??"/>
      <w:sz w:val="18"/>
      <w:u w:val="none"/>
    </w:rPr>
  </w:style>
  <w:style w:type="character" w:styleId="1107" w:customStyle="1">
    <w:name w:val="Char Char29"/>
    <w:qFormat/>
    <w:rPr>
      <w:rFonts w:ascii="Times New Roman" w:hAnsi="Times New Roman" w:eastAsia="宋体"/>
      <w:b/>
      <w:sz w:val="44"/>
    </w:rPr>
  </w:style>
  <w:style w:type="character" w:styleId="1108" w:customStyle="1">
    <w:name w:val="华宇段落1 Char Char Char"/>
    <w:qFormat/>
    <w:rPr>
      <w:rFonts w:eastAsia="宋体"/>
      <w:sz w:val="24"/>
      <w:lang w:val="en-US" w:eastAsia="zh-CN"/>
    </w:rPr>
  </w:style>
  <w:style w:type="character" w:styleId="1109" w:customStyle="1">
    <w:name w:val="textcontents"/>
    <w:qFormat/>
    <w:rPr>
      <w:rFonts w:cs="Times New Roman"/>
    </w:rPr>
  </w:style>
  <w:style w:type="character" w:styleId="1110" w:customStyle="1">
    <w:name w:val="引用 Char"/>
    <w:qFormat/>
    <w:rPr>
      <w:rFonts w:ascii="Calibri" w:hAnsi="Calibri" w:eastAsia="宋体"/>
      <w:i/>
      <w:sz w:val="22"/>
      <w:lang w:val="en-US" w:eastAsia="en-US"/>
    </w:rPr>
  </w:style>
  <w:style w:type="character" w:styleId="1111" w:customStyle="1">
    <w:name w:val="Char Char33"/>
    <w:qFormat/>
    <w:rPr>
      <w:rFonts w:ascii="Arial" w:hAnsi="Arial" w:eastAsia="黑体"/>
      <w:b/>
      <w:sz w:val="32"/>
      <w:lang w:val="en-US" w:eastAsia="zh-CN"/>
    </w:rPr>
  </w:style>
  <w:style w:type="character" w:styleId="1112" w:customStyle="1">
    <w:name w:val="样式 首行缩进:  2 字符 Char Char"/>
    <w:qFormat/>
    <w:rPr>
      <w:rFonts w:eastAsia="宋体"/>
      <w:sz w:val="24"/>
      <w:lang w:val="en-US" w:eastAsia="zh-CN"/>
    </w:rPr>
  </w:style>
  <w:style w:type="character" w:styleId="1113" w:customStyle="1">
    <w:name w:val="Char Char16"/>
    <w:qFormat/>
    <w:rPr>
      <w:rFonts w:ascii="Arial" w:hAnsi="Arial" w:eastAsia="黑体"/>
      <w:sz w:val="24"/>
      <w:lang w:val="en-US" w:eastAsia="zh-CN"/>
    </w:rPr>
  </w:style>
  <w:style w:type="character" w:styleId="1114" w:customStyle="1">
    <w:name w:val="正文 + 宋体 Char"/>
    <w:qFormat/>
    <w:rPr>
      <w:rFonts w:eastAsia="宋体"/>
      <w:sz w:val="24"/>
      <w:lang w:val="en-US" w:eastAsia="zh-CN"/>
    </w:rPr>
  </w:style>
  <w:style w:type="character" w:styleId="1115" w:customStyle="1">
    <w:name w:val="2nd level Char"/>
    <w:qFormat/>
    <w:rPr>
      <w:rFonts w:ascii="Arial" w:hAnsi="Arial" w:eastAsia="黑体"/>
      <w:b/>
      <w:sz w:val="32"/>
      <w:lang w:val="en-US" w:eastAsia="zh-CN"/>
    </w:rPr>
  </w:style>
  <w:style w:type="character" w:styleId="1116" w:customStyle="1">
    <w:name w:val="Char Char15"/>
    <w:qFormat/>
    <w:rPr>
      <w:rFonts w:ascii="Arial" w:hAnsi="Arial" w:eastAsia="黑体"/>
      <w:sz w:val="21"/>
      <w:lang w:val="en-US" w:eastAsia="zh-CN"/>
    </w:rPr>
  </w:style>
  <w:style w:type="paragraph" w:styleId="1117" w:customStyle="1">
    <w:name w:val="Char Char Char Char Char Char Char Char Char Char Char Char Char Char Char Char Char Char Char Char Char Char Char"/>
    <w:basedOn w:val="901"/>
    <w:qFormat/>
    <w:rPr>
      <w:rFonts w:ascii="Tahoma" w:hAnsi="Tahoma"/>
      <w:sz w:val="24"/>
      <w:szCs w:val="20"/>
    </w:rPr>
  </w:style>
  <w:style w:type="paragraph" w:styleId="1118" w:customStyle="1">
    <w:name w:val="普通文字"/>
    <w:basedOn w:val="901"/>
    <w:next w:val="901"/>
    <w:qFormat/>
    <w:rPr>
      <w:rFonts w:ascii="宋体" w:hAnsi="宋体" w:cs="宋体"/>
      <w:sz w:val="24"/>
      <w:szCs w:val="20"/>
    </w:rPr>
  </w:style>
  <w:style w:type="paragraph" w:styleId="1119" w:customStyle="1">
    <w:name w:val="Char Char Char Char Char Char Char Char Char Char Char Char Char Char Char Char Char Char Char Char Char1"/>
    <w:basedOn w:val="901"/>
    <w:qFormat/>
    <w:rPr>
      <w:rFonts w:ascii="Tahoma" w:hAnsi="Tahoma"/>
      <w:sz w:val="24"/>
      <w:szCs w:val="20"/>
    </w:rPr>
  </w:style>
  <w:style w:type="paragraph" w:styleId="1120" w:customStyle="1">
    <w:name w:val="xl54"/>
    <w:basedOn w:val="90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21" w:customStyle="1">
    <w:name w:val="无间隔1"/>
    <w:qFormat/>
    <w:pPr>
      <w:jc w:val="both"/>
      <w:widowControl w:val="off"/>
    </w:pPr>
    <w:rPr>
      <w:rFonts w:ascii="Calibri" w:hAnsi="Calibri" w:eastAsia="微软雅黑"/>
      <w:sz w:val="24"/>
      <w:szCs w:val="22"/>
    </w:rPr>
  </w:style>
  <w:style w:type="paragraph" w:styleId="1122" w:customStyle="1">
    <w:name w:val="_Style 278"/>
    <w:basedOn w:val="901"/>
    <w:next w:val="1007"/>
    <w:uiPriority w:val="34"/>
    <w:qFormat/>
    <w:pPr>
      <w:ind w:firstLine="420"/>
    </w:pPr>
  </w:style>
  <w:style w:type="paragraph" w:styleId="1123" w:customStyle="1">
    <w:name w:val="xl26"/>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24" w:customStyle="1">
    <w:name w:val="正文 + Arial Char"/>
    <w:basedOn w:val="901"/>
    <w:qFormat/>
    <w:pPr>
      <w:ind w:left="315" w:hanging="315"/>
      <w:spacing w:line="300" w:lineRule="auto"/>
      <w:widowControl/>
      <w:tabs>
        <w:tab w:val="left" w:pos="315" w:leader="none"/>
      </w:tabs>
    </w:pPr>
    <w:rPr>
      <w:rFonts w:ascii="Arial" w:hAnsi="Arial" w:cs="Arial"/>
      <w:b/>
      <w:color w:val="000000"/>
      <w:szCs w:val="20"/>
    </w:rPr>
  </w:style>
  <w:style w:type="paragraph" w:styleId="1125" w:customStyle="1">
    <w:name w:val="正文缩进2字符"/>
    <w:basedOn w:val="901"/>
    <w:qFormat/>
    <w:pPr>
      <w:ind w:firstLine="200"/>
      <w:spacing w:line="300" w:lineRule="auto"/>
    </w:pPr>
    <w:rPr>
      <w:rFonts w:ascii="仿宋_GB2312" w:eastAsia="仿宋_GB2312"/>
      <w:sz w:val="32"/>
      <w:szCs w:val="32"/>
    </w:rPr>
  </w:style>
  <w:style w:type="paragraph" w:styleId="1126" w:customStyle="1">
    <w:name w:val="默认段落字体 Para Char Char Char Char Char Char Char"/>
    <w:basedOn w:val="901"/>
    <w:qFormat/>
    <w:rPr>
      <w:rFonts w:ascii="Tahoma" w:hAnsi="Tahoma"/>
      <w:sz w:val="24"/>
      <w:szCs w:val="20"/>
    </w:rPr>
  </w:style>
  <w:style w:type="paragraph" w:styleId="1127" w:customStyle="1">
    <w:name w:val="Char1 Char Char Char1"/>
    <w:basedOn w:val="901"/>
    <w:qFormat/>
    <w:rPr>
      <w:rFonts w:ascii="Tahoma" w:hAnsi="Tahoma"/>
      <w:sz w:val="24"/>
      <w:szCs w:val="20"/>
    </w:rPr>
  </w:style>
  <w:style w:type="paragraph" w:styleId="1128" w:customStyle="1">
    <w:name w:val="xl55"/>
    <w:basedOn w:val="901"/>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29" w:customStyle="1">
    <w:name w:val="table_lines"/>
    <w:basedOn w:val="901"/>
    <w:qFormat/>
    <w:pPr>
      <w:jc w:val="left"/>
      <w:widowControl/>
    </w:pPr>
    <w:rPr>
      <w:sz w:val="20"/>
      <w:szCs w:val="20"/>
      <w:lang w:val="de-DE" w:eastAsia="de-DE"/>
    </w:rPr>
  </w:style>
  <w:style w:type="paragraph" w:styleId="1130" w:customStyle="1">
    <w:name w:val="部分1"/>
    <w:basedOn w:val="901"/>
    <w:qFormat/>
    <w:pPr>
      <w:jc w:val="center"/>
      <w:keepNext/>
      <w:pageBreakBefore/>
      <w:spacing w:line="360" w:lineRule="auto"/>
      <w:tabs>
        <w:tab w:val="left" w:pos="360" w:leader="none"/>
      </w:tabs>
      <w:outlineLvl w:val="0"/>
    </w:pPr>
    <w:rPr>
      <w:rFonts w:eastAsia="黑体"/>
      <w:b/>
      <w:sz w:val="36"/>
      <w:szCs w:val="20"/>
    </w:rPr>
  </w:style>
  <w:style w:type="paragraph" w:styleId="1131" w:customStyle="1">
    <w:name w:val="Default Text"/>
    <w:basedOn w:val="901"/>
    <w:qFormat/>
    <w:pPr>
      <w:jc w:val="left"/>
      <w:widowControl/>
    </w:pPr>
    <w:rPr>
      <w:sz w:val="24"/>
      <w:szCs w:val="20"/>
      <w:lang w:eastAsia="en-US"/>
    </w:rPr>
  </w:style>
  <w:style w:type="paragraph" w:styleId="1132" w:customStyle="1">
    <w:name w:val="正文 首行缩进:  2 字符 Char"/>
    <w:basedOn w:val="901"/>
    <w:qFormat/>
    <w:pPr>
      <w:ind w:firstLine="480"/>
      <w:spacing w:line="360" w:lineRule="auto"/>
    </w:pPr>
    <w:rPr>
      <w:rFonts w:cs="宋体"/>
      <w:sz w:val="24"/>
      <w:szCs w:val="20"/>
    </w:rPr>
  </w:style>
  <w:style w:type="paragraph" w:styleId="1133" w:customStyle="1">
    <w:name w:val="xl56"/>
    <w:basedOn w:val="90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34" w:customStyle="1">
    <w:name w:val="正文--表格内正文"/>
    <w:basedOn w:val="901"/>
    <w:qFormat/>
    <w:pPr>
      <w:jc w:val="center"/>
      <w:spacing w:line="240" w:lineRule="atLeast"/>
    </w:pPr>
    <w:rPr>
      <w:rFonts w:ascii="宋体" w:hAnsi="宋体"/>
      <w:color w:val="000000"/>
      <w:sz w:val="24"/>
    </w:rPr>
  </w:style>
  <w:style w:type="paragraph" w:styleId="1135" w:customStyle="1">
    <w:name w:val="Char Char110"/>
    <w:basedOn w:val="901"/>
    <w:qFormat/>
    <w:rPr>
      <w:rFonts w:ascii="Tahoma" w:hAnsi="Tahoma" w:cs="Tahoma"/>
      <w:sz w:val="24"/>
      <w:szCs w:val="20"/>
    </w:rPr>
  </w:style>
  <w:style w:type="paragraph" w:styleId="1136" w:customStyle="1">
    <w:name w:val="xl59"/>
    <w:basedOn w:val="901"/>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37" w:customStyle="1">
    <w:name w:val="华宇段落1 Char"/>
    <w:basedOn w:val="901"/>
    <w:qFormat/>
    <w:pPr>
      <w:ind w:firstLine="200"/>
      <w:spacing w:line="360" w:lineRule="auto"/>
    </w:pPr>
    <w:rPr>
      <w:bCs/>
      <w:sz w:val="24"/>
    </w:rPr>
  </w:style>
  <w:style w:type="paragraph" w:styleId="1138" w:customStyle="1">
    <w:name w:val="Char Char Char Char Char Char Char Char Char Char Char Char Char Char Char Char Char Char Char Char Char"/>
    <w:basedOn w:val="901"/>
    <w:qFormat/>
    <w:rPr>
      <w:rFonts w:ascii="Tahoma" w:hAnsi="Tahoma" w:cs="Tahoma"/>
      <w:sz w:val="24"/>
      <w:szCs w:val="20"/>
    </w:rPr>
  </w:style>
  <w:style w:type="paragraph" w:styleId="1139" w:customStyle="1">
    <w:name w:val="Char Char Char Char Char Char Char Char Char"/>
    <w:basedOn w:val="901"/>
    <w:qFormat/>
    <w:pPr>
      <w:ind w:left="200" w:hanging="200"/>
      <w:tabs>
        <w:tab w:val="left" w:pos="360" w:leader="none"/>
      </w:tabs>
    </w:pPr>
    <w:rPr>
      <w:sz w:val="24"/>
    </w:rPr>
  </w:style>
  <w:style w:type="paragraph" w:styleId="1140" w:customStyle="1">
    <w:name w:val="xl57"/>
    <w:basedOn w:val="901"/>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41" w:customStyle="1">
    <w:name w:val="font11"/>
    <w:basedOn w:val="901"/>
    <w:qFormat/>
    <w:pPr>
      <w:jc w:val="left"/>
      <w:spacing w:before="100" w:beforeAutospacing="1" w:after="100" w:afterAutospacing="1"/>
      <w:widowControl/>
    </w:pPr>
    <w:rPr>
      <w:b/>
      <w:bCs/>
      <w:sz w:val="18"/>
      <w:szCs w:val="18"/>
    </w:rPr>
  </w:style>
  <w:style w:type="paragraph" w:styleId="1142" w:customStyle="1">
    <w:name w:val="Char Char Char Char Char Char Char Char Char Char Char Char Char Char"/>
    <w:basedOn w:val="901"/>
    <w:qFormat/>
    <w:rPr>
      <w:rFonts w:ascii="Tahoma" w:hAnsi="Tahoma"/>
      <w:sz w:val="24"/>
      <w:szCs w:val="20"/>
    </w:rPr>
  </w:style>
  <w:style w:type="paragraph" w:styleId="1143" w:customStyle="1">
    <w:name w:val="Char Char Char Char Char Char Char"/>
    <w:basedOn w:val="901"/>
    <w:qFormat/>
    <w:pPr>
      <w:jc w:val="left"/>
    </w:pPr>
    <w:rPr>
      <w:rFonts w:ascii="Tahoma" w:hAnsi="Tahoma"/>
      <w:sz w:val="24"/>
      <w:szCs w:val="20"/>
    </w:rPr>
  </w:style>
  <w:style w:type="paragraph" w:styleId="1144" w:customStyle="1">
    <w:name w:val="Char Char Char Char Char Char Char Char Char Char Char"/>
    <w:basedOn w:val="901"/>
    <w:qFormat/>
    <w:rPr>
      <w:rFonts w:ascii="Tahoma" w:hAnsi="Tahoma"/>
      <w:sz w:val="24"/>
      <w:szCs w:val="20"/>
    </w:rPr>
  </w:style>
  <w:style w:type="paragraph" w:styleId="1145" w:customStyle="1">
    <w:name w:val="公文标题 2"/>
    <w:basedOn w:val="901"/>
    <w:next w:val="1146"/>
    <w:qFormat/>
    <w:pPr>
      <w:outlineLvl w:val="1"/>
    </w:pPr>
    <w:rPr>
      <w:rFonts w:ascii="仿宋_GB2312" w:hAnsi="宋体" w:eastAsia="仿宋_GB2312"/>
      <w:sz w:val="28"/>
    </w:rPr>
  </w:style>
  <w:style w:type="paragraph" w:styleId="1146" w:customStyle="1">
    <w:name w:val="公文正文"/>
    <w:basedOn w:val="924"/>
    <w:qFormat/>
    <w:pPr>
      <w:ind w:firstLine="200"/>
      <w:spacing w:after="0"/>
    </w:pPr>
    <w:rPr>
      <w:rFonts w:ascii="仿宋_GB2312" w:hAnsi="宋体" w:eastAsia="仿宋_GB2312"/>
      <w:sz w:val="28"/>
    </w:rPr>
  </w:style>
  <w:style w:type="paragraph" w:styleId="1147" w:customStyle="1">
    <w:name w:val="标题4，章节第四层"/>
    <w:basedOn w:val="901"/>
    <w:next w:val="901"/>
    <w:qFormat/>
    <w:pPr>
      <w:spacing w:line="360" w:lineRule="auto"/>
      <w:tabs>
        <w:tab w:val="left" w:pos="0" w:leader="none"/>
      </w:tabs>
      <w:outlineLvl w:val="3"/>
    </w:pPr>
    <w:rPr>
      <w:rFonts w:ascii="宋体" w:hAnsi="宋体"/>
      <w:b/>
      <w:sz w:val="24"/>
    </w:rPr>
  </w:style>
  <w:style w:type="paragraph" w:styleId="1148" w:customStyle="1">
    <w:name w:val="样式 标题 2H2h2sect 1.2Heading 2 HiddenHeading 2 CCBSheading 2..."/>
    <w:basedOn w:val="903"/>
    <w:qFormat/>
    <w:pPr>
      <w:ind w:left="576" w:hanging="36"/>
      <w:jc w:val="left"/>
      <w:spacing w:line="240" w:lineRule="auto"/>
      <w:tabs>
        <w:tab w:val="left" w:pos="576" w:leader="none"/>
      </w:tabs>
    </w:pPr>
    <w:rPr>
      <w:rFonts w:ascii="宋体" w:hAnsi="宋体" w:eastAsia="宋体"/>
      <w:sz w:val="28"/>
      <w:szCs w:val="20"/>
    </w:rPr>
  </w:style>
  <w:style w:type="paragraph" w:styleId="1149" w:customStyle="1">
    <w:name w:val="符号与编号 Char"/>
    <w:basedOn w:val="901"/>
    <w:qFormat/>
    <w:pPr>
      <w:ind w:left="720"/>
      <w:spacing w:line="400" w:lineRule="atLeast"/>
      <w:tabs>
        <w:tab w:val="left" w:pos="720" w:leader="none"/>
      </w:tabs>
    </w:pPr>
    <w:rPr>
      <w:sz w:val="24"/>
    </w:rPr>
  </w:style>
  <w:style w:type="paragraph" w:styleId="1150" w:customStyle="1">
    <w:name w:val="xl47"/>
    <w:basedOn w:val="90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51" w:customStyle="1">
    <w:name w:val="丁华正文"/>
    <w:basedOn w:val="949"/>
    <w:qFormat/>
    <w:pPr>
      <w:ind w:left="0" w:firstLine="510"/>
      <w:spacing w:before="0" w:after="0" w:line="360" w:lineRule="auto"/>
    </w:pPr>
    <w:rPr>
      <w:rFonts w:ascii="宋体" w:hAnsi="Arial"/>
      <w:bCs w:val="0"/>
      <w:color w:val="000000"/>
      <w:szCs w:val="16"/>
    </w:rPr>
  </w:style>
  <w:style w:type="paragraph" w:styleId="1152" w:customStyle="1">
    <w:name w:val="样式 样式 首行缩进:  0.74 厘米 行距: 1.5 倍行距 + 段后: 0.5 行"/>
    <w:basedOn w:val="901"/>
    <w:qFormat/>
    <w:pPr>
      <w:ind w:firstLine="420"/>
      <w:spacing w:line="360" w:lineRule="auto"/>
    </w:pPr>
    <w:rPr>
      <w:rFonts w:ascii="楷体_GB2312" w:eastAsia="楷体_GB2312"/>
      <w:bCs/>
      <w:sz w:val="24"/>
      <w:szCs w:val="20"/>
    </w:rPr>
  </w:style>
  <w:style w:type="paragraph" w:styleId="1153" w:customStyle="1">
    <w:name w:val="xl25"/>
    <w:basedOn w:val="901"/>
    <w:qFormat/>
    <w:pPr>
      <w:jc w:val="center"/>
      <w:spacing w:before="100" w:beforeAutospacing="1" w:after="100" w:afterAutospacing="1"/>
      <w:widowControl/>
      <w:pBdr>
        <w:right w:val="single" w:color="auto" w:sz="4" w:space="0"/>
      </w:pBdr>
    </w:pPr>
    <w:rPr>
      <w:szCs w:val="21"/>
    </w:rPr>
  </w:style>
  <w:style w:type="paragraph" w:styleId="1154" w:customStyle="1">
    <w:name w:val="Char Char Char Char Char Char Char1 Char"/>
    <w:basedOn w:val="901"/>
    <w:qFormat/>
    <w:rPr>
      <w:rFonts w:ascii="Tahoma" w:hAnsi="Tahoma" w:cs="Tahoma"/>
      <w:sz w:val="24"/>
      <w:szCs w:val="20"/>
    </w:rPr>
  </w:style>
  <w:style w:type="paragraph" w:styleId="1155" w:customStyle="1">
    <w:name w:val="flNote"/>
    <w:basedOn w:val="901"/>
    <w:qFormat/>
    <w:pPr>
      <w:jc w:val="center"/>
      <w:spacing w:before="567" w:line="360" w:lineRule="atLeast"/>
    </w:pPr>
    <w:rPr>
      <w:rFonts w:eastAsia="黑体"/>
      <w:b/>
      <w:sz w:val="24"/>
      <w:szCs w:val="20"/>
    </w:rPr>
  </w:style>
  <w:style w:type="paragraph" w:styleId="1156" w:customStyle="1">
    <w:name w:val="Char Char1 Char"/>
    <w:basedOn w:val="901"/>
    <w:qFormat/>
    <w:pPr>
      <w:jc w:val="left"/>
      <w:spacing w:after="160" w:line="240" w:lineRule="exact"/>
      <w:widowControl/>
    </w:pPr>
    <w:rPr>
      <w:rFonts w:ascii="Verdana" w:hAnsi="Verdana"/>
      <w:sz w:val="20"/>
      <w:szCs w:val="20"/>
      <w:lang w:eastAsia="en-US"/>
    </w:rPr>
  </w:style>
  <w:style w:type="paragraph" w:styleId="1157">
    <w:name w:val="No Spacing"/>
    <w:uiPriority w:val="1"/>
    <w:qFormat/>
    <w:rPr>
      <w:rFonts w:ascii="Calibri" w:hAnsi="Calibri"/>
      <w:sz w:val="22"/>
      <w:szCs w:val="22"/>
    </w:rPr>
  </w:style>
  <w:style w:type="paragraph" w:styleId="1158" w:customStyle="1">
    <w:name w:val="Body Text 211"/>
    <w:basedOn w:val="901"/>
    <w:qFormat/>
    <w:pPr>
      <w:ind w:left="720" w:hanging="720"/>
      <w:widowControl/>
    </w:pPr>
    <w:rPr>
      <w:sz w:val="24"/>
      <w:szCs w:val="20"/>
      <w:lang w:val="en-GB"/>
    </w:rPr>
  </w:style>
  <w:style w:type="paragraph" w:styleId="1159" w:customStyle="1">
    <w:name w:val="xl62"/>
    <w:basedOn w:val="90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60" w:customStyle="1">
    <w:name w:val="样式1"/>
    <w:basedOn w:val="901"/>
    <w:qFormat/>
    <w:pPr>
      <w:ind w:firstLine="480"/>
      <w:spacing w:line="300" w:lineRule="auto"/>
    </w:pPr>
    <w:rPr>
      <w:sz w:val="24"/>
    </w:rPr>
  </w:style>
  <w:style w:type="paragraph" w:styleId="1161" w:customStyle="1">
    <w:name w:val="样式 加点正文 + 段前: 0.5 行 段后: 0.5 行1"/>
    <w:basedOn w:val="901"/>
    <w:qFormat/>
    <w:pPr>
      <w:ind w:left="1268" w:hanging="420"/>
      <w:spacing w:line="300" w:lineRule="auto"/>
      <w:tabs>
        <w:tab w:val="left" w:pos="1268" w:leader="none"/>
      </w:tabs>
    </w:pPr>
    <w:rPr>
      <w:sz w:val="24"/>
      <w:szCs w:val="20"/>
    </w:rPr>
  </w:style>
  <w:style w:type="paragraph" w:styleId="1162" w:customStyle="1">
    <w:name w:val="xl28"/>
    <w:basedOn w:val="9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63" w:customStyle="1">
    <w:name w:val="样式"/>
    <w:basedOn w:val="901"/>
    <w:qFormat/>
    <w:pPr>
      <w:spacing w:before="120" w:after="120" w:line="360" w:lineRule="auto"/>
    </w:pPr>
    <w:rPr>
      <w:rFonts w:ascii="宋体"/>
      <w:sz w:val="24"/>
      <w:szCs w:val="20"/>
    </w:rPr>
  </w:style>
  <w:style w:type="paragraph" w:styleId="1164" w:customStyle="1">
    <w:name w:val="Char2 Char Char Char Char Char Char1"/>
    <w:basedOn w:val="901"/>
    <w:qFormat/>
    <w:pPr>
      <w:ind w:hanging="425"/>
      <w:keepNext/>
      <w:spacing w:before="80" w:after="80"/>
      <w:widowControl/>
      <w:tabs>
        <w:tab w:val="left" w:pos="425" w:leader="none"/>
      </w:tabs>
    </w:pPr>
    <w:rPr>
      <w:rFonts w:ascii="Arial" w:hAnsi="Arial" w:cs="Arial"/>
      <w:sz w:val="20"/>
      <w:szCs w:val="20"/>
    </w:rPr>
  </w:style>
  <w:style w:type="paragraph" w:styleId="1165" w:customStyle="1">
    <w:name w:val="正文 + 宋体"/>
    <w:basedOn w:val="901"/>
    <w:qFormat/>
    <w:pPr>
      <w:ind w:firstLine="420"/>
      <w:spacing w:line="360" w:lineRule="auto"/>
    </w:pPr>
  </w:style>
  <w:style w:type="paragraph" w:styleId="1166" w:customStyle="1">
    <w:name w:val="xl53"/>
    <w:basedOn w:val="90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67" w:customStyle="1">
    <w:name w:val="样式2"/>
    <w:basedOn w:val="901"/>
    <w:qFormat/>
    <w:pPr>
      <w:ind w:left="200"/>
      <w:spacing w:line="360" w:lineRule="auto"/>
    </w:pPr>
    <w:rPr>
      <w:rFonts w:ascii="宋体" w:hAnsi="宋体"/>
      <w:b/>
      <w:sz w:val="24"/>
    </w:rPr>
  </w:style>
  <w:style w:type="paragraph" w:styleId="1168" w:customStyle="1">
    <w:name w:val="正文文本缩进1"/>
    <w:basedOn w:val="901"/>
    <w:qFormat/>
    <w:pPr>
      <w:ind w:left="420"/>
      <w:spacing w:after="120"/>
    </w:pPr>
  </w:style>
  <w:style w:type="paragraph" w:styleId="1169" w:customStyle="1">
    <w:name w:val="xl42"/>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0" w:customStyle="1">
    <w:name w:val="符号与编号"/>
    <w:basedOn w:val="901"/>
    <w:qFormat/>
    <w:pPr>
      <w:ind w:left="900" w:hanging="420"/>
      <w:spacing w:line="400" w:lineRule="atLeast"/>
      <w:tabs>
        <w:tab w:val="left" w:pos="900" w:leader="none"/>
      </w:tabs>
    </w:pPr>
    <w:rPr>
      <w:sz w:val="24"/>
    </w:rPr>
  </w:style>
  <w:style w:type="paragraph" w:styleId="1171" w:customStyle="1">
    <w:name w:val="文档正文"/>
    <w:basedOn w:val="901"/>
    <w:qFormat/>
    <w:pPr>
      <w:spacing w:line="360" w:lineRule="auto"/>
    </w:pPr>
    <w:rPr>
      <w:rFonts w:ascii="宋体" w:hAnsi="宋体"/>
      <w:b/>
      <w:bCs/>
    </w:rPr>
  </w:style>
  <w:style w:type="paragraph" w:styleId="1172" w:customStyle="1">
    <w:name w:val="font10"/>
    <w:basedOn w:val="901"/>
    <w:qFormat/>
    <w:pPr>
      <w:jc w:val="left"/>
      <w:spacing w:before="100" w:beforeAutospacing="1" w:after="100" w:afterAutospacing="1"/>
      <w:widowControl/>
    </w:pPr>
    <w:rPr>
      <w:rFonts w:ascii="楷体_GB2312" w:hAnsi="宋体" w:eastAsia="楷体_GB2312" w:cs="宋体"/>
      <w:b/>
      <w:bCs/>
      <w:sz w:val="18"/>
      <w:szCs w:val="18"/>
    </w:rPr>
  </w:style>
  <w:style w:type="paragraph" w:styleId="1173" w:customStyle="1">
    <w:name w:val="xl51"/>
    <w:basedOn w:val="90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74" w:customStyle="1">
    <w:name w:val="xl49"/>
    <w:basedOn w:val="901"/>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75" w:customStyle="1">
    <w:name w:val="大标题"/>
    <w:basedOn w:val="901"/>
    <w:next w:val="901"/>
    <w:qFormat/>
    <w:pPr>
      <w:ind w:hanging="420"/>
      <w:pageBreakBefore/>
      <w:spacing w:line="360" w:lineRule="auto"/>
      <w:tabs>
        <w:tab w:val="left" w:pos="420" w:leader="none"/>
      </w:tabs>
      <w:outlineLvl w:val="0"/>
    </w:pPr>
    <w:rPr>
      <w:b/>
      <w:iCs/>
      <w:sz w:val="44"/>
    </w:rPr>
  </w:style>
  <w:style w:type="paragraph" w:styleId="1176" w:customStyle="1">
    <w:name w:val="列出段落1"/>
    <w:basedOn w:val="901"/>
    <w:uiPriority w:val="34"/>
    <w:qFormat/>
    <w:pPr>
      <w:ind w:firstLine="200"/>
    </w:pPr>
    <w:rPr>
      <w:rFonts w:cs="宋体"/>
      <w:szCs w:val="22"/>
    </w:rPr>
  </w:style>
  <w:style w:type="paragraph" w:styleId="1177" w:customStyle="1">
    <w:name w:val="正文文本 New New"/>
    <w:basedOn w:val="901"/>
    <w:qFormat/>
    <w:pPr>
      <w:ind w:firstLine="200"/>
      <w:spacing w:before="60" w:after="60" w:line="360" w:lineRule="auto"/>
      <w:widowControl/>
    </w:pPr>
    <w:rPr>
      <w:rFonts w:eastAsia="华文楷体"/>
      <w:sz w:val="24"/>
    </w:rPr>
  </w:style>
  <w:style w:type="paragraph" w:styleId="1178" w:customStyle="1">
    <w:name w:val="content_lineheight"/>
    <w:basedOn w:val="901"/>
    <w:qFormat/>
    <w:pPr>
      <w:jc w:val="left"/>
      <w:spacing w:before="100" w:beforeAutospacing="1" w:after="100" w:afterAutospacing="1"/>
      <w:widowControl/>
    </w:pPr>
    <w:rPr>
      <w:rFonts w:ascii="宋体" w:hAnsi="宋体"/>
      <w:sz w:val="24"/>
    </w:rPr>
  </w:style>
  <w:style w:type="paragraph" w:styleId="1179" w:customStyle="1">
    <w:name w:val="我的正文"/>
    <w:basedOn w:val="901"/>
    <w:qFormat/>
    <w:pPr>
      <w:ind w:firstLine="420"/>
      <w:jc w:val="left"/>
      <w:spacing w:line="360" w:lineRule="auto"/>
      <w:widowControl/>
    </w:pPr>
    <w:rPr>
      <w:rFonts w:ascii="宋体" w:hAnsi="宋体" w:cs="宋体"/>
      <w:szCs w:val="21"/>
    </w:rPr>
  </w:style>
  <w:style w:type="paragraph" w:styleId="1180" w:customStyle="1">
    <w:name w:val="附录1"/>
    <w:qFormat/>
    <w:pPr>
      <w:ind w:left="902" w:hanging="420"/>
      <w:spacing w:before="240" w:line="600" w:lineRule="atLeast"/>
      <w:tabs>
        <w:tab w:val="left" w:pos="907" w:leader="none"/>
      </w:tabs>
    </w:pPr>
    <w:rPr>
      <w:rFonts w:ascii="Calibri" w:hAnsi="Calibri"/>
      <w:b/>
      <w:i/>
      <w:sz w:val="28"/>
    </w:rPr>
  </w:style>
  <w:style w:type="paragraph" w:styleId="1181" w:customStyle="1">
    <w:name w:val="小四 段落 宋体 Char"/>
    <w:basedOn w:val="918"/>
    <w:qFormat/>
    <w:pPr>
      <w:ind w:left="0" w:right="-33" w:firstLine="600"/>
      <w:jc w:val="left"/>
      <w:tabs>
        <w:tab w:val="clear" w:pos="2952" w:leader="none"/>
      </w:tabs>
    </w:pPr>
    <w:rPr>
      <w:rFonts w:ascii="仿宋_GB2312" w:eastAsia="仿宋_GB2312"/>
      <w:sz w:val="30"/>
      <w:szCs w:val="30"/>
    </w:rPr>
  </w:style>
  <w:style w:type="paragraph" w:styleId="1182" w:customStyle="1">
    <w:name w:val="方案文档"/>
    <w:basedOn w:val="901"/>
    <w:qFormat/>
    <w:pPr>
      <w:jc w:val="center"/>
      <w:spacing w:before="60" w:after="60" w:line="360" w:lineRule="auto"/>
    </w:pPr>
    <w:rPr>
      <w:rFonts w:ascii="宋体" w:hAnsi="宋体"/>
      <w:sz w:val="24"/>
      <w:szCs w:val="20"/>
      <w:lang w:val="zh-CN"/>
    </w:rPr>
  </w:style>
  <w:style w:type="paragraph" w:styleId="1183" w:customStyle="1">
    <w:name w:val="qw"/>
    <w:qFormat/>
    <w:pPr>
      <w:jc w:val="both"/>
      <w:spacing w:line="312" w:lineRule="atLeast"/>
      <w:widowControl w:val="off"/>
    </w:pPr>
    <w:rPr>
      <w:rFonts w:ascii="宋体" w:hAnsi="Calibri"/>
      <w:sz w:val="24"/>
    </w:rPr>
  </w:style>
  <w:style w:type="paragraph" w:styleId="1184" w:customStyle="1">
    <w:name w:val="Table Text Char"/>
    <w:qFormat/>
    <w:pPr>
      <w:spacing w:before="80" w:after="80"/>
    </w:pPr>
    <w:rPr>
      <w:rFonts w:ascii="Arial" w:hAnsi="Arial" w:cs="Arial"/>
      <w:sz w:val="18"/>
      <w:szCs w:val="28"/>
    </w:rPr>
  </w:style>
  <w:style w:type="paragraph" w:styleId="1185" w:customStyle="1">
    <w:name w:val="xl24"/>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6" w:customStyle="1">
    <w:name w:val="默认段落字体 Para Char"/>
    <w:basedOn w:val="901"/>
    <w:qFormat/>
    <w:pPr>
      <w:spacing w:line="360" w:lineRule="auto"/>
    </w:pPr>
    <w:rPr>
      <w:sz w:val="24"/>
    </w:rPr>
  </w:style>
  <w:style w:type="paragraph" w:styleId="1187" w:customStyle="1">
    <w:name w:val="样式3"/>
    <w:basedOn w:val="901"/>
    <w:next w:val="901"/>
    <w:qFormat/>
    <w:pPr>
      <w:spacing w:line="360" w:lineRule="auto"/>
    </w:pPr>
    <w:rPr>
      <w:szCs w:val="20"/>
    </w:rPr>
  </w:style>
  <w:style w:type="paragraph" w:styleId="1188" w:customStyle="1">
    <w:name w:val="xl60"/>
    <w:basedOn w:val="90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89" w:customStyle="1">
    <w:name w:val="表格"/>
    <w:basedOn w:val="901"/>
    <w:qFormat/>
    <w:pPr>
      <w:ind w:firstLine="21"/>
    </w:pPr>
    <w:rPr>
      <w:rFonts w:ascii="宋体" w:hAnsi="宋体" w:cs="宋体"/>
      <w:sz w:val="20"/>
      <w:szCs w:val="20"/>
    </w:rPr>
  </w:style>
  <w:style w:type="paragraph" w:styleId="1190" w:customStyle="1">
    <w:name w:val="xl32"/>
    <w:basedOn w:val="9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91" w:customStyle="1">
    <w:name w:val="正文 居中"/>
    <w:basedOn w:val="901"/>
    <w:qFormat/>
    <w:pPr>
      <w:jc w:val="center"/>
      <w:spacing w:line="360" w:lineRule="auto"/>
    </w:pPr>
    <w:rPr>
      <w:sz w:val="24"/>
      <w:szCs w:val="20"/>
    </w:rPr>
  </w:style>
  <w:style w:type="paragraph" w:styleId="1192" w:customStyle="1">
    <w:name w:val="Default"/>
    <w:uiPriority w:val="99"/>
    <w:qFormat/>
    <w:pPr>
      <w:widowControl w:val="off"/>
    </w:pPr>
    <w:rPr>
      <w:rFonts w:ascii="宋体" w:hAnsi="Calibri" w:cs="宋体"/>
      <w:color w:val="000000"/>
      <w:sz w:val="24"/>
      <w:szCs w:val="24"/>
    </w:rPr>
  </w:style>
  <w:style w:type="paragraph" w:styleId="1193" w:customStyle="1">
    <w:name w:val="List Paragraph1"/>
    <w:basedOn w:val="901"/>
    <w:qFormat/>
    <w:pPr>
      <w:ind w:left="720"/>
      <w:jc w:val="left"/>
      <w:widowControl/>
    </w:pPr>
    <w:rPr>
      <w:rFonts w:ascii="Arial" w:hAnsi="Arial" w:eastAsia="黑体"/>
      <w:sz w:val="24"/>
      <w:lang w:eastAsia="en-US"/>
    </w:rPr>
  </w:style>
  <w:style w:type="paragraph" w:styleId="1194" w:customStyle="1">
    <w:name w:val="xl45"/>
    <w:basedOn w:val="901"/>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95" w:customStyle="1">
    <w:name w:val="默认段落字体 Para Char Char Char Char Char Char Char Char Char1 Char Char Char Char Char Char Char"/>
    <w:basedOn w:val="919"/>
    <w:qFormat/>
    <w:rPr>
      <w:szCs w:val="20"/>
    </w:rPr>
  </w:style>
  <w:style w:type="paragraph" w:styleId="1196" w:customStyle="1">
    <w:name w:val="Char Char Char Char Char Char Char1"/>
    <w:basedOn w:val="901"/>
    <w:qFormat/>
    <w:rPr>
      <w:rFonts w:ascii="Tahoma" w:hAnsi="Tahoma"/>
      <w:sz w:val="24"/>
      <w:szCs w:val="20"/>
    </w:rPr>
  </w:style>
  <w:style w:type="paragraph" w:styleId="1197" w:customStyle="1">
    <w:name w:val="xl33"/>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8" w:customStyle="1">
    <w:name w:val="font13"/>
    <w:basedOn w:val="901"/>
    <w:qFormat/>
    <w:pPr>
      <w:jc w:val="left"/>
      <w:spacing w:before="100" w:beforeAutospacing="1" w:after="100" w:afterAutospacing="1"/>
      <w:widowControl/>
    </w:pPr>
    <w:rPr>
      <w:i/>
      <w:iCs/>
      <w:sz w:val="36"/>
      <w:szCs w:val="36"/>
    </w:rPr>
  </w:style>
  <w:style w:type="paragraph" w:styleId="1199" w:customStyle="1">
    <w:name w:val="正文文本 21"/>
    <w:basedOn w:val="901"/>
    <w:qFormat/>
    <w:pPr>
      <w:ind w:left="720" w:hanging="720"/>
      <w:widowControl/>
    </w:pPr>
    <w:rPr>
      <w:sz w:val="24"/>
      <w:szCs w:val="20"/>
      <w:lang w:val="en-GB"/>
    </w:rPr>
  </w:style>
  <w:style w:type="paragraph" w:styleId="1200" w:customStyle="1">
    <w:name w:val="Char Char1 Char Char2 Char Char"/>
    <w:basedOn w:val="901"/>
    <w:qFormat/>
    <w:pPr>
      <w:jc w:val="left"/>
      <w:spacing w:after="160" w:line="240" w:lineRule="exact"/>
      <w:widowControl/>
    </w:pPr>
  </w:style>
  <w:style w:type="paragraph" w:styleId="1201" w:customStyle="1">
    <w:name w:val="Char Char1 Char Char Char Char1 Char Char Char Char Char Char"/>
    <w:basedOn w:val="901"/>
    <w:qFormat/>
    <w:rPr>
      <w:rFonts w:ascii="Tahoma" w:hAnsi="Tahoma"/>
      <w:sz w:val="24"/>
      <w:szCs w:val="20"/>
    </w:rPr>
  </w:style>
  <w:style w:type="paragraph" w:styleId="1202" w:customStyle="1">
    <w:name w:val="Char Char Char"/>
    <w:basedOn w:val="901"/>
    <w:qFormat/>
    <w:rPr>
      <w:rFonts w:ascii="Tahoma" w:hAnsi="Tahoma"/>
      <w:sz w:val="24"/>
      <w:szCs w:val="20"/>
    </w:rPr>
  </w:style>
  <w:style w:type="paragraph" w:styleId="1203" w:customStyle="1">
    <w:name w:val="font7"/>
    <w:basedOn w:val="901"/>
    <w:qFormat/>
    <w:pPr>
      <w:jc w:val="left"/>
      <w:spacing w:before="100" w:beforeAutospacing="1" w:after="100" w:afterAutospacing="1"/>
      <w:widowControl/>
    </w:pPr>
    <w:rPr>
      <w:rFonts w:ascii="宋体" w:hAnsi="宋体"/>
      <w:b/>
      <w:bCs/>
      <w:sz w:val="24"/>
    </w:rPr>
  </w:style>
  <w:style w:type="paragraph" w:styleId="1204" w:customStyle="1">
    <w:name w:val="xl61"/>
    <w:basedOn w:val="901"/>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05" w:customStyle="1">
    <w:name w:val="项目符号：一级"/>
    <w:basedOn w:val="1206"/>
    <w:next w:val="1206"/>
    <w:qFormat/>
    <w:pPr>
      <w:ind w:right="-134"/>
    </w:pPr>
    <w:rPr>
      <w:bCs w:val="0"/>
    </w:rPr>
  </w:style>
  <w:style w:type="paragraph" w:styleId="1206" w:customStyle="1">
    <w:name w:val="正文格式"/>
    <w:basedOn w:val="901"/>
    <w:qFormat/>
    <w:pPr>
      <w:ind w:left="178" w:right="44" w:hanging="178"/>
      <w:jc w:val="left"/>
      <w:spacing w:line="360" w:lineRule="auto"/>
      <w:widowControl/>
    </w:pPr>
    <w:rPr>
      <w:rFonts w:ascii="宋体" w:hAnsi="宋体"/>
      <w:bCs/>
      <w:szCs w:val="21"/>
    </w:rPr>
  </w:style>
  <w:style w:type="paragraph" w:styleId="1207" w:customStyle="1">
    <w:name w:val="Pa6"/>
    <w:basedOn w:val="901"/>
    <w:next w:val="901"/>
    <w:qFormat/>
    <w:pPr>
      <w:jc w:val="left"/>
      <w:spacing w:line="241" w:lineRule="atLeast"/>
    </w:pPr>
    <w:rPr>
      <w:rFonts w:ascii="汉仪大黑简" w:eastAsia="汉仪大黑简"/>
      <w:sz w:val="24"/>
    </w:rPr>
  </w:style>
  <w:style w:type="paragraph" w:styleId="1208" w:customStyle="1">
    <w:name w:val="纯文本1"/>
    <w:basedOn w:val="901"/>
    <w:qFormat/>
    <w:rPr>
      <w:rFonts w:ascii="宋体" w:hAnsi="宋体" w:eastAsia="楷体_GB2312" w:cs="宋体"/>
      <w:sz w:val="28"/>
      <w:szCs w:val="20"/>
    </w:rPr>
  </w:style>
  <w:style w:type="paragraph" w:styleId="1209" w:customStyle="1">
    <w:name w:val="插图"/>
    <w:basedOn w:val="901"/>
    <w:qFormat/>
    <w:pPr>
      <w:jc w:val="center"/>
      <w:tabs>
        <w:tab w:val="left" w:pos="1620" w:leader="none"/>
      </w:tabs>
    </w:pPr>
    <w:rPr>
      <w:bCs/>
      <w:color w:val="000000"/>
      <w:szCs w:val="22"/>
    </w:rPr>
  </w:style>
  <w:style w:type="paragraph" w:styleId="1210" w:customStyle="1">
    <w:name w:val="xl44"/>
    <w:basedOn w:val="901"/>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211" w:customStyle="1">
    <w:name w:val="xl52"/>
    <w:basedOn w:val="901"/>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12" w:customStyle="1">
    <w:name w:val="样式 样式 首行缩进:  2 字符 + 行距: 1.5 倍行距"/>
    <w:basedOn w:val="901"/>
    <w:qFormat/>
    <w:pPr>
      <w:ind w:firstLine="470"/>
      <w:spacing w:line="360" w:lineRule="auto"/>
    </w:pPr>
    <w:rPr>
      <w:sz w:val="24"/>
      <w:szCs w:val="20"/>
    </w:rPr>
  </w:style>
  <w:style w:type="paragraph" w:styleId="1213" w:customStyle="1">
    <w:name w:val="正文--wdh"/>
    <w:basedOn w:val="901"/>
    <w:qFormat/>
    <w:pPr>
      <w:spacing w:line="360" w:lineRule="auto"/>
    </w:pPr>
    <w:rPr>
      <w:sz w:val="24"/>
    </w:rPr>
  </w:style>
  <w:style w:type="paragraph" w:styleId="1214" w:customStyle="1">
    <w:name w:val="Char Char Char1"/>
    <w:basedOn w:val="919"/>
    <w:qFormat/>
    <w:pPr>
      <w:spacing w:line="436" w:lineRule="exact"/>
    </w:pPr>
  </w:style>
  <w:style w:type="paragraph" w:styleId="1215" w:customStyle="1">
    <w:name w:val="表格内容"/>
    <w:basedOn w:val="901"/>
    <w:qFormat/>
    <w:pPr>
      <w:jc w:val="center"/>
      <w:spacing w:before="60" w:line="300" w:lineRule="auto"/>
      <w:widowControl/>
    </w:pPr>
    <w:rPr>
      <w:szCs w:val="20"/>
    </w:rPr>
  </w:style>
  <w:style w:type="paragraph" w:styleId="1216" w:customStyle="1">
    <w:name w:val="Item List Char Char"/>
    <w:qFormat/>
    <w:pPr>
      <w:jc w:val="both"/>
      <w:spacing w:line="288" w:lineRule="auto"/>
    </w:pPr>
    <w:rPr>
      <w:rFonts w:ascii="Arial" w:hAnsi="Arial" w:cs="Arial"/>
      <w:b/>
      <w:bCs/>
      <w:sz w:val="21"/>
      <w:szCs w:val="28"/>
    </w:rPr>
  </w:style>
  <w:style w:type="paragraph" w:styleId="1217" w:customStyle="1">
    <w:name w:val="列出段落2"/>
    <w:basedOn w:val="901"/>
    <w:qFormat/>
    <w:pPr>
      <w:ind w:left="720"/>
      <w:jc w:val="left"/>
      <w:widowControl/>
    </w:pPr>
    <w:rPr>
      <w:rFonts w:ascii="Arial" w:hAnsi="Arial" w:eastAsia="黑体" w:cs="Arial"/>
      <w:sz w:val="24"/>
      <w:lang w:eastAsia="en-US"/>
    </w:rPr>
  </w:style>
  <w:style w:type="paragraph" w:styleId="1218" w:customStyle="1">
    <w:name w:val="符号与编号 Char Char"/>
    <w:basedOn w:val="901"/>
    <w:qFormat/>
    <w:pPr>
      <w:ind w:left="839" w:hanging="419"/>
      <w:spacing w:line="400" w:lineRule="atLeast"/>
      <w:tabs>
        <w:tab w:val="left" w:pos="840" w:leader="none"/>
      </w:tabs>
    </w:pPr>
    <w:rPr>
      <w:sz w:val="24"/>
    </w:rPr>
  </w:style>
  <w:style w:type="paragraph" w:styleId="1219" w:customStyle="1">
    <w:name w:val="正文lzq"/>
    <w:basedOn w:val="901"/>
    <w:qFormat/>
    <w:pPr>
      <w:ind w:firstLine="480"/>
      <w:spacing w:line="360" w:lineRule="auto"/>
    </w:pPr>
    <w:rPr>
      <w:sz w:val="24"/>
      <w:szCs w:val="20"/>
    </w:rPr>
  </w:style>
  <w:style w:type="paragraph" w:styleId="1220" w:customStyle="1">
    <w:name w:val="段落"/>
    <w:qFormat/>
    <w:pPr>
      <w:ind w:firstLine="480"/>
      <w:jc w:val="both"/>
      <w:spacing w:before="120" w:after="120" w:line="360" w:lineRule="auto"/>
    </w:pPr>
    <w:rPr>
      <w:rFonts w:ascii="Calibri" w:hAnsi="Calibri" w:eastAsia="仿宋_GB2312"/>
      <w:sz w:val="24"/>
      <w:szCs w:val="24"/>
    </w:rPr>
  </w:style>
  <w:style w:type="paragraph" w:styleId="1221" w:customStyle="1">
    <w:name w:val="xl30"/>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22" w:customStyle="1">
    <w:name w:val="样式 段后: 0.5 行 左  0.75 字符"/>
    <w:basedOn w:val="901"/>
    <w:qFormat/>
    <w:pPr>
      <w:ind w:firstLine="420"/>
      <w:spacing w:line="360" w:lineRule="auto"/>
      <w:widowControl/>
    </w:pPr>
    <w:rPr>
      <w:rFonts w:hAnsi="Arial" w:cs="Arial"/>
      <w:szCs w:val="21"/>
    </w:rPr>
  </w:style>
  <w:style w:type="paragraph" w:styleId="1223" w:customStyle="1">
    <w:name w:val="xl46"/>
    <w:basedOn w:val="901"/>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24" w:customStyle="1">
    <w:name w:val="段"/>
    <w:qFormat/>
    <w:pPr>
      <w:ind w:firstLine="200"/>
      <w:jc w:val="both"/>
    </w:pPr>
    <w:rPr>
      <w:rFonts w:ascii="宋体" w:hAnsi="Calibri"/>
      <w:sz w:val="21"/>
    </w:rPr>
  </w:style>
  <w:style w:type="paragraph" w:styleId="1225" w:customStyle="1">
    <w:name w:val="flName"/>
    <w:basedOn w:val="1155"/>
    <w:qFormat/>
    <w:pPr>
      <w:spacing w:before="0" w:line="113" w:lineRule="atLeast"/>
    </w:pPr>
  </w:style>
  <w:style w:type="paragraph" w:styleId="1226" w:customStyle="1">
    <w:name w:val="正文1"/>
    <w:basedOn w:val="901"/>
    <w:next w:val="901"/>
    <w:qFormat/>
    <w:pPr>
      <w:ind w:firstLine="510"/>
      <w:spacing w:before="156" w:line="360" w:lineRule="auto"/>
    </w:pPr>
    <w:rPr>
      <w:sz w:val="24"/>
      <w:szCs w:val="20"/>
    </w:rPr>
  </w:style>
  <w:style w:type="paragraph" w:styleId="1227" w:customStyle="1">
    <w:name w:val="Char Char Char Char Char Char Char Char1"/>
    <w:basedOn w:val="901"/>
    <w:qFormat/>
    <w:pPr>
      <w:jc w:val="left"/>
      <w:spacing w:after="160" w:line="240" w:lineRule="exact"/>
      <w:widowControl/>
    </w:pPr>
    <w:rPr>
      <w:rFonts w:ascii="Verdana" w:hAnsi="Verdana"/>
      <w:sz w:val="20"/>
      <w:szCs w:val="20"/>
      <w:lang w:eastAsia="en-US"/>
    </w:rPr>
  </w:style>
  <w:style w:type="paragraph" w:styleId="1228" w:customStyle="1">
    <w:name w:val="Test2"/>
    <w:basedOn w:val="903"/>
    <w:qFormat/>
    <w:pPr>
      <w:jc w:val="center"/>
      <w:spacing w:line="480" w:lineRule="exact"/>
      <w:widowControl/>
    </w:pPr>
    <w:rPr>
      <w:rFonts w:ascii="黑体"/>
      <w:sz w:val="24"/>
      <w:szCs w:val="24"/>
    </w:rPr>
  </w:style>
  <w:style w:type="paragraph" w:styleId="1229" w:customStyle="1">
    <w:name w:val="普通正文"/>
    <w:basedOn w:val="901"/>
    <w:qFormat/>
    <w:pPr>
      <w:ind w:firstLine="480"/>
      <w:jc w:val="left"/>
      <w:spacing w:before="120" w:after="120" w:line="360" w:lineRule="auto"/>
    </w:pPr>
    <w:rPr>
      <w:rFonts w:ascii="Arial" w:hAnsi="Arial"/>
      <w:sz w:val="24"/>
    </w:rPr>
  </w:style>
  <w:style w:type="paragraph" w:styleId="1230" w:customStyle="1">
    <w:name w:val="font8"/>
    <w:basedOn w:val="901"/>
    <w:qFormat/>
    <w:pPr>
      <w:jc w:val="left"/>
      <w:spacing w:before="100" w:beforeAutospacing="1" w:after="100" w:afterAutospacing="1"/>
      <w:widowControl/>
    </w:pPr>
    <w:rPr>
      <w:rFonts w:ascii="宋体" w:hAnsi="宋体" w:cs="宋体"/>
      <w:b/>
      <w:bCs/>
      <w:i/>
      <w:iCs/>
      <w:sz w:val="20"/>
      <w:szCs w:val="20"/>
    </w:rPr>
  </w:style>
  <w:style w:type="paragraph" w:styleId="1231" w:customStyle="1">
    <w:name w:val="Char"/>
    <w:basedOn w:val="901"/>
    <w:qFormat/>
    <w:pPr>
      <w:spacing w:line="360" w:lineRule="auto"/>
    </w:pPr>
    <w:rPr>
      <w:rFonts w:ascii="Tahoma" w:hAnsi="Tahoma"/>
      <w:sz w:val="24"/>
      <w:szCs w:val="20"/>
    </w:rPr>
  </w:style>
  <w:style w:type="paragraph" w:styleId="1232" w:customStyle="1">
    <w:name w:val="Char Char Char Char Char Char Char Char Char Char"/>
    <w:basedOn w:val="901"/>
    <w:qFormat/>
    <w:pPr>
      <w:spacing w:line="360" w:lineRule="auto"/>
    </w:pPr>
    <w:rPr>
      <w:sz w:val="24"/>
      <w:szCs w:val="20"/>
    </w:rPr>
  </w:style>
  <w:style w:type="paragraph" w:styleId="1233" w:customStyle="1">
    <w:name w:val="xl38"/>
    <w:basedOn w:val="9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34" w:customStyle="1">
    <w:name w:val="xl50"/>
    <w:basedOn w:val="901"/>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35" w:customStyle="1">
    <w:name w:val="a"/>
    <w:basedOn w:val="901"/>
    <w:qFormat/>
    <w:pPr>
      <w:spacing w:before="100" w:beforeAutospacing="1" w:after="100" w:afterAutospacing="1"/>
      <w:widowControl/>
    </w:pPr>
    <w:rPr>
      <w:rFonts w:ascii="宋体" w:hAnsi="宋体" w:cs="宋体"/>
      <w:sz w:val="24"/>
    </w:rPr>
  </w:style>
  <w:style w:type="paragraph" w:styleId="1236" w:customStyle="1">
    <w:name w:val="xl48"/>
    <w:basedOn w:val="901"/>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37" w:customStyle="1">
    <w:name w:val="Pa5"/>
    <w:basedOn w:val="901"/>
    <w:next w:val="901"/>
    <w:qFormat/>
    <w:pPr>
      <w:jc w:val="left"/>
      <w:spacing w:line="241" w:lineRule="atLeast"/>
    </w:pPr>
    <w:rPr>
      <w:rFonts w:ascii="汉仪大黑简" w:eastAsia="汉仪大黑简"/>
      <w:sz w:val="24"/>
    </w:rPr>
  </w:style>
  <w:style w:type="paragraph" w:styleId="1238" w:customStyle="1">
    <w:name w:val="丁华标题2"/>
    <w:basedOn w:val="903"/>
    <w:next w:val="1151"/>
    <w:qFormat/>
    <w:pPr>
      <w:ind w:left="567" w:hanging="567"/>
      <w:jc w:val="left"/>
      <w:spacing w:before="120" w:after="120"/>
      <w:tabs>
        <w:tab w:val="left" w:pos="567" w:leader="none"/>
      </w:tabs>
    </w:pPr>
    <w:rPr>
      <w:color w:val="000000"/>
      <w:sz w:val="28"/>
      <w:szCs w:val="20"/>
    </w:rPr>
  </w:style>
  <w:style w:type="paragraph" w:styleId="1239" w:customStyle="1">
    <w:name w:val="xl37"/>
    <w:basedOn w:val="9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40" w:customStyle="1">
    <w:name w:val="xl58"/>
    <w:basedOn w:val="901"/>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41" w:customStyle="1">
    <w:name w:val="xl40"/>
    <w:basedOn w:val="9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42" w:customStyle="1">
    <w:name w:val="Char11"/>
    <w:basedOn w:val="901"/>
    <w:qFormat/>
    <w:rPr>
      <w:rFonts w:ascii="仿宋_GB2312" w:eastAsia="仿宋_GB2312"/>
      <w:b/>
      <w:sz w:val="32"/>
      <w:szCs w:val="32"/>
    </w:rPr>
  </w:style>
  <w:style w:type="paragraph" w:styleId="1243" w:customStyle="1">
    <w:name w:val="Char Char"/>
    <w:basedOn w:val="901"/>
    <w:qFormat/>
    <w:rPr>
      <w:rFonts w:ascii="Tahoma" w:hAnsi="Tahoma"/>
      <w:sz w:val="24"/>
      <w:szCs w:val="20"/>
    </w:rPr>
  </w:style>
  <w:style w:type="paragraph" w:styleId="1244" w:customStyle="1">
    <w:name w:val="正文2"/>
    <w:basedOn w:val="901"/>
    <w:qFormat/>
    <w:pPr>
      <w:ind w:firstLine="510"/>
      <w:spacing w:before="156" w:line="360" w:lineRule="auto"/>
    </w:pPr>
    <w:rPr>
      <w:sz w:val="24"/>
      <w:szCs w:val="20"/>
    </w:rPr>
  </w:style>
  <w:style w:type="paragraph" w:styleId="1245" w:customStyle="1">
    <w:name w:val="Body Text(ch)"/>
    <w:basedOn w:val="901"/>
    <w:next w:val="923"/>
    <w:qFormat/>
    <w:pPr>
      <w:spacing w:after="120"/>
    </w:pPr>
    <w:rPr>
      <w:rFonts w:ascii="宋体" w:hAnsi="Arial"/>
      <w:bCs/>
      <w:iCs/>
    </w:rPr>
  </w:style>
  <w:style w:type="paragraph" w:styleId="1246" w:customStyle="1">
    <w:name w:val="小四 段落 宋体 Char Char Char"/>
    <w:basedOn w:val="918"/>
    <w:qFormat/>
    <w:pPr>
      <w:ind w:left="0" w:right="-33" w:firstLine="545"/>
      <w:jc w:val="left"/>
      <w:spacing w:line="360" w:lineRule="auto"/>
      <w:tabs>
        <w:tab w:val="clear" w:pos="2952" w:leader="none"/>
      </w:tabs>
    </w:pPr>
    <w:rPr>
      <w:sz w:val="24"/>
    </w:rPr>
  </w:style>
  <w:style w:type="paragraph" w:styleId="1247" w:customStyle="1">
    <w:name w:val="xl29"/>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48" w:customStyle="1">
    <w:name w:val="xl34"/>
    <w:basedOn w:val="9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49" w:customStyle="1">
    <w:name w:val="Char1 Char Char Char"/>
    <w:basedOn w:val="901"/>
    <w:qFormat/>
    <w:rPr>
      <w:rFonts w:ascii="Tahoma" w:hAnsi="Tahoma" w:cs="Tahoma"/>
      <w:sz w:val="24"/>
      <w:szCs w:val="20"/>
    </w:rPr>
  </w:style>
  <w:style w:type="paragraph" w:styleId="1250" w:customStyle="1">
    <w:name w:val="font12"/>
    <w:basedOn w:val="901"/>
    <w:qFormat/>
    <w:pPr>
      <w:jc w:val="left"/>
      <w:spacing w:before="100" w:beforeAutospacing="1" w:after="100" w:afterAutospacing="1"/>
      <w:widowControl/>
    </w:pPr>
    <w:rPr>
      <w:rFonts w:ascii="宋体" w:hAnsi="宋体" w:cs="宋体"/>
      <w:sz w:val="36"/>
      <w:szCs w:val="36"/>
    </w:rPr>
  </w:style>
  <w:style w:type="paragraph" w:styleId="1251" w:customStyle="1">
    <w:name w:val="图标"/>
    <w:basedOn w:val="901"/>
    <w:next w:val="90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2" w:customStyle="1">
    <w:name w:val="Char Char Char Char Char Char Char Char"/>
    <w:basedOn w:val="901"/>
    <w:qFormat/>
    <w:pPr>
      <w:jc w:val="left"/>
      <w:spacing w:after="160" w:line="240" w:lineRule="exact"/>
      <w:widowControl/>
    </w:pPr>
    <w:rPr>
      <w:rFonts w:ascii="Verdana" w:hAnsi="Verdana"/>
      <w:sz w:val="20"/>
      <w:szCs w:val="20"/>
      <w:lang w:eastAsia="en-US"/>
    </w:rPr>
  </w:style>
  <w:style w:type="paragraph" w:styleId="1253" w:customStyle="1">
    <w:name w:val="标题1，章节第一层"/>
    <w:basedOn w:val="1206"/>
    <w:next w:val="1206"/>
    <w:qFormat/>
    <w:pPr>
      <w:ind w:left="482"/>
      <w:tabs>
        <w:tab w:val="left" w:pos="693" w:leader="none"/>
      </w:tabs>
      <w:outlineLvl w:val="0"/>
    </w:pPr>
    <w:rPr>
      <w:color w:val="000000"/>
      <w:sz w:val="24"/>
      <w:szCs w:val="24"/>
    </w:rPr>
  </w:style>
  <w:style w:type="paragraph" w:styleId="1254" w:customStyle="1">
    <w:name w:val="greytypebeni"/>
    <w:basedOn w:val="901"/>
    <w:qFormat/>
    <w:pPr>
      <w:jc w:val="left"/>
      <w:widowControl/>
    </w:pPr>
    <w:rPr>
      <w:rFonts w:ascii="宋体" w:hAnsi="宋体" w:cs="宋体"/>
      <w:sz w:val="24"/>
    </w:rPr>
  </w:style>
  <w:style w:type="paragraph" w:styleId="1255" w:customStyle="1">
    <w:name w:val="标题1"/>
    <w:basedOn w:val="901"/>
    <w:next w:val="90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56" w:customStyle="1">
    <w:name w:val="正文 首行缩进:  2 字符 Char Char"/>
    <w:basedOn w:val="901"/>
    <w:qFormat/>
    <w:pPr>
      <w:ind w:firstLine="480"/>
      <w:spacing w:line="360" w:lineRule="auto"/>
    </w:pPr>
    <w:rPr>
      <w:rFonts w:ascii="楷体_GB2312" w:eastAsia="楷体_GB2312"/>
      <w:bCs/>
      <w:sz w:val="24"/>
    </w:rPr>
  </w:style>
  <w:style w:type="paragraph" w:styleId="1257" w:customStyle="1">
    <w:name w:val="二级条标题"/>
    <w:basedOn w:val="901"/>
    <w:next w:val="1224"/>
    <w:qFormat/>
    <w:pPr>
      <w:ind w:hanging="420"/>
      <w:widowControl/>
      <w:tabs>
        <w:tab w:val="left" w:pos="2240" w:leader="none"/>
      </w:tabs>
      <w:outlineLvl w:val="3"/>
    </w:pPr>
    <w:rPr>
      <w:rFonts w:eastAsia="黑体"/>
      <w:szCs w:val="20"/>
    </w:rPr>
  </w:style>
  <w:style w:type="paragraph" w:styleId="1258" w:customStyle="1">
    <w:name w:val="条1"/>
    <w:basedOn w:val="901"/>
    <w:qFormat/>
    <w:pPr>
      <w:ind w:left="780" w:hanging="360"/>
      <w:spacing w:before="156" w:line="360" w:lineRule="auto"/>
      <w:tabs>
        <w:tab w:val="left" w:pos="780" w:leader="none"/>
      </w:tabs>
    </w:pPr>
    <w:rPr>
      <w:rFonts w:eastAsia="黑体"/>
      <w:sz w:val="24"/>
      <w:szCs w:val="20"/>
    </w:rPr>
  </w:style>
  <w:style w:type="paragraph" w:styleId="1259" w:customStyle="1">
    <w:name w:val="Char Char1 Char Char Char Char"/>
    <w:basedOn w:val="919"/>
    <w:qFormat/>
    <w:pPr>
      <w:ind w:left="357"/>
      <w:jc w:val="left"/>
      <w:spacing w:line="436" w:lineRule="exact"/>
      <w:outlineLvl w:val="3"/>
    </w:pPr>
    <w:rPr>
      <w:rFonts w:ascii="Tahoma" w:hAnsi="Tahoma" w:cs="Tahoma"/>
      <w:b/>
    </w:rPr>
  </w:style>
  <w:style w:type="paragraph" w:styleId="1260" w:customStyle="1">
    <w:name w:val="列表内容"/>
    <w:basedOn w:val="901"/>
    <w:next w:val="901"/>
    <w:qFormat/>
    <w:pPr>
      <w:ind w:left="840" w:hanging="420"/>
      <w:jc w:val="left"/>
      <w:widowControl/>
      <w:tabs>
        <w:tab w:val="left" w:pos="840" w:leader="none"/>
      </w:tabs>
    </w:pPr>
    <w:rPr>
      <w:sz w:val="18"/>
    </w:rPr>
  </w:style>
  <w:style w:type="paragraph" w:styleId="1261" w:customStyle="1">
    <w:name w:val="列出段落3"/>
    <w:basedOn w:val="901"/>
    <w:uiPriority w:val="34"/>
    <w:qFormat/>
    <w:pPr>
      <w:ind w:firstLine="420"/>
    </w:pPr>
    <w:rPr>
      <w:szCs w:val="22"/>
    </w:rPr>
  </w:style>
  <w:style w:type="paragraph" w:styleId="1262" w:customStyle="1">
    <w:name w:val="段 Char"/>
    <w:qFormat/>
    <w:pPr>
      <w:ind w:firstLine="200"/>
      <w:jc w:val="both"/>
    </w:pPr>
    <w:rPr>
      <w:rFonts w:ascii="宋体" w:hAnsi="Calibri"/>
      <w:sz w:val="21"/>
    </w:rPr>
  </w:style>
  <w:style w:type="paragraph" w:styleId="1263" w:customStyle="1">
    <w:name w:val="小四 段落 宋体"/>
    <w:basedOn w:val="918"/>
    <w:qFormat/>
    <w:pPr>
      <w:ind w:left="113" w:right="113" w:firstLine="425"/>
      <w:jc w:val="left"/>
      <w:spacing w:line="360" w:lineRule="auto"/>
      <w:tabs>
        <w:tab w:val="clear" w:pos="2952" w:leader="none"/>
      </w:tabs>
    </w:pPr>
    <w:rPr>
      <w:sz w:val="24"/>
    </w:rPr>
  </w:style>
  <w:style w:type="paragraph" w:styleId="1264" w:customStyle="1">
    <w:name w:val="标题3"/>
    <w:basedOn w:val="904"/>
    <w:qFormat/>
    <w:pPr>
      <w:keepLines w:val="0"/>
      <w:keepNext w:val="0"/>
      <w:spacing w:before="0" w:after="0" w:line="360" w:lineRule="auto"/>
    </w:pPr>
    <w:rPr>
      <w:rFonts w:eastAsia="仿宋_GB2312"/>
      <w:b w:val="0"/>
      <w:sz w:val="30"/>
    </w:rPr>
  </w:style>
  <w:style w:type="paragraph" w:styleId="1265" w:customStyle="1">
    <w:name w:val="1"/>
    <w:basedOn w:val="901"/>
    <w:next w:val="953"/>
    <w:qFormat/>
    <w:pPr>
      <w:spacing w:line="360" w:lineRule="auto"/>
    </w:pPr>
    <w:rPr>
      <w:rFonts w:eastAsia="仿宋_GB2312"/>
      <w:sz w:val="24"/>
    </w:rPr>
  </w:style>
  <w:style w:type="paragraph" w:styleId="1266" w:customStyle="1">
    <w:name w:val="样式 样式 标题 3H3sect1.2.3BOD 0Heading 3 - oldh3l3CTLevel 3 Head... +..."/>
    <w:basedOn w:val="901"/>
    <w:qFormat/>
    <w:pPr>
      <w:jc w:val="left"/>
      <w:keepLines/>
      <w:keepNext/>
      <w:outlineLvl w:val="2"/>
    </w:pPr>
    <w:rPr>
      <w:rFonts w:cs="宋体"/>
      <w:b/>
      <w:bCs/>
      <w:sz w:val="24"/>
      <w:szCs w:val="20"/>
    </w:rPr>
  </w:style>
  <w:style w:type="paragraph" w:styleId="1267" w:customStyle="1">
    <w:name w:val="font5"/>
    <w:basedOn w:val="901"/>
    <w:qFormat/>
    <w:pPr>
      <w:jc w:val="left"/>
      <w:spacing w:before="100" w:beforeAutospacing="1" w:after="100" w:afterAutospacing="1"/>
      <w:widowControl/>
    </w:pPr>
    <w:rPr>
      <w:rFonts w:ascii="宋体" w:hAnsi="宋体" w:cs="宋体"/>
      <w:sz w:val="18"/>
      <w:szCs w:val="18"/>
    </w:rPr>
  </w:style>
  <w:style w:type="paragraph" w:styleId="1268" w:customStyle="1">
    <w:name w:val="zw"/>
    <w:basedOn w:val="901"/>
    <w:qFormat/>
    <w:pPr>
      <w:ind w:firstLine="480"/>
      <w:jc w:val="left"/>
      <w:spacing w:line="360" w:lineRule="auto"/>
      <w:widowControl/>
    </w:pPr>
    <w:rPr>
      <w:rFonts w:ascii="宋体" w:hAnsi="宋体"/>
      <w:bCs/>
      <w:sz w:val="24"/>
      <w:szCs w:val="20"/>
    </w:rPr>
  </w:style>
  <w:style w:type="paragraph" w:styleId="1269" w:customStyle="1">
    <w:name w:val="表头_5"/>
    <w:basedOn w:val="901"/>
    <w:qFormat/>
    <w:pPr>
      <w:spacing w:line="360" w:lineRule="auto"/>
    </w:pPr>
    <w:rPr>
      <w:b/>
      <w:bCs/>
      <w:sz w:val="28"/>
      <w:szCs w:val="21"/>
    </w:rPr>
  </w:style>
  <w:style w:type="paragraph" w:styleId="1270" w:customStyle="1">
    <w:name w:val="正文 New"/>
    <w:qFormat/>
    <w:pPr>
      <w:jc w:val="both"/>
      <w:widowControl w:val="off"/>
    </w:pPr>
    <w:rPr>
      <w:rFonts w:ascii="Calibri" w:hAnsi="Calibri"/>
      <w:sz w:val="21"/>
    </w:rPr>
  </w:style>
  <w:style w:type="paragraph" w:styleId="1271" w:customStyle="1">
    <w:name w:val="小四 段落 宋体 Char Char"/>
    <w:basedOn w:val="901"/>
    <w:qFormat/>
    <w:pPr>
      <w:ind w:firstLine="480"/>
      <w:spacing w:line="360" w:lineRule="auto"/>
    </w:pPr>
    <w:rPr>
      <w:rFonts w:ascii="宋体" w:hAnsi="宋体"/>
      <w:sz w:val="24"/>
    </w:rPr>
  </w:style>
  <w:style w:type="paragraph" w:styleId="1272" w:customStyle="1">
    <w:name w:val="Char1"/>
    <w:basedOn w:val="901"/>
    <w:qFormat/>
    <w:rPr>
      <w:rFonts w:ascii="仿宋_GB2312" w:hAnsi="宋体" w:eastAsia="仿宋_GB2312" w:cs="宋体"/>
      <w:b/>
      <w:sz w:val="32"/>
      <w:szCs w:val="32"/>
    </w:rPr>
  </w:style>
  <w:style w:type="paragraph" w:styleId="1273" w:customStyle="1">
    <w:name w:val="xl43"/>
    <w:basedOn w:val="90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74" w:customStyle="1">
    <w:name w:val="马刚标题4"/>
    <w:basedOn w:val="1275"/>
    <w:next w:val="901"/>
    <w:qFormat/>
    <w:pPr>
      <w:spacing w:before="100" w:after="40"/>
      <w:tabs>
        <w:tab w:val="left" w:pos="1050" w:leader="none"/>
      </w:tabs>
      <w:outlineLvl w:val="3"/>
    </w:pPr>
    <w:rPr>
      <w:b w:val="0"/>
    </w:rPr>
  </w:style>
  <w:style w:type="paragraph" w:styleId="1275" w:customStyle="1">
    <w:name w:val="马刚标题3"/>
    <w:basedOn w:val="901"/>
    <w:next w:val="90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76" w:customStyle="1">
    <w:name w:val="font6"/>
    <w:basedOn w:val="901"/>
    <w:qFormat/>
    <w:pPr>
      <w:jc w:val="left"/>
      <w:spacing w:before="100" w:beforeAutospacing="1" w:after="100" w:afterAutospacing="1"/>
      <w:widowControl/>
    </w:pPr>
    <w:rPr>
      <w:rFonts w:ascii="宋体" w:hAnsi="宋体" w:cs="宋体"/>
      <w:b/>
      <w:bCs/>
      <w:sz w:val="20"/>
      <w:szCs w:val="20"/>
    </w:rPr>
  </w:style>
  <w:style w:type="paragraph" w:styleId="1277" w:customStyle="1">
    <w:name w:val="章标题"/>
    <w:next w:val="1224"/>
    <w:qFormat/>
    <w:pPr>
      <w:jc w:val="both"/>
      <w:outlineLvl w:val="1"/>
    </w:pPr>
    <w:rPr>
      <w:rFonts w:ascii="Calibri" w:hAnsi="Calibri" w:eastAsia="黑体"/>
      <w:sz w:val="21"/>
    </w:rPr>
  </w:style>
  <w:style w:type="paragraph" w:styleId="1278" w:customStyle="1">
    <w:name w:val="flType"/>
    <w:basedOn w:val="1225"/>
    <w:qFormat/>
    <w:pPr>
      <w:spacing w:after="284"/>
    </w:pPr>
    <w:rPr>
      <w:rFonts w:eastAsia="宋体"/>
      <w:b w:val="0"/>
    </w:rPr>
  </w:style>
  <w:style w:type="paragraph" w:styleId="1279" w:customStyle="1">
    <w:name w:val="Char Char Char Char Char Char Char Char Char Char Char Char Char Char Char Char Char Char Char Char Char Char Char1"/>
    <w:basedOn w:val="901"/>
    <w:qFormat/>
    <w:rPr>
      <w:rFonts w:ascii="Tahoma" w:hAnsi="Tahoma" w:cs="Tahoma"/>
      <w:sz w:val="24"/>
      <w:szCs w:val="20"/>
    </w:rPr>
  </w:style>
  <w:style w:type="paragraph" w:styleId="1280" w:customStyle="1">
    <w:name w:val="xl27"/>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81" w:customStyle="1">
    <w:name w:val="xl39"/>
    <w:basedOn w:val="9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2" w:customStyle="1">
    <w:name w:val="Char Char1"/>
    <w:basedOn w:val="901"/>
    <w:qFormat/>
    <w:rPr>
      <w:rFonts w:ascii="Tahoma" w:hAnsi="Tahoma"/>
      <w:sz w:val="24"/>
      <w:szCs w:val="20"/>
    </w:rPr>
  </w:style>
  <w:style w:type="paragraph" w:styleId="1283" w:customStyle="1">
    <w:name w:val="标题3，章节第三层"/>
    <w:basedOn w:val="901"/>
    <w:next w:val="1206"/>
    <w:qFormat/>
    <w:pPr>
      <w:spacing w:before="78" w:line="300" w:lineRule="auto"/>
      <w:outlineLvl w:val="2"/>
    </w:pPr>
    <w:rPr>
      <w:rFonts w:ascii="Arial" w:hAnsi="Arial" w:eastAsia="华文细黑"/>
      <w:sz w:val="30"/>
    </w:rPr>
  </w:style>
  <w:style w:type="paragraph" w:styleId="1284" w:customStyle="1">
    <w:name w:val="p0"/>
    <w:basedOn w:val="901"/>
    <w:qFormat/>
    <w:pPr>
      <w:jc w:val="left"/>
      <w:spacing w:before="100" w:beforeAutospacing="1" w:after="100" w:afterAutospacing="1"/>
      <w:widowControl/>
    </w:pPr>
    <w:rPr>
      <w:rFonts w:ascii="宋体" w:hAnsi="宋体" w:cs="宋体"/>
      <w:sz w:val="24"/>
    </w:rPr>
  </w:style>
  <w:style w:type="paragraph" w:styleId="1285" w:customStyle="1">
    <w:name w:val="正文 New New New New New"/>
    <w:qFormat/>
    <w:pPr>
      <w:jc w:val="both"/>
      <w:widowControl w:val="off"/>
    </w:pPr>
    <w:rPr>
      <w:rFonts w:ascii="Calibri" w:hAnsi="Calibri"/>
      <w:sz w:val="21"/>
      <w:szCs w:val="24"/>
    </w:rPr>
  </w:style>
  <w:style w:type="paragraph" w:styleId="1286" w:customStyle="1">
    <w:name w:val="标题5，章节第五层"/>
    <w:basedOn w:val="901"/>
    <w:next w:val="901"/>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87" w:customStyle="1">
    <w:name w:val="样式 首行缩进:  2 字符"/>
    <w:basedOn w:val="901"/>
    <w:qFormat/>
    <w:pPr>
      <w:ind w:firstLine="480"/>
      <w:spacing w:line="360" w:lineRule="auto"/>
    </w:pPr>
    <w:rPr>
      <w:rFonts w:cs="宋体"/>
      <w:sz w:val="24"/>
      <w:szCs w:val="20"/>
    </w:rPr>
  </w:style>
  <w:style w:type="paragraph" w:styleId="1288" w:customStyle="1">
    <w:name w:val="font9"/>
    <w:basedOn w:val="901"/>
    <w:qFormat/>
    <w:pPr>
      <w:jc w:val="left"/>
      <w:spacing w:before="100" w:beforeAutospacing="1" w:after="100" w:afterAutospacing="1"/>
      <w:widowControl/>
    </w:pPr>
    <w:rPr>
      <w:b/>
      <w:bCs/>
      <w:sz w:val="20"/>
      <w:szCs w:val="20"/>
    </w:rPr>
  </w:style>
  <w:style w:type="paragraph" w:styleId="1289" w:customStyle="1">
    <w:name w:val="xl63"/>
    <w:basedOn w:val="901"/>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90" w:customStyle="1">
    <w:name w:val="xl31"/>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91" w:customStyle="1">
    <w:name w:val="tableau"/>
    <w:basedOn w:val="901"/>
    <w:qFormat/>
    <w:pPr>
      <w:jc w:val="center"/>
      <w:spacing w:before="20" w:after="20"/>
      <w:widowControl/>
    </w:pPr>
    <w:rPr>
      <w:rFonts w:ascii="Arial" w:hAnsi="Arial"/>
      <w:sz w:val="16"/>
      <w:szCs w:val="20"/>
      <w:lang w:val="en-GB" w:eastAsia="en-US"/>
    </w:rPr>
  </w:style>
  <w:style w:type="paragraph" w:styleId="1292" w:customStyle="1">
    <w:name w:val="TOC 标题1"/>
    <w:basedOn w:val="902"/>
    <w:next w:val="901"/>
    <w:uiPriority w:val="39"/>
    <w:qFormat/>
    <w:pPr>
      <w:jc w:val="left"/>
      <w:spacing w:before="480" w:after="0" w:line="276" w:lineRule="auto"/>
      <w:widowControl/>
      <w:outlineLvl w:val="9"/>
    </w:pPr>
    <w:rPr>
      <w:rFonts w:ascii="Cambria" w:hAnsi="Cambria"/>
      <w:color w:val="365f91"/>
      <w:sz w:val="28"/>
      <w:szCs w:val="28"/>
    </w:rPr>
  </w:style>
  <w:style w:type="paragraph" w:styleId="1293" w:customStyle="1">
    <w:name w:val="Char Char Char Char Char Char Char Char Char1"/>
    <w:basedOn w:val="901"/>
    <w:qFormat/>
    <w:pPr>
      <w:ind w:left="360" w:hanging="360"/>
      <w:tabs>
        <w:tab w:val="left" w:pos="360" w:leader="none"/>
      </w:tabs>
    </w:pPr>
    <w:rPr>
      <w:sz w:val="24"/>
    </w:rPr>
  </w:style>
  <w:style w:type="paragraph" w:styleId="1294" w:customStyle="1">
    <w:name w:val="4"/>
    <w:basedOn w:val="901"/>
    <w:next w:val="949"/>
    <w:qFormat/>
    <w:pPr>
      <w:ind w:firstLine="420"/>
      <w:spacing w:line="360" w:lineRule="auto"/>
    </w:pPr>
    <w:rPr>
      <w:color w:val="ff0000"/>
      <w:sz w:val="24"/>
    </w:rPr>
  </w:style>
  <w:style w:type="paragraph" w:styleId="1295" w:customStyle="1">
    <w:name w:val="Char Char1 Char Char Char Char Char Char Char"/>
    <w:basedOn w:val="901"/>
    <w:qFormat/>
    <w:rPr>
      <w:rFonts w:ascii="Tahoma" w:hAnsi="Tahoma" w:cs="Tahoma"/>
      <w:sz w:val="24"/>
      <w:szCs w:val="20"/>
    </w:rPr>
  </w:style>
  <w:style w:type="paragraph" w:styleId="1296" w:customStyle="1">
    <w:name w:val="批注框文本1"/>
    <w:basedOn w:val="901"/>
    <w:qFormat/>
    <w:rPr>
      <w:sz w:val="18"/>
      <w:szCs w:val="18"/>
    </w:rPr>
  </w:style>
  <w:style w:type="paragraph" w:styleId="1297" w:customStyle="1">
    <w:name w:val="retrait3"/>
    <w:basedOn w:val="901"/>
    <w:qFormat/>
    <w:pPr>
      <w:ind w:left="851"/>
      <w:jc w:val="left"/>
      <w:spacing w:before="20" w:after="20"/>
      <w:widowControl/>
    </w:pPr>
    <w:rPr>
      <w:rFonts w:ascii="Arial" w:hAnsi="Arial"/>
      <w:sz w:val="24"/>
      <w:szCs w:val="20"/>
      <w:lang w:val="en-GB"/>
    </w:rPr>
  </w:style>
  <w:style w:type="paragraph" w:styleId="1298" w:customStyle="1">
    <w:name w:val="样式 段后: 0.25 行"/>
    <w:basedOn w:val="901"/>
    <w:qFormat/>
    <w:pPr>
      <w:ind w:firstLine="420"/>
      <w:jc w:val="left"/>
      <w:spacing w:line="300" w:lineRule="auto"/>
      <w:widowControl/>
    </w:pPr>
    <w:rPr>
      <w:rFonts w:ascii="Arial" w:hAnsi="Arial" w:cs="宋体"/>
      <w:sz w:val="22"/>
      <w:szCs w:val="20"/>
      <w:lang w:eastAsia="en-US"/>
    </w:rPr>
  </w:style>
  <w:style w:type="paragraph" w:styleId="1299" w:customStyle="1">
    <w:name w:val="Char Char Char Char1"/>
    <w:basedOn w:val="919"/>
    <w:qFormat/>
    <w:pPr>
      <w:spacing w:line="360" w:lineRule="auto"/>
    </w:pPr>
    <w:rPr>
      <w:rFonts w:ascii="Tahoma" w:hAnsi="Tahoma"/>
    </w:rPr>
  </w:style>
  <w:style w:type="paragraph" w:styleId="1300" w:customStyle="1">
    <w:name w:val="标准文本"/>
    <w:basedOn w:val="901"/>
    <w:qFormat/>
    <w:pPr>
      <w:ind w:firstLine="480"/>
      <w:spacing w:line="360" w:lineRule="auto"/>
    </w:pPr>
    <w:rPr>
      <w:rFonts w:cs="宋体"/>
      <w:sz w:val="24"/>
    </w:rPr>
  </w:style>
  <w:style w:type="paragraph" w:styleId="1301" w:customStyle="1">
    <w:name w:val="Heading 1"/>
    <w:basedOn w:val="901"/>
    <w:next w:val="901"/>
    <w:qFormat/>
    <w:pPr>
      <w:ind w:firstLine="2890"/>
      <w:keepNext/>
      <w:spacing w:before="290" w:after="290"/>
      <w:widowControl/>
      <w:tabs>
        <w:tab w:val="left" w:pos="1440" w:leader="underscore"/>
        <w:tab w:val="left" w:pos="5670" w:leader="hyphen"/>
      </w:tabs>
    </w:pPr>
    <w:rPr>
      <w:rFonts w:ascii="黑体" w:eastAsia="黑体"/>
      <w:b/>
      <w:sz w:val="24"/>
      <w:szCs w:val="28"/>
    </w:rPr>
  </w:style>
  <w:style w:type="paragraph" w:styleId="1302" w:customStyle="1">
    <w:name w:val="样式4 Char"/>
    <w:basedOn w:val="901"/>
    <w:qFormat/>
    <w:pPr>
      <w:ind w:firstLine="480"/>
      <w:jc w:val="left"/>
      <w:spacing w:line="360" w:lineRule="auto"/>
      <w:widowControl/>
    </w:pPr>
    <w:rPr>
      <w:rFonts w:cs="宋体"/>
      <w:color w:val="000000"/>
      <w:sz w:val="24"/>
    </w:rPr>
  </w:style>
  <w:style w:type="paragraph" w:styleId="1303" w:customStyle="1">
    <w:name w:val="Char2"/>
    <w:basedOn w:val="919"/>
    <w:qFormat/>
    <w:rPr>
      <w:rFonts w:ascii="Tahoma" w:hAnsi="Tahoma"/>
    </w:rPr>
  </w:style>
  <w:style w:type="paragraph" w:styleId="1304" w:customStyle="1">
    <w:name w:val="样式 标题 3H3sect1.2.3BOD 0Heading 3 - oldh3l3CTLevel 3 Head..."/>
    <w:basedOn w:val="904"/>
    <w:qFormat/>
    <w:pPr>
      <w:jc w:val="left"/>
      <w:spacing w:line="240" w:lineRule="auto"/>
    </w:pPr>
    <w:rPr>
      <w:rFonts w:cs="宋体"/>
      <w:sz w:val="30"/>
      <w:szCs w:val="20"/>
    </w:rPr>
  </w:style>
  <w:style w:type="paragraph" w:styleId="1305" w:customStyle="1">
    <w:name w:val="表格内文字"/>
    <w:basedOn w:val="901"/>
    <w:qFormat/>
    <w:pPr>
      <w:spacing w:line="300" w:lineRule="atLeast"/>
    </w:pPr>
    <w:rPr>
      <w:sz w:val="18"/>
    </w:rPr>
  </w:style>
  <w:style w:type="paragraph" w:styleId="1306" w:customStyle="1">
    <w:name w:val="Table Paragraph"/>
    <w:basedOn w:val="901"/>
    <w:uiPriority w:val="1"/>
    <w:qFormat/>
    <w:pPr>
      <w:jc w:val="left"/>
    </w:pPr>
    <w:rPr>
      <w:rFonts w:ascii="宋体" w:hAnsi="宋体" w:cs="宋体"/>
      <w:sz w:val="22"/>
      <w:szCs w:val="22"/>
      <w:lang w:val="zh-CN" w:bidi="zh-CN"/>
    </w:rPr>
  </w:style>
  <w:style w:type="paragraph" w:styleId="1307" w:customStyle="1">
    <w:name w:val="普通 (Web)"/>
    <w:basedOn w:val="901"/>
    <w:qFormat/>
    <w:pPr>
      <w:jc w:val="left"/>
      <w:spacing w:before="100" w:beforeAutospacing="1" w:after="100" w:afterAutospacing="1"/>
      <w:widowControl/>
    </w:pPr>
    <w:rPr>
      <w:rFonts w:ascii="宋体" w:hAnsi="宋体"/>
      <w:sz w:val="24"/>
    </w:rPr>
  </w:style>
  <w:style w:type="paragraph" w:styleId="1308" w:customStyle="1">
    <w:name w:val="a0"/>
    <w:basedOn w:val="901"/>
    <w:qFormat/>
    <w:pPr>
      <w:spacing w:before="100" w:beforeAutospacing="1" w:after="100" w:afterAutospacing="1"/>
      <w:widowControl/>
    </w:pPr>
    <w:rPr>
      <w:rFonts w:ascii="宋体" w:hAnsi="宋体" w:cs="宋体"/>
      <w:sz w:val="24"/>
    </w:rPr>
  </w:style>
  <w:style w:type="paragraph" w:styleId="1309" w:customStyle="1">
    <w:name w:val="项目符号，一级"/>
    <w:basedOn w:val="1206"/>
    <w:next w:val="1206"/>
    <w:qFormat/>
    <w:pPr>
      <w:ind w:left="376" w:firstLine="0"/>
      <w:spacing w:line="240" w:lineRule="atLeast"/>
      <w:tabs>
        <w:tab w:val="left" w:pos="1320" w:leader="none"/>
      </w:tabs>
    </w:pPr>
    <w:rPr>
      <w:bCs w:val="0"/>
      <w:color w:val="000000"/>
      <w:szCs w:val="24"/>
    </w:rPr>
  </w:style>
  <w:style w:type="paragraph" w:styleId="1310" w:customStyle="1">
    <w:name w:val="111111"/>
    <w:basedOn w:val="901"/>
    <w:qFormat/>
    <w:pPr>
      <w:jc w:val="center"/>
      <w:spacing w:before="120" w:after="120"/>
    </w:pPr>
    <w:rPr>
      <w:rFonts w:ascii="宋体" w:hAnsi="宋体" w:eastAsia="黑体" w:cs="宋体"/>
      <w:b/>
      <w:bCs/>
      <w:szCs w:val="21"/>
    </w:rPr>
  </w:style>
  <w:style w:type="paragraph" w:styleId="1311" w:customStyle="1">
    <w:name w:val="Body Text 21"/>
    <w:basedOn w:val="901"/>
    <w:qFormat/>
    <w:pPr>
      <w:ind w:left="720" w:hanging="720"/>
      <w:widowControl/>
    </w:pPr>
    <w:rPr>
      <w:sz w:val="24"/>
      <w:szCs w:val="20"/>
      <w:lang w:val="en-GB"/>
    </w:rPr>
  </w:style>
  <w:style w:type="paragraph" w:styleId="1312" w:customStyle="1">
    <w:name w:val="Char Char Char Char Char Char Char Char Char Char Char1 Char Char Char1"/>
    <w:basedOn w:val="901"/>
    <w:qFormat/>
    <w:pPr>
      <w:ind w:firstLine="200"/>
      <w:jc w:val="left"/>
    </w:pPr>
    <w:rPr>
      <w:rFonts w:ascii="Tahoma" w:hAnsi="Tahoma"/>
      <w:sz w:val="24"/>
    </w:rPr>
  </w:style>
  <w:style w:type="paragraph" w:styleId="1313" w:customStyle="1">
    <w:name w:val="Char Char Char Char Char"/>
    <w:basedOn w:val="901"/>
    <w:qFormat/>
    <w:rPr>
      <w:rFonts w:ascii="Tahoma" w:hAnsi="Tahoma"/>
      <w:sz w:val="24"/>
      <w:szCs w:val="20"/>
    </w:rPr>
  </w:style>
  <w:style w:type="paragraph" w:styleId="1314" w:customStyle="1">
    <w:name w:val="table_1stline"/>
    <w:basedOn w:val="901"/>
    <w:qFormat/>
    <w:pPr>
      <w:jc w:val="left"/>
      <w:spacing w:before="120"/>
      <w:widowControl/>
    </w:pPr>
    <w:rPr>
      <w:bCs/>
      <w:sz w:val="20"/>
      <w:szCs w:val="20"/>
      <w:lang w:val="de-DE" w:eastAsia="de-DE"/>
    </w:rPr>
  </w:style>
  <w:style w:type="paragraph" w:styleId="1315" w:customStyle="1">
    <w:name w:val="Char Char1 Char1"/>
    <w:basedOn w:val="901"/>
    <w:qFormat/>
    <w:pPr>
      <w:jc w:val="left"/>
      <w:spacing w:after="160" w:line="240" w:lineRule="exact"/>
      <w:widowControl/>
    </w:pPr>
    <w:rPr>
      <w:rFonts w:ascii="Verdana" w:hAnsi="Verdana"/>
      <w:sz w:val="20"/>
      <w:szCs w:val="20"/>
      <w:lang w:eastAsia="en-US"/>
    </w:rPr>
  </w:style>
  <w:style w:type="paragraph" w:styleId="1316" w:customStyle="1">
    <w:name w:val="7"/>
    <w:basedOn w:val="901"/>
    <w:next w:val="955"/>
    <w:qFormat/>
    <w:pPr>
      <w:jc w:val="left"/>
      <w:spacing w:before="100" w:beforeAutospacing="1" w:after="100" w:afterAutospacing="1"/>
      <w:widowControl/>
    </w:pPr>
    <w:rPr>
      <w:rFonts w:ascii="宋体" w:hAnsi="宋体"/>
      <w:sz w:val="24"/>
      <w:szCs w:val="20"/>
    </w:rPr>
  </w:style>
  <w:style w:type="paragraph" w:styleId="1317" w:customStyle="1">
    <w:name w:val="样式 标题 2第一章 标题 2Heading 2 HiddenHeading 2 CCBSheading 2H2h2..."/>
    <w:basedOn w:val="903"/>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18" w:customStyle="1">
    <w:name w:val="xl41"/>
    <w:basedOn w:val="9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9" w:customStyle="1">
    <w:name w:val="一级标题"/>
    <w:basedOn w:val="901"/>
    <w:qFormat/>
    <w:pPr>
      <w:ind w:left="900" w:hanging="420"/>
      <w:spacing w:line="360" w:lineRule="auto"/>
      <w:tabs>
        <w:tab w:val="left" w:pos="903" w:leader="none"/>
      </w:tabs>
    </w:pPr>
    <w:rPr>
      <w:rFonts w:ascii="Arial" w:hAnsi="Arial" w:cs="Arial"/>
      <w:sz w:val="24"/>
      <w:szCs w:val="20"/>
    </w:rPr>
  </w:style>
  <w:style w:type="paragraph" w:styleId="1320" w:customStyle="1">
    <w:name w:val="马刚标题1"/>
    <w:basedOn w:val="902"/>
    <w:next w:val="901"/>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321" w:customStyle="1">
    <w:name w:val="Char Char Char Char Char Char Char Char Char Char Char Char Char"/>
    <w:basedOn w:val="901"/>
    <w:qFormat/>
    <w:pPr>
      <w:jc w:val="left"/>
      <w:spacing w:after="160" w:line="240" w:lineRule="exact"/>
      <w:widowControl/>
    </w:pPr>
  </w:style>
  <w:style w:type="paragraph" w:styleId="1322" w:customStyle="1">
    <w:name w:val="font14"/>
    <w:basedOn w:val="901"/>
    <w:qFormat/>
    <w:pPr>
      <w:jc w:val="left"/>
      <w:spacing w:before="100" w:beforeAutospacing="1" w:after="100" w:afterAutospacing="1"/>
      <w:widowControl/>
    </w:pPr>
    <w:rPr>
      <w:sz w:val="36"/>
      <w:szCs w:val="36"/>
    </w:rPr>
  </w:style>
  <w:style w:type="paragraph" w:styleId="1323" w:customStyle="1">
    <w:name w:val="af17cgridlangnp1033langf"/>
    <w:qFormat/>
    <w:pPr>
      <w:ind w:left="567" w:firstLine="510"/>
      <w:jc w:val="both"/>
      <w:spacing w:before="156" w:line="360" w:lineRule="atLeast"/>
      <w:widowControl w:val="off"/>
    </w:pPr>
    <w:rPr>
      <w:rFonts w:ascii="Calibri" w:hAnsi="Calibri"/>
    </w:rPr>
  </w:style>
  <w:style w:type="paragraph" w:styleId="1324" w:customStyle="1">
    <w:name w:val="Char Char Char Char"/>
    <w:basedOn w:val="919"/>
    <w:qFormat/>
    <w:pPr>
      <w:spacing w:line="360" w:lineRule="auto"/>
    </w:pPr>
    <w:rPr>
      <w:rFonts w:ascii="Tahoma" w:hAnsi="Tahoma"/>
    </w:rPr>
  </w:style>
  <w:style w:type="paragraph" w:styleId="1325" w:customStyle="1">
    <w:name w:val="批注主题1"/>
    <w:basedOn w:val="920"/>
    <w:next w:val="920"/>
    <w:qFormat/>
    <w:rPr>
      <w:b/>
      <w:bCs w:val="0"/>
      <w:szCs w:val="24"/>
    </w:rPr>
  </w:style>
  <w:style w:type="paragraph" w:styleId="1326" w:customStyle="1">
    <w:name w:val="标题 4宋体"/>
    <w:basedOn w:val="905"/>
    <w:qFormat/>
    <w:pPr>
      <w:jc w:val="left"/>
      <w:keepLines w:val="0"/>
      <w:spacing w:before="0" w:after="0" w:line="360" w:lineRule="auto"/>
    </w:pPr>
    <w:rPr>
      <w:rFonts w:ascii="宋体" w:hAnsi="宋体" w:eastAsia="宋体"/>
      <w:bCs/>
      <w:color w:val="000000"/>
      <w:sz w:val="24"/>
    </w:rPr>
  </w:style>
  <w:style w:type="paragraph" w:styleId="1327" w:customStyle="1">
    <w:name w:val="标题2，章节第二层"/>
    <w:basedOn w:val="901"/>
    <w:next w:val="1206"/>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28" w:customStyle="1">
    <w:name w:val="小四 段落 宋体 Char Char Char Char"/>
    <w:basedOn w:val="901"/>
    <w:qFormat/>
    <w:pPr>
      <w:ind w:right="-33" w:firstLine="480"/>
      <w:jc w:val="left"/>
      <w:spacing w:line="360" w:lineRule="auto"/>
    </w:pPr>
    <w:rPr>
      <w:sz w:val="24"/>
    </w:rPr>
  </w:style>
  <w:style w:type="paragraph" w:styleId="1329" w:customStyle="1">
    <w:name w:val="表蕊"/>
    <w:basedOn w:val="901"/>
    <w:qFormat/>
    <w:pPr>
      <w:jc w:val="left"/>
      <w:spacing w:line="320" w:lineRule="atLeast"/>
    </w:pPr>
    <w:rPr>
      <w:rFonts w:eastAsia="楷体_GB2312"/>
      <w:spacing w:val="-10"/>
      <w:szCs w:val="20"/>
    </w:rPr>
  </w:style>
  <w:style w:type="paragraph" w:styleId="1330" w:customStyle="1">
    <w:name w:val="项目符号，二级"/>
    <w:basedOn w:val="1206"/>
    <w:next w:val="1206"/>
    <w:qFormat/>
    <w:pPr>
      <w:ind w:left="1337" w:right="-27" w:firstLine="480"/>
      <w:tabs>
        <w:tab w:val="left" w:pos="1211" w:leader="none"/>
        <w:tab w:val="left" w:pos="1337" w:leader="none"/>
      </w:tabs>
    </w:pPr>
    <w:rPr>
      <w:bCs w:val="0"/>
      <w:color w:val="000000"/>
      <w:sz w:val="24"/>
      <w:szCs w:val="24"/>
    </w:rPr>
  </w:style>
  <w:style w:type="paragraph" w:styleId="1331" w:customStyle="1">
    <w:name w:val="方案正文"/>
    <w:basedOn w:val="901"/>
    <w:qFormat/>
    <w:pPr>
      <w:ind w:firstLine="359"/>
      <w:jc w:val="left"/>
      <w:spacing w:before="156" w:line="360" w:lineRule="auto"/>
    </w:pPr>
    <w:rPr>
      <w:rFonts w:ascii="Arial" w:hAnsi="Arial" w:cs="宋体"/>
      <w:sz w:val="24"/>
      <w:szCs w:val="21"/>
    </w:rPr>
  </w:style>
  <w:style w:type="paragraph" w:styleId="1332" w:customStyle="1">
    <w:name w:val="标准小四"/>
    <w:basedOn w:val="901"/>
    <w:qFormat/>
    <w:pPr>
      <w:ind w:firstLine="480"/>
      <w:spacing w:line="360" w:lineRule="auto"/>
    </w:pPr>
    <w:rPr>
      <w:rFonts w:ascii="Arial" w:hAnsi="Arial"/>
      <w:sz w:val="24"/>
      <w:szCs w:val="21"/>
    </w:rPr>
  </w:style>
  <w:style w:type="paragraph" w:styleId="1333" w:customStyle="1">
    <w:name w:val="xl35"/>
    <w:basedOn w:val="9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34" w:customStyle="1">
    <w:name w:val="Char Char Char Char Char Char Char Char Char Char Char1"/>
    <w:basedOn w:val="901"/>
    <w:qFormat/>
    <w:rPr>
      <w:rFonts w:ascii="Tahoma" w:hAnsi="Tahoma" w:cs="Tahoma"/>
      <w:sz w:val="24"/>
      <w:szCs w:val="20"/>
    </w:rPr>
  </w:style>
  <w:style w:type="paragraph" w:styleId="1335" w:customStyle="1">
    <w:name w:val="xl36"/>
    <w:basedOn w:val="9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6" w:customStyle="1">
    <w:name w:val="Normal Indent1"/>
    <w:basedOn w:val="901"/>
    <w:qFormat/>
    <w:pPr>
      <w:ind w:firstLine="420"/>
    </w:pPr>
    <w:rPr>
      <w:sz w:val="20"/>
      <w:szCs w:val="20"/>
    </w:rPr>
  </w:style>
  <w:style w:type="paragraph" w:styleId="1337" w:customStyle="1">
    <w:name w:val="正文表标题"/>
    <w:next w:val="1224"/>
    <w:qFormat/>
    <w:pPr>
      <w:ind w:left="900" w:hanging="420"/>
      <w:jc w:val="center"/>
      <w:tabs>
        <w:tab w:val="left" w:pos="900" w:leader="none"/>
      </w:tabs>
    </w:pPr>
    <w:rPr>
      <w:rFonts w:ascii="黑体" w:hAnsi="Calibri" w:eastAsia="黑体"/>
      <w:sz w:val="21"/>
    </w:rPr>
  </w:style>
  <w:style w:type="paragraph" w:styleId="1338" w:customStyle="1">
    <w:name w:val="Char Char Char Char Char Char Char Char Char Char Char Char Char Char1"/>
    <w:basedOn w:val="901"/>
    <w:qFormat/>
    <w:rPr>
      <w:rFonts w:ascii="Tahoma" w:hAnsi="Tahoma" w:cs="Tahoma"/>
      <w:sz w:val="24"/>
      <w:szCs w:val="20"/>
    </w:rPr>
  </w:style>
  <w:style w:type="paragraph" w:styleId="1339" w:customStyle="1">
    <w:name w:val="black1"/>
    <w:basedOn w:val="901"/>
    <w:qFormat/>
    <w:pPr>
      <w:jc w:val="left"/>
      <w:spacing w:before="100" w:beforeAutospacing="1" w:after="100" w:afterAutospacing="1"/>
      <w:widowControl/>
    </w:pPr>
    <w:rPr>
      <w:rFonts w:ascii="宋体" w:hAnsi="宋体"/>
      <w:sz w:val="24"/>
    </w:rPr>
  </w:style>
  <w:style w:type="table" w:styleId="1340"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341" w:customStyle="1">
    <w:name w:val="（RZM政采）正文-首行缩进2"/>
    <w:basedOn w:val="901"/>
    <w:qFormat/>
    <w:pPr>
      <w:ind w:firstLine="200"/>
      <w:spacing w:line="360" w:lineRule="auto"/>
    </w:pPr>
    <w:rPr>
      <w:rFonts w:ascii="宋体" w:hAnsi="宋体"/>
      <w:szCs w:val="21"/>
      <w:lang w:val="zh-CN"/>
    </w:rPr>
  </w:style>
  <w:style w:type="paragraph" w:styleId="1342" w:customStyle="1">
    <w:name w:val="cucd-0"/>
    <w:qFormat/>
    <w:pPr>
      <w:ind w:firstLine="480"/>
      <w:spacing w:line="360" w:lineRule="auto"/>
    </w:pPr>
    <w:rPr>
      <w:rFonts w:ascii="宋体" w:hAnsi="宋体"/>
      <w:sz w:val="24"/>
      <w:szCs w:val="22"/>
    </w:rPr>
  </w:style>
  <w:style w:type="paragraph" w:styleId="1343" w:customStyle="1">
    <w:name w:val="cucd-2"/>
    <w:next w:val="1344"/>
    <w:qFormat/>
    <w:pPr>
      <w:ind w:right="-512"/>
      <w:jc w:val="both"/>
      <w:spacing w:line="360" w:lineRule="exact"/>
      <w:tabs>
        <w:tab w:val="left" w:pos="9180" w:leader="none"/>
        <w:tab w:val="left" w:pos="9360" w:leader="none"/>
      </w:tabs>
      <w:outlineLvl w:val="1"/>
    </w:pPr>
    <w:rPr>
      <w:rFonts w:ascii="宋体" w:hAnsi="宋体"/>
      <w:b/>
      <w:sz w:val="24"/>
      <w:szCs w:val="24"/>
      <w:lang w:val="zh-CN"/>
    </w:rPr>
  </w:style>
  <w:style w:type="paragraph" w:styleId="1344" w:customStyle="1">
    <w:name w:val="cucd-3"/>
    <w:next w:val="901"/>
    <w:qFormat/>
    <w:pPr>
      <w:ind w:right="-512"/>
      <w:spacing w:line="360" w:lineRule="auto"/>
      <w:tabs>
        <w:tab w:val="left" w:pos="9180" w:leader="none"/>
        <w:tab w:val="left" w:pos="9360" w:leader="none"/>
      </w:tabs>
      <w:outlineLvl w:val="2"/>
    </w:pPr>
    <w:rPr>
      <w:rFonts w:ascii="楷体" w:hAnsi="楷体" w:eastAsia="楷体"/>
      <w:b/>
      <w:color w:val="000000"/>
      <w:sz w:val="24"/>
      <w:szCs w:val="24"/>
    </w:rPr>
  </w:style>
  <w:style w:type="paragraph" w:styleId="1345" w:customStyle="1">
    <w:name w:val="表格字体"/>
    <w:qFormat/>
    <w:pPr>
      <w:ind w:firstLine="6"/>
      <w:jc w:val="center"/>
    </w:pPr>
    <w:rPr>
      <w:rFonts w:ascii="宋体" w:hAnsi="宋体" w:cs="宋体"/>
      <w:sz w:val="21"/>
      <w:szCs w:val="18"/>
    </w:rPr>
  </w:style>
  <w:style w:type="character" w:styleId="1346" w:customStyle="1">
    <w:name w:val="font71"/>
    <w:basedOn w:val="911"/>
    <w:qFormat/>
    <w:rPr>
      <w:rFonts w:hint="eastAsia" w:ascii="宋体" w:hAnsi="宋体" w:eastAsia="宋体" w:cs="宋体"/>
      <w:color w:val="000000"/>
      <w:sz w:val="22"/>
      <w:szCs w:val="22"/>
      <w:u w:val="none"/>
    </w:rPr>
  </w:style>
  <w:style w:type="character" w:styleId="1347" w:customStyle="1">
    <w:name w:val="font41"/>
    <w:basedOn w:val="911"/>
    <w:qFormat/>
    <w:rPr>
      <w:rFonts w:hint="eastAsia" w:ascii="宋体" w:hAnsi="宋体" w:eastAsia="宋体" w:cs="宋体"/>
      <w:color w:val="000000"/>
      <w:sz w:val="22"/>
      <w:szCs w:val="22"/>
      <w:u w:val="none"/>
    </w:rPr>
  </w:style>
  <w:style w:type="character" w:styleId="1348" w:customStyle="1">
    <w:name w:val="列表段落 字符"/>
    <w:link w:val="1007"/>
    <w:uiPriority w:val="34"/>
    <w:qFormat/>
    <w:rPr>
      <w:sz w:val="21"/>
      <w:szCs w:val="24"/>
    </w:rPr>
  </w:style>
  <w:style w:type="paragraph" w:styleId="1349" w:customStyle="1">
    <w:name w:val="Table Text"/>
    <w:basedOn w:val="901"/>
    <w:semiHidden/>
    <w:qFormat/>
    <w:rPr>
      <w:rFonts w:ascii="宋体" w:hAnsi="宋体" w:cs="宋体"/>
      <w:sz w:val="24"/>
      <w:lang w:eastAsia="en-US"/>
    </w:rPr>
  </w:style>
  <w:style w:type="paragraph" w:styleId="1350" w:customStyle="1">
    <w:name w:val="修订1"/>
    <w:hidden/>
    <w:uiPriority w:val="99"/>
    <w:unhideWhenUsed/>
    <w:qFormat/>
    <w:rPr>
      <w:rFonts w:ascii="Calibri" w:hAnsi="Calibri"/>
      <w:sz w:val="21"/>
      <w:szCs w:val="24"/>
    </w:rPr>
  </w:style>
  <w:style w:type="paragraph" w:styleId="1351" w:customStyle="1">
    <w:name w:val="修订2"/>
    <w:hidden/>
    <w:uiPriority w:val="99"/>
    <w:unhideWhenUsed/>
    <w:qFormat/>
    <w:rPr>
      <w:rFonts w:ascii="Calibri" w:hAnsi="Calibri"/>
      <w:sz w:val="21"/>
      <w:szCs w:val="24"/>
    </w:rPr>
  </w:style>
  <w:style w:type="paragraph" w:styleId="1352" w:customStyle="1">
    <w:name w:val="*正文"/>
    <w:basedOn w:val="901"/>
    <w:qFormat/>
    <w:rPr>
      <w:rFonts w:ascii="宋体" w:hAnsi="宋体"/>
      <w:sz w:val="24"/>
      <w:lang w:val="zh-CN"/>
    </w:rPr>
  </w:style>
  <w:style w:type="character" w:styleId="1353" w:customStyle="1">
    <w:name w:val="font21"/>
    <w:qFormat/>
    <w:rPr>
      <w:rFonts w:hint="default" w:ascii="Arial" w:hAnsi="Arial" w:cs="Arial"/>
      <w:color w:val="000000"/>
      <w:sz w:val="28"/>
      <w:szCs w:val="28"/>
      <w:u w:val="none"/>
    </w:rPr>
  </w:style>
  <w:style w:type="character" w:styleId="1354" w:customStyle="1">
    <w:name w:val="font31"/>
    <w:basedOn w:val="911"/>
    <w:qFormat/>
    <w:rPr>
      <w:rFonts w:hint="eastAsia" w:ascii="宋体" w:hAnsi="宋体" w:eastAsia="宋体" w:cs="宋体"/>
      <w:color w:val="000000"/>
      <w:sz w:val="22"/>
      <w:szCs w:val="22"/>
      <w:u w:val="none"/>
    </w:rPr>
  </w:style>
  <w:style w:type="character" w:styleId="1355" w:customStyle="1">
    <w:name w:val="正文缩进 字符"/>
    <w:link w:val="914"/>
    <w:uiPriority w:val="99"/>
    <w:qFormat/>
    <w:rPr>
      <w:rFonts w:ascii="Calibri" w:hAnsi="Calibri"/>
      <w:sz w:val="21"/>
    </w:rPr>
  </w:style>
  <w:style w:type="character" w:styleId="1356" w:customStyle="1">
    <w:name w:val="默认段落字体11"/>
    <w:uiPriority w:val="1"/>
    <w:unhideWhenUsed/>
    <w:qFormat/>
  </w:style>
  <w:style w:type="paragraph" w:styleId="1357" w:customStyle="1">
    <w:name w:val="修订3"/>
    <w:hidden/>
    <w:uiPriority w:val="99"/>
    <w:unhideWhenUsed/>
    <w:qFormat/>
    <w:rPr>
      <w:rFonts w:ascii="Calibri" w:hAnsi="Calibri"/>
      <w:sz w:val="21"/>
      <w:szCs w:val="24"/>
    </w:rPr>
  </w:style>
  <w:style w:type="paragraph" w:styleId="1358" w:customStyle="1">
    <w:name w:val="样式5"/>
    <w:basedOn w:val="901"/>
    <w:qFormat/>
    <w:pPr>
      <w:spacing w:line="360" w:lineRule="auto"/>
    </w:pPr>
    <w:rPr>
      <w:rFonts w:ascii="仿宋" w:hAnsi="仿宋" w:eastAsia="仿宋"/>
      <w:sz w:val="24"/>
      <w:lang w:val="zh-CN"/>
    </w:rPr>
  </w:style>
  <w:style w:type="character" w:styleId="1359" w:customStyle="1">
    <w:name w:val="font61"/>
    <w:basedOn w:val="911"/>
    <w:qFormat/>
    <w:rPr>
      <w:rFonts w:hint="eastAsia" w:ascii="宋体" w:hAnsi="宋体" w:eastAsia="宋体" w:cs="宋体"/>
      <w:color w:val="000000"/>
      <w:sz w:val="21"/>
      <w:szCs w:val="21"/>
      <w:u w:val="none"/>
    </w:rPr>
  </w:style>
  <w:style w:type="table" w:styleId="1360" w:customStyle="1">
    <w:name w:val="网格型1"/>
    <w:basedOn w:val="91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1" w:customStyle="1">
    <w:name w:val="列出段落4"/>
    <w:basedOn w:val="901"/>
    <w:next w:val="901"/>
    <w:uiPriority w:val="34"/>
    <w:qFormat/>
    <w:pPr>
      <w:ind w:firstLine="420"/>
    </w:pPr>
  </w:style>
  <w:style w:type="paragraph" w:styleId="1362" w:customStyle="1">
    <w:name w:val="WPSOffice手动目录 1"/>
    <w:qFormat/>
  </w:style>
  <w:style w:type="paragraph" w:styleId="1363" w:customStyle="1">
    <w:name w:val="样式 标题 2 + Times New Roman 四号 非加粗 段前: 5 磅 段后: 0 磅 行距: 固定值 20..."/>
    <w:basedOn w:val="903"/>
    <w:qFormat/>
    <w:pPr>
      <w:spacing w:before="100" w:after="0" w:line="400" w:lineRule="exact"/>
    </w:pPr>
    <w:rPr>
      <w:rFonts w:ascii="Times New Roman" w:hAnsi="Times New Roman" w:cs="宋体"/>
      <w:b w:val="0"/>
      <w:bCs w:val="0"/>
      <w:sz w:val="28"/>
      <w:szCs w:val="20"/>
    </w:rPr>
  </w:style>
  <w:style w:type="paragraph" w:styleId="1364" w:customStyle="1">
    <w:name w:val="正文_0_1"/>
    <w:qFormat/>
    <w:pPr>
      <w:jc w:val="both"/>
      <w:widowControl w:val="off"/>
    </w:pPr>
    <w:rPr>
      <w:rFonts w:ascii="Calibri" w:hAnsi="Calibri"/>
      <w:sz w:val="21"/>
      <w:szCs w:val="22"/>
    </w:rPr>
  </w:style>
  <w:style w:type="character" w:styleId="1365" w:customStyle="1">
    <w:name w:val="页脚 Char1"/>
    <w:basedOn w:val="911"/>
    <w:uiPriority w:val="99"/>
    <w:qFormat/>
    <w:rPr>
      <w:rFonts w:asciiTheme="minorHAnsi" w:hAnsiTheme="minorHAnsi" w:eastAsiaTheme="minorEastAsia"/>
      <w:sz w:val="18"/>
      <w:szCs w:val="18"/>
    </w:rPr>
  </w:style>
  <w:style w:type="paragraph" w:styleId="1366" w:customStyle="1">
    <w:name w:val="msolistparagraph"/>
    <w:basedOn w:val="901"/>
    <w:qFormat/>
    <w:pPr>
      <w:ind w:firstLine="480"/>
      <w:spacing w:line="360" w:lineRule="auto"/>
      <w:widowControl/>
    </w:pPr>
    <w:rPr>
      <w:rFonts w:hint="eastAsia" w:ascii="仿宋" w:hAnsi="仿宋" w:eastAsia="仿宋"/>
      <w:sz w:val="24"/>
      <w:szCs w:val="22"/>
    </w:rPr>
  </w:style>
  <w:style w:type="paragraph" w:styleId="1367" w:customStyle="1">
    <w:name w:val="(标书)正文 Char Char"/>
    <w:basedOn w:val="901"/>
    <w:qFormat/>
    <w:pPr>
      <w:ind w:firstLine="200"/>
      <w:spacing w:line="360" w:lineRule="auto"/>
    </w:pPr>
    <w:rPr>
      <w:rFonts w:hint="eastAsia" w:ascii="宋体" w:hAnsi="宋体"/>
      <w:spacing w:val="10"/>
    </w:rPr>
  </w:style>
  <w:style w:type="character" w:styleId="1368" w:customStyle="1">
    <w:name w:val="列出段落 Char1"/>
    <w:basedOn w:val="911"/>
    <w:qFormat/>
    <w:rPr>
      <w:rFonts w:hint="default" w:ascii="Calibri" w:hAnsi="Calibri" w:cs="Calibri"/>
      <w:sz w:val="21"/>
      <w:szCs w:val="22"/>
    </w:rPr>
  </w:style>
  <w:style w:type="paragraph" w:styleId="1369" w:customStyle="1">
    <w:name w:val="正文缩进1"/>
    <w:basedOn w:val="901"/>
    <w:qFormat/>
    <w:pPr>
      <w:ind w:firstLine="420"/>
      <w:spacing w:line="360" w:lineRule="auto"/>
    </w:pPr>
    <w:rPr>
      <w:rFonts w:ascii="Times New Roman" w:hAnsi="Times New Roman"/>
      <w:szCs w:val="21"/>
    </w:rPr>
  </w:style>
  <w:style w:type="character" w:styleId="1370" w:customStyle="1">
    <w:name w:val="font51"/>
    <w:basedOn w:val="911"/>
    <w:qFormat/>
    <w:rPr>
      <w:rFonts w:hint="eastAsia" w:ascii="宋体" w:hAnsi="宋体" w:eastAsia="宋体" w:cs="宋体"/>
      <w:color w:val="000000"/>
      <w:sz w:val="28"/>
      <w:szCs w:val="28"/>
      <w:u w:val="none"/>
      <w:vertAlign w:val="superscript"/>
    </w:rPr>
  </w:style>
  <w:style w:type="character" w:styleId="1371" w:customStyle="1">
    <w:name w:val="font01"/>
    <w:basedOn w:val="911"/>
    <w:qFormat/>
    <w:rPr>
      <w:rFonts w:hint="eastAsia" w:ascii="宋体" w:hAnsi="宋体" w:eastAsia="宋体" w:cs="宋体"/>
      <w:color w:val="000000"/>
      <w:sz w:val="22"/>
      <w:szCs w:val="22"/>
      <w:u w:val="none"/>
    </w:rPr>
  </w:style>
  <w:style w:type="paragraph" w:styleId="1372" w:customStyle="1">
    <w:name w:val="msonormal"/>
    <w:basedOn w:val="901"/>
    <w:qFormat/>
    <w:pPr>
      <w:jc w:val="left"/>
      <w:spacing w:before="100" w:beforeAutospacing="1" w:after="100" w:afterAutospacing="1"/>
      <w:widowControl/>
    </w:pPr>
    <w:rPr>
      <w:rFonts w:ascii="宋体" w:hAnsi="宋体" w:cs="宋体"/>
      <w:sz w:val="24"/>
    </w:rPr>
  </w:style>
  <w:style w:type="paragraph" w:styleId="1373" w:customStyle="1">
    <w:name w:val="xl65"/>
    <w:basedOn w:val="901"/>
    <w:qFormat/>
    <w:pPr>
      <w:jc w:val="center"/>
      <w:spacing w:before="100" w:beforeAutospacing="1" w:after="100" w:afterAutospacing="1"/>
      <w:widowControl/>
    </w:pPr>
    <w:rPr>
      <w:rFonts w:ascii="宋体" w:hAnsi="宋体" w:cs="宋体"/>
      <w:sz w:val="24"/>
    </w:rPr>
  </w:style>
  <w:style w:type="paragraph" w:styleId="1374" w:customStyle="1">
    <w:name w:val="xl66"/>
    <w:basedOn w:val="901"/>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华文中宋" w:hAnsi="华文中宋" w:eastAsia="华文中宋" w:cs="宋体"/>
      <w:b/>
      <w:bCs/>
      <w:color w:val="000000"/>
      <w:sz w:val="18"/>
      <w:szCs w:val="18"/>
    </w:rPr>
  </w:style>
  <w:style w:type="paragraph" w:styleId="1375" w:customStyle="1">
    <w:name w:val="xl67"/>
    <w:basedOn w:val="901"/>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华文中宋" w:hAnsi="华文中宋" w:eastAsia="华文中宋" w:cs="宋体"/>
      <w:b/>
      <w:bCs/>
      <w:color w:val="000000"/>
      <w:sz w:val="18"/>
      <w:szCs w:val="18"/>
    </w:rPr>
  </w:style>
  <w:style w:type="paragraph" w:styleId="1376" w:customStyle="1">
    <w:name w:val="xl68"/>
    <w:basedOn w:val="901"/>
    <w:qFormat/>
    <w:pPr>
      <w:jc w:val="center"/>
      <w:spacing w:before="100" w:beforeAutospacing="1" w:after="100" w:afterAutospacing="1"/>
      <w:shd w:val="clear" w:color="000000" w:fill="e6b8b7"/>
      <w:widowControl/>
      <w:pBdr>
        <w:top w:val="single" w:color="auto" w:sz="4" w:space="0"/>
        <w:left w:val="single" w:color="auto" w:sz="8" w:space="0"/>
        <w:bottom w:val="single" w:color="auto" w:sz="4" w:space="0"/>
        <w:right w:val="single" w:color="auto" w:sz="4" w:space="0"/>
      </w:pBdr>
    </w:pPr>
    <w:rPr>
      <w:rFonts w:ascii="Dotum" w:hAnsi="Dotum" w:eastAsia="Dotum" w:cs="宋体"/>
      <w:b/>
      <w:bCs/>
      <w:color w:val="000000"/>
      <w:sz w:val="18"/>
      <w:szCs w:val="18"/>
    </w:rPr>
  </w:style>
  <w:style w:type="paragraph" w:styleId="1377" w:customStyle="1">
    <w:name w:val="xl69"/>
    <w:basedOn w:val="901"/>
    <w:qFormat/>
    <w:pPr>
      <w:jc w:val="center"/>
      <w:spacing w:before="100" w:beforeAutospacing="1" w:after="100" w:afterAutospacing="1"/>
      <w:shd w:val="clear" w:color="000000" w:fill="e6b8b7"/>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378" w:customStyle="1">
    <w:name w:val="xl70"/>
    <w:basedOn w:val="901"/>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Dotum" w:hAnsi="Dotum" w:eastAsia="Dotum" w:cs="宋体"/>
      <w:color w:val="000000"/>
      <w:sz w:val="18"/>
      <w:szCs w:val="18"/>
    </w:rPr>
  </w:style>
  <w:style w:type="paragraph" w:styleId="1379" w:customStyle="1">
    <w:name w:val="xl71"/>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380" w:customStyle="1">
    <w:name w:val="xl72"/>
    <w:basedOn w:val="901"/>
    <w:qFormat/>
    <w:pPr>
      <w:jc w:val="left"/>
      <w:spacing w:before="100" w:beforeAutospacing="1" w:after="100" w:afterAutospacing="1"/>
      <w:widowControl/>
    </w:pPr>
    <w:rPr>
      <w:rFonts w:ascii="华文中宋" w:hAnsi="华文中宋" w:eastAsia="华文中宋" w:cs="宋体"/>
      <w:sz w:val="24"/>
    </w:rPr>
  </w:style>
  <w:style w:type="paragraph" w:styleId="1381" w:customStyle="1">
    <w:name w:val="xl73"/>
    <w:basedOn w:val="901"/>
    <w:qFormat/>
    <w:pPr>
      <w:jc w:val="left"/>
      <w:spacing w:before="100" w:beforeAutospacing="1" w:after="100" w:afterAutospacing="1"/>
      <w:widowControl/>
    </w:pPr>
    <w:rPr>
      <w:rFonts w:ascii="Dotum" w:hAnsi="Dotum" w:eastAsia="Dotum" w:cs="宋体"/>
      <w:sz w:val="24"/>
    </w:rPr>
  </w:style>
  <w:style w:type="paragraph" w:styleId="1382" w:customStyle="1">
    <w:name w:val="xl74"/>
    <w:basedOn w:val="901"/>
    <w:qFormat/>
    <w:pPr>
      <w:jc w:val="left"/>
      <w:spacing w:before="100" w:beforeAutospacing="1" w:after="100" w:afterAutospacing="1"/>
      <w:widowControl/>
    </w:pPr>
    <w:rPr>
      <w:rFonts w:ascii="宋体" w:hAnsi="宋体" w:cs="宋体"/>
      <w:sz w:val="24"/>
    </w:rPr>
  </w:style>
  <w:style w:type="paragraph" w:styleId="1383" w:customStyle="1">
    <w:name w:val="xl75"/>
    <w:basedOn w:val="901"/>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华文中宋" w:hAnsi="华文中宋" w:eastAsia="华文中宋" w:cs="宋体"/>
      <w:b/>
      <w:bCs/>
      <w:color w:val="000000"/>
      <w:sz w:val="18"/>
      <w:szCs w:val="18"/>
    </w:rPr>
  </w:style>
  <w:style w:type="paragraph" w:styleId="1384" w:customStyle="1">
    <w:name w:val="xl76"/>
    <w:basedOn w:val="901"/>
    <w:qFormat/>
    <w:pPr>
      <w:jc w:val="center"/>
      <w:spacing w:before="100" w:beforeAutospacing="1" w:after="100" w:afterAutospacing="1"/>
      <w:shd w:val="clear" w:color="000000" w:fill="e6b8b7"/>
      <w:widowControl/>
      <w:pBdr>
        <w:top w:val="single" w:color="auto" w:sz="4" w:space="0"/>
        <w:left w:val="single" w:color="auto" w:sz="4" w:space="0"/>
        <w:bottom w:val="single" w:color="auto" w:sz="4" w:space="0"/>
        <w:right w:val="single" w:color="auto" w:sz="4" w:space="0"/>
      </w:pBdr>
    </w:pPr>
    <w:rPr>
      <w:rFonts w:ascii="Dotum" w:hAnsi="Dotum" w:eastAsia="Dotum" w:cs="宋体"/>
      <w:color w:val="000000"/>
      <w:sz w:val="24"/>
    </w:rPr>
  </w:style>
  <w:style w:type="paragraph" w:styleId="1385" w:customStyle="1">
    <w:name w:val="xl77"/>
    <w:basedOn w:val="901"/>
    <w:qFormat/>
    <w:pPr>
      <w:jc w:val="center"/>
      <w:spacing w:before="100" w:beforeAutospacing="1" w:after="100" w:afterAutospacing="1"/>
      <w:shd w:val="clear" w:color="000000" w:fill="c5d9f1"/>
      <w:widowControl/>
      <w:pBdr>
        <w:top w:val="single" w:color="auto" w:sz="4" w:space="0"/>
        <w:left w:val="single" w:color="auto" w:sz="8" w:space="0"/>
        <w:bottom w:val="single" w:color="auto" w:sz="4" w:space="0"/>
        <w:right w:val="single" w:color="auto" w:sz="4" w:space="0"/>
      </w:pBdr>
    </w:pPr>
    <w:rPr>
      <w:rFonts w:ascii="Dotum" w:hAnsi="Dotum" w:eastAsia="Dotum" w:cs="宋体"/>
      <w:b/>
      <w:bCs/>
      <w:color w:val="000000"/>
      <w:sz w:val="18"/>
      <w:szCs w:val="18"/>
    </w:rPr>
  </w:style>
  <w:style w:type="paragraph" w:styleId="1386" w:customStyle="1">
    <w:name w:val="xl78"/>
    <w:basedOn w:val="901"/>
    <w:qFormat/>
    <w:pPr>
      <w:jc w:val="center"/>
      <w:spacing w:before="100" w:beforeAutospacing="1" w:after="100" w:afterAutospacing="1"/>
      <w:shd w:val="clear" w:color="000000" w:fill="c5d9f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387" w:customStyle="1">
    <w:name w:val="xl79"/>
    <w:basedOn w:val="901"/>
    <w:qFormat/>
    <w:pPr>
      <w:jc w:val="center"/>
      <w:spacing w:before="100" w:beforeAutospacing="1" w:after="100" w:afterAutospacing="1"/>
      <w:shd w:val="clear" w:color="000000" w:fill="c5d9f1"/>
      <w:widowControl/>
      <w:pBdr>
        <w:top w:val="single" w:color="auto" w:sz="4" w:space="0"/>
        <w:left w:val="single" w:color="auto" w:sz="4" w:space="0"/>
        <w:bottom w:val="single" w:color="auto" w:sz="4" w:space="0"/>
        <w:right w:val="single" w:color="auto" w:sz="4" w:space="0"/>
      </w:pBdr>
    </w:pPr>
    <w:rPr>
      <w:rFonts w:ascii="Dotum" w:hAnsi="Dotum" w:eastAsia="Dotum" w:cs="宋体"/>
      <w:color w:val="000000"/>
      <w:sz w:val="24"/>
    </w:rPr>
  </w:style>
  <w:style w:type="paragraph" w:styleId="1388" w:customStyle="1">
    <w:name w:val="xl80"/>
    <w:basedOn w:val="9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389" w:customStyle="1">
    <w:name w:val="xl81"/>
    <w:basedOn w:val="9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7"/>
      <w:szCs w:val="17"/>
    </w:rPr>
  </w:style>
  <w:style w:type="paragraph" w:styleId="1390" w:customStyle="1">
    <w:name w:val="xl82"/>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Dotum" w:hAnsi="Dotum" w:eastAsia="Dotum" w:cs="宋体"/>
      <w:color w:val="000000"/>
      <w:sz w:val="24"/>
    </w:rPr>
  </w:style>
  <w:style w:type="paragraph" w:styleId="1391" w:customStyle="1">
    <w:name w:val="xl83"/>
    <w:basedOn w:val="901"/>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7"/>
      <w:szCs w:val="17"/>
    </w:rPr>
  </w:style>
  <w:style w:type="paragraph" w:styleId="1392" w:customStyle="1">
    <w:name w:val="xl84"/>
    <w:basedOn w:val="90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7"/>
      <w:szCs w:val="17"/>
    </w:rPr>
  </w:style>
  <w:style w:type="paragraph" w:styleId="1393" w:customStyle="1">
    <w:name w:val="xl85"/>
    <w:basedOn w:val="90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394" w:customStyle="1">
    <w:name w:val="xl86"/>
    <w:basedOn w:val="90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7"/>
      <w:szCs w:val="17"/>
    </w:rPr>
  </w:style>
  <w:style w:type="paragraph" w:styleId="1395" w:customStyle="1">
    <w:name w:val="xl87"/>
    <w:basedOn w:val="90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18"/>
      <w:szCs w:val="18"/>
    </w:rPr>
  </w:style>
  <w:style w:type="paragraph" w:styleId="1396" w:customStyle="1">
    <w:name w:val="xl88"/>
    <w:basedOn w:val="901"/>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18"/>
      <w:szCs w:val="18"/>
    </w:rPr>
  </w:style>
  <w:style w:type="paragraph" w:styleId="1397" w:customStyle="1">
    <w:name w:val="xl89"/>
    <w:basedOn w:val="901"/>
    <w:qFormat/>
    <w:pPr>
      <w:jc w:val="center"/>
      <w:spacing w:before="100" w:beforeAutospacing="1" w:after="100" w:afterAutospacing="1"/>
      <w:shd w:val="clear" w:color="000000" w:fill="ffffff"/>
      <w:widowControl/>
      <w:pBdr>
        <w:bottom w:val="single" w:color="auto" w:sz="8" w:space="0"/>
      </w:pBdr>
    </w:pPr>
    <w:rPr>
      <w:rFonts w:ascii="华文中宋" w:hAnsi="华文中宋" w:eastAsia="华文中宋" w:cs="宋体"/>
      <w:b/>
      <w:bCs/>
      <w:sz w:val="36"/>
      <w:szCs w:val="36"/>
    </w:rPr>
  </w:style>
  <w:style w:type="paragraph" w:styleId="1398" w:customStyle="1">
    <w:name w:val="xl90"/>
    <w:basedOn w:val="901"/>
    <w:qFormat/>
    <w:pPr>
      <w:jc w:val="left"/>
      <w:spacing w:before="100" w:beforeAutospacing="1" w:after="100" w:afterAutospacing="1"/>
      <w:shd w:val="clear" w:color="000000" w:fill="c5d9f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18"/>
      <w:szCs w:val="18"/>
    </w:rPr>
  </w:style>
  <w:style w:type="paragraph" w:styleId="1399" w:customStyle="1">
    <w:name w:val="xl91"/>
    <w:basedOn w:val="901"/>
    <w:qFormat/>
    <w:pPr>
      <w:jc w:val="left"/>
      <w:spacing w:before="100" w:beforeAutospacing="1" w:after="100" w:afterAutospacing="1"/>
      <w:shd w:val="clear" w:color="000000" w:fill="e6b8b7"/>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18"/>
      <w:szCs w:val="18"/>
    </w:rPr>
  </w:style>
  <w:style w:type="paragraph" w:styleId="1400" w:customStyle="1">
    <w:name w:val="xl92"/>
    <w:basedOn w:val="901"/>
    <w:qFormat/>
    <w:pPr>
      <w:jc w:val="center"/>
      <w:spacing w:before="100" w:beforeAutospacing="1" w:after="100" w:afterAutospacing="1"/>
      <w:widowControl/>
      <w:pBdr>
        <w:top w:val="single" w:color="auto" w:sz="4" w:space="0"/>
        <w:left w:val="single" w:color="auto" w:sz="8" w:space="0"/>
        <w:right w:val="single" w:color="auto" w:sz="4" w:space="0"/>
      </w:pBdr>
    </w:pPr>
    <w:rPr>
      <w:rFonts w:ascii="Dotum" w:hAnsi="Dotum" w:eastAsia="Dotum" w:cs="宋体"/>
      <w:color w:val="000000"/>
      <w:sz w:val="18"/>
      <w:szCs w:val="18"/>
    </w:rPr>
  </w:style>
  <w:style w:type="paragraph" w:styleId="1401" w:customStyle="1">
    <w:name w:val="xl93"/>
    <w:basedOn w:val="901"/>
    <w:qFormat/>
    <w:pPr>
      <w:jc w:val="center"/>
      <w:spacing w:before="100" w:beforeAutospacing="1" w:after="100" w:afterAutospacing="1"/>
      <w:widowControl/>
      <w:pBdr>
        <w:left w:val="single" w:color="auto" w:sz="8" w:space="0"/>
        <w:right w:val="single" w:color="auto" w:sz="4" w:space="0"/>
      </w:pBdr>
    </w:pPr>
    <w:rPr>
      <w:rFonts w:ascii="Dotum" w:hAnsi="Dotum" w:eastAsia="Dotum" w:cs="宋体"/>
      <w:color w:val="000000"/>
      <w:sz w:val="18"/>
      <w:szCs w:val="18"/>
    </w:rPr>
  </w:style>
  <w:style w:type="paragraph" w:styleId="1402" w:customStyle="1">
    <w:name w:val="xl94"/>
    <w:basedOn w:val="901"/>
    <w:qFormat/>
    <w:pPr>
      <w:jc w:val="center"/>
      <w:spacing w:before="100" w:beforeAutospacing="1" w:after="100" w:afterAutospacing="1"/>
      <w:widowControl/>
      <w:pBdr>
        <w:left w:val="single" w:color="auto" w:sz="8" w:space="0"/>
        <w:bottom w:val="single" w:color="auto" w:sz="4" w:space="0"/>
        <w:right w:val="single" w:color="auto" w:sz="4" w:space="0"/>
      </w:pBdr>
    </w:pPr>
    <w:rPr>
      <w:rFonts w:ascii="Dotum" w:hAnsi="Dotum" w:eastAsia="Dotum" w:cs="宋体"/>
      <w:color w:val="000000"/>
      <w:sz w:val="18"/>
      <w:szCs w:val="18"/>
    </w:rPr>
  </w:style>
  <w:style w:type="paragraph" w:styleId="1403" w:customStyle="1">
    <w:name w:val="xl95"/>
    <w:basedOn w:val="901"/>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仿宋_GB2312" w:hAnsi="宋体" w:eastAsia="仿宋_GB2312" w:cs="宋体"/>
      <w:color w:val="000000"/>
      <w:sz w:val="18"/>
      <w:szCs w:val="18"/>
    </w:rPr>
  </w:style>
  <w:style w:type="paragraph" w:styleId="1404" w:customStyle="1">
    <w:name w:val="xl96"/>
    <w:basedOn w:val="901"/>
    <w:qFormat/>
    <w:pPr>
      <w:jc w:val="left"/>
      <w:spacing w:before="100" w:beforeAutospacing="1" w:after="100" w:afterAutospacing="1"/>
      <w:shd w:val="clear" w:color="000000" w:fill="ffffff"/>
      <w:widowControl/>
      <w:pBdr>
        <w:left w:val="single" w:color="auto" w:sz="4" w:space="0"/>
        <w:right w:val="single" w:color="auto" w:sz="4" w:space="0"/>
      </w:pBdr>
    </w:pPr>
    <w:rPr>
      <w:rFonts w:ascii="仿宋_GB2312" w:hAnsi="宋体" w:eastAsia="仿宋_GB2312" w:cs="宋体"/>
      <w:color w:val="000000"/>
      <w:sz w:val="18"/>
      <w:szCs w:val="18"/>
    </w:rPr>
  </w:style>
  <w:style w:type="paragraph" w:styleId="1405" w:customStyle="1">
    <w:name w:val="xl97"/>
    <w:basedOn w:val="901"/>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406" w:customStyle="1">
    <w:name w:val="xl98"/>
    <w:basedOn w:val="901"/>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仿宋_GB2312" w:hAnsi="宋体" w:eastAsia="仿宋_GB2312" w:cs="宋体"/>
      <w:color w:val="000000"/>
      <w:sz w:val="18"/>
      <w:szCs w:val="18"/>
    </w:rPr>
  </w:style>
  <w:style w:type="paragraph" w:styleId="1407" w:customStyle="1">
    <w:name w:val="xl99"/>
    <w:basedOn w:val="901"/>
    <w:qFormat/>
    <w:pPr>
      <w:jc w:val="center"/>
      <w:spacing w:before="100" w:beforeAutospacing="1" w:after="100" w:afterAutospacing="1"/>
      <w:shd w:val="clear" w:color="000000" w:fill="ffffff"/>
      <w:widowControl/>
      <w:pBdr>
        <w:left w:val="single" w:color="auto" w:sz="4" w:space="0"/>
        <w:right w:val="single" w:color="auto" w:sz="4" w:space="0"/>
      </w:pBdr>
    </w:pPr>
    <w:rPr>
      <w:rFonts w:ascii="仿宋_GB2312" w:hAnsi="宋体" w:eastAsia="仿宋_GB2312" w:cs="宋体"/>
      <w:color w:val="000000"/>
      <w:sz w:val="18"/>
      <w:szCs w:val="18"/>
    </w:rPr>
  </w:style>
  <w:style w:type="paragraph" w:styleId="1408" w:customStyle="1">
    <w:name w:val="xl100"/>
    <w:basedOn w:val="901"/>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409" w:customStyle="1">
    <w:name w:val="xl101"/>
    <w:basedOn w:val="901"/>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Dotum" w:hAnsi="Dotum" w:eastAsia="Dotum" w:cs="宋体"/>
      <w:color w:val="000000"/>
      <w:sz w:val="24"/>
    </w:rPr>
  </w:style>
  <w:style w:type="paragraph" w:styleId="1410" w:customStyle="1">
    <w:name w:val="xl102"/>
    <w:basedOn w:val="901"/>
    <w:qFormat/>
    <w:pPr>
      <w:jc w:val="center"/>
      <w:spacing w:before="100" w:beforeAutospacing="1" w:after="100" w:afterAutospacing="1"/>
      <w:shd w:val="clear" w:color="000000" w:fill="ffffff"/>
      <w:widowControl/>
      <w:pBdr>
        <w:left w:val="single" w:color="auto" w:sz="4" w:space="0"/>
        <w:right w:val="single" w:color="auto" w:sz="4" w:space="0"/>
      </w:pBdr>
    </w:pPr>
    <w:rPr>
      <w:rFonts w:ascii="Dotum" w:hAnsi="Dotum" w:eastAsia="Dotum" w:cs="宋体"/>
      <w:color w:val="000000"/>
      <w:sz w:val="24"/>
    </w:rPr>
  </w:style>
  <w:style w:type="paragraph" w:styleId="1411" w:customStyle="1">
    <w:name w:val="xl103"/>
    <w:basedOn w:val="901"/>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Dotum" w:hAnsi="Dotum" w:eastAsia="Dotum" w:cs="宋体"/>
      <w:color w:val="000000"/>
      <w:sz w:val="24"/>
    </w:rPr>
  </w:style>
  <w:style w:type="paragraph" w:styleId="1412" w:customStyle="1">
    <w:name w:val="xl104"/>
    <w:basedOn w:val="901"/>
    <w:qFormat/>
    <w:pPr>
      <w:jc w:val="center"/>
      <w:spacing w:before="100" w:beforeAutospacing="1" w:after="100" w:afterAutospacing="1"/>
      <w:shd w:val="clear" w:color="000000" w:fill="ffff00"/>
      <w:widowControl/>
      <w:pBdr>
        <w:top w:val="single" w:color="auto" w:sz="4" w:space="0"/>
        <w:left w:val="single" w:color="auto" w:sz="8" w:space="0"/>
        <w:right w:val="single" w:color="auto" w:sz="4" w:space="0"/>
      </w:pBdr>
    </w:pPr>
    <w:rPr>
      <w:rFonts w:ascii="Dotum" w:hAnsi="Dotum" w:eastAsia="Dotum" w:cs="宋体"/>
      <w:color w:val="000000"/>
      <w:sz w:val="18"/>
      <w:szCs w:val="18"/>
    </w:rPr>
  </w:style>
  <w:style w:type="paragraph" w:styleId="1413" w:customStyle="1">
    <w:name w:val="xl105"/>
    <w:basedOn w:val="901"/>
    <w:qFormat/>
    <w:pPr>
      <w:jc w:val="center"/>
      <w:spacing w:before="100" w:beforeAutospacing="1" w:after="100" w:afterAutospacing="1"/>
      <w:shd w:val="clear" w:color="000000" w:fill="ffff00"/>
      <w:widowControl/>
      <w:pBdr>
        <w:left w:val="single" w:color="auto" w:sz="8" w:space="0"/>
        <w:bottom w:val="single" w:color="auto" w:sz="4" w:space="0"/>
        <w:right w:val="single" w:color="auto" w:sz="4" w:space="0"/>
      </w:pBdr>
    </w:pPr>
    <w:rPr>
      <w:rFonts w:ascii="Dotum" w:hAnsi="Dotum" w:eastAsia="Dotum" w:cs="宋体"/>
      <w:color w:val="000000"/>
      <w:sz w:val="18"/>
      <w:szCs w:val="18"/>
    </w:rPr>
  </w:style>
  <w:style w:type="paragraph" w:styleId="1414" w:customStyle="1">
    <w:name w:val="xl106"/>
    <w:basedOn w:val="901"/>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415" w:customStyle="1">
    <w:name w:val="xl107"/>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416" w:customStyle="1">
    <w:name w:val="xl108"/>
    <w:basedOn w:val="901"/>
    <w:qFormat/>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color w:val="000000"/>
      <w:sz w:val="18"/>
      <w:szCs w:val="18"/>
    </w:rPr>
  </w:style>
  <w:style w:type="paragraph" w:styleId="1417" w:customStyle="1">
    <w:name w:val="xl109"/>
    <w:basedOn w:val="901"/>
    <w:qFormat/>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color w:val="000000"/>
      <w:sz w:val="18"/>
      <w:szCs w:val="18"/>
    </w:rPr>
  </w:style>
  <w:style w:type="paragraph" w:styleId="1418" w:customStyle="1">
    <w:name w:val="xl110"/>
    <w:basedOn w:val="901"/>
    <w:qFormat/>
    <w:pPr>
      <w:jc w:val="center"/>
      <w:spacing w:before="100" w:beforeAutospacing="1" w:after="100" w:afterAutospacing="1"/>
      <w:widowControl/>
      <w:pBdr>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419" w:customStyle="1">
    <w:name w:val="xl111"/>
    <w:basedOn w:val="90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420" w:customStyle="1">
    <w:name w:val="xl112"/>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Dotum" w:hAnsi="Dotum" w:eastAsia="Dotum" w:cs="宋体"/>
      <w:color w:val="000000"/>
      <w:sz w:val="24"/>
    </w:rPr>
  </w:style>
  <w:style w:type="paragraph" w:styleId="1421" w:customStyle="1">
    <w:name w:val="xl113"/>
    <w:basedOn w:val="90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Dotum" w:hAnsi="Dotum" w:eastAsia="Dotum" w:cs="宋体"/>
      <w:color w:val="000000"/>
      <w:sz w:val="24"/>
    </w:rPr>
  </w:style>
  <w:style w:type="character" w:styleId="1422" w:customStyle="1">
    <w:name w:val="未处理的提及1"/>
    <w:basedOn w:val="911"/>
    <w:uiPriority w:val="99"/>
    <w:semiHidden/>
    <w:unhideWhenUsed/>
    <w:qFormat/>
    <w:rPr>
      <w:color w:val="605e5c"/>
      <w:shd w:val="clear" w:color="auto" w:fill="e1dfdd"/>
    </w:rPr>
  </w:style>
  <w:style w:type="paragraph" w:styleId="1423" w:customStyle="1">
    <w:name w:val="样式6"/>
    <w:basedOn w:val="901"/>
    <w:qFormat/>
    <w:pPr>
      <w:spacing w:line="360" w:lineRule="auto"/>
    </w:pPr>
    <w:rPr>
      <w:rFonts w:ascii="仿宋" w:hAnsi="仿宋" w:eastAsia="仿宋"/>
      <w:b/>
      <w:sz w:val="24"/>
    </w:rPr>
  </w:style>
  <w:style w:type="paragraph" w:styleId="1424" w:customStyle="1">
    <w:name w:val="修订4"/>
    <w:hidden/>
    <w:uiPriority w:val="99"/>
    <w:unhideWhenUsed/>
    <w:qFormat/>
    <w:rPr>
      <w:rFonts w:ascii="Calibri" w:hAnsi="Calibri"/>
      <w:sz w:val="21"/>
      <w:szCs w:val="24"/>
    </w:rPr>
  </w:style>
  <w:style w:type="paragraph" w:styleId="1425" w:customStyle="1">
    <w:name w:val="修订5"/>
    <w:hidden/>
    <w:uiPriority w:val="99"/>
    <w:unhideWhenUsed/>
    <w:qFormat/>
    <w:rPr>
      <w:rFonts w:ascii="Calibri" w:hAnsi="Calibri"/>
      <w:sz w:val="21"/>
      <w:szCs w:val="24"/>
    </w:rPr>
  </w:style>
  <w:style w:type="paragraph" w:styleId="1426" w:customStyle="1">
    <w:name w:val="修订6"/>
    <w:hidden/>
    <w:uiPriority w:val="99"/>
    <w:unhideWhenUsed/>
    <w:qFormat/>
    <w:rPr>
      <w:rFonts w:ascii="Calibri" w:hAnsi="Calibri"/>
      <w:sz w:val="21"/>
      <w:szCs w:val="24"/>
    </w:rPr>
  </w:style>
  <w:style w:type="character" w:styleId="1427" w:customStyle="1">
    <w:name w:val="font121"/>
    <w:basedOn w:val="911"/>
    <w:rPr>
      <w:rFonts w:hint="default" w:ascii="Times New Roman" w:hAnsi="Times New Roman" w:cs="Times New Roman"/>
      <w:color w:val="000000"/>
      <w:sz w:val="14"/>
      <w:szCs w:val="14"/>
      <w:u w:val="none"/>
    </w:rPr>
  </w:style>
  <w:style w:type="character" w:styleId="1428" w:customStyle="1">
    <w:name w:val="font151"/>
    <w:basedOn w:val="911"/>
    <w:rPr>
      <w:rFonts w:hint="eastAsia" w:ascii="微软雅黑" w:hAnsi="微软雅黑" w:eastAsia="微软雅黑" w:cs="微软雅黑"/>
      <w:b/>
      <w:bCs/>
      <w:color w:val="000000"/>
      <w:sz w:val="14"/>
      <w:szCs w:val="14"/>
      <w:u w:val="none"/>
    </w:rPr>
  </w:style>
  <w:style w:type="character" w:styleId="1429" w:customStyle="1">
    <w:name w:val="font161"/>
    <w:basedOn w:val="911"/>
    <w:qFormat/>
    <w:rPr>
      <w:rFonts w:ascii="宋体" w:hAnsi="宋体" w:eastAsia="宋体" w:cs="宋体"/>
      <w:color w:val="000000"/>
      <w:sz w:val="14"/>
      <w:szCs w:val="1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Administrator</dc:creator>
  <cp:lastModifiedBy>郝慧</cp:lastModifiedBy>
  <cp:revision>217</cp:revision>
  <dcterms:created xsi:type="dcterms:W3CDTF">2025-09-17T09:20:00Z</dcterms:created>
  <dcterms:modified xsi:type="dcterms:W3CDTF">2026-03-09T09:32:39Z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AF32AF15F663421293EAFB4F3F37AAD0_13</vt:lpwstr>
  </property>
  <property fmtid="{D5CDD505-2E9C-101B-9397-08002B2CF9AE}" pid="4" name="KSOTemplateDocerSaveRecord">
    <vt:lpwstr>eyJoZGlkIjoiYjQyNWRlMDliY2I0NzdkM2JlMTViNGE4Mzc5Mzg3ODUiLCJ1c2VySWQiOiI0MDgxMTUyODkifQ==</vt:lpwstr>
  </property>
</Properties>
</file>