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87"/>
        <w:ind w:firstLine="0"/>
        <w:jc w:val="center"/>
        <w:rPr>
          <w:rFonts w:eastAsia="黑体"/>
          <w:b/>
          <w:bCs/>
          <w:sz w:val="84"/>
          <w:lang w:eastAsia="zh-CN"/>
        </w:rPr>
      </w:pPr>
      <w:r>
        <w:rPr>
          <w:rFonts w:hint="eastAsia" w:eastAsia="黑体"/>
          <w:b/>
          <w:bCs/>
          <w:sz w:val="84"/>
          <w:lang w:eastAsia="zh-CN"/>
        </w:rPr>
        <w:t xml:space="preserve">竞争性谈判文件</w:t>
      </w:r>
      <w:r/>
    </w:p>
    <w:p>
      <w:pPr>
        <w:ind w:firstLine="1606"/>
        <w:rPr>
          <w:rFonts w:ascii="Arial" w:hAnsi="Arial"/>
          <w:b/>
          <w:bCs/>
          <w:sz w:val="32"/>
          <w:szCs w:val="24"/>
          <w:u w:val="single"/>
        </w:rPr>
      </w:pPr>
      <w:r>
        <w:rPr>
          <w:rFonts w:hint="eastAsia" w:ascii="Arial" w:hAnsi="Arial"/>
          <w:b/>
          <w:bCs/>
          <w:sz w:val="32"/>
          <w:szCs w:val="24"/>
        </w:rPr>
        <w:t xml:space="preserve">项目名称：</w:t>
      </w:r>
      <w:r>
        <w:rPr>
          <w:rFonts w:ascii="Times New Roman" w:hAnsi="Times New Roman"/>
          <w:bCs/>
          <w:sz w:val="32"/>
          <w:szCs w:val="32"/>
        </w:rPr>
        <w:t xml:space="preserve">紫金山实验室</w:t>
      </w:r>
      <w:r>
        <w:rPr>
          <w:rFonts w:ascii="Times New Roman" w:hAnsi="Times New Roman"/>
          <w:bCs/>
          <w:sz w:val="32"/>
          <w:szCs w:val="32"/>
        </w:rPr>
        <w:t xml:space="preserve">异构存算解耦</w:t>
      </w:r>
      <w:r>
        <w:rPr>
          <w:rFonts w:ascii="Times New Roman" w:hAnsi="Times New Roman"/>
          <w:bCs/>
          <w:sz w:val="32"/>
          <w:szCs w:val="32"/>
        </w:rPr>
        <w:t xml:space="preserve">CXL</w:t>
      </w:r>
      <w:r>
        <w:rPr>
          <w:rFonts w:ascii="Times New Roman" w:hAnsi="Times New Roman"/>
          <w:bCs/>
          <w:sz w:val="32"/>
          <w:szCs w:val="32"/>
        </w:rPr>
        <w:t xml:space="preserve">资源池化平台软件开发服务</w:t>
      </w:r>
      <w:r>
        <w:rPr>
          <w:rFonts w:hint="eastAsia" w:ascii="Times New Roman" w:hAnsi="Times New Roman"/>
          <w:b/>
          <w:sz w:val="32"/>
          <w:szCs w:val="32"/>
        </w:rPr>
        <w:t xml:space="preserve"> </w:t>
      </w:r>
      <w:r/>
    </w:p>
    <w:p>
      <w:pPr>
        <w:ind w:firstLine="1606"/>
        <w:jc w:val="left"/>
        <w:spacing w:before="120" w:after="120" w:line="360" w:lineRule="auto"/>
      </w:pPr>
      <w:r>
        <w:rPr>
          <w:rFonts w:hint="eastAsia" w:ascii="Arial" w:hAnsi="Arial"/>
          <w:b/>
          <w:bCs/>
          <w:sz w:val="32"/>
          <w:szCs w:val="24"/>
        </w:rPr>
        <w:t xml:space="preserve">项目编号：</w:t>
      </w:r>
      <w:r>
        <w:rPr>
          <w:rFonts w:ascii="Times New Roman" w:hAnsi="Times New Roman"/>
          <w:b/>
          <w:sz w:val="32"/>
          <w:szCs w:val="32"/>
        </w:rPr>
        <w:t xml:space="preserve">JSZC-320100-JZCG-T2026-0182</w:t>
      </w:r>
      <w:r/>
    </w:p>
    <w:p>
      <w:pPr>
        <w:jc w:val="center"/>
        <w:rPr>
          <w:rFonts w:ascii="Times New Roman" w:hAnsi="Times New Roman"/>
          <w:b/>
          <w:sz w:val="30"/>
          <w:szCs w:val="30"/>
        </w:rPr>
      </w:pPr>
      <w:r>
        <w:rPr>
          <w:rFonts w:hint="eastAsia" w:ascii="Times New Roman" w:hAnsi="Times New Roman"/>
          <w:b/>
          <w:sz w:val="30"/>
          <w:szCs w:val="30"/>
        </w:rPr>
        <w:t xml:space="preserve">（</w:t>
      </w:r>
      <w:r>
        <w:rPr>
          <w:rFonts w:hint="eastAsia" w:ascii="宋体" w:hAnsi="宋体" w:cs="宋体"/>
          <w:b/>
          <w:bCs/>
          <w:sz w:val="30"/>
          <w:szCs w:val="30"/>
        </w:rPr>
        <w:t xml:space="preserve">非专门</w:t>
      </w:r>
      <w:r>
        <w:rPr>
          <w:rFonts w:hint="eastAsia" w:ascii="Times New Roman" w:hAnsi="Times New Roman"/>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87"/>
        <w:ind w:firstLine="0"/>
        <w:jc w:val="center"/>
        <w:rPr>
          <w:b/>
          <w:bCs/>
          <w:sz w:val="32"/>
          <w:lang w:eastAsia="zh-CN"/>
        </w:rPr>
      </w:pPr>
      <w:r>
        <w:rPr>
          <w:rFonts w:hint="eastAsia"/>
          <w:b/>
          <w:bCs/>
          <w:sz w:val="32"/>
          <w:lang w:eastAsia="zh-CN"/>
        </w:rPr>
        <w:t xml:space="preserve">南京市公共资源交易中心</w:t>
      </w:r>
      <w:r/>
    </w:p>
    <w:p>
      <w:pPr>
        <w:jc w:val="center"/>
        <w:rPr>
          <w:rFonts w:ascii="Times New Roman" w:hAnsi="Times New Roman"/>
          <w:b/>
          <w:sz w:val="32"/>
          <w:szCs w:val="32"/>
        </w:rPr>
      </w:pPr>
      <w:r>
        <w:rPr>
          <w:rFonts w:hint="eastAsia" w:ascii="Times New Roman" w:hAnsi="Times New Roman"/>
          <w:b/>
          <w:sz w:val="32"/>
          <w:szCs w:val="32"/>
        </w:rPr>
        <w:t xml:space="preserve">2026</w:t>
      </w:r>
      <w:r>
        <w:rPr>
          <w:rFonts w:hint="eastAsia" w:ascii="Times New Roman" w:hAnsi="Times New Roman"/>
          <w:b/>
          <w:sz w:val="32"/>
          <w:szCs w:val="32"/>
        </w:rPr>
        <w:t xml:space="preserve">年</w:t>
      </w:r>
      <w:r>
        <w:rPr>
          <w:rFonts w:hint="eastAsia" w:ascii="Times New Roman" w:hAnsi="Times New Roman"/>
          <w:b/>
          <w:sz w:val="32"/>
          <w:szCs w:val="32"/>
        </w:rPr>
        <w:t xml:space="preserve">6</w:t>
      </w:r>
      <w:r>
        <w:rPr>
          <w:rFonts w:hint="eastAsia" w:ascii="Times New Roman" w:hAnsi="Times New Roman"/>
          <w:b/>
          <w:sz w:val="32"/>
          <w:szCs w:val="32"/>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p>
    <w:p>
      <w:pPr>
        <w:pStyle w:val="739"/>
        <w:rPr>
          <w:rFonts w:hint="eastAsia"/>
        </w:rPr>
      </w:pPr>
      <w:r>
        <w:rPr>
          <w:rFonts w:hint="eastAsia"/>
        </w:rPr>
      </w:r>
      <w:r/>
    </w:p>
    <w:p>
      <w:r/>
      <w:r/>
    </w:p>
    <w:p>
      <w:pPr>
        <w:pStyle w:val="739"/>
        <w:rPr>
          <w:rFonts w:hint="eastAsia"/>
        </w:rPr>
      </w:pPr>
      <w:r>
        <w:rPr>
          <w:rFonts w:hint="eastAsia"/>
        </w:rPr>
      </w:r>
      <w:r/>
    </w:p>
    <w:p>
      <w:pPr>
        <w:spacing w:line="480" w:lineRule="exact"/>
        <w:rPr>
          <w:rFonts w:hint="eastAsia" w:ascii="宋体" w:hAnsi="宋体" w:cs="宋体"/>
          <w:b/>
          <w:bCs/>
          <w:sz w:val="24"/>
          <w:szCs w:val="24"/>
        </w:rPr>
      </w:pPr>
      <w:r>
        <w:rPr>
          <w:rFonts w:hint="eastAsia" w:ascii="宋体" w:hAnsi="宋体" w:cs="宋体"/>
          <w:b/>
          <w:bCs/>
          <w:sz w:val="24"/>
          <w:szCs w:val="24"/>
        </w:rPr>
      </w:r>
      <w:r/>
    </w:p>
    <w:p>
      <w:pPr>
        <w:jc w:val="center"/>
        <w:spacing w:line="480" w:lineRule="auto"/>
        <w:rPr>
          <w:rFonts w:ascii="黑体" w:hAnsi="Arial" w:eastAsia="黑体"/>
          <w:b/>
          <w:sz w:val="44"/>
          <w:szCs w:val="21"/>
        </w:rPr>
        <w:outlineLvl w:val="0"/>
      </w:pPr>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谈判邀请……</w:t>
      </w:r>
      <w:r>
        <w:rPr>
          <w:rFonts w:hint="eastAsia" w:ascii="黑体" w:hAnsi="宋体" w:eastAsia="黑体"/>
          <w:sz w:val="36"/>
          <w:szCs w:val="21"/>
        </w:rPr>
        <w:t xml:space="preserve">………………………………</w:t>
      </w:r>
      <w:r>
        <w:rPr>
          <w:rFonts w:hint="eastAsia" w:ascii="黑体" w:hAnsi="宋体" w:eastAsia="黑体"/>
          <w:sz w:val="36"/>
          <w:szCs w:val="21"/>
        </w:rPr>
        <w:t xml:space="preserve"> 3</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供应商须知……</w:t>
      </w:r>
      <w:r>
        <w:rPr>
          <w:rFonts w:hint="eastAsia" w:ascii="黑体" w:hAnsi="宋体" w:eastAsia="黑体"/>
          <w:sz w:val="36"/>
          <w:szCs w:val="21"/>
        </w:rPr>
        <w:t xml:space="preserve">……………………………</w:t>
      </w:r>
      <w:r>
        <w:rPr>
          <w:rFonts w:hint="eastAsia" w:ascii="黑体" w:hAnsi="宋体" w:eastAsia="黑体"/>
          <w:sz w:val="36"/>
          <w:szCs w:val="21"/>
        </w:rPr>
        <w:t xml:space="preserve"> 5</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t xml:space="preserve">………………………………</w:t>
      </w:r>
      <w:r>
        <w:rPr>
          <w:rFonts w:hint="eastAsia" w:ascii="黑体" w:hAnsi="宋体" w:eastAsia="黑体"/>
          <w:sz w:val="36"/>
          <w:szCs w:val="21"/>
        </w:rPr>
        <w:t xml:space="preserve">15</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sz w:val="36"/>
          <w:szCs w:val="21"/>
        </w:rPr>
        <w:t xml:space="preserve">………………………………</w:t>
      </w:r>
      <w:r>
        <w:rPr>
          <w:rFonts w:hint="eastAsia" w:ascii="黑体" w:hAnsi="宋体" w:eastAsia="黑体"/>
          <w:sz w:val="36"/>
          <w:szCs w:val="21"/>
        </w:rPr>
        <w:t xml:space="preserve">19</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成交标准……</w:t>
      </w:r>
      <w:r>
        <w:rPr>
          <w:rFonts w:hint="eastAsia" w:ascii="黑体" w:hAnsi="宋体" w:eastAsia="黑体"/>
          <w:sz w:val="36"/>
          <w:szCs w:val="21"/>
        </w:rPr>
        <w:t xml:space="preserve">………………………………</w:t>
      </w:r>
      <w:r>
        <w:rPr>
          <w:rFonts w:hint="eastAsia" w:ascii="黑体" w:hAnsi="宋体" w:eastAsia="黑体"/>
          <w:sz w:val="36"/>
          <w:szCs w:val="21"/>
        </w:rPr>
        <w:t xml:space="preserve">24</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响应文件格式……</w:t>
      </w:r>
      <w:r>
        <w:rPr>
          <w:rFonts w:hint="eastAsia" w:ascii="黑体" w:hAnsi="宋体" w:eastAsia="黑体"/>
          <w:sz w:val="36"/>
          <w:szCs w:val="21"/>
        </w:rPr>
        <w:t xml:space="preserve">…………………………</w:t>
      </w:r>
      <w:r>
        <w:rPr>
          <w:rFonts w:hint="eastAsia" w:ascii="黑体" w:hAnsi="宋体" w:eastAsia="黑体"/>
          <w:sz w:val="36"/>
          <w:szCs w:val="21"/>
        </w:rPr>
        <w:t xml:space="preserve">25</w:t>
      </w:r>
      <w:r/>
    </w:p>
    <w:p>
      <w:pPr>
        <w:spacing w:line="480" w:lineRule="auto"/>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谈判邀请</w:t>
      </w:r>
      <w:r/>
    </w:p>
    <w:p>
      <w:pPr>
        <w:ind w:firstLine="480"/>
        <w:rPr>
          <w:rFonts w:hint="eastAsia" w:ascii="宋体" w:hAnsi="宋体"/>
          <w:sz w:val="24"/>
          <w:szCs w:val="24"/>
        </w:rPr>
      </w:pPr>
      <w:r/>
      <w:bookmarkStart w:id="6" w:name="_Toc35393790"/>
      <w:r/>
      <w:bookmarkStart w:id="7" w:name="_Toc38985263"/>
      <w:r/>
      <w:bookmarkStart w:id="8" w:name="_Toc28359079"/>
      <w:r/>
      <w:bookmarkStart w:id="9" w:name="_Toc28359002"/>
      <w:r/>
      <w:bookmarkStart w:id="10" w:name="_Toc35393621"/>
      <w:r/>
      <w:bookmarkStart w:id="11" w:name="_Hlk24379207"/>
      <w:r/>
      <w:bookmarkStart w:id="12" w:name="_Toc35393622"/>
      <w:r/>
      <w:bookmarkStart w:id="13" w:name="_Toc35393791"/>
      <w:r/>
      <w:bookmarkStart w:id="14" w:name="_Toc38985264"/>
      <w:r/>
      <w:bookmarkStart w:id="15" w:name="_Toc28359003"/>
      <w:r/>
      <w:bookmarkStart w:id="16" w:name="_Toc28359080"/>
      <w:r/>
      <w:r/>
    </w:p>
    <w:p>
      <w:pPr>
        <w:ind w:firstLine="480"/>
        <w:rPr>
          <w:rFonts w:hint="eastAsia" w:ascii="宋体" w:hAnsi="宋体"/>
          <w:sz w:val="24"/>
          <w:szCs w:val="24"/>
        </w:rPr>
      </w:pPr>
      <w:r>
        <w:rPr>
          <w:rFonts w:hint="eastAsia" w:ascii="宋体" w:hAnsi="宋体"/>
          <w:sz w:val="24"/>
          <w:szCs w:val="24"/>
        </w:rPr>
        <w:t xml:space="preserve">受</w:t>
      </w:r>
      <w:r>
        <w:rPr>
          <w:rFonts w:ascii="宋体" w:hAnsi="宋体"/>
          <w:sz w:val="24"/>
          <w:szCs w:val="24"/>
        </w:rPr>
        <w:t xml:space="preserve">紫金山实验室</w:t>
      </w:r>
      <w:r>
        <w:rPr>
          <w:rFonts w:hint="eastAsia" w:ascii="宋体" w:hAnsi="宋体"/>
          <w:sz w:val="24"/>
          <w:szCs w:val="24"/>
        </w:rPr>
        <w:t xml:space="preserve">委托，南京市公共资源交易中心（以下简称“交易中心”）就</w:t>
      </w:r>
      <w:r>
        <w:rPr>
          <w:rFonts w:ascii="宋体" w:hAnsi="宋体"/>
          <w:sz w:val="24"/>
          <w:szCs w:val="24"/>
        </w:rPr>
        <w:t xml:space="preserve">紫金山实验室</w:t>
      </w:r>
      <w:r>
        <w:rPr>
          <w:rFonts w:ascii="宋体" w:hAnsi="宋体"/>
          <w:sz w:val="24"/>
          <w:szCs w:val="24"/>
        </w:rPr>
        <w:t xml:space="preserve">异构存算解耦</w:t>
      </w:r>
      <w:r>
        <w:rPr>
          <w:rFonts w:ascii="宋体" w:hAnsi="宋体"/>
          <w:sz w:val="24"/>
          <w:szCs w:val="24"/>
        </w:rPr>
        <w:t xml:space="preserve">CXL资源池化平台软件开发服务</w:t>
      </w:r>
      <w:r>
        <w:rPr>
          <w:rFonts w:hint="eastAsia" w:ascii="宋体" w:hAnsi="宋体"/>
          <w:sz w:val="24"/>
          <w:szCs w:val="24"/>
        </w:rPr>
        <w:t xml:space="preserve">进行竞争性谈判采购，欢迎符合条件的供应商参加谈判。</w:t>
      </w:r>
      <w:r/>
    </w:p>
    <w:p>
      <w:pPr>
        <w:pStyle w:val="91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
    </w:p>
    <w:p>
      <w:pPr>
        <w:ind w:firstLine="480"/>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JSZC-320100-JZCG-T2026-0182</w:t>
      </w:r>
      <w:r/>
    </w:p>
    <w:p>
      <w:pPr>
        <w:ind w:firstLine="480"/>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紫金山实验室</w:t>
      </w:r>
      <w:r>
        <w:rPr>
          <w:rFonts w:ascii="宋体" w:hAnsi="宋体"/>
          <w:sz w:val="24"/>
          <w:szCs w:val="24"/>
        </w:rPr>
        <w:t xml:space="preserve">异构存算解耦</w:t>
      </w:r>
      <w:r>
        <w:rPr>
          <w:rFonts w:ascii="宋体" w:hAnsi="宋体"/>
          <w:sz w:val="24"/>
          <w:szCs w:val="24"/>
        </w:rPr>
        <w:t xml:space="preserve">CXL资源池化平台软件开发服务</w:t>
      </w:r>
      <w:bookmarkEnd w:id="11"/>
      <w:r/>
      <w:r/>
    </w:p>
    <w:p>
      <w:pPr>
        <w:ind w:firstLine="480"/>
        <w:rPr>
          <w:rFonts w:hint="eastAsia" w:ascii="宋体" w:hAnsi="宋体"/>
          <w:sz w:val="24"/>
          <w:szCs w:val="24"/>
        </w:rPr>
      </w:pPr>
      <w:r>
        <w:rPr>
          <w:rFonts w:hint="eastAsia" w:ascii="宋体" w:hAnsi="宋体"/>
          <w:sz w:val="24"/>
          <w:szCs w:val="24"/>
        </w:rPr>
        <w:t xml:space="preserve">3.预算金额：</w:t>
      </w:r>
      <w:bookmarkStart w:id="17" w:name="OLE_LINK5"/>
      <w:r>
        <w:rPr>
          <w:rFonts w:hint="eastAsia" w:ascii="宋体" w:hAnsi="宋体"/>
          <w:sz w:val="24"/>
          <w:szCs w:val="24"/>
        </w:rPr>
        <w:t xml:space="preserve">55万元</w:t>
      </w:r>
      <w:bookmarkEnd w:id="17"/>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4.最高限价：50万元</w:t>
      </w:r>
      <w:r/>
    </w:p>
    <w:p>
      <w:pPr>
        <w:ind w:firstLine="480"/>
        <w:rPr>
          <w:rFonts w:hint="eastAsia"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为构建面向异构解耦</w:t>
      </w:r>
      <w:r>
        <w:rPr>
          <w:rFonts w:ascii="宋体" w:hAnsi="宋体"/>
          <w:sz w:val="24"/>
          <w:szCs w:val="24"/>
        </w:rPr>
        <w:t xml:space="preserve">存算资源的存算</w:t>
      </w:r>
      <w:r>
        <w:rPr>
          <w:rFonts w:ascii="宋体" w:hAnsi="宋体"/>
          <w:sz w:val="24"/>
          <w:szCs w:val="24"/>
        </w:rPr>
        <w:t xml:space="preserve">驱动模块，实现异构计算、内存资源的逻辑解耦与弹性组合，支撑原生开放智能</w:t>
      </w:r>
      <w:r>
        <w:rPr>
          <w:rFonts w:ascii="宋体" w:hAnsi="宋体"/>
          <w:sz w:val="24"/>
          <w:szCs w:val="24"/>
        </w:rPr>
        <w:t xml:space="preserve">的算网操作系统</w:t>
      </w:r>
      <w:r>
        <w:rPr>
          <w:rFonts w:ascii="宋体" w:hAnsi="宋体"/>
          <w:sz w:val="24"/>
          <w:szCs w:val="24"/>
        </w:rPr>
        <w:t xml:space="preserve">，采购人已先行采购了完整的硬件实验平台。本次软件开发服务须基于已有硬件环境，完成CXL交换控制、共享内存管理、Fabric管控、内存动态扩缩及异构CPU适配等核心软件模块的设计、开发、部署与联调。供应商须充分理解硬件平台架构与接口，交付一套完整、可运行</w:t>
      </w:r>
      <w:r>
        <w:rPr>
          <w:rFonts w:ascii="宋体" w:hAnsi="宋体"/>
          <w:sz w:val="24"/>
          <w:szCs w:val="24"/>
        </w:rPr>
        <w:t xml:space="preserve">的存算资源池</w:t>
      </w:r>
      <w:r>
        <w:rPr>
          <w:rFonts w:ascii="宋体" w:hAnsi="宋体"/>
          <w:sz w:val="24"/>
          <w:szCs w:val="24"/>
        </w:rPr>
        <w:t xml:space="preserve">化软件系统。</w:t>
      </w:r>
      <w:r>
        <w:rPr>
          <w:rFonts w:hint="eastAsia" w:ascii="宋体" w:hAnsi="宋体" w:cs="宋体"/>
          <w:sz w:val="24"/>
          <w:szCs w:val="24"/>
        </w:rPr>
        <w:t xml:space="preserve">（详细内容见</w:t>
      </w:r>
      <w:r>
        <w:rPr>
          <w:rFonts w:hint="eastAsia" w:ascii="宋体" w:hAnsi="宋体" w:cs="宋体"/>
          <w:sz w:val="24"/>
          <w:szCs w:val="24"/>
        </w:rPr>
        <w:t xml:space="preserve">本谈判</w:t>
      </w:r>
      <w:r>
        <w:rPr>
          <w:rFonts w:hint="eastAsia" w:ascii="宋体" w:hAnsi="宋体" w:cs="宋体"/>
          <w:sz w:val="24"/>
          <w:szCs w:val="24"/>
        </w:rPr>
        <w:t xml:space="preserve">文件第四章） </w:t>
      </w:r>
      <w:r/>
    </w:p>
    <w:p>
      <w:pPr>
        <w:ind w:firstLine="480"/>
        <w:rPr>
          <w:rFonts w:hint="eastAsia" w:ascii="宋体" w:hAnsi="宋体"/>
          <w:sz w:val="24"/>
          <w:szCs w:val="24"/>
        </w:rPr>
      </w:pPr>
      <w:r>
        <w:rPr>
          <w:rFonts w:hint="eastAsia" w:ascii="宋体" w:hAnsi="宋体"/>
          <w:sz w:val="24"/>
          <w:szCs w:val="24"/>
        </w:rPr>
        <w:t xml:space="preserve">6.合同履行期限：120天</w:t>
      </w:r>
      <w:r/>
    </w:p>
    <w:p>
      <w:pPr>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本项目不接受联合体参加谈判。</w:t>
      </w:r>
      <w:r/>
    </w:p>
    <w:p>
      <w:pPr>
        <w:ind w:firstLine="480"/>
        <w:rPr>
          <w:rFonts w:hint="eastAsia" w:ascii="宋体" w:hAnsi="宋体" w:cs="宋体"/>
          <w:sz w:val="24"/>
          <w:szCs w:val="24"/>
        </w:rPr>
      </w:pPr>
      <w:r>
        <w:rPr>
          <w:rFonts w:hint="eastAsia" w:ascii="宋体" w:hAnsi="宋体" w:cs="宋体"/>
          <w:sz w:val="24"/>
          <w:szCs w:val="24"/>
        </w:rPr>
        <w:t xml:space="preserve">8.本项目不接受进口产品。</w:t>
      </w:r>
      <w:r/>
    </w:p>
    <w:p>
      <w:pPr>
        <w:pStyle w:val="913"/>
        <w:ind w:firstLine="465"/>
        <w:spacing w:before="145" w:after="145" w:line="240" w:lineRule="auto"/>
        <w:rPr>
          <w:rFonts w:ascii="方正黑体_GBK" w:hAnsi="方正黑体_GBK" w:eastAsia="方正黑体_GBK" w:cs="方正黑体_GBK"/>
          <w:b w:val="0"/>
          <w:bCs w:val="0"/>
          <w:sz w:val="30"/>
          <w:szCs w:val="30"/>
        </w:rPr>
      </w:pPr>
      <w:r/>
      <w:bookmarkStart w:id="18" w:name="_Toc38985265"/>
      <w:r/>
      <w:bookmarkStart w:id="19" w:name="_Toc35393623"/>
      <w:r/>
      <w:bookmarkStart w:id="20" w:name="_Toc28359004"/>
      <w:r/>
      <w:bookmarkStart w:id="21" w:name="_Toc35393792"/>
      <w:r/>
      <w:bookmarkStart w:id="22" w:name="_Toc28359081"/>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t xml:space="preserve">二、申请人的资格要求</w:t>
      </w:r>
      <w:r/>
    </w:p>
    <w:p>
      <w:pPr>
        <w:ind w:firstLine="480"/>
        <w:rPr>
          <w:rFonts w:hint="eastAsia" w:ascii="宋体" w:hAnsi="宋体" w:cs="宋体"/>
          <w:sz w:val="24"/>
          <w:szCs w:val="24"/>
        </w:rPr>
      </w:pPr>
      <w:r>
        <w:rPr>
          <w:rFonts w:hint="eastAsia" w:ascii="宋体" w:hAnsi="宋体" w:cs="宋体"/>
          <w:sz w:val="24"/>
          <w:szCs w:val="24"/>
        </w:rPr>
        <w:t xml:space="preserve">（一）通用资格要求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hint="eastAsia" w:ascii="宋体" w:hAnsi="宋体"/>
          <w:sz w:val="24"/>
          <w:szCs w:val="24"/>
          <w:lang w:val="zh-CN"/>
        </w:rPr>
      </w:pPr>
      <w:r>
        <w:rPr>
          <w:rFonts w:hint="eastAsia" w:ascii="宋体" w:hAnsi="宋体"/>
          <w:sz w:val="24"/>
          <w:szCs w:val="24"/>
        </w:rPr>
        <w:t xml:space="preserve">2.落实政府采购政策需满足的资格要求：</w:t>
      </w:r>
      <w:r>
        <w:rPr>
          <w:rFonts w:hint="eastAsia" w:ascii="宋体" w:hAnsi="宋体"/>
          <w:sz w:val="24"/>
          <w:szCs w:val="24"/>
          <w:lang w:val="zh-CN"/>
        </w:rPr>
        <w:t xml:space="preserve">无</w:t>
      </w:r>
      <w:r/>
    </w:p>
    <w:p>
      <w:pPr>
        <w:ind w:firstLine="480"/>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rPr>
          <w:rFonts w:hint="eastAsia" w:ascii="宋体" w:hAnsi="宋体"/>
          <w:sz w:val="24"/>
          <w:szCs w:val="24"/>
        </w:rPr>
      </w:pPr>
      <w:r>
        <w:rPr>
          <w:rFonts w:hint="eastAsia" w:ascii="宋体" w:hAnsi="宋体" w:cs="宋体"/>
          <w:sz w:val="24"/>
          <w:szCs w:val="24"/>
        </w:rPr>
        <w:t xml:space="preserve">（二）本项目的特定资格要求：</w:t>
      </w:r>
      <w:r>
        <w:rPr>
          <w:rFonts w:hint="eastAsia" w:ascii="宋体" w:hAnsi="宋体"/>
          <w:sz w:val="24"/>
          <w:szCs w:val="24"/>
        </w:rPr>
        <w:t xml:space="preserve">无</w:t>
      </w:r>
      <w:r/>
    </w:p>
    <w:p>
      <w:pPr>
        <w:ind w:firstLine="480"/>
        <w:rPr>
          <w:rFonts w:hint="eastAsia" w:ascii="宋体" w:hAnsi="宋体" w:cs="宋体"/>
          <w:sz w:val="24"/>
          <w:szCs w:val="24"/>
        </w:rPr>
      </w:pPr>
      <w:r>
        <w:rPr>
          <w:rFonts w:hint="eastAsia" w:ascii="宋体" w:hAnsi="宋体" w:cs="宋体"/>
          <w:sz w:val="24"/>
          <w:szCs w:val="24"/>
        </w:rPr>
      </w:r>
      <w:r/>
    </w:p>
    <w:p>
      <w:pPr>
        <w:pStyle w:val="91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bookmarkEnd w:id="18"/>
      <w:r/>
      <w:bookmarkEnd w:id="19"/>
      <w:r/>
      <w:bookmarkEnd w:id="20"/>
      <w:r/>
      <w:bookmarkEnd w:id="21"/>
      <w:r/>
      <w:bookmarkEnd w:id="22"/>
      <w:r>
        <w:rPr>
          <w:rFonts w:hint="eastAsia" w:ascii="方正黑体_GBK" w:hAnsi="方正黑体_GBK" w:eastAsia="方正黑体_GBK" w:cs="方正黑体_GBK"/>
          <w:b w:val="0"/>
          <w:bCs w:val="0"/>
          <w:sz w:val="30"/>
          <w:szCs w:val="30"/>
        </w:rPr>
        <w:t xml:space="preserve">谈判文件</w:t>
      </w:r>
      <w:r/>
    </w:p>
    <w:p>
      <w:pPr>
        <w:ind w:firstLine="480"/>
        <w:rPr>
          <w:rFonts w:hint="eastAsia" w:ascii="宋体" w:hAnsi="宋体"/>
          <w:sz w:val="24"/>
          <w:szCs w:val="24"/>
        </w:rPr>
      </w:pPr>
      <w:r/>
      <w:bookmarkStart w:id="23" w:name="_Toc28359005"/>
      <w:r/>
      <w:bookmarkStart w:id="24" w:name="_Toc28359082"/>
      <w:r/>
      <w:bookmarkStart w:id="25" w:name="_Toc35393624"/>
      <w:r/>
      <w:bookmarkStart w:id="26" w:name="_Toc38985266"/>
      <w:r/>
      <w:bookmarkStart w:id="27" w:name="_Toc35393793"/>
      <w:r>
        <w:rPr>
          <w:rFonts w:hint="eastAsia" w:ascii="宋体" w:hAnsi="宋体"/>
          <w:sz w:val="24"/>
          <w:szCs w:val="24"/>
        </w:rPr>
        <w:t xml:space="preserve">1.时间：自谈判文件公告发布之日起。</w:t>
      </w:r>
      <w:r/>
    </w:p>
    <w:p>
      <w:pPr>
        <w:ind w:firstLine="480"/>
        <w:rPr>
          <w:rFonts w:hint="eastAsia" w:ascii="宋体" w:hAnsi="宋体"/>
          <w:sz w:val="24"/>
          <w:szCs w:val="24"/>
        </w:rPr>
      </w:pPr>
      <w:r>
        <w:rPr>
          <w:rFonts w:hint="eastAsia" w:ascii="宋体" w:hAnsi="宋体"/>
          <w:sz w:val="24"/>
          <w:szCs w:val="24"/>
        </w:rPr>
        <w:t xml:space="preserve">2.方式：在“江苏政府采购网”免费下载。</w:t>
      </w:r>
      <w:r/>
    </w:p>
    <w:p>
      <w:pPr>
        <w:pStyle w:val="91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w:t>
      </w:r>
      <w:bookmarkEnd w:id="23"/>
      <w:r/>
      <w:bookmarkEnd w:id="24"/>
      <w:r>
        <w:rPr>
          <w:rFonts w:hint="eastAsia" w:ascii="方正黑体_GBK" w:hAnsi="方正黑体_GBK" w:eastAsia="方正黑体_GBK" w:cs="方正黑体_GBK"/>
          <w:b w:val="0"/>
          <w:bCs w:val="0"/>
          <w:sz w:val="30"/>
          <w:szCs w:val="30"/>
        </w:rPr>
        <w:t xml:space="preserve">响应文件截止时间</w:t>
      </w:r>
      <w:bookmarkEnd w:id="25"/>
      <w:r/>
      <w:bookmarkEnd w:id="26"/>
      <w:r/>
      <w:bookmarkEnd w:id="27"/>
      <w:r/>
      <w:r/>
    </w:p>
    <w:p>
      <w:pPr>
        <w:ind w:firstLine="480"/>
        <w:rPr>
          <w:rFonts w:hint="eastAsia" w:ascii="宋体" w:hAnsi="宋体"/>
          <w:sz w:val="24"/>
          <w:szCs w:val="24"/>
        </w:rPr>
      </w:pPr>
      <w:r/>
      <w:bookmarkStart w:id="28" w:name="_Toc28359007"/>
      <w:r/>
      <w:bookmarkStart w:id="29" w:name="_Toc28359084"/>
      <w:r/>
      <w:bookmarkStart w:id="30" w:name="_Toc35393794"/>
      <w:r/>
      <w:bookmarkStart w:id="31" w:name="_Toc35393625"/>
      <w:r/>
      <w:bookmarkStart w:id="32" w:name="_Toc38985267"/>
      <w:r>
        <w:rPr>
          <w:rFonts w:hint="eastAsia" w:ascii="宋体" w:hAnsi="宋体"/>
          <w:sz w:val="24"/>
          <w:szCs w:val="24"/>
        </w:rPr>
        <w:t xml:space="preserve">2026年6月26日14时00分（北京时间）。</w:t>
      </w:r>
      <w:r/>
    </w:p>
    <w:p>
      <w:pPr>
        <w:pStyle w:val="91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8"/>
      <w:r/>
      <w:bookmarkEnd w:id="29"/>
      <w:r/>
      <w:bookmarkEnd w:id="30"/>
      <w:r/>
      <w:bookmarkEnd w:id="31"/>
      <w:r/>
      <w:bookmarkEnd w:id="32"/>
      <w:r/>
      <w:r/>
    </w:p>
    <w:p>
      <w:pPr>
        <w:ind w:firstLine="480"/>
        <w:rPr>
          <w:rFonts w:hint="eastAsia" w:ascii="宋体" w:hAnsi="宋体"/>
          <w:sz w:val="24"/>
          <w:szCs w:val="24"/>
        </w:rPr>
      </w:pPr>
      <w:r/>
      <w:bookmarkStart w:id="33" w:name="_Toc38985268"/>
      <w:r/>
      <w:bookmarkStart w:id="34" w:name="_Toc35393795"/>
      <w:r/>
      <w:bookmarkStart w:id="35" w:name="_Toc35393626"/>
      <w:r>
        <w:rPr>
          <w:rFonts w:hint="eastAsia" w:ascii="宋体" w:hAnsi="宋体"/>
          <w:sz w:val="24"/>
          <w:szCs w:val="24"/>
        </w:rPr>
        <w:t xml:space="preserve">公告期限为自本公告发布之日起3个工作日。</w:t>
      </w:r>
      <w:r/>
    </w:p>
    <w:p>
      <w:pPr>
        <w:pStyle w:val="91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六、其他补充事宜</w:t>
      </w:r>
      <w:bookmarkEnd w:id="33"/>
      <w:r/>
      <w:bookmarkEnd w:id="34"/>
      <w:r/>
      <w:bookmarkEnd w:id="35"/>
      <w:r/>
      <w:r/>
    </w:p>
    <w:p>
      <w:pPr>
        <w:ind w:firstLine="480"/>
        <w:tabs>
          <w:tab w:val="left" w:pos="900" w:leader="none"/>
        </w:tabs>
        <w:rPr>
          <w:rFonts w:hint="eastAsia" w:ascii="宋体" w:hAnsi="宋体"/>
          <w:bCs/>
          <w:sz w:val="24"/>
          <w:szCs w:val="24"/>
        </w:rPr>
      </w:pPr>
      <w:r/>
      <w:bookmarkStart w:id="36" w:name="_Toc35393627"/>
      <w:r/>
      <w:bookmarkStart w:id="37" w:name="_Toc28359085"/>
      <w:r/>
      <w:bookmarkStart w:id="38" w:name="_Toc38985269"/>
      <w:r/>
      <w:bookmarkStart w:id="39" w:name="_Toc35393796"/>
      <w:r/>
      <w:bookmarkStart w:id="40" w:name="_Toc28359008"/>
      <w:r>
        <w:rPr>
          <w:rFonts w:hint="eastAsia" w:ascii="宋体" w:hAnsi="宋体" w:cs="宋体"/>
          <w:sz w:val="24"/>
          <w:szCs w:val="24"/>
        </w:rPr>
        <w:t xml:space="preserve">1.</w:t>
      </w:r>
      <w:r>
        <w:rPr>
          <w:rFonts w:hint="eastAsia" w:ascii="宋体" w:hAnsi="宋体"/>
          <w:bCs/>
          <w:sz w:val="24"/>
          <w:szCs w:val="24"/>
        </w:rPr>
        <w:t xml:space="preserve">本次谈判不收取谈判保证金。</w:t>
      </w:r>
      <w:r/>
    </w:p>
    <w:p>
      <w:pPr>
        <w:ind w:firstLine="480"/>
        <w:tabs>
          <w:tab w:val="left" w:pos="900" w:leader="none"/>
        </w:tabs>
        <w:rPr>
          <w:rFonts w:hint="eastAsia" w:ascii="宋体" w:hAnsi="宋体"/>
          <w:sz w:val="24"/>
          <w:szCs w:val="24"/>
        </w:rPr>
      </w:pPr>
      <w:r>
        <w:rPr>
          <w:rFonts w:hint="eastAsia" w:ascii="宋体" w:hAnsi="宋体"/>
          <w:sz w:val="24"/>
          <w:szCs w:val="24"/>
        </w:rPr>
        <w:t xml:space="preserve">2.本项目不组织勘察及答疑，供应商如对采购需求有疑问，请咨询采购单位联系人。 </w:t>
      </w:r>
      <w:r/>
    </w:p>
    <w:p>
      <w:pPr>
        <w:ind w:firstLine="480"/>
      </w:pPr>
      <w:r>
        <w:rPr>
          <w:rFonts w:hint="eastAsia" w:ascii="宋体" w:hAnsi="宋体" w:cs="宋体"/>
          <w:sz w:val="24"/>
          <w:szCs w:val="24"/>
        </w:rPr>
        <w:t xml:space="preserve">3.供应商通过苏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系统参与政府采购项目（苏</w:t>
      </w:r>
      <w:r>
        <w:rPr>
          <w:rFonts w:hint="eastAsia" w:ascii="宋体" w:hAnsi="宋体" w:cs="宋体"/>
          <w:sz w:val="24"/>
          <w:szCs w:val="24"/>
        </w:rPr>
        <w:t xml:space="preserve">采云</w:t>
      </w:r>
      <w:r>
        <w:rPr>
          <w:rFonts w:hint="eastAsia" w:ascii="宋体" w:hAnsi="宋体" w:cs="宋体"/>
          <w:sz w:val="24"/>
          <w:szCs w:val="24"/>
        </w:rPr>
        <w:t xml:space="preserve">系统登录页详见“江苏政府采购网”首页底部），需要办理江苏省政府采购数字证书及电子签章（详见苏</w:t>
      </w:r>
      <w:r>
        <w:rPr>
          <w:rFonts w:hint="eastAsia" w:ascii="宋体" w:hAnsi="宋体" w:cs="宋体"/>
          <w:sz w:val="24"/>
          <w:szCs w:val="24"/>
        </w:rPr>
        <w:t xml:space="preserve">采云</w:t>
      </w:r>
      <w:r>
        <w:rPr>
          <w:rFonts w:hint="eastAsia" w:ascii="宋体" w:hAnsi="宋体" w:cs="宋体"/>
          <w:sz w:val="24"/>
          <w:szCs w:val="24"/>
        </w:rPr>
        <w:t xml:space="preserve">系统登录页“CA办理指南”），进行苏</w:t>
      </w:r>
      <w:r>
        <w:rPr>
          <w:rFonts w:hint="eastAsia" w:ascii="宋体" w:hAnsi="宋体" w:cs="宋体"/>
          <w:sz w:val="24"/>
          <w:szCs w:val="24"/>
        </w:rPr>
        <w:t xml:space="preserve">采云</w:t>
      </w:r>
      <w:r>
        <w:rPr>
          <w:rFonts w:hint="eastAsia" w:ascii="宋体" w:hAnsi="宋体" w:cs="宋体"/>
          <w:sz w:val="24"/>
          <w:szCs w:val="24"/>
        </w:rPr>
        <w:t xml:space="preserve">系统注册并制作上传电子响应文件（苏</w:t>
      </w:r>
      <w:r>
        <w:rPr>
          <w:rFonts w:hint="eastAsia" w:ascii="宋体" w:hAnsi="宋体" w:cs="宋体"/>
          <w:sz w:val="24"/>
          <w:szCs w:val="24"/>
        </w:rPr>
        <w:t xml:space="preserve">采云</w:t>
      </w:r>
      <w:r>
        <w:rPr>
          <w:rFonts w:hint="eastAsia" w:ascii="宋体" w:hAnsi="宋体" w:cs="宋体"/>
          <w:sz w:val="24"/>
          <w:szCs w:val="24"/>
        </w:rPr>
        <w:t xml:space="preserve">系统供应商操作指南详见“江苏政府采购网-办事指南-资料下载”）。</w:t>
      </w:r>
      <w:r/>
    </w:p>
    <w:p>
      <w:pPr>
        <w:ind w:firstLine="480"/>
        <w:rPr>
          <w:rFonts w:hint="eastAsia" w:ascii="宋体" w:hAnsi="宋体" w:cs="宋体"/>
          <w:sz w:val="24"/>
          <w:szCs w:val="24"/>
        </w:rPr>
      </w:pPr>
      <w:r>
        <w:rPr>
          <w:rFonts w:hint="eastAsia" w:ascii="宋体" w:hAnsi="宋体" w:cs="宋体"/>
          <w:sz w:val="24"/>
          <w:szCs w:val="24"/>
        </w:rPr>
        <w:t xml:space="preserve">4.有关本次谈判的事项若存在变动或修改，请及时关注“江苏政府采购网”（www.ccgp-jiangsu.gov.cn）更正公告。</w:t>
      </w:r>
      <w:r/>
    </w:p>
    <w:p>
      <w:pPr>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w:t>
      </w:r>
      <w:r>
        <w:rPr>
          <w:rFonts w:hint="eastAsia" w:ascii="宋体" w:hAnsi="宋体"/>
          <w:b/>
          <w:bCs/>
          <w:sz w:val="24"/>
        </w:rPr>
        <w:t xml:space="preserve">成交</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spacing w:line="252" w:lineRule="auto"/>
        <w:rPr>
          <w:rFonts w:hint="eastAsia" w:ascii="宋体" w:hAnsi="宋体"/>
          <w:sz w:val="24"/>
        </w:rPr>
      </w:pPr>
      <w:r>
        <w:rPr>
          <w:rFonts w:hint="eastAsia" w:ascii="宋体" w:hAnsi="宋体"/>
          <w:sz w:val="24"/>
        </w:rPr>
        <w:t xml:space="preserve">采购人《质疑函》收件人：</w:t>
      </w:r>
      <w:r>
        <w:rPr>
          <w:rFonts w:ascii="宋体" w:hAnsi="宋体"/>
          <w:sz w:val="24"/>
          <w:szCs w:val="24"/>
        </w:rPr>
        <w:t xml:space="preserve">宋工</w:t>
      </w:r>
      <w:r>
        <w:rPr>
          <w:rFonts w:hint="eastAsia" w:ascii="宋体" w:hAnsi="宋体"/>
          <w:sz w:val="24"/>
        </w:rPr>
        <w:t xml:space="preserve">，收件地址：</w:t>
      </w:r>
      <w:r>
        <w:rPr>
          <w:rFonts w:ascii="宋体" w:hAnsi="宋体"/>
          <w:sz w:val="24"/>
          <w:szCs w:val="24"/>
        </w:rPr>
        <w:t xml:space="preserve">南京市江宁区</w:t>
      </w:r>
      <w:r>
        <w:rPr>
          <w:rFonts w:ascii="宋体" w:hAnsi="宋体"/>
          <w:sz w:val="24"/>
          <w:szCs w:val="24"/>
        </w:rPr>
        <w:t xml:space="preserve">秣</w:t>
      </w:r>
      <w:r>
        <w:rPr>
          <w:rFonts w:ascii="宋体" w:hAnsi="宋体"/>
          <w:sz w:val="24"/>
          <w:szCs w:val="24"/>
        </w:rPr>
        <w:t xml:space="preserve">周东路9号</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szCs w:val="24"/>
        </w:rPr>
        <w:t xml:space="preserve">025-57917091</w:t>
      </w:r>
      <w:r>
        <w:rPr>
          <w:rFonts w:hint="eastAsia" w:ascii="宋体" w:hAnsi="宋体"/>
          <w:sz w:val="24"/>
        </w:rPr>
        <w:t xml:space="preserve">。</w:t>
      </w:r>
      <w:r/>
    </w:p>
    <w:p>
      <w:pPr>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地址：南京市建</w:t>
      </w:r>
      <w:r>
        <w:rPr>
          <w:rFonts w:hint="eastAsia" w:ascii="宋体" w:hAnsi="宋体"/>
          <w:sz w:val="24"/>
          <w:lang w:val="zh-CN"/>
        </w:rPr>
        <w:t xml:space="preserve">邺</w:t>
      </w:r>
      <w:r>
        <w:rPr>
          <w:rFonts w:hint="eastAsia" w:ascii="宋体" w:hAnsi="宋体"/>
          <w:sz w:val="24"/>
          <w:lang w:val="zh-CN"/>
        </w:rPr>
        <w:t xml:space="preserve">区江东中路265号南京市公共资源交易中心北门，联系电话：025-68505926。</w:t>
      </w:r>
      <w:r/>
    </w:p>
    <w:p>
      <w:pPr>
        <w:pStyle w:val="91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七、本次谈判联系方式</w:t>
      </w:r>
      <w:bookmarkEnd w:id="36"/>
      <w:r/>
      <w:bookmarkEnd w:id="37"/>
      <w:r/>
      <w:bookmarkEnd w:id="38"/>
      <w:r/>
      <w:bookmarkEnd w:id="39"/>
      <w:r/>
      <w:bookmarkEnd w:id="40"/>
      <w:r/>
      <w:r/>
    </w:p>
    <w:p>
      <w:pPr>
        <w:ind w:firstLine="480"/>
        <w:rPr>
          <w:rFonts w:hint="eastAsia" w:ascii="宋体" w:hAnsi="宋体"/>
          <w:sz w:val="24"/>
          <w:szCs w:val="24"/>
        </w:rPr>
      </w:pPr>
      <w:r>
        <w:rPr>
          <w:rFonts w:hint="eastAsia" w:ascii="宋体" w:hAnsi="宋体"/>
          <w:sz w:val="24"/>
          <w:szCs w:val="24"/>
        </w:rPr>
        <w:t xml:space="preserve">1.采购人</w:t>
      </w:r>
      <w:r/>
    </w:p>
    <w:p>
      <w:pPr>
        <w:ind w:firstLine="480"/>
        <w:rPr>
          <w:rFonts w:hint="eastAsia" w:ascii="宋体" w:hAnsi="宋体"/>
          <w:sz w:val="24"/>
          <w:szCs w:val="24"/>
        </w:rPr>
      </w:pPr>
      <w:r/>
      <w:bookmarkStart w:id="41" w:name="_Toc28359009"/>
      <w:r/>
      <w:bookmarkStart w:id="42" w:name="_Toc28359086"/>
      <w:r>
        <w:rPr>
          <w:rFonts w:ascii="宋体" w:hAnsi="宋体"/>
          <w:sz w:val="24"/>
          <w:szCs w:val="24"/>
        </w:rPr>
        <w:t xml:space="preserve">名  称：紫金山实验室         </w:t>
      </w:r>
      <w:r/>
    </w:p>
    <w:p>
      <w:pPr>
        <w:ind w:firstLine="480"/>
        <w:rPr>
          <w:rFonts w:hint="eastAsia" w:ascii="宋体" w:hAnsi="宋体"/>
          <w:sz w:val="24"/>
          <w:szCs w:val="24"/>
        </w:rPr>
      </w:pPr>
      <w:r>
        <w:rPr>
          <w:rFonts w:ascii="宋体" w:hAnsi="宋体"/>
          <w:sz w:val="24"/>
          <w:szCs w:val="24"/>
        </w:rPr>
        <w:t xml:space="preserve">地  址：南京市江宁区</w:t>
      </w:r>
      <w:r>
        <w:rPr>
          <w:rFonts w:ascii="宋体" w:hAnsi="宋体"/>
          <w:sz w:val="24"/>
          <w:szCs w:val="24"/>
        </w:rPr>
        <w:t xml:space="preserve">秣</w:t>
      </w:r>
      <w:r>
        <w:rPr>
          <w:rFonts w:ascii="宋体" w:hAnsi="宋体"/>
          <w:sz w:val="24"/>
          <w:szCs w:val="24"/>
        </w:rPr>
        <w:t xml:space="preserve">周东路9号      </w:t>
      </w:r>
      <w:r/>
    </w:p>
    <w:p>
      <w:pPr>
        <w:ind w:firstLine="480"/>
        <w:rPr>
          <w:rFonts w:hint="eastAsia" w:ascii="宋体" w:hAnsi="宋体"/>
          <w:sz w:val="24"/>
          <w:szCs w:val="24"/>
        </w:rPr>
      </w:pPr>
      <w:r>
        <w:rPr>
          <w:rFonts w:ascii="宋体" w:hAnsi="宋体"/>
          <w:sz w:val="24"/>
          <w:szCs w:val="24"/>
        </w:rPr>
        <w:t xml:space="preserve">联系人：宋工    </w:t>
      </w:r>
      <w:r/>
    </w:p>
    <w:p>
      <w:pPr>
        <w:ind w:firstLine="480"/>
        <w:rPr>
          <w:rFonts w:hint="eastAsia" w:ascii="宋体" w:hAnsi="宋体"/>
          <w:sz w:val="24"/>
          <w:szCs w:val="24"/>
        </w:rPr>
      </w:pPr>
      <w:r>
        <w:rPr>
          <w:rFonts w:ascii="宋体" w:hAnsi="宋体"/>
          <w:sz w:val="24"/>
          <w:szCs w:val="24"/>
        </w:rPr>
        <w:t xml:space="preserve">联系电话：025-57917091 </w:t>
      </w:r>
      <w:r/>
    </w:p>
    <w:p>
      <w:pPr>
        <w:ind w:firstLine="480"/>
        <w:rPr>
          <w:rFonts w:hint="eastAsia" w:ascii="宋体" w:hAnsi="宋体"/>
          <w:sz w:val="24"/>
          <w:szCs w:val="24"/>
        </w:rPr>
      </w:pPr>
      <w:r>
        <w:rPr>
          <w:rFonts w:hint="eastAsia" w:ascii="宋体" w:hAnsi="宋体"/>
          <w:sz w:val="24"/>
          <w:szCs w:val="24"/>
        </w:rPr>
        <w:t xml:space="preserve">2.交易中心</w:t>
      </w:r>
      <w:bookmarkEnd w:id="41"/>
      <w:r/>
      <w:bookmarkEnd w:id="42"/>
      <w:r/>
      <w:r/>
    </w:p>
    <w:p>
      <w:pPr>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w:t>
      </w:r>
      <w:r>
        <w:rPr>
          <w:rFonts w:hint="eastAsia" w:ascii="宋体" w:hAnsi="宋体"/>
          <w:sz w:val="24"/>
          <w:szCs w:val="24"/>
        </w:rPr>
        <w:t xml:space="preserve">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联系人：李先生 </w:t>
      </w:r>
      <w:r/>
    </w:p>
    <w:p>
      <w:pPr>
        <w:ind w:firstLine="480"/>
        <w:spacing w:line="252" w:lineRule="auto"/>
      </w:pPr>
      <w:r>
        <w:rPr>
          <w:rFonts w:hint="eastAsia" w:ascii="宋体" w:hAnsi="宋体"/>
          <w:sz w:val="24"/>
          <w:szCs w:val="24"/>
        </w:rPr>
        <w:t xml:space="preserve">联系电话：025-68505735 </w:t>
      </w:r>
      <w:r/>
    </w:p>
    <w:p>
      <w:pPr>
        <w:ind w:right="840"/>
        <w:jc w:val="center"/>
        <w:rPr>
          <w:rFonts w:hint="eastAsia" w:ascii="方正小标宋简体" w:hAnsi="方正小标宋简体" w:eastAsia="方正小标宋简体" w:cs="方正小标宋简体"/>
          <w:sz w:val="36"/>
          <w:szCs w:val="36"/>
        </w:rPr>
        <w:outlineLvl w:val="0"/>
      </w:pPr>
      <w:r/>
      <w:bookmarkStart w:id="43" w:name="_Toc120614211"/>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第二章  </w:t>
      </w:r>
      <w:bookmarkEnd w:id="1"/>
      <w:r/>
      <w:bookmarkEnd w:id="2"/>
      <w:r/>
      <w:bookmarkEnd w:id="3"/>
      <w:r/>
      <w:bookmarkEnd w:id="4"/>
      <w:r/>
      <w:bookmarkEnd w:id="5"/>
      <w:r/>
      <w:bookmarkEnd w:id="43"/>
      <w:r>
        <w:rPr>
          <w:rFonts w:hint="eastAsia" w:ascii="方正小标宋简体" w:hAnsi="方正小标宋简体" w:eastAsia="方正小标宋简体" w:cs="方正小标宋简体"/>
          <w:sz w:val="36"/>
          <w:szCs w:val="36"/>
        </w:rPr>
        <w:t xml:space="preserve">供应商须知</w:t>
      </w:r>
      <w:r/>
    </w:p>
    <w:p>
      <w:pPr>
        <w:pStyle w:val="913"/>
        <w:ind w:firstLine="465"/>
        <w:spacing w:before="145" w:after="145" w:line="240" w:lineRule="auto"/>
        <w:rPr>
          <w:rFonts w:ascii="方正黑体_GBK" w:hAnsi="方正黑体_GBK" w:eastAsia="方正黑体_GBK" w:cs="方正黑体_GBK"/>
          <w:b w:val="0"/>
          <w:bCs w:val="0"/>
          <w:sz w:val="30"/>
          <w:szCs w:val="30"/>
        </w:rPr>
      </w:pPr>
      <w:r/>
      <w:bookmarkStart w:id="44" w:name="_Toc120614214"/>
      <w:r/>
      <w:bookmarkStart w:id="45" w:name="_Toc16938519"/>
      <w:r/>
      <w:bookmarkStart w:id="46" w:name="_Toc20823275"/>
      <w:r/>
      <w:bookmarkStart w:id="47" w:name="_Toc513029203"/>
      <w:r>
        <w:rPr>
          <w:rFonts w:hint="eastAsia" w:ascii="方正黑体_GBK" w:hAnsi="方正黑体_GBK" w:eastAsia="方正黑体_GBK" w:cs="方正黑体_GBK"/>
          <w:b w:val="0"/>
          <w:bCs w:val="0"/>
          <w:sz w:val="30"/>
          <w:szCs w:val="30"/>
        </w:rPr>
        <w:t xml:space="preserve">一、总则</w:t>
      </w:r>
      <w:bookmarkEnd w:id="44"/>
      <w:r/>
      <w:bookmarkEnd w:id="45"/>
      <w:r/>
      <w:bookmarkEnd w:id="46"/>
      <w:r/>
      <w:bookmarkEnd w:id="47"/>
      <w:r/>
      <w:r/>
    </w:p>
    <w:p>
      <w:pPr>
        <w:pStyle w:val="915"/>
        <w:ind w:firstLine="422"/>
        <w:spacing w:before="0" w:after="0" w:line="240" w:lineRule="auto"/>
        <w:rPr>
          <w:rFonts w:hint="eastAsia" w:ascii="方正楷体_GBK" w:hAnsi="方正楷体_GBK" w:eastAsia="方正楷体_GBK" w:cs="方正楷体_GBK"/>
        </w:rPr>
      </w:pPr>
      <w:r/>
      <w:bookmarkStart w:id="48" w:name="_Hlt16619475"/>
      <w:r/>
      <w:bookmarkStart w:id="49" w:name="_Toc458694821"/>
      <w:r/>
      <w:bookmarkStart w:id="50" w:name="_Toc16938520"/>
      <w:r/>
      <w:bookmarkStart w:id="51" w:name="_Toc513029204"/>
      <w:r/>
      <w:bookmarkStart w:id="52" w:name="_Toc20823276"/>
      <w:r/>
      <w:bookmarkEnd w:id="48"/>
      <w:r>
        <w:rPr>
          <w:rFonts w:hint="eastAsia" w:ascii="方正楷体_GBK" w:hAnsi="方正楷体_GBK" w:eastAsia="方正楷体_GBK" w:cs="方正楷体_GBK"/>
        </w:rPr>
        <w:t xml:space="preserve">1</w:t>
      </w:r>
      <w:bookmarkEnd w:id="49"/>
      <w:r>
        <w:rPr>
          <w:rFonts w:hint="eastAsia" w:ascii="方正楷体_GBK" w:hAnsi="方正楷体_GBK" w:eastAsia="方正楷体_GBK" w:cs="方正楷体_GBK"/>
        </w:rPr>
        <w:t xml:space="preserve">.采购方式</w:t>
      </w:r>
      <w:bookmarkEnd w:id="50"/>
      <w:r/>
      <w:bookmarkEnd w:id="51"/>
      <w:r/>
      <w:bookmarkEnd w:id="52"/>
      <w:r/>
      <w:r/>
    </w:p>
    <w:p>
      <w:pPr>
        <w:ind w:firstLine="420"/>
        <w:rPr>
          <w:rFonts w:hint="eastAsia" w:ascii="宋体" w:hAnsi="宋体"/>
          <w:sz w:val="24"/>
        </w:rPr>
      </w:pPr>
      <w:r>
        <w:rPr>
          <w:rFonts w:hint="eastAsia" w:ascii="宋体" w:hAnsi="宋体"/>
          <w:sz w:val="24"/>
        </w:rPr>
        <w:t xml:space="preserve">1.1 本次政府采购活动采取竞争性谈判</w:t>
      </w:r>
      <w:r>
        <w:rPr>
          <w:rFonts w:hint="eastAsia" w:ascii="宋体" w:hAnsi="宋体"/>
          <w:sz w:val="24"/>
          <w:szCs w:val="21"/>
        </w:rPr>
        <w:t xml:space="preserve">(以下简称“谈判”)</w:t>
      </w:r>
      <w:r>
        <w:rPr>
          <w:rFonts w:hint="eastAsia" w:ascii="宋体" w:hAnsi="宋体"/>
          <w:sz w:val="24"/>
        </w:rPr>
        <w:t xml:space="preserve">方式，本文件仅适用于采购公告中所述项目。</w:t>
      </w:r>
      <w:r/>
    </w:p>
    <w:p>
      <w:pPr>
        <w:pStyle w:val="915"/>
        <w:ind w:firstLine="422"/>
        <w:spacing w:before="0" w:after="0" w:line="240" w:lineRule="auto"/>
        <w:rPr>
          <w:rFonts w:hint="eastAsia" w:ascii="方正楷体_GBK" w:hAnsi="方正楷体_GBK" w:eastAsia="方正楷体_GBK" w:cs="方正楷体_GBK"/>
        </w:rPr>
      </w:pPr>
      <w:r/>
      <w:bookmarkStart w:id="53" w:name="_Toc16938521"/>
      <w:r/>
      <w:bookmarkStart w:id="54" w:name="_Toc20823277"/>
      <w:r/>
      <w:bookmarkStart w:id="55" w:name="_Toc513029205"/>
      <w:r>
        <w:rPr>
          <w:rFonts w:hint="eastAsia" w:ascii="方正楷体_GBK" w:hAnsi="方正楷体_GBK" w:eastAsia="方正楷体_GBK" w:cs="方正楷体_GBK"/>
        </w:rPr>
        <w:t xml:space="preserve">2.合格的</w:t>
      </w:r>
      <w:bookmarkEnd w:id="53"/>
      <w:r/>
      <w:bookmarkEnd w:id="54"/>
      <w:r/>
      <w:bookmarkEnd w:id="55"/>
      <w:r>
        <w:rPr>
          <w:rFonts w:hint="eastAsia" w:ascii="方正楷体_GBK" w:hAnsi="方正楷体_GBK" w:eastAsia="方正楷体_GBK" w:cs="方正楷体_GBK"/>
        </w:rPr>
        <w:t xml:space="preserve">供应商</w:t>
      </w:r>
      <w:r/>
    </w:p>
    <w:p>
      <w:pPr>
        <w:ind w:firstLine="420"/>
        <w:rPr>
          <w:rFonts w:hint="eastAsia" w:ascii="宋体" w:hAnsi="宋体"/>
          <w:sz w:val="24"/>
        </w:rPr>
      </w:pPr>
      <w:r>
        <w:rPr>
          <w:rFonts w:hint="eastAsia" w:ascii="宋体" w:hAnsi="宋体"/>
          <w:sz w:val="24"/>
        </w:rPr>
        <w:t xml:space="preserve">2.1 满足采购公告对供应商资格要求的规定。</w:t>
      </w:r>
      <w:r/>
    </w:p>
    <w:p>
      <w:pPr>
        <w:ind w:firstLine="420"/>
        <w:rPr>
          <w:rFonts w:hint="eastAsia" w:ascii="宋体" w:hAnsi="宋体"/>
          <w:sz w:val="24"/>
        </w:rPr>
      </w:pPr>
      <w:r>
        <w:rPr>
          <w:rFonts w:hint="eastAsia" w:ascii="宋体" w:hAnsi="宋体"/>
          <w:sz w:val="24"/>
        </w:rPr>
        <w:t xml:space="preserve">2.2 满足谈判文件规定的实质性要求和条件。</w:t>
      </w:r>
      <w:r/>
    </w:p>
    <w:p>
      <w:pPr>
        <w:pStyle w:val="915"/>
        <w:ind w:firstLine="422"/>
        <w:spacing w:before="0" w:after="0" w:line="240" w:lineRule="auto"/>
        <w:rPr>
          <w:rFonts w:hint="eastAsia" w:ascii="方正楷体_GBK" w:hAnsi="方正楷体_GBK" w:eastAsia="方正楷体_GBK" w:cs="方正楷体_GBK"/>
        </w:rPr>
      </w:pPr>
      <w:r/>
      <w:bookmarkStart w:id="56" w:name="_Toc513029206"/>
      <w:r/>
      <w:bookmarkStart w:id="57" w:name="_Toc20823278"/>
      <w:r/>
      <w:bookmarkStart w:id="58" w:name="_Toc16938522"/>
      <w:r>
        <w:rPr>
          <w:rFonts w:hint="eastAsia" w:ascii="方正楷体_GBK" w:hAnsi="方正楷体_GBK" w:eastAsia="方正楷体_GBK" w:cs="方正楷体_GBK"/>
        </w:rPr>
        <w:t xml:space="preserve">3.适用法律</w:t>
      </w:r>
      <w:bookmarkEnd w:id="56"/>
      <w:r/>
      <w:bookmarkEnd w:id="57"/>
      <w:r/>
      <w:bookmarkEnd w:id="58"/>
      <w:r/>
      <w:r/>
    </w:p>
    <w:p>
      <w:pPr>
        <w:ind w:firstLine="420"/>
        <w:rPr>
          <w:rFonts w:hint="eastAsia" w:ascii="宋体" w:hAnsi="宋体"/>
          <w:sz w:val="24"/>
        </w:rPr>
      </w:pPr>
      <w:r>
        <w:rPr>
          <w:rFonts w:hint="eastAsia" w:ascii="宋体" w:hAnsi="宋体"/>
          <w:sz w:val="24"/>
        </w:rPr>
        <w:t xml:space="preserve">3.1 本次采购及由此产生的合同受中华人民共和国有关的法律法规制约和保护。</w:t>
      </w:r>
      <w:r/>
    </w:p>
    <w:p>
      <w:pPr>
        <w:pStyle w:val="915"/>
        <w:ind w:firstLine="422"/>
        <w:spacing w:before="0" w:after="0" w:line="240" w:lineRule="auto"/>
        <w:rPr>
          <w:rFonts w:hint="eastAsia" w:ascii="方正楷体_GBK" w:hAnsi="方正楷体_GBK" w:eastAsia="方正楷体_GBK" w:cs="方正楷体_GBK"/>
        </w:rPr>
      </w:pPr>
      <w:r/>
      <w:bookmarkStart w:id="59" w:name="_Toc16938523"/>
      <w:r/>
      <w:bookmarkStart w:id="60" w:name="_Toc462564067"/>
      <w:r/>
      <w:bookmarkStart w:id="61" w:name="_Toc20823279"/>
      <w:r/>
      <w:bookmarkStart w:id="62" w:name="_Toc513029207"/>
      <w:r>
        <w:rPr>
          <w:rFonts w:hint="eastAsia" w:ascii="方正楷体_GBK" w:hAnsi="方正楷体_GBK" w:eastAsia="方正楷体_GBK" w:cs="方正楷体_GBK"/>
        </w:rPr>
        <w:t xml:space="preserve">4.谈判费用</w:t>
      </w:r>
      <w:bookmarkEnd w:id="59"/>
      <w:r/>
      <w:bookmarkEnd w:id="60"/>
      <w:r/>
      <w:bookmarkEnd w:id="61"/>
      <w:r/>
      <w:bookmarkEnd w:id="62"/>
      <w:r/>
      <w:r/>
    </w:p>
    <w:p>
      <w:pPr>
        <w:ind w:firstLine="420"/>
        <w:rPr>
          <w:rFonts w:hint="eastAsia" w:ascii="宋体" w:hAnsi="宋体"/>
          <w:sz w:val="24"/>
        </w:rPr>
      </w:pPr>
      <w:r>
        <w:rPr>
          <w:rFonts w:hint="eastAsia" w:ascii="宋体" w:hAnsi="宋体"/>
          <w:sz w:val="24"/>
        </w:rPr>
        <w:t xml:space="preserve">4.1 供应商应自行承担所有与参加本次采购有关的费用，无论采购过程中的做法和结果如何，交易中心在任何情况下均无义务和责任承担这些费用。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本次采购交易中心和采购人不收取谈判文件工本费与成交服务费。</w:t>
      </w:r>
      <w:r/>
    </w:p>
    <w:p>
      <w:pPr>
        <w:pStyle w:val="91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5.谈判文件的约束力</w:t>
      </w:r>
      <w:r/>
    </w:p>
    <w:p>
      <w:pPr>
        <w:ind w:firstLine="420"/>
        <w:rPr>
          <w:rFonts w:hint="eastAsia" w:ascii="宋体" w:hAnsi="宋体"/>
          <w:sz w:val="24"/>
        </w:rPr>
      </w:pPr>
      <w:r>
        <w:rPr>
          <w:rFonts w:hint="eastAsia" w:ascii="宋体" w:hAnsi="宋体"/>
          <w:sz w:val="24"/>
        </w:rPr>
        <w:t xml:space="preserve">5.1 供应商一旦参加本项目采购活动，即被认为接受了本文件的规定和约束。</w:t>
      </w:r>
      <w:r/>
    </w:p>
    <w:p>
      <w:pPr>
        <w:pStyle w:val="913"/>
        <w:ind w:firstLine="465"/>
        <w:spacing w:before="145" w:after="145" w:line="240" w:lineRule="auto"/>
        <w:rPr>
          <w:rFonts w:ascii="方正黑体_GBK" w:hAnsi="方正黑体_GBK" w:eastAsia="方正黑体_GBK" w:cs="方正黑体_GBK"/>
          <w:b w:val="0"/>
          <w:bCs w:val="0"/>
          <w:sz w:val="30"/>
          <w:szCs w:val="30"/>
        </w:rPr>
      </w:pPr>
      <w:r/>
      <w:bookmarkStart w:id="63" w:name="_Toc513029209"/>
      <w:r/>
      <w:bookmarkStart w:id="64" w:name="_Toc16938525"/>
      <w:r/>
      <w:bookmarkStart w:id="65" w:name="_Toc20823281"/>
      <w:r/>
      <w:bookmarkStart w:id="66" w:name="_Toc120614215"/>
      <w:r>
        <w:rPr>
          <w:rFonts w:hint="eastAsia" w:ascii="方正黑体_GBK" w:hAnsi="方正黑体_GBK" w:eastAsia="方正黑体_GBK" w:cs="方正黑体_GBK"/>
          <w:b w:val="0"/>
          <w:bCs w:val="0"/>
          <w:sz w:val="30"/>
          <w:szCs w:val="30"/>
        </w:rPr>
        <w:t xml:space="preserve">二、</w:t>
      </w:r>
      <w:bookmarkEnd w:id="63"/>
      <w:r/>
      <w:bookmarkEnd w:id="64"/>
      <w:r/>
      <w:bookmarkEnd w:id="65"/>
      <w:r/>
      <w:bookmarkEnd w:id="66"/>
      <w:r>
        <w:rPr>
          <w:rFonts w:hint="eastAsia" w:ascii="方正黑体_GBK" w:hAnsi="方正黑体_GBK" w:eastAsia="方正黑体_GBK" w:cs="方正黑体_GBK"/>
          <w:b w:val="0"/>
          <w:bCs w:val="0"/>
          <w:sz w:val="30"/>
          <w:szCs w:val="30"/>
        </w:rPr>
        <w:t xml:space="preserve">谈判文件</w:t>
      </w:r>
      <w:r/>
    </w:p>
    <w:p>
      <w:pPr>
        <w:pStyle w:val="915"/>
        <w:ind w:firstLine="422"/>
        <w:spacing w:before="0" w:after="0" w:line="240" w:lineRule="auto"/>
        <w:rPr>
          <w:rFonts w:hint="eastAsia" w:ascii="方正楷体_GBK" w:hAnsi="方正楷体_GBK" w:eastAsia="方正楷体_GBK" w:cs="方正楷体_GBK"/>
        </w:rPr>
      </w:pPr>
      <w:r/>
      <w:bookmarkStart w:id="67" w:name="_Toc513029210"/>
      <w:r/>
      <w:bookmarkStart w:id="68" w:name="_Toc16938526"/>
      <w:r/>
      <w:bookmarkStart w:id="69" w:name="_Toc20823282"/>
      <w:r>
        <w:rPr>
          <w:rFonts w:hint="eastAsia" w:ascii="方正楷体_GBK" w:hAnsi="方正楷体_GBK" w:eastAsia="方正楷体_GBK" w:cs="方正楷体_GBK"/>
        </w:rPr>
        <w:t xml:space="preserve">6.谈判文件构成</w:t>
      </w:r>
      <w:bookmarkEnd w:id="67"/>
      <w:r/>
      <w:bookmarkEnd w:id="68"/>
      <w:r/>
      <w:bookmarkEnd w:id="69"/>
      <w:r/>
      <w:r/>
    </w:p>
    <w:p>
      <w:pPr>
        <w:ind w:firstLine="420"/>
        <w:rPr>
          <w:rFonts w:hint="eastAsia" w:ascii="宋体" w:hAnsi="宋体"/>
          <w:sz w:val="24"/>
        </w:rPr>
      </w:pPr>
      <w:r>
        <w:rPr>
          <w:rFonts w:hint="eastAsia" w:ascii="宋体" w:hAnsi="宋体"/>
          <w:sz w:val="24"/>
        </w:rPr>
        <w:t xml:space="preserve">6.1 谈判文件由以下部分组成：</w:t>
      </w:r>
      <w:r/>
    </w:p>
    <w:p>
      <w:pPr>
        <w:ind w:firstLine="420"/>
        <w:rPr>
          <w:rFonts w:hint="eastAsia" w:ascii="宋体" w:hAnsi="宋体"/>
          <w:sz w:val="24"/>
        </w:rPr>
      </w:pPr>
      <w:r>
        <w:rPr>
          <w:rFonts w:hint="eastAsia" w:ascii="宋体" w:hAnsi="宋体"/>
          <w:sz w:val="24"/>
        </w:rPr>
        <w:t xml:space="preserve">（1）谈判邀请</w:t>
      </w:r>
      <w:r/>
    </w:p>
    <w:p>
      <w:pPr>
        <w:ind w:firstLine="420"/>
        <w:rPr>
          <w:rFonts w:hint="eastAsia" w:ascii="宋体" w:hAnsi="宋体"/>
          <w:sz w:val="24"/>
        </w:rPr>
      </w:pPr>
      <w:r>
        <w:rPr>
          <w:rFonts w:hint="eastAsia" w:ascii="宋体" w:hAnsi="宋体"/>
          <w:sz w:val="24"/>
        </w:rPr>
        <w:t xml:space="preserve">（2）供应商须知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（5）成交标准</w:t>
      </w:r>
      <w:r/>
    </w:p>
    <w:p>
      <w:pPr>
        <w:ind w:firstLine="420"/>
        <w:rPr>
          <w:rFonts w:hint="eastAsia" w:ascii="宋体" w:hAnsi="宋体"/>
          <w:sz w:val="24"/>
        </w:rPr>
      </w:pPr>
      <w:r>
        <w:rPr>
          <w:rFonts w:hint="eastAsia" w:ascii="宋体" w:hAnsi="宋体"/>
          <w:sz w:val="24"/>
        </w:rPr>
        <w:t xml:space="preserve">（6）响应文件格式</w:t>
      </w:r>
      <w:r/>
    </w:p>
    <w:p>
      <w:pPr>
        <w:ind w:firstLine="420"/>
        <w:rPr>
          <w:rFonts w:hint="eastAsia" w:ascii="宋体" w:hAnsi="宋体"/>
          <w:sz w:val="24"/>
        </w:rPr>
      </w:pPr>
      <w:r>
        <w:rPr>
          <w:rFonts w:hint="eastAsia" w:ascii="宋体" w:hAnsi="宋体"/>
          <w:sz w:val="24"/>
        </w:rPr>
        <w:t xml:space="preserve">供应商应仔细检查谈判文件是否齐全，如有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20"/>
        <w:rPr>
          <w:rFonts w:hint="eastAsia" w:ascii="宋体" w:hAnsi="宋体"/>
          <w:sz w:val="24"/>
        </w:rPr>
      </w:pPr>
      <w:r>
        <w:rPr>
          <w:rFonts w:hint="eastAsia" w:ascii="宋体" w:hAnsi="宋体"/>
          <w:sz w:val="24"/>
        </w:rPr>
        <w:t xml:space="preserve">6.2 供应商应认真阅读谈判文件中所有的事项、格式、条款和规范等要求。按谈判文件要求和规定编制响应文件，并保证所提供的全部资料的真实性，以使其响应文件对谈判文件</w:t>
      </w:r>
      <w:r>
        <w:rPr>
          <w:rFonts w:hint="eastAsia" w:ascii="宋体" w:hAnsi="宋体"/>
          <w:sz w:val="24"/>
        </w:rPr>
        <w:t xml:space="preserve">作出</w:t>
      </w:r>
      <w:r>
        <w:rPr>
          <w:rFonts w:hint="eastAsia" w:ascii="宋体" w:hAnsi="宋体"/>
          <w:sz w:val="24"/>
        </w:rPr>
        <w:t xml:space="preserve">实质性响应，否则其风险由供应商自行承担。</w:t>
      </w:r>
      <w:r/>
    </w:p>
    <w:p>
      <w:pPr>
        <w:pStyle w:val="915"/>
        <w:ind w:firstLine="422"/>
        <w:spacing w:before="0" w:after="0" w:line="240" w:lineRule="auto"/>
        <w:rPr>
          <w:rFonts w:hint="eastAsia" w:ascii="方正楷体_GBK" w:hAnsi="方正楷体_GBK" w:eastAsia="方正楷体_GBK" w:cs="方正楷体_GBK"/>
        </w:rPr>
      </w:pPr>
      <w:r/>
      <w:bookmarkStart w:id="70" w:name="_Toc20823283"/>
      <w:r/>
      <w:bookmarkStart w:id="71" w:name="_Toc462564070"/>
      <w:r/>
      <w:bookmarkStart w:id="72" w:name="_Toc16938527"/>
      <w:r/>
      <w:bookmarkStart w:id="73" w:name="_Toc513029211"/>
      <w:r>
        <w:rPr>
          <w:rFonts w:hint="eastAsia" w:ascii="方正楷体_GBK" w:hAnsi="方正楷体_GBK" w:eastAsia="方正楷体_GBK" w:cs="方正楷体_GBK"/>
        </w:rPr>
        <w:t xml:space="preserve">7.谈判文件的澄清</w:t>
      </w:r>
      <w:bookmarkEnd w:id="70"/>
      <w:r/>
      <w:bookmarkEnd w:id="71"/>
      <w:r/>
      <w:bookmarkEnd w:id="72"/>
      <w:r/>
      <w:bookmarkEnd w:id="73"/>
      <w:r/>
      <w:r/>
    </w:p>
    <w:p>
      <w:pPr>
        <w:ind w:firstLine="420"/>
        <w:rPr>
          <w:rFonts w:hint="eastAsia" w:ascii="宋体" w:hAnsi="宋体"/>
          <w:sz w:val="24"/>
        </w:rPr>
      </w:pPr>
      <w:r>
        <w:rPr>
          <w:rFonts w:hint="eastAsia" w:ascii="宋体" w:hAnsi="宋体"/>
          <w:sz w:val="24"/>
        </w:rPr>
        <w:t xml:space="preserve">7.1 任何要求对谈判文件进行澄清的供应商，应在谈判截止期五日前按采购公告中的通讯地址，以书面形式通知交易中心。</w:t>
      </w:r>
      <w:r/>
    </w:p>
    <w:p>
      <w:pPr>
        <w:pStyle w:val="915"/>
        <w:ind w:firstLine="422"/>
        <w:spacing w:before="0" w:after="0" w:line="240" w:lineRule="auto"/>
        <w:rPr>
          <w:rFonts w:hint="eastAsia" w:ascii="方正楷体_GBK" w:hAnsi="方正楷体_GBK" w:eastAsia="方正楷体_GBK" w:cs="方正楷体_GBK"/>
        </w:rPr>
      </w:pPr>
      <w:r/>
      <w:bookmarkStart w:id="74" w:name="_Toc462564071"/>
      <w:r/>
      <w:bookmarkStart w:id="75" w:name="_Toc20823284"/>
      <w:r/>
      <w:bookmarkStart w:id="76" w:name="_Toc16938528"/>
      <w:r/>
      <w:bookmarkStart w:id="77" w:name="_Toc513029212"/>
      <w:r>
        <w:rPr>
          <w:rFonts w:hint="eastAsia" w:ascii="方正楷体_GBK" w:hAnsi="方正楷体_GBK" w:eastAsia="方正楷体_GBK" w:cs="方正楷体_GBK"/>
        </w:rPr>
        <w:t xml:space="preserve">8.谈判文件的修改</w:t>
      </w:r>
      <w:bookmarkEnd w:id="74"/>
      <w:r/>
      <w:bookmarkEnd w:id="75"/>
      <w:r/>
      <w:bookmarkEnd w:id="76"/>
      <w:r/>
      <w:bookmarkEnd w:id="77"/>
      <w:r/>
      <w:r/>
    </w:p>
    <w:p>
      <w:pPr>
        <w:ind w:firstLine="420"/>
        <w:rPr>
          <w:rFonts w:hint="eastAsia" w:ascii="宋体" w:hAnsi="宋体"/>
          <w:sz w:val="24"/>
        </w:rPr>
      </w:pPr>
      <w:r/>
      <w:bookmarkStart w:id="78" w:name="_Toc16938529"/>
      <w:r/>
      <w:bookmarkStart w:id="79" w:name="_Toc513029213"/>
      <w:r/>
      <w:bookmarkStart w:id="80" w:name="_Toc462564072"/>
      <w:r/>
      <w:bookmarkStart w:id="81" w:name="_Toc20823285"/>
      <w:r/>
      <w:bookmarkStart w:id="82" w:name="_Toc120614216"/>
      <w:r>
        <w:rPr>
          <w:rFonts w:hint="eastAsia" w:ascii="宋体" w:hAnsi="宋体"/>
          <w:sz w:val="24"/>
        </w:rPr>
        <w:t xml:space="preserve">8.1 在响应文件提交截止时间前，交易中心可以对谈判文件进行修改。谈判文件的修改将在原公告媒体发布更正公告，更正内容将作为谈判文件的组成部分，并对供应商具有约束力。</w:t>
      </w:r>
      <w:r/>
    </w:p>
    <w:p>
      <w:pPr>
        <w:ind w:firstLine="420"/>
        <w:rPr>
          <w:rFonts w:hint="eastAsia" w:ascii="宋体" w:hAnsi="宋体"/>
          <w:sz w:val="24"/>
        </w:rPr>
      </w:pPr>
      <w:r>
        <w:rPr>
          <w:rFonts w:hint="eastAsia" w:ascii="宋体" w:hAnsi="宋体"/>
          <w:sz w:val="24"/>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hint="eastAsia" w:ascii="宋体" w:hAnsi="宋体"/>
          <w:sz w:val="24"/>
        </w:rPr>
      </w:pPr>
      <w:r>
        <w:rPr>
          <w:rFonts w:hint="eastAsia" w:ascii="宋体" w:hAnsi="宋体"/>
          <w:sz w:val="24"/>
        </w:rPr>
        <w:t xml:space="preserve">8.3 交易中心有权按照法定要求推迟提交响应文件截止时间，并在原公告媒体发布更正公告。</w:t>
      </w:r>
      <w:r/>
    </w:p>
    <w:p>
      <w:pPr>
        <w:pStyle w:val="91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78"/>
      <w:r/>
      <w:bookmarkEnd w:id="79"/>
      <w:r/>
      <w:bookmarkEnd w:id="80"/>
      <w:r/>
      <w:bookmarkEnd w:id="81"/>
      <w:r/>
      <w:bookmarkEnd w:id="82"/>
      <w:r/>
      <w:r/>
    </w:p>
    <w:p>
      <w:pPr>
        <w:pStyle w:val="915"/>
        <w:ind w:firstLine="422"/>
        <w:spacing w:before="0" w:after="0" w:line="240" w:lineRule="auto"/>
        <w:rPr>
          <w:rFonts w:hint="eastAsia" w:ascii="方正楷体_GBK" w:hAnsi="方正楷体_GBK" w:eastAsia="方正楷体_GBK" w:cs="方正楷体_GBK"/>
        </w:rPr>
      </w:pPr>
      <w:r/>
      <w:bookmarkStart w:id="83" w:name="_Toc20823286"/>
      <w:r/>
      <w:bookmarkStart w:id="84" w:name="_Toc462564073"/>
      <w:r/>
      <w:bookmarkStart w:id="85" w:name="_Toc513029214"/>
      <w:r/>
      <w:bookmarkStart w:id="86" w:name="_Toc16938530"/>
      <w:r>
        <w:rPr>
          <w:rFonts w:hint="eastAsia" w:ascii="方正楷体_GBK" w:hAnsi="方正楷体_GBK" w:eastAsia="方正楷体_GBK" w:cs="方正楷体_GBK"/>
        </w:rPr>
        <w:t xml:space="preserve">9.响应文件的语言及度量衡单位</w:t>
      </w:r>
      <w:bookmarkEnd w:id="83"/>
      <w:r/>
      <w:bookmarkEnd w:id="84"/>
      <w:r/>
      <w:bookmarkEnd w:id="85"/>
      <w:r/>
      <w:bookmarkEnd w:id="86"/>
      <w:r/>
      <w:r/>
    </w:p>
    <w:p>
      <w:pPr>
        <w:ind w:firstLine="420"/>
        <w:rPr>
          <w:rFonts w:hint="eastAsia" w:ascii="宋体" w:hAnsi="宋体"/>
          <w:sz w:val="24"/>
        </w:rPr>
      </w:pPr>
      <w:r>
        <w:rPr>
          <w:rFonts w:hint="eastAsia" w:ascii="宋体" w:hAnsi="宋体"/>
          <w:sz w:val="24"/>
        </w:rPr>
        <w:t xml:space="preserve">9.1 供应商提交的响应文件以及供应商与交易中心就有关谈判的所有来往通知、函件和文件均应使用简体中文。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除技术性能另有规定外，响应文件所使用的度量衡单位，均须采用国家法定计量单位。</w:t>
      </w:r>
      <w:r/>
    </w:p>
    <w:p>
      <w:pPr>
        <w:pStyle w:val="915"/>
        <w:ind w:firstLine="422"/>
        <w:spacing w:before="0" w:after="0" w:line="240" w:lineRule="auto"/>
        <w:rPr>
          <w:rFonts w:hint="eastAsia" w:ascii="方正楷体_GBK" w:hAnsi="方正楷体_GBK" w:eastAsia="方正楷体_GBK" w:cs="方正楷体_GBK"/>
        </w:rPr>
      </w:pPr>
      <w:r/>
      <w:bookmarkStart w:id="87" w:name="_Toc462564074"/>
      <w:r/>
      <w:bookmarkStart w:id="88" w:name="_Toc20823287"/>
      <w:r/>
      <w:bookmarkStart w:id="89" w:name="_Toc16938531"/>
      <w:r/>
      <w:bookmarkStart w:id="90" w:name="_Toc513029215"/>
      <w:r>
        <w:rPr>
          <w:rFonts w:hint="eastAsia" w:ascii="方正楷体_GBK" w:hAnsi="方正楷体_GBK" w:eastAsia="方正楷体_GBK" w:cs="方正楷体_GBK"/>
        </w:rPr>
        <w:t xml:space="preserve">10.响应文件构成</w:t>
      </w:r>
      <w:bookmarkEnd w:id="87"/>
      <w:r/>
      <w:bookmarkEnd w:id="88"/>
      <w:r/>
      <w:bookmarkEnd w:id="89"/>
      <w:r/>
      <w:bookmarkEnd w:id="90"/>
      <w:r/>
      <w:r/>
    </w:p>
    <w:p>
      <w:pPr>
        <w:ind w:firstLine="420"/>
        <w:rPr>
          <w:rFonts w:hint="eastAsia" w:ascii="宋体" w:hAnsi="宋体"/>
          <w:sz w:val="24"/>
        </w:rPr>
      </w:pPr>
      <w:r>
        <w:rPr>
          <w:rFonts w:hint="eastAsia" w:ascii="宋体" w:hAnsi="宋体"/>
          <w:sz w:val="24"/>
        </w:rPr>
        <w:t xml:space="preserve">10.1 供应商编写的响应文件应包括资格证明文件、符合性证明文件、分项报价表、响应及偏离表、其他证明文件、谈判响应函等部分。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如标书制作工具中格式和内容与“江苏政府采购网”发布的谈判文件不一致，以“江苏政府采购网”发布的谈判文件为准。</w:t>
      </w:r>
      <w:r/>
    </w:p>
    <w:p>
      <w:pPr>
        <w:pStyle w:val="915"/>
        <w:ind w:firstLine="422"/>
        <w:spacing w:before="0" w:after="0" w:line="240" w:lineRule="auto"/>
        <w:rPr>
          <w:rFonts w:hint="eastAsia" w:ascii="方正楷体_GBK" w:hAnsi="方正楷体_GBK" w:eastAsia="方正楷体_GBK" w:cs="方正楷体_GBK"/>
        </w:rPr>
      </w:pPr>
      <w:r/>
      <w:bookmarkStart w:id="91" w:name="_Hlt26670360"/>
      <w:r/>
      <w:bookmarkStart w:id="92" w:name="_Hlt26954838"/>
      <w:r/>
      <w:bookmarkStart w:id="93" w:name="_Hlt26668975"/>
      <w:r/>
      <w:bookmarkStart w:id="94" w:name="_Toc513029219"/>
      <w:r/>
      <w:bookmarkStart w:id="95" w:name="_Toc14577357"/>
      <w:r/>
      <w:bookmarkStart w:id="96" w:name="_Toc49090509"/>
      <w:r/>
      <w:bookmarkStart w:id="97" w:name="_Toc49090507"/>
      <w:r/>
      <w:bookmarkStart w:id="98" w:name="_Toc14577354"/>
      <w:r/>
      <w:bookmarkStart w:id="99" w:name="_Toc513029216"/>
      <w:r/>
      <w:bookmarkStart w:id="100" w:name="_Toc14577355"/>
      <w:r/>
      <w:bookmarkStart w:id="101" w:name="_Toc49090508"/>
      <w:r/>
      <w:bookmarkEnd w:id="91"/>
      <w:r/>
      <w:bookmarkEnd w:id="92"/>
      <w:r/>
      <w:bookmarkEnd w:id="93"/>
      <w:r>
        <w:rPr>
          <w:rFonts w:hint="eastAsia" w:ascii="方正楷体_GBK" w:hAnsi="方正楷体_GBK" w:eastAsia="方正楷体_GBK" w:cs="方正楷体_GBK"/>
        </w:rPr>
        <w:t xml:space="preserve">11.证明谈判响应标的符合谈判文件规定的文件</w:t>
      </w:r>
      <w:bookmarkEnd w:id="94"/>
      <w:r/>
      <w:bookmarkEnd w:id="95"/>
      <w:r/>
      <w:bookmarkEnd w:id="96"/>
      <w:r/>
      <w:bookmarkEnd w:id="97"/>
      <w:r/>
      <w:bookmarkEnd w:id="98"/>
      <w:r/>
      <w:bookmarkEnd w:id="99"/>
      <w:r/>
      <w:r/>
    </w:p>
    <w:p>
      <w:pPr>
        <w:ind w:firstLine="420"/>
        <w:rPr>
          <w:rFonts w:hint="eastAsia" w:ascii="宋体" w:hAnsi="宋体"/>
          <w:sz w:val="24"/>
        </w:rPr>
      </w:pPr>
      <w:r>
        <w:rPr>
          <w:rFonts w:hint="eastAsia" w:ascii="宋体" w:hAnsi="宋体"/>
          <w:sz w:val="24"/>
        </w:rPr>
        <w:t xml:space="preserve">11.1 供应商应按照法律、法规、规章和规范性文件以及谈判文件要求提交证明文件，证明其响应标的符合谈判文件规定。</w:t>
      </w:r>
      <w:r/>
    </w:p>
    <w:p>
      <w:pPr>
        <w:ind w:firstLine="420"/>
        <w:rPr>
          <w:rFonts w:hint="eastAsia" w:ascii="宋体" w:hAnsi="宋体"/>
          <w:sz w:val="24"/>
        </w:rPr>
      </w:pPr>
      <w:r>
        <w:rPr>
          <w:rFonts w:hint="eastAsia" w:ascii="宋体" w:hAnsi="宋体"/>
          <w:sz w:val="24"/>
        </w:rPr>
        <w:t xml:space="preserve">11.2 谈判文件对证明文件无明确形式要求的，证明文件可以以文字资料、图纸和数据等形式提交。</w:t>
      </w:r>
      <w:bookmarkEnd w:id="100"/>
      <w:r/>
      <w:bookmarkEnd w:id="101"/>
      <w:r/>
      <w:r/>
    </w:p>
    <w:p>
      <w:pPr>
        <w:pStyle w:val="91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12.分项报价表（如有）</w:t>
      </w:r>
      <w:r/>
    </w:p>
    <w:p>
      <w:pPr>
        <w:ind w:firstLine="420"/>
        <w:rPr>
          <w:rFonts w:hint="eastAsia" w:ascii="宋体" w:hAnsi="宋体"/>
          <w:sz w:val="24"/>
        </w:rPr>
      </w:pPr>
      <w:r>
        <w:rPr>
          <w:rFonts w:hint="eastAsia" w:ascii="宋体" w:hAnsi="宋体"/>
          <w:sz w:val="24"/>
        </w:rPr>
        <w:t xml:space="preserve">12.1 供应商应按照谈判文件规定格式填报分项报价表。</w:t>
      </w:r>
      <w:r/>
    </w:p>
    <w:p>
      <w:pPr>
        <w:ind w:firstLine="420"/>
        <w:rPr>
          <w:rFonts w:hint="eastAsia" w:ascii="宋体" w:hAnsi="宋体"/>
          <w:sz w:val="24"/>
        </w:rPr>
      </w:pPr>
      <w:r>
        <w:rPr>
          <w:rFonts w:hint="eastAsia" w:ascii="宋体" w:hAnsi="宋体"/>
          <w:sz w:val="24"/>
        </w:rPr>
        <w:t xml:space="preserve">12.2 响应文件中的单价和总价无特殊规定的采用人民币报价，以元为单位标注。谈判文件另有规定的按规定执行。</w:t>
      </w:r>
      <w:r/>
    </w:p>
    <w:p>
      <w:pPr>
        <w:pStyle w:val="915"/>
        <w:ind w:firstLine="422"/>
        <w:spacing w:before="0" w:after="0" w:line="240" w:lineRule="auto"/>
        <w:rPr>
          <w:rFonts w:hint="eastAsia" w:ascii="方正楷体_GBK" w:hAnsi="方正楷体_GBK" w:eastAsia="方正楷体_GBK" w:cs="方正楷体_GBK"/>
        </w:rPr>
      </w:pPr>
      <w:r/>
      <w:bookmarkStart w:id="102" w:name="_Hlt26670486"/>
      <w:r/>
      <w:bookmarkStart w:id="103" w:name="_Hlt26954846"/>
      <w:r/>
      <w:bookmarkStart w:id="104" w:name="_Hlt26954848"/>
      <w:r/>
      <w:bookmarkStart w:id="105" w:name="_Hlt26954731"/>
      <w:r/>
      <w:bookmarkStart w:id="106" w:name="_Hlt26670482"/>
      <w:r/>
      <w:bookmarkEnd w:id="102"/>
      <w:r/>
      <w:bookmarkEnd w:id="103"/>
      <w:r/>
      <w:bookmarkEnd w:id="104"/>
      <w:r/>
      <w:bookmarkEnd w:id="105"/>
      <w:r/>
      <w:bookmarkEnd w:id="106"/>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w:t>
      </w:r>
      <w:r>
        <w:rPr>
          <w:rFonts w:hint="eastAsia" w:ascii="宋体" w:hAnsi="宋体"/>
          <w:sz w:val="24"/>
        </w:rPr>
        <w:t xml:space="preserve"> </w:t>
      </w:r>
      <w:r>
        <w:rPr>
          <w:rFonts w:hint="eastAsia" w:ascii="宋体" w:hAnsi="宋体"/>
          <w:sz w:val="24"/>
          <w:lang w:val="zh-CN"/>
        </w:rPr>
        <w:t xml:space="preserve">供应商需对谈判文件中的技术要求与商务要求逐项</w:t>
      </w:r>
      <w:r>
        <w:rPr>
          <w:rFonts w:hint="eastAsia" w:ascii="宋体" w:hAnsi="宋体"/>
          <w:sz w:val="24"/>
          <w:lang w:val="zh-CN"/>
        </w:rPr>
        <w:t xml:space="preserve">作出</w:t>
      </w:r>
      <w:r>
        <w:rPr>
          <w:rFonts w:hint="eastAsia" w:ascii="宋体" w:hAnsi="宋体"/>
          <w:sz w:val="24"/>
          <w:lang w:val="zh-CN"/>
        </w:rPr>
        <w:t xml:space="preserve">响应或偏离说明。</w:t>
      </w:r>
      <w:r/>
    </w:p>
    <w:p>
      <w:pPr>
        <w:ind w:firstLine="420"/>
        <w:rPr>
          <w:rFonts w:hint="eastAsia" w:ascii="宋体" w:hAnsi="宋体"/>
          <w:sz w:val="24"/>
          <w:lang w:val="zh-CN"/>
        </w:rPr>
      </w:pPr>
      <w:r>
        <w:rPr>
          <w:rFonts w:hint="eastAsia" w:ascii="宋体" w:hAnsi="宋体"/>
          <w:sz w:val="24"/>
          <w:lang w:val="zh-CN"/>
        </w:rPr>
        <w:t xml:space="preserve">13.2</w:t>
      </w:r>
      <w:r>
        <w:rPr>
          <w:rFonts w:hint="eastAsia" w:ascii="宋体" w:hAnsi="宋体"/>
          <w:sz w:val="24"/>
        </w:rPr>
        <w:t xml:space="preserve"> </w:t>
      </w:r>
      <w:r>
        <w:rPr>
          <w:rFonts w:hint="eastAsia" w:ascii="宋体" w:hAnsi="宋体"/>
          <w:sz w:val="24"/>
          <w:lang w:val="zh-CN"/>
        </w:rPr>
        <w:t xml:space="preserve">供应商可在响应文件中提供认为需要的其他技术文件或说明。</w:t>
      </w:r>
      <w:r/>
    </w:p>
    <w:p>
      <w:pPr>
        <w:pStyle w:val="915"/>
        <w:ind w:firstLine="422"/>
        <w:spacing w:before="0" w:after="0" w:line="240" w:lineRule="auto"/>
        <w:rPr>
          <w:rFonts w:hint="eastAsia" w:ascii="方正楷体_GBK" w:hAnsi="方正楷体_GBK" w:eastAsia="方正楷体_GBK" w:cs="方正楷体_GBK"/>
        </w:rPr>
      </w:pPr>
      <w:r/>
      <w:bookmarkStart w:id="107" w:name="_Toc14577359"/>
      <w:r/>
      <w:bookmarkStart w:id="108" w:name="_Toc49090510"/>
      <w:r>
        <w:rPr>
          <w:rFonts w:hint="eastAsia" w:ascii="方正楷体_GBK" w:hAnsi="方正楷体_GBK" w:eastAsia="方正楷体_GBK" w:cs="方正楷体_GBK"/>
        </w:rPr>
        <w:t xml:space="preserve">14.谈判响应函</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供应商应按照谈判文件规定格式完整、正确填报谈判响应函。</w:t>
      </w:r>
      <w:r/>
    </w:p>
    <w:p>
      <w:pPr>
        <w:pStyle w:val="915"/>
        <w:ind w:firstLine="422"/>
        <w:spacing w:before="0" w:after="0" w:line="240" w:lineRule="auto"/>
        <w:rPr>
          <w:rFonts w:hint="eastAsia" w:ascii="方正楷体_GBK" w:hAnsi="方正楷体_GBK" w:eastAsia="方正楷体_GBK" w:cs="方正楷体_GBK"/>
        </w:rPr>
      </w:pPr>
      <w:r/>
      <w:bookmarkStart w:id="109" w:name="_Toc49090511"/>
      <w:r/>
      <w:bookmarkStart w:id="110" w:name="_Toc14577360"/>
      <w:r/>
      <w:bookmarkEnd w:id="107"/>
      <w:r/>
      <w:bookmarkEnd w:id="108"/>
      <w:r>
        <w:rPr>
          <w:rFonts w:hint="eastAsia" w:ascii="方正楷体_GBK" w:hAnsi="方正楷体_GBK" w:eastAsia="方正楷体_GBK" w:cs="方正楷体_GBK"/>
        </w:rPr>
        <w:t xml:space="preserve">15.谈判有效期</w:t>
      </w:r>
      <w:bookmarkEnd w:id="109"/>
      <w:r/>
      <w:bookmarkEnd w:id="110"/>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谈判有效期为谈判公告规定的提交响应文件截止之日起六十天。谈判有效期比规定短的将被视为未实质性响应谈判文件而被拒绝。</w:t>
      </w:r>
      <w:r/>
    </w:p>
    <w:p>
      <w:pPr>
        <w:pStyle w:val="91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16.谈判有效期的延长</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在特殊情况下，交易中心于原谈判有效期满之前，可向供应商提出延长谈判有效期的要求。这种要求与答复均应采用书面形式。供应商可以拒绝交易中心的这一要求而放弃谈判。同意延长谈判有效期的供应商既不能要求也不允许修改其响应文件，同时</w:t>
      </w:r>
      <w:r>
        <w:rPr>
          <w:rFonts w:hint="eastAsia" w:ascii="宋体" w:hAnsi="宋体"/>
          <w:sz w:val="24"/>
          <w:lang w:val="zh-CN"/>
        </w:rPr>
        <w:t xml:space="preserve">受谈判</w:t>
      </w:r>
      <w:r>
        <w:rPr>
          <w:rFonts w:hint="eastAsia" w:ascii="宋体" w:hAnsi="宋体"/>
          <w:sz w:val="24"/>
          <w:lang w:val="zh-CN"/>
        </w:rPr>
        <w:t xml:space="preserve">有效期约束的所有权利与义务均延长至新的有效期满。</w:t>
      </w:r>
      <w:r/>
    </w:p>
    <w:p>
      <w:pPr>
        <w:pStyle w:val="913"/>
        <w:ind w:firstLine="465"/>
        <w:spacing w:before="145" w:after="145" w:line="240" w:lineRule="auto"/>
        <w:rPr>
          <w:rFonts w:ascii="方正黑体_GBK" w:hAnsi="方正黑体_GBK" w:eastAsia="方正黑体_GBK" w:cs="方正黑体_GBK"/>
          <w:b w:val="0"/>
          <w:bCs w:val="0"/>
          <w:sz w:val="30"/>
          <w:szCs w:val="30"/>
        </w:rPr>
      </w:pPr>
      <w:r/>
      <w:bookmarkStart w:id="111" w:name="_Hlt26954852"/>
      <w:r/>
      <w:bookmarkStart w:id="112" w:name="_Hlt26954739"/>
      <w:r/>
      <w:bookmarkStart w:id="113" w:name="_Toc20823296"/>
      <w:r/>
      <w:bookmarkStart w:id="114" w:name="_Toc513029224"/>
      <w:r/>
      <w:bookmarkStart w:id="115" w:name="_Toc16938540"/>
      <w:r/>
      <w:bookmarkStart w:id="116" w:name="_Toc120614217"/>
      <w:r/>
      <w:bookmarkEnd w:id="111"/>
      <w:r/>
      <w:bookmarkEnd w:id="112"/>
      <w:r>
        <w:rPr>
          <w:rFonts w:hint="eastAsia" w:ascii="方正黑体_GBK" w:hAnsi="方正黑体_GBK" w:eastAsia="方正黑体_GBK" w:cs="方正黑体_GBK"/>
          <w:b w:val="0"/>
          <w:bCs w:val="0"/>
          <w:sz w:val="30"/>
          <w:szCs w:val="30"/>
        </w:rPr>
        <w:t xml:space="preserve">四、响应文件的递交</w:t>
      </w:r>
      <w:bookmarkEnd w:id="113"/>
      <w:r/>
      <w:bookmarkEnd w:id="114"/>
      <w:r/>
      <w:bookmarkEnd w:id="115"/>
      <w:r/>
      <w:bookmarkEnd w:id="116"/>
      <w:r/>
      <w:r/>
    </w:p>
    <w:p>
      <w:pPr>
        <w:pStyle w:val="915"/>
        <w:ind w:firstLine="422"/>
        <w:spacing w:before="0" w:after="0" w:line="240" w:lineRule="auto"/>
        <w:rPr>
          <w:rFonts w:hint="eastAsia" w:ascii="方正楷体_GBK" w:hAnsi="方正楷体_GBK" w:eastAsia="方正楷体_GBK" w:cs="方正楷体_GBK"/>
        </w:rPr>
      </w:pPr>
      <w:r/>
      <w:bookmarkStart w:id="117" w:name="_Toc513029225"/>
      <w:r/>
      <w:bookmarkStart w:id="118" w:name="_Toc20823297"/>
      <w:r/>
      <w:bookmarkStart w:id="119" w:name="_Toc462564084"/>
      <w:r/>
      <w:bookmarkStart w:id="120" w:name="_Toc16938541"/>
      <w:r>
        <w:rPr>
          <w:rFonts w:hint="eastAsia" w:ascii="方正楷体_GBK" w:hAnsi="方正楷体_GBK" w:eastAsia="方正楷体_GBK" w:cs="方正楷体_GBK"/>
        </w:rPr>
        <w:t xml:space="preserve">17.谈判</w:t>
      </w:r>
      <w:bookmarkEnd w:id="117"/>
      <w:r/>
      <w:bookmarkEnd w:id="118"/>
      <w:r/>
      <w:bookmarkEnd w:id="119"/>
      <w:r/>
      <w:bookmarkEnd w:id="120"/>
      <w:r>
        <w:rPr>
          <w:rFonts w:hint="eastAsia" w:ascii="方正楷体_GBK" w:hAnsi="方正楷体_GBK" w:eastAsia="方正楷体_GBK" w:cs="方正楷体_GBK"/>
        </w:rPr>
        <w:t xml:space="preserve">响应文件的递交</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供应商应当按照《操作手册》规定，在</w:t>
      </w:r>
      <w:r>
        <w:rPr>
          <w:rFonts w:hint="eastAsia" w:ascii="宋体" w:hAnsi="宋体"/>
          <w:sz w:val="24"/>
        </w:rPr>
        <w:t xml:space="preserve">采购</w:t>
      </w:r>
      <w:r>
        <w:rPr>
          <w:rFonts w:hint="eastAsia" w:ascii="宋体" w:hAnsi="宋体"/>
          <w:sz w:val="24"/>
          <w:lang w:val="zh-CN"/>
        </w:rPr>
        <w:t xml:space="preserve">公告规定的提交响应文件截止时间</w:t>
      </w:r>
      <w:r>
        <w:rPr>
          <w:rFonts w:hint="eastAsia" w:ascii="宋体" w:hAnsi="宋体"/>
          <w:sz w:val="24"/>
          <w:lang w:val="zh-CN"/>
        </w:rPr>
        <w:t xml:space="preserve">前制作</w:t>
      </w:r>
      <w:r>
        <w:rPr>
          <w:rFonts w:hint="eastAsia" w:ascii="宋体" w:hAnsi="宋体"/>
          <w:sz w:val="24"/>
          <w:lang w:val="zh-CN"/>
        </w:rPr>
        <w:t xml:space="preserve">并上传电子响应文件。</w:t>
      </w:r>
      <w:bookmarkStart w:id="121" w:name="_Toc20823298"/>
      <w:r/>
      <w:bookmarkStart w:id="122" w:name="_Toc16938542"/>
      <w:r/>
      <w:bookmarkStart w:id="123" w:name="_Toc513029226"/>
      <w:r/>
      <w:bookmarkEnd w:id="121"/>
      <w:r/>
      <w:bookmarkEnd w:id="122"/>
      <w:r/>
      <w:bookmarkEnd w:id="123"/>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供应商应充分考虑网络环境、网络带宽等因素</w:t>
      </w:r>
      <w:r>
        <w:rPr>
          <w:rFonts w:hint="eastAsia" w:ascii="宋体" w:hAnsi="宋体"/>
          <w:sz w:val="24"/>
        </w:rPr>
        <w:t xml:space="preserve">可能产生的影响</w:t>
      </w:r>
      <w:r>
        <w:rPr>
          <w:rFonts w:hint="eastAsia" w:ascii="宋体" w:hAnsi="宋体"/>
          <w:sz w:val="24"/>
          <w:lang w:val="zh-CN"/>
        </w:rPr>
        <w:t xml:space="preserve">，如因供应商自身原因造成的电子响应文件上传不成功由供应商自行承担全部责任，并按照</w:t>
      </w:r>
      <w:r>
        <w:rPr>
          <w:rFonts w:hint="eastAsia" w:ascii="宋体" w:hAnsi="宋体"/>
          <w:sz w:val="24"/>
          <w:lang w:val="zh-CN"/>
        </w:rPr>
        <w:t xml:space="preserve">本谈判</w:t>
      </w:r>
      <w:r>
        <w:rPr>
          <w:rFonts w:hint="eastAsia" w:ascii="宋体" w:hAnsi="宋体"/>
          <w:sz w:val="24"/>
          <w:lang w:val="zh-CN"/>
        </w:rPr>
        <w:t xml:space="preserve">文件第二章第2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条规定做无效响应处理。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交易中心可以按照规定，通过修改谈判文件酌情延长提交响应文件截止时间，在此情况下，供应商的所有权利和义务均以延长后新的截止时间为准。</w:t>
      </w:r>
      <w:r/>
    </w:p>
    <w:p>
      <w:pPr>
        <w:pStyle w:val="915"/>
        <w:ind w:firstLine="422"/>
        <w:spacing w:before="0" w:after="0" w:line="240" w:lineRule="auto"/>
        <w:rPr>
          <w:rFonts w:hint="eastAsia" w:ascii="方正楷体_GBK" w:hAnsi="方正楷体_GBK" w:eastAsia="方正楷体_GBK" w:cs="方正楷体_GBK"/>
        </w:rPr>
      </w:pPr>
      <w:r/>
      <w:bookmarkStart w:id="124" w:name="_Toc20823299"/>
      <w:r/>
      <w:bookmarkStart w:id="125" w:name="_Toc513029227"/>
      <w:r/>
      <w:bookmarkStart w:id="126" w:name="_Toc16938543"/>
      <w:r>
        <w:rPr>
          <w:rFonts w:hint="eastAsia" w:ascii="方正楷体_GBK" w:hAnsi="方正楷体_GBK" w:eastAsia="方正楷体_GBK" w:cs="方正楷体_GBK"/>
        </w:rPr>
        <w:t xml:space="preserve">18.响应文件</w:t>
      </w:r>
      <w:bookmarkEnd w:id="124"/>
      <w:r/>
      <w:bookmarkEnd w:id="125"/>
      <w:r/>
      <w:bookmarkEnd w:id="126"/>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.1 提交响应文件截止时间后上传的任何响应文件将被拒绝。</w:t>
      </w:r>
      <w:r/>
    </w:p>
    <w:p>
      <w:pPr>
        <w:pStyle w:val="915"/>
        <w:ind w:firstLine="422"/>
        <w:spacing w:before="0" w:after="0" w:line="240" w:lineRule="auto"/>
        <w:rPr>
          <w:rFonts w:hint="eastAsia" w:ascii="方正楷体_GBK" w:hAnsi="方正楷体_GBK" w:eastAsia="方正楷体_GBK" w:cs="方正楷体_GBK"/>
        </w:rPr>
      </w:pPr>
      <w:r/>
      <w:bookmarkStart w:id="127" w:name="_Toc16938544"/>
      <w:r/>
      <w:bookmarkStart w:id="128" w:name="_Toc513029228"/>
      <w:r/>
      <w:bookmarkStart w:id="129" w:name="_Toc20823300"/>
      <w:r>
        <w:rPr>
          <w:rFonts w:hint="eastAsia" w:ascii="方正楷体_GBK" w:hAnsi="方正楷体_GBK" w:eastAsia="方正楷体_GBK" w:cs="方正楷体_GBK"/>
        </w:rPr>
        <w:t xml:space="preserve">19.响应文件的撤回和修改</w:t>
      </w:r>
      <w:bookmarkEnd w:id="127"/>
      <w:r/>
      <w:bookmarkEnd w:id="128"/>
      <w:r/>
      <w:bookmarkEnd w:id="129"/>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响应文件的撤回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供应商可在提交响应文件截止时间前，撤回其电子响应文件，具体操作方法见《操作手册》。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供应商撤回电子响应文件，则认为其不再参与本项目谈判活动。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响应文件的修改</w:t>
      </w:r>
      <w:r/>
    </w:p>
    <w:p>
      <w:pPr>
        <w:ind w:firstLine="420"/>
        <w:rPr>
          <w:rFonts w:hint="eastAsia" w:ascii="宋体" w:hAnsi="宋体"/>
          <w:sz w:val="24"/>
          <w:lang w:val="zh-CN"/>
        </w:rPr>
      </w:pPr>
      <w:r>
        <w:rPr>
          <w:rFonts w:hint="eastAsia" w:ascii="宋体" w:hAnsi="宋体"/>
          <w:sz w:val="24"/>
        </w:rPr>
        <w:t xml:space="preserve">19.2.1 </w:t>
      </w:r>
      <w:r>
        <w:rPr>
          <w:rFonts w:hint="eastAsia" w:ascii="宋体" w:hAnsi="宋体"/>
          <w:sz w:val="24"/>
          <w:lang w:val="zh-CN"/>
        </w:rPr>
        <w:t xml:space="preserve">供应商可在提交响应文件截止时间前，对其电子响应文件进行修改，具体操作方法见《操作手册》。</w:t>
      </w:r>
      <w:r/>
    </w:p>
    <w:p>
      <w:pPr>
        <w:ind w:firstLine="420"/>
        <w:rPr>
          <w:rFonts w:hint="eastAsia" w:ascii="宋体" w:hAnsi="宋体"/>
          <w:sz w:val="24"/>
          <w:lang w:val="zh-CN"/>
        </w:rPr>
      </w:pPr>
      <w:r>
        <w:rPr>
          <w:rFonts w:hint="eastAsia" w:ascii="宋体" w:hAnsi="宋体"/>
          <w:sz w:val="24"/>
        </w:rPr>
        <w:t xml:space="preserve">19.2.2 </w:t>
      </w:r>
      <w:r>
        <w:rPr>
          <w:rFonts w:hint="eastAsia" w:ascii="宋体" w:hAnsi="宋体"/>
          <w:sz w:val="24"/>
          <w:lang w:val="zh-CN"/>
        </w:rPr>
        <w:t xml:space="preserve">在提交响应文件截止时间后，供应商不得对其电子响应文件作任何修改。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在提交响应文件截止时间</w:t>
      </w:r>
      <w:r>
        <w:rPr>
          <w:rFonts w:hint="eastAsia" w:ascii="宋体" w:hAnsi="宋体"/>
          <w:sz w:val="24"/>
          <w:lang w:val="zh-CN"/>
        </w:rPr>
        <w:t xml:space="preserve">至谈判</w:t>
      </w:r>
      <w:r>
        <w:rPr>
          <w:rFonts w:hint="eastAsia" w:ascii="宋体" w:hAnsi="宋体"/>
          <w:sz w:val="24"/>
          <w:lang w:val="zh-CN"/>
        </w:rPr>
        <w:t xml:space="preserve">文件中规定的谈判有效期满之间的这段时间内，供应商不得撤回其响应文件。</w:t>
      </w:r>
      <w:r/>
    </w:p>
    <w:p>
      <w:pPr>
        <w:pStyle w:val="913"/>
        <w:ind w:firstLine="465"/>
        <w:spacing w:before="145" w:after="145" w:line="240" w:lineRule="auto"/>
        <w:rPr>
          <w:rFonts w:ascii="方正黑体_GBK" w:hAnsi="方正黑体_GBK" w:eastAsia="方正黑体_GBK" w:cs="方正黑体_GBK"/>
          <w:b w:val="0"/>
          <w:bCs w:val="0"/>
          <w:sz w:val="30"/>
          <w:szCs w:val="30"/>
        </w:rPr>
      </w:pPr>
      <w:r/>
      <w:bookmarkStart w:id="130" w:name="_Toc120614218"/>
      <w:r/>
      <w:bookmarkStart w:id="131" w:name="_Toc20823301"/>
      <w:r/>
      <w:bookmarkStart w:id="132" w:name="_Toc16938545"/>
      <w:r/>
      <w:bookmarkStart w:id="133" w:name="_Toc513029229"/>
      <w:r>
        <w:rPr>
          <w:rFonts w:hint="eastAsia" w:ascii="方正黑体_GBK" w:hAnsi="方正黑体_GBK" w:eastAsia="方正黑体_GBK" w:cs="方正黑体_GBK"/>
          <w:b w:val="0"/>
          <w:bCs w:val="0"/>
          <w:sz w:val="30"/>
          <w:szCs w:val="30"/>
        </w:rPr>
        <w:t xml:space="preserve">五、响应文件的解密与评审</w:t>
      </w:r>
      <w:bookmarkEnd w:id="130"/>
      <w:r/>
      <w:bookmarkEnd w:id="131"/>
      <w:r/>
      <w:bookmarkEnd w:id="132"/>
      <w:r/>
      <w:bookmarkEnd w:id="133"/>
      <w:r/>
      <w:r/>
    </w:p>
    <w:p>
      <w:pPr>
        <w:pStyle w:val="91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供应商应当按照《操作手册》规定，在苏</w:t>
      </w:r>
      <w:r>
        <w:rPr>
          <w:rFonts w:hint="eastAsia" w:ascii="宋体" w:hAnsi="宋体"/>
          <w:sz w:val="24"/>
          <w:lang w:val="zh-CN"/>
        </w:rPr>
        <w:t xml:space="preserve">采云</w:t>
      </w:r>
      <w:r>
        <w:rPr>
          <w:rFonts w:hint="eastAsia" w:ascii="宋体" w:hAnsi="宋体"/>
          <w:sz w:val="24"/>
          <w:lang w:val="zh-CN"/>
        </w:rPr>
        <w:t xml:space="preserve">系统规定的时间内对响应文件进行解密。</w:t>
      </w:r>
      <w:r/>
    </w:p>
    <w:p>
      <w:pPr>
        <w:pStyle w:val="915"/>
        <w:ind w:firstLine="422"/>
        <w:spacing w:before="0" w:after="0" w:line="240" w:lineRule="auto"/>
        <w:rPr>
          <w:rFonts w:hint="eastAsia" w:ascii="方正楷体_GBK" w:hAnsi="方正楷体_GBK" w:eastAsia="方正楷体_GBK" w:cs="方正楷体_GBK"/>
        </w:rPr>
      </w:pPr>
      <w:r/>
      <w:bookmarkStart w:id="134" w:name="_Toc20823303"/>
      <w:r/>
      <w:bookmarkStart w:id="135" w:name="_Toc513029231"/>
      <w:r/>
      <w:bookmarkStart w:id="136" w:name="_Toc16938547"/>
      <w:r>
        <w:rPr>
          <w:rFonts w:hint="eastAsia" w:ascii="方正楷体_GBK" w:hAnsi="方正楷体_GBK" w:eastAsia="方正楷体_GBK" w:cs="方正楷体_GBK"/>
        </w:rPr>
        <w:t xml:space="preserve">21.谈判</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依法组建的谈判小组对响应文件进行评审。</w:t>
      </w:r>
      <w:r/>
    </w:p>
    <w:p>
      <w:pPr>
        <w:ind w:firstLine="420"/>
        <w:rPr>
          <w:rFonts w:hint="eastAsia" w:ascii="宋体" w:hAnsi="宋体"/>
          <w:sz w:val="24"/>
          <w:lang w:val="zh-CN"/>
        </w:rPr>
      </w:pPr>
      <w:r>
        <w:rPr>
          <w:rFonts w:hint="eastAsia" w:ascii="宋体" w:hAnsi="宋体"/>
          <w:sz w:val="24"/>
        </w:rPr>
        <w:t xml:space="preserve">21.2 </w:t>
      </w:r>
      <w:r>
        <w:rPr>
          <w:rFonts w:hint="eastAsia" w:ascii="宋体" w:hAnsi="宋体"/>
          <w:sz w:val="24"/>
          <w:lang w:val="zh-CN"/>
        </w:rPr>
        <w:t xml:space="preserve">谈判小组由采购人代表和有关方面的专家组成，人员构成符合政府采购有关规定。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谈判小组独立工作，负责评审所有响应文件并推荐成交候选人，或根据采购人授权直接确定成交供应商。</w:t>
      </w:r>
      <w:r/>
    </w:p>
    <w:p>
      <w:pPr>
        <w:pStyle w:val="91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bookmarkEnd w:id="134"/>
      <w:r/>
      <w:bookmarkEnd w:id="135"/>
      <w:r/>
      <w:bookmarkEnd w:id="136"/>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谈判小组、采购人和交易中心工作人员、相关监督人员等与评审工作有关的人员，对评审情况以及在评审过程中获悉的国家秘密、商业秘密负有保密责任。</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供应商不得以任何行为影响评审过程，否则其响应文件将被作为无效响应文件。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交易中心和谈判小组不向未成交的供应</w:t>
      </w:r>
      <w:r>
        <w:rPr>
          <w:rFonts w:hint="eastAsia" w:ascii="宋体" w:hAnsi="宋体"/>
          <w:sz w:val="24"/>
          <w:lang w:val="zh-CN"/>
        </w:rPr>
        <w:t xml:space="preserve">商解释未</w:t>
      </w:r>
      <w:r>
        <w:rPr>
          <w:rFonts w:hint="eastAsia" w:ascii="宋体" w:hAnsi="宋体"/>
          <w:sz w:val="24"/>
          <w:lang w:val="zh-CN"/>
        </w:rPr>
        <w:t xml:space="preserve">成交原因，也不公布评审过程中的相关细节。</w:t>
      </w:r>
      <w:r/>
    </w:p>
    <w:p>
      <w:pPr>
        <w:pStyle w:val="915"/>
        <w:ind w:firstLine="422"/>
        <w:spacing w:before="0" w:after="0" w:line="240" w:lineRule="auto"/>
        <w:rPr>
          <w:rFonts w:hint="eastAsia" w:ascii="方正楷体_GBK" w:hAnsi="方正楷体_GBK" w:eastAsia="方正楷体_GBK" w:cs="方正楷体_GBK"/>
        </w:rPr>
      </w:pPr>
      <w:r/>
      <w:bookmarkStart w:id="137" w:name="_Toc513029232"/>
      <w:r/>
      <w:bookmarkStart w:id="138" w:name="_Toc20823304"/>
      <w:r/>
      <w:bookmarkStart w:id="139" w:name="_Toc16938548"/>
      <w:r>
        <w:rPr>
          <w:rFonts w:hint="eastAsia" w:ascii="方正楷体_GBK" w:hAnsi="方正楷体_GBK" w:eastAsia="方正楷体_GBK" w:cs="方正楷体_GBK"/>
        </w:rPr>
        <w:t xml:space="preserve">23.评审过程中的</w:t>
      </w:r>
      <w:r>
        <w:rPr>
          <w:rFonts w:hint="eastAsia" w:ascii="方正楷体_GBK" w:hAnsi="方正楷体_GBK" w:eastAsia="方正楷体_GBK" w:cs="方正楷体_GBK"/>
        </w:rPr>
        <w:t xml:space="preserve">的</w:t>
      </w:r>
      <w:r>
        <w:rPr>
          <w:rFonts w:hint="eastAsia" w:ascii="方正楷体_GBK" w:hAnsi="方正楷体_GBK" w:eastAsia="方正楷体_GBK" w:cs="方正楷体_GBK"/>
        </w:rPr>
        <w:t xml:space="preserve">澄清</w:t>
      </w:r>
      <w:bookmarkEnd w:id="137"/>
      <w:r/>
      <w:bookmarkEnd w:id="138"/>
      <w:r/>
      <w:bookmarkEnd w:id="139"/>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项目评审期间，谈判小组对响应文件中含义不明确、同类问题表述不一致或者有明显文字和计算错误的内容，有权要求供应商</w:t>
      </w:r>
      <w:r>
        <w:rPr>
          <w:rFonts w:hint="eastAsia" w:ascii="宋体" w:hAnsi="宋体"/>
          <w:sz w:val="24"/>
          <w:lang w:val="zh-CN"/>
        </w:rPr>
        <w:t xml:space="preserve">作出</w:t>
      </w:r>
      <w:r>
        <w:rPr>
          <w:rFonts w:hint="eastAsia" w:ascii="宋体" w:hAnsi="宋体"/>
          <w:sz w:val="24"/>
          <w:lang w:val="zh-CN"/>
        </w:rPr>
        <w:t xml:space="preserve">必要的澄清、说明或者补正。</w:t>
      </w:r>
      <w:r/>
    </w:p>
    <w:p>
      <w:pPr>
        <w:ind w:firstLine="420"/>
        <w:rPr>
          <w:rFonts w:hint="eastAsia" w:ascii="宋体" w:hAnsi="宋体"/>
          <w:sz w:val="24"/>
          <w:lang w:val="zh-CN"/>
        </w:rPr>
      </w:pPr>
      <w:r>
        <w:rPr>
          <w:rFonts w:hint="eastAsia" w:ascii="宋体" w:hAnsi="宋体"/>
          <w:sz w:val="24"/>
          <w:lang w:val="zh-CN"/>
        </w:rPr>
        <w:t xml:space="preserve">供应商的澄清、说明或者补正不得超出响应文件的范围或者改变响应文件的实质性内容。</w:t>
      </w:r>
      <w:r/>
    </w:p>
    <w:p>
      <w:pPr>
        <w:ind w:firstLine="420"/>
        <w:rPr>
          <w:rFonts w:hint="eastAsia" w:ascii="宋体" w:hAnsi="宋体"/>
          <w:sz w:val="24"/>
          <w:lang w:val="zh-CN"/>
        </w:rPr>
      </w:pPr>
      <w:r>
        <w:rPr>
          <w:rFonts w:hint="eastAsia" w:ascii="宋体" w:hAnsi="宋体"/>
          <w:sz w:val="24"/>
          <w:lang w:val="zh-CN"/>
        </w:rPr>
        <w:t xml:space="preserve">谈判小组并非对每个供应商都做澄清要求。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需要供应商进行澄清、说明和补正的，谈判小组将通过苏</w:t>
      </w:r>
      <w:r>
        <w:rPr>
          <w:rFonts w:hint="eastAsia" w:ascii="宋体" w:hAnsi="宋体"/>
          <w:sz w:val="24"/>
          <w:lang w:val="zh-CN"/>
        </w:rPr>
        <w:t xml:space="preserve">采云</w:t>
      </w:r>
      <w:r>
        <w:rPr>
          <w:rFonts w:hint="eastAsia" w:ascii="宋体" w:hAnsi="宋体"/>
          <w:sz w:val="24"/>
          <w:lang w:val="zh-CN"/>
        </w:rPr>
        <w:t xml:space="preserve">系统向供应商发布《澄清要求函》，接到《澄清要求函》的供应商应当按照要求在苏</w:t>
      </w:r>
      <w:r>
        <w:rPr>
          <w:rFonts w:hint="eastAsia" w:ascii="宋体" w:hAnsi="宋体"/>
          <w:sz w:val="24"/>
          <w:lang w:val="zh-CN"/>
        </w:rPr>
        <w:t xml:space="preserve">采云</w:t>
      </w:r>
      <w:r>
        <w:rPr>
          <w:rFonts w:hint="eastAsia" w:ascii="宋体" w:hAnsi="宋体"/>
          <w:sz w:val="24"/>
          <w:lang w:val="zh-CN"/>
        </w:rPr>
        <w:t xml:space="preserve">系统中提交《澄清响应函》并加盖电子公章。澄清、说明和补正的内容作为响应文件的补充部分，具体操作方式</w:t>
      </w:r>
      <w:r>
        <w:rPr>
          <w:rFonts w:hint="eastAsia" w:ascii="宋体" w:hAnsi="宋体"/>
          <w:sz w:val="24"/>
          <w:lang w:val="zh-CN"/>
        </w:rPr>
        <w:t xml:space="preserve">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接到谈判小组澄清、说明和补正要求的供应商如未按规定做出澄清、说明和补正，其风险由供应商自行承担。</w:t>
      </w:r>
      <w:r/>
    </w:p>
    <w:p>
      <w:pPr>
        <w:pStyle w:val="915"/>
        <w:ind w:firstLine="422"/>
        <w:spacing w:before="0" w:after="0" w:line="240" w:lineRule="auto"/>
        <w:rPr>
          <w:rFonts w:hint="eastAsia" w:ascii="方正楷体_GBK" w:hAnsi="方正楷体_GBK" w:eastAsia="方正楷体_GBK" w:cs="方正楷体_GBK"/>
        </w:rPr>
      </w:pPr>
      <w:r/>
      <w:bookmarkStart w:id="140" w:name="_Toc20823305"/>
      <w:r/>
      <w:bookmarkStart w:id="141" w:name="_Toc16938549"/>
      <w:r/>
      <w:bookmarkStart w:id="142" w:name="_Toc513029233"/>
      <w:r>
        <w:rPr>
          <w:rFonts w:hint="eastAsia" w:ascii="方正楷体_GBK" w:hAnsi="方正楷体_GBK" w:eastAsia="方正楷体_GBK" w:cs="方正楷体_GBK"/>
        </w:rPr>
        <w:t xml:space="preserve">24.响应文件的审</w:t>
      </w:r>
      <w:bookmarkEnd w:id="140"/>
      <w:r/>
      <w:bookmarkEnd w:id="141"/>
      <w:r/>
      <w:bookmarkEnd w:id="142"/>
      <w:r>
        <w:rPr>
          <w:rFonts w:hint="eastAsia" w:ascii="方正楷体_GBK" w:hAnsi="方正楷体_GBK" w:eastAsia="方正楷体_GBK" w:cs="方正楷体_GBK"/>
        </w:rPr>
        <w:t xml:space="preserve">查</w:t>
      </w:r>
      <w:r/>
    </w:p>
    <w:p>
      <w:pPr>
        <w:ind w:firstLine="420"/>
        <w:rPr>
          <w:rFonts w:hint="eastAsia" w:ascii="宋体" w:hAnsi="宋体"/>
          <w:sz w:val="24"/>
        </w:rPr>
      </w:pPr>
      <w:r>
        <w:rPr>
          <w:rFonts w:hint="eastAsia" w:ascii="宋体" w:hAnsi="宋体"/>
          <w:sz w:val="24"/>
        </w:rPr>
        <w:t xml:space="preserve">24.1 响应文件审查分为资格审查和符合性审查。</w:t>
      </w:r>
      <w:r/>
    </w:p>
    <w:p>
      <w:pPr>
        <w:ind w:firstLine="420"/>
        <w:rPr>
          <w:rFonts w:hint="eastAsia" w:ascii="宋体" w:hAnsi="宋体"/>
          <w:sz w:val="24"/>
        </w:rPr>
      </w:pPr>
      <w:r>
        <w:rPr>
          <w:rFonts w:hint="eastAsia" w:ascii="宋体" w:hAnsi="宋体"/>
          <w:sz w:val="24"/>
        </w:rPr>
        <w:t xml:space="preserve">24.1.1 资格审查。依据法律法规和谈判文件的规定，谈判小组对响应文件中的资格证明文件进行审查，以确定供应商是否具备参加谈判的资格。</w:t>
      </w:r>
      <w:r/>
    </w:p>
    <w:p>
      <w:pPr>
        <w:ind w:firstLine="420"/>
        <w:rPr>
          <w:rFonts w:hint="eastAsia" w:ascii="宋体" w:hAnsi="宋体"/>
          <w:sz w:val="24"/>
        </w:rPr>
      </w:pPr>
      <w:r>
        <w:rPr>
          <w:rFonts w:hint="eastAsia" w:ascii="宋体" w:hAnsi="宋体"/>
          <w:sz w:val="24"/>
        </w:rPr>
        <w:t xml:space="preserve">谈判小组在进行资格审查的同时，将在“信用中国”网站（www.creditchina.gov.cn）查询供应商的信用记录，以确定供应商是否具备谈判资格，查询结果留存并归档。</w:t>
      </w:r>
      <w:r/>
    </w:p>
    <w:p>
      <w:pPr>
        <w:ind w:firstLine="420"/>
        <w:rPr>
          <w:rFonts w:hint="eastAsia" w:ascii="宋体" w:hAnsi="宋体"/>
          <w:sz w:val="24"/>
        </w:rPr>
      </w:pPr>
      <w:r>
        <w:rPr>
          <w:rFonts w:hint="eastAsia" w:ascii="宋体" w:hAnsi="宋体"/>
          <w:sz w:val="24"/>
        </w:rPr>
        <w:t xml:space="preserve">接受联合体的项目，联合体成员存在不良信用记录的，视同联合体存在不良应用记录。</w:t>
      </w:r>
      <w:r/>
    </w:p>
    <w:p>
      <w:pPr>
        <w:ind w:firstLine="420"/>
        <w:rPr>
          <w:rFonts w:hint="eastAsia" w:ascii="宋体" w:hAnsi="宋体"/>
          <w:sz w:val="24"/>
        </w:rPr>
      </w:pPr>
      <w:r>
        <w:rPr>
          <w:rFonts w:hint="eastAsia" w:ascii="宋体" w:hAnsi="宋体"/>
          <w:sz w:val="24"/>
        </w:rPr>
        <w:t xml:space="preserve">24.1.2 符合性审查。依据谈判文件的规定，由谈判小组从响应文件的有效性、完整性和对谈判文件的响应程度进行审查，以确定是否对谈判文件的实质性要求</w:t>
      </w:r>
      <w:r>
        <w:rPr>
          <w:rFonts w:hint="eastAsia" w:ascii="宋体" w:hAnsi="宋体"/>
          <w:sz w:val="24"/>
        </w:rPr>
        <w:t xml:space="preserve">作出</w:t>
      </w:r>
      <w:r>
        <w:rPr>
          <w:rFonts w:hint="eastAsia" w:ascii="宋体" w:hAnsi="宋体"/>
          <w:sz w:val="24"/>
        </w:rPr>
        <w:t xml:space="preserve">响应。</w:t>
      </w:r>
      <w:r/>
    </w:p>
    <w:p>
      <w:pPr>
        <w:ind w:firstLine="420"/>
        <w:rPr>
          <w:rFonts w:hint="eastAsia" w:ascii="宋体" w:hAnsi="宋体"/>
          <w:sz w:val="24"/>
        </w:rPr>
      </w:pPr>
      <w:r>
        <w:rPr>
          <w:rFonts w:hint="eastAsia" w:ascii="宋体" w:hAnsi="宋体"/>
          <w:sz w:val="24"/>
        </w:rPr>
        <w:t xml:space="preserve">24.1.3 未通过资格审查或符合性审查的供应商，谈判小组将通过苏</w:t>
      </w:r>
      <w:r>
        <w:rPr>
          <w:rFonts w:hint="eastAsia" w:ascii="宋体" w:hAnsi="宋体"/>
          <w:sz w:val="24"/>
        </w:rPr>
        <w:t xml:space="preserve">采云</w:t>
      </w:r>
      <w:r>
        <w:rPr>
          <w:rFonts w:hint="eastAsia" w:ascii="宋体" w:hAnsi="宋体"/>
          <w:sz w:val="24"/>
        </w:rPr>
        <w:t xml:space="preserve">系统告知具体原因，评审结束后将不再接受有关询问。</w:t>
      </w:r>
      <w:r/>
    </w:p>
    <w:p>
      <w:pPr>
        <w:ind w:firstLine="420"/>
        <w:rPr>
          <w:rFonts w:hint="eastAsia" w:ascii="宋体" w:hAnsi="宋体"/>
          <w:sz w:val="24"/>
        </w:rPr>
      </w:pPr>
      <w:r>
        <w:rPr>
          <w:rFonts w:hint="eastAsia" w:ascii="宋体" w:hAnsi="宋体"/>
          <w:sz w:val="24"/>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p>
    <w:p>
      <w:pPr>
        <w:ind w:firstLine="420"/>
        <w:rPr>
          <w:rFonts w:hint="eastAsia" w:ascii="宋体" w:hAnsi="宋体"/>
          <w:sz w:val="24"/>
        </w:rPr>
      </w:pPr>
      <w:r>
        <w:rPr>
          <w:rFonts w:hint="eastAsia" w:ascii="宋体" w:hAnsi="宋体"/>
          <w:sz w:val="24"/>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w:t>
      </w:r>
      <w:r>
        <w:rPr>
          <w:rFonts w:hint="eastAsia" w:ascii="宋体" w:hAnsi="宋体"/>
          <w:sz w:val="24"/>
        </w:rPr>
        <w:t xml:space="preserve">商产生</w:t>
      </w:r>
      <w:r>
        <w:rPr>
          <w:rFonts w:hint="eastAsia" w:ascii="宋体" w:hAnsi="宋体"/>
          <w:sz w:val="24"/>
        </w:rPr>
        <w:t xml:space="preserve">不公正的影响。重大偏离的认定由谈判小组按照少数服从多数的原则</w:t>
      </w:r>
      <w:r>
        <w:rPr>
          <w:rFonts w:hint="eastAsia" w:ascii="宋体" w:hAnsi="宋体"/>
          <w:sz w:val="24"/>
        </w:rPr>
        <w:t xml:space="preserve">作出</w:t>
      </w:r>
      <w:r>
        <w:rPr>
          <w:rFonts w:hint="eastAsia" w:ascii="宋体" w:hAnsi="宋体"/>
          <w:sz w:val="24"/>
        </w:rPr>
        <w:t xml:space="preserve">结论。谈判小组决定响应文件的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rPr>
        <w:t xml:space="preserve">谈判</w:t>
      </w:r>
      <w:r>
        <w:rPr>
          <w:rFonts w:hint="eastAsia" w:ascii="宋体" w:hAnsi="宋体"/>
          <w:sz w:val="24"/>
          <w:szCs w:val="21"/>
        </w:rPr>
        <w:t xml:space="preserve">小组</w:t>
      </w:r>
      <w:r>
        <w:rPr>
          <w:rFonts w:hint="eastAsia" w:ascii="宋体" w:hAnsi="宋体"/>
          <w:sz w:val="24"/>
          <w:lang w:val="zh-CN"/>
        </w:rPr>
        <w:t xml:space="preserve">应当启动异常低价审查程序：</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谈判</w:t>
      </w:r>
      <w:r>
        <w:rPr>
          <w:rFonts w:hint="eastAsia" w:ascii="宋体" w:hAnsi="宋体"/>
          <w:sz w:val="24"/>
          <w:szCs w:val="21"/>
        </w:rPr>
        <w:t xml:space="preserve">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2谈判</w:t>
      </w:r>
      <w:r>
        <w:rPr>
          <w:rFonts w:hint="eastAsia" w:ascii="宋体" w:hAnsi="宋体"/>
          <w:sz w:val="24"/>
          <w:szCs w:val="21"/>
        </w:rPr>
        <w:t xml:space="preserve">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w:t>
      </w:r>
      <w:r>
        <w:rPr>
          <w:rFonts w:hint="eastAsia" w:ascii="宋体" w:hAnsi="宋体"/>
          <w:sz w:val="24"/>
          <w:lang w:val="zh-CN"/>
        </w:rPr>
        <w:t xml:space="preserve">解释，提供项目具体成本测算等与报价合理性相关的书面说明及必要的证明材料，包括但不限于原材料成本、人工成本、制造费用等，给予相关供应商的合理时间一般不少于30分钟。其中，属于第（3）项情形，</w:t>
      </w:r>
      <w:bookmarkStart w:id="143"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43"/>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szCs w:val="21"/>
        </w:rPr>
        <w:t xml:space="preserve">谈判小组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谈判小组</w:t>
      </w:r>
      <w:r>
        <w:rPr>
          <w:rFonts w:hint="eastAsia" w:ascii="宋体" w:hAnsi="宋体"/>
          <w:sz w:val="24"/>
          <w:lang w:val="zh-CN"/>
        </w:rPr>
        <w:t xml:space="preserve">应当将其作为</w:t>
      </w:r>
      <w:r>
        <w:rPr>
          <w:rFonts w:hint="eastAsia" w:ascii="宋体" w:hAnsi="宋体"/>
          <w:sz w:val="24"/>
        </w:rPr>
        <w:t xml:space="preserve">未实质性响应谈判文件</w:t>
      </w:r>
      <w:r>
        <w:rPr>
          <w:rFonts w:hint="eastAsia" w:ascii="宋体" w:hAnsi="宋体"/>
          <w:sz w:val="24"/>
          <w:lang w:val="zh-CN"/>
        </w:rPr>
        <w:t xml:space="preserve">处理。</w:t>
      </w:r>
      <w:r/>
    </w:p>
    <w:p>
      <w:pPr>
        <w:ind w:firstLine="420"/>
        <w:rPr>
          <w:rFonts w:hint="eastAsia" w:ascii="宋体" w:hAnsi="宋体"/>
          <w:sz w:val="24"/>
        </w:rPr>
      </w:pPr>
      <w:r>
        <w:rPr>
          <w:rFonts w:hint="eastAsia" w:ascii="宋体" w:hAnsi="宋体"/>
          <w:sz w:val="24"/>
        </w:rPr>
        <w:t xml:space="preserve">24.4 未实质性响应谈判文件的情形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供应商在苏</w:t>
      </w:r>
      <w:r>
        <w:rPr>
          <w:rFonts w:hint="eastAsia" w:ascii="宋体" w:hAnsi="宋体"/>
          <w:sz w:val="24"/>
          <w:lang w:val="zh-CN"/>
        </w:rPr>
        <w:t xml:space="preserve">采云</w:t>
      </w:r>
      <w:r>
        <w:rPr>
          <w:rFonts w:hint="eastAsia" w:ascii="宋体" w:hAnsi="宋体"/>
          <w:sz w:val="24"/>
          <w:lang w:val="zh-CN"/>
        </w:rPr>
        <w:t xml:space="preserve">系统规定的时间内未成功解密电子响应文件。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供应商未按照谈判文件要求上传电子响应文件。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同</w:t>
      </w:r>
      <w:r>
        <w:rPr>
          <w:rFonts w:hint="eastAsia" w:ascii="宋体" w:hAnsi="宋体"/>
          <w:sz w:val="24"/>
          <w:lang w:val="zh-CN"/>
        </w:rPr>
        <w:t xml:space="preserve">一供应</w:t>
      </w:r>
      <w:r>
        <w:rPr>
          <w:rFonts w:hint="eastAsia" w:ascii="宋体" w:hAnsi="宋体"/>
          <w:sz w:val="24"/>
          <w:lang w:val="zh-CN"/>
        </w:rPr>
        <w:t xml:space="preserve">商提交两个（含两个）以上不同的响应文件或者报价。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供应商不具备谈判文件中规定的资格要求。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不符合谈判文件中规定的实质性要求和条件（</w:t>
      </w:r>
      <w:r>
        <w:rPr>
          <w:rFonts w:hint="eastAsia" w:ascii="宋体" w:hAnsi="宋体"/>
          <w:b/>
          <w:bCs/>
          <w:sz w:val="24"/>
          <w:lang w:val="zh-CN"/>
        </w:rPr>
        <w:t xml:space="preserve">本文件中</w:t>
      </w:r>
      <w:r>
        <w:rPr>
          <w:rFonts w:hint="eastAsia" w:ascii="宋体" w:hAnsi="宋体"/>
          <w:b/>
          <w:bCs/>
          <w:sz w:val="24"/>
          <w:szCs w:val="21"/>
        </w:rPr>
        <w:t xml:space="preserve">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.7</w:t>
      </w:r>
      <w:r>
        <w:rPr>
          <w:rFonts w:hint="eastAsia" w:ascii="宋体" w:hAnsi="宋体"/>
          <w:sz w:val="24"/>
        </w:rPr>
        <w:t xml:space="preserve"> </w:t>
      </w:r>
      <w:r>
        <w:rPr>
          <w:rFonts w:hint="eastAsia" w:ascii="宋体" w:hAnsi="宋体"/>
          <w:sz w:val="24"/>
          <w:lang w:val="zh-CN"/>
        </w:rPr>
        <w:t xml:space="preserve">供应商被 “信用中国”网站（www.creditchina.gov.cn）列入失信被执行人或重大税收违法案件当事人名单或政府采购严重失信行为记录名单，或查询“信用中国”网站后发现供应</w:t>
      </w:r>
      <w:r>
        <w:rPr>
          <w:rFonts w:hint="eastAsia" w:ascii="宋体" w:hAnsi="宋体"/>
          <w:sz w:val="24"/>
          <w:lang w:val="zh-CN"/>
        </w:rPr>
        <w:t xml:space="preserve">商存在</w:t>
      </w:r>
      <w:r>
        <w:rPr>
          <w:rFonts w:hint="eastAsia" w:ascii="宋体" w:hAnsi="宋体"/>
          <w:sz w:val="24"/>
          <w:lang w:val="zh-CN"/>
        </w:rPr>
        <w:t xml:space="preserve">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.8</w:t>
      </w:r>
      <w:r>
        <w:rPr>
          <w:rFonts w:hint="eastAsia" w:ascii="宋体" w:hAnsi="宋体"/>
          <w:sz w:val="24"/>
        </w:rPr>
        <w:t xml:space="preserve"> </w:t>
      </w:r>
      <w:r>
        <w:rPr>
          <w:rFonts w:hint="eastAsia" w:ascii="宋体" w:hAnsi="宋体"/>
          <w:sz w:val="24"/>
          <w:lang w:val="zh-CN"/>
        </w:rPr>
        <w:t xml:space="preserve">响应文件含有采购人不能接受的附加条件。</w:t>
      </w:r>
      <w:r/>
    </w:p>
    <w:p>
      <w:pPr>
        <w:ind w:firstLine="420"/>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.9</w:t>
      </w:r>
      <w:r>
        <w:rPr>
          <w:rFonts w:hint="eastAsia" w:ascii="宋体" w:hAnsi="宋体"/>
          <w:sz w:val="24"/>
        </w:rPr>
        <w:t xml:space="preserve"> 谈判</w:t>
      </w:r>
      <w:r>
        <w:rPr>
          <w:rFonts w:hint="eastAsia" w:ascii="宋体" w:hAnsi="宋体"/>
          <w:sz w:val="24"/>
          <w:szCs w:val="21"/>
        </w:rPr>
        <w:t xml:space="preserve">小组按照本采购文件规定对供应商进行异常低价审查后，认为供应商不能证明其报价合理性的。</w:t>
      </w:r>
      <w:r/>
    </w:p>
    <w:p>
      <w:pPr>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4</w:t>
      </w:r>
      <w:r>
        <w:rPr>
          <w:rFonts w:hint="eastAsia" w:ascii="宋体" w:hAnsi="宋体"/>
          <w:sz w:val="24"/>
          <w:szCs w:val="21"/>
          <w:lang w:val="zh-CN"/>
        </w:rPr>
        <w:t xml:space="preserve">.</w:t>
      </w:r>
      <w:r>
        <w:rPr>
          <w:rFonts w:hint="eastAsia" w:ascii="宋体" w:hAnsi="宋体"/>
          <w:sz w:val="24"/>
          <w:szCs w:val="21"/>
        </w:rPr>
        <w:t xml:space="preserve">4</w:t>
      </w:r>
      <w:r>
        <w:rPr>
          <w:rFonts w:hint="eastAsia" w:ascii="宋体" w:hAnsi="宋体"/>
          <w:sz w:val="24"/>
          <w:szCs w:val="21"/>
          <w:lang w:val="zh-CN"/>
        </w:rPr>
        <w:t xml:space="preserve">.</w:t>
      </w:r>
      <w:r>
        <w:rPr>
          <w:rFonts w:hint="eastAsia" w:ascii="宋体" w:hAnsi="宋体"/>
          <w:sz w:val="24"/>
          <w:szCs w:val="21"/>
        </w:rPr>
        <w:t xml:space="preserve">10 </w:t>
      </w:r>
      <w:r>
        <w:rPr>
          <w:rFonts w:hint="eastAsia" w:ascii="宋体" w:hAnsi="宋体"/>
          <w:sz w:val="24"/>
          <w:szCs w:val="21"/>
          <w:lang w:val="zh-CN"/>
        </w:rPr>
        <w:t xml:space="preserve">采购产品被财政部、</w:t>
      </w:r>
      <w:r>
        <w:rPr>
          <w:rFonts w:hint="eastAsia" w:ascii="宋体" w:hAnsi="宋体"/>
          <w:sz w:val="24"/>
          <w:szCs w:val="21"/>
          <w:lang w:val="zh-CN"/>
        </w:rPr>
        <w:t xml:space="preserve">国家发改委</w:t>
      </w:r>
      <w:r>
        <w:rPr>
          <w:rFonts w:hint="eastAsia" w:ascii="宋体" w:hAnsi="宋体"/>
          <w:sz w:val="24"/>
          <w:szCs w:val="21"/>
          <w:lang w:val="zh-CN"/>
        </w:rPr>
        <w:t xml:space="preserve">、生态环境部等列入“节能产品品目清单”、“环境标志产品品目清单”强制采购范围，</w:t>
      </w:r>
      <w:r>
        <w:rPr>
          <w:rFonts w:hint="eastAsia" w:ascii="宋体" w:hAnsi="宋体"/>
          <w:sz w:val="24"/>
          <w:szCs w:val="21"/>
        </w:rPr>
        <w:t xml:space="preserve">而供应商提供的产品不在强制采购范围内</w:t>
      </w:r>
      <w:r>
        <w:rPr>
          <w:rFonts w:hint="eastAsia" w:ascii="宋体" w:hAnsi="宋体"/>
          <w:sz w:val="24"/>
          <w:szCs w:val="21"/>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1 </w:t>
      </w:r>
      <w:r>
        <w:rPr>
          <w:rFonts w:hint="eastAsia" w:ascii="宋体" w:hAnsi="宋体"/>
          <w:sz w:val="24"/>
          <w:lang w:val="zh-CN"/>
        </w:rPr>
        <w:t xml:space="preserve">响应文件未按照谈判文件要求加盖电子公章。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2 </w:t>
      </w:r>
      <w:r>
        <w:rPr>
          <w:rFonts w:hint="eastAsia" w:ascii="宋体" w:hAnsi="宋体"/>
          <w:sz w:val="24"/>
          <w:szCs w:val="21"/>
        </w:rPr>
        <w:t xml:space="preserve">法律法规及</w:t>
      </w:r>
      <w:r>
        <w:rPr>
          <w:rFonts w:hint="eastAsia" w:ascii="宋体" w:hAnsi="宋体"/>
          <w:sz w:val="24"/>
          <w:szCs w:val="21"/>
        </w:rPr>
        <w:t xml:space="preserve">本谈判</w:t>
      </w:r>
      <w:r>
        <w:rPr>
          <w:rFonts w:hint="eastAsia" w:ascii="宋体" w:hAnsi="宋体"/>
          <w:sz w:val="24"/>
          <w:szCs w:val="21"/>
        </w:rPr>
        <w:t xml:space="preserve">文件规定的其他无效响应情形。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未实质性响应谈判文件的响应文件按无效响应处理。</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如果响应文件实质上没有响应谈判文件的要求，谈判小组将予以拒绝，供应商不得通过修改或撤销不</w:t>
      </w:r>
      <w:r>
        <w:rPr>
          <w:rFonts w:hint="eastAsia" w:ascii="宋体" w:hAnsi="宋体"/>
          <w:sz w:val="24"/>
        </w:rPr>
        <w:t xml:space="preserve">符合</w:t>
      </w:r>
      <w:r>
        <w:rPr>
          <w:rFonts w:hint="eastAsia" w:ascii="宋体" w:hAnsi="宋体"/>
          <w:sz w:val="24"/>
          <w:lang w:val="zh-CN"/>
        </w:rPr>
        <w:t xml:space="preserve">要求的偏离或保留而使其成为实质性响应的文件。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 </w:t>
      </w:r>
      <w:r>
        <w:rPr>
          <w:rFonts w:hint="eastAsia" w:ascii="宋体" w:hAnsi="宋体"/>
          <w:sz w:val="24"/>
          <w:lang w:val="zh-CN"/>
        </w:rPr>
        <w:t xml:space="preserve">供应商在项目评审全过程中应保持通讯畅通，及时登录苏</w:t>
      </w:r>
      <w:r>
        <w:rPr>
          <w:rFonts w:hint="eastAsia" w:ascii="宋体" w:hAnsi="宋体"/>
          <w:sz w:val="24"/>
          <w:lang w:val="zh-CN"/>
        </w:rPr>
        <w:t xml:space="preserve">采云</w:t>
      </w:r>
      <w:r>
        <w:rPr>
          <w:rFonts w:hint="eastAsia" w:ascii="宋体" w:hAnsi="宋体"/>
          <w:sz w:val="24"/>
          <w:lang w:val="zh-CN"/>
        </w:rPr>
        <w:t xml:space="preserve">系统查阅、答复相关信息，并安排专人与交易中心及谈判小组联系。</w:t>
      </w:r>
      <w:r/>
    </w:p>
    <w:p>
      <w:pPr>
        <w:pStyle w:val="915"/>
        <w:ind w:firstLine="422"/>
        <w:spacing w:before="0" w:after="0" w:line="240" w:lineRule="auto"/>
        <w:rPr>
          <w:rFonts w:hint="eastAsia" w:ascii="方正楷体_GBK" w:hAnsi="方正楷体_GBK" w:eastAsia="方正楷体_GBK" w:cs="方正楷体_GBK"/>
          <w:lang w:val="zh-CN"/>
        </w:rPr>
      </w:pPr>
      <w:r/>
      <w:bookmarkStart w:id="144" w:name="_Toc513029234"/>
      <w:r/>
      <w:bookmarkStart w:id="145" w:name="_Toc20823306"/>
      <w:r/>
      <w:bookmarkStart w:id="146" w:name="_Toc16938550"/>
      <w:r>
        <w:rPr>
          <w:rFonts w:hint="eastAsia" w:ascii="方正楷体_GBK" w:hAnsi="方正楷体_GBK" w:eastAsia="方正楷体_GBK" w:cs="方正楷体_GBK"/>
          <w:lang w:val="zh-CN"/>
        </w:rPr>
        <w:t xml:space="preserve">2</w:t>
      </w:r>
      <w:bookmarkEnd w:id="144"/>
      <w:r/>
      <w:bookmarkEnd w:id="145"/>
      <w:r/>
      <w:bookmarkEnd w:id="146"/>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谈判程序及成交标准</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谈判程序</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谈判</w:t>
      </w:r>
      <w:r>
        <w:rPr>
          <w:rFonts w:hint="eastAsia" w:ascii="宋体" w:hAnsi="宋体"/>
          <w:sz w:val="24"/>
          <w:szCs w:val="21"/>
        </w:rPr>
        <w:t xml:space="preserve">小组将与通过资格审查和符合性审查的供应商分别进行</w:t>
      </w:r>
      <w:r>
        <w:rPr>
          <w:rFonts w:hint="eastAsia" w:ascii="宋体" w:hAnsi="宋体"/>
          <w:sz w:val="24"/>
          <w:lang w:val="zh-CN"/>
        </w:rPr>
        <w:t xml:space="preserve">谈判。谈判小组通过苏</w:t>
      </w:r>
      <w:r>
        <w:rPr>
          <w:rFonts w:hint="eastAsia" w:ascii="宋体" w:hAnsi="宋体"/>
          <w:sz w:val="24"/>
          <w:lang w:val="zh-CN"/>
        </w:rPr>
        <w:t xml:space="preserve">采云</w:t>
      </w:r>
      <w:r>
        <w:rPr>
          <w:rFonts w:hint="eastAsia" w:ascii="宋体" w:hAnsi="宋体"/>
          <w:sz w:val="24"/>
          <w:lang w:val="zh-CN"/>
        </w:rPr>
        <w:t xml:space="preserve">系统向供应商发布《谈判函》，供应商应当按照要求在苏</w:t>
      </w:r>
      <w:r>
        <w:rPr>
          <w:rFonts w:hint="eastAsia" w:ascii="宋体" w:hAnsi="宋体"/>
          <w:sz w:val="24"/>
          <w:lang w:val="zh-CN"/>
        </w:rPr>
        <w:t xml:space="preserve">采云</w:t>
      </w:r>
      <w:r>
        <w:rPr>
          <w:rFonts w:hint="eastAsia" w:ascii="宋体" w:hAnsi="宋体"/>
          <w:sz w:val="24"/>
          <w:lang w:val="zh-CN"/>
        </w:rPr>
        <w:t xml:space="preserve">系统提交《谈判响应函》并加盖电子公章。</w:t>
      </w:r>
      <w:r/>
    </w:p>
    <w:p>
      <w:pPr>
        <w:ind w:firstLine="420"/>
        <w:rPr>
          <w:rFonts w:hint="eastAsia" w:ascii="宋体" w:hAnsi="宋体"/>
          <w:sz w:val="24"/>
          <w:lang w:val="zh-CN"/>
        </w:rPr>
      </w:pPr>
      <w:r>
        <w:rPr>
          <w:rFonts w:hint="eastAsia" w:ascii="宋体" w:hAnsi="宋体"/>
          <w:sz w:val="24"/>
          <w:lang w:val="zh-CN"/>
        </w:rPr>
        <w:t xml:space="preserve">在谈判过程中，谈判小组可能根据谈判情况对谈判文件进行实质性变动的内容包括：采购需求中的技术、服务要求以及合同草案条款。对谈判文件</w:t>
      </w:r>
      <w:r>
        <w:rPr>
          <w:rFonts w:hint="eastAsia" w:ascii="宋体" w:hAnsi="宋体"/>
          <w:sz w:val="24"/>
          <w:lang w:val="zh-CN"/>
        </w:rPr>
        <w:t xml:space="preserve">作出</w:t>
      </w:r>
      <w:r>
        <w:rPr>
          <w:rFonts w:hint="eastAsia" w:ascii="宋体" w:hAnsi="宋体"/>
          <w:sz w:val="24"/>
          <w:lang w:val="zh-CN"/>
        </w:rPr>
        <w:t xml:space="preserve">的实质性变动是谈判文件的有效组成部分，谈判小组将在苏</w:t>
      </w:r>
      <w:r>
        <w:rPr>
          <w:rFonts w:hint="eastAsia" w:ascii="宋体" w:hAnsi="宋体"/>
          <w:sz w:val="24"/>
          <w:lang w:val="zh-CN"/>
        </w:rPr>
        <w:t xml:space="preserve">采云</w:t>
      </w:r>
      <w:r>
        <w:rPr>
          <w:rFonts w:hint="eastAsia" w:ascii="宋体" w:hAnsi="宋体"/>
          <w:sz w:val="24"/>
          <w:lang w:val="zh-CN"/>
        </w:rPr>
        <w:t xml:space="preserve">系统中通知所有参加谈判的供应商。供应商应当按照谈判文件的变动情况和谈判小组的要求在苏</w:t>
      </w:r>
      <w:r>
        <w:rPr>
          <w:rFonts w:hint="eastAsia" w:ascii="宋体" w:hAnsi="宋体"/>
          <w:sz w:val="24"/>
          <w:lang w:val="zh-CN"/>
        </w:rPr>
        <w:t xml:space="preserve">采云</w:t>
      </w:r>
      <w:r>
        <w:rPr>
          <w:rFonts w:hint="eastAsia" w:ascii="宋体" w:hAnsi="宋体"/>
          <w:sz w:val="24"/>
          <w:lang w:val="zh-CN"/>
        </w:rPr>
        <w:t xml:space="preserve">系统中重新提交响应文件，并加盖电子公章。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谈判文件能够详细列明采购标的</w:t>
      </w:r>
      <w:r>
        <w:rPr>
          <w:rFonts w:hint="eastAsia" w:ascii="宋体" w:hAnsi="宋体"/>
          <w:sz w:val="24"/>
          <w:lang w:val="zh-CN"/>
        </w:rPr>
        <w:t xml:space="preserve">的</w:t>
      </w:r>
      <w:r>
        <w:rPr>
          <w:rFonts w:hint="eastAsia" w:ascii="宋体" w:hAnsi="宋体"/>
          <w:sz w:val="24"/>
          <w:lang w:val="zh-CN"/>
        </w:rPr>
        <w:t xml:space="preserve">技术、服务要求的，谈判结束后，谈判小组将在苏</w:t>
      </w:r>
      <w:r>
        <w:rPr>
          <w:rFonts w:hint="eastAsia" w:ascii="宋体" w:hAnsi="宋体"/>
          <w:sz w:val="24"/>
          <w:lang w:val="zh-CN"/>
        </w:rPr>
        <w:t xml:space="preserve">采云</w:t>
      </w:r>
      <w:r>
        <w:rPr>
          <w:rFonts w:hint="eastAsia" w:ascii="宋体" w:hAnsi="宋体"/>
          <w:sz w:val="24"/>
          <w:lang w:val="zh-CN"/>
        </w:rPr>
        <w:t xml:space="preserve">系统向所有实质性响应的供应商发布《最后报价要求函》及最后报价格式表，要求所有实质性响应的供应商在规定时间内提交最后报价。</w:t>
      </w:r>
      <w:r/>
    </w:p>
    <w:p>
      <w:pPr>
        <w:ind w:firstLine="420"/>
        <w:rPr>
          <w:rFonts w:hint="eastAsia" w:ascii="宋体" w:hAnsi="宋体"/>
          <w:sz w:val="24"/>
          <w:lang w:val="zh-CN"/>
        </w:rPr>
      </w:pPr>
      <w:r>
        <w:rPr>
          <w:rFonts w:hint="eastAsia" w:ascii="宋体" w:hAnsi="宋体"/>
          <w:sz w:val="24"/>
          <w:lang w:val="zh-CN"/>
        </w:rPr>
        <w:t xml:space="preserve">谈判文件不能详细列明采购标的</w:t>
      </w:r>
      <w:r>
        <w:rPr>
          <w:rFonts w:hint="eastAsia" w:ascii="宋体" w:hAnsi="宋体"/>
          <w:sz w:val="24"/>
          <w:lang w:val="zh-CN"/>
        </w:rPr>
        <w:t xml:space="preserve">的</w:t>
      </w:r>
      <w:r>
        <w:rPr>
          <w:rFonts w:hint="eastAsia" w:ascii="宋体" w:hAnsi="宋体"/>
          <w:sz w:val="24"/>
          <w:lang w:val="zh-CN"/>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sz w:val="24"/>
          <w:lang w:val="zh-CN"/>
        </w:rPr>
        <w:t xml:space="preserve">采云</w:t>
      </w:r>
      <w:r>
        <w:rPr>
          <w:rFonts w:hint="eastAsia" w:ascii="宋体" w:hAnsi="宋体"/>
          <w:sz w:val="24"/>
          <w:lang w:val="zh-CN"/>
        </w:rPr>
        <w:t xml:space="preserve">系统中向其发布《最后报价要求函》及最后报价格式表，要求其在规定时间内提交最后报价。</w:t>
      </w:r>
      <w:r>
        <w:rPr>
          <w:rFonts w:hint="eastAsia" w:ascii="宋体" w:hAnsi="宋体"/>
          <w:sz w:val="24"/>
        </w:rPr>
        <w:t xml:space="preserve">最后报价是供应商响应文件的有效组成部分。</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供应商未在谈判小组规定的时间内在苏</w:t>
      </w:r>
      <w:r>
        <w:rPr>
          <w:rFonts w:hint="eastAsia" w:ascii="宋体" w:hAnsi="宋体"/>
          <w:sz w:val="24"/>
          <w:lang w:val="zh-CN"/>
        </w:rPr>
        <w:t xml:space="preserve">采云</w:t>
      </w:r>
      <w:r>
        <w:rPr>
          <w:rFonts w:hint="eastAsia" w:ascii="宋体" w:hAnsi="宋体"/>
          <w:sz w:val="24"/>
          <w:lang w:val="zh-CN"/>
        </w:rPr>
        <w:t xml:space="preserve">系统中提交最后报价的视为放弃谈判，其响应文件按无效响应处理，最后报价格式表须加盖电子公章,否则视为未提交最后报价。已提交响应文件的供应商，在提交最后报价之前，可以根据谈判情况退出谈判，并在苏</w:t>
      </w:r>
      <w:r>
        <w:rPr>
          <w:rFonts w:hint="eastAsia" w:ascii="宋体" w:hAnsi="宋体"/>
          <w:sz w:val="24"/>
          <w:lang w:val="zh-CN"/>
        </w:rPr>
        <w:t xml:space="preserve">采云</w:t>
      </w:r>
      <w:r>
        <w:rPr>
          <w:rFonts w:hint="eastAsia" w:ascii="宋体" w:hAnsi="宋体"/>
          <w:sz w:val="24"/>
          <w:lang w:val="zh-CN"/>
        </w:rPr>
        <w:t xml:space="preserve">系统中提交加盖电子公章的《退出谈判函》。</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 成交标准。</w:t>
      </w:r>
      <w:r>
        <w:rPr>
          <w:rFonts w:hint="eastAsia" w:ascii="宋体" w:hAnsi="宋体"/>
          <w:sz w:val="24"/>
          <w:lang w:val="zh-CN"/>
        </w:rPr>
        <w:t xml:space="preserve">见谈判</w:t>
      </w:r>
      <w:r>
        <w:rPr>
          <w:rFonts w:hint="eastAsia" w:ascii="宋体" w:hAnsi="宋体"/>
          <w:sz w:val="24"/>
          <w:lang w:val="zh-CN"/>
        </w:rPr>
        <w:t xml:space="preserve">文件第五章。</w:t>
      </w:r>
      <w:r/>
    </w:p>
    <w:p>
      <w:pPr>
        <w:ind w:firstLine="420"/>
        <w:rPr>
          <w:rFonts w:hint="eastAsia" w:ascii="宋体" w:hAnsi="宋体"/>
          <w:sz w:val="24"/>
          <w:lang w:val="zh-CN"/>
        </w:rPr>
      </w:pPr>
      <w:r>
        <w:rPr>
          <w:rFonts w:hint="eastAsia" w:ascii="宋体" w:hAnsi="宋体"/>
          <w:sz w:val="24"/>
          <w:lang w:val="zh-CN"/>
        </w:rPr>
        <w:t xml:space="preserve">25.3 采购活动终止</w:t>
      </w:r>
      <w:r/>
    </w:p>
    <w:p>
      <w:pPr>
        <w:ind w:firstLine="422"/>
        <w:rPr>
          <w:rFonts w:hint="eastAsia" w:ascii="宋体" w:hAnsi="宋体"/>
          <w:b/>
          <w:bCs/>
          <w:sz w:val="24"/>
          <w:lang w:val="zh-CN"/>
        </w:rPr>
      </w:pPr>
      <w:r>
        <w:rPr>
          <w:rFonts w:hint="eastAsia" w:ascii="宋体" w:hAnsi="宋体"/>
          <w:b/>
          <w:bCs/>
          <w:sz w:val="24"/>
          <w:lang w:val="zh-CN"/>
        </w:rPr>
        <w:t xml:space="preserve">出现下列情形之一的，本次采购活动终止：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.1因情况变化，不再符合规定的竞争性谈判采购方式适用情形。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szCs w:val="21"/>
        </w:rPr>
        <w:t xml:space="preserve">在苏</w:t>
      </w:r>
      <w:r>
        <w:rPr>
          <w:rFonts w:hint="eastAsia" w:ascii="宋体" w:hAnsi="宋体"/>
          <w:sz w:val="24"/>
          <w:szCs w:val="21"/>
        </w:rPr>
        <w:t xml:space="preserve">采云</w:t>
      </w:r>
      <w:r>
        <w:rPr>
          <w:rFonts w:hint="eastAsia" w:ascii="宋体" w:hAnsi="宋体"/>
          <w:sz w:val="24"/>
          <w:szCs w:val="21"/>
        </w:rPr>
        <w:t xml:space="preserve">系统规定时间内成功解密电子响应文件的供应商不足三家。</w:t>
      </w:r>
      <w:r/>
    </w:p>
    <w:p>
      <w:pPr>
        <w:ind w:firstLine="420"/>
        <w:rPr>
          <w:rFonts w:hint="eastAsia" w:ascii="宋体" w:hAnsi="宋体"/>
          <w:sz w:val="24"/>
          <w:szCs w:val="21"/>
        </w:rPr>
      </w:pPr>
      <w:r/>
      <w:bookmarkStart w:id="147" w:name="_Toc120614219"/>
      <w:r/>
      <w:bookmarkStart w:id="148" w:name="_Toc16938551"/>
      <w:r/>
      <w:bookmarkStart w:id="149" w:name="_Toc513029235"/>
      <w:r/>
      <w:bookmarkStart w:id="150" w:name="_Toc20823307"/>
      <w:r/>
      <w:bookmarkStart w:id="151" w:name="_Toc513029238"/>
      <w:r/>
      <w:bookmarkStart w:id="152" w:name="_Toc20823310"/>
      <w:r/>
      <w:bookmarkStart w:id="153" w:name="_Toc16938554"/>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.3.4在谈判过程中符合要求的供应商或者最后报价未超过采购预算</w:t>
      </w:r>
      <w:r>
        <w:rPr>
          <w:rFonts w:hint="eastAsia" w:ascii="宋体" w:hAnsi="宋体"/>
          <w:sz w:val="24"/>
          <w:szCs w:val="21"/>
        </w:rPr>
        <w:t xml:space="preserve">或最高限价</w:t>
      </w:r>
      <w:r>
        <w:rPr>
          <w:rFonts w:hint="eastAsia" w:ascii="宋体" w:hAnsi="宋体"/>
          <w:sz w:val="24"/>
          <w:lang w:val="zh-CN"/>
        </w:rPr>
        <w:t xml:space="preserve">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.3.5法律法规规定的其他应当终止情形。</w:t>
      </w:r>
      <w:r/>
    </w:p>
    <w:p>
      <w:pPr>
        <w:ind w:firstLine="422"/>
        <w:rPr>
          <w:rFonts w:hint="eastAsia"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谈判小组应</w:t>
      </w:r>
      <w:r>
        <w:rPr>
          <w:rFonts w:hint="eastAsia" w:ascii="宋体" w:hAnsi="宋体"/>
          <w:b/>
          <w:bCs/>
          <w:sz w:val="24"/>
          <w:lang w:bidi="ar"/>
        </w:rPr>
        <w:t xml:space="preserve">对谈判</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91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47"/>
      <w:r/>
      <w:bookmarkEnd w:id="148"/>
      <w:r/>
      <w:bookmarkEnd w:id="149"/>
      <w:r/>
      <w:bookmarkEnd w:id="150"/>
      <w:r>
        <w:rPr>
          <w:rFonts w:hint="eastAsia" w:ascii="方正黑体_GBK" w:hAnsi="方正黑体_GBK" w:eastAsia="方正黑体_GBK" w:cs="方正黑体_GBK"/>
          <w:b w:val="0"/>
          <w:bCs w:val="0"/>
          <w:sz w:val="30"/>
          <w:szCs w:val="30"/>
        </w:rPr>
        <w:t xml:space="preserve">成交</w:t>
      </w:r>
      <w:r/>
    </w:p>
    <w:p>
      <w:pPr>
        <w:pStyle w:val="91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w:t>
      </w:r>
      <w:bookmarkEnd w:id="151"/>
      <w:r>
        <w:rPr>
          <w:rFonts w:hint="eastAsia" w:ascii="方正楷体_GBK" w:hAnsi="方正楷体_GBK" w:eastAsia="方正楷体_GBK" w:cs="方正楷体_GBK"/>
        </w:rPr>
        <w:t xml:space="preserve">.确定</w:t>
      </w:r>
      <w:bookmarkEnd w:id="152"/>
      <w:r/>
      <w:bookmarkEnd w:id="153"/>
      <w:r>
        <w:rPr>
          <w:rFonts w:hint="eastAsia" w:ascii="方正楷体_GBK" w:hAnsi="方正楷体_GBK" w:eastAsia="方正楷体_GBK" w:cs="方正楷体_GBK"/>
        </w:rPr>
        <w:t xml:space="preserve">成交单位</w:t>
      </w:r>
      <w:r/>
    </w:p>
    <w:p>
      <w:pPr>
        <w:ind w:firstLine="420"/>
        <w:rPr>
          <w:rFonts w:hint="eastAsia" w:ascii="宋体" w:hAnsi="宋体"/>
          <w:sz w:val="24"/>
          <w:szCs w:val="21"/>
        </w:rPr>
      </w:pPr>
      <w:r>
        <w:rPr>
          <w:rFonts w:hint="eastAsia" w:ascii="宋体" w:hAnsi="宋体"/>
          <w:sz w:val="24"/>
        </w:rPr>
        <w:t xml:space="preserve">26.1</w:t>
      </w:r>
      <w:r>
        <w:rPr>
          <w:rFonts w:hint="eastAsia" w:ascii="宋体" w:hAnsi="宋体"/>
          <w:sz w:val="24"/>
          <w:szCs w:val="21"/>
        </w:rPr>
        <w:t xml:space="preserve"> 成交候选供应商的确定原则和数量</w:t>
      </w:r>
      <w:r>
        <w:rPr>
          <w:rFonts w:hint="eastAsia" w:ascii="宋体" w:hAnsi="宋体"/>
          <w:sz w:val="24"/>
          <w:szCs w:val="21"/>
        </w:rPr>
        <w:t xml:space="preserve">见谈判</w:t>
      </w:r>
      <w:r>
        <w:rPr>
          <w:rFonts w:hint="eastAsia" w:ascii="宋体" w:hAnsi="宋体"/>
          <w:sz w:val="24"/>
          <w:szCs w:val="21"/>
        </w:rPr>
        <w:t xml:space="preserve">文件第五章。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按以下第（</w:t>
      </w:r>
      <w:r>
        <w:rPr>
          <w:rFonts w:hint="eastAsia" w:ascii="宋体" w:hAnsi="宋体"/>
          <w:sz w:val="24"/>
        </w:rPr>
        <w:t xml:space="preserve">2</w:t>
      </w:r>
      <w:r>
        <w:rPr>
          <w:rFonts w:hint="eastAsia" w:ascii="宋体" w:hAnsi="宋体"/>
          <w:sz w:val="24"/>
          <w:lang w:val="zh-CN"/>
        </w:rPr>
        <w:t xml:space="preserve">）种方式确定成交供应商：</w:t>
      </w:r>
      <w:r/>
    </w:p>
    <w:p>
      <w:pPr>
        <w:ind w:firstLine="420"/>
        <w:rPr>
          <w:rFonts w:hint="eastAsia" w:ascii="宋体" w:hAnsi="宋体"/>
          <w:sz w:val="24"/>
          <w:lang w:val="zh-CN"/>
        </w:rPr>
      </w:pPr>
      <w:r>
        <w:rPr>
          <w:rFonts w:hint="eastAsia" w:ascii="宋体" w:hAnsi="宋体"/>
          <w:sz w:val="24"/>
          <w:lang w:val="zh-CN"/>
        </w:rPr>
        <w:t xml:space="preserve">（1）谈判小组直接确定排名第一的成交候选供应商为成交供应商。</w:t>
      </w:r>
      <w:r/>
    </w:p>
    <w:p>
      <w:pPr>
        <w:ind w:firstLine="420"/>
        <w:rPr>
          <w:rFonts w:hint="eastAsia" w:ascii="宋体" w:hAnsi="宋体"/>
          <w:sz w:val="24"/>
          <w:lang w:val="zh-CN"/>
        </w:rPr>
      </w:pPr>
      <w:r>
        <w:rPr>
          <w:rFonts w:hint="eastAsia" w:ascii="宋体" w:hAnsi="宋体"/>
          <w:sz w:val="24"/>
          <w:lang w:val="zh-CN"/>
        </w:rPr>
        <w:t xml:space="preserve">（2）采购人在谈判小组推荐的成交候选供应商中按顺序确定成交供应商。</w:t>
      </w:r>
      <w:r/>
    </w:p>
    <w:p>
      <w:pPr>
        <w:ind w:firstLine="420"/>
        <w:rPr>
          <w:rFonts w:hint="eastAsia" w:ascii="宋体" w:hAnsi="宋体"/>
          <w:sz w:val="24"/>
          <w:lang w:val="zh-CN"/>
        </w:rPr>
      </w:pPr>
      <w:r>
        <w:rPr>
          <w:rFonts w:hint="eastAsia" w:ascii="宋体" w:hAnsi="宋体"/>
          <w:sz w:val="24"/>
          <w:lang w:val="zh-CN"/>
        </w:rPr>
        <w:t xml:space="preserve">按第二种方式确定成交供应商的，交易中心自评审结束之日起两个工作日内将评审报告送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采购人，采购人自收到评审报告之日起五个工作日内，在评审报告推荐的成交候选供应商中按顺序确定成交供应商。</w:t>
      </w:r>
      <w:r/>
    </w:p>
    <w:p>
      <w:pPr>
        <w:ind w:firstLine="420"/>
        <w:rPr>
          <w:rFonts w:hint="eastAsia" w:ascii="宋体" w:hAnsi="宋体"/>
          <w:sz w:val="24"/>
          <w:lang w:val="zh-CN"/>
        </w:rPr>
      </w:pPr>
      <w:r>
        <w:rPr>
          <w:rFonts w:hint="eastAsia" w:ascii="宋体" w:hAnsi="宋体"/>
          <w:sz w:val="24"/>
        </w:rPr>
        <w:t xml:space="preserve">26.3</w:t>
      </w:r>
      <w:r>
        <w:rPr>
          <w:rFonts w:hint="eastAsia" w:ascii="宋体" w:hAnsi="宋体"/>
          <w:sz w:val="24"/>
          <w:lang w:val="zh-CN"/>
        </w:rPr>
        <w:t xml:space="preserve"> 交易中心将在“江苏政府采购网”发布成交结果公告，公告期限为1个工作日。</w:t>
      </w:r>
      <w:r/>
    </w:p>
    <w:p>
      <w:pPr>
        <w:ind w:firstLine="420"/>
        <w:rPr>
          <w:rFonts w:hint="eastAsia" w:ascii="宋体" w:hAnsi="宋体"/>
          <w:sz w:val="24"/>
          <w:lang w:val="zh-CN"/>
        </w:rPr>
      </w:pPr>
      <w:r>
        <w:rPr>
          <w:rFonts w:hint="eastAsia" w:ascii="宋体" w:hAnsi="宋体"/>
          <w:sz w:val="24"/>
        </w:rPr>
        <w:t xml:space="preserve">26.4 </w:t>
      </w:r>
      <w:r>
        <w:rPr>
          <w:rFonts w:hint="eastAsia" w:ascii="宋体" w:hAnsi="宋体"/>
          <w:b/>
          <w:bCs/>
          <w:sz w:val="24"/>
          <w:lang w:val="zh-CN"/>
        </w:rPr>
        <w:t xml:space="preserve">若有充分证据证明成交供应</w:t>
      </w:r>
      <w:r>
        <w:rPr>
          <w:rFonts w:hint="eastAsia" w:ascii="宋体" w:hAnsi="宋体"/>
          <w:b/>
          <w:bCs/>
          <w:sz w:val="24"/>
          <w:lang w:val="zh-CN"/>
        </w:rPr>
        <w:t xml:space="preserve">商出现</w:t>
      </w:r>
      <w:r>
        <w:rPr>
          <w:rFonts w:hint="eastAsia" w:ascii="宋体" w:hAnsi="宋体"/>
          <w:b/>
          <w:bCs/>
          <w:sz w:val="24"/>
          <w:lang w:val="zh-CN"/>
        </w:rPr>
        <w:t xml:space="preserve">下列情况之一的，一经查实将被取消成交资格：</w:t>
      </w:r>
      <w:r/>
    </w:p>
    <w:p>
      <w:pPr>
        <w:ind w:firstLine="420"/>
        <w:rPr>
          <w:rFonts w:hint="eastAsia" w:ascii="宋体" w:hAnsi="宋体"/>
          <w:sz w:val="24"/>
          <w:lang w:val="zh-CN"/>
        </w:rPr>
      </w:pPr>
      <w:r>
        <w:rPr>
          <w:rFonts w:hint="eastAsia" w:ascii="宋体" w:hAnsi="宋体"/>
          <w:sz w:val="24"/>
          <w:lang w:val="zh-CN"/>
        </w:rPr>
        <w:t xml:space="preserve">26.4.1 提供虚假材料谋取成交。</w:t>
      </w:r>
      <w:r/>
    </w:p>
    <w:p>
      <w:pPr>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26.4.3 与其</w:t>
      </w:r>
      <w:r>
        <w:rPr>
          <w:rFonts w:hint="eastAsia" w:ascii="宋体" w:hAnsi="宋体"/>
          <w:sz w:val="24"/>
          <w:lang w:val="zh-CN"/>
        </w:rPr>
        <w:t xml:space="preserve">他供应</w:t>
      </w:r>
      <w:r>
        <w:rPr>
          <w:rFonts w:hint="eastAsia" w:ascii="宋体" w:hAnsi="宋体"/>
          <w:sz w:val="24"/>
          <w:lang w:val="zh-CN"/>
        </w:rPr>
        <w:t xml:space="preserve">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26.4.4 不满足</w:t>
      </w:r>
      <w:r>
        <w:rPr>
          <w:rFonts w:hint="eastAsia" w:ascii="宋体" w:hAnsi="宋体"/>
          <w:sz w:val="24"/>
          <w:lang w:val="zh-CN"/>
        </w:rPr>
        <w:t xml:space="preserve">本谈判</w:t>
      </w:r>
      <w:r>
        <w:rPr>
          <w:rFonts w:hint="eastAsia" w:ascii="宋体" w:hAnsi="宋体"/>
          <w:sz w:val="24"/>
          <w:lang w:val="zh-CN"/>
        </w:rPr>
        <w:t xml:space="preserve">文件规定的实质性要求，但在评审过程中未被谈判小组发现。</w:t>
      </w:r>
      <w:r/>
    </w:p>
    <w:p>
      <w:pPr>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pStyle w:val="915"/>
        <w:ind w:firstLine="422"/>
        <w:spacing w:before="0" w:after="0" w:line="240" w:lineRule="auto"/>
        <w:rPr>
          <w:rFonts w:hint="eastAsia" w:ascii="方正楷体_GBK" w:hAnsi="方正楷体_GBK" w:eastAsia="方正楷体_GBK" w:cs="方正楷体_GBK"/>
        </w:rPr>
      </w:pPr>
      <w:r/>
      <w:bookmarkStart w:id="154" w:name="_Hlt16619369"/>
      <w:r/>
      <w:bookmarkStart w:id="155" w:name="_Hlt16619350"/>
      <w:r/>
      <w:bookmarkStart w:id="156" w:name="_Toc120614244"/>
      <w:r/>
      <w:bookmarkStart w:id="157" w:name="_Toc20823346"/>
      <w:r/>
      <w:bookmarkStart w:id="158" w:name="_Toc16938590"/>
      <w:r/>
      <w:bookmarkStart w:id="159" w:name="_Toc479757211"/>
      <w:r/>
      <w:bookmarkStart w:id="160" w:name="_Toc462564139"/>
      <w:r/>
      <w:bookmarkEnd w:id="154"/>
      <w:r>
        <w:rPr>
          <w:rFonts w:hint="eastAsia" w:ascii="方正楷体_GBK" w:hAnsi="方正楷体_GBK" w:eastAsia="方正楷体_GBK" w:cs="方正楷体_GBK"/>
        </w:rPr>
        <w:t xml:space="preserve">27.成交通知书</w:t>
      </w:r>
      <w:r/>
    </w:p>
    <w:p>
      <w:pPr>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w:t>
      </w:r>
      <w:r>
        <w:rPr>
          <w:rFonts w:hint="eastAsia" w:ascii="宋体" w:hAnsi="宋体"/>
          <w:sz w:val="24"/>
          <w:szCs w:val="21"/>
        </w:rPr>
        <w:t xml:space="preserve">采云</w:t>
      </w:r>
      <w:r>
        <w:rPr>
          <w:rFonts w:hint="eastAsia" w:ascii="宋体" w:hAnsi="宋体"/>
          <w:sz w:val="24"/>
          <w:szCs w:val="21"/>
        </w:rPr>
        <w:t xml:space="preserve">系统下载。    </w:t>
      </w:r>
      <w:r/>
    </w:p>
    <w:p>
      <w:pPr>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w:t>
      </w:r>
      <w:r>
        <w:rPr>
          <w:rFonts w:hint="eastAsia" w:ascii="宋体" w:hAnsi="宋体"/>
          <w:sz w:val="24"/>
          <w:szCs w:val="21"/>
        </w:rPr>
        <w:t xml:space="preserve">采云</w:t>
      </w:r>
      <w:r>
        <w:rPr>
          <w:rFonts w:hint="eastAsia" w:ascii="宋体" w:hAnsi="宋体"/>
          <w:sz w:val="24"/>
          <w:szCs w:val="21"/>
        </w:rPr>
        <w:t xml:space="preserve">系统不再保证提供下载《成交通知书》服务，因未及时下载而造成的不利后果</w:t>
      </w:r>
      <w:r>
        <w:rPr>
          <w:rFonts w:hint="eastAsia" w:ascii="宋体" w:hAnsi="宋体"/>
          <w:sz w:val="24"/>
          <w:szCs w:val="21"/>
        </w:rPr>
        <w:t xml:space="preserve">由成交</w:t>
      </w:r>
      <w:r>
        <w:rPr>
          <w:rFonts w:hint="eastAsia" w:ascii="宋体" w:hAnsi="宋体"/>
          <w:sz w:val="24"/>
          <w:szCs w:val="21"/>
        </w:rPr>
        <w:t xml:space="preserve">供应商自行承担。</w:t>
      </w:r>
      <w:r/>
    </w:p>
    <w:p>
      <w:pPr>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1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91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hint="eastAsia" w:ascii="宋体" w:hAnsi="宋体"/>
          <w:sz w:val="24"/>
          <w:szCs w:val="21"/>
        </w:rPr>
      </w:pPr>
      <w:r>
        <w:rPr>
          <w:rFonts w:hint="eastAsia" w:ascii="宋体" w:hAnsi="宋体"/>
          <w:sz w:val="24"/>
          <w:szCs w:val="21"/>
        </w:rPr>
        <w:t xml:space="preserve">28.l 成交供应商应当在《成交通知书》发出之日起三十日内，按照谈判文件确定的事项与采购人签订政府采购合同。</w:t>
      </w:r>
      <w:r>
        <w:rPr>
          <w:rFonts w:hint="eastAsia" w:ascii="宋体" w:hAnsi="宋体"/>
          <w:sz w:val="24"/>
        </w:rPr>
        <w:t xml:space="preserve">采购人于合同签订后2个工作日内通过苏</w:t>
      </w:r>
      <w:r>
        <w:rPr>
          <w:rFonts w:hint="eastAsia" w:ascii="宋体" w:hAnsi="宋体"/>
          <w:sz w:val="24"/>
        </w:rPr>
        <w:t xml:space="preserve">采云</w:t>
      </w:r>
      <w:r>
        <w:rPr>
          <w:rFonts w:hint="eastAsia" w:ascii="宋体" w:hAnsi="宋体"/>
          <w:sz w:val="24"/>
        </w:rPr>
        <w:t xml:space="preserve">系统进行公示。</w:t>
      </w:r>
      <w:r/>
    </w:p>
    <w:p>
      <w:pPr>
        <w:ind w:firstLine="420"/>
        <w:rPr>
          <w:rFonts w:hint="eastAsia" w:ascii="宋体" w:hAnsi="宋体"/>
          <w:sz w:val="24"/>
          <w:szCs w:val="21"/>
        </w:rPr>
      </w:pPr>
      <w:r>
        <w:rPr>
          <w:rFonts w:hint="eastAsia" w:ascii="宋体" w:hAnsi="宋体"/>
          <w:sz w:val="24"/>
          <w:szCs w:val="21"/>
        </w:rPr>
        <w:t xml:space="preserve">28.2 谈判文件、成交供应商的响应文件及谈判过程中有关澄清、承诺文件均作为合同附件。</w:t>
      </w:r>
      <w:r/>
    </w:p>
    <w:p>
      <w:pPr>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91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w:t>
      </w:r>
      <w:r>
        <w:rPr>
          <w:rFonts w:hint="eastAsia" w:ascii="宋体" w:hAnsi="宋体" w:cs="Courier New"/>
          <w:sz w:val="24"/>
          <w:szCs w:val="24"/>
          <w:lang w:val="zh-CN"/>
        </w:rPr>
        <w:t xml:space="preserve">货物或服务（包含与货物相关的服务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sz w:val="24"/>
          <w:szCs w:val="21"/>
        </w:rPr>
        <w:t xml:space="preserve">，在不改变合同其他条款的前提下，可以与成交供应商协商签订补充合同，但所有补充合同的金额不超过原合同金额10%。</w:t>
      </w:r>
      <w:r/>
    </w:p>
    <w:p>
      <w:pPr>
        <w:pStyle w:val="91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w:t>
      </w:r>
      <w:r>
        <w:rPr>
          <w:rFonts w:hint="eastAsia" w:ascii="宋体" w:hAnsi="宋体"/>
          <w:sz w:val="24"/>
        </w:rPr>
        <w:t xml:space="preserve">苏财购〔2023〕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91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w:t>
      </w:r>
      <w:r>
        <w:rPr>
          <w:rFonts w:hint="eastAsia" w:ascii="宋体" w:hAnsi="宋体"/>
          <w:sz w:val="24"/>
          <w:lang w:val="zh-CN"/>
        </w:rPr>
        <w:t xml:space="preserve">商依法</w:t>
      </w:r>
      <w:r>
        <w:rPr>
          <w:rFonts w:hint="eastAsia" w:ascii="宋体" w:hAnsi="宋体"/>
          <w:sz w:val="24"/>
          <w:lang w:val="zh-CN"/>
        </w:rPr>
        <w:t xml:space="preserve">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w:t>
      </w:r>
      <w:r>
        <w:rPr>
          <w:rFonts w:hint="eastAsia" w:ascii="宋体" w:hAnsi="宋体"/>
          <w:sz w:val="24"/>
          <w:lang w:val="zh-CN"/>
        </w:rPr>
        <w:t xml:space="preserve">作出</w:t>
      </w:r>
      <w:r>
        <w:rPr>
          <w:rFonts w:hint="eastAsia" w:ascii="宋体" w:hAnsi="宋体"/>
          <w:sz w:val="24"/>
          <w:lang w:val="zh-CN"/>
        </w:rPr>
        <w:t xml:space="preserve">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w:t>
      </w:r>
      <w:r>
        <w:rPr>
          <w:rFonts w:hint="eastAsia" w:ascii="宋体" w:hAnsi="宋体"/>
          <w:sz w:val="24"/>
          <w:lang w:val="zh-CN"/>
        </w:rPr>
        <w:t xml:space="preserve">本谈判</w:t>
      </w:r>
      <w:r>
        <w:rPr>
          <w:rFonts w:hint="eastAsia" w:ascii="宋体" w:hAnsi="宋体"/>
          <w:sz w:val="24"/>
          <w:lang w:val="zh-CN"/>
        </w:rPr>
        <w:t xml:space="preserve">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w:t>
      </w:r>
      <w:r>
        <w:rPr>
          <w:rFonts w:hint="eastAsia" w:ascii="宋体" w:hAnsi="宋体" w:cs="仿宋"/>
          <w:b/>
          <w:bCs/>
          <w:sz w:val="24"/>
          <w:szCs w:val="24"/>
        </w:rPr>
        <w:t xml:space="preserve">商法定</w:t>
      </w:r>
      <w:r>
        <w:rPr>
          <w:rFonts w:hint="eastAsia" w:ascii="宋体" w:hAnsi="宋体" w:cs="仿宋"/>
          <w:b/>
          <w:bCs/>
          <w:sz w:val="24"/>
          <w:szCs w:val="24"/>
        </w:rPr>
        <w:t xml:space="preserve">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p>
    <w:p>
      <w:pPr>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1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91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在政府采购活动中，供应商提供的货物或者服务符合下列情形的，享受中小企业扶持政策：</w:t>
      </w:r>
      <w:r/>
    </w:p>
    <w:p>
      <w:pPr>
        <w:ind w:firstLine="420"/>
        <w:rPr>
          <w:rFonts w:hint="eastAsia" w:ascii="宋体" w:hAnsi="宋体"/>
          <w:sz w:val="24"/>
          <w:lang w:val="zh-CN"/>
        </w:rPr>
      </w:pPr>
      <w:r>
        <w:rPr>
          <w:rFonts w:hint="eastAsia" w:ascii="宋体" w:hAnsi="宋体"/>
          <w:sz w:val="24"/>
          <w:lang w:val="zh-CN"/>
        </w:rPr>
        <w:t xml:space="preserve">（1）在货物</w:t>
      </w:r>
      <w:r>
        <w:rPr>
          <w:rFonts w:hint="eastAsia" w:ascii="宋体" w:hAnsi="宋体"/>
          <w:sz w:val="24"/>
        </w:rPr>
        <w:t xml:space="preserve">采购</w:t>
      </w:r>
      <w:r>
        <w:rPr>
          <w:rFonts w:hint="eastAsia" w:ascii="宋体" w:hAnsi="宋体"/>
          <w:sz w:val="24"/>
          <w:lang w:val="zh-CN"/>
        </w:rPr>
        <w:t xml:space="preserve">项目中，</w:t>
      </w:r>
      <w:r>
        <w:rPr>
          <w:rFonts w:hint="eastAsia" w:ascii="宋体" w:hAnsi="宋体"/>
          <w:sz w:val="24"/>
        </w:rPr>
        <w:t xml:space="preserve">全部</w:t>
      </w:r>
      <w:r>
        <w:rPr>
          <w:rFonts w:hint="eastAsia" w:ascii="宋体" w:hAnsi="宋体"/>
          <w:sz w:val="24"/>
          <w:lang w:val="zh-CN"/>
        </w:rPr>
        <w:t xml:space="preserve">货物由中小企业制造；</w:t>
      </w:r>
      <w:r/>
    </w:p>
    <w:p>
      <w:pPr>
        <w:ind w:firstLine="420"/>
        <w:rPr>
          <w:rFonts w:hint="eastAsia" w:ascii="宋体" w:hAnsi="宋体"/>
          <w:sz w:val="24"/>
          <w:lang w:val="zh-CN"/>
        </w:rPr>
      </w:pPr>
      <w:r>
        <w:rPr>
          <w:rFonts w:hint="eastAsia" w:ascii="宋体" w:hAnsi="宋体"/>
          <w:sz w:val="24"/>
          <w:lang w:val="zh-CN"/>
        </w:rPr>
        <w:t xml:space="preserve">（2）在服务</w:t>
      </w:r>
      <w:r>
        <w:rPr>
          <w:rFonts w:hint="eastAsia" w:ascii="宋体" w:hAnsi="宋体"/>
          <w:sz w:val="24"/>
        </w:rPr>
        <w:t xml:space="preserve">采购</w:t>
      </w:r>
      <w:r>
        <w:rPr>
          <w:rFonts w:hint="eastAsia" w:ascii="宋体" w:hAnsi="宋体"/>
          <w:sz w:val="24"/>
          <w:lang w:val="zh-CN"/>
        </w:rPr>
        <w:t xml:space="preserve">项目中，服务由中小企业承接。</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w:t>
      </w:r>
      <w:r>
        <w:rPr>
          <w:rFonts w:hint="eastAsia" w:ascii="宋体" w:hAnsi="宋体"/>
          <w:sz w:val="24"/>
          <w:lang w:val="zh-CN"/>
        </w:rPr>
        <w:t xml:space="preserve">作出</w:t>
      </w:r>
      <w:r>
        <w:rPr>
          <w:rFonts w:hint="eastAsia" w:ascii="宋体" w:hAnsi="宋体"/>
          <w:sz w:val="24"/>
          <w:lang w:val="zh-CN"/>
        </w:rPr>
        <w:t xml:space="preserve">必要的澄清、说明或者补正。</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w:t>
      </w:r>
      <w:r>
        <w:rPr>
          <w:rFonts w:hint="eastAsia" w:ascii="宋体" w:hAnsi="宋体"/>
          <w:sz w:val="24"/>
          <w:lang w:val="zh-CN"/>
        </w:rPr>
        <w:t xml:space="preserve">式参加</w:t>
      </w:r>
      <w:r>
        <w:rPr>
          <w:rFonts w:hint="eastAsia" w:ascii="宋体" w:hAnsi="宋体"/>
          <w:sz w:val="24"/>
          <w:lang w:val="zh-CN"/>
        </w:rPr>
        <w:t xml:space="preserve">政府采购活动，联合体各方均为中小企业的，联合体视同中小企业。其中，联合体各方均为小</w:t>
      </w:r>
      <w:r>
        <w:rPr>
          <w:rFonts w:hint="eastAsia" w:ascii="宋体" w:hAnsi="宋体"/>
          <w:sz w:val="24"/>
          <w:lang w:val="zh-CN"/>
        </w:rPr>
        <w:t xml:space="preserve">微企业</w:t>
      </w:r>
      <w:r>
        <w:rPr>
          <w:rFonts w:hint="eastAsia" w:ascii="宋体" w:hAnsi="宋体"/>
          <w:sz w:val="24"/>
          <w:lang w:val="zh-CN"/>
        </w:rPr>
        <w:t xml:space="preserve">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91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w:t>
      </w:r>
      <w:r>
        <w:rPr>
          <w:rFonts w:hint="eastAsia" w:ascii="宋体" w:hAnsi="宋体"/>
          <w:sz w:val="24"/>
        </w:rPr>
        <w:t xml:space="preserve">且依据</w:t>
      </w:r>
      <w:r>
        <w:rPr>
          <w:rFonts w:hint="eastAsia" w:ascii="宋体" w:hAnsi="宋体"/>
          <w:sz w:val="24"/>
        </w:rPr>
        <w:t xml:space="preserve">国家相关标准的最新版本、国家能效标准中二级能效（水效）指标认证的节能产品；环境标志产品是指列入财政部、生态环境部制定的《环境标志产品政府采购品目清单》（财库〔2019〕18号），</w:t>
      </w:r>
      <w:r>
        <w:rPr>
          <w:rFonts w:hint="eastAsia" w:ascii="宋体" w:hAnsi="宋体"/>
          <w:sz w:val="24"/>
        </w:rPr>
        <w:t xml:space="preserve">且依据</w:t>
      </w:r>
      <w:r>
        <w:rPr>
          <w:rFonts w:hint="eastAsia" w:ascii="宋体" w:hAnsi="宋体"/>
          <w:sz w:val="24"/>
        </w:rPr>
        <w:t xml:space="preserve">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sz w:val="24"/>
        </w:rPr>
        <w:t xml:space="preserve">第五</w:t>
      </w:r>
      <w:r>
        <w:rPr>
          <w:rFonts w:hint="eastAsia" w:ascii="宋体" w:hAnsi="宋体"/>
          <w:sz w:val="24"/>
        </w:rPr>
        <w:t xml:space="preserve">章成交</w:t>
      </w:r>
      <w:r>
        <w:rPr>
          <w:rFonts w:hint="eastAsia" w:ascii="宋体" w:hAnsi="宋体"/>
          <w:sz w:val="24"/>
        </w:rPr>
        <w:t xml:space="preserve">标准</w:t>
      </w:r>
      <w:r>
        <w:rPr>
          <w:rFonts w:hint="eastAsia" w:ascii="宋体" w:hAnsi="宋体"/>
          <w:sz w:val="24"/>
          <w:lang w:val="zh-CN"/>
        </w:rPr>
        <w:t xml:space="preserve">）。</w:t>
      </w:r>
      <w:r/>
    </w:p>
    <w:p>
      <w:pPr>
        <w:pStyle w:val="91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w:t>
      </w:r>
      <w:r>
        <w:rPr>
          <w:rFonts w:hint="eastAsia" w:ascii="宋体" w:hAnsi="宋体" w:cs="宋体"/>
          <w:sz w:val="24"/>
          <w:szCs w:val="24"/>
        </w:rPr>
        <w:t xml:space="preserve">苏财购〔2023〕</w:t>
      </w:r>
      <w:r>
        <w:rPr>
          <w:rFonts w:hint="eastAsia" w:ascii="宋体" w:hAnsi="宋体" w:cs="宋体"/>
          <w:sz w:val="24"/>
          <w:szCs w:val="24"/>
        </w:rPr>
        <w:t xml:space="preserve">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w:t>
      </w:r>
      <w:r>
        <w:rPr>
          <w:rFonts w:hint="eastAsia" w:ascii="宋体"/>
          <w:bCs/>
          <w:sz w:val="24"/>
          <w:szCs w:val="24"/>
        </w:rPr>
        <w:t xml:space="preserve">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w:t>
      </w:r>
      <w:r>
        <w:rPr>
          <w:rFonts w:hint="eastAsia" w:ascii="宋体" w:hAnsi="宋体" w:cs="宋体"/>
          <w:sz w:val="24"/>
          <w:szCs w:val="24"/>
        </w:rPr>
        <w:t xml:space="preserve">苏财购〔2023〕</w:t>
      </w:r>
      <w:r>
        <w:rPr>
          <w:rFonts w:hint="eastAsia" w:ascii="宋体" w:hAnsi="宋体" w:cs="宋体"/>
          <w:sz w:val="24"/>
          <w:szCs w:val="24"/>
        </w:rPr>
        <w:t xml:space="preserve">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w:t>
      </w:r>
      <w:r>
        <w:rPr>
          <w:rFonts w:hint="eastAsia" w:ascii="宋体" w:hAnsi="宋体"/>
          <w:sz w:val="24"/>
        </w:rPr>
        <w:t xml:space="preserve">一</w:t>
      </w:r>
      <w:r>
        <w:rPr>
          <w:rFonts w:hint="eastAsia" w:ascii="宋体" w:hAnsi="宋体"/>
          <w:sz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1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lang w:val="zh-CN"/>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91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w:t>
      </w:r>
      <w:r>
        <w:rPr>
          <w:rFonts w:hint="eastAsia" w:ascii="宋体" w:hAnsi="宋体"/>
          <w:sz w:val="24"/>
          <w:lang w:val="zh-CN"/>
        </w:rPr>
        <w:t xml:space="preserve">商双方</w:t>
      </w:r>
      <w:r>
        <w:rPr>
          <w:rFonts w:hint="eastAsia" w:ascii="宋体" w:hAnsi="宋体"/>
          <w:sz w:val="24"/>
          <w:lang w:val="zh-CN"/>
        </w:rPr>
        <w:t xml:space="preserve">签订合同及验收环节，应包含上述网络安全要求的条款。</w:t>
      </w:r>
      <w:r/>
    </w:p>
    <w:p>
      <w:pPr>
        <w:ind w:firstLine="420"/>
        <w:rPr>
          <w:rFonts w:hint="eastAsia" w:ascii="宋体" w:hAnsi="宋体"/>
          <w:sz w:val="24"/>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w:t>
      </w:r>
      <w:r>
        <w:rPr>
          <w:rFonts w:hint="eastAsia" w:ascii="宋体" w:hAnsi="宋体"/>
          <w:sz w:val="24"/>
          <w:lang w:val="zh-CN"/>
        </w:rPr>
        <w:t xml:space="preserve">商双方</w:t>
      </w:r>
      <w:r>
        <w:rPr>
          <w:rFonts w:hint="eastAsia" w:ascii="宋体" w:hAnsi="宋体"/>
          <w:sz w:val="24"/>
          <w:lang w:val="zh-CN"/>
        </w:rPr>
        <w:t xml:space="preserve">签订合同及验收环节，应包含上述市场准入类资质要求的条款。</w:t>
      </w:r>
      <w:r/>
    </w:p>
    <w:p>
      <w:pPr>
        <w:pStyle w:val="91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w:t>
      </w:r>
      <w:r>
        <w:rPr>
          <w:rFonts w:hint="eastAsia" w:ascii="宋体" w:hAnsi="宋体"/>
          <w:sz w:val="24"/>
        </w:rPr>
        <w:t xml:space="preserve">宁财购通</w:t>
      </w:r>
      <w:r>
        <w:rPr>
          <w:rFonts w:hint="eastAsia" w:ascii="宋体" w:hAnsi="宋体"/>
          <w:sz w:val="24"/>
        </w:rPr>
        <w:t xml:space="preserve">〔2025〕78号）等文件规定，在政府采购中实施本国产品标准及相关政策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43.2本国产品应当符合以下条件：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w:t>
      </w:r>
      <w:r>
        <w:rPr>
          <w:rFonts w:hint="eastAsia" w:ascii="宋体" w:hAnsi="宋体"/>
          <w:sz w:val="24"/>
          <w:lang w:val="zh-CN"/>
        </w:rPr>
        <w:t xml:space="preserve">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43.3本国产品标准的适用范围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43.4对本国产品的支持政策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43.5政策执行要求</w:t>
      </w:r>
      <w:r/>
    </w:p>
    <w:p>
      <w:pPr>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w:t>
      </w:r>
      <w:r>
        <w:rPr>
          <w:rFonts w:hint="eastAsia" w:ascii="宋体" w:hAnsi="宋体"/>
          <w:sz w:val="24"/>
          <w:lang w:val="zh-CN"/>
        </w:rPr>
        <w:t xml:space="preserve">作出</w:t>
      </w:r>
      <w:r>
        <w:rPr>
          <w:rFonts w:hint="eastAsia" w:ascii="宋体" w:hAnsi="宋体"/>
          <w:sz w:val="24"/>
          <w:lang w:val="zh-CN"/>
        </w:rPr>
        <w:t xml:space="preserve">必要的澄清、说明或者补正。经澄清、说明或者补正的《关于符合本国产品标准的声明函》仍然不符合在政府采购中实施本国产品标准及相关政策规定要求的，供应商提供的相关产品视为不符合本国产品标准。</w:t>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739"/>
        <w:ind w:firstLine="880"/>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739"/>
        <w:ind w:firstLine="880"/>
        <w:rPr>
          <w:rFonts w:ascii="黑体" w:hAnsi="Courier New" w:eastAsia="黑体" w:cs="Courier New"/>
          <w:bCs/>
          <w:sz w:val="44"/>
          <w:szCs w:val="21"/>
        </w:rPr>
      </w:pPr>
      <w:r>
        <w:rPr>
          <w:rFonts w:ascii="黑体" w:hAnsi="Courier New" w:eastAsia="黑体" w:cs="Courier New"/>
          <w:bCs/>
          <w:sz w:val="44"/>
          <w:szCs w:val="21"/>
        </w:rPr>
      </w:r>
      <w:r/>
    </w:p>
    <w:p>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第三章  合同文本</w:t>
      </w:r>
      <w:r/>
    </w:p>
    <w:p>
      <w:pPr>
        <w:ind w:firstLine="480"/>
        <w:rPr>
          <w:rFonts w:hint="eastAsia" w:ascii="宋体" w:hAnsi="宋体"/>
          <w:bCs/>
          <w:sz w:val="24"/>
          <w:szCs w:val="21"/>
        </w:rPr>
      </w:pPr>
      <w:r/>
      <w:bookmarkStart w:id="161" w:name="_Toc16938559"/>
      <w:r/>
      <w:bookmarkStart w:id="162" w:name="_Toc513029243"/>
      <w:r/>
      <w:bookmarkStart w:id="163" w:name="_Toc20823315"/>
      <w:r>
        <w:rPr>
          <w:rFonts w:hint="eastAsia" w:ascii="宋体" w:hAnsi="宋体"/>
          <w:bCs/>
          <w:sz w:val="24"/>
          <w:szCs w:val="21"/>
        </w:rPr>
        <w:t xml:space="preserve">以下为本项目的合同条款，合同双方不得对谈判、响应文件内容作实质性修改。</w:t>
      </w:r>
      <w:r/>
    </w:p>
    <w:p>
      <w:pPr>
        <w:jc w:val="center"/>
        <w:spacing w:before="145" w:after="145"/>
        <w:rPr>
          <w:rFonts w:hint="eastAsia" w:ascii="宋体" w:hAnsi="宋体"/>
          <w:b/>
          <w:sz w:val="30"/>
          <w:szCs w:val="21"/>
        </w:rPr>
      </w:pPr>
      <w:r>
        <w:rPr>
          <w:rFonts w:hint="eastAsia" w:ascii="宋体" w:hAnsi="宋体"/>
          <w:b/>
          <w:sz w:val="30"/>
          <w:szCs w:val="21"/>
        </w:rPr>
      </w:r>
      <w:r/>
    </w:p>
    <w:p>
      <w:pPr>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w:t>
      </w:r>
      <w:r/>
    </w:p>
    <w:p>
      <w:pPr>
        <w:jc w:val="left"/>
        <w:spacing w:before="145" w:after="145"/>
        <w:rPr>
          <w:rFonts w:hint="eastAsia" w:ascii="宋体" w:hAnsi="宋体" w:cs="Courier New"/>
          <w:sz w:val="24"/>
          <w:szCs w:val="24"/>
        </w:rPr>
      </w:pPr>
      <w:r>
        <w:rPr>
          <w:rFonts w:ascii="宋体" w:hAnsi="宋体" w:cs="Courier New"/>
          <w:sz w:val="24"/>
          <w:szCs w:val="24"/>
        </w:rPr>
        <w:t xml:space="preserve">合同编号：</w:t>
      </w:r>
      <w:r/>
    </w:p>
    <w:p>
      <w:pPr>
        <w:spacing w:before="145" w:after="145"/>
        <w:rPr>
          <w:rFonts w:hint="eastAsia" w:ascii="宋体" w:hAnsi="宋体" w:cs="Courier New"/>
          <w:sz w:val="24"/>
          <w:szCs w:val="24"/>
        </w:rPr>
      </w:pPr>
      <w:r>
        <w:rPr>
          <w:rFonts w:ascii="宋体" w:hAnsi="宋体" w:cs="Courier New"/>
          <w:sz w:val="24"/>
          <w:szCs w:val="24"/>
        </w:rPr>
        <w:t xml:space="preserve">项目名称：                                       项目编号：</w:t>
      </w:r>
      <w:r/>
    </w:p>
    <w:p>
      <w:pPr>
        <w:jc w:val="left"/>
        <w:spacing w:before="145" w:after="145"/>
        <w:rPr>
          <w:rFonts w:hint="eastAsia" w:ascii="宋体" w:hAnsi="宋体" w:cs="Courier New"/>
          <w:sz w:val="24"/>
          <w:szCs w:val="24"/>
        </w:rPr>
      </w:pPr>
      <w:r>
        <w:rPr>
          <w:rFonts w:ascii="宋体" w:hAnsi="宋体" w:cs="Courier New"/>
          <w:sz w:val="24"/>
          <w:szCs w:val="24"/>
        </w:rPr>
        <w:t xml:space="preserve">甲方（买方）：</w:t>
      </w:r>
      <w:r/>
    </w:p>
    <w:p>
      <w:pPr>
        <w:jc w:val="left"/>
        <w:spacing w:before="145" w:after="145"/>
        <w:rPr>
          <w:rFonts w:hint="eastAsia" w:ascii="宋体" w:hAnsi="宋体" w:cs="Courier New"/>
          <w:sz w:val="24"/>
          <w:szCs w:val="24"/>
        </w:rPr>
      </w:pPr>
      <w:r>
        <w:rPr>
          <w:rFonts w:ascii="宋体" w:hAnsi="宋体" w:cs="Courier New"/>
          <w:sz w:val="24"/>
          <w:szCs w:val="24"/>
        </w:rPr>
        <w:t xml:space="preserve">乙方（卖方）：</w:t>
      </w:r>
      <w:r/>
    </w:p>
    <w:p>
      <w:pPr>
        <w:rPr>
          <w:rFonts w:hint="eastAsia"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ascii="宋体" w:hAnsi="宋体" w:cs="宋体"/>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竞争性谈判</w:t>
      </w:r>
      <w:r>
        <w:rPr>
          <w:rFonts w:ascii="宋体" w:hAnsi="宋体" w:cs="Courier New"/>
          <w:sz w:val="24"/>
          <w:szCs w:val="24"/>
        </w:rPr>
        <w:t xml:space="preserve">结果</w:t>
      </w:r>
      <w:r>
        <w:rPr>
          <w:rFonts w:hint="eastAsia" w:ascii="宋体" w:hAnsi="宋体" w:cs="Courier New"/>
          <w:sz w:val="24"/>
          <w:szCs w:val="24"/>
        </w:rPr>
        <w:t xml:space="preserve">，</w:t>
      </w:r>
      <w:r>
        <w:rPr>
          <w:rFonts w:ascii="宋体" w:hAnsi="宋体" w:cs="Courier New"/>
          <w:sz w:val="24"/>
          <w:szCs w:val="24"/>
        </w:rPr>
        <w:t xml:space="preserve">签署本合同。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标的质量：按谈判文件及响应文件执行。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标的数量（规模）：按谈判文件及响应文件执行。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履行时间（期限）：按谈判文件及响应文件执行。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履行方式：按谈判文件及响应文件执行。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包装方式：按谈判文件及响应文件执行。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谈判</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45"/>
        <w:rPr>
          <w:rFonts w:hint="eastAsia"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乙方应按谈判文件规定的时间向甲方提供</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的有关技术资料。</w:t>
      </w:r>
      <w:r/>
    </w:p>
    <w:p>
      <w:pPr>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w:t>
      </w:r>
      <w:r>
        <w:rPr>
          <w:rFonts w:hint="eastAsia" w:ascii="宋体" w:hAnsi="宋体" w:cs="Courier New"/>
          <w:sz w:val="24"/>
          <w:szCs w:val="24"/>
        </w:rPr>
        <w:t xml:space="preserve">向履行</w:t>
      </w:r>
      <w:r>
        <w:rPr>
          <w:rFonts w:hint="eastAsia" w:ascii="宋体" w:hAnsi="宋体" w:cs="Courier New"/>
          <w:sz w:val="24"/>
          <w:szCs w:val="24"/>
        </w:rPr>
        <w:t xml:space="preserve">本合同有关的人员提供，也应注意保密并限于履行合同的必需范围。保密期至保密内容按照相关法律法规规定，以合法方式和途径将其全部披露或本合同终止后5年为止，以两者</w:t>
      </w:r>
      <w:r>
        <w:rPr>
          <w:rFonts w:hint="eastAsia" w:ascii="宋体" w:hAnsi="宋体" w:cs="Courier New"/>
          <w:sz w:val="24"/>
          <w:szCs w:val="24"/>
        </w:rPr>
        <w:t xml:space="preserve">孰</w:t>
      </w:r>
      <w:r>
        <w:rPr>
          <w:rFonts w:hint="eastAsia" w:ascii="宋体" w:hAnsi="宋体" w:cs="Courier New"/>
          <w:sz w:val="24"/>
          <w:szCs w:val="24"/>
        </w:rPr>
        <w:t xml:space="preserve">长为准。</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rPr>
          <w:rFonts w:hint="eastAsia" w:ascii="宋体" w:hAnsi="宋体" w:cs="Courier New"/>
          <w:sz w:val="24"/>
          <w:szCs w:val="24"/>
        </w:rPr>
      </w:pPr>
      <w:r>
        <w:rPr>
          <w:rFonts w:hint="eastAsia" w:ascii="宋体" w:hAnsi="宋体" w:cs="Courier New"/>
          <w:sz w:val="24"/>
          <w:szCs w:val="24"/>
        </w:rPr>
        <w:t xml:space="preserve">4.1 乙方应保证甲方在使用、接受本合同</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或其任何一部分时不受第三方提出侵犯其专利权、著作权、商标权、工业设计权、商业秘密等知识产权的起诉。一旦出现侵权，由乙方负全部责任。</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rPr>
          <w:rFonts w:hint="eastAsia" w:ascii="宋体" w:hAnsi="宋体" w:cs="Courier New"/>
          <w:sz w:val="24"/>
          <w:szCs w:val="24"/>
        </w:rPr>
      </w:pPr>
      <w:r>
        <w:rPr>
          <w:rFonts w:hint="eastAsia" w:ascii="宋体" w:hAnsi="宋体" w:cs="Courier New"/>
          <w:sz w:val="24"/>
          <w:szCs w:val="24"/>
        </w:rPr>
        <w:t xml:space="preserve">5.1 乙方保证所交付的</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的所有权完全属于</w:t>
      </w:r>
      <w:r>
        <w:rPr>
          <w:rFonts w:hint="eastAsia" w:ascii="宋体" w:hAnsi="宋体" w:cs="Courier New"/>
          <w:sz w:val="24"/>
          <w:szCs w:val="24"/>
        </w:rPr>
        <w:t xml:space="preserve">乙方且</w:t>
      </w:r>
      <w:r>
        <w:rPr>
          <w:rFonts w:hint="eastAsia" w:ascii="宋体" w:hAnsi="宋体" w:cs="Courier New"/>
          <w:sz w:val="24"/>
          <w:szCs w:val="24"/>
        </w:rPr>
        <w:t xml:space="preserve">无任何抵押、查封等产权瑕疵。</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rPr>
          <w:rFonts w:hint="eastAsia" w:ascii="宋体" w:hAnsi="宋体" w:cs="Courier New"/>
          <w:sz w:val="24"/>
          <w:szCs w:val="24"/>
        </w:rPr>
      </w:pPr>
      <w:r>
        <w:rPr>
          <w:rFonts w:hint="eastAsia" w:ascii="宋体" w:hAnsi="宋体" w:cs="Courier New"/>
          <w:sz w:val="24"/>
          <w:szCs w:val="24"/>
        </w:rPr>
        <w:t xml:space="preserve">7.2 </w:t>
      </w:r>
      <w:r>
        <w:rPr>
          <w:rFonts w:hint="eastAsia" w:ascii="宋体" w:hAnsi="宋体" w:cs="Courier New"/>
          <w:sz w:val="24"/>
          <w:szCs w:val="24"/>
        </w:rPr>
        <w:t xml:space="preserve">除谈判</w:t>
      </w:r>
      <w:r>
        <w:rPr>
          <w:rFonts w:hint="eastAsia" w:ascii="宋体" w:hAnsi="宋体" w:cs="Courier New"/>
          <w:sz w:val="24"/>
          <w:szCs w:val="24"/>
        </w:rPr>
        <w:t xml:space="preserve">文件接受分包并经甲方同意，乙方可按分包意向协议分包情况外，乙方不得将合同标的分包给他人履行。</w:t>
      </w:r>
      <w:r/>
    </w:p>
    <w:p>
      <w:pPr>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45"/>
        <w:rPr>
          <w:rFonts w:hint="eastAsia" w:hAnsi="宋体"/>
          <w:sz w:val="24"/>
          <w:szCs w:val="24"/>
        </w:rPr>
        <w:outlineLvl w:val="3"/>
      </w:pPr>
      <w:r>
        <w:rPr>
          <w:rFonts w:hint="eastAsia" w:hAnsi="宋体"/>
          <w:sz w:val="24"/>
          <w:szCs w:val="24"/>
        </w:rPr>
        <w:t xml:space="preserve">8.1 合同款项的支付方式及时间</w:t>
      </w:r>
      <w:r/>
    </w:p>
    <w:p>
      <w:pPr>
        <w:rPr>
          <w:rFonts w:hint="eastAsia" w:ascii="宋体" w:hAnsi="宋体" w:cs="Courier New"/>
          <w:sz w:val="24"/>
          <w:szCs w:val="24"/>
        </w:rPr>
      </w:pPr>
      <w:r>
        <w:rPr>
          <w:rFonts w:ascii="宋体" w:hAnsi="宋体" w:cs="Courier New"/>
          <w:sz w:val="24"/>
          <w:szCs w:val="24"/>
        </w:rPr>
        <w:t xml:space="preserve">8.1.1 合同签订后，甲方支付合同总价款的30%作为预付款。</w:t>
      </w:r>
      <w:r/>
    </w:p>
    <w:p>
      <w:pPr>
        <w:rPr>
          <w:rFonts w:hint="eastAsia" w:ascii="宋体" w:hAnsi="宋体" w:cs="Courier New"/>
          <w:sz w:val="24"/>
          <w:szCs w:val="24"/>
        </w:rPr>
      </w:pPr>
      <w:r>
        <w:rPr>
          <w:rFonts w:ascii="宋体" w:hAnsi="宋体" w:cs="Courier New"/>
          <w:sz w:val="24"/>
          <w:szCs w:val="24"/>
        </w:rPr>
        <w:t xml:space="preserve">8.1.2 开发服务完成并交付，甲方支付合同总价款的40%。</w:t>
      </w:r>
      <w:r/>
    </w:p>
    <w:p>
      <w:pPr>
        <w:rPr>
          <w:rFonts w:hint="eastAsia" w:ascii="宋体" w:hAnsi="宋体" w:cs="Courier New"/>
          <w:sz w:val="24"/>
          <w:szCs w:val="24"/>
        </w:rPr>
      </w:pPr>
      <w:r>
        <w:rPr>
          <w:rFonts w:ascii="宋体" w:hAnsi="宋体" w:cs="Courier New"/>
          <w:sz w:val="24"/>
          <w:szCs w:val="24"/>
        </w:rPr>
        <w:t xml:space="preserve">8.1.3 系统部署完成并调试合格，甲方支付合同总价款的30%。</w:t>
      </w:r>
      <w:r/>
    </w:p>
    <w:p>
      <w:pPr>
        <w:pStyle w:val="945"/>
        <w:rPr>
          <w:rFonts w:hint="eastAsia" w:hAnsi="宋体"/>
          <w:sz w:val="24"/>
          <w:szCs w:val="24"/>
        </w:rPr>
      </w:pPr>
      <w:r>
        <w:rPr>
          <w:rFonts w:hint="eastAsia" w:hAnsi="宋体"/>
          <w:sz w:val="24"/>
          <w:szCs w:val="24"/>
        </w:rPr>
        <w:t xml:space="preserve">8.1.4 满足合同约定支付条件的，甲方收到乙方发票后10个工作日内，将资金支付到合同约定的乙方账户。 </w:t>
      </w:r>
      <w:r/>
    </w:p>
    <w:p>
      <w:pPr>
        <w:pStyle w:val="945"/>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45"/>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rPr>
          <w:rFonts w:hint="eastAsia" w:ascii="宋体" w:hAnsi="宋体" w:cs="Courier New"/>
          <w:sz w:val="24"/>
          <w:szCs w:val="24"/>
        </w:rPr>
      </w:pPr>
      <w:r>
        <w:rPr>
          <w:rFonts w:hint="eastAsia" w:ascii="宋体" w:hAnsi="宋体" w:cs="Courier New"/>
          <w:sz w:val="24"/>
          <w:szCs w:val="24"/>
        </w:rPr>
        <w:t xml:space="preserve">10.1 乙方应按谈判文件规定的货物性能、技术要求、质量标准向甲方提供未经使用的全新产品。</w:t>
      </w:r>
      <w:r/>
    </w:p>
    <w:p>
      <w:pPr>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w:t>
      </w:r>
      <w:r>
        <w:rPr>
          <w:rFonts w:hint="eastAsia" w:ascii="宋体" w:hAnsi="宋体" w:cs="Courier New"/>
          <w:sz w:val="24"/>
          <w:szCs w:val="24"/>
        </w:rPr>
        <w:t xml:space="preserve">应承担该货物</w:t>
      </w:r>
      <w:r>
        <w:rPr>
          <w:rFonts w:hint="eastAsia" w:ascii="宋体" w:hAnsi="宋体" w:cs="Courier New"/>
          <w:sz w:val="24"/>
          <w:szCs w:val="24"/>
        </w:rPr>
        <w:t xml:space="preserve">的直接费用（运输、保险、检验、货款利息及银行手续费等）。</w:t>
      </w:r>
      <w:r/>
    </w:p>
    <w:p>
      <w:pPr>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w:t>
      </w:r>
      <w:r>
        <w:rPr>
          <w:rFonts w:hint="eastAsia" w:ascii="宋体" w:hAnsi="宋体" w:cs="Courier New"/>
          <w:sz w:val="24"/>
          <w:szCs w:val="24"/>
        </w:rPr>
        <w:t xml:space="preserve">保范围</w:t>
      </w:r>
      <w:r>
        <w:rPr>
          <w:rFonts w:hint="eastAsia" w:ascii="宋体" w:hAnsi="宋体" w:cs="Courier New"/>
          <w:sz w:val="24"/>
          <w:szCs w:val="24"/>
        </w:rPr>
        <w:t xml:space="preserve">内。超过质保期的乙方负责终生维修，维修时只收取部件成本费。</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rPr>
          <w:rFonts w:hint="eastAsia" w:ascii="宋体" w:hAnsi="宋体" w:cs="Courier New"/>
          <w:sz w:val="24"/>
          <w:szCs w:val="24"/>
        </w:rPr>
      </w:pPr>
      <w:r>
        <w:rPr>
          <w:rFonts w:hint="eastAsia" w:ascii="宋体" w:hAnsi="宋体" w:cs="Courier New"/>
          <w:sz w:val="24"/>
          <w:szCs w:val="24"/>
        </w:rPr>
        <w:t xml:space="preserve">11.4 如有必要，甲方可邀请参加本项目谈判的其他供应商或第三</w:t>
      </w:r>
      <w:r>
        <w:rPr>
          <w:rFonts w:hint="eastAsia" w:ascii="宋体" w:hAnsi="宋体" w:cs="Courier New"/>
          <w:sz w:val="24"/>
          <w:szCs w:val="24"/>
        </w:rPr>
        <w:t xml:space="preserve">方专业</w:t>
      </w:r>
      <w:r>
        <w:rPr>
          <w:rFonts w:hint="eastAsia" w:ascii="宋体" w:hAnsi="宋体" w:cs="Courier New"/>
          <w:sz w:val="24"/>
          <w:szCs w:val="24"/>
        </w:rPr>
        <w:t xml:space="preserve">机构及专家参与验收，相关意见将作为验收结论的参考。</w:t>
      </w:r>
      <w:r/>
    </w:p>
    <w:p>
      <w:pPr>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w:t>
      </w:r>
      <w:r>
        <w:rPr>
          <w:rFonts w:hint="eastAsia" w:ascii="宋体" w:hAnsi="宋体" w:cs="Courier New"/>
          <w:sz w:val="24"/>
          <w:szCs w:val="24"/>
        </w:rPr>
        <w:t xml:space="preserve">见谈判</w:t>
      </w:r>
      <w:r>
        <w:rPr>
          <w:rFonts w:hint="eastAsia" w:ascii="宋体" w:hAnsi="宋体" w:cs="Courier New"/>
          <w:sz w:val="24"/>
          <w:szCs w:val="24"/>
        </w:rPr>
        <w:t xml:space="preserve">文件。验收时甲方按照采购合同的约定对每一项技术、商务要求的履约情况进行确认。验收结束后验收小组出具验收书，列明各项标准的验收情况及项目总体评价，由验收双方共</w:t>
      </w:r>
      <w:r>
        <w:rPr>
          <w:rFonts w:hint="eastAsia" w:ascii="宋体" w:hAnsi="宋体" w:cs="Courier New"/>
          <w:sz w:val="24"/>
          <w:szCs w:val="24"/>
        </w:rPr>
        <w:t xml:space="preserve">同签署。验收结果与采购合同约定的资金支付及履约保证金退还挂钩。履约验收的各项资料存档备查。</w:t>
      </w:r>
      <w:r/>
    </w:p>
    <w:p>
      <w:pPr>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pPr>
      <w:r>
        <w:rPr>
          <w:rFonts w:hint="eastAsia" w:ascii="宋体" w:hAnsi="宋体" w:cs="Courier New"/>
          <w:sz w:val="24"/>
          <w:szCs w:val="24"/>
        </w:rPr>
        <w:t xml:space="preserve">11.7 </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rPr>
          <w:rFonts w:hint="eastAsia" w:ascii="宋体" w:hAnsi="宋体" w:cs="Courier New"/>
          <w:sz w:val="24"/>
          <w:szCs w:val="24"/>
        </w:rPr>
      </w:pPr>
      <w:r>
        <w:rPr>
          <w:rFonts w:hint="eastAsia" w:ascii="宋体" w:hAnsi="宋体" w:cs="Courier New"/>
          <w:sz w:val="24"/>
          <w:szCs w:val="24"/>
        </w:rPr>
        <w:t xml:space="preserve">13.1 甲方无正当理由拒收货物或服务的，应向乙方偿付拒收货物总价款</w:t>
      </w:r>
      <w:r>
        <w:rPr>
          <w:rFonts w:hint="eastAsia" w:ascii="宋体" w:hAnsi="宋体" w:cs="Courier New"/>
          <w:sz w:val="24"/>
          <w:szCs w:val="24"/>
          <w:u w:val="single"/>
        </w:rPr>
        <w:t xml:space="preserve"> 20%  </w:t>
      </w:r>
      <w:r>
        <w:rPr>
          <w:rFonts w:hint="eastAsia" w:ascii="宋体" w:hAnsi="宋体" w:cs="Courier New"/>
          <w:sz w:val="24"/>
          <w:szCs w:val="24"/>
        </w:rPr>
        <w:t xml:space="preserve">的违约金。</w:t>
      </w:r>
      <w:r/>
    </w:p>
    <w:p>
      <w:pPr>
        <w:rPr>
          <w:rFonts w:hint="eastAsia" w:ascii="宋体" w:hAnsi="宋体" w:cs="Courier New"/>
          <w:sz w:val="24"/>
          <w:szCs w:val="24"/>
        </w:rPr>
      </w:pPr>
      <w:r>
        <w:rPr>
          <w:rFonts w:hint="eastAsia" w:ascii="宋体" w:hAnsi="宋体" w:cs="Courier New"/>
          <w:sz w:val="24"/>
          <w:szCs w:val="24"/>
        </w:rPr>
        <w:t xml:space="preserve">13.2 甲方无故逾期验收和办理款项支付手续的，应按逾期付款总额每日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20%   </w:t>
      </w:r>
      <w:r>
        <w:rPr>
          <w:rFonts w:ascii="宋体" w:hAnsi="宋体" w:cs="宋体"/>
          <w:sz w:val="24"/>
          <w:szCs w:val="24"/>
        </w:rPr>
        <w:t xml:space="preserve">%。</w:t>
      </w:r>
      <w:r/>
    </w:p>
    <w:p>
      <w:pPr>
        <w:rPr>
          <w:rFonts w:hint="eastAsia" w:ascii="宋体" w:hAnsi="宋体" w:cs="Courier New"/>
          <w:sz w:val="24"/>
          <w:szCs w:val="24"/>
        </w:rPr>
      </w:pPr>
      <w:r>
        <w:rPr>
          <w:rFonts w:hint="eastAsia" w:ascii="宋体" w:hAnsi="宋体" w:cs="Courier New"/>
          <w:sz w:val="24"/>
          <w:szCs w:val="24"/>
        </w:rPr>
        <w:t xml:space="preserve">13.3 乙方逾期交付货物或服务的，应按逾期交付总额每日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向甲方支付违约金，由甲方从待付款项中扣除。逾期超过约定日期10个工作日不能交付的，甲方可解除本合同。乙方因逾期交付或因其他违约行为导致甲方解除合同的，应向甲方支付合同总价</w:t>
      </w:r>
      <w:r>
        <w:rPr>
          <w:rFonts w:hint="eastAsia" w:ascii="宋体" w:hAnsi="宋体" w:cs="Courier New"/>
          <w:sz w:val="24"/>
          <w:szCs w:val="24"/>
          <w:u w:val="single"/>
        </w:rPr>
        <w:t xml:space="preserve">  20%  </w:t>
      </w:r>
      <w:r>
        <w:rPr>
          <w:rFonts w:hint="eastAsia" w:ascii="宋体" w:hAnsi="宋体" w:cs="Courier New"/>
          <w:sz w:val="24"/>
          <w:szCs w:val="24"/>
        </w:rPr>
        <w:t xml:space="preserve">的违约金。 </w:t>
      </w:r>
      <w:r/>
    </w:p>
    <w:p>
      <w:pPr>
        <w:rPr>
          <w:rFonts w:hint="eastAsia" w:ascii="宋体" w:hAnsi="宋体" w:cs="Courier New"/>
          <w:sz w:val="24"/>
          <w:szCs w:val="24"/>
        </w:rPr>
      </w:pPr>
      <w:r>
        <w:rPr>
          <w:rFonts w:hint="eastAsia" w:ascii="宋体" w:hAnsi="宋体" w:cs="Courier New"/>
          <w:sz w:val="24"/>
          <w:szCs w:val="24"/>
        </w:rPr>
        <w:t xml:space="preserve">13.4 乙方所交付货物或服务的品种、型号、规格、技术参数、质量不符合合同规定及采购文件规定标准的，甲方有权拒收该货物或服务，乙方愿意更换货物或服务但逾期交货的，按乙方逾期交付处理。乙方拒绝更换货物或服务的，甲方可单方面解除合同。</w:t>
      </w:r>
      <w:r/>
    </w:p>
    <w:p>
      <w:r>
        <w:rPr>
          <w:rFonts w:hint="eastAsia" w:ascii="宋体" w:hAnsi="宋体" w:cs="Courier New"/>
          <w:sz w:val="24"/>
          <w:szCs w:val="24"/>
        </w:rPr>
        <w:t xml:space="preserve">13.5 甲乙双方任何一方违反本合同约定的，除应承</w:t>
      </w:r>
      <w:r>
        <w:rPr>
          <w:rFonts w:hint="eastAsia" w:ascii="宋体" w:hAnsi="宋体" w:cs="Courier New"/>
          <w:sz w:val="24"/>
          <w:szCs w:val="24"/>
        </w:rPr>
        <w:t xml:space="preserve">担上述</w:t>
      </w:r>
      <w:r>
        <w:rPr>
          <w:rFonts w:hint="eastAsia" w:ascii="宋体" w:hAnsi="宋体" w:cs="Courier New"/>
          <w:sz w:val="24"/>
          <w:szCs w:val="24"/>
        </w:rPr>
        <w:t xml:space="preserve">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bookmarkEnd w:id="161"/>
      <w:r/>
      <w:bookmarkEnd w:id="162"/>
      <w:r/>
      <w:bookmarkEnd w:id="163"/>
      <w:r/>
      <w:r/>
    </w:p>
    <w:p>
      <w:pPr>
        <w:pStyle w:val="945"/>
        <w:spacing w:before="120" w:after="120"/>
        <w:rPr>
          <w:rFonts w:hint="eastAsia" w:hAnsi="宋体"/>
          <w:sz w:val="24"/>
          <w:szCs w:val="24"/>
        </w:rPr>
      </w:pPr>
      <w:r>
        <w:rPr>
          <w:rFonts w:hint="eastAsia" w:hAnsi="宋体"/>
          <w:sz w:val="24"/>
          <w:szCs w:val="24"/>
        </w:rPr>
        <w:t xml:space="preserve">  </w:t>
      </w:r>
      <w:r/>
    </w:p>
    <w:p>
      <w:pPr>
        <w:pStyle w:val="945"/>
        <w:spacing w:before="120" w:after="120"/>
        <w:rPr>
          <w:rFonts w:hint="eastAsia" w:hAnsi="宋体"/>
          <w:sz w:val="24"/>
          <w:szCs w:val="24"/>
        </w:rPr>
      </w:pPr>
      <w:r>
        <w:rPr>
          <w:rFonts w:hint="eastAsia" w:hAnsi="宋体"/>
          <w:sz w:val="24"/>
          <w:szCs w:val="24"/>
        </w:rPr>
        <w:t xml:space="preserve">甲  方：（公章）                       乙  方：（公章） </w:t>
      </w:r>
      <w:r/>
    </w:p>
    <w:p>
      <w:pPr>
        <w:pStyle w:val="945"/>
        <w:spacing w:before="120" w:after="120"/>
        <w:rPr>
          <w:rFonts w:hint="eastAsia" w:hAnsi="宋体"/>
          <w:sz w:val="24"/>
          <w:szCs w:val="24"/>
        </w:rPr>
      </w:pPr>
      <w:r>
        <w:rPr>
          <w:rFonts w:hint="eastAsia" w:hAnsi="宋体"/>
          <w:sz w:val="24"/>
          <w:szCs w:val="24"/>
        </w:rPr>
        <w:t xml:space="preserve">地  址：                               地  址： </w:t>
      </w:r>
      <w:r/>
    </w:p>
    <w:p>
      <w:pPr>
        <w:pStyle w:val="945"/>
        <w:spacing w:before="120" w:after="120"/>
        <w:rPr>
          <w:rFonts w:hint="eastAsia" w:hAnsi="宋体"/>
          <w:sz w:val="24"/>
          <w:szCs w:val="24"/>
        </w:rPr>
      </w:pPr>
      <w:r>
        <w:rPr>
          <w:rFonts w:hint="eastAsia" w:hAnsi="宋体"/>
          <w:sz w:val="24"/>
          <w:szCs w:val="24"/>
        </w:rPr>
        <w:t xml:space="preserve">法定代表人或授权代表：                 法定代表人或授权代表：</w:t>
      </w:r>
      <w:r/>
    </w:p>
    <w:p>
      <w:pPr>
        <w:pStyle w:val="945"/>
        <w:spacing w:before="120" w:after="120"/>
        <w:rPr>
          <w:rFonts w:hint="eastAsia" w:hAnsi="宋体"/>
          <w:sz w:val="24"/>
          <w:szCs w:val="24"/>
        </w:rPr>
      </w:pPr>
      <w:r>
        <w:rPr>
          <w:rFonts w:hint="eastAsia" w:hAnsi="宋体"/>
          <w:sz w:val="24"/>
          <w:szCs w:val="24"/>
        </w:rPr>
        <w:t xml:space="preserve">联系电话：                             联系电话：          </w:t>
      </w:r>
      <w:r/>
    </w:p>
    <w:p>
      <w:pPr>
        <w:pStyle w:val="945"/>
        <w:spacing w:before="120" w:after="120"/>
        <w:rPr>
          <w:rFonts w:hint="eastAsia" w:hAnsi="宋体"/>
          <w:sz w:val="24"/>
          <w:szCs w:val="24"/>
        </w:rPr>
      </w:pPr>
      <w:r>
        <w:rPr>
          <w:rFonts w:hint="eastAsia" w:hAnsi="宋体"/>
          <w:sz w:val="24"/>
          <w:szCs w:val="24"/>
        </w:rPr>
        <w:t xml:space="preserve">                                          </w:t>
      </w:r>
      <w:r/>
    </w:p>
    <w:p>
      <w:pPr>
        <w:pStyle w:val="945"/>
        <w:ind w:firstLine="4800"/>
        <w:spacing w:before="120" w:after="120"/>
        <w:rPr>
          <w:rFonts w:hint="eastAsia" w:hAnsi="宋体"/>
          <w:sz w:val="24"/>
          <w:szCs w:val="24"/>
        </w:rPr>
      </w:pPr>
      <w:r>
        <w:rPr>
          <w:rFonts w:hint="eastAsia" w:hAnsi="宋体"/>
          <w:sz w:val="24"/>
          <w:szCs w:val="24"/>
        </w:rPr>
        <w:t xml:space="preserve">签订日期：      </w:t>
      </w:r>
      <w:r/>
    </w:p>
    <w:p>
      <w:pPr>
        <w:jc w:val="center"/>
        <w:spacing w:before="145" w:after="145"/>
        <w:rPr>
          <w:rFonts w:hint="eastAsia" w:ascii="宋体" w:hAnsi="宋体"/>
          <w:b/>
          <w:sz w:val="30"/>
          <w:szCs w:val="21"/>
        </w:rPr>
      </w:pPr>
      <w:r>
        <w:rPr>
          <w:rFonts w:hint="eastAsia" w:ascii="宋体" w:hAnsi="宋体"/>
          <w:b/>
          <w:sz w:val="30"/>
          <w:szCs w:val="21"/>
        </w:rPr>
      </w:r>
      <w:r/>
    </w:p>
    <w:p>
      <w:pP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jc w:val="center"/>
        <w:spacing w:before="145" w:after="145"/>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45"/>
        <w:jc w:val="left"/>
        <w:spacing w:before="120" w:after="120"/>
        <w:rPr>
          <w:rFonts w:hint="eastAsia" w:hAnsi="宋体"/>
          <w:sz w:val="24"/>
          <w:szCs w:val="24"/>
        </w:rPr>
      </w:pPr>
      <w:r>
        <w:rPr>
          <w:rFonts w:hint="eastAsia" w:hAnsi="宋体"/>
          <w:sz w:val="24"/>
          <w:szCs w:val="24"/>
        </w:rPr>
        <w:t xml:space="preserve">   谈判文件及合同未约定事项，双方</w:t>
      </w:r>
      <w:r>
        <w:rPr>
          <w:rFonts w:hint="eastAsia" w:hAnsi="宋体"/>
          <w:sz w:val="24"/>
          <w:szCs w:val="24"/>
        </w:rPr>
        <w:t xml:space="preserve">可友好</w:t>
      </w:r>
      <w:r>
        <w:rPr>
          <w:rFonts w:hint="eastAsia" w:hAnsi="宋体"/>
          <w:sz w:val="24"/>
          <w:szCs w:val="24"/>
        </w:rPr>
        <w:t xml:space="preserve">协商签订补充协议。</w:t>
      </w:r>
      <w:r/>
    </w:p>
    <w:p>
      <w:pPr>
        <w:jc w:val="center"/>
        <w:spacing w:before="120" w:after="120" w:line="0" w:lineRule="atLeast"/>
        <w:rPr>
          <w:rFonts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55"/>
      <w:r>
        <w:rPr>
          <w:rFonts w:hint="eastAsia" w:ascii="方正小标宋简体" w:hAnsi="方正小标宋简体" w:eastAsia="方正小标宋简体" w:cs="方正小标宋简体"/>
          <w:sz w:val="36"/>
          <w:szCs w:val="36"/>
        </w:rPr>
        <w:t xml:space="preserve">四章 采购需求</w:t>
      </w:r>
      <w:bookmarkStart w:id="164" w:name="_Toc26554093"/>
      <w:r/>
      <w:bookmarkStart w:id="165" w:name="_Toc49090575"/>
      <w:r/>
      <w:bookmarkEnd w:id="156"/>
      <w:r/>
      <w:bookmarkEnd w:id="157"/>
      <w:r/>
      <w:bookmarkEnd w:id="158"/>
      <w:r/>
      <w:r/>
    </w:p>
    <w:p>
      <w:pPr>
        <w:ind w:firstLine="480"/>
        <w:spacing w:line="264" w:lineRule="auto"/>
        <w:rPr>
          <w:rFonts w:hint="eastAsia" w:ascii="宋体" w:hAnsi="宋体" w:cs="宋体"/>
          <w:bCs/>
          <w:sz w:val="24"/>
          <w:szCs w:val="24"/>
        </w:rPr>
      </w:pPr>
      <w:r>
        <w:rPr>
          <w:rFonts w:hint="eastAsia" w:ascii="黑体" w:hAnsi="黑体" w:eastAsia="黑体" w:cs="黑体"/>
          <w:sz w:val="24"/>
          <w:szCs w:val="24"/>
        </w:rPr>
        <w:t xml:space="preserve">一、项目属性：</w:t>
      </w:r>
      <w:r>
        <w:rPr>
          <w:rFonts w:hint="eastAsia" w:ascii="宋体" w:hAnsi="宋体" w:cs="宋体"/>
          <w:bCs/>
          <w:sz w:val="24"/>
          <w:szCs w:val="24"/>
        </w:rPr>
        <w:t xml:space="preserve">服务类项目。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cs="宋体"/>
          <w:bCs/>
          <w:sz w:val="24"/>
          <w:szCs w:val="24"/>
        </w:rPr>
        <w:outlineLvl w:val="1"/>
      </w:pPr>
      <w:r>
        <w:rPr>
          <w:rFonts w:ascii="宋体" w:hAnsi="宋体" w:cs="宋体"/>
          <w:bCs/>
          <w:sz w:val="24"/>
          <w:szCs w:val="24"/>
        </w:rPr>
        <w:t xml:space="preserve">（一）项目背景</w:t>
      </w:r>
      <w:r/>
    </w:p>
    <w:p>
      <w:pPr>
        <w:ind w:firstLine="480"/>
        <w:spacing w:line="264" w:lineRule="auto"/>
        <w:rPr>
          <w:rFonts w:hint="eastAsia" w:ascii="宋体" w:hAnsi="宋体" w:cs="宋体"/>
          <w:bCs/>
          <w:sz w:val="24"/>
          <w:szCs w:val="24"/>
        </w:rPr>
        <w:outlineLvl w:val="1"/>
      </w:pPr>
      <w:r>
        <w:rPr>
          <w:rFonts w:ascii="宋体" w:hAnsi="宋体" w:cs="宋体"/>
          <w:bCs/>
          <w:sz w:val="24"/>
          <w:szCs w:val="24"/>
        </w:rPr>
        <w:t xml:space="preserve">为构建面向异构解耦</w:t>
      </w:r>
      <w:r>
        <w:rPr>
          <w:rFonts w:ascii="宋体" w:hAnsi="宋体" w:cs="宋体"/>
          <w:bCs/>
          <w:sz w:val="24"/>
          <w:szCs w:val="24"/>
        </w:rPr>
        <w:t xml:space="preserve">存算资源的存算</w:t>
      </w:r>
      <w:r>
        <w:rPr>
          <w:rFonts w:ascii="宋体" w:hAnsi="宋体" w:cs="宋体"/>
          <w:bCs/>
          <w:sz w:val="24"/>
          <w:szCs w:val="24"/>
        </w:rPr>
        <w:t xml:space="preserve">驱动模块，实现异构计算、内存资源的逻辑解耦与弹性组合，支撑原生开放智能</w:t>
      </w:r>
      <w:r>
        <w:rPr>
          <w:rFonts w:ascii="宋体" w:hAnsi="宋体" w:cs="宋体"/>
          <w:bCs/>
          <w:sz w:val="24"/>
          <w:szCs w:val="24"/>
        </w:rPr>
        <w:t xml:space="preserve">的算网操作系统</w:t>
      </w:r>
      <w:r>
        <w:rPr>
          <w:rFonts w:ascii="宋体" w:hAnsi="宋体" w:cs="宋体"/>
          <w:bCs/>
          <w:sz w:val="24"/>
          <w:szCs w:val="24"/>
        </w:rPr>
        <w:t xml:space="preserve">，采购人已先行采购了完整的硬件实验平台。本次软件开发服务须基于已有硬件环境，完成CXL交换控制、共享内存管理、Fabric管控、内存动态扩缩及异构CPU适配等核心软件模块的设计、开发、部署与联调。供应商须充分理解硬件平台架构与接口，交付一套完整、可运行</w:t>
      </w:r>
      <w:r>
        <w:rPr>
          <w:rFonts w:ascii="宋体" w:hAnsi="宋体" w:cs="宋体"/>
          <w:bCs/>
          <w:sz w:val="24"/>
          <w:szCs w:val="24"/>
        </w:rPr>
        <w:t xml:space="preserve">的存算资源池</w:t>
      </w:r>
      <w:r>
        <w:rPr>
          <w:rFonts w:ascii="宋体" w:hAnsi="宋体" w:cs="宋体"/>
          <w:bCs/>
          <w:sz w:val="24"/>
          <w:szCs w:val="24"/>
        </w:rPr>
        <w:t xml:space="preserve">化软件系统。</w:t>
      </w:r>
      <w:r/>
    </w:p>
    <w:p>
      <w:pPr>
        <w:ind w:firstLine="480"/>
        <w:spacing w:line="264" w:lineRule="auto"/>
        <w:rPr>
          <w:rFonts w:hint="eastAsia" w:ascii="宋体" w:hAnsi="宋体" w:cs="宋体"/>
          <w:bCs/>
          <w:sz w:val="24"/>
          <w:szCs w:val="24"/>
        </w:rPr>
        <w:outlineLvl w:val="1"/>
      </w:pPr>
      <w:r>
        <w:rPr>
          <w:rFonts w:ascii="宋体" w:hAnsi="宋体" w:cs="宋体"/>
          <w:bCs/>
          <w:sz w:val="24"/>
          <w:szCs w:val="24"/>
        </w:rPr>
        <w:t xml:space="preserve">（二）项目建设遵循标准</w:t>
      </w:r>
      <w:r/>
    </w:p>
    <w:p>
      <w:pPr>
        <w:ind w:firstLine="480"/>
        <w:spacing w:line="264" w:lineRule="auto"/>
        <w:rPr>
          <w:rFonts w:hint="eastAsia" w:ascii="宋体" w:hAnsi="宋体" w:cs="宋体"/>
          <w:bCs/>
          <w:sz w:val="24"/>
          <w:szCs w:val="24"/>
        </w:rPr>
        <w:outlineLvl w:val="1"/>
      </w:pPr>
      <w:r>
        <w:rPr>
          <w:rFonts w:ascii="宋体" w:hAnsi="宋体" w:cs="宋体"/>
          <w:bCs/>
          <w:sz w:val="24"/>
          <w:szCs w:val="24"/>
        </w:rPr>
        <w:t xml:space="preserve">支持CXL 2.0交换功能，包括</w:t>
      </w:r>
      <w:r>
        <w:rPr>
          <w:rFonts w:ascii="宋体" w:hAnsi="宋体" w:cs="宋体"/>
          <w:bCs/>
          <w:sz w:val="24"/>
          <w:szCs w:val="24"/>
        </w:rPr>
        <w:t xml:space="preserve">CrossBar</w:t>
      </w:r>
      <w:r>
        <w:rPr>
          <w:rFonts w:ascii="宋体" w:hAnsi="宋体" w:cs="宋体"/>
          <w:bCs/>
          <w:sz w:val="24"/>
          <w:szCs w:val="24"/>
        </w:rPr>
        <w:t xml:space="preserve">交换、拓扑发现、端口映射、查表引擎、</w:t>
      </w:r>
      <w:r>
        <w:rPr>
          <w:rFonts w:ascii="宋体" w:hAnsi="宋体" w:cs="宋体"/>
          <w:bCs/>
          <w:sz w:val="24"/>
          <w:szCs w:val="24"/>
        </w:rPr>
        <w:t xml:space="preserve">流控算法</w:t>
      </w:r>
      <w:r>
        <w:rPr>
          <w:rFonts w:ascii="宋体" w:hAnsi="宋体" w:cs="宋体"/>
          <w:bCs/>
          <w:sz w:val="24"/>
          <w:szCs w:val="24"/>
        </w:rPr>
        <w:t xml:space="preserve">等；</w:t>
      </w:r>
      <w:r/>
    </w:p>
    <w:p>
      <w:pPr>
        <w:ind w:firstLine="480"/>
        <w:spacing w:line="264" w:lineRule="auto"/>
        <w:rPr>
          <w:rFonts w:hint="eastAsia" w:ascii="宋体" w:hAnsi="宋体" w:cs="宋体"/>
          <w:bCs/>
          <w:sz w:val="24"/>
          <w:szCs w:val="24"/>
        </w:rPr>
        <w:outlineLvl w:val="1"/>
      </w:pPr>
      <w:r>
        <w:rPr>
          <w:rFonts w:ascii="宋体" w:hAnsi="宋体" w:cs="宋体"/>
          <w:bCs/>
          <w:sz w:val="24"/>
          <w:szCs w:val="24"/>
        </w:rPr>
        <w:t xml:space="preserve">支持CXL共享内存管理功能；</w:t>
      </w:r>
      <w:r/>
    </w:p>
    <w:p>
      <w:pPr>
        <w:ind w:firstLine="480"/>
        <w:spacing w:line="264" w:lineRule="auto"/>
        <w:rPr>
          <w:rFonts w:hint="eastAsia" w:ascii="宋体" w:hAnsi="宋体" w:cs="宋体"/>
          <w:bCs/>
          <w:sz w:val="24"/>
          <w:szCs w:val="24"/>
        </w:rPr>
        <w:outlineLvl w:val="1"/>
      </w:pPr>
      <w:r>
        <w:rPr>
          <w:rFonts w:ascii="宋体" w:hAnsi="宋体" w:cs="宋体"/>
          <w:bCs/>
          <w:sz w:val="24"/>
          <w:szCs w:val="24"/>
        </w:rPr>
        <w:t xml:space="preserve">支持Fabric管理与控制功能，包括驱动程序、FM交互、资源管理等；</w:t>
      </w:r>
      <w:r/>
    </w:p>
    <w:p>
      <w:pPr>
        <w:ind w:firstLine="480"/>
        <w:spacing w:line="264" w:lineRule="auto"/>
        <w:rPr>
          <w:rFonts w:hint="eastAsia" w:ascii="宋体" w:hAnsi="宋体" w:cs="宋体"/>
          <w:bCs/>
          <w:sz w:val="24"/>
          <w:szCs w:val="24"/>
        </w:rPr>
        <w:outlineLvl w:val="1"/>
      </w:pPr>
      <w:r>
        <w:rPr>
          <w:rFonts w:ascii="宋体" w:hAnsi="宋体" w:cs="宋体"/>
          <w:bCs/>
          <w:sz w:val="24"/>
          <w:szCs w:val="24"/>
        </w:rPr>
        <w:t xml:space="preserve">内存资源动态扩缩；</w:t>
      </w:r>
      <w:r/>
    </w:p>
    <w:p>
      <w:pPr>
        <w:ind w:firstLine="480"/>
        <w:spacing w:line="264" w:lineRule="auto"/>
        <w:rPr>
          <w:rFonts w:hint="eastAsia" w:ascii="宋体" w:hAnsi="宋体" w:cs="宋体"/>
          <w:bCs/>
          <w:sz w:val="24"/>
          <w:szCs w:val="24"/>
        </w:rPr>
        <w:outlineLvl w:val="1"/>
      </w:pPr>
      <w:r>
        <w:rPr>
          <w:rFonts w:ascii="宋体" w:hAnsi="宋体" w:cs="宋体"/>
          <w:bCs/>
          <w:sz w:val="24"/>
          <w:szCs w:val="24"/>
        </w:rPr>
        <w:t xml:space="preserve">适配Intel和AMD CPU服务器。</w:t>
      </w:r>
      <w:r/>
    </w:p>
    <w:p>
      <w:pPr>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p>
    <w:tbl>
      <w:tblPr>
        <w:tblW w:w="5031" w:type="pct"/>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747"/>
        <w:gridCol w:w="2249"/>
        <w:gridCol w:w="837"/>
        <w:gridCol w:w="799"/>
        <w:gridCol w:w="1220"/>
        <w:gridCol w:w="1385"/>
        <w:gridCol w:w="1585"/>
        <w:gridCol w:w="998"/>
      </w:tblGrid>
      <w:tr>
        <w:trPr>
          <w:trHeight w:val="688"/>
        </w:trPr>
        <w:tc>
          <w:tcPr>
            <w:tcBorders>
              <w:top w:val="single" w:color="000000" w:sz="2" w:space="0"/>
              <w:bottom w:val="single" w:color="000000" w:sz="2" w:space="0"/>
            </w:tcBorders>
            <w:tcW w:w="3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Borders>
              <w:top w:val="single" w:color="000000" w:sz="2" w:space="0"/>
              <w:bottom w:val="single" w:color="000000" w:sz="2" w:space="0"/>
            </w:tcBorders>
            <w:tcW w:w="114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Borders>
              <w:top w:val="single" w:color="000000" w:sz="2" w:space="0"/>
              <w:bottom w:val="single" w:color="000000" w:sz="2" w:space="0"/>
            </w:tcBorders>
            <w:tcW w:w="4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Borders>
              <w:top w:val="single" w:color="000000" w:sz="2" w:space="0"/>
              <w:bottom w:val="single" w:color="000000" w:sz="2" w:space="0"/>
            </w:tcBorders>
            <w:tcW w:w="40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Borders>
              <w:top w:val="single" w:color="000000" w:sz="2" w:space="0"/>
              <w:bottom w:val="single" w:color="000000" w:sz="2" w:space="0"/>
            </w:tcBorders>
            <w:tcW w:w="62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spacing w:line="264" w:lineRule="auto"/>
            </w:pPr>
            <w:r>
              <w:rPr>
                <w:rFonts w:hint="eastAsia" w:ascii="宋体" w:hAnsi="宋体" w:cs="宋体"/>
                <w:bCs/>
                <w:sz w:val="24"/>
                <w:szCs w:val="24"/>
              </w:rPr>
              <w:t xml:space="preserve">（元）</w:t>
            </w:r>
            <w:r/>
          </w:p>
        </w:tc>
        <w:tc>
          <w:tcPr>
            <w:tcBorders>
              <w:top w:val="single" w:color="000000" w:sz="2" w:space="0"/>
              <w:bottom w:val="single" w:color="000000" w:sz="2" w:space="0"/>
            </w:tcBorders>
            <w:tcW w:w="70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80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Borders>
              <w:top w:val="single" w:color="000000" w:sz="2" w:space="0"/>
              <w:bottom w:val="single" w:color="000000" w:sz="2" w:space="0"/>
              <w:right w:val="single" w:color="000000" w:sz="4" w:space="0"/>
            </w:tcBorders>
            <w:tcW w:w="50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r>
      <w:tr>
        <w:trPr>
          <w:trHeight w:val="685"/>
        </w:trPr>
        <w:tc>
          <w:tcPr>
            <w:tcBorders>
              <w:top w:val="single" w:color="000000" w:sz="2" w:space="0"/>
              <w:bottom w:val="single" w:color="000000" w:sz="2" w:space="0"/>
            </w:tcBorders>
            <w:tcW w:w="3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1144" w:type="pct"/>
            <w:vAlign w:val="center"/>
            <w:textDirection w:val="lrTb"/>
            <w:noWrap w:val="false"/>
          </w:tcPr>
          <w:p>
            <w:pPr>
              <w:spacing w:line="264" w:lineRule="auto"/>
              <w:rPr>
                <w:rFonts w:hint="eastAsia" w:ascii="宋体" w:hAnsi="宋体" w:cs="宋体"/>
                <w:bCs/>
                <w:sz w:val="24"/>
                <w:szCs w:val="24"/>
              </w:rPr>
            </w:pPr>
            <w:r>
              <w:rPr>
                <w:rFonts w:hint="eastAsia" w:ascii="宋体" w:hAnsi="宋体" w:cs="宋体"/>
                <w:sz w:val="23"/>
                <w:szCs w:val="23"/>
              </w:rPr>
              <w:t xml:space="preserve">异构存算解耦</w:t>
            </w:r>
            <w:r>
              <w:rPr>
                <w:rFonts w:hint="eastAsia" w:ascii="宋体" w:hAnsi="宋体" w:cs="宋体"/>
                <w:sz w:val="23"/>
                <w:szCs w:val="23"/>
              </w:rPr>
              <w:t xml:space="preserve">CXL资源池化平台软件开发服务</w:t>
            </w:r>
            <w:r/>
          </w:p>
        </w:tc>
        <w:tc>
          <w:tcPr>
            <w:tcBorders>
              <w:top w:val="single" w:color="000000" w:sz="2" w:space="0"/>
              <w:bottom w:val="single" w:color="000000" w:sz="2" w:space="0"/>
            </w:tcBorders>
            <w:tcW w:w="4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40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3"/>
                <w:szCs w:val="23"/>
              </w:rPr>
              <w:t xml:space="preserve">项</w:t>
            </w:r>
            <w:r/>
          </w:p>
        </w:tc>
        <w:tc>
          <w:tcPr>
            <w:tcW w:w="62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50万</w:t>
            </w:r>
            <w:r/>
          </w:p>
        </w:tc>
        <w:tc>
          <w:tcPr>
            <w:tcBorders>
              <w:top w:val="single" w:color="000000" w:sz="2" w:space="0"/>
              <w:bottom w:val="single" w:color="000000" w:sz="2" w:space="0"/>
            </w:tcBorders>
            <w:tcW w:w="70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p>
        </w:tc>
        <w:tc>
          <w:tcPr>
            <w:tcBorders>
              <w:top w:val="single" w:color="000000" w:sz="2" w:space="0"/>
              <w:bottom w:val="single" w:color="000000" w:sz="2" w:space="0"/>
            </w:tcBorders>
            <w:tcW w:w="80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3"/>
                <w:szCs w:val="23"/>
              </w:rPr>
              <w:t xml:space="preserve">软件和信息技术服务业</w:t>
            </w:r>
            <w:r/>
          </w:p>
        </w:tc>
        <w:tc>
          <w:tcPr>
            <w:tcBorders>
              <w:top w:val="single" w:color="000000" w:sz="2" w:space="0"/>
              <w:bottom w:val="single" w:color="000000" w:sz="2" w:space="0"/>
              <w:right w:val="single" w:color="000000" w:sz="4" w:space="0"/>
            </w:tcBorders>
            <w:tcW w:w="50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四、拟采购产品需要满足的技术、商务要求</w:t>
      </w:r>
      <w:r/>
    </w:p>
    <w:p>
      <w:pPr>
        <w:ind w:firstLine="480"/>
        <w:spacing w:line="264" w:lineRule="auto"/>
        <w:rPr>
          <w:rFonts w:hint="eastAsia" w:ascii="宋体" w:hAnsi="宋体"/>
          <w:bCs/>
          <w:sz w:val="24"/>
        </w:rPr>
      </w:pPr>
      <w:r>
        <w:rPr>
          <w:rFonts w:ascii="宋体" w:hAnsi="宋体"/>
          <w:bCs/>
          <w:sz w:val="24"/>
        </w:rPr>
        <w:t xml:space="preserve">★（一）技术要求</w:t>
      </w:r>
      <w:r/>
    </w:p>
    <w:p>
      <w:pPr>
        <w:ind w:firstLine="482"/>
        <w:spacing w:line="264" w:lineRule="auto"/>
        <w:rPr>
          <w:rFonts w:hint="eastAsia" w:ascii="宋体" w:hAnsi="宋体"/>
          <w:b/>
          <w:bCs/>
          <w:sz w:val="24"/>
        </w:rPr>
      </w:pPr>
      <w:r>
        <w:rPr>
          <w:rFonts w:ascii="宋体" w:hAnsi="宋体"/>
          <w:b/>
          <w:bCs/>
          <w:sz w:val="24"/>
        </w:rPr>
        <w:t xml:space="preserve">（一）已有硬件平台说明</w:t>
      </w:r>
      <w:r/>
    </w:p>
    <w:p>
      <w:pPr>
        <w:ind w:firstLine="480"/>
        <w:spacing w:line="264" w:lineRule="auto"/>
        <w:rPr>
          <w:rFonts w:hint="eastAsia" w:ascii="宋体" w:hAnsi="宋体"/>
          <w:sz w:val="24"/>
        </w:rPr>
      </w:pPr>
      <w:r>
        <w:rPr>
          <w:rFonts w:ascii="宋体" w:hAnsi="宋体"/>
          <w:sz w:val="24"/>
        </w:rPr>
        <w:t xml:space="preserve">以下硬件设备均已采购并部署到位，供应商的软件开发须严格基于下述硬件环境。采购人将提供必要的硬件接口文档、寄存器手册及参考驱动。</w:t>
      </w:r>
      <w:r/>
    </w:p>
    <w:tbl>
      <w:tblPr>
        <w:tblW w:w="4998" w:type="pct"/>
        <w:tblInd w:w="23" w:type="dxa"/>
        <w:tblLook w:val="04A0" w:firstRow="1" w:lastRow="0" w:firstColumn="1" w:lastColumn="0" w:noHBand="0" w:noVBand="1"/>
      </w:tblPr>
      <w:tblGrid>
        <w:gridCol w:w="559"/>
        <w:gridCol w:w="1143"/>
        <w:gridCol w:w="700"/>
        <w:gridCol w:w="3260"/>
        <w:gridCol w:w="4110"/>
      </w:tblGrid>
      <w:tr>
        <w:trPr/>
        <w:tc>
          <w:tcPr>
            <w:tcBorders>
              <w:top w:val="single" w:color="002366" w:sz="6" w:space="0"/>
              <w:left w:val="single" w:color="002366" w:sz="6" w:space="0"/>
              <w:bottom w:val="single" w:color="002366" w:sz="6" w:space="0"/>
              <w:right w:val="single" w:color="002366" w:sz="6" w:space="0"/>
            </w:tcBorders>
            <w:tcMar>
              <w:left w:w="15" w:type="dxa"/>
              <w:top w:w="15" w:type="dxa"/>
              <w:right w:w="15" w:type="dxa"/>
              <w:bottom w:w="15" w:type="dxa"/>
            </w:tcMar>
            <w:tcW w:w="286" w:type="pct"/>
            <w:vAlign w:val="center"/>
            <w:textDirection w:val="lrTb"/>
            <w:noWrap w:val="false"/>
          </w:tcPr>
          <w:p>
            <w:pPr>
              <w:spacing w:line="264" w:lineRule="auto"/>
              <w:rPr>
                <w:rFonts w:hint="eastAsia" w:ascii="宋体" w:hAnsi="宋体"/>
                <w:b/>
                <w:bCs/>
                <w:sz w:val="24"/>
              </w:rPr>
            </w:pPr>
            <w:r>
              <w:rPr>
                <w:rFonts w:ascii="宋体" w:hAnsi="宋体"/>
                <w:b/>
                <w:bCs/>
                <w:sz w:val="24"/>
              </w:rPr>
              <w:t xml:space="preserve">序号</w:t>
            </w:r>
            <w:r/>
          </w:p>
        </w:tc>
        <w:tc>
          <w:tcPr>
            <w:tcBorders>
              <w:top w:val="single" w:color="002366" w:sz="6" w:space="0"/>
              <w:left w:val="none" w:color="000000" w:sz="4" w:space="0"/>
              <w:bottom w:val="single" w:color="002366" w:sz="6" w:space="0"/>
              <w:right w:val="single" w:color="002366" w:sz="6" w:space="0"/>
            </w:tcBorders>
            <w:tcMar>
              <w:left w:w="15" w:type="dxa"/>
              <w:top w:w="15" w:type="dxa"/>
              <w:right w:w="15" w:type="dxa"/>
              <w:bottom w:w="15" w:type="dxa"/>
            </w:tcMar>
            <w:tcW w:w="585" w:type="pct"/>
            <w:vAlign w:val="center"/>
            <w:textDirection w:val="lrTb"/>
            <w:noWrap w:val="false"/>
          </w:tcPr>
          <w:p>
            <w:pPr>
              <w:spacing w:line="264" w:lineRule="auto"/>
              <w:rPr>
                <w:rFonts w:hint="eastAsia" w:ascii="宋体" w:hAnsi="宋体"/>
                <w:b/>
                <w:bCs/>
                <w:sz w:val="24"/>
              </w:rPr>
            </w:pPr>
            <w:r>
              <w:rPr>
                <w:rFonts w:ascii="宋体" w:hAnsi="宋体"/>
                <w:b/>
                <w:bCs/>
                <w:sz w:val="24"/>
              </w:rPr>
              <w:t xml:space="preserve">设备名称</w:t>
            </w:r>
            <w:r/>
          </w:p>
        </w:tc>
        <w:tc>
          <w:tcPr>
            <w:tcBorders>
              <w:top w:val="single" w:color="002366" w:sz="6" w:space="0"/>
              <w:left w:val="none" w:color="000000" w:sz="4" w:space="0"/>
              <w:bottom w:val="single" w:color="002366" w:sz="6" w:space="0"/>
              <w:right w:val="single" w:color="002366" w:sz="6" w:space="0"/>
            </w:tcBorders>
            <w:tcMar>
              <w:left w:w="15" w:type="dxa"/>
              <w:top w:w="15" w:type="dxa"/>
              <w:right w:w="15" w:type="dxa"/>
              <w:bottom w:w="15" w:type="dxa"/>
            </w:tcMar>
            <w:tcW w:w="358" w:type="pct"/>
            <w:vAlign w:val="center"/>
            <w:textDirection w:val="lrTb"/>
            <w:noWrap w:val="false"/>
          </w:tcPr>
          <w:p>
            <w:pPr>
              <w:spacing w:line="264" w:lineRule="auto"/>
              <w:rPr>
                <w:rFonts w:hint="eastAsia" w:ascii="宋体" w:hAnsi="宋体"/>
                <w:b/>
                <w:bCs/>
                <w:sz w:val="24"/>
              </w:rPr>
            </w:pPr>
            <w:r>
              <w:rPr>
                <w:rFonts w:ascii="宋体" w:hAnsi="宋体"/>
                <w:b/>
                <w:bCs/>
                <w:sz w:val="24"/>
              </w:rPr>
              <w:t xml:space="preserve">数量</w:t>
            </w:r>
            <w:r/>
          </w:p>
        </w:tc>
        <w:tc>
          <w:tcPr>
            <w:tcBorders>
              <w:top w:val="single" w:color="002366" w:sz="6" w:space="0"/>
              <w:left w:val="none" w:color="000000" w:sz="4" w:space="0"/>
              <w:bottom w:val="single" w:color="002366" w:sz="6" w:space="0"/>
              <w:right w:val="single" w:color="002366" w:sz="6" w:space="0"/>
            </w:tcBorders>
            <w:tcMar>
              <w:left w:w="15" w:type="dxa"/>
              <w:top w:w="15" w:type="dxa"/>
              <w:right w:w="15" w:type="dxa"/>
              <w:bottom w:w="15" w:type="dxa"/>
            </w:tcMar>
            <w:tcW w:w="1668" w:type="pct"/>
            <w:vAlign w:val="center"/>
            <w:textDirection w:val="lrTb"/>
            <w:noWrap w:val="false"/>
          </w:tcPr>
          <w:p>
            <w:pPr>
              <w:ind w:firstLine="482"/>
              <w:spacing w:line="264" w:lineRule="auto"/>
              <w:rPr>
                <w:rFonts w:hint="eastAsia" w:ascii="宋体" w:hAnsi="宋体"/>
                <w:b/>
                <w:bCs/>
                <w:sz w:val="24"/>
              </w:rPr>
            </w:pPr>
            <w:r>
              <w:rPr>
                <w:rFonts w:ascii="宋体" w:hAnsi="宋体"/>
                <w:b/>
                <w:bCs/>
                <w:sz w:val="24"/>
              </w:rPr>
              <w:t xml:space="preserve">关键配置与接口</w:t>
            </w:r>
            <w:r/>
          </w:p>
        </w:tc>
        <w:tc>
          <w:tcPr>
            <w:tcBorders>
              <w:top w:val="single" w:color="002366" w:sz="6" w:space="0"/>
              <w:left w:val="none" w:color="000000" w:sz="4" w:space="0"/>
              <w:bottom w:val="single" w:color="002366" w:sz="6" w:space="0"/>
              <w:right w:val="single" w:color="002366" w:sz="6" w:space="0"/>
            </w:tcBorders>
            <w:tcMar>
              <w:left w:w="15" w:type="dxa"/>
              <w:top w:w="15" w:type="dxa"/>
              <w:right w:w="15" w:type="dxa"/>
              <w:bottom w:w="15" w:type="dxa"/>
            </w:tcMar>
            <w:tcW w:w="2103" w:type="pct"/>
            <w:vAlign w:val="center"/>
            <w:textDirection w:val="lrTb"/>
            <w:noWrap w:val="false"/>
          </w:tcPr>
          <w:p>
            <w:pPr>
              <w:ind w:firstLine="482"/>
              <w:spacing w:line="264" w:lineRule="auto"/>
              <w:rPr>
                <w:rFonts w:hint="eastAsia" w:ascii="宋体" w:hAnsi="宋体"/>
                <w:b/>
                <w:bCs/>
                <w:sz w:val="24"/>
              </w:rPr>
            </w:pPr>
            <w:r>
              <w:rPr>
                <w:rFonts w:ascii="宋体" w:hAnsi="宋体"/>
                <w:b/>
                <w:bCs/>
                <w:sz w:val="24"/>
              </w:rPr>
              <w:t xml:space="preserve">软件交互要求</w:t>
            </w:r>
            <w:r/>
          </w:p>
        </w:tc>
      </w:tr>
      <w:tr>
        <w:trPr/>
        <w:tc>
          <w:tcPr>
            <w:tcBorders>
              <w:top w:val="single" w:color="334E6F" w:sz="6" w:space="0"/>
              <w:left w:val="single" w:color="334E6F" w:sz="6" w:space="0"/>
              <w:bottom w:val="single" w:color="334E6F" w:sz="6" w:space="0"/>
              <w:right w:val="single" w:color="334E6F" w:sz="6" w:space="0"/>
            </w:tcBorders>
            <w:tcMar>
              <w:left w:w="15" w:type="dxa"/>
              <w:top w:w="15" w:type="dxa"/>
              <w:right w:w="15" w:type="dxa"/>
              <w:bottom w:w="15" w:type="dxa"/>
            </w:tcMar>
            <w:tcW w:w="286" w:type="pct"/>
            <w:vAlign w:val="center"/>
            <w:textDirection w:val="lrTb"/>
            <w:noWrap w:val="false"/>
          </w:tcPr>
          <w:p>
            <w:pPr>
              <w:spacing w:line="264" w:lineRule="auto"/>
              <w:rPr>
                <w:rFonts w:hint="eastAsia" w:ascii="宋体" w:hAnsi="宋体"/>
                <w:sz w:val="24"/>
              </w:rPr>
            </w:pPr>
            <w:r>
              <w:rPr>
                <w:rFonts w:ascii="宋体" w:hAnsi="宋体"/>
                <w:sz w:val="24"/>
              </w:rPr>
              <w:t xml:space="preserve">1</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585" w:type="pct"/>
            <w:vAlign w:val="center"/>
            <w:textDirection w:val="lrTb"/>
            <w:noWrap w:val="false"/>
          </w:tcPr>
          <w:p>
            <w:pPr>
              <w:spacing w:line="264" w:lineRule="auto"/>
              <w:rPr>
                <w:rFonts w:hint="eastAsia" w:ascii="宋体" w:hAnsi="宋体"/>
                <w:sz w:val="24"/>
              </w:rPr>
            </w:pPr>
            <w:r>
              <w:rPr>
                <w:rFonts w:ascii="宋体" w:hAnsi="宋体"/>
                <w:sz w:val="24"/>
              </w:rPr>
              <w:t xml:space="preserve">CPU资源模1（Intel）</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358" w:type="pct"/>
            <w:vAlign w:val="center"/>
            <w:textDirection w:val="lrTb"/>
            <w:noWrap w:val="false"/>
          </w:tcPr>
          <w:p>
            <w:pPr>
              <w:spacing w:line="264" w:lineRule="auto"/>
              <w:rPr>
                <w:rFonts w:hint="eastAsia" w:ascii="宋体" w:hAnsi="宋体"/>
                <w:sz w:val="24"/>
              </w:rPr>
            </w:pPr>
            <w:r>
              <w:rPr>
                <w:rFonts w:ascii="宋体" w:hAnsi="宋体"/>
                <w:sz w:val="24"/>
              </w:rPr>
              <w:t xml:space="preserve">1台</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1668" w:type="pct"/>
            <w:vAlign w:val="center"/>
            <w:textDirection w:val="lrTb"/>
            <w:noWrap w:val="false"/>
          </w:tcPr>
          <w:p>
            <w:pPr>
              <w:ind w:firstLine="480"/>
              <w:spacing w:line="264" w:lineRule="auto"/>
              <w:rPr>
                <w:rFonts w:hint="eastAsia" w:ascii="宋体" w:hAnsi="宋体"/>
                <w:sz w:val="24"/>
              </w:rPr>
            </w:pPr>
            <w:r>
              <w:rPr>
                <w:rFonts w:ascii="宋体" w:hAnsi="宋体"/>
                <w:sz w:val="24"/>
              </w:rPr>
              <w:t xml:space="preserve">2U机架式，双路Intel Xeon 6 (Gold 6515P级别)，支持CXL 2.0 x16原生端口；内存64GB DDR5；10G SFP+网卡</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2103" w:type="pct"/>
            <w:vAlign w:val="center"/>
            <w:textDirection w:val="lrTb"/>
            <w:noWrap w:val="false"/>
          </w:tcPr>
          <w:p>
            <w:pPr>
              <w:ind w:firstLine="480"/>
              <w:spacing w:line="264" w:lineRule="auto"/>
              <w:rPr>
                <w:rFonts w:hint="eastAsia" w:ascii="宋体" w:hAnsi="宋体"/>
                <w:sz w:val="24"/>
              </w:rPr>
            </w:pPr>
            <w:r>
              <w:rPr>
                <w:rFonts w:ascii="宋体" w:hAnsi="宋体"/>
                <w:sz w:val="24"/>
              </w:rPr>
              <w:t xml:space="preserve">需开发CXL驱动、内存共享库；BIOS已支持CXL枚举，需适配内核内存分配策略</w:t>
            </w:r>
            <w:r/>
          </w:p>
        </w:tc>
      </w:tr>
      <w:tr>
        <w:trPr/>
        <w:tc>
          <w:tcPr>
            <w:tcBorders>
              <w:top w:val="single" w:color="334E6F" w:sz="6" w:space="0"/>
              <w:left w:val="single" w:color="334E6F" w:sz="6" w:space="0"/>
              <w:bottom w:val="single" w:color="334E6F" w:sz="6" w:space="0"/>
              <w:right w:val="single" w:color="334E6F" w:sz="6" w:space="0"/>
            </w:tcBorders>
            <w:tcMar>
              <w:left w:w="15" w:type="dxa"/>
              <w:top w:w="15" w:type="dxa"/>
              <w:right w:w="15" w:type="dxa"/>
              <w:bottom w:w="15" w:type="dxa"/>
            </w:tcMar>
            <w:tcW w:w="286" w:type="pct"/>
            <w:vAlign w:val="center"/>
            <w:textDirection w:val="lrTb"/>
            <w:noWrap w:val="false"/>
          </w:tcPr>
          <w:p>
            <w:pPr>
              <w:spacing w:line="264" w:lineRule="auto"/>
              <w:rPr>
                <w:rFonts w:hint="eastAsia" w:ascii="宋体" w:hAnsi="宋体"/>
                <w:sz w:val="24"/>
              </w:rPr>
            </w:pPr>
            <w:r>
              <w:rPr>
                <w:rFonts w:ascii="宋体" w:hAnsi="宋体"/>
                <w:sz w:val="24"/>
              </w:rPr>
              <w:t xml:space="preserve">2</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585" w:type="pct"/>
            <w:vAlign w:val="center"/>
            <w:textDirection w:val="lrTb"/>
            <w:noWrap w:val="false"/>
          </w:tcPr>
          <w:p>
            <w:pPr>
              <w:spacing w:line="264" w:lineRule="auto"/>
              <w:rPr>
                <w:rFonts w:hint="eastAsia" w:ascii="宋体" w:hAnsi="宋体"/>
                <w:sz w:val="24"/>
              </w:rPr>
            </w:pPr>
            <w:r>
              <w:rPr>
                <w:rFonts w:ascii="宋体" w:hAnsi="宋体"/>
                <w:sz w:val="24"/>
              </w:rPr>
              <w:t xml:space="preserve">CPU资源模组2（AMD）</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358" w:type="pct"/>
            <w:vAlign w:val="center"/>
            <w:textDirection w:val="lrTb"/>
            <w:noWrap w:val="false"/>
          </w:tcPr>
          <w:p>
            <w:pPr>
              <w:spacing w:line="264" w:lineRule="auto"/>
              <w:rPr>
                <w:rFonts w:hint="eastAsia" w:ascii="宋体" w:hAnsi="宋体"/>
                <w:sz w:val="24"/>
              </w:rPr>
            </w:pPr>
            <w:r>
              <w:rPr>
                <w:rFonts w:ascii="宋体" w:hAnsi="宋体"/>
                <w:sz w:val="24"/>
              </w:rPr>
              <w:t xml:space="preserve">1台</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1668" w:type="pct"/>
            <w:vAlign w:val="center"/>
            <w:textDirection w:val="lrTb"/>
            <w:noWrap w:val="false"/>
          </w:tcPr>
          <w:p>
            <w:pPr>
              <w:ind w:firstLine="480"/>
              <w:spacing w:line="264" w:lineRule="auto"/>
              <w:rPr>
                <w:rFonts w:hint="eastAsia" w:ascii="宋体" w:hAnsi="宋体"/>
                <w:sz w:val="24"/>
              </w:rPr>
            </w:pPr>
            <w:r>
              <w:rPr>
                <w:rFonts w:ascii="宋体" w:hAnsi="宋体"/>
                <w:sz w:val="24"/>
              </w:rPr>
              <w:t xml:space="preserve">2U机架式，双路AMD EPYC 9004/9005 (如9115)，支持CXL 2.0 x16；其余同上</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2103" w:type="pct"/>
            <w:vAlign w:val="center"/>
            <w:textDirection w:val="lrTb"/>
            <w:noWrap w:val="false"/>
          </w:tcPr>
          <w:p>
            <w:pPr>
              <w:ind w:firstLine="480"/>
              <w:spacing w:line="264" w:lineRule="auto"/>
              <w:rPr>
                <w:rFonts w:hint="eastAsia" w:ascii="宋体" w:hAnsi="宋体"/>
                <w:sz w:val="24"/>
              </w:rPr>
            </w:pPr>
            <w:r>
              <w:rPr>
                <w:rFonts w:ascii="宋体" w:hAnsi="宋体"/>
                <w:sz w:val="24"/>
              </w:rPr>
              <w:t xml:space="preserve">同上，需适配AMD EPYC CXL控制器及BIOS</w:t>
            </w:r>
            <w:r/>
          </w:p>
        </w:tc>
      </w:tr>
      <w:tr>
        <w:trPr/>
        <w:tc>
          <w:tcPr>
            <w:tcBorders>
              <w:top w:val="single" w:color="334E6F" w:sz="6" w:space="0"/>
              <w:left w:val="single" w:color="334E6F" w:sz="6" w:space="0"/>
              <w:bottom w:val="single" w:color="334E6F" w:sz="6" w:space="0"/>
              <w:right w:val="single" w:color="334E6F" w:sz="6" w:space="0"/>
            </w:tcBorders>
            <w:tcMar>
              <w:left w:w="15" w:type="dxa"/>
              <w:top w:w="15" w:type="dxa"/>
              <w:right w:w="15" w:type="dxa"/>
              <w:bottom w:w="15" w:type="dxa"/>
            </w:tcMar>
            <w:tcW w:w="286" w:type="pct"/>
            <w:vAlign w:val="center"/>
            <w:textDirection w:val="lrTb"/>
            <w:noWrap w:val="false"/>
          </w:tcPr>
          <w:p>
            <w:pPr>
              <w:spacing w:line="264" w:lineRule="auto"/>
              <w:rPr>
                <w:rFonts w:hint="eastAsia" w:ascii="宋体" w:hAnsi="宋体"/>
                <w:sz w:val="24"/>
              </w:rPr>
            </w:pPr>
            <w:r>
              <w:rPr>
                <w:rFonts w:ascii="宋体" w:hAnsi="宋体"/>
                <w:sz w:val="24"/>
              </w:rPr>
              <w:t xml:space="preserve">3</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585" w:type="pct"/>
            <w:vAlign w:val="center"/>
            <w:textDirection w:val="lrTb"/>
            <w:noWrap w:val="false"/>
          </w:tcPr>
          <w:p>
            <w:pPr>
              <w:spacing w:line="264" w:lineRule="auto"/>
              <w:rPr>
                <w:rFonts w:hint="eastAsia" w:ascii="宋体" w:hAnsi="宋体"/>
                <w:sz w:val="24"/>
              </w:rPr>
            </w:pPr>
            <w:r>
              <w:rPr>
                <w:rFonts w:ascii="宋体" w:hAnsi="宋体"/>
                <w:sz w:val="24"/>
              </w:rPr>
              <w:t xml:space="preserve">CXL2.0 内存资源池</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358" w:type="pct"/>
            <w:vAlign w:val="center"/>
            <w:textDirection w:val="lrTb"/>
            <w:noWrap w:val="false"/>
          </w:tcPr>
          <w:p>
            <w:pPr>
              <w:spacing w:line="264" w:lineRule="auto"/>
              <w:rPr>
                <w:rFonts w:hint="eastAsia" w:ascii="宋体" w:hAnsi="宋体"/>
                <w:sz w:val="24"/>
              </w:rPr>
            </w:pPr>
            <w:r>
              <w:rPr>
                <w:rFonts w:ascii="宋体" w:hAnsi="宋体"/>
                <w:sz w:val="24"/>
              </w:rPr>
              <w:t xml:space="preserve">1台</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1668" w:type="pct"/>
            <w:vAlign w:val="center"/>
            <w:textDirection w:val="lrTb"/>
            <w:noWrap w:val="false"/>
          </w:tcPr>
          <w:p>
            <w:pPr>
              <w:ind w:firstLine="480"/>
              <w:spacing w:line="264" w:lineRule="auto"/>
              <w:rPr>
                <w:rFonts w:hint="eastAsia" w:ascii="宋体" w:hAnsi="宋体"/>
                <w:sz w:val="24"/>
              </w:rPr>
            </w:pPr>
            <w:r>
              <w:rPr>
                <w:rFonts w:ascii="宋体" w:hAnsi="宋体"/>
                <w:sz w:val="24"/>
              </w:rPr>
              <w:t xml:space="preserve">3U机架式，≥4个Host端口(可扩至8)，支持CXL 2.0 Type3；≥22个E3.S设</w:t>
            </w:r>
            <w:r>
              <w:rPr>
                <w:rFonts w:ascii="宋体" w:hAnsi="宋体"/>
                <w:sz w:val="24"/>
              </w:rPr>
              <w:t xml:space="preserve">备；管理接口含BMC GE口</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2103" w:type="pct"/>
            <w:vAlign w:val="center"/>
            <w:textDirection w:val="lrTb"/>
            <w:noWrap w:val="false"/>
          </w:tcPr>
          <w:p>
            <w:pPr>
              <w:ind w:firstLine="480"/>
              <w:spacing w:line="264" w:lineRule="auto"/>
              <w:rPr>
                <w:rFonts w:hint="eastAsia" w:ascii="宋体" w:hAnsi="宋体"/>
                <w:sz w:val="24"/>
              </w:rPr>
            </w:pPr>
            <w:r>
              <w:rPr>
                <w:rFonts w:ascii="宋体" w:hAnsi="宋体"/>
                <w:sz w:val="24"/>
              </w:rPr>
              <w:t xml:space="preserve">核心交换设备，需通过Fabric指令管理内存池分配；支持MLD/SLD模式，需基于其实现</w:t>
            </w:r>
            <w:r>
              <w:rPr>
                <w:rFonts w:ascii="宋体" w:hAnsi="宋体"/>
                <w:sz w:val="24"/>
              </w:rPr>
              <w:t xml:space="preserve">CrossBar</w:t>
            </w:r>
            <w:r>
              <w:rPr>
                <w:rFonts w:ascii="宋体" w:hAnsi="宋体"/>
                <w:sz w:val="24"/>
              </w:rPr>
              <w:t xml:space="preserve">转发、路</w:t>
            </w:r>
            <w:r>
              <w:rPr>
                <w:rFonts w:ascii="宋体" w:hAnsi="宋体"/>
                <w:sz w:val="24"/>
              </w:rPr>
              <w:t xml:space="preserve">由、流控；供应商将获得FPGA固件API及寄存器手册</w:t>
            </w:r>
            <w:r/>
          </w:p>
        </w:tc>
      </w:tr>
      <w:tr>
        <w:trPr/>
        <w:tc>
          <w:tcPr>
            <w:tcBorders>
              <w:top w:val="single" w:color="334E6F" w:sz="6" w:space="0"/>
              <w:left w:val="single" w:color="334E6F" w:sz="6" w:space="0"/>
              <w:bottom w:val="single" w:color="334E6F" w:sz="6" w:space="0"/>
              <w:right w:val="single" w:color="334E6F" w:sz="6" w:space="0"/>
            </w:tcBorders>
            <w:tcMar>
              <w:left w:w="15" w:type="dxa"/>
              <w:top w:w="15" w:type="dxa"/>
              <w:right w:w="15" w:type="dxa"/>
              <w:bottom w:w="15" w:type="dxa"/>
            </w:tcMar>
            <w:tcW w:w="286" w:type="pct"/>
            <w:vAlign w:val="center"/>
            <w:textDirection w:val="lrTb"/>
            <w:noWrap w:val="false"/>
          </w:tcPr>
          <w:p>
            <w:pPr>
              <w:spacing w:line="264" w:lineRule="auto"/>
              <w:rPr>
                <w:rFonts w:hint="eastAsia" w:ascii="宋体" w:hAnsi="宋体"/>
                <w:sz w:val="24"/>
              </w:rPr>
            </w:pPr>
            <w:r>
              <w:rPr>
                <w:rFonts w:ascii="宋体" w:hAnsi="宋体"/>
                <w:sz w:val="24"/>
              </w:rPr>
              <w:t xml:space="preserve">4</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585" w:type="pct"/>
            <w:vAlign w:val="center"/>
            <w:textDirection w:val="lrTb"/>
            <w:noWrap w:val="false"/>
          </w:tcPr>
          <w:p>
            <w:pPr>
              <w:spacing w:line="264" w:lineRule="auto"/>
              <w:rPr>
                <w:rFonts w:hint="eastAsia" w:ascii="宋体" w:hAnsi="宋体"/>
                <w:sz w:val="24"/>
              </w:rPr>
            </w:pPr>
            <w:r>
              <w:rPr>
                <w:rFonts w:ascii="宋体" w:hAnsi="宋体"/>
                <w:sz w:val="24"/>
              </w:rPr>
              <w:t xml:space="preserve">CXL内存扩展卡</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358" w:type="pct"/>
            <w:vAlign w:val="center"/>
            <w:textDirection w:val="lrTb"/>
            <w:noWrap w:val="false"/>
          </w:tcPr>
          <w:p>
            <w:pPr>
              <w:spacing w:line="264" w:lineRule="auto"/>
              <w:rPr>
                <w:rFonts w:hint="eastAsia" w:ascii="宋体" w:hAnsi="宋体"/>
                <w:sz w:val="24"/>
              </w:rPr>
            </w:pPr>
            <w:r>
              <w:rPr>
                <w:rFonts w:ascii="宋体" w:hAnsi="宋体"/>
                <w:sz w:val="24"/>
              </w:rPr>
              <w:t xml:space="preserve">2块</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1668" w:type="pct"/>
            <w:vAlign w:val="center"/>
            <w:textDirection w:val="lrTb"/>
            <w:noWrap w:val="false"/>
          </w:tcPr>
          <w:p>
            <w:pPr>
              <w:ind w:firstLine="480"/>
              <w:spacing w:line="264" w:lineRule="auto"/>
              <w:rPr>
                <w:rFonts w:hint="eastAsia" w:ascii="宋体" w:hAnsi="宋体"/>
                <w:sz w:val="24"/>
              </w:rPr>
            </w:pPr>
            <w:r>
              <w:rPr>
                <w:rFonts w:ascii="宋体" w:hAnsi="宋体"/>
                <w:sz w:val="24"/>
              </w:rPr>
              <w:t xml:space="preserve">PCIe AIC，支持CXL 2.0 Type3，4×64GB DDR5 (共256GB)；被动散热</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2103" w:type="pct"/>
            <w:vAlign w:val="center"/>
            <w:textDirection w:val="lrTb"/>
            <w:noWrap w:val="false"/>
          </w:tcPr>
          <w:p>
            <w:pPr>
              <w:ind w:firstLine="480"/>
              <w:spacing w:line="264" w:lineRule="auto"/>
              <w:rPr>
                <w:rFonts w:hint="eastAsia" w:ascii="宋体" w:hAnsi="宋体"/>
                <w:sz w:val="24"/>
              </w:rPr>
            </w:pPr>
            <w:r>
              <w:rPr>
                <w:rFonts w:ascii="宋体" w:hAnsi="宋体"/>
                <w:sz w:val="24"/>
              </w:rPr>
              <w:t xml:space="preserve">支持动态添加到主机或资源池，需配合动态扩</w:t>
            </w:r>
            <w:r>
              <w:rPr>
                <w:rFonts w:ascii="宋体" w:hAnsi="宋体"/>
                <w:sz w:val="24"/>
              </w:rPr>
              <w:t xml:space="preserve">缩软件</w:t>
            </w:r>
            <w:r/>
          </w:p>
        </w:tc>
      </w:tr>
      <w:tr>
        <w:trPr/>
        <w:tc>
          <w:tcPr>
            <w:tcBorders>
              <w:top w:val="single" w:color="334E6F" w:sz="6" w:space="0"/>
              <w:left w:val="single" w:color="334E6F" w:sz="6" w:space="0"/>
              <w:bottom w:val="single" w:color="334E6F" w:sz="6" w:space="0"/>
              <w:right w:val="single" w:color="334E6F" w:sz="6" w:space="0"/>
            </w:tcBorders>
            <w:tcMar>
              <w:left w:w="15" w:type="dxa"/>
              <w:top w:w="15" w:type="dxa"/>
              <w:right w:w="15" w:type="dxa"/>
              <w:bottom w:w="15" w:type="dxa"/>
            </w:tcMar>
            <w:tcW w:w="286" w:type="pct"/>
            <w:vAlign w:val="center"/>
            <w:textDirection w:val="lrTb"/>
            <w:noWrap w:val="false"/>
          </w:tcPr>
          <w:p>
            <w:pPr>
              <w:spacing w:line="264" w:lineRule="auto"/>
              <w:rPr>
                <w:rFonts w:hint="eastAsia" w:ascii="宋体" w:hAnsi="宋体"/>
                <w:sz w:val="24"/>
              </w:rPr>
            </w:pPr>
            <w:r>
              <w:rPr>
                <w:rFonts w:ascii="宋体" w:hAnsi="宋体"/>
                <w:sz w:val="24"/>
              </w:rPr>
              <w:t xml:space="preserve">5</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585" w:type="pct"/>
            <w:vAlign w:val="center"/>
            <w:textDirection w:val="lrTb"/>
            <w:noWrap w:val="false"/>
          </w:tcPr>
          <w:p>
            <w:pPr>
              <w:spacing w:line="264" w:lineRule="auto"/>
              <w:rPr>
                <w:rFonts w:hint="eastAsia" w:ascii="宋体" w:hAnsi="宋体"/>
                <w:sz w:val="24"/>
              </w:rPr>
            </w:pPr>
            <w:r>
              <w:rPr>
                <w:rFonts w:ascii="宋体" w:hAnsi="宋体"/>
                <w:sz w:val="24"/>
              </w:rPr>
              <w:t xml:space="preserve">机架式FPGA交换模组</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358" w:type="pct"/>
            <w:vAlign w:val="center"/>
            <w:textDirection w:val="lrTb"/>
            <w:noWrap w:val="false"/>
          </w:tcPr>
          <w:p>
            <w:pPr>
              <w:spacing w:line="264" w:lineRule="auto"/>
              <w:rPr>
                <w:rFonts w:hint="eastAsia" w:ascii="宋体" w:hAnsi="宋体"/>
                <w:sz w:val="24"/>
              </w:rPr>
            </w:pPr>
            <w:r>
              <w:rPr>
                <w:rFonts w:ascii="宋体" w:hAnsi="宋体"/>
                <w:sz w:val="24"/>
              </w:rPr>
              <w:t xml:space="preserve">1台</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1668" w:type="pct"/>
            <w:vAlign w:val="center"/>
            <w:textDirection w:val="lrTb"/>
            <w:noWrap w:val="false"/>
          </w:tcPr>
          <w:p>
            <w:pPr>
              <w:ind w:firstLine="480"/>
              <w:spacing w:line="264" w:lineRule="auto"/>
              <w:rPr>
                <w:rFonts w:hint="eastAsia" w:ascii="宋体" w:hAnsi="宋体"/>
                <w:sz w:val="24"/>
              </w:rPr>
            </w:pPr>
            <w:r>
              <w:rPr>
                <w:rFonts w:ascii="宋体" w:hAnsi="宋体"/>
                <w:sz w:val="24"/>
              </w:rPr>
              <w:t xml:space="preserve">3U，FPGA型号AMD XCVU13P；≥4个上行Host端口，≥8个PCIe下行插槽(可插AIC卡)；支持100GbE</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2103" w:type="pct"/>
            <w:vAlign w:val="center"/>
            <w:textDirection w:val="lrTb"/>
            <w:noWrap w:val="false"/>
          </w:tcPr>
          <w:p>
            <w:pPr>
              <w:ind w:firstLine="482"/>
              <w:spacing w:line="264" w:lineRule="auto"/>
              <w:rPr>
                <w:rFonts w:hint="eastAsia" w:ascii="宋体" w:hAnsi="宋体"/>
                <w:sz w:val="24"/>
              </w:rPr>
            </w:pPr>
            <w:r>
              <w:rPr>
                <w:rFonts w:ascii="宋体" w:hAnsi="宋体"/>
                <w:b/>
                <w:sz w:val="24"/>
              </w:rPr>
              <w:t xml:space="preserve">依托 FPGA 灵活可编程硬件架构，充分发挥其高自由度逻辑定制与</w:t>
            </w:r>
            <w:r>
              <w:rPr>
                <w:rFonts w:ascii="宋体" w:hAnsi="宋体"/>
                <w:b/>
                <w:sz w:val="24"/>
              </w:rPr>
              <w:t xml:space="preserve">并行算力优势</w:t>
            </w:r>
            <w:r>
              <w:rPr>
                <w:rFonts w:ascii="宋体" w:hAnsi="宋体"/>
                <w:b/>
                <w:sz w:val="24"/>
              </w:rPr>
              <w:t xml:space="preserve">，搭建远端主机互联数据通路，高效完成主机侧 </w:t>
            </w:r>
            <w:r>
              <w:rPr>
                <w:rFonts w:ascii="宋体" w:hAnsi="宋体"/>
                <w:b/>
                <w:sz w:val="24"/>
              </w:rPr>
              <w:t xml:space="preserve">Ramdisk</w:t>
            </w:r>
            <w:r>
              <w:rPr>
                <w:rFonts w:ascii="宋体" w:hAnsi="宋体"/>
                <w:b/>
                <w:sz w:val="24"/>
              </w:rPr>
              <w:t xml:space="preserve"> 资源拓展，实现高速远端存储资源无缝挂载</w:t>
            </w:r>
            <w:r/>
          </w:p>
        </w:tc>
      </w:tr>
      <w:tr>
        <w:trPr/>
        <w:tc>
          <w:tcPr>
            <w:tcBorders>
              <w:top w:val="single" w:color="334E6F" w:sz="6" w:space="0"/>
              <w:left w:val="single" w:color="334E6F" w:sz="6" w:space="0"/>
              <w:bottom w:val="single" w:color="334E6F" w:sz="6" w:space="0"/>
              <w:right w:val="single" w:color="334E6F" w:sz="6" w:space="0"/>
            </w:tcBorders>
            <w:tcMar>
              <w:left w:w="15" w:type="dxa"/>
              <w:top w:w="15" w:type="dxa"/>
              <w:right w:w="15" w:type="dxa"/>
              <w:bottom w:w="15" w:type="dxa"/>
            </w:tcMar>
            <w:tcW w:w="286" w:type="pct"/>
            <w:vAlign w:val="center"/>
            <w:textDirection w:val="lrTb"/>
            <w:noWrap w:val="false"/>
          </w:tcPr>
          <w:p>
            <w:pPr>
              <w:spacing w:line="264" w:lineRule="auto"/>
              <w:rPr>
                <w:rFonts w:hint="eastAsia" w:ascii="宋体" w:hAnsi="宋体"/>
                <w:sz w:val="24"/>
              </w:rPr>
            </w:pPr>
            <w:r>
              <w:rPr>
                <w:rFonts w:ascii="宋体" w:hAnsi="宋体"/>
                <w:sz w:val="24"/>
              </w:rPr>
              <w:t xml:space="preserve">6</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585" w:type="pct"/>
            <w:vAlign w:val="center"/>
            <w:textDirection w:val="lrTb"/>
            <w:noWrap w:val="false"/>
          </w:tcPr>
          <w:p>
            <w:pPr>
              <w:spacing w:line="264" w:lineRule="auto"/>
              <w:rPr>
                <w:rFonts w:hint="eastAsia" w:ascii="宋体" w:hAnsi="宋体"/>
                <w:sz w:val="24"/>
              </w:rPr>
            </w:pPr>
            <w:r>
              <w:rPr>
                <w:rFonts w:ascii="宋体" w:hAnsi="宋体"/>
                <w:sz w:val="24"/>
              </w:rPr>
              <w:t xml:space="preserve">存储资源模组1/2</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358" w:type="pct"/>
            <w:vAlign w:val="center"/>
            <w:textDirection w:val="lrTb"/>
            <w:noWrap w:val="false"/>
          </w:tcPr>
          <w:p>
            <w:pPr>
              <w:spacing w:line="264" w:lineRule="auto"/>
              <w:rPr>
                <w:rFonts w:hint="eastAsia" w:ascii="宋体" w:hAnsi="宋体"/>
                <w:sz w:val="24"/>
              </w:rPr>
            </w:pPr>
            <w:r>
              <w:rPr>
                <w:rFonts w:ascii="宋体" w:hAnsi="宋体"/>
                <w:sz w:val="24"/>
              </w:rPr>
              <w:t xml:space="preserve">2台</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1668" w:type="pct"/>
            <w:vAlign w:val="center"/>
            <w:textDirection w:val="lrTb"/>
            <w:noWrap w:val="false"/>
          </w:tcPr>
          <w:p>
            <w:pPr>
              <w:ind w:firstLine="480"/>
              <w:spacing w:line="264" w:lineRule="auto"/>
              <w:rPr>
                <w:rFonts w:hint="eastAsia" w:ascii="宋体" w:hAnsi="宋体"/>
                <w:sz w:val="24"/>
              </w:rPr>
            </w:pPr>
            <w:r>
              <w:rPr>
                <w:rFonts w:ascii="宋体" w:hAnsi="宋体"/>
                <w:sz w:val="24"/>
              </w:rPr>
              <w:t xml:space="preserve">2U，Intel Xeon 5系列，32GB内存，512GB </w:t>
            </w:r>
            <w:r>
              <w:rPr>
                <w:rFonts w:ascii="宋体" w:hAnsi="宋体"/>
                <w:sz w:val="24"/>
              </w:rPr>
              <w:t xml:space="preserve">NVMe</w:t>
            </w:r>
            <w:r>
              <w:rPr>
                <w:rFonts w:ascii="宋体" w:hAnsi="宋体"/>
                <w:sz w:val="24"/>
              </w:rPr>
              <w:t xml:space="preserve">，10G/1G网卡</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2103" w:type="pct"/>
            <w:vAlign w:val="center"/>
            <w:textDirection w:val="lrTb"/>
            <w:noWrap w:val="false"/>
          </w:tcPr>
          <w:p>
            <w:pPr>
              <w:ind w:firstLine="480"/>
              <w:spacing w:line="264" w:lineRule="auto"/>
              <w:rPr>
                <w:rFonts w:hint="eastAsia" w:ascii="宋体" w:hAnsi="宋体"/>
                <w:sz w:val="24"/>
              </w:rPr>
            </w:pPr>
            <w:r>
              <w:rPr>
                <w:rFonts w:ascii="宋体" w:hAnsi="宋体"/>
                <w:sz w:val="24"/>
              </w:rPr>
              <w:t xml:space="preserve">部署管理软件或作为辅助节点</w:t>
            </w:r>
            <w:r/>
          </w:p>
        </w:tc>
      </w:tr>
    </w:tbl>
    <w:p>
      <w:pPr>
        <w:ind w:firstLine="482"/>
        <w:spacing w:line="264" w:lineRule="auto"/>
        <w:rPr>
          <w:rFonts w:hint="eastAsia" w:ascii="宋体" w:hAnsi="宋体"/>
          <w:b/>
          <w:bCs/>
          <w:sz w:val="24"/>
        </w:rPr>
      </w:pPr>
      <w:r>
        <w:rPr>
          <w:rFonts w:ascii="宋体" w:hAnsi="宋体"/>
          <w:b/>
          <w:bCs/>
          <w:sz w:val="24"/>
        </w:rPr>
        <w:t xml:space="preserve">供应商</w:t>
      </w:r>
      <w:r>
        <w:rPr>
          <w:rFonts w:hint="eastAsia" w:ascii="宋体" w:hAnsi="宋体"/>
          <w:b/>
          <w:bCs/>
          <w:sz w:val="24"/>
        </w:rPr>
        <w:t xml:space="preserve">注意事项</w:t>
      </w:r>
      <w:r>
        <w:rPr>
          <w:rFonts w:ascii="宋体" w:hAnsi="宋体"/>
          <w:b/>
          <w:bCs/>
          <w:sz w:val="24"/>
        </w:rPr>
        <w:t xml:space="preserve">：</w:t>
      </w:r>
      <w:r/>
    </w:p>
    <w:p>
      <w:pPr>
        <w:ind w:firstLine="480"/>
        <w:spacing w:line="264" w:lineRule="auto"/>
        <w:rPr>
          <w:rFonts w:hint="eastAsia" w:ascii="宋体" w:hAnsi="宋体"/>
          <w:sz w:val="24"/>
        </w:rPr>
      </w:pPr>
      <w:r>
        <w:rPr>
          <w:rFonts w:ascii="宋体" w:hAnsi="宋体"/>
          <w:sz w:val="24"/>
        </w:rPr>
        <w:t xml:space="preserve">① CXL2.0 内存资源池已提供基础固件，支持CXL 2.0协议解析，并开放FM (Fabric Manager) 交互API、端口配置寄存器及MLD转发逻辑编程接口。供应商需在此基础上开发第1-3项功能软件。</w:t>
      </w:r>
      <w:r/>
    </w:p>
    <w:p>
      <w:pPr>
        <w:ind w:firstLine="480"/>
        <w:spacing w:line="264" w:lineRule="auto"/>
        <w:rPr>
          <w:rFonts w:hint="eastAsia" w:ascii="宋体" w:hAnsi="宋体"/>
          <w:sz w:val="24"/>
        </w:rPr>
      </w:pPr>
      <w:r>
        <w:rPr>
          <w:rFonts w:ascii="宋体" w:hAnsi="宋体"/>
          <w:sz w:val="24"/>
        </w:rPr>
        <w:t xml:space="preserve">② 内存资源池和内存扩展卡均提供CXL 2.0 Type3设备标准接口，支持SLD/MLD及DCD(动态容量设备)特性。</w:t>
      </w:r>
      <w:r/>
    </w:p>
    <w:p>
      <w:pPr>
        <w:ind w:firstLine="480"/>
        <w:jc w:val="left"/>
        <w:spacing w:line="264" w:lineRule="auto"/>
        <w:rPr>
          <w:rFonts w:hint="eastAsia" w:ascii="宋体" w:hAnsi="宋体"/>
          <w:b/>
          <w:bCs/>
          <w:sz w:val="24"/>
        </w:rPr>
      </w:pPr>
      <w:r>
        <w:rPr>
          <w:rFonts w:ascii="宋体" w:hAnsi="宋体"/>
          <w:sz w:val="24"/>
        </w:rPr>
        <w:t xml:space="preserve">③ 所有CXL设备通过PCIe Gen5 x16连接至CXL2.0 内存资源池，构成</w:t>
      </w:r>
      <w:r>
        <w:rPr>
          <w:rFonts w:hint="eastAsia" w:ascii="宋体" w:hAnsi="宋体"/>
          <w:sz w:val="24"/>
        </w:rPr>
        <w:t xml:space="preserve">树</w:t>
      </w:r>
      <w:r>
        <w:rPr>
          <w:rFonts w:ascii="宋体" w:hAnsi="宋体"/>
          <w:sz w:val="24"/>
        </w:rPr>
        <w:t xml:space="preserve">型交换拓扑。CPU主机同样连接至CXL2.0 内存资源池上行端口。</w:t>
      </w:r>
      <w:r>
        <w:rPr>
          <w:rFonts w:ascii="宋体" w:hAnsi="宋体"/>
          <w:b/>
          <w:bCs/>
          <w:sz w:val="24"/>
        </w:rPr>
        <w:t xml:space="preserve"> </w:t>
      </w:r>
      <w:r/>
    </w:p>
    <w:p>
      <w:pPr>
        <w:ind w:firstLine="482"/>
        <w:jc w:val="left"/>
        <w:spacing w:line="264" w:lineRule="auto"/>
        <w:rPr>
          <w:rFonts w:hint="eastAsia" w:ascii="宋体" w:hAnsi="宋体"/>
          <w:b/>
          <w:bCs/>
          <w:sz w:val="24"/>
        </w:rPr>
      </w:pPr>
      <w:r>
        <w:rPr>
          <w:rFonts w:ascii="宋体" w:hAnsi="宋体"/>
          <w:b/>
          <w:bCs/>
          <w:sz w:val="24"/>
        </w:rPr>
        <w:t xml:space="preserve">（二）基于硬件的功能开发指标</w:t>
      </w:r>
      <w:r/>
    </w:p>
    <w:p>
      <w:pPr>
        <w:ind w:firstLine="480"/>
        <w:jc w:val="left"/>
        <w:spacing w:line="264" w:lineRule="auto"/>
        <w:rPr>
          <w:rFonts w:hint="eastAsia" w:ascii="宋体" w:hAnsi="宋体"/>
          <w:sz w:val="24"/>
        </w:rPr>
      </w:pPr>
      <w:r>
        <w:rPr>
          <w:rFonts w:ascii="宋体" w:hAnsi="宋体"/>
          <w:sz w:val="24"/>
        </w:rPr>
        <w:t xml:space="preserve">以下所有功能必须基于第一节所述硬件平台实现，供应商应在响应文件中</w:t>
      </w:r>
      <w:r>
        <w:rPr>
          <w:rFonts w:ascii="宋体" w:hAnsi="宋体"/>
          <w:sz w:val="24"/>
        </w:rPr>
        <w:t xml:space="preserve">完全响应</w:t>
      </w:r>
      <w:r>
        <w:rPr>
          <w:rFonts w:ascii="宋体" w:hAnsi="宋体"/>
          <w:sz w:val="24"/>
        </w:rPr>
        <w:t xml:space="preserve">与硬件交互的详细软件架构设计。</w:t>
      </w:r>
      <w:r/>
    </w:p>
    <w:tbl>
      <w:tblPr>
        <w:tblW w:w="0" w:type="auto"/>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3"/>
        <w:gridCol w:w="1590"/>
        <w:gridCol w:w="7320"/>
      </w:tblGrid>
      <w:tr>
        <w:trPr/>
        <w:tc>
          <w:tcPr>
            <w:tcMar>
              <w:left w:w="15" w:type="dxa"/>
              <w:top w:w="15" w:type="dxa"/>
              <w:right w:w="15" w:type="dxa"/>
              <w:bottom w:w="15" w:type="dxa"/>
            </w:tcMar>
            <w:tcW w:w="843" w:type="dxa"/>
            <w:vAlign w:val="center"/>
            <w:textDirection w:val="lrTb"/>
            <w:noWrap w:val="false"/>
          </w:tcPr>
          <w:p>
            <w:pPr>
              <w:jc w:val="left"/>
              <w:spacing w:line="264" w:lineRule="auto"/>
              <w:rPr>
                <w:rFonts w:hint="eastAsia" w:ascii="宋体" w:hAnsi="宋体"/>
                <w:b/>
                <w:bCs/>
                <w:sz w:val="24"/>
              </w:rPr>
            </w:pPr>
            <w:r>
              <w:rPr>
                <w:rFonts w:ascii="宋体" w:hAnsi="宋体"/>
                <w:b/>
                <w:bCs/>
                <w:sz w:val="24"/>
              </w:rPr>
              <w:t xml:space="preserve">序号</w:t>
            </w:r>
            <w:r/>
          </w:p>
        </w:tc>
        <w:tc>
          <w:tcPr>
            <w:tcMar>
              <w:left w:w="15" w:type="dxa"/>
              <w:top w:w="15" w:type="dxa"/>
              <w:right w:w="15" w:type="dxa"/>
              <w:bottom w:w="15" w:type="dxa"/>
            </w:tcMar>
            <w:tcW w:w="1590" w:type="dxa"/>
            <w:vAlign w:val="center"/>
            <w:textDirection w:val="lrTb"/>
            <w:noWrap w:val="false"/>
          </w:tcPr>
          <w:p>
            <w:pPr>
              <w:ind w:firstLine="482"/>
              <w:jc w:val="left"/>
              <w:spacing w:line="264" w:lineRule="auto"/>
              <w:rPr>
                <w:rFonts w:hint="eastAsia" w:ascii="宋体" w:hAnsi="宋体"/>
                <w:b/>
                <w:bCs/>
                <w:sz w:val="24"/>
              </w:rPr>
            </w:pPr>
            <w:r>
              <w:rPr>
                <w:rFonts w:ascii="宋体" w:hAnsi="宋体"/>
                <w:b/>
                <w:bCs/>
                <w:sz w:val="24"/>
              </w:rPr>
              <w:t xml:space="preserve">功能模块</w:t>
            </w:r>
            <w:r/>
          </w:p>
        </w:tc>
        <w:tc>
          <w:tcPr>
            <w:tcMar>
              <w:left w:w="15" w:type="dxa"/>
              <w:top w:w="15" w:type="dxa"/>
              <w:right w:w="15" w:type="dxa"/>
              <w:bottom w:w="15" w:type="dxa"/>
            </w:tcMar>
            <w:tcW w:w="0" w:type="auto"/>
            <w:vAlign w:val="center"/>
            <w:textDirection w:val="lrTb"/>
            <w:noWrap w:val="false"/>
          </w:tcPr>
          <w:p>
            <w:pPr>
              <w:ind w:firstLine="482"/>
              <w:jc w:val="left"/>
              <w:spacing w:line="264" w:lineRule="auto"/>
              <w:rPr>
                <w:rFonts w:hint="eastAsia" w:ascii="宋体" w:hAnsi="宋体"/>
                <w:b/>
                <w:bCs/>
                <w:sz w:val="24"/>
              </w:rPr>
            </w:pPr>
            <w:r>
              <w:rPr>
                <w:rFonts w:ascii="宋体" w:hAnsi="宋体"/>
                <w:b/>
                <w:bCs/>
                <w:sz w:val="24"/>
              </w:rPr>
              <w:t xml:space="preserve">详细技术要求（必须全部满足）</w:t>
            </w:r>
            <w:r/>
          </w:p>
        </w:tc>
      </w:tr>
      <w:tr>
        <w:trPr/>
        <w:tc>
          <w:tcPr>
            <w:tcMar>
              <w:left w:w="15" w:type="dxa"/>
              <w:top w:w="15" w:type="dxa"/>
              <w:right w:w="15" w:type="dxa"/>
              <w:bottom w:w="15" w:type="dxa"/>
            </w:tcMar>
            <w:tcW w:w="843" w:type="dxa"/>
            <w:vAlign w:val="center"/>
            <w:textDirection w:val="lrTb"/>
            <w:noWrap w:val="false"/>
          </w:tcPr>
          <w:p>
            <w:pPr>
              <w:ind w:firstLine="480"/>
              <w:jc w:val="left"/>
              <w:spacing w:line="264" w:lineRule="auto"/>
              <w:rPr>
                <w:rFonts w:hint="eastAsia" w:ascii="宋体" w:hAnsi="宋体"/>
                <w:sz w:val="24"/>
              </w:rPr>
            </w:pPr>
            <w:r>
              <w:rPr>
                <w:rFonts w:ascii="宋体" w:hAnsi="宋体"/>
                <w:sz w:val="24"/>
              </w:rPr>
              <w:t xml:space="preserve">1</w:t>
            </w:r>
            <w:r/>
          </w:p>
        </w:tc>
        <w:tc>
          <w:tcPr>
            <w:tcMar>
              <w:left w:w="15" w:type="dxa"/>
              <w:top w:w="15" w:type="dxa"/>
              <w:right w:w="15" w:type="dxa"/>
              <w:bottom w:w="15" w:type="dxa"/>
            </w:tcMar>
            <w:tcW w:w="1590" w:type="dxa"/>
            <w:vAlign w:val="center"/>
            <w:textDirection w:val="lrTb"/>
            <w:noWrap w:val="false"/>
          </w:tcPr>
          <w:p>
            <w:pPr>
              <w:jc w:val="left"/>
              <w:spacing w:line="264" w:lineRule="auto"/>
              <w:rPr>
                <w:rFonts w:hint="eastAsia" w:ascii="宋体" w:hAnsi="宋体"/>
                <w:sz w:val="24"/>
              </w:rPr>
            </w:pPr>
            <w:r>
              <w:rPr>
                <w:rFonts w:ascii="宋体" w:hAnsi="宋体"/>
                <w:b/>
                <w:sz w:val="24"/>
              </w:rPr>
              <w:t xml:space="preserve">支持CXL交换功能</w:t>
            </w:r>
            <w:r/>
          </w:p>
        </w:tc>
        <w:tc>
          <w:tcPr>
            <w:tcMar>
              <w:left w:w="15" w:type="dxa"/>
              <w:top w:w="15" w:type="dxa"/>
              <w:right w:w="15" w:type="dxa"/>
              <w:bottom w:w="15" w:type="dxa"/>
            </w:tcMar>
            <w:tcW w:w="0" w:type="auto"/>
            <w:vAlign w:val="center"/>
            <w:textDirection w:val="lrTb"/>
            <w:noWrap w:val="false"/>
          </w:tcPr>
          <w:p>
            <w:pPr>
              <w:ind w:firstLine="0"/>
              <w:jc w:val="left"/>
              <w:spacing w:line="264" w:lineRule="auto"/>
              <w:rPr>
                <w:rFonts w:hint="eastAsia" w:ascii="宋体" w:hAnsi="宋体"/>
                <w:sz w:val="24"/>
              </w:rPr>
            </w:pPr>
            <w:r>
              <w:rPr>
                <w:rFonts w:ascii="宋体" w:hAnsi="宋体"/>
                <w:sz w:val="24"/>
              </w:rPr>
              <w:t xml:space="preserve">(1) 利用CXL2.0 内存资源池实现6个物理端口（2上行，4下行），支持CXL.io与</w:t>
            </w:r>
            <w:r>
              <w:rPr>
                <w:rFonts w:ascii="宋体" w:hAnsi="宋体"/>
                <w:sz w:val="24"/>
              </w:rPr>
              <w:t xml:space="preserve">CXL.mem</w:t>
            </w:r>
            <w:r>
              <w:rPr>
                <w:rFonts w:ascii="宋体" w:hAnsi="宋体"/>
                <w:sz w:val="24"/>
              </w:rPr>
              <w:t xml:space="preserve">协议报文交换；</w:t>
            </w:r>
            <w:r>
              <w:rPr>
                <w:rFonts w:ascii="宋体" w:hAnsi="宋体"/>
                <w:sz w:val="24"/>
              </w:rPr>
              <w:br w:type="textWrapping" w:clear="all"/>
              <w:t xml:space="preserve">(2) 基于CXL2.0 内存资源池提供的查表引擎，实现静态路由表配置及基于BDF/HDM地址的动态路由；</w:t>
            </w:r>
            <w:r>
              <w:rPr>
                <w:rFonts w:ascii="宋体" w:hAnsi="宋体"/>
                <w:sz w:val="24"/>
              </w:rPr>
              <w:br w:type="textWrapping" w:clear="all"/>
              <w:t xml:space="preserve">(3)端口管理：速率自协商、链路状态监测、CXL链路训练与错误处理；</w:t>
            </w:r>
            <w:r>
              <w:rPr>
                <w:rFonts w:ascii="宋体" w:hAnsi="宋体"/>
                <w:sz w:val="24"/>
              </w:rPr>
              <w:br w:type="textWrapping" w:clear="all"/>
              <w:t xml:space="preserve">(4)集成MLD逻辑设备的转发逻辑，实现多主机间的内存访问隔离与转发；</w:t>
            </w:r>
            <w:r>
              <w:rPr>
                <w:rFonts w:ascii="宋体" w:hAnsi="宋体"/>
                <w:sz w:val="24"/>
              </w:rPr>
              <w:br w:type="textWrapping" w:clear="all"/>
              <w:t xml:space="preserve">(5)基于信用的流量控制，支持拥塞检测及ECN标记，避免H2D/D2H方向拥塞；</w:t>
            </w:r>
            <w:r>
              <w:rPr>
                <w:rFonts w:ascii="宋体" w:hAnsi="宋体"/>
                <w:sz w:val="24"/>
              </w:rPr>
              <w:br w:type="textWrapping" w:clear="all"/>
              <w:t xml:space="preserve">(6) 提供配置接口（API或命令行），允许上层FM动态修改路由表、端口状态。 </w:t>
            </w:r>
            <w:r/>
          </w:p>
        </w:tc>
      </w:tr>
      <w:tr>
        <w:trPr/>
        <w:tc>
          <w:tcPr>
            <w:tcMar>
              <w:left w:w="15" w:type="dxa"/>
              <w:top w:w="15" w:type="dxa"/>
              <w:right w:w="15" w:type="dxa"/>
              <w:bottom w:w="15" w:type="dxa"/>
            </w:tcMar>
            <w:tcW w:w="843" w:type="dxa"/>
            <w:vAlign w:val="center"/>
            <w:textDirection w:val="lrTb"/>
            <w:noWrap w:val="false"/>
          </w:tcPr>
          <w:p>
            <w:pPr>
              <w:ind w:firstLine="480"/>
              <w:jc w:val="left"/>
              <w:spacing w:line="264" w:lineRule="auto"/>
              <w:rPr>
                <w:rFonts w:hint="eastAsia" w:ascii="宋体" w:hAnsi="宋体"/>
                <w:sz w:val="24"/>
              </w:rPr>
            </w:pPr>
            <w:r>
              <w:rPr>
                <w:rFonts w:ascii="宋体" w:hAnsi="宋体"/>
                <w:sz w:val="24"/>
              </w:rPr>
              <w:t xml:space="preserve">2</w:t>
            </w:r>
            <w:r/>
          </w:p>
        </w:tc>
        <w:tc>
          <w:tcPr>
            <w:tcMar>
              <w:left w:w="15" w:type="dxa"/>
              <w:top w:w="15" w:type="dxa"/>
              <w:right w:w="15" w:type="dxa"/>
              <w:bottom w:w="15" w:type="dxa"/>
            </w:tcMar>
            <w:tcW w:w="1590" w:type="dxa"/>
            <w:vAlign w:val="center"/>
            <w:textDirection w:val="lrTb"/>
            <w:noWrap w:val="false"/>
          </w:tcPr>
          <w:p>
            <w:pPr>
              <w:jc w:val="left"/>
              <w:spacing w:line="264" w:lineRule="auto"/>
              <w:rPr>
                <w:rFonts w:hint="eastAsia" w:ascii="宋体" w:hAnsi="宋体"/>
                <w:sz w:val="24"/>
              </w:rPr>
            </w:pPr>
            <w:r>
              <w:rPr>
                <w:rFonts w:ascii="宋体" w:hAnsi="宋体"/>
                <w:b/>
                <w:sz w:val="24"/>
              </w:rPr>
              <w:t xml:space="preserve">CXL共享内存</w:t>
            </w:r>
            <w:r>
              <w:rPr>
                <w:rFonts w:ascii="宋体" w:hAnsi="宋体"/>
                <w:b/>
                <w:sz w:val="24"/>
              </w:rPr>
              <w:t xml:space="preserve">管理功能</w:t>
            </w:r>
            <w:r/>
          </w:p>
        </w:tc>
        <w:tc>
          <w:tcPr>
            <w:tcMar>
              <w:left w:w="15" w:type="dxa"/>
              <w:top w:w="15" w:type="dxa"/>
              <w:right w:w="15" w:type="dxa"/>
              <w:bottom w:w="15" w:type="dxa"/>
            </w:tcMar>
            <w:tcW w:w="0" w:type="auto"/>
            <w:vAlign w:val="center"/>
            <w:textDirection w:val="lrTb"/>
            <w:noWrap w:val="false"/>
          </w:tcPr>
          <w:p>
            <w:pPr>
              <w:ind w:firstLine="480"/>
              <w:jc w:val="left"/>
              <w:spacing w:line="264" w:lineRule="auto"/>
              <w:rPr>
                <w:rFonts w:hint="eastAsia" w:ascii="宋体" w:hAnsi="宋体"/>
                <w:sz w:val="24"/>
              </w:rPr>
            </w:pPr>
            <w:r>
              <w:rPr>
                <w:rFonts w:ascii="宋体" w:hAnsi="宋体"/>
                <w:sz w:val="24"/>
              </w:rPr>
              <w:t xml:space="preserve">(1) 基于CXL内存资源池及扩展卡，实现CXL 2.0 Type3控制器</w:t>
            </w:r>
            <w:r>
              <w:rPr>
                <w:rFonts w:ascii="宋体" w:hAnsi="宋体"/>
                <w:sz w:val="24"/>
              </w:rPr>
              <w:t xml:space="preserve">驱动，出CXL 2.0链路；</w:t>
            </w:r>
            <w:r>
              <w:rPr>
                <w:rFonts w:ascii="宋体" w:hAnsi="宋体"/>
                <w:sz w:val="24"/>
              </w:rPr>
              <w:br/>
              <w:t xml:space="preserve">(2) 内存控制器管理：支持ECC错误检测与纠正，故障地址记录；</w:t>
            </w:r>
            <w:r>
              <w:rPr>
                <w:rFonts w:ascii="宋体" w:hAnsi="宋体"/>
                <w:sz w:val="24"/>
              </w:rPr>
              <w:br/>
              <w:t xml:space="preserve">(3) 支持MLD逻辑设备划分，每个MLD可包含多个LDI（最多16个），物理内存按1GB粒度分配；</w:t>
            </w:r>
            <w:r>
              <w:rPr>
                <w:rFonts w:ascii="宋体" w:hAnsi="宋体"/>
                <w:sz w:val="24"/>
              </w:rPr>
              <w:br/>
              <w:t xml:space="preserve">(4) 多主机访问：通过CXL2.0 内存资源池实现多主机对同一MLD的共享访问（依据权限）；</w:t>
            </w:r>
            <w:r>
              <w:rPr>
                <w:rFonts w:ascii="宋体" w:hAnsi="宋体"/>
                <w:sz w:val="24"/>
              </w:rPr>
              <w:br/>
              <w:t xml:space="preserve">(5) 内存状态上报：容量查询、地址映射表、故障隔离列表；</w:t>
            </w:r>
            <w:r>
              <w:rPr>
                <w:rFonts w:ascii="宋体" w:hAnsi="宋体"/>
                <w:sz w:val="24"/>
              </w:rPr>
              <w:br/>
              <w:t xml:space="preserve">(6) 接收Fabric管理器指令，执行内存资源的分配、释放、回收操作，并返回状态。 </w:t>
            </w:r>
            <w:r/>
          </w:p>
        </w:tc>
      </w:tr>
      <w:tr>
        <w:trPr/>
        <w:tc>
          <w:tcPr>
            <w:tcMar>
              <w:left w:w="15" w:type="dxa"/>
              <w:top w:w="15" w:type="dxa"/>
              <w:right w:w="15" w:type="dxa"/>
              <w:bottom w:w="15" w:type="dxa"/>
            </w:tcMar>
            <w:tcW w:w="843" w:type="dxa"/>
            <w:vAlign w:val="center"/>
            <w:textDirection w:val="lrTb"/>
            <w:noWrap w:val="false"/>
          </w:tcPr>
          <w:p>
            <w:pPr>
              <w:ind w:firstLine="480"/>
              <w:jc w:val="left"/>
              <w:spacing w:line="264" w:lineRule="auto"/>
              <w:rPr>
                <w:rFonts w:hint="eastAsia" w:ascii="宋体" w:hAnsi="宋体"/>
                <w:sz w:val="24"/>
              </w:rPr>
            </w:pPr>
            <w:r>
              <w:rPr>
                <w:rFonts w:ascii="宋体" w:hAnsi="宋体"/>
                <w:sz w:val="24"/>
              </w:rPr>
              <w:t xml:space="preserve">3</w:t>
            </w:r>
            <w:r/>
          </w:p>
        </w:tc>
        <w:tc>
          <w:tcPr>
            <w:tcMar>
              <w:left w:w="15" w:type="dxa"/>
              <w:top w:w="15" w:type="dxa"/>
              <w:right w:w="15" w:type="dxa"/>
              <w:bottom w:w="15" w:type="dxa"/>
            </w:tcMar>
            <w:tcW w:w="1590" w:type="dxa"/>
            <w:vAlign w:val="center"/>
            <w:textDirection w:val="lrTb"/>
            <w:noWrap w:val="false"/>
          </w:tcPr>
          <w:p>
            <w:pPr>
              <w:jc w:val="left"/>
              <w:spacing w:line="264" w:lineRule="auto"/>
              <w:rPr>
                <w:rFonts w:hint="eastAsia" w:ascii="宋体" w:hAnsi="宋体"/>
                <w:sz w:val="24"/>
              </w:rPr>
            </w:pPr>
            <w:r>
              <w:rPr>
                <w:rFonts w:ascii="宋体" w:hAnsi="宋体"/>
                <w:b/>
                <w:sz w:val="24"/>
              </w:rPr>
              <w:t xml:space="preserve">Fabric管理与控制功能</w:t>
            </w:r>
            <w:r/>
          </w:p>
        </w:tc>
        <w:tc>
          <w:tcPr>
            <w:tcMar>
              <w:left w:w="15" w:type="dxa"/>
              <w:top w:w="15" w:type="dxa"/>
              <w:right w:w="15" w:type="dxa"/>
              <w:bottom w:w="15" w:type="dxa"/>
            </w:tcMar>
            <w:tcW w:w="0" w:type="auto"/>
            <w:vAlign w:val="center"/>
            <w:textDirection w:val="lrTb"/>
            <w:noWrap w:val="false"/>
          </w:tcPr>
          <w:p>
            <w:pPr>
              <w:ind w:firstLine="0"/>
              <w:jc w:val="left"/>
              <w:spacing w:line="264" w:lineRule="auto"/>
              <w:rPr>
                <w:rFonts w:hint="eastAsia" w:ascii="宋体" w:hAnsi="宋体"/>
                <w:sz w:val="24"/>
              </w:rPr>
            </w:pPr>
            <w:r>
              <w:rPr>
                <w:rFonts w:ascii="宋体" w:hAnsi="宋体"/>
                <w:sz w:val="24"/>
              </w:rPr>
              <w:t xml:space="preserve">(1) 全局视图：维护所有内存节点（资源池、扩展卡）状态、容量统计、拓扑连接图；</w:t>
            </w:r>
            <w:r>
              <w:rPr>
                <w:rFonts w:ascii="宋体" w:hAnsi="宋体"/>
                <w:sz w:val="24"/>
              </w:rPr>
              <w:br w:type="textWrapping" w:clear="all"/>
              <w:t xml:space="preserve">(2) 多主机调度：实现内存资源分配策略，避免冲突，支持优先级；</w:t>
            </w:r>
            <w:r>
              <w:rPr>
                <w:rFonts w:ascii="宋体" w:hAnsi="宋体"/>
                <w:sz w:val="24"/>
              </w:rPr>
              <w:br w:type="textWrapping" w:clear="all"/>
              <w:t xml:space="preserve">(3) MLD生命周期管理：全局创建、删除、动态调整MLD，并同步更新CXL2.0 内存资源池交换转发规则；</w:t>
            </w:r>
            <w:r>
              <w:rPr>
                <w:rFonts w:ascii="宋体" w:hAnsi="宋体"/>
                <w:sz w:val="24"/>
              </w:rPr>
              <w:br w:type="textWrapping" w:clear="all"/>
              <w:t xml:space="preserve">(4) 映射关系维护：逻辑设备与物理内存资源（设备ID、地址段）的映射表；</w:t>
            </w:r>
            <w:r>
              <w:rPr>
                <w:rFonts w:ascii="宋体" w:hAnsi="宋体"/>
                <w:sz w:val="24"/>
              </w:rPr>
              <w:br w:type="textWrapping" w:clear="all"/>
              <w:t xml:space="preserve">(5) 监控告警：设备上下线、故障、容量超限触发SNMP/邮件告警；</w:t>
            </w:r>
            <w:r>
              <w:rPr>
                <w:rFonts w:ascii="宋体" w:hAnsi="宋体"/>
                <w:sz w:val="24"/>
              </w:rPr>
              <w:br w:type="textWrapping" w:clear="all"/>
              <w:t xml:space="preserve">(6) 管理接口：提供1000M以太网口，支持Web图形界面与RESTful API，可集成至第三方平台。 </w:t>
            </w:r>
            <w:r/>
          </w:p>
        </w:tc>
      </w:tr>
      <w:tr>
        <w:trPr/>
        <w:tc>
          <w:tcPr>
            <w:tcMar>
              <w:left w:w="15" w:type="dxa"/>
              <w:top w:w="15" w:type="dxa"/>
              <w:right w:w="15" w:type="dxa"/>
              <w:bottom w:w="15" w:type="dxa"/>
            </w:tcMar>
            <w:tcW w:w="843" w:type="dxa"/>
            <w:vAlign w:val="center"/>
            <w:textDirection w:val="lrTb"/>
            <w:noWrap w:val="false"/>
          </w:tcPr>
          <w:p>
            <w:pPr>
              <w:ind w:firstLine="480"/>
              <w:jc w:val="left"/>
              <w:spacing w:line="264" w:lineRule="auto"/>
              <w:rPr>
                <w:rFonts w:hint="eastAsia" w:ascii="宋体" w:hAnsi="宋体"/>
                <w:sz w:val="24"/>
              </w:rPr>
            </w:pPr>
            <w:r>
              <w:rPr>
                <w:rFonts w:ascii="宋体" w:hAnsi="宋体"/>
                <w:sz w:val="24"/>
              </w:rPr>
              <w:t xml:space="preserve">4</w:t>
            </w:r>
            <w:r/>
          </w:p>
        </w:tc>
        <w:tc>
          <w:tcPr>
            <w:tcMar>
              <w:left w:w="15" w:type="dxa"/>
              <w:top w:w="15" w:type="dxa"/>
              <w:right w:w="15" w:type="dxa"/>
              <w:bottom w:w="15" w:type="dxa"/>
            </w:tcMar>
            <w:tcW w:w="1590" w:type="dxa"/>
            <w:vAlign w:val="center"/>
            <w:textDirection w:val="lrTb"/>
            <w:noWrap w:val="false"/>
          </w:tcPr>
          <w:p>
            <w:pPr>
              <w:jc w:val="left"/>
              <w:spacing w:line="264" w:lineRule="auto"/>
              <w:rPr>
                <w:rFonts w:hint="eastAsia" w:ascii="宋体" w:hAnsi="宋体"/>
                <w:sz w:val="24"/>
              </w:rPr>
            </w:pPr>
            <w:r>
              <w:rPr>
                <w:rFonts w:ascii="宋体" w:hAnsi="宋体"/>
                <w:b/>
                <w:sz w:val="24"/>
              </w:rPr>
              <w:t xml:space="preserve">内存资源动态扩缩</w:t>
            </w:r>
            <w:r/>
          </w:p>
        </w:tc>
        <w:tc>
          <w:tcPr>
            <w:tcMar>
              <w:left w:w="15" w:type="dxa"/>
              <w:top w:w="15" w:type="dxa"/>
              <w:right w:w="15" w:type="dxa"/>
              <w:bottom w:w="15" w:type="dxa"/>
            </w:tcMar>
            <w:tcW w:w="0" w:type="auto"/>
            <w:vAlign w:val="center"/>
            <w:textDirection w:val="lrTb"/>
            <w:noWrap w:val="false"/>
          </w:tcPr>
          <w:p>
            <w:pPr>
              <w:ind w:firstLine="0"/>
              <w:jc w:val="left"/>
              <w:spacing w:line="264" w:lineRule="auto"/>
              <w:rPr>
                <w:rFonts w:hint="eastAsia" w:ascii="宋体" w:hAnsi="宋体"/>
                <w:sz w:val="24"/>
              </w:rPr>
            </w:pPr>
            <w:r>
              <w:rPr>
                <w:rFonts w:ascii="宋体" w:hAnsi="宋体"/>
                <w:sz w:val="24"/>
              </w:rPr>
              <w:t xml:space="preserve">(1) 支持CXL 2.0 SLD/MLD及DCD模式，可动态添加/移除内存设备；</w:t>
            </w:r>
            <w:r>
              <w:rPr>
                <w:rFonts w:ascii="宋体" w:hAnsi="宋体"/>
                <w:sz w:val="24"/>
              </w:rPr>
              <w:br w:type="textWrapping" w:clear="all"/>
              <w:t xml:space="preserve">(2) 接收上层软件或FM指令，实现内存热添加、热移除，不影响正在运行的业务主机；</w:t>
            </w:r>
            <w:r>
              <w:rPr>
                <w:rFonts w:ascii="宋体" w:hAnsi="宋体"/>
                <w:sz w:val="24"/>
              </w:rPr>
              <w:br w:type="textWrapping" w:clear="all"/>
              <w:t xml:space="preserve">(3) 最小分配粒度1GB，支持单LDI容量灵活配置；</w:t>
            </w:r>
            <w:r>
              <w:rPr>
                <w:rFonts w:ascii="宋体" w:hAnsi="宋体"/>
                <w:sz w:val="24"/>
              </w:rPr>
              <w:br w:type="textWrapping" w:clear="all"/>
              <w:t xml:space="preserve">(4) LDI数量：每个MLD最多16个LDI，可跨物理设备组合；</w:t>
            </w:r>
            <w:r>
              <w:rPr>
                <w:rFonts w:ascii="宋体" w:hAnsi="宋体"/>
                <w:sz w:val="24"/>
              </w:rPr>
              <w:br w:type="textWrapping" w:clear="all"/>
              <w:t xml:space="preserve">(5) 动态绑定：LDI可在不同主机间迁移（需主机侧驱动配合）；</w:t>
            </w:r>
            <w:r>
              <w:rPr>
                <w:rFonts w:ascii="宋体" w:hAnsi="宋体"/>
                <w:sz w:val="24"/>
              </w:rPr>
              <w:br w:type="textWrapping" w:clear="all"/>
              <w:t xml:space="preserve">(6) 配套固件：交付CXL2.0 内存资源池中与动态扩</w:t>
            </w:r>
            <w:r>
              <w:rPr>
                <w:rFonts w:ascii="宋体" w:hAnsi="宋体"/>
                <w:sz w:val="24"/>
              </w:rPr>
              <w:t xml:space="preserve">缩相关</w:t>
            </w:r>
            <w:r>
              <w:rPr>
                <w:rFonts w:ascii="宋体" w:hAnsi="宋体"/>
                <w:sz w:val="24"/>
              </w:rPr>
              <w:t xml:space="preserve">的固件更新（如有），确保硬件支持。 </w:t>
            </w:r>
            <w:r/>
          </w:p>
        </w:tc>
      </w:tr>
      <w:tr>
        <w:trPr/>
        <w:tc>
          <w:tcPr>
            <w:tcMar>
              <w:left w:w="15" w:type="dxa"/>
              <w:top w:w="15" w:type="dxa"/>
              <w:right w:w="15" w:type="dxa"/>
              <w:bottom w:w="15" w:type="dxa"/>
            </w:tcMar>
            <w:tcW w:w="843" w:type="dxa"/>
            <w:vAlign w:val="center"/>
            <w:textDirection w:val="lrTb"/>
            <w:noWrap w:val="false"/>
          </w:tcPr>
          <w:p>
            <w:pPr>
              <w:ind w:firstLine="480"/>
              <w:jc w:val="left"/>
              <w:spacing w:line="264" w:lineRule="auto"/>
              <w:rPr>
                <w:rFonts w:hint="eastAsia" w:ascii="宋体" w:hAnsi="宋体"/>
                <w:sz w:val="24"/>
              </w:rPr>
            </w:pPr>
            <w:r>
              <w:rPr>
                <w:rFonts w:ascii="宋体" w:hAnsi="宋体"/>
                <w:sz w:val="24"/>
              </w:rPr>
              <w:t xml:space="preserve">5</w:t>
            </w:r>
            <w:r/>
          </w:p>
        </w:tc>
        <w:tc>
          <w:tcPr>
            <w:tcMar>
              <w:left w:w="15" w:type="dxa"/>
              <w:top w:w="15" w:type="dxa"/>
              <w:right w:w="15" w:type="dxa"/>
              <w:bottom w:w="15" w:type="dxa"/>
            </w:tcMar>
            <w:tcW w:w="1590" w:type="dxa"/>
            <w:vAlign w:val="center"/>
            <w:textDirection w:val="lrTb"/>
            <w:noWrap w:val="false"/>
          </w:tcPr>
          <w:p>
            <w:pPr>
              <w:jc w:val="left"/>
              <w:spacing w:line="264" w:lineRule="auto"/>
              <w:rPr>
                <w:rFonts w:hint="eastAsia" w:ascii="宋体" w:hAnsi="宋体"/>
                <w:sz w:val="24"/>
              </w:rPr>
            </w:pPr>
            <w:r>
              <w:rPr>
                <w:rFonts w:ascii="宋体" w:hAnsi="宋体"/>
                <w:b/>
                <w:sz w:val="24"/>
              </w:rPr>
              <w:t xml:space="preserve">适配Intel与AMD CPU服务器</w:t>
            </w:r>
            <w:r/>
          </w:p>
        </w:tc>
        <w:tc>
          <w:tcPr>
            <w:tcMar>
              <w:left w:w="15" w:type="dxa"/>
              <w:top w:w="15" w:type="dxa"/>
              <w:right w:w="15" w:type="dxa"/>
              <w:bottom w:w="15" w:type="dxa"/>
            </w:tcMar>
            <w:tcW w:w="0" w:type="auto"/>
            <w:vAlign w:val="center"/>
            <w:textDirection w:val="lrTb"/>
            <w:noWrap w:val="false"/>
          </w:tcPr>
          <w:p>
            <w:pPr>
              <w:ind w:firstLine="0"/>
              <w:jc w:val="left"/>
              <w:spacing w:line="264" w:lineRule="auto"/>
              <w:rPr>
                <w:rFonts w:hint="eastAsia" w:ascii="宋体" w:hAnsi="宋体"/>
                <w:sz w:val="24"/>
              </w:rPr>
            </w:pPr>
            <w:r>
              <w:rPr>
                <w:rFonts w:ascii="宋体" w:hAnsi="宋体"/>
                <w:sz w:val="24"/>
              </w:rPr>
              <w:t xml:space="preserve">(1) 为Intel Xeon 6和AMD EPYC 9004/9005平台提供CXL 2.0控制器驱动，实现CXL.io/mem链路初始化；</w:t>
            </w:r>
            <w:r>
              <w:rPr>
                <w:rFonts w:ascii="宋体" w:hAnsi="宋体"/>
                <w:sz w:val="24"/>
              </w:rPr>
              <w:br/>
              <w:t xml:space="preserve">(2) 内存共享库：用户态API，支持内存申请、释放、模式设置（system-ram或</w:t>
            </w:r>
            <w:r>
              <w:rPr>
                <w:rFonts w:ascii="宋体" w:hAnsi="宋体"/>
                <w:sz w:val="24"/>
              </w:rPr>
              <w:t xml:space="preserve">devdax</w:t>
            </w:r>
            <w:r>
              <w:rPr>
                <w:rFonts w:ascii="宋体" w:hAnsi="宋体"/>
                <w:sz w:val="24"/>
              </w:rPr>
              <w:t xml:space="preserve">）；</w:t>
            </w:r>
            <w:r>
              <w:rPr>
                <w:rFonts w:ascii="宋体" w:hAnsi="宋体"/>
                <w:sz w:val="24"/>
              </w:rPr>
              <w:br/>
              <w:t xml:space="preserve">(3) BIOS配合：确保CPU的CXL Decoder正确枚举，无需用户手动干预；</w:t>
            </w:r>
            <w:r>
              <w:rPr>
                <w:rFonts w:ascii="宋体" w:hAnsi="宋体"/>
                <w:sz w:val="24"/>
              </w:rPr>
              <w:br/>
              <w:t xml:space="preserve">(4) 内核内存策略：兼容default、交织、bind、preferred等</w:t>
            </w:r>
            <w:r>
              <w:rPr>
                <w:rFonts w:ascii="宋体" w:hAnsi="宋体"/>
                <w:sz w:val="24"/>
              </w:rPr>
              <w:t xml:space="preserve">numa</w:t>
            </w:r>
            <w:r>
              <w:rPr>
                <w:rFonts w:ascii="宋体" w:hAnsi="宋体"/>
                <w:sz w:val="24"/>
              </w:rPr>
              <w:t xml:space="preserve">策略，内存节点可通过</w:t>
            </w:r>
            <w:r>
              <w:rPr>
                <w:rFonts w:ascii="宋体" w:hAnsi="宋体"/>
                <w:sz w:val="24"/>
              </w:rPr>
              <w:t xml:space="preserve">numactl</w:t>
            </w:r>
            <w:r>
              <w:rPr>
                <w:rFonts w:ascii="宋体" w:hAnsi="宋体"/>
                <w:sz w:val="24"/>
              </w:rPr>
              <w:t xml:space="preserve">或</w:t>
            </w:r>
            <w:r>
              <w:rPr>
                <w:rFonts w:ascii="宋体" w:hAnsi="宋体"/>
                <w:sz w:val="24"/>
              </w:rPr>
              <w:t xml:space="preserve">libNuma</w:t>
            </w:r>
            <w:r>
              <w:rPr>
                <w:rFonts w:ascii="宋体" w:hAnsi="宋体"/>
                <w:sz w:val="24"/>
              </w:rPr>
              <w:t xml:space="preserve">绑定；</w:t>
            </w:r>
            <w:r>
              <w:rPr>
                <w:rFonts w:ascii="宋体" w:hAnsi="宋体"/>
                <w:sz w:val="24"/>
              </w:rPr>
              <w:br/>
              <w:t xml:space="preserve">(5) 网络：支持1G管理网口用于与Fabric管理器通信，10G数据网口用于业务数据迁移；</w:t>
            </w:r>
            <w:r>
              <w:rPr>
                <w:rFonts w:ascii="宋体" w:hAnsi="宋体"/>
                <w:sz w:val="24"/>
              </w:rPr>
              <w:br/>
              <w:t xml:space="preserve">(6) 提供主机侧代理程序，负责与FM交互，上报本机内存需求及拓扑。 </w:t>
            </w:r>
            <w:r/>
          </w:p>
        </w:tc>
      </w:tr>
    </w:tbl>
    <w:p>
      <w:pPr>
        <w:ind w:firstLine="480"/>
        <w:spacing w:line="264" w:lineRule="auto"/>
        <w:rPr>
          <w:rFonts w:hint="eastAsia" w:ascii="宋体" w:hAnsi="宋体"/>
          <w:sz w:val="24"/>
        </w:rPr>
      </w:pPr>
      <w:r>
        <w:rPr>
          <w:rFonts w:hint="eastAsia" w:ascii="宋体" w:hAnsi="宋体"/>
          <w:sz w:val="24"/>
        </w:rPr>
      </w:r>
      <w:r/>
    </w:p>
    <w:p>
      <w:pPr>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（3）供应商报价除包含谈判文件中列明的项目外，还应包括保障产品正常使用应当具有的物资和服务，对产品正常使用应当具有的物资和服务理解不一致的以采购单位理解为准。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sz w:val="24"/>
          <w:szCs w:val="24"/>
        </w:rPr>
      </w:pPr>
      <w:r>
        <w:rPr>
          <w:rFonts w:ascii="宋体" w:hAnsi="宋体" w:cs="宋体"/>
          <w:sz w:val="24"/>
          <w:szCs w:val="24"/>
        </w:rPr>
        <w:t xml:space="preserve">2.实施要求</w:t>
      </w:r>
      <w:r/>
    </w:p>
    <w:p>
      <w:pPr>
        <w:ind w:firstLine="480"/>
        <w:spacing w:line="264" w:lineRule="auto"/>
        <w:rPr>
          <w:rFonts w:hint="eastAsia" w:ascii="宋体" w:hAnsi="宋体" w:cs="宋体"/>
          <w:sz w:val="24"/>
          <w:szCs w:val="24"/>
        </w:rPr>
      </w:pPr>
      <w:r>
        <w:rPr>
          <w:rFonts w:ascii="宋体" w:hAnsi="宋体" w:cs="宋体"/>
          <w:sz w:val="24"/>
          <w:szCs w:val="24"/>
        </w:rPr>
        <w:t xml:space="preserve">（1）总体要求：组建专职团队，基于现有硬件完成设计、开发、集成、测试。项目计划需包含与硬件平台的联调里程碑，所有阶段成果需采购人确认。</w:t>
      </w:r>
      <w:r/>
    </w:p>
    <w:p>
      <w:pPr>
        <w:ind w:firstLine="480"/>
        <w:spacing w:line="264" w:lineRule="auto"/>
        <w:rPr>
          <w:rFonts w:hint="eastAsia" w:ascii="宋体" w:hAnsi="宋体" w:cs="宋体"/>
          <w:sz w:val="24"/>
          <w:szCs w:val="24"/>
        </w:rPr>
      </w:pPr>
      <w:r>
        <w:rPr>
          <w:rFonts w:ascii="宋体" w:hAnsi="宋体" w:cs="宋体"/>
          <w:sz w:val="24"/>
          <w:szCs w:val="24"/>
        </w:rPr>
        <w:t xml:space="preserve">（2）服务要求：提供现场部署调试、技术培训，指定专人接口。硬件平台由采购人提供，供应商须保证软件与硬件的兼容性。</w:t>
      </w:r>
      <w:r/>
    </w:p>
    <w:p>
      <w:pPr>
        <w:ind w:firstLine="480"/>
        <w:spacing w:line="264" w:lineRule="auto"/>
        <w:rPr>
          <w:rFonts w:hint="eastAsia" w:ascii="宋体" w:hAnsi="宋体" w:cs="宋体"/>
          <w:sz w:val="24"/>
          <w:szCs w:val="24"/>
        </w:rPr>
      </w:pPr>
      <w:r>
        <w:rPr>
          <w:rFonts w:ascii="宋体" w:hAnsi="宋体" w:cs="宋体"/>
          <w:sz w:val="24"/>
          <w:szCs w:val="24"/>
        </w:rPr>
        <w:t xml:space="preserve">（3）验收要求：在硬件平台上完成所有功能部署和性能测试。供应商需提交针对硬件环境的测试大纲，经确认后执行。验收包括功能测试、稳定性测试（72小时压力测试）及文档审查。</w:t>
      </w:r>
      <w:r/>
    </w:p>
    <w:p>
      <w:pPr>
        <w:ind w:firstLine="480"/>
        <w:spacing w:line="264" w:lineRule="auto"/>
        <w:rPr>
          <w:rFonts w:hint="eastAsia" w:ascii="宋体" w:hAnsi="宋体" w:cs="宋体"/>
          <w:sz w:val="24"/>
          <w:szCs w:val="24"/>
        </w:rPr>
      </w:pPr>
      <w:r>
        <w:rPr>
          <w:rFonts w:ascii="宋体" w:hAnsi="宋体" w:cs="宋体"/>
          <w:sz w:val="24"/>
          <w:szCs w:val="24"/>
        </w:rPr>
        <w:t xml:space="preserve">交付成果：需求分析、用户手册、host端应用软件源代码、部署包、测试报告、操作手册、维护手册等。</w:t>
      </w:r>
      <w:r/>
    </w:p>
    <w:p>
      <w:pPr>
        <w:ind w:firstLine="480"/>
        <w:spacing w:line="264" w:lineRule="auto"/>
        <w:rPr>
          <w:rFonts w:hint="eastAsia" w:ascii="宋体" w:hAnsi="宋体" w:cs="宋体"/>
          <w:sz w:val="24"/>
          <w:szCs w:val="24"/>
        </w:rPr>
      </w:pPr>
      <w:r>
        <w:rPr>
          <w:rFonts w:ascii="宋体" w:hAnsi="宋体" w:cs="宋体"/>
          <w:sz w:val="24"/>
          <w:szCs w:val="24"/>
        </w:rPr>
        <w:t xml:space="preserve">（4）质保（维保）及售后要求</w:t>
      </w:r>
      <w:r/>
    </w:p>
    <w:p>
      <w:pPr>
        <w:ind w:firstLine="480"/>
        <w:spacing w:line="264" w:lineRule="auto"/>
        <w:rPr>
          <w:rFonts w:hint="eastAsia" w:ascii="宋体" w:hAnsi="宋体" w:cs="宋体"/>
          <w:sz w:val="24"/>
          <w:szCs w:val="24"/>
        </w:rPr>
      </w:pPr>
      <w:r>
        <w:rPr>
          <w:rFonts w:ascii="宋体" w:hAnsi="宋体" w:cs="宋体"/>
          <w:sz w:val="24"/>
          <w:szCs w:val="24"/>
        </w:rPr>
        <w:t xml:space="preserve">①3年免费质保（维保），7×24小时响应。维保期内适配硬件固件升级，免费修复缺陷。</w:t>
      </w:r>
      <w:r/>
    </w:p>
    <w:p>
      <w:pPr>
        <w:ind w:firstLine="480"/>
        <w:spacing w:line="264" w:lineRule="auto"/>
        <w:rPr>
          <w:rFonts w:hint="eastAsia" w:ascii="宋体" w:hAnsi="宋体" w:cs="宋体"/>
          <w:sz w:val="24"/>
          <w:szCs w:val="24"/>
        </w:rPr>
      </w:pPr>
      <w:r>
        <w:rPr>
          <w:rFonts w:ascii="宋体" w:hAnsi="宋体" w:cs="宋体"/>
          <w:sz w:val="24"/>
          <w:szCs w:val="24"/>
        </w:rPr>
        <w:t xml:space="preserve">②质保期内，每年维护保养1次，维护保养及更换损坏件的费用包含在总价中。</w:t>
      </w:r>
      <w:r/>
    </w:p>
    <w:p>
      <w:pPr>
        <w:ind w:firstLine="480"/>
        <w:spacing w:line="264" w:lineRule="auto"/>
        <w:rPr>
          <w:rFonts w:hint="eastAsia"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ascii="宋体" w:hAnsi="宋体" w:cs="宋体"/>
          <w:sz w:val="24"/>
          <w:szCs w:val="24"/>
        </w:rPr>
        <w:t xml:space="preserve">质保期内，一旦产品发生质量问题，供应</w:t>
      </w:r>
      <w:r>
        <w:rPr>
          <w:rFonts w:ascii="宋体" w:hAnsi="宋体" w:cs="宋体"/>
          <w:sz w:val="24"/>
          <w:szCs w:val="24"/>
        </w:rPr>
        <w:t xml:space="preserve">商接到</w:t>
      </w:r>
      <w:r>
        <w:rPr>
          <w:rFonts w:ascii="宋体" w:hAnsi="宋体" w:cs="宋体"/>
          <w:sz w:val="24"/>
          <w:szCs w:val="24"/>
        </w:rPr>
        <w:t xml:space="preserve">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质保期内维修（人为因素除外）费用包含在总价中，质保期</w:t>
      </w:r>
      <w:r>
        <w:rPr>
          <w:rFonts w:ascii="宋体" w:hAnsi="宋体" w:cs="宋体"/>
          <w:sz w:val="24"/>
          <w:szCs w:val="24"/>
        </w:rPr>
        <w:t xml:space="preserve">外提供</w:t>
      </w:r>
      <w:r>
        <w:rPr>
          <w:rFonts w:ascii="宋体" w:hAnsi="宋体" w:cs="宋体"/>
          <w:sz w:val="24"/>
          <w:szCs w:val="24"/>
        </w:rPr>
        <w:t xml:space="preserve">不高于市场价格的终身维护。成交后提供质保期外配件价格明细表。</w:t>
      </w:r>
      <w:r/>
    </w:p>
    <w:p>
      <w:pPr>
        <w:ind w:firstLine="480"/>
        <w:spacing w:line="264" w:lineRule="auto"/>
        <w:rPr>
          <w:rFonts w:hint="eastAsia" w:ascii="宋体" w:hAnsi="宋体" w:cs="宋体"/>
          <w:sz w:val="24"/>
          <w:szCs w:val="24"/>
        </w:rPr>
      </w:pPr>
      <w:r>
        <w:rPr>
          <w:rFonts w:ascii="宋体" w:hAnsi="宋体" w:cs="宋体"/>
          <w:sz w:val="24"/>
          <w:szCs w:val="24"/>
        </w:rPr>
        <w:t xml:space="preserve">（5）知识产权</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本项目涉及的供应商原有或第三</w:t>
      </w:r>
      <w:r>
        <w:rPr>
          <w:rFonts w:ascii="宋体" w:hAnsi="宋体" w:cs="宋体"/>
          <w:sz w:val="24"/>
          <w:szCs w:val="24"/>
        </w:rPr>
        <w:t xml:space="preserve">方基础</w:t>
      </w:r>
      <w:r>
        <w:rPr>
          <w:rFonts w:ascii="宋体" w:hAnsi="宋体" w:cs="宋体"/>
          <w:sz w:val="24"/>
          <w:szCs w:val="24"/>
        </w:rPr>
        <w:t xml:space="preserve">软件，知识产权归原权利人所有。供应商保证已获合法授权，授予采购人不可撤销的永久使用许可，且无需另行支付许可费用。为本项目单独开发产生的全部成果（含源代码、文档等），其知识产权自产生之</w:t>
      </w:r>
      <w:r>
        <w:rPr>
          <w:rFonts w:ascii="宋体" w:hAnsi="宋体" w:cs="宋体"/>
          <w:sz w:val="24"/>
          <w:szCs w:val="24"/>
        </w:rPr>
        <w:t xml:space="preserve">日起归采购</w:t>
      </w:r>
      <w:r>
        <w:rPr>
          <w:rFonts w:ascii="宋体" w:hAnsi="宋体" w:cs="宋体"/>
          <w:sz w:val="24"/>
          <w:szCs w:val="24"/>
        </w:rPr>
        <w:t xml:space="preserve">人所有。供应商应在验收时完整交付源代码及相关资料。供应商应保证本项目的投标技术、服务或其任何一部分不会产生因第三方提出侵犯其专利权、商标权或其他知识产权而引起的法律和经济纠纷；如因第三方提出其专利权、商标权或其他知识产权的侵权之诉，则一切法律责任由供应商承担。</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供应商同意，如有第三方声称采购人或采购人的客户使用本合同项下货物侵犯了第三方的知识产权或其它权利，供应商须承担有关判决或和解所确定的赔偿金额，并承担采购人因此支出的全部费用（包括但不限于诉讼费、保全费、公证费、律师费、差旅费等）和损失</w:t>
      </w:r>
      <w:r>
        <w:rPr>
          <w:rFonts w:ascii="宋体" w:hAnsi="宋体" w:cs="宋体"/>
          <w:sz w:val="24"/>
          <w:szCs w:val="24"/>
        </w:rPr>
        <w:t xml:space="preserve">（包括但不限于采购人向其客户承担的赔偿、继续使用费用）。采购人同意，一旦发生此类诉讼或请求，采购人将及时通知供应商，以便供应商获得应有的权利。</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经判决或和解协议确认供应商所供货物侵犯第三方权利的，供应商须向采购人承担合同总价20%的违约金；另，除第三方权利人同意采购人或采购</w:t>
      </w:r>
      <w:r>
        <w:rPr>
          <w:rFonts w:ascii="宋体" w:hAnsi="宋体" w:cs="宋体"/>
          <w:sz w:val="24"/>
          <w:szCs w:val="24"/>
        </w:rPr>
        <w:t xml:space="preserve">人客户</w:t>
      </w:r>
      <w:r>
        <w:rPr>
          <w:rFonts w:ascii="宋体" w:hAnsi="宋体" w:cs="宋体"/>
          <w:sz w:val="24"/>
          <w:szCs w:val="24"/>
        </w:rPr>
        <w:t xml:space="preserve">继续使用本合同项下货物且供应商已承担继续使用费用外，则供应商须全额退还采购人已付货款。</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hint="eastAsia"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120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bookmarkStart w:id="166" w:name="OLE_LINK1"/>
      <w:r>
        <w:rPr>
          <w:rFonts w:hint="eastAsia" w:ascii="宋体" w:hAnsi="宋体" w:cs="宋体"/>
          <w:sz w:val="24"/>
          <w:szCs w:val="24"/>
        </w:rPr>
        <w:t xml:space="preserve">6.其他要求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采购文件中要求提供证明材料的，签订合同</w:t>
      </w:r>
      <w:r>
        <w:rPr>
          <w:rFonts w:hint="eastAsia" w:ascii="宋体" w:hAnsi="宋体" w:cs="宋体"/>
          <w:sz w:val="24"/>
          <w:szCs w:val="24"/>
        </w:rPr>
        <w:t xml:space="preserve">时供应</w:t>
      </w:r>
      <w:r>
        <w:rPr>
          <w:rFonts w:hint="eastAsia" w:ascii="宋体" w:hAnsi="宋体" w:cs="宋体"/>
          <w:sz w:val="24"/>
          <w:szCs w:val="24"/>
        </w:rPr>
        <w:t xml:space="preserve">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spacing w:line="264" w:lineRule="auto"/>
        <w:rPr>
          <w:rFonts w:hint="eastAsia" w:ascii="宋体" w:hAnsi="宋体" w:cs="宋体"/>
          <w:bCs/>
          <w:sz w:val="24"/>
          <w:szCs w:val="24"/>
        </w:rPr>
      </w:pPr>
      <w:r>
        <w:rPr>
          <w:rFonts w:hint="eastAsia" w:ascii="宋体" w:hAnsi="宋体" w:cs="宋体"/>
          <w:sz w:val="24"/>
          <w:szCs w:val="24"/>
        </w:rPr>
        <w:t xml:space="preserve">采购文件成交标准中涉及的相关证明材料，应在响应文件中提供，由评审小组在评审现场予以确认。签订合同</w:t>
      </w:r>
      <w:r>
        <w:rPr>
          <w:rFonts w:hint="eastAsia" w:ascii="宋体" w:hAnsi="宋体" w:cs="宋体"/>
          <w:sz w:val="24"/>
          <w:szCs w:val="24"/>
        </w:rPr>
        <w:t xml:space="preserve">时供应</w:t>
      </w:r>
      <w:r>
        <w:rPr>
          <w:rFonts w:hint="eastAsia" w:ascii="宋体" w:hAnsi="宋体" w:cs="宋体"/>
          <w:sz w:val="24"/>
          <w:szCs w:val="24"/>
        </w:rPr>
        <w:t xml:space="preserve">商应按采购人要求提供上述证明材料原件供采购人核验。</w:t>
      </w:r>
      <w:bookmarkEnd w:id="166"/>
      <w:r/>
      <w:r/>
    </w:p>
    <w:p>
      <w:pPr>
        <w:ind w:firstLine="480"/>
        <w:spacing w:line="264" w:lineRule="auto"/>
        <w:rPr>
          <w:rFonts w:hint="eastAsia" w:ascii="宋体" w:hAnsi="宋体" w:cs="宋体"/>
          <w:bCs/>
          <w:sz w:val="24"/>
          <w:szCs w:val="24"/>
        </w:rPr>
      </w:pPr>
      <w:r>
        <w:rPr>
          <w:rFonts w:hint="eastAsia" w:ascii="宋体" w:hAnsi="宋体" w:cs="宋体"/>
          <w:bCs/>
          <w:sz w:val="24"/>
          <w:szCs w:val="24"/>
        </w:rPr>
      </w:r>
      <w:r/>
    </w:p>
    <w:p>
      <w:pPr>
        <w:spacing w:line="0" w:lineRule="atLeast"/>
        <w:rPr>
          <w:rFonts w:hint="eastAsia" w:ascii="宋体" w:hAnsi="宋体"/>
          <w:sz w:val="24"/>
          <w:szCs w:val="21"/>
        </w:rPr>
      </w:pPr>
      <w:r>
        <w:rPr>
          <w:rFonts w:hint="eastAsia" w:ascii="宋体" w:hAnsi="宋体"/>
          <w:sz w:val="24"/>
          <w:szCs w:val="21"/>
        </w:rPr>
      </w:r>
      <w:r/>
    </w:p>
    <w:p>
      <w:pPr>
        <w:spacing w:line="0" w:lineRule="atLeast"/>
        <w:rPr>
          <w:rFonts w:hint="eastAsia" w:ascii="宋体" w:hAnsi="宋体"/>
          <w:sz w:val="24"/>
          <w:szCs w:val="24"/>
        </w:rPr>
      </w:pPr>
      <w:r>
        <w:rPr>
          <w:rFonts w:hint="eastAsia" w:ascii="宋体" w:hAnsi="宋体"/>
          <w:sz w:val="24"/>
          <w:szCs w:val="24"/>
        </w:rPr>
      </w:r>
      <w:r/>
    </w:p>
    <w:p>
      <w:pPr>
        <w:pStyle w:val="739"/>
        <w:rPr>
          <w:rFonts w:hint="eastAsia"/>
        </w:rPr>
      </w:pPr>
      <w:r>
        <w:rPr>
          <w:rFonts w:hint="eastAsia"/>
        </w:rPr>
      </w:r>
      <w:r/>
    </w:p>
    <w:p>
      <w:r/>
      <w:r/>
    </w:p>
    <w:p>
      <w:pPr>
        <w:pStyle w:val="739"/>
        <w:rPr>
          <w:rFonts w:hint="eastAsia"/>
        </w:rPr>
      </w:pPr>
      <w:r>
        <w:rPr>
          <w:rFonts w:hint="eastAsia"/>
        </w:rPr>
      </w:r>
      <w:r/>
    </w:p>
    <w:p>
      <w:r/>
      <w:r/>
    </w:p>
    <w:p>
      <w:r/>
      <w:r/>
    </w:p>
    <w:p>
      <w:r/>
      <w:r/>
    </w:p>
    <w:p>
      <w:r/>
      <w:r/>
    </w:p>
    <w:p>
      <w:r/>
      <w:r/>
    </w:p>
    <w:p>
      <w:r/>
      <w:r/>
    </w:p>
    <w:p>
      <w:r/>
      <w:r/>
    </w:p>
    <w:p>
      <w:r/>
      <w:r/>
    </w:p>
    <w:p>
      <w:r/>
      <w:r/>
    </w:p>
    <w:p>
      <w:r/>
      <w:r/>
    </w:p>
    <w:p>
      <w:pPr>
        <w:pStyle w:val="739"/>
        <w:rPr>
          <w:rFonts w:hint="eastAsia"/>
        </w:rPr>
      </w:pPr>
      <w:r>
        <w:rPr>
          <w:rFonts w:hint="eastAsia"/>
        </w:rPr>
      </w:r>
      <w:r/>
    </w:p>
    <w:p>
      <w:r/>
      <w:r/>
    </w:p>
    <w:p>
      <w:pPr>
        <w:pStyle w:val="739"/>
        <w:rPr>
          <w:rFonts w:hint="eastAsia"/>
        </w:rPr>
      </w:pPr>
      <w:r>
        <w:rPr>
          <w:rFonts w:hint="eastAsia"/>
        </w:rPr>
      </w:r>
      <w:r/>
    </w:p>
    <w:p>
      <w:r/>
      <w:r/>
    </w:p>
    <w:p>
      <w:pPr>
        <w:pStyle w:val="739"/>
        <w:rPr>
          <w:rFonts w:hint="eastAsia"/>
        </w:rPr>
      </w:pPr>
      <w:r>
        <w:rPr>
          <w:rFonts w:hint="eastAsia"/>
        </w:rPr>
      </w:r>
      <w:r/>
    </w:p>
    <w:p>
      <w:r/>
      <w:r/>
    </w:p>
    <w:p>
      <w:pPr>
        <w:pStyle w:val="739"/>
        <w:rPr>
          <w:rFonts w:hint="eastAsia"/>
        </w:rPr>
      </w:pPr>
      <w:r>
        <w:rPr>
          <w:rFonts w:hint="eastAsia"/>
        </w:rPr>
      </w:r>
      <w:r/>
    </w:p>
    <w:p>
      <w:pPr>
        <w:jc w:val="center"/>
        <w:spacing w:before="120" w:after="120" w:line="0" w:lineRule="atLeast"/>
        <w:rPr>
          <w:rFonts w:hint="eastAsia" w:ascii="方正小标宋简体" w:hAnsi="方正小标宋简体" w:eastAsia="方正小标宋简体" w:cs="方正小标宋简体"/>
          <w:sz w:val="36"/>
          <w:szCs w:val="36"/>
        </w:rPr>
        <w:outlineLvl w:val="0"/>
      </w:pPr>
      <w:r/>
      <w:bookmarkStart w:id="167" w:name="_Toc120614281"/>
      <w:r>
        <w:rPr>
          <w:rFonts w:hint="eastAsia" w:ascii="方正小标宋简体" w:hAnsi="方正小标宋简体" w:eastAsia="方正小标宋简体" w:cs="方正小标宋简体"/>
          <w:sz w:val="36"/>
          <w:szCs w:val="36"/>
        </w:rPr>
        <w:t xml:space="preserve">第五章  成交标准</w:t>
      </w:r>
      <w:r/>
    </w:p>
    <w:p>
      <w:pPr>
        <w:ind w:firstLine="420"/>
        <w:spacing w:line="288" w:lineRule="auto"/>
        <w:rPr>
          <w:rFonts w:ascii="Times New Roman" w:hAnsi="Times New Roman"/>
          <w:szCs w:val="21"/>
        </w:rPr>
      </w:pPr>
      <w:r>
        <w:rPr>
          <w:rFonts w:ascii="Times New Roman" w:hAnsi="Times New Roman"/>
          <w:szCs w:val="21"/>
        </w:rPr>
      </w:r>
      <w:r/>
    </w:p>
    <w:p>
      <w:pPr>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一、成交标准</w:t>
      </w:r>
      <w:r/>
    </w:p>
    <w:p>
      <w:pPr>
        <w:ind w:firstLine="480"/>
        <w:spacing w:line="288"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谈判小组从质量和服务均能满足谈判文件实质性要求的供应商中，按照</w:t>
      </w:r>
      <w:r>
        <w:rPr>
          <w:rFonts w:hint="eastAsia" w:ascii="宋体" w:hAnsi="宋体" w:cs="宋体"/>
          <w:sz w:val="24"/>
          <w:szCs w:val="24"/>
        </w:rPr>
        <w:t xml:space="preserve">评审价格</w:t>
      </w:r>
      <w:r>
        <w:rPr>
          <w:rFonts w:hint="eastAsia" w:ascii="宋体" w:hAnsi="宋体" w:cs="宋体"/>
          <w:sz w:val="24"/>
          <w:szCs w:val="24"/>
          <w:lang w:val="zh-CN"/>
        </w:rPr>
        <w:t xml:space="preserve">由低到高顺序推荐</w:t>
      </w:r>
      <w:r>
        <w:rPr>
          <w:rFonts w:hint="eastAsia" w:ascii="宋体" w:hAnsi="宋体"/>
          <w:sz w:val="24"/>
          <w:szCs w:val="24"/>
        </w:rPr>
        <w:t xml:space="preserve">3</w:t>
      </w:r>
      <w:r>
        <w:rPr>
          <w:rFonts w:hint="eastAsia" w:ascii="宋体" w:hAnsi="宋体"/>
          <w:sz w:val="24"/>
          <w:szCs w:val="24"/>
          <w:lang w:val="zh-CN"/>
        </w:rPr>
        <w:t xml:space="preserve">名</w:t>
      </w:r>
      <w:r>
        <w:rPr>
          <w:rFonts w:hint="eastAsia" w:ascii="宋体" w:hAnsi="宋体" w:cs="宋体"/>
          <w:sz w:val="24"/>
          <w:szCs w:val="24"/>
          <w:lang w:val="zh-CN"/>
        </w:rPr>
        <w:t xml:space="preserve">成交候选供应商。</w:t>
      </w:r>
      <w:r/>
    </w:p>
    <w:p>
      <w:pPr>
        <w:pStyle w:val="938"/>
        <w:ind w:firstLine="480"/>
        <w:spacing w:line="288" w:lineRule="auto"/>
        <w:rPr>
          <w:rFonts w:hint="eastAsia" w:ascii="宋体" w:hAnsi="宋体" w:cs="宋体"/>
          <w:sz w:val="24"/>
          <w:szCs w:val="24"/>
        </w:rPr>
      </w:pPr>
      <w:r>
        <w:rPr>
          <w:rFonts w:hint="eastAsia" w:ascii="宋体" w:hAnsi="宋体" w:cs="宋体"/>
          <w:sz w:val="24"/>
          <w:szCs w:val="24"/>
          <w:lang w:val="zh-CN"/>
        </w:rPr>
        <w:t xml:space="preserve">2.</w:t>
      </w:r>
      <w:r>
        <w:rPr>
          <w:rFonts w:hint="eastAsia" w:ascii="宋体" w:hAnsi="宋体" w:cs="宋体"/>
          <w:sz w:val="24"/>
          <w:szCs w:val="24"/>
        </w:rPr>
        <w:t xml:space="preserve">供应商的评审价格如相同，按照供应商在“苏</w:t>
      </w:r>
      <w:r>
        <w:rPr>
          <w:rFonts w:hint="eastAsia" w:ascii="宋体" w:hAnsi="宋体" w:cs="宋体"/>
          <w:sz w:val="24"/>
          <w:szCs w:val="24"/>
        </w:rPr>
        <w:t xml:space="preserve">采云</w:t>
      </w:r>
      <w:r>
        <w:rPr>
          <w:rFonts w:hint="eastAsia" w:ascii="宋体" w:hAnsi="宋体" w:cs="宋体"/>
          <w:sz w:val="24"/>
          <w:szCs w:val="24"/>
        </w:rPr>
        <w:t xml:space="preserve">系统”最终递交响应文件的先后顺</w:t>
      </w:r>
      <w:r>
        <w:rPr>
          <w:rFonts w:hint="eastAsia" w:ascii="宋体" w:hAnsi="宋体" w:cs="宋体"/>
          <w:sz w:val="24"/>
          <w:szCs w:val="24"/>
        </w:rPr>
        <w:t xml:space="preserve">序进行排名。</w:t>
      </w:r>
      <w:r/>
    </w:p>
    <w:p>
      <w:pPr>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二、小</w:t>
      </w:r>
      <w:r>
        <w:rPr>
          <w:rFonts w:hint="eastAsia" w:ascii="黑体" w:hAnsi="黑体" w:eastAsia="黑体" w:cs="黑体"/>
          <w:sz w:val="24"/>
          <w:szCs w:val="24"/>
        </w:rPr>
        <w:t xml:space="preserve">微企业</w:t>
      </w:r>
      <w:r>
        <w:rPr>
          <w:rFonts w:hint="eastAsia" w:ascii="黑体" w:hAnsi="黑体" w:eastAsia="黑体" w:cs="黑体"/>
          <w:sz w:val="24"/>
          <w:szCs w:val="24"/>
        </w:rPr>
        <w:t xml:space="preserve">价格扣除</w:t>
      </w:r>
      <w:r/>
    </w:p>
    <w:p>
      <w:pPr>
        <w:ind w:firstLine="420"/>
        <w:spacing w:line="288" w:lineRule="auto"/>
        <w:rPr>
          <w:rFonts w:hint="eastAsia" w:ascii="宋体" w:hAnsi="宋体"/>
          <w:sz w:val="24"/>
        </w:rPr>
      </w:pPr>
      <w:r>
        <w:rPr>
          <w:rFonts w:hint="eastAsia" w:ascii="宋体" w:hAnsi="宋体"/>
          <w:sz w:val="24"/>
          <w:szCs w:val="24"/>
        </w:rPr>
        <w:t xml:space="preserve">1.</w:t>
      </w:r>
      <w:r>
        <w:rPr>
          <w:rFonts w:hint="eastAsia" w:ascii="宋体" w:hAnsi="宋体"/>
          <w:sz w:val="24"/>
          <w:szCs w:val="24"/>
          <w:lang w:val="zh-CN"/>
        </w:rPr>
        <w:t xml:space="preserve">本项目服务的</w:t>
      </w:r>
      <w:r>
        <w:rPr>
          <w:rFonts w:hint="eastAsia" w:ascii="宋体" w:hAnsi="宋体"/>
          <w:sz w:val="24"/>
          <w:szCs w:val="24"/>
          <w:lang w:val="zh-CN"/>
        </w:rPr>
        <w:t xml:space="preserve">承接商</w:t>
      </w:r>
      <w:r>
        <w:rPr>
          <w:rFonts w:hint="eastAsia" w:ascii="宋体" w:hAnsi="宋体"/>
          <w:sz w:val="24"/>
          <w:szCs w:val="24"/>
          <w:lang w:val="zh-CN"/>
        </w:rPr>
        <w:t xml:space="preserve">为小</w:t>
      </w:r>
      <w:r>
        <w:rPr>
          <w:rFonts w:hint="eastAsia" w:ascii="宋体" w:hAnsi="宋体"/>
          <w:sz w:val="24"/>
          <w:szCs w:val="24"/>
          <w:lang w:val="zh-CN"/>
        </w:rPr>
        <w:t xml:space="preserve">微企业</w:t>
      </w:r>
      <w:r>
        <w:rPr>
          <w:rFonts w:hint="eastAsia" w:ascii="宋体" w:hAnsi="宋体"/>
          <w:sz w:val="24"/>
          <w:szCs w:val="24"/>
          <w:lang w:val="zh-CN"/>
        </w:rPr>
        <w:t xml:space="preserve">的，</w:t>
      </w:r>
      <w:r>
        <w:rPr>
          <w:rFonts w:hint="eastAsia" w:ascii="宋体" w:hAnsi="宋体"/>
          <w:sz w:val="24"/>
          <w:szCs w:val="24"/>
        </w:rPr>
        <w:t xml:space="preserve">对报价给予10%的扣除，用扣除后的价格参与评审。</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w:t>
      </w:r>
      <w:r>
        <w:rPr>
          <w:rFonts w:hint="eastAsia" w:ascii="宋体" w:hAnsi="宋体"/>
          <w:sz w:val="24"/>
          <w:szCs w:val="24"/>
        </w:rPr>
        <w:t xml:space="preserve">微企业</w:t>
      </w:r>
      <w:r>
        <w:rPr>
          <w:rFonts w:hint="eastAsia" w:ascii="宋体" w:hAnsi="宋体"/>
          <w:sz w:val="24"/>
          <w:szCs w:val="24"/>
        </w:rPr>
        <w:t xml:space="preserve">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w:t>
      </w:r>
      <w:r>
        <w:rPr>
          <w:rFonts w:hint="eastAsia" w:ascii="宋体" w:hAnsi="宋体"/>
          <w:sz w:val="24"/>
          <w:szCs w:val="24"/>
        </w:rPr>
        <w:t xml:space="preserve">微企业</w:t>
      </w:r>
      <w:r>
        <w:rPr>
          <w:rFonts w:hint="eastAsia" w:ascii="宋体" w:hAnsi="宋体"/>
          <w:sz w:val="24"/>
          <w:szCs w:val="24"/>
        </w:rPr>
        <w:t xml:space="preserve">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88" w:lineRule="auto"/>
        <w:rPr>
          <w:rFonts w:hint="eastAsia" w:ascii="宋体" w:hAnsi="宋体" w:cs="宋体"/>
          <w:sz w:val="24"/>
          <w:szCs w:val="24"/>
        </w:rPr>
      </w:pPr>
      <w:r>
        <w:rPr>
          <w:rFonts w:hint="eastAsia" w:ascii="宋体" w:hAnsi="宋体" w:cs="宋体"/>
          <w:sz w:val="24"/>
          <w:szCs w:val="24"/>
        </w:rPr>
      </w:r>
      <w:r/>
    </w:p>
    <w:p>
      <w:pPr>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第六章  </w:t>
      </w:r>
      <w:bookmarkEnd w:id="164"/>
      <w:r/>
      <w:bookmarkEnd w:id="165"/>
      <w:r/>
      <w:bookmarkEnd w:id="167"/>
      <w:r>
        <w:rPr>
          <w:rFonts w:hint="eastAsia" w:ascii="方正小标宋简体" w:hAnsi="方正小标宋简体" w:eastAsia="方正小标宋简体" w:cs="方正小标宋简体"/>
          <w:sz w:val="36"/>
          <w:szCs w:val="36"/>
        </w:rPr>
        <w:t xml:space="preserve">响应文件格式 </w:t>
      </w:r>
      <w:r/>
    </w:p>
    <w:p>
      <w:pPr>
        <w:jc w:val="center"/>
        <w:rPr>
          <w:rFonts w:hint="eastAsia" w:ascii="宋体" w:hAnsi="宋体"/>
          <w:b/>
          <w:sz w:val="72"/>
          <w:szCs w:val="21"/>
        </w:rPr>
      </w:pPr>
      <w:r/>
      <w:bookmarkStart w:id="168" w:name="_Hlt26671244"/>
      <w:r/>
      <w:bookmarkStart w:id="169" w:name="_Hlt26955039"/>
      <w:r/>
      <w:bookmarkStart w:id="170" w:name="_Toc26554094"/>
      <w:r/>
      <w:bookmarkStart w:id="171" w:name="_Toc120614282"/>
      <w:r/>
      <w:bookmarkStart w:id="172" w:name="_Toc49090576"/>
      <w:r/>
      <w:bookmarkEnd w:id="168"/>
      <w:r/>
      <w:bookmarkEnd w:id="169"/>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四、谈判响应函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五、谈判报价表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i/>
          <w:sz w:val="24"/>
          <w:szCs w:val="21"/>
          <w:u w:val="single"/>
        </w:rPr>
      </w:pPr>
      <w:r>
        <w:rPr>
          <w:rFonts w:hint="eastAsia" w:ascii="宋体" w:hAnsi="宋体" w:cs="宋体"/>
          <w:sz w:val="28"/>
          <w:szCs w:val="28"/>
        </w:rPr>
        <w:t xml:space="preserve">十、残疾人福利性单位声明函（如有）</w:t>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hint="eastAsia" w:ascii="宋体" w:hAnsi="宋体"/>
          <w:sz w:val="24"/>
          <w:szCs w:val="24"/>
        </w:rPr>
      </w:pPr>
      <w:r>
        <w:rPr>
          <w:rFonts w:hint="eastAsia" w:ascii="宋体" w:hAnsi="宋体"/>
          <w:sz w:val="24"/>
          <w:szCs w:val="24"/>
        </w:rPr>
        <w:t xml:space="preserve">南京市公共资源交易中心：</w:t>
      </w:r>
      <w:r/>
    </w:p>
    <w:p>
      <w:pPr>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一</w:t>
      </w:r>
      <w:r>
        <w:rPr>
          <w:rFonts w:hint="eastAsia" w:ascii="宋体" w:hAnsi="宋体"/>
          <w:sz w:val="24"/>
          <w:szCs w:val="24"/>
        </w:rPr>
        <w:t xml:space="preserve">)具有独立承担民事责任的能力；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我公司（单位）对上述承诺内容的真实性、合法性、有效性负责，如有虚假，将依法承担相应责任。</w:t>
      </w:r>
      <w:r/>
    </w:p>
    <w:p>
      <w:pPr>
        <w:ind w:firstLine="492"/>
        <w:spacing w:line="460" w:lineRule="exact"/>
        <w:rPr>
          <w:sz w:val="24"/>
          <w:szCs w:val="24"/>
        </w:rPr>
      </w:pPr>
      <w:r>
        <w:rPr>
          <w:sz w:val="24"/>
          <w:szCs w:val="24"/>
        </w:rPr>
      </w:r>
      <w:r/>
    </w:p>
    <w:p>
      <w:pPr>
        <w:pStyle w:val="1015"/>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48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85"/>
        <w:ind w:firstLine="480"/>
        <w:rPr>
          <w:sz w:val="24"/>
          <w:szCs w:val="24"/>
        </w:rPr>
      </w:pPr>
      <w:r>
        <w:rPr>
          <w:rFonts w:hint="eastAsia"/>
          <w:sz w:val="24"/>
          <w:szCs w:val="24"/>
        </w:rPr>
        <w:t xml:space="preserve">本项目申请人的特定资格要求中要求提供的材料。</w:t>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bookmarkStart w:id="173" w:name="_Toc120614284"/>
      <w:r/>
      <w:bookmarkEnd w:id="170"/>
      <w:r/>
      <w:bookmarkEnd w:id="171"/>
      <w:r/>
      <w:bookmarkEnd w:id="172"/>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85"/>
        <w:ind w:firstLine="480"/>
        <w:spacing w:line="420" w:lineRule="exact"/>
        <w:rPr>
          <w:sz w:val="24"/>
          <w:szCs w:val="24"/>
        </w:rPr>
      </w:pPr>
      <w:r>
        <w:rPr>
          <w:sz w:val="24"/>
          <w:szCs w:val="24"/>
        </w:rPr>
      </w:r>
      <w:r/>
    </w:p>
    <w:p>
      <w:pPr>
        <w:pStyle w:val="985"/>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85"/>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85"/>
        <w:ind w:firstLine="480"/>
        <w:spacing w:line="480" w:lineRule="exact"/>
        <w:rPr>
          <w:sz w:val="24"/>
          <w:szCs w:val="24"/>
        </w:rPr>
      </w:pPr>
      <w:r>
        <w:rPr>
          <w:rFonts w:hint="eastAsia"/>
          <w:sz w:val="24"/>
          <w:szCs w:val="24"/>
        </w:rPr>
        <w:t xml:space="preserve">被授权人身份证号码：</w:t>
      </w:r>
      <w:r/>
    </w:p>
    <w:p>
      <w:pPr>
        <w:pStyle w:val="985"/>
        <w:ind w:firstLine="480"/>
        <w:spacing w:line="480" w:lineRule="exact"/>
        <w:rPr>
          <w:sz w:val="24"/>
          <w:szCs w:val="24"/>
          <w:u w:val="single"/>
        </w:rPr>
      </w:pPr>
      <w:r>
        <w:rPr>
          <w:rFonts w:hint="eastAsia"/>
          <w:sz w:val="24"/>
          <w:szCs w:val="24"/>
        </w:rPr>
        <w:t xml:space="preserve">被授权人联系电话：（手机）</w:t>
      </w:r>
      <w:r/>
    </w:p>
    <w:p>
      <w:pPr>
        <w:pStyle w:val="985"/>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85"/>
        <w:ind w:firstLine="480"/>
        <w:spacing w:line="480" w:lineRule="exact"/>
        <w:rPr>
          <w:sz w:val="24"/>
          <w:szCs w:val="24"/>
          <w:u w:val="single"/>
        </w:rPr>
      </w:pPr>
      <w:r>
        <w:rPr>
          <w:rFonts w:hint="eastAsia"/>
          <w:sz w:val="24"/>
          <w:szCs w:val="24"/>
        </w:rPr>
        <w:t xml:space="preserve">单位地址：</w:t>
      </w:r>
      <w:r/>
    </w:p>
    <w:p>
      <w:pPr>
        <w:pStyle w:val="985"/>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174" w:name="_Hlt26671380"/>
      <w:r/>
      <w:bookmarkStart w:id="175" w:name="_Hlt26955070"/>
      <w:r/>
      <w:bookmarkStart w:id="176" w:name="_格式3__银行出具的资信证明"/>
      <w:r/>
      <w:bookmarkEnd w:id="174"/>
      <w:r/>
      <w:bookmarkEnd w:id="175"/>
      <w:r/>
      <w:bookmarkEnd w:id="176"/>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四、谈判响应函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谈判响应函</w:t>
      </w:r>
      <w:r/>
    </w:p>
    <w:p>
      <w:pPr>
        <w:pStyle w:val="987"/>
        <w:spacing w:before="0" w:after="0" w:line="420" w:lineRule="exact"/>
        <w:rPr>
          <w:rFonts w:hint="eastAsia" w:ascii="宋体" w:hAnsi="宋体"/>
          <w:szCs w:val="21"/>
          <w:lang w:eastAsia="zh-CN"/>
        </w:rPr>
      </w:pPr>
      <w:r>
        <w:rPr>
          <w:rFonts w:hint="eastAsia" w:ascii="宋体" w:hAnsi="宋体"/>
          <w:szCs w:val="21"/>
          <w:lang w:eastAsia="zh-CN"/>
        </w:rPr>
        <w:t xml:space="preserve">致：南京市公共资源交易中心</w:t>
      </w:r>
      <w:r/>
    </w:p>
    <w:p>
      <w:pPr>
        <w:pStyle w:val="987"/>
        <w:spacing w:before="0" w:after="0" w:line="420" w:lineRule="exact"/>
        <w:rPr>
          <w:rFonts w:hint="eastAsia" w:ascii="宋体" w:hAnsi="宋体"/>
          <w:szCs w:val="21"/>
          <w:lang w:eastAsia="zh-CN"/>
        </w:rPr>
      </w:pPr>
      <w:r>
        <w:rPr>
          <w:rFonts w:hint="eastAsia" w:ascii="宋体" w:hAnsi="宋体"/>
          <w:szCs w:val="21"/>
          <w:lang w:eastAsia="zh-CN"/>
        </w:rPr>
        <w:t xml:space="preserve">根据贵方编号为</w:t>
      </w:r>
      <w:r>
        <w:rPr>
          <w:rFonts w:hint="eastAsia" w:ascii="宋体" w:hAnsi="宋体"/>
          <w:u w:val="single"/>
          <w:lang w:eastAsia="zh-CN"/>
        </w:rPr>
        <w:t xml:space="preserve">                             </w:t>
      </w:r>
      <w:r>
        <w:rPr>
          <w:rFonts w:hint="eastAsia" w:ascii="宋体" w:hAnsi="宋体"/>
          <w:lang w:eastAsia="zh-CN"/>
        </w:rPr>
        <w:t xml:space="preserve">的</w:t>
      </w:r>
      <w:r>
        <w:rPr>
          <w:rFonts w:hint="eastAsia" w:ascii="宋体" w:hAnsi="宋体"/>
          <w:szCs w:val="21"/>
          <w:lang w:eastAsia="zh-CN"/>
        </w:rPr>
        <w:t xml:space="preserve">项目谈判文件，我方正式提</w:t>
      </w:r>
      <w:r>
        <w:rPr>
          <w:rFonts w:hint="eastAsia" w:ascii="宋体" w:hAnsi="宋体" w:cs="宋体"/>
          <w:lang w:eastAsia="zh-CN"/>
        </w:rPr>
        <w:t xml:space="preserve">交谈判响应函，</w:t>
      </w:r>
      <w:r>
        <w:rPr>
          <w:rFonts w:hint="eastAsia" w:ascii="宋体" w:hAnsi="宋体"/>
          <w:szCs w:val="21"/>
          <w:lang w:eastAsia="zh-CN"/>
        </w:rPr>
        <w:t xml:space="preserve">并宣布同意如下内容：</w:t>
      </w:r>
      <w:r/>
    </w:p>
    <w:p>
      <w:pPr>
        <w:pStyle w:val="987"/>
        <w:spacing w:before="0" w:after="0" w:line="420" w:lineRule="exact"/>
        <w:rPr>
          <w:rFonts w:hint="eastAsia" w:ascii="宋体" w:hAnsi="宋体"/>
          <w:szCs w:val="21"/>
          <w:lang w:eastAsia="zh-CN"/>
        </w:rPr>
      </w:pPr>
      <w:r>
        <w:rPr>
          <w:rFonts w:hint="eastAsia" w:ascii="宋体" w:hAnsi="宋体"/>
          <w:szCs w:val="21"/>
          <w:lang w:eastAsia="zh-CN"/>
        </w:rPr>
        <w:t xml:space="preserve">1.按谈判文件规定的各项要求，向买方提供所需货物、服务（包含与货物相关的服务或与服务相关的货物）。</w:t>
      </w:r>
      <w:r/>
    </w:p>
    <w:p>
      <w:pPr>
        <w:pStyle w:val="987"/>
        <w:spacing w:before="0" w:after="0" w:line="420" w:lineRule="exact"/>
        <w:rPr>
          <w:rFonts w:hint="eastAsia" w:ascii="宋体" w:hAnsi="宋体"/>
          <w:szCs w:val="21"/>
          <w:lang w:eastAsia="zh-CN"/>
        </w:rPr>
      </w:pPr>
      <w:r>
        <w:rPr>
          <w:rFonts w:hint="eastAsia" w:ascii="宋体" w:hAnsi="宋体"/>
          <w:szCs w:val="21"/>
          <w:lang w:eastAsia="zh-CN"/>
        </w:rPr>
        <w:t xml:space="preserve">2.我们已详细审核全部谈判文件及其有效补充文件，我们知道必须放弃提出含糊不清或误解问题的权利。</w:t>
      </w:r>
      <w:r/>
    </w:p>
    <w:p>
      <w:pPr>
        <w:pStyle w:val="987"/>
        <w:spacing w:before="0" w:after="0" w:line="420" w:lineRule="exact"/>
        <w:rPr>
          <w:rFonts w:hint="eastAsia" w:ascii="宋体" w:hAnsi="宋体"/>
          <w:szCs w:val="21"/>
          <w:lang w:eastAsia="zh-CN"/>
        </w:rPr>
      </w:pPr>
      <w:r>
        <w:rPr>
          <w:rFonts w:hint="eastAsia" w:ascii="宋体" w:hAnsi="宋体"/>
          <w:szCs w:val="21"/>
          <w:lang w:eastAsia="zh-CN"/>
        </w:rPr>
        <w:t xml:space="preserve">3.我们同意从规定的谈判日期起遵循本响应文件，并在规定的谈判有效期期满之前均具有约束力。</w:t>
      </w:r>
      <w:r/>
    </w:p>
    <w:p>
      <w:pPr>
        <w:pStyle w:val="987"/>
        <w:spacing w:before="0" w:after="0" w:line="420" w:lineRule="exact"/>
        <w:rPr>
          <w:rFonts w:hint="eastAsia" w:ascii="宋体" w:hAnsi="宋体"/>
          <w:szCs w:val="21"/>
          <w:lang w:eastAsia="zh-CN"/>
        </w:rPr>
      </w:pPr>
      <w:r>
        <w:rPr>
          <w:rFonts w:hint="eastAsia" w:ascii="宋体" w:hAnsi="宋体"/>
          <w:szCs w:val="21"/>
          <w:lang w:eastAsia="zh-CN"/>
        </w:rPr>
        <w:t xml:space="preserve">4.同意向贵方提供贵方可能另外要求的与谈判有关的任何证据或资料，并保证我方已提供和将要提供的文件是真实的、准确的。</w:t>
      </w:r>
      <w:r/>
    </w:p>
    <w:p>
      <w:pPr>
        <w:pStyle w:val="987"/>
        <w:spacing w:before="0" w:after="0" w:line="420" w:lineRule="exact"/>
        <w:rPr>
          <w:rFonts w:hint="eastAsia" w:ascii="宋体" w:hAnsi="宋体"/>
          <w:szCs w:val="21"/>
          <w:lang w:eastAsia="zh-CN"/>
        </w:rPr>
      </w:pPr>
      <w:r>
        <w:rPr>
          <w:rFonts w:hint="eastAsia" w:ascii="宋体" w:hAnsi="宋体"/>
          <w:szCs w:val="21"/>
          <w:lang w:eastAsia="zh-CN"/>
        </w:rPr>
        <w:t xml:space="preserve">5.一旦我方成交,我方将根据谈判文件的规定，严格履行合同的责任和义务,并保证在谈判文件规定的时间完成项目，交付买方验收、使用。</w:t>
      </w:r>
      <w:r/>
    </w:p>
    <w:p>
      <w:pPr>
        <w:pStyle w:val="987"/>
        <w:spacing w:before="0" w:after="0" w:line="420" w:lineRule="exact"/>
        <w:rPr>
          <w:rFonts w:hint="eastAsia" w:ascii="宋体" w:hAnsi="宋体"/>
          <w:szCs w:val="21"/>
          <w:lang w:eastAsia="zh-CN"/>
        </w:rPr>
      </w:pPr>
      <w:r>
        <w:rPr>
          <w:rFonts w:hint="eastAsia" w:ascii="宋体" w:hAnsi="宋体"/>
          <w:szCs w:val="21"/>
          <w:lang w:eastAsia="zh-CN"/>
        </w:rPr>
        <w:t xml:space="preserve">6.</w:t>
      </w:r>
      <w:r>
        <w:rPr>
          <w:rFonts w:hint="eastAsia" w:ascii="宋体" w:hAnsi="宋体"/>
          <w:lang w:eastAsia="zh-CN"/>
        </w:rPr>
        <w:t xml:space="preserve">我方为：</w:t>
      </w:r>
      <w:r>
        <w:rPr>
          <w:rFonts w:ascii="Wingdings" w:hAnsi="Wingdings" w:eastAsia="Wingdings" w:cs="Wingdings"/>
          <w:lang w:eastAsia="zh-CN"/>
        </w:rPr>
        <w:t xml:space="preserve">¨</w:t>
      </w:r>
      <w:r>
        <w:rPr>
          <w:rFonts w:hint="eastAsia" w:ascii="宋体" w:hAnsi="宋体"/>
          <w:lang w:eastAsia="zh-CN"/>
        </w:rPr>
        <w:t xml:space="preserve">大型企业 </w:t>
      </w:r>
      <w:r>
        <w:rPr>
          <w:rFonts w:ascii="Wingdings" w:hAnsi="Wingdings" w:eastAsia="Wingdings" w:cs="Wingdings"/>
          <w:lang w:eastAsia="zh-CN"/>
        </w:rPr>
        <w:t xml:space="preserve">¨</w:t>
      </w:r>
      <w:r>
        <w:rPr>
          <w:rFonts w:hint="eastAsia" w:ascii="宋体" w:hAnsi="宋体"/>
          <w:lang w:eastAsia="zh-CN"/>
        </w:rPr>
        <w:t xml:space="preserve">中型企业 </w:t>
      </w:r>
      <w:r>
        <w:rPr>
          <w:rFonts w:ascii="Wingdings" w:hAnsi="Wingdings" w:eastAsia="Wingdings" w:cs="Wingdings"/>
          <w:lang w:eastAsia="zh-CN"/>
        </w:rPr>
        <w:t xml:space="preserve">¨</w:t>
      </w:r>
      <w:r>
        <w:rPr>
          <w:rFonts w:hint="eastAsia" w:ascii="宋体" w:hAnsi="宋体"/>
          <w:lang w:eastAsia="zh-CN"/>
        </w:rPr>
        <w:t xml:space="preserve">小型企业 </w:t>
      </w:r>
      <w:r>
        <w:rPr>
          <w:rFonts w:ascii="Wingdings" w:hAnsi="Wingdings" w:eastAsia="Wingdings" w:cs="Wingdings"/>
          <w:lang w:eastAsia="zh-CN"/>
        </w:rPr>
        <w:t xml:space="preserve">¨</w:t>
      </w:r>
      <w:r>
        <w:rPr>
          <w:rFonts w:hint="eastAsia" w:ascii="宋体" w:hAnsi="宋体"/>
          <w:lang w:eastAsia="zh-CN"/>
        </w:rPr>
        <w:t xml:space="preserve">微型企业（在对应</w:t>
      </w:r>
      <w:r>
        <w:rPr>
          <w:rFonts w:ascii="Wingdings" w:hAnsi="Wingdings" w:eastAsia="Wingdings" w:cs="Wingdings"/>
          <w:lang w:eastAsia="zh-CN"/>
        </w:rPr>
        <w:t xml:space="preserve">¨</w:t>
      </w:r>
      <w:r>
        <w:rPr>
          <w:rFonts w:hint="eastAsia" w:ascii="宋体" w:hAnsi="宋体" w:cs="宋体"/>
          <w:lang w:eastAsia="zh-CN"/>
        </w:rPr>
        <w:t xml:space="preserve">内</w:t>
      </w:r>
      <w:r>
        <w:rPr>
          <w:rFonts w:hint="eastAsia" w:ascii="宋体" w:hAnsi="宋体"/>
          <w:lang w:val="zh-CN" w:eastAsia="zh-CN"/>
        </w:rPr>
        <w:t xml:space="preserve">打</w:t>
      </w:r>
      <w:r>
        <w:rPr>
          <w:rFonts w:hint="eastAsia" w:ascii="宋体" w:hAnsi="宋体" w:cs="Verdana"/>
          <w:lang w:val="zh-CN" w:eastAsia="zh-CN"/>
        </w:rPr>
        <w:t xml:space="preserve">“√”</w:t>
      </w:r>
      <w:r>
        <w:rPr>
          <w:rFonts w:hint="eastAsia" w:ascii="宋体" w:hAnsi="宋体"/>
          <w:lang w:eastAsia="zh-CN"/>
        </w:rPr>
        <w:t xml:space="preserve">）</w:t>
      </w:r>
      <w:r/>
    </w:p>
    <w:p>
      <w:pPr>
        <w:pStyle w:val="739"/>
        <w:ind w:firstLine="480"/>
        <w:rPr>
          <w:rFonts w:hint="eastAsia"/>
        </w:rPr>
      </w:pPr>
      <w:r>
        <w:rPr>
          <w:rFonts w:hint="eastAsia"/>
          <w:sz w:val="24"/>
          <w:szCs w:val="24"/>
        </w:rPr>
        <w:t xml:space="preserve">7.我方为：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87"/>
        <w:spacing w:before="0" w:after="0" w:line="420" w:lineRule="exact"/>
        <w:rPr>
          <w:rFonts w:hint="eastAsia" w:ascii="宋体" w:hAnsi="宋体"/>
          <w:szCs w:val="21"/>
          <w:lang w:eastAsia="zh-CN"/>
        </w:rPr>
      </w:pPr>
      <w:r>
        <w:rPr>
          <w:rFonts w:hint="eastAsia" w:ascii="宋体" w:hAnsi="宋体"/>
          <w:szCs w:val="21"/>
          <w:lang w:eastAsia="zh-CN"/>
        </w:rPr>
        <w:t xml:space="preserve">8.我方与</w:t>
      </w:r>
      <w:r>
        <w:rPr>
          <w:rFonts w:hint="eastAsia" w:ascii="宋体" w:hAnsi="宋体"/>
          <w:szCs w:val="21"/>
          <w:lang w:eastAsia="zh-CN"/>
        </w:rPr>
        <w:t xml:space="preserve">本谈判</w:t>
      </w:r>
      <w:r>
        <w:rPr>
          <w:rFonts w:hint="eastAsia" w:ascii="宋体" w:hAnsi="宋体"/>
          <w:szCs w:val="21"/>
          <w:lang w:eastAsia="zh-CN"/>
        </w:rPr>
        <w:t xml:space="preserve">有关的正式通讯地址为：</w:t>
      </w:r>
      <w:r/>
    </w:p>
    <w:p>
      <w:pPr>
        <w:pStyle w:val="987"/>
        <w:spacing w:before="0" w:after="0" w:line="420" w:lineRule="exact"/>
        <w:rPr>
          <w:rFonts w:hint="eastAsia" w:ascii="宋体" w:hAnsi="宋体"/>
          <w:szCs w:val="21"/>
          <w:lang w:eastAsia="zh-CN"/>
        </w:rPr>
      </w:pPr>
      <w:r>
        <w:rPr>
          <w:rFonts w:hint="eastAsia" w:ascii="宋体" w:hAnsi="宋体"/>
          <w:szCs w:val="21"/>
          <w:lang w:eastAsia="zh-CN"/>
        </w:rPr>
        <w:t xml:space="preserve">地  址：</w:t>
      </w:r>
      <w:r/>
    </w:p>
    <w:p>
      <w:pPr>
        <w:pStyle w:val="987"/>
        <w:spacing w:before="0" w:after="0" w:line="420" w:lineRule="exact"/>
        <w:rPr>
          <w:rFonts w:hint="eastAsia" w:ascii="宋体" w:hAnsi="宋体"/>
          <w:szCs w:val="21"/>
          <w:lang w:eastAsia="zh-CN"/>
        </w:rPr>
      </w:pPr>
      <w:r>
        <w:rPr>
          <w:rFonts w:hint="eastAsia" w:ascii="宋体" w:hAnsi="宋体"/>
          <w:szCs w:val="21"/>
          <w:lang w:eastAsia="zh-CN"/>
        </w:rPr>
        <w:t xml:space="preserve">邮</w:t>
      </w:r>
      <w:r>
        <w:rPr>
          <w:rFonts w:hint="eastAsia" w:ascii="宋体" w:hAnsi="宋体"/>
          <w:szCs w:val="21"/>
          <w:lang w:eastAsia="zh-CN"/>
        </w:rPr>
        <w:t xml:space="preserve">  编：</w:t>
      </w:r>
      <w:r/>
    </w:p>
    <w:p>
      <w:pPr>
        <w:pStyle w:val="987"/>
        <w:spacing w:before="0" w:after="0" w:line="420" w:lineRule="exact"/>
        <w:rPr>
          <w:rFonts w:hint="eastAsia" w:ascii="宋体" w:hAnsi="宋体"/>
          <w:szCs w:val="21"/>
          <w:u w:val="single"/>
          <w:lang w:eastAsia="zh-CN"/>
        </w:rPr>
      </w:pPr>
      <w:r>
        <w:rPr>
          <w:rFonts w:hint="eastAsia" w:ascii="宋体" w:hAnsi="宋体"/>
          <w:szCs w:val="21"/>
          <w:lang w:eastAsia="zh-CN"/>
        </w:rPr>
        <w:t xml:space="preserve">电  话：</w:t>
      </w:r>
      <w:r/>
    </w:p>
    <w:p>
      <w:pPr>
        <w:pStyle w:val="987"/>
        <w:spacing w:before="0" w:after="0" w:line="420" w:lineRule="exact"/>
        <w:rPr>
          <w:rFonts w:hint="eastAsia" w:ascii="宋体" w:hAnsi="宋体"/>
          <w:szCs w:val="21"/>
          <w:u w:val="single"/>
          <w:lang w:eastAsia="zh-CN"/>
        </w:rPr>
      </w:pPr>
      <w:r>
        <w:rPr>
          <w:rFonts w:hint="eastAsia" w:ascii="宋体" w:hAnsi="宋体"/>
          <w:szCs w:val="21"/>
          <w:lang w:eastAsia="zh-CN"/>
        </w:rPr>
        <w:t xml:space="preserve">传  真：</w:t>
      </w:r>
      <w:r/>
    </w:p>
    <w:p>
      <w:pPr>
        <w:pStyle w:val="987"/>
        <w:spacing w:before="0" w:after="0" w:line="420" w:lineRule="exact"/>
        <w:rPr>
          <w:rFonts w:hint="eastAsia" w:ascii="宋体" w:hAnsi="宋体"/>
          <w:szCs w:val="21"/>
          <w:u w:val="single"/>
          <w:lang w:eastAsia="zh-CN"/>
        </w:rPr>
      </w:pPr>
      <w:r>
        <w:rPr>
          <w:rFonts w:hint="eastAsia" w:ascii="宋体" w:hAnsi="宋体"/>
          <w:szCs w:val="21"/>
          <w:lang w:eastAsia="zh-CN"/>
        </w:rPr>
        <w:t xml:space="preserve">开户行：</w:t>
      </w:r>
      <w:r/>
    </w:p>
    <w:p>
      <w:pPr>
        <w:pStyle w:val="987"/>
        <w:spacing w:before="0" w:after="0" w:line="420" w:lineRule="exact"/>
        <w:rPr>
          <w:rFonts w:hint="eastAsia" w:ascii="宋体" w:hAnsi="宋体"/>
          <w:szCs w:val="21"/>
          <w:u w:val="single"/>
          <w:lang w:eastAsia="zh-CN"/>
        </w:rPr>
      </w:pPr>
      <w:r>
        <w:rPr>
          <w:rFonts w:hint="eastAsia" w:ascii="宋体" w:hAnsi="宋体"/>
          <w:szCs w:val="21"/>
          <w:lang w:eastAsia="zh-CN"/>
        </w:rPr>
        <w:t xml:space="preserve">账</w:t>
      </w:r>
      <w:r>
        <w:rPr>
          <w:rFonts w:hint="eastAsia" w:ascii="宋体" w:hAnsi="宋体"/>
          <w:szCs w:val="21"/>
          <w:lang w:eastAsia="zh-CN"/>
        </w:rPr>
        <w:t xml:space="preserve">  号：</w:t>
      </w:r>
      <w:r/>
    </w:p>
    <w:p>
      <w:pPr>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87"/>
        <w:spacing w:before="0" w:after="0" w:line="420" w:lineRule="exact"/>
        <w:rPr>
          <w:rFonts w:hint="eastAsia" w:ascii="宋体" w:hAnsi="宋体"/>
          <w:szCs w:val="21"/>
          <w:lang w:eastAsia="zh-CN"/>
        </w:rPr>
      </w:pPr>
      <w:r>
        <w:rPr>
          <w:rFonts w:hint="eastAsia" w:ascii="宋体" w:hAnsi="宋体"/>
          <w:szCs w:val="21"/>
          <w:lang w:eastAsia="zh-CN"/>
        </w:rPr>
        <w:t xml:space="preserve">日  期：</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bookmarkEnd w:id="159"/>
      <w:r/>
      <w:bookmarkEnd w:id="160"/>
      <w:r/>
      <w:bookmarkEnd w:id="173"/>
      <w:r/>
      <w:r/>
    </w:p>
    <w:p>
      <w:pPr>
        <w:ind w:firstLine="420"/>
        <w:rPr>
          <w:rFonts w:ascii="Times New Roman" w:hAnsi="Times New Roman"/>
          <w:sz w:val="24"/>
          <w:szCs w:val="24"/>
        </w:rPr>
      </w:pPr>
      <w:r>
        <w:rPr>
          <w:rFonts w:ascii="Times New Roman" w:hAnsi="Times New Roman"/>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五、谈判报价表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谈判报价表</w:t>
      </w:r>
      <w:r/>
    </w:p>
    <w:p>
      <w:pPr>
        <w:rPr>
          <w:rFonts w:hint="eastAsia" w:ascii="宋体" w:hAnsi="宋体"/>
          <w:sz w:val="24"/>
          <w:szCs w:val="24"/>
        </w:rPr>
      </w:pPr>
      <w:r>
        <w:rPr>
          <w:rFonts w:hint="eastAsia" w:ascii="宋体" w:hAnsi="宋体"/>
          <w:sz w:val="24"/>
          <w:szCs w:val="24"/>
        </w:rPr>
        <w:t xml:space="preserve">供应商名称：（加盖电子公章）</w:t>
      </w:r>
      <w:r/>
    </w:p>
    <w:p>
      <w:pPr>
        <w:rPr>
          <w:rFonts w:hint="eastAsia" w:ascii="宋体" w:hAnsi="宋体"/>
          <w:sz w:val="24"/>
          <w:szCs w:val="24"/>
        </w:rPr>
      </w:pPr>
      <w:r>
        <w:rPr>
          <w:rFonts w:hint="eastAsia" w:ascii="宋体" w:hAnsi="宋体"/>
          <w:sz w:val="24"/>
          <w:szCs w:val="24"/>
        </w:rPr>
        <w:t xml:space="preserve">项目编号：                                   采购包号：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87"/>
              <w:ind w:firstLine="0"/>
              <w:spacing w:before="0" w:after="0" w:line="480" w:lineRule="auto"/>
              <w:widowControl w:val="off"/>
              <w:rPr>
                <w:rFonts w:hint="eastAsia" w:ascii="宋体" w:hAnsi="宋体"/>
                <w:szCs w:val="21"/>
              </w:rPr>
            </w:pPr>
            <w:r>
              <w:rPr>
                <w:rFonts w:hint="eastAsia" w:ascii="宋体" w:hAnsi="宋体" w:cs="宋体"/>
              </w:rPr>
              <w:t xml:space="preserve">小写（元</w:t>
            </w:r>
            <w:r>
              <w:rPr>
                <w:rFonts w:hint="eastAsia" w:ascii="宋体" w:hAnsi="宋体" w:cs="宋体"/>
              </w:rPr>
              <w:t xml:space="preserve">）：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rPr>
          <w:rFonts w:ascii="Times New Roman" w:hAnsi="Times New Roman"/>
          <w:sz w:val="24"/>
          <w:szCs w:val="24"/>
        </w:rPr>
      </w:pPr>
      <w:r>
        <w:rPr>
          <w:rFonts w:ascii="Times New Roman" w:hAnsi="Times New Roman"/>
          <w:sz w:val="24"/>
          <w:szCs w:val="24"/>
        </w:rPr>
      </w:r>
      <w:r/>
    </w:p>
    <w:p>
      <w:r/>
      <w:r/>
    </w:p>
    <w:p>
      <w:r/>
      <w:r/>
    </w:p>
    <w:p>
      <w:pPr>
        <w:pStyle w:val="739"/>
        <w:rPr>
          <w:rFonts w:hint="eastAsia"/>
        </w:rPr>
      </w:pPr>
      <w:r>
        <w:rPr>
          <w:rFonts w:hint="eastAsia"/>
        </w:rPr>
      </w:r>
      <w:r/>
    </w:p>
    <w:p>
      <w:r/>
      <w:r/>
    </w:p>
    <w:p>
      <w:pPr>
        <w:pStyle w:val="739"/>
        <w:rPr>
          <w:rFonts w:hint="eastAsia"/>
        </w:rPr>
      </w:pPr>
      <w:r>
        <w:rPr>
          <w:rFonts w:hint="eastAsia"/>
        </w:rPr>
      </w:r>
      <w:r/>
    </w:p>
    <w:p>
      <w:r/>
      <w:r/>
    </w:p>
    <w:p>
      <w:pPr>
        <w:pStyle w:val="739"/>
        <w:rPr>
          <w:rFonts w:hint="eastAsia"/>
        </w:rPr>
      </w:pPr>
      <w:r>
        <w:rPr>
          <w:rFonts w:hint="eastAsia"/>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w:t>
      </w:r>
      <w:r>
        <w:rPr>
          <w:rFonts w:hint="eastAsia" w:ascii="黑体" w:hAnsi="黑体" w:eastAsia="黑体"/>
          <w:sz w:val="32"/>
          <w:szCs w:val="32"/>
        </w:rPr>
        <w:t xml:space="preserve">、技术要求响应及偏离表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5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谈判文件要求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76"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8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8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8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8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8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8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8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8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6"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480"/>
        <w:rPr>
          <w:rFonts w:hint="eastAsia" w:ascii="宋体" w:hAnsi="宋体" w:cs="宋体"/>
          <w:sz w:val="24"/>
          <w:szCs w:val="24"/>
        </w:rPr>
      </w:pPr>
      <w:r>
        <w:rPr>
          <w:rFonts w:hint="eastAsia" w:ascii="宋体" w:hAnsi="宋体" w:cs="宋体"/>
          <w:sz w:val="24"/>
          <w:szCs w:val="24"/>
        </w:rPr>
      </w:r>
      <w:r/>
    </w:p>
    <w:p>
      <w:r/>
      <w:r/>
    </w:p>
    <w:p>
      <w:pPr>
        <w:pStyle w:val="963"/>
        <w:ind w:firstLine="480"/>
        <w:jc w:val="both"/>
        <w:spacing w:before="0" w:beforeAutospacing="0" w:after="0" w:afterAutospacing="0" w:line="360" w:lineRule="auto"/>
        <w:rPr>
          <w:rFonts w:hint="eastAsia"/>
        </w:rPr>
      </w:pPr>
      <w:r>
        <w:t xml:space="preserve">备注： </w:t>
      </w:r>
      <w:r/>
    </w:p>
    <w:p>
      <w:pPr>
        <w:pStyle w:val="963"/>
        <w:ind w:firstLine="480"/>
        <w:jc w:val="both"/>
        <w:spacing w:before="0" w:beforeAutospacing="0" w:after="0" w:afterAutospacing="0" w:line="360" w:lineRule="auto"/>
        <w:rPr>
          <w:rFonts w:hint="eastAsia"/>
        </w:rPr>
      </w:pPr>
      <w:r>
        <w:rPr>
          <w:rFonts w:hint="eastAsia"/>
        </w:rPr>
        <w:t xml:space="preserve">1.供应商须对谈判文件技术要求中的实质性要求（斜体下划线内容或打“★”内容）及其他要求做出明确响应，否则视为无效响应。</w:t>
      </w:r>
      <w:r/>
    </w:p>
    <w:p>
      <w:pPr>
        <w:pStyle w:val="963"/>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63"/>
        <w:ind w:firstLine="480"/>
        <w:jc w:val="both"/>
        <w:spacing w:before="0" w:beforeAutospacing="0" w:after="0" w:afterAutospacing="0" w:line="360" w:lineRule="auto"/>
        <w:rPr>
          <w:rFonts w:hint="eastAsia"/>
        </w:rPr>
      </w:pPr>
      <w:r>
        <w:rPr>
          <w:rFonts w:hint="eastAsia"/>
        </w:rPr>
        <w:t xml:space="preserve">3.行数不够，可自行添加。</w:t>
      </w:r>
      <w:r/>
    </w:p>
    <w:p>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七</w:t>
      </w:r>
      <w:r>
        <w:rPr>
          <w:rFonts w:hint="eastAsia" w:ascii="黑体" w:hAnsi="黑体" w:eastAsia="黑体"/>
          <w:sz w:val="32"/>
          <w:szCs w:val="32"/>
        </w:rPr>
        <w:t xml:space="preserve">、商务要求响应及偏离表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62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谈判文件要求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52"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2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2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2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2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2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2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2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2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480"/>
        <w:rPr>
          <w:rFonts w:hint="eastAsia" w:ascii="宋体" w:hAnsi="宋体"/>
          <w:sz w:val="24"/>
          <w:szCs w:val="24"/>
        </w:rPr>
      </w:pPr>
      <w:r>
        <w:rPr>
          <w:rFonts w:hint="eastAsia" w:ascii="宋体" w:hAnsi="宋体"/>
          <w:sz w:val="24"/>
          <w:szCs w:val="24"/>
        </w:rPr>
      </w:r>
      <w:r/>
    </w:p>
    <w:p>
      <w:pPr>
        <w:pStyle w:val="963"/>
        <w:ind w:firstLine="480"/>
        <w:jc w:val="both"/>
        <w:spacing w:before="0" w:beforeAutospacing="0" w:after="0" w:afterAutospacing="0" w:line="360" w:lineRule="auto"/>
        <w:rPr>
          <w:rFonts w:hint="eastAsia"/>
        </w:rPr>
      </w:pPr>
      <w:r>
        <w:rPr>
          <w:rFonts w:hint="eastAsia"/>
        </w:rPr>
        <w:t xml:space="preserve">备注： </w:t>
      </w:r>
      <w:r/>
    </w:p>
    <w:p>
      <w:pPr>
        <w:pStyle w:val="963"/>
        <w:ind w:firstLine="480"/>
        <w:jc w:val="both"/>
        <w:spacing w:before="0" w:beforeAutospacing="0" w:after="0" w:afterAutospacing="0" w:line="360" w:lineRule="auto"/>
        <w:rPr>
          <w:rFonts w:hint="eastAsia"/>
        </w:rPr>
      </w:pPr>
      <w:r>
        <w:rPr>
          <w:rFonts w:hint="eastAsia"/>
        </w:rPr>
        <w:t xml:space="preserve">1.供应商须对谈判文件商务要求中的实质性要求（斜体下划线内容或打“★”内容）做出明确响应，否则视为无效响应。</w:t>
      </w:r>
      <w:r/>
    </w:p>
    <w:p>
      <w:pPr>
        <w:pStyle w:val="963"/>
        <w:ind w:firstLine="480"/>
        <w:jc w:val="both"/>
        <w:spacing w:before="0" w:beforeAutospacing="0" w:after="0" w:afterAutospacing="0" w:line="360" w:lineRule="auto"/>
        <w:rPr>
          <w:rFonts w:hint="eastAsia"/>
        </w:rPr>
      </w:pPr>
      <w:r>
        <w:rPr>
          <w:rFonts w:hint="eastAsia"/>
        </w:rPr>
        <w:t xml:space="preserve">2.行数不够，可自行添加。</w:t>
      </w:r>
      <w:r/>
    </w:p>
    <w:p>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w:t>
      </w:r>
      <w:r>
        <w:rPr>
          <w:rFonts w:hint="eastAsia" w:ascii="黑体" w:hAnsi="黑体" w:eastAsia="黑体"/>
          <w:sz w:val="32"/>
          <w:szCs w:val="32"/>
        </w:rPr>
        <w:t xml:space="preserve">、中小企业声明函</w:t>
      </w:r>
      <w:r/>
    </w:p>
    <w:p>
      <w:pPr>
        <w:jc w:val="center"/>
        <w:spacing w:line="336"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行业（谈判文件中明确的所属行业）；承接企业为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行业（谈判文件中明确的所属行业）；承接企业为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76"/>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48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w:t>
      </w:r>
      <w:r>
        <w:rPr>
          <w:rFonts w:hint="eastAsia" w:ascii="宋体" w:hAnsi="宋体"/>
          <w:sz w:val="24"/>
          <w:szCs w:val="24"/>
        </w:rPr>
        <w:t xml:space="preserve">微企业</w:t>
      </w:r>
      <w:r>
        <w:rPr>
          <w:rFonts w:hint="eastAsia" w:ascii="宋体" w:hAnsi="宋体"/>
          <w:sz w:val="24"/>
          <w:szCs w:val="24"/>
        </w:rPr>
        <w:t xml:space="preserve">价格扣除政策。项目清单中列示的所有服务，供应商须在声明函中逐项列示并明确承接企业的类型，如有缺失将按“不提供声明函”处理。此</w:t>
      </w:r>
      <w:r>
        <w:rPr>
          <w:rFonts w:hint="eastAsia" w:ascii="宋体" w:hAnsi="宋体"/>
          <w:sz w:val="24"/>
          <w:szCs w:val="24"/>
        </w:rPr>
        <w:t xml:space="preserve">声明函将随</w:t>
      </w:r>
      <w:r>
        <w:rPr>
          <w:rFonts w:hint="eastAsia" w:ascii="宋体" w:hAnsi="宋体"/>
          <w:sz w:val="24"/>
          <w:szCs w:val="24"/>
        </w:rPr>
        <w:t xml:space="preserve">成交结果同时公告，接受社会监督。4.服务采购项目中，服务的</w:t>
      </w:r>
      <w:r>
        <w:rPr>
          <w:rFonts w:hint="eastAsia" w:ascii="宋体" w:hAnsi="宋体"/>
          <w:sz w:val="24"/>
          <w:szCs w:val="24"/>
        </w:rPr>
        <w:t xml:space="preserve">承接商</w:t>
      </w:r>
      <w:r>
        <w:rPr>
          <w:rFonts w:hint="eastAsia" w:ascii="宋体" w:hAnsi="宋体"/>
          <w:sz w:val="24"/>
          <w:szCs w:val="24"/>
        </w:rPr>
        <w:t xml:space="preserve">应当为中小企业</w:t>
      </w:r>
      <w:bookmarkStart w:id="177" w:name="OLE_LINK6"/>
      <w:r>
        <w:rPr>
          <w:rFonts w:hint="eastAsia" w:ascii="宋体" w:hAnsi="宋体"/>
          <w:sz w:val="24"/>
          <w:szCs w:val="24"/>
        </w:rPr>
        <w:t xml:space="preserve">（</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w:t>
      </w:r>
      <w:bookmarkEnd w:id="177"/>
      <w:r>
        <w:rPr>
          <w:rFonts w:hint="eastAsia" w:ascii="宋体" w:hAnsi="宋体"/>
          <w:sz w:val="24"/>
          <w:szCs w:val="24"/>
        </w:rPr>
        <w:t xml:space="preserve">，不对其中涉及的货物的制造商、工程的承建商</w:t>
      </w:r>
      <w:r>
        <w:rPr>
          <w:rFonts w:hint="eastAsia" w:ascii="宋体" w:hAnsi="宋体"/>
          <w:sz w:val="24"/>
          <w:szCs w:val="24"/>
        </w:rPr>
        <w:t xml:space="preserve">作出</w:t>
      </w:r>
      <w:r>
        <w:rPr>
          <w:rFonts w:hint="eastAsia" w:ascii="宋体" w:hAnsi="宋体"/>
          <w:sz w:val="24"/>
          <w:szCs w:val="24"/>
        </w:rPr>
        <w:t xml:space="preserve">要求。</w:t>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w:t>
      </w:r>
      <w:r>
        <w:rPr>
          <w:rFonts w:hint="eastAsia" w:ascii="黑体" w:hAnsi="黑体" w:eastAsia="黑体"/>
          <w:sz w:val="32"/>
          <w:szCs w:val="32"/>
        </w:rPr>
        <w:t xml:space="preserve">、残疾人福利性单位声明函</w:t>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残疾人福利性单位声明函（服务）</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，服务全部由本单位提供。</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76"/>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1.供应商如不提供此声明函，价格将不做相应扣除。</w:t>
      </w:r>
      <w:r/>
    </w:p>
    <w:p>
      <w:pPr>
        <w:ind w:firstLine="480"/>
        <w:spacing w:line="480" w:lineRule="exact"/>
        <w:rPr>
          <w:rFonts w:hint="eastAsia" w:ascii="宋体" w:hAnsi="宋体"/>
          <w:sz w:val="24"/>
        </w:rPr>
      </w:pPr>
      <w:r>
        <w:rPr>
          <w:rFonts w:hint="eastAsia" w:ascii="宋体" w:hAnsi="宋体"/>
          <w:sz w:val="24"/>
        </w:rPr>
        <w:t xml:space="preserve">2.成交供应商为残疾人福利性单位的，此</w:t>
      </w:r>
      <w:r>
        <w:rPr>
          <w:rFonts w:hint="eastAsia" w:ascii="宋体" w:hAnsi="宋体"/>
          <w:sz w:val="24"/>
        </w:rPr>
        <w:t xml:space="preserve">声明函将随</w:t>
      </w:r>
      <w:r>
        <w:rPr>
          <w:rFonts w:hint="eastAsia" w:ascii="宋体" w:hAnsi="宋体"/>
          <w:sz w:val="24"/>
        </w:rPr>
        <w:t xml:space="preserve">成交结果同时公告，接受社会监督。</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9"/>
        <w:ind w:firstLine="0"/>
        <w:jc w:val="center"/>
        <w:rPr>
          <w:rFonts w:hint="eastAsia"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w:t>
      </w:r>
      <w:r>
        <w:rPr>
          <w:rFonts w:hint="eastAsia" w:ascii="宋体" w:hAnsi="宋体" w:cs="仿宋"/>
          <w:b/>
          <w:bCs/>
          <w:sz w:val="24"/>
          <w:szCs w:val="24"/>
        </w:rPr>
        <w:t xml:space="preserve">商法定</w:t>
      </w:r>
      <w:r>
        <w:rPr>
          <w:rFonts w:hint="eastAsia" w:ascii="宋体" w:hAnsi="宋体" w:cs="仿宋"/>
          <w:b/>
          <w:bCs/>
          <w:sz w:val="24"/>
          <w:szCs w:val="24"/>
        </w:rPr>
        <w:t xml:space="preserve">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1"/>
        <w:rFonts w:hint="eastAsia" w:ascii="宋体" w:hAnsi="宋体"/>
      </w:rPr>
      <w:framePr w:wrap="around" w:vAnchor="text" w:hAnchor="margin" w:xAlign="center" w:y="1"/>
    </w:pPr>
    <w:r>
      <w:rPr>
        <w:rFonts w:ascii="宋体" w:hAnsi="宋体"/>
      </w:rPr>
      <w:fldChar w:fldCharType="begin"/>
    </w:r>
    <w:r>
      <w:rPr>
        <w:rStyle w:val="971"/>
        <w:rFonts w:ascii="宋体" w:hAnsi="宋体"/>
      </w:rPr>
      <w:instrText xml:space="preserve">PAGE  </w:instrText>
    </w:r>
    <w:r>
      <w:rPr>
        <w:rFonts w:ascii="宋体" w:hAnsi="宋体"/>
      </w:rPr>
      <w:fldChar w:fldCharType="separate"/>
    </w:r>
    <w:r>
      <w:rPr>
        <w:rStyle w:val="971"/>
        <w:rFonts w:ascii="宋体" w:hAnsi="宋体"/>
      </w:rPr>
      <w:t xml:space="preserve">２</w:t>
    </w:r>
    <w:r>
      <w:rPr>
        <w:rStyle w:val="971"/>
        <w:rFonts w:ascii="宋体" w:hAnsi="宋体"/>
      </w:rPr>
      <w:t xml:space="preserve">８</w:t>
    </w:r>
    <w:r>
      <w:rPr>
        <w:rFonts w:ascii="宋体" w:hAnsi="宋体"/>
      </w:rPr>
      <w:fldChar w:fldCharType="end"/>
    </w:r>
    <w:r/>
  </w:p>
  <w:p>
    <w:pPr>
      <w:pStyle w:val="95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7"/>
      <w:isLgl w:val="false"/>
      <w:suff w:val="nothing"/>
      <w:lvlText w:val=""/>
      <w:lvlJc w:val="left"/>
      <w:pPr>
        <w:ind w:left="0" w:firstLine="0"/>
      </w:pPr>
      <w:rPr>
        <w:rFonts w:hint="eastAsia"/>
      </w:rPr>
    </w:lvl>
    <w:lvl w:ilvl="6">
      <w:start w:val="1"/>
      <w:numFmt w:val="decimal"/>
      <w:pStyle w:val="918"/>
      <w:isLgl w:val="false"/>
      <w:suff w:val="nothing"/>
      <w:lvlText w:val=""/>
      <w:lvlJc w:val="left"/>
      <w:pPr>
        <w:ind w:left="0" w:firstLine="0"/>
      </w:pPr>
      <w:rPr>
        <w:rFonts w:hint="eastAsia"/>
      </w:rPr>
    </w:lvl>
    <w:lvl w:ilvl="7">
      <w:start w:val="1"/>
      <w:numFmt w:val="decimal"/>
      <w:pStyle w:val="919"/>
      <w:isLgl w:val="false"/>
      <w:suff w:val="nothing"/>
      <w:lvlText w:val=""/>
      <w:lvlJc w:val="left"/>
      <w:pPr>
        <w:ind w:left="0" w:firstLine="0"/>
      </w:pPr>
      <w:rPr>
        <w:rFonts w:hint="eastAsia"/>
      </w:rPr>
    </w:lvl>
    <w:lvl w:ilvl="8">
      <w:start w:val="1"/>
      <w:numFmt w:val="decimal"/>
      <w:pStyle w:val="920"/>
      <w:isLgl w:val="false"/>
      <w:suff w:val="nothing"/>
      <w:lvlText w:val=""/>
      <w:lvlJc w:val="left"/>
      <w:pPr>
        <w:ind w:left="0" w:firstLine="0"/>
      </w:pPr>
      <w:rPr>
        <w:rFonts w:hint="eastAsia"/>
      </w:rPr>
    </w:lvl>
  </w:abstractNum>
  <w:abstractNum w:abstractNumId="3">
    <w:multiLevelType w:val="hybridMultilevel"/>
    <w:lvl w:ilvl="0">
      <w:start w:val="1"/>
      <w:numFmt w:val="decimal"/>
      <w:pStyle w:val="9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Heading 1 Char"/>
    <w:basedOn w:val="736"/>
    <w:link w:val="727"/>
    <w:uiPriority w:val="9"/>
    <w:rPr>
      <w:rFonts w:ascii="Arial" w:hAnsi="Arial" w:eastAsia="Arial" w:cs="Arial"/>
      <w:sz w:val="40"/>
      <w:szCs w:val="40"/>
    </w:rPr>
  </w:style>
  <w:style w:type="character" w:styleId="690">
    <w:name w:val="Heading 2 Char"/>
    <w:basedOn w:val="736"/>
    <w:link w:val="728"/>
    <w:uiPriority w:val="9"/>
    <w:rPr>
      <w:rFonts w:ascii="Arial" w:hAnsi="Arial" w:eastAsia="Arial" w:cs="Arial"/>
      <w:sz w:val="34"/>
    </w:rPr>
  </w:style>
  <w:style w:type="character" w:styleId="691">
    <w:name w:val="Heading 3 Char"/>
    <w:basedOn w:val="736"/>
    <w:link w:val="729"/>
    <w:uiPriority w:val="9"/>
    <w:rPr>
      <w:rFonts w:ascii="Arial" w:hAnsi="Arial" w:eastAsia="Arial" w:cs="Arial"/>
      <w:sz w:val="30"/>
      <w:szCs w:val="30"/>
    </w:rPr>
  </w:style>
  <w:style w:type="character" w:styleId="692">
    <w:name w:val="Heading 4 Char"/>
    <w:basedOn w:val="736"/>
    <w:link w:val="730"/>
    <w:uiPriority w:val="9"/>
    <w:rPr>
      <w:rFonts w:ascii="Arial" w:hAnsi="Arial" w:eastAsia="Arial" w:cs="Arial"/>
      <w:b/>
      <w:bCs/>
      <w:sz w:val="26"/>
      <w:szCs w:val="26"/>
    </w:rPr>
  </w:style>
  <w:style w:type="character" w:styleId="693">
    <w:name w:val="Heading 5 Char"/>
    <w:basedOn w:val="736"/>
    <w:link w:val="731"/>
    <w:uiPriority w:val="9"/>
    <w:rPr>
      <w:rFonts w:ascii="Arial" w:hAnsi="Arial" w:eastAsia="Arial" w:cs="Arial"/>
      <w:b/>
      <w:bCs/>
      <w:sz w:val="24"/>
      <w:szCs w:val="24"/>
    </w:rPr>
  </w:style>
  <w:style w:type="character" w:styleId="694">
    <w:name w:val="Heading 6 Char"/>
    <w:basedOn w:val="736"/>
    <w:link w:val="732"/>
    <w:uiPriority w:val="9"/>
    <w:rPr>
      <w:rFonts w:ascii="Arial" w:hAnsi="Arial" w:eastAsia="Arial" w:cs="Arial"/>
      <w:b/>
      <w:bCs/>
      <w:sz w:val="22"/>
      <w:szCs w:val="22"/>
    </w:rPr>
  </w:style>
  <w:style w:type="character" w:styleId="695">
    <w:name w:val="Heading 7 Char"/>
    <w:basedOn w:val="736"/>
    <w:link w:val="733"/>
    <w:uiPriority w:val="9"/>
    <w:rPr>
      <w:rFonts w:ascii="Arial" w:hAnsi="Arial" w:eastAsia="Arial" w:cs="Arial"/>
      <w:b/>
      <w:bCs/>
      <w:i/>
      <w:iCs/>
      <w:sz w:val="22"/>
      <w:szCs w:val="22"/>
    </w:rPr>
  </w:style>
  <w:style w:type="character" w:styleId="696">
    <w:name w:val="Heading 8 Char"/>
    <w:basedOn w:val="736"/>
    <w:link w:val="734"/>
    <w:uiPriority w:val="9"/>
    <w:rPr>
      <w:rFonts w:ascii="Arial" w:hAnsi="Arial" w:eastAsia="Arial" w:cs="Arial"/>
      <w:i/>
      <w:iCs/>
      <w:sz w:val="22"/>
      <w:szCs w:val="22"/>
    </w:rPr>
  </w:style>
  <w:style w:type="character" w:styleId="697">
    <w:name w:val="Heading 9 Char"/>
    <w:basedOn w:val="736"/>
    <w:link w:val="735"/>
    <w:uiPriority w:val="9"/>
    <w:rPr>
      <w:rFonts w:ascii="Arial" w:hAnsi="Arial" w:eastAsia="Arial" w:cs="Arial"/>
      <w:i/>
      <w:iCs/>
      <w:sz w:val="21"/>
      <w:szCs w:val="21"/>
    </w:rPr>
  </w:style>
  <w:style w:type="character" w:styleId="698">
    <w:name w:val="Title Char"/>
    <w:basedOn w:val="736"/>
    <w:link w:val="758"/>
    <w:uiPriority w:val="10"/>
    <w:rPr>
      <w:sz w:val="48"/>
      <w:szCs w:val="48"/>
    </w:rPr>
  </w:style>
  <w:style w:type="character" w:styleId="699">
    <w:name w:val="Subtitle Char"/>
    <w:basedOn w:val="736"/>
    <w:link w:val="752"/>
    <w:uiPriority w:val="11"/>
    <w:rPr>
      <w:sz w:val="24"/>
      <w:szCs w:val="24"/>
    </w:rPr>
  </w:style>
  <w:style w:type="character" w:styleId="700">
    <w:name w:val="Quote Char"/>
    <w:link w:val="776"/>
    <w:uiPriority w:val="29"/>
    <w:rPr>
      <w:i/>
    </w:rPr>
  </w:style>
  <w:style w:type="character" w:styleId="701">
    <w:name w:val="Intense Quote Char"/>
    <w:link w:val="778"/>
    <w:uiPriority w:val="30"/>
    <w:rPr>
      <w:i/>
    </w:rPr>
  </w:style>
  <w:style w:type="character" w:styleId="702">
    <w:name w:val="Header Char"/>
    <w:basedOn w:val="736"/>
    <w:link w:val="749"/>
    <w:uiPriority w:val="99"/>
  </w:style>
  <w:style w:type="character" w:styleId="703">
    <w:name w:val="Caption Char"/>
    <w:basedOn w:val="743"/>
    <w:link w:val="748"/>
    <w:uiPriority w:val="99"/>
  </w:style>
  <w:style w:type="table" w:styleId="704">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6">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7">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8">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1">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2">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3">
    <w:name w:val="Footnote Text Char"/>
    <w:link w:val="753"/>
    <w:uiPriority w:val="99"/>
    <w:rPr>
      <w:sz w:val="18"/>
    </w:rPr>
  </w:style>
  <w:style w:type="character" w:styleId="724">
    <w:name w:val="Endnote Text Char"/>
    <w:link w:val="747"/>
    <w:uiPriority w:val="99"/>
    <w:rPr>
      <w:sz w:val="20"/>
    </w:rPr>
  </w:style>
  <w:style w:type="paragraph" w:styleId="725">
    <w:name w:val="TOC Heading"/>
    <w:uiPriority w:val="39"/>
    <w:unhideWhenUsed/>
  </w:style>
  <w:style w:type="paragraph" w:styleId="726" w:default="1">
    <w:name w:val="Normal"/>
    <w:next w:val="739"/>
    <w:link w:val="977"/>
    <w:qFormat/>
    <w:pPr>
      <w:jc w:val="both"/>
      <w:widowControl w:val="off"/>
    </w:pPr>
    <w:rPr>
      <w:sz w:val="21"/>
      <w:szCs w:val="22"/>
    </w:rPr>
  </w:style>
  <w:style w:type="paragraph" w:styleId="727">
    <w:name w:val="Heading 1"/>
    <w:basedOn w:val="726"/>
    <w:next w:val="726"/>
    <w:link w:val="763"/>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4"/>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65"/>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66"/>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7"/>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68"/>
    <w:uiPriority w:val="9"/>
    <w:unhideWhenUsed/>
    <w:qFormat/>
    <w:pPr>
      <w:keepLines/>
      <w:keepNext/>
      <w:spacing w:before="320" w:after="200"/>
      <w:outlineLvl w:val="5"/>
    </w:pPr>
    <w:rPr>
      <w:rFonts w:ascii="Arial" w:hAnsi="Arial" w:eastAsia="Arial" w:cs="Arial"/>
      <w:b/>
      <w:bCs/>
      <w:sz w:val="22"/>
    </w:rPr>
  </w:style>
  <w:style w:type="paragraph" w:styleId="733">
    <w:name w:val="Heading 7"/>
    <w:basedOn w:val="726"/>
    <w:next w:val="726"/>
    <w:link w:val="769"/>
    <w:uiPriority w:val="9"/>
    <w:unhideWhenUsed/>
    <w:qFormat/>
    <w:pPr>
      <w:keepLines/>
      <w:keepNext/>
      <w:spacing w:before="320" w:after="200"/>
      <w:outlineLvl w:val="6"/>
    </w:pPr>
    <w:rPr>
      <w:rFonts w:ascii="Arial" w:hAnsi="Arial" w:eastAsia="Arial" w:cs="Arial"/>
      <w:b/>
      <w:bCs/>
      <w:i/>
      <w:iCs/>
      <w:sz w:val="22"/>
    </w:rPr>
  </w:style>
  <w:style w:type="paragraph" w:styleId="734">
    <w:name w:val="Heading 8"/>
    <w:basedOn w:val="726"/>
    <w:next w:val="726"/>
    <w:link w:val="770"/>
    <w:uiPriority w:val="9"/>
    <w:unhideWhenUsed/>
    <w:qFormat/>
    <w:pPr>
      <w:keepLines/>
      <w:keepNext/>
      <w:spacing w:before="320" w:after="200"/>
      <w:outlineLvl w:val="7"/>
    </w:pPr>
    <w:rPr>
      <w:rFonts w:ascii="Arial" w:hAnsi="Arial" w:eastAsia="Arial" w:cs="Arial"/>
      <w:i/>
      <w:iCs/>
      <w:sz w:val="22"/>
    </w:rPr>
  </w:style>
  <w:style w:type="paragraph" w:styleId="735">
    <w:name w:val="Heading 9"/>
    <w:basedOn w:val="726"/>
    <w:next w:val="726"/>
    <w:link w:val="771"/>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paragraph" w:styleId="739" w:customStyle="1">
    <w:name w:val="正文文本首行缩进 21"/>
    <w:basedOn w:val="740"/>
    <w:next w:val="726"/>
    <w:link w:val="924"/>
    <w:qFormat/>
    <w:pPr>
      <w:ind w:left="0" w:firstLine="420"/>
      <w:spacing w:after="0" w:line="360" w:lineRule="auto"/>
    </w:pPr>
    <w:rPr>
      <w:rFonts w:ascii="宋体" w:hAnsi="宋体"/>
      <w:szCs w:val="20"/>
    </w:rPr>
  </w:style>
  <w:style w:type="paragraph" w:styleId="740" w:customStyle="1">
    <w:name w:val="正文文本缩进1"/>
    <w:basedOn w:val="726"/>
    <w:next w:val="741"/>
    <w:link w:val="923"/>
    <w:unhideWhenUsed/>
    <w:qFormat/>
    <w:pPr>
      <w:ind w:left="420"/>
      <w:spacing w:after="120"/>
    </w:pPr>
  </w:style>
  <w:style w:type="paragraph" w:styleId="741" w:customStyle="1">
    <w:name w:val="寄信人地址11"/>
    <w:basedOn w:val="726"/>
    <w:qFormat/>
    <w:rPr>
      <w:rFonts w:ascii="Arial" w:hAnsi="Arial" w:cs="宋体"/>
    </w:rPr>
  </w:style>
  <w:style w:type="paragraph" w:styleId="742">
    <w:name w:val="toc 7"/>
    <w:basedOn w:val="726"/>
    <w:next w:val="726"/>
    <w:semiHidden/>
    <w:qFormat/>
    <w:pPr>
      <w:ind w:left="1260"/>
      <w:jc w:val="left"/>
    </w:pPr>
    <w:rPr>
      <w:rFonts w:ascii="Times New Roman" w:hAnsi="Times New Roman"/>
      <w:szCs w:val="21"/>
    </w:rPr>
  </w:style>
  <w:style w:type="paragraph" w:styleId="743">
    <w:name w:val="Caption"/>
    <w:basedOn w:val="726"/>
    <w:next w:val="726"/>
    <w:uiPriority w:val="35"/>
    <w:semiHidden/>
    <w:unhideWhenUsed/>
    <w:qFormat/>
    <w:pPr>
      <w:spacing w:line="276" w:lineRule="auto"/>
    </w:pPr>
    <w:rPr>
      <w:b/>
      <w:bCs/>
      <w:color w:val="4f81bd" w:themeColor="accent1"/>
      <w:sz w:val="18"/>
      <w:szCs w:val="18"/>
    </w:rPr>
  </w:style>
  <w:style w:type="paragraph" w:styleId="744">
    <w:name w:val="toc 5"/>
    <w:basedOn w:val="726"/>
    <w:next w:val="726"/>
    <w:semiHidden/>
    <w:qFormat/>
    <w:pPr>
      <w:ind w:left="840"/>
      <w:jc w:val="left"/>
    </w:pPr>
    <w:rPr>
      <w:rFonts w:ascii="Times New Roman" w:hAnsi="Times New Roman"/>
      <w:szCs w:val="21"/>
    </w:rPr>
  </w:style>
  <w:style w:type="paragraph" w:styleId="745">
    <w:name w:val="toc 3"/>
    <w:basedOn w:val="726"/>
    <w:next w:val="726"/>
    <w:semiHidden/>
    <w:qFormat/>
    <w:pPr>
      <w:ind w:left="420"/>
      <w:jc w:val="left"/>
    </w:pPr>
    <w:rPr>
      <w:rFonts w:ascii="Times New Roman" w:hAnsi="Times New Roman"/>
      <w:i/>
      <w:iCs/>
      <w:szCs w:val="24"/>
    </w:rPr>
  </w:style>
  <w:style w:type="paragraph" w:styleId="746">
    <w:name w:val="toc 8"/>
    <w:basedOn w:val="726"/>
    <w:next w:val="726"/>
    <w:semiHidden/>
    <w:qFormat/>
    <w:pPr>
      <w:ind w:left="1470"/>
      <w:jc w:val="left"/>
    </w:pPr>
    <w:rPr>
      <w:rFonts w:ascii="Times New Roman" w:hAnsi="Times New Roman"/>
      <w:szCs w:val="21"/>
    </w:rPr>
  </w:style>
  <w:style w:type="paragraph" w:styleId="747">
    <w:name w:val="endnote text"/>
    <w:basedOn w:val="726"/>
    <w:link w:val="909"/>
    <w:uiPriority w:val="99"/>
    <w:semiHidden/>
    <w:unhideWhenUsed/>
    <w:qFormat/>
    <w:rPr>
      <w:sz w:val="20"/>
    </w:rPr>
  </w:style>
  <w:style w:type="paragraph" w:styleId="748">
    <w:name w:val="Footer"/>
    <w:basedOn w:val="726"/>
    <w:link w:val="782"/>
    <w:uiPriority w:val="99"/>
    <w:unhideWhenUsed/>
    <w:qFormat/>
    <w:pPr>
      <w:tabs>
        <w:tab w:val="center" w:pos="7143" w:leader="none"/>
        <w:tab w:val="right" w:pos="14287" w:leader="none"/>
      </w:tabs>
    </w:pPr>
  </w:style>
  <w:style w:type="paragraph" w:styleId="749">
    <w:name w:val="Header"/>
    <w:basedOn w:val="726"/>
    <w:link w:val="780"/>
    <w:uiPriority w:val="99"/>
    <w:unhideWhenUsed/>
    <w:qFormat/>
    <w:pPr>
      <w:tabs>
        <w:tab w:val="center" w:pos="7143" w:leader="none"/>
        <w:tab w:val="right" w:pos="14287" w:leader="none"/>
      </w:tabs>
    </w:pPr>
  </w:style>
  <w:style w:type="paragraph" w:styleId="750">
    <w:name w:val="toc 1"/>
    <w:basedOn w:val="726"/>
    <w:next w:val="726"/>
    <w:semiHidden/>
    <w:qFormat/>
    <w:pPr>
      <w:jc w:val="left"/>
      <w:spacing w:before="120" w:after="120" w:line="400" w:lineRule="exact"/>
      <w:tabs>
        <w:tab w:val="right" w:pos="8720" w:leader="dot"/>
      </w:tabs>
    </w:pPr>
    <w:rPr>
      <w:rFonts w:ascii="宋体" w:hAnsi="宋体"/>
      <w:caps/>
      <w:sz w:val="24"/>
      <w:szCs w:val="24"/>
    </w:rPr>
  </w:style>
  <w:style w:type="paragraph" w:styleId="751">
    <w:name w:val="toc 4"/>
    <w:basedOn w:val="726"/>
    <w:next w:val="726"/>
    <w:semiHidden/>
    <w:qFormat/>
    <w:pPr>
      <w:ind w:left="630"/>
      <w:jc w:val="left"/>
    </w:pPr>
    <w:rPr>
      <w:rFonts w:ascii="Times New Roman" w:hAnsi="Times New Roman"/>
      <w:szCs w:val="21"/>
    </w:rPr>
  </w:style>
  <w:style w:type="paragraph" w:styleId="752">
    <w:name w:val="Subtitle"/>
    <w:basedOn w:val="726"/>
    <w:next w:val="726"/>
    <w:link w:val="775"/>
    <w:uiPriority w:val="11"/>
    <w:qFormat/>
    <w:pPr>
      <w:spacing w:before="200" w:after="200"/>
    </w:pPr>
    <w:rPr>
      <w:sz w:val="24"/>
      <w:szCs w:val="24"/>
    </w:rPr>
  </w:style>
  <w:style w:type="paragraph" w:styleId="753">
    <w:name w:val="footnote text"/>
    <w:basedOn w:val="726"/>
    <w:link w:val="908"/>
    <w:uiPriority w:val="99"/>
    <w:semiHidden/>
    <w:unhideWhenUsed/>
    <w:qFormat/>
    <w:pPr>
      <w:spacing w:after="40"/>
    </w:pPr>
    <w:rPr>
      <w:sz w:val="18"/>
    </w:rPr>
  </w:style>
  <w:style w:type="paragraph" w:styleId="754">
    <w:name w:val="toc 6"/>
    <w:basedOn w:val="726"/>
    <w:next w:val="726"/>
    <w:semiHidden/>
    <w:qFormat/>
    <w:pPr>
      <w:ind w:left="1050"/>
      <w:jc w:val="left"/>
    </w:pPr>
    <w:rPr>
      <w:rFonts w:ascii="Times New Roman" w:hAnsi="Times New Roman"/>
      <w:szCs w:val="21"/>
    </w:rPr>
  </w:style>
  <w:style w:type="paragraph" w:styleId="755">
    <w:name w:val="table of figures"/>
    <w:basedOn w:val="726"/>
    <w:next w:val="726"/>
    <w:uiPriority w:val="99"/>
    <w:unhideWhenUsed/>
    <w:qFormat/>
  </w:style>
  <w:style w:type="paragraph" w:styleId="756">
    <w:name w:val="toc 2"/>
    <w:basedOn w:val="726"/>
    <w:next w:val="726"/>
    <w:semiHidden/>
    <w:qFormat/>
    <w:pPr>
      <w:ind w:left="210"/>
      <w:jc w:val="left"/>
    </w:pPr>
    <w:rPr>
      <w:rFonts w:ascii="Times New Roman" w:hAnsi="Times New Roman"/>
      <w:smallCaps/>
      <w:szCs w:val="24"/>
    </w:rPr>
  </w:style>
  <w:style w:type="paragraph" w:styleId="757">
    <w:name w:val="toc 9"/>
    <w:basedOn w:val="726"/>
    <w:next w:val="726"/>
    <w:semiHidden/>
    <w:qFormat/>
    <w:pPr>
      <w:ind w:left="1680"/>
      <w:jc w:val="left"/>
    </w:pPr>
    <w:rPr>
      <w:rFonts w:ascii="Times New Roman" w:hAnsi="Times New Roman"/>
      <w:szCs w:val="21"/>
    </w:rPr>
  </w:style>
  <w:style w:type="paragraph" w:styleId="758">
    <w:name w:val="Title"/>
    <w:basedOn w:val="726"/>
    <w:next w:val="726"/>
    <w:link w:val="774"/>
    <w:uiPriority w:val="10"/>
    <w:qFormat/>
    <w:pPr>
      <w:contextualSpacing/>
      <w:spacing w:before="300" w:after="200"/>
    </w:pPr>
    <w:rPr>
      <w:sz w:val="48"/>
      <w:szCs w:val="48"/>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rPr>
  </w:style>
  <w:style w:type="character" w:styleId="762">
    <w:name w:val="footnote reference"/>
    <w:uiPriority w:val="99"/>
    <w:unhideWhenUsed/>
    <w:qFormat/>
    <w:rPr>
      <w:vertAlign w:val="superscript"/>
    </w:rPr>
  </w:style>
  <w:style w:type="character" w:styleId="763" w:customStyle="1">
    <w:name w:val="标题 1 字符1"/>
    <w:link w:val="727"/>
    <w:uiPriority w:val="9"/>
    <w:rPr>
      <w:rFonts w:ascii="Arial" w:hAnsi="Arial" w:eastAsia="Arial" w:cs="Arial"/>
      <w:sz w:val="40"/>
      <w:szCs w:val="40"/>
    </w:rPr>
  </w:style>
  <w:style w:type="character" w:styleId="764" w:customStyle="1">
    <w:name w:val="标题 2 字符1"/>
    <w:link w:val="728"/>
    <w:uiPriority w:val="9"/>
    <w:rPr>
      <w:rFonts w:ascii="Arial" w:hAnsi="Arial" w:eastAsia="Arial" w:cs="Arial"/>
      <w:sz w:val="34"/>
    </w:rPr>
  </w:style>
  <w:style w:type="character" w:styleId="765" w:customStyle="1">
    <w:name w:val="标题 3 字符1"/>
    <w:link w:val="729"/>
    <w:uiPriority w:val="9"/>
    <w:rPr>
      <w:rFonts w:ascii="Arial" w:hAnsi="Arial" w:eastAsia="Arial" w:cs="Arial"/>
      <w:sz w:val="30"/>
      <w:szCs w:val="30"/>
    </w:rPr>
  </w:style>
  <w:style w:type="character" w:styleId="766" w:customStyle="1">
    <w:name w:val="标题 4 字符1"/>
    <w:link w:val="730"/>
    <w:uiPriority w:val="9"/>
    <w:qFormat/>
    <w:rPr>
      <w:rFonts w:ascii="Arial" w:hAnsi="Arial" w:eastAsia="Arial" w:cs="Arial"/>
      <w:b/>
      <w:bCs/>
      <w:sz w:val="26"/>
      <w:szCs w:val="26"/>
    </w:rPr>
  </w:style>
  <w:style w:type="character" w:styleId="767" w:customStyle="1">
    <w:name w:val="标题 5 字符1"/>
    <w:link w:val="731"/>
    <w:uiPriority w:val="9"/>
    <w:qFormat/>
    <w:rPr>
      <w:rFonts w:ascii="Arial" w:hAnsi="Arial" w:eastAsia="Arial" w:cs="Arial"/>
      <w:b/>
      <w:bCs/>
      <w:sz w:val="24"/>
      <w:szCs w:val="24"/>
    </w:rPr>
  </w:style>
  <w:style w:type="character" w:styleId="768" w:customStyle="1">
    <w:name w:val="标题 6 字符1"/>
    <w:link w:val="732"/>
    <w:uiPriority w:val="9"/>
    <w:qFormat/>
    <w:rPr>
      <w:rFonts w:ascii="Arial" w:hAnsi="Arial" w:eastAsia="Arial" w:cs="Arial"/>
      <w:b/>
      <w:bCs/>
      <w:sz w:val="22"/>
      <w:szCs w:val="22"/>
    </w:rPr>
  </w:style>
  <w:style w:type="character" w:styleId="769" w:customStyle="1">
    <w:name w:val="标题 7 字符1"/>
    <w:link w:val="733"/>
    <w:uiPriority w:val="9"/>
    <w:qFormat/>
    <w:rPr>
      <w:rFonts w:ascii="Arial" w:hAnsi="Arial" w:eastAsia="Arial" w:cs="Arial"/>
      <w:b/>
      <w:bCs/>
      <w:i/>
      <w:iCs/>
      <w:sz w:val="22"/>
      <w:szCs w:val="22"/>
    </w:rPr>
  </w:style>
  <w:style w:type="character" w:styleId="770" w:customStyle="1">
    <w:name w:val="标题 8 字符1"/>
    <w:link w:val="734"/>
    <w:uiPriority w:val="9"/>
    <w:qFormat/>
    <w:rPr>
      <w:rFonts w:ascii="Arial" w:hAnsi="Arial" w:eastAsia="Arial" w:cs="Arial"/>
      <w:i/>
      <w:iCs/>
      <w:sz w:val="22"/>
      <w:szCs w:val="22"/>
    </w:rPr>
  </w:style>
  <w:style w:type="character" w:styleId="771" w:customStyle="1">
    <w:name w:val="标题 9 字符1"/>
    <w:link w:val="735"/>
    <w:uiPriority w:val="9"/>
    <w:qFormat/>
    <w:rPr>
      <w:rFonts w:ascii="Arial" w:hAnsi="Arial" w:eastAsia="Arial" w:cs="Arial"/>
      <w:i/>
      <w:iCs/>
      <w:sz w:val="21"/>
      <w:szCs w:val="21"/>
    </w:rPr>
  </w:style>
  <w:style w:type="paragraph" w:styleId="772">
    <w:name w:val="List Paragraph"/>
    <w:basedOn w:val="726"/>
    <w:uiPriority w:val="34"/>
    <w:qFormat/>
    <w:pPr>
      <w:contextualSpacing/>
      <w:ind w:left="720"/>
    </w:pPr>
  </w:style>
  <w:style w:type="paragraph" w:styleId="773">
    <w:name w:val="No Spacing"/>
    <w:uiPriority w:val="1"/>
    <w:qFormat/>
  </w:style>
  <w:style w:type="character" w:styleId="774" w:customStyle="1">
    <w:name w:val="标题 字符"/>
    <w:link w:val="758"/>
    <w:uiPriority w:val="10"/>
    <w:qFormat/>
    <w:rPr>
      <w:sz w:val="48"/>
      <w:szCs w:val="48"/>
    </w:rPr>
  </w:style>
  <w:style w:type="character" w:styleId="775" w:customStyle="1">
    <w:name w:val="副标题 字符"/>
    <w:link w:val="752"/>
    <w:uiPriority w:val="11"/>
    <w:qFormat/>
    <w:rPr>
      <w:sz w:val="24"/>
      <w:szCs w:val="24"/>
    </w:rPr>
  </w:style>
  <w:style w:type="paragraph" w:styleId="776">
    <w:name w:val="Quote"/>
    <w:basedOn w:val="726"/>
    <w:next w:val="726"/>
    <w:link w:val="777"/>
    <w:uiPriority w:val="29"/>
    <w:qFormat/>
    <w:pPr>
      <w:ind w:left="720" w:right="720"/>
    </w:pPr>
    <w:rPr>
      <w:i/>
    </w:rPr>
  </w:style>
  <w:style w:type="character" w:styleId="777" w:customStyle="1">
    <w:name w:val="引用 字符"/>
    <w:link w:val="776"/>
    <w:uiPriority w:val="29"/>
    <w:qFormat/>
    <w:rPr>
      <w:i/>
    </w:rPr>
  </w:style>
  <w:style w:type="paragraph" w:styleId="778">
    <w:name w:val="Intense Quote"/>
    <w:basedOn w:val="726"/>
    <w:next w:val="726"/>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字符"/>
    <w:link w:val="778"/>
    <w:uiPriority w:val="30"/>
    <w:qFormat/>
    <w:rPr>
      <w:i/>
    </w:rPr>
  </w:style>
  <w:style w:type="character" w:styleId="780" w:customStyle="1">
    <w:name w:val="页眉 字符1"/>
    <w:link w:val="749"/>
    <w:uiPriority w:val="99"/>
    <w:qFormat/>
  </w:style>
  <w:style w:type="character" w:styleId="781" w:customStyle="1">
    <w:name w:val="Footer Char"/>
    <w:uiPriority w:val="99"/>
    <w:qFormat/>
  </w:style>
  <w:style w:type="character" w:styleId="782" w:customStyle="1">
    <w:name w:val="页脚 字符1"/>
    <w:link w:val="748"/>
    <w:uiPriority w:val="99"/>
    <w:qFormat/>
  </w:style>
  <w:style w:type="table" w:styleId="78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字符"/>
    <w:link w:val="753"/>
    <w:uiPriority w:val="99"/>
    <w:qFormat/>
    <w:rPr>
      <w:sz w:val="18"/>
    </w:rPr>
  </w:style>
  <w:style w:type="character" w:styleId="909" w:customStyle="1">
    <w:name w:val="尾注文本 字符"/>
    <w:link w:val="747"/>
    <w:uiPriority w:val="99"/>
    <w:qFormat/>
    <w:rPr>
      <w:sz w:val="20"/>
    </w:rPr>
  </w:style>
  <w:style w:type="paragraph" w:styleId="910" w:customStyle="1">
    <w:name w:val="TOC 标题1"/>
    <w:uiPriority w:val="39"/>
    <w:unhideWhenUsed/>
    <w:qFormat/>
  </w:style>
  <w:style w:type="paragraph" w:styleId="911" w:customStyle="1">
    <w:name w:val="标题 11"/>
    <w:basedOn w:val="726"/>
    <w:next w:val="726"/>
    <w:link w:val="925"/>
    <w:qFormat/>
    <w:pPr>
      <w:jc w:val="center"/>
      <w:keepNext/>
      <w:outlineLvl w:val="0"/>
    </w:pPr>
    <w:rPr>
      <w:rFonts w:ascii="楷体_GB2312" w:hAnsi="Times New Roman" w:eastAsia="楷体_GB2312"/>
      <w:sz w:val="28"/>
      <w:szCs w:val="28"/>
    </w:rPr>
  </w:style>
  <w:style w:type="paragraph" w:styleId="912" w:customStyle="1">
    <w:name w:val="标题 21"/>
    <w:basedOn w:val="726"/>
    <w:next w:val="726"/>
    <w:link w:val="926"/>
    <w:qFormat/>
    <w:pPr>
      <w:jc w:val="center"/>
      <w:keepLines/>
      <w:keepNext/>
      <w:spacing w:before="260" w:after="260" w:line="416" w:lineRule="auto"/>
      <w:outlineLvl w:val="1"/>
    </w:pPr>
    <w:rPr>
      <w:rFonts w:ascii="Arial" w:hAnsi="Arial" w:eastAsia="幼圆" w:cs="Arial"/>
      <w:b/>
      <w:bCs/>
      <w:sz w:val="44"/>
      <w:szCs w:val="44"/>
    </w:rPr>
  </w:style>
  <w:style w:type="paragraph" w:styleId="913" w:customStyle="1">
    <w:name w:val="标题 31"/>
    <w:basedOn w:val="726"/>
    <w:next w:val="914"/>
    <w:link w:val="927"/>
    <w:qFormat/>
    <w:pPr>
      <w:keepLines/>
      <w:keepNext/>
      <w:spacing w:before="260" w:after="260" w:line="416" w:lineRule="auto"/>
      <w:outlineLvl w:val="2"/>
    </w:pPr>
    <w:rPr>
      <w:rFonts w:ascii="Times New Roman" w:hAnsi="Times New Roman"/>
      <w:b/>
      <w:bCs/>
      <w:sz w:val="32"/>
      <w:szCs w:val="32"/>
    </w:rPr>
  </w:style>
  <w:style w:type="paragraph" w:styleId="914" w:customStyle="1">
    <w:name w:val="正文缩进1"/>
    <w:basedOn w:val="726"/>
    <w:link w:val="928"/>
    <w:qFormat/>
    <w:pPr>
      <w:ind w:firstLine="420"/>
    </w:pPr>
    <w:rPr>
      <w:szCs w:val="21"/>
    </w:rPr>
  </w:style>
  <w:style w:type="paragraph" w:styleId="915" w:customStyle="1">
    <w:name w:val="标题 41"/>
    <w:basedOn w:val="726"/>
    <w:next w:val="914"/>
    <w:link w:val="929"/>
    <w:qFormat/>
    <w:pPr>
      <w:keepLines/>
      <w:keepNext/>
      <w:spacing w:before="280" w:after="290" w:line="376" w:lineRule="auto"/>
      <w:outlineLvl w:val="3"/>
    </w:pPr>
    <w:rPr>
      <w:rFonts w:ascii="Arial" w:hAnsi="Arial" w:eastAsia="黑体" w:cs="Arial"/>
      <w:b/>
      <w:bCs/>
      <w:sz w:val="28"/>
      <w:szCs w:val="28"/>
    </w:rPr>
  </w:style>
  <w:style w:type="paragraph" w:styleId="916" w:customStyle="1">
    <w:name w:val="标题 51"/>
    <w:basedOn w:val="726"/>
    <w:next w:val="914"/>
    <w:link w:val="930"/>
    <w:qFormat/>
    <w:pPr>
      <w:keepNext/>
      <w:outlineLvl w:val="4"/>
    </w:pPr>
    <w:rPr>
      <w:rFonts w:ascii="宋体" w:hAnsi="Times New Roman"/>
      <w:color w:val="000000"/>
      <w:sz w:val="28"/>
      <w:szCs w:val="28"/>
    </w:rPr>
  </w:style>
  <w:style w:type="paragraph" w:styleId="917" w:customStyle="1">
    <w:name w:val="标题 61"/>
    <w:basedOn w:val="726"/>
    <w:next w:val="726"/>
    <w:link w:val="931"/>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customStyle="1">
    <w:name w:val="标题 71"/>
    <w:basedOn w:val="726"/>
    <w:next w:val="726"/>
    <w:link w:val="932"/>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19" w:customStyle="1">
    <w:name w:val="标题 81"/>
    <w:basedOn w:val="726"/>
    <w:next w:val="726"/>
    <w:link w:val="933"/>
    <w:qFormat/>
    <w:pPr>
      <w:numPr>
        <w:ilvl w:val="7"/>
        <w:numId w:val="1"/>
      </w:numPr>
      <w:keepLines/>
      <w:keepNext/>
      <w:spacing w:before="240" w:after="64" w:line="320" w:lineRule="auto"/>
      <w:outlineLvl w:val="7"/>
    </w:pPr>
    <w:rPr>
      <w:rFonts w:ascii="Arial" w:hAnsi="Arial" w:eastAsia="黑体"/>
      <w:sz w:val="24"/>
      <w:szCs w:val="24"/>
    </w:rPr>
  </w:style>
  <w:style w:type="paragraph" w:styleId="920" w:customStyle="1">
    <w:name w:val="标题 91"/>
    <w:basedOn w:val="726"/>
    <w:next w:val="726"/>
    <w:link w:val="934"/>
    <w:qFormat/>
    <w:pPr>
      <w:numPr>
        <w:ilvl w:val="8"/>
        <w:numId w:val="1"/>
      </w:numPr>
      <w:keepLines/>
      <w:keepNext/>
      <w:spacing w:before="240" w:after="64" w:line="320" w:lineRule="auto"/>
      <w:outlineLvl w:val="8"/>
    </w:pPr>
    <w:rPr>
      <w:rFonts w:ascii="Arial" w:hAnsi="Arial" w:eastAsia="黑体"/>
      <w:szCs w:val="21"/>
    </w:rPr>
  </w:style>
  <w:style w:type="character" w:styleId="921" w:customStyle="1">
    <w:name w:val="默认段落字体1"/>
    <w:uiPriority w:val="1"/>
    <w:unhideWhenUsed/>
    <w:qFormat/>
  </w:style>
  <w:style w:type="table" w:styleId="922" w:customStyle="1">
    <w:name w:val="普通表格11"/>
    <w:uiPriority w:val="99"/>
    <w:unhideWhenUsed/>
    <w:qFormat/>
    <w:tblPr>
      <w:tblCellMar>
        <w:left w:w="0" w:type="dxa"/>
        <w:top w:w="0" w:type="dxa"/>
        <w:right w:w="0" w:type="dxa"/>
        <w:bottom w:w="0" w:type="dxa"/>
      </w:tblCellMar>
    </w:tblPr>
  </w:style>
  <w:style w:type="character" w:styleId="923" w:customStyle="1">
    <w:name w:val="正文文本缩进 字符"/>
    <w:link w:val="740"/>
    <w:uiPriority w:val="99"/>
    <w:semiHidden/>
    <w:qFormat/>
  </w:style>
  <w:style w:type="character" w:styleId="924" w:customStyle="1">
    <w:name w:val="正文文本首行缩进 2 字符"/>
    <w:link w:val="739"/>
    <w:qFormat/>
    <w:rPr>
      <w:rFonts w:ascii="宋体" w:hAnsi="宋体" w:eastAsia="宋体" w:cs="Times New Roman"/>
      <w:szCs w:val="20"/>
    </w:rPr>
  </w:style>
  <w:style w:type="character" w:styleId="925" w:customStyle="1">
    <w:name w:val="标题 1 字符"/>
    <w:link w:val="911"/>
    <w:qFormat/>
    <w:rPr>
      <w:rFonts w:ascii="楷体_GB2312" w:hAnsi="Times New Roman" w:eastAsia="楷体_GB2312" w:cs="Times New Roman"/>
      <w:sz w:val="28"/>
      <w:szCs w:val="28"/>
    </w:rPr>
  </w:style>
  <w:style w:type="character" w:styleId="926" w:customStyle="1">
    <w:name w:val="标题 2 字符"/>
    <w:link w:val="912"/>
    <w:qFormat/>
    <w:rPr>
      <w:rFonts w:ascii="Arial" w:hAnsi="Arial" w:eastAsia="幼圆" w:cs="Arial"/>
      <w:b/>
      <w:bCs/>
      <w:sz w:val="44"/>
      <w:szCs w:val="44"/>
    </w:rPr>
  </w:style>
  <w:style w:type="character" w:styleId="927" w:customStyle="1">
    <w:name w:val="标题 3 字符"/>
    <w:link w:val="913"/>
    <w:qFormat/>
    <w:rPr>
      <w:rFonts w:ascii="Times New Roman" w:hAnsi="Times New Roman" w:eastAsia="宋体" w:cs="Times New Roman"/>
      <w:b/>
      <w:bCs/>
      <w:sz w:val="32"/>
      <w:szCs w:val="32"/>
    </w:rPr>
  </w:style>
  <w:style w:type="character" w:styleId="928" w:customStyle="1">
    <w:name w:val="正文缩进 字符"/>
    <w:link w:val="914"/>
    <w:qFormat/>
    <w:rPr>
      <w:szCs w:val="21"/>
    </w:rPr>
  </w:style>
  <w:style w:type="character" w:styleId="929" w:customStyle="1">
    <w:name w:val="标题 4 字符"/>
    <w:link w:val="915"/>
    <w:qFormat/>
    <w:rPr>
      <w:rFonts w:ascii="Arial" w:hAnsi="Arial" w:eastAsia="黑体" w:cs="Arial"/>
      <w:b/>
      <w:bCs/>
      <w:sz w:val="28"/>
      <w:szCs w:val="28"/>
    </w:rPr>
  </w:style>
  <w:style w:type="character" w:styleId="930" w:customStyle="1">
    <w:name w:val="标题 5 字符"/>
    <w:link w:val="916"/>
    <w:qFormat/>
    <w:rPr>
      <w:rFonts w:ascii="宋体" w:hAnsi="Times New Roman" w:eastAsia="宋体" w:cs="Times New Roman"/>
      <w:color w:val="000000"/>
      <w:sz w:val="28"/>
      <w:szCs w:val="28"/>
    </w:rPr>
  </w:style>
  <w:style w:type="character" w:styleId="931" w:customStyle="1">
    <w:name w:val="标题 6 字符"/>
    <w:link w:val="917"/>
    <w:qFormat/>
    <w:rPr>
      <w:rFonts w:ascii="Arial" w:hAnsi="Arial" w:eastAsia="黑体" w:cs="Times New Roman"/>
      <w:b/>
      <w:bCs/>
      <w:sz w:val="24"/>
      <w:szCs w:val="24"/>
    </w:rPr>
  </w:style>
  <w:style w:type="character" w:styleId="932" w:customStyle="1">
    <w:name w:val="标题 7 字符"/>
    <w:link w:val="918"/>
    <w:qFormat/>
    <w:rPr>
      <w:rFonts w:ascii="Times New Roman" w:hAnsi="Times New Roman" w:eastAsia="宋体" w:cs="Times New Roman"/>
      <w:b/>
      <w:bCs/>
      <w:sz w:val="24"/>
      <w:szCs w:val="24"/>
    </w:rPr>
  </w:style>
  <w:style w:type="character" w:styleId="933" w:customStyle="1">
    <w:name w:val="标题 8 字符"/>
    <w:link w:val="919"/>
    <w:qFormat/>
    <w:rPr>
      <w:rFonts w:ascii="Arial" w:hAnsi="Arial" w:eastAsia="黑体" w:cs="Times New Roman"/>
      <w:sz w:val="24"/>
      <w:szCs w:val="24"/>
    </w:rPr>
  </w:style>
  <w:style w:type="character" w:styleId="934" w:customStyle="1">
    <w:name w:val="标题 9 字符"/>
    <w:link w:val="920"/>
    <w:qFormat/>
    <w:rPr>
      <w:rFonts w:ascii="Arial" w:hAnsi="Arial" w:eastAsia="黑体" w:cs="Times New Roman"/>
      <w:szCs w:val="21"/>
    </w:rPr>
  </w:style>
  <w:style w:type="paragraph" w:styleId="935" w:customStyle="1">
    <w:name w:val="列表 31"/>
    <w:basedOn w:val="726"/>
    <w:qFormat/>
    <w:pPr>
      <w:ind w:left="100" w:hanging="200"/>
    </w:pPr>
    <w:rPr>
      <w:rFonts w:ascii="Times New Roman" w:hAnsi="Times New Roman"/>
      <w:szCs w:val="21"/>
    </w:rPr>
  </w:style>
  <w:style w:type="paragraph" w:styleId="936" w:customStyle="1">
    <w:name w:val="文档结构图1"/>
    <w:basedOn w:val="726"/>
    <w:link w:val="937"/>
    <w:semiHidden/>
    <w:qFormat/>
    <w:pPr>
      <w:shd w:val="clear" w:color="auto" w:fill="000080"/>
    </w:pPr>
    <w:rPr>
      <w:rFonts w:ascii="Times New Roman" w:hAnsi="Times New Roman"/>
      <w:szCs w:val="21"/>
    </w:rPr>
  </w:style>
  <w:style w:type="character" w:styleId="937" w:customStyle="1">
    <w:name w:val="文档结构图 字符"/>
    <w:link w:val="936"/>
    <w:semiHidden/>
    <w:qFormat/>
    <w:rPr>
      <w:rFonts w:ascii="Times New Roman" w:hAnsi="Times New Roman" w:eastAsia="宋体" w:cs="Times New Roman"/>
      <w:szCs w:val="21"/>
      <w:shd w:val="clear" w:color="auto" w:fill="000080"/>
    </w:rPr>
  </w:style>
  <w:style w:type="paragraph" w:styleId="938" w:customStyle="1">
    <w:name w:val="批注文字1"/>
    <w:basedOn w:val="726"/>
    <w:link w:val="939"/>
    <w:unhideWhenUsed/>
    <w:qFormat/>
    <w:pPr>
      <w:jc w:val="left"/>
    </w:pPr>
  </w:style>
  <w:style w:type="character" w:styleId="939" w:customStyle="1">
    <w:name w:val="批注文字 字符"/>
    <w:link w:val="938"/>
    <w:uiPriority w:val="99"/>
    <w:semiHidden/>
    <w:qFormat/>
  </w:style>
  <w:style w:type="paragraph" w:styleId="940" w:customStyle="1">
    <w:name w:val="正文文本 31"/>
    <w:basedOn w:val="726"/>
    <w:link w:val="941"/>
    <w:qFormat/>
    <w:rPr>
      <w:rFonts w:ascii="仿宋_GB2312" w:hAnsi="Arial" w:eastAsia="仿宋_GB2312"/>
      <w:sz w:val="32"/>
      <w:szCs w:val="32"/>
    </w:rPr>
  </w:style>
  <w:style w:type="character" w:styleId="941" w:customStyle="1">
    <w:name w:val="正文文本 3 字符"/>
    <w:link w:val="940"/>
    <w:qFormat/>
    <w:rPr>
      <w:rFonts w:ascii="仿宋_GB2312" w:hAnsi="Arial" w:eastAsia="仿宋_GB2312" w:cs="Times New Roman"/>
      <w:sz w:val="32"/>
      <w:szCs w:val="32"/>
    </w:rPr>
  </w:style>
  <w:style w:type="paragraph" w:styleId="942" w:customStyle="1">
    <w:name w:val="正文文本1"/>
    <w:basedOn w:val="726"/>
    <w:link w:val="943"/>
    <w:qFormat/>
    <w:rPr>
      <w:rFonts w:ascii="楷体_GB2312" w:hAnsi="Arial" w:eastAsia="楷体_GB2312"/>
      <w:sz w:val="28"/>
      <w:szCs w:val="28"/>
    </w:rPr>
  </w:style>
  <w:style w:type="character" w:styleId="943" w:customStyle="1">
    <w:name w:val="正文文本 字符"/>
    <w:link w:val="942"/>
    <w:qFormat/>
    <w:rPr>
      <w:rFonts w:ascii="楷体_GB2312" w:hAnsi="Arial" w:eastAsia="楷体_GB2312" w:cs="Times New Roman"/>
      <w:sz w:val="28"/>
      <w:szCs w:val="28"/>
    </w:rPr>
  </w:style>
  <w:style w:type="paragraph" w:styleId="944" w:customStyle="1">
    <w:name w:val="列表 21"/>
    <w:basedOn w:val="726"/>
    <w:qFormat/>
    <w:pPr>
      <w:ind w:left="100" w:hanging="200"/>
    </w:pPr>
    <w:rPr>
      <w:rFonts w:ascii="Times New Roman" w:hAnsi="Times New Roman"/>
      <w:szCs w:val="21"/>
    </w:rPr>
  </w:style>
  <w:style w:type="paragraph" w:styleId="945" w:customStyle="1">
    <w:name w:val="纯文本1"/>
    <w:basedOn w:val="726"/>
    <w:link w:val="946"/>
    <w:qFormat/>
    <w:rPr>
      <w:rFonts w:ascii="宋体" w:hAnsi="Courier New" w:cs="Courier New"/>
      <w:szCs w:val="21"/>
    </w:rPr>
  </w:style>
  <w:style w:type="character" w:styleId="946" w:customStyle="1">
    <w:name w:val="纯文本 字符"/>
    <w:link w:val="945"/>
    <w:qFormat/>
    <w:rPr>
      <w:rFonts w:ascii="宋体" w:hAnsi="Courier New" w:eastAsia="宋体" w:cs="Courier New"/>
      <w:szCs w:val="21"/>
    </w:rPr>
  </w:style>
  <w:style w:type="paragraph" w:styleId="947" w:customStyle="1">
    <w:name w:val="日期1"/>
    <w:basedOn w:val="726"/>
    <w:next w:val="726"/>
    <w:link w:val="948"/>
    <w:qFormat/>
    <w:rPr>
      <w:rFonts w:ascii="Times New Roman" w:hAnsi="Times New Roman"/>
      <w:sz w:val="24"/>
      <w:szCs w:val="24"/>
    </w:rPr>
  </w:style>
  <w:style w:type="character" w:styleId="948" w:customStyle="1">
    <w:name w:val="日期 字符"/>
    <w:link w:val="947"/>
    <w:qFormat/>
    <w:rPr>
      <w:rFonts w:ascii="Times New Roman" w:hAnsi="Times New Roman" w:eastAsia="宋体" w:cs="Times New Roman"/>
      <w:sz w:val="24"/>
      <w:szCs w:val="24"/>
    </w:rPr>
  </w:style>
  <w:style w:type="paragraph" w:styleId="949" w:customStyle="1">
    <w:name w:val="正文文本缩进 21"/>
    <w:basedOn w:val="726"/>
    <w:link w:val="950"/>
    <w:qFormat/>
    <w:pPr>
      <w:ind w:left="630" w:firstLine="645"/>
    </w:pPr>
    <w:rPr>
      <w:rFonts w:ascii="Arial" w:hAnsi="Arial" w:eastAsia="仿宋_GB2312" w:cs="Arial"/>
      <w:sz w:val="32"/>
      <w:szCs w:val="32"/>
    </w:rPr>
  </w:style>
  <w:style w:type="character" w:styleId="950" w:customStyle="1">
    <w:name w:val="正文文本缩进 2 字符"/>
    <w:link w:val="949"/>
    <w:qFormat/>
    <w:rPr>
      <w:rFonts w:ascii="Arial" w:hAnsi="Arial" w:eastAsia="仿宋_GB2312" w:cs="Arial"/>
      <w:sz w:val="32"/>
      <w:szCs w:val="32"/>
    </w:rPr>
  </w:style>
  <w:style w:type="paragraph" w:styleId="951" w:customStyle="1">
    <w:name w:val="批注框文本1"/>
    <w:basedOn w:val="726"/>
    <w:link w:val="952"/>
    <w:semiHidden/>
    <w:qFormat/>
    <w:rPr>
      <w:rFonts w:ascii="Times New Roman" w:hAnsi="Times New Roman"/>
      <w:sz w:val="18"/>
      <w:szCs w:val="18"/>
    </w:rPr>
  </w:style>
  <w:style w:type="character" w:styleId="952" w:customStyle="1">
    <w:name w:val="批注框文本 字符"/>
    <w:link w:val="951"/>
    <w:semiHidden/>
    <w:qFormat/>
    <w:rPr>
      <w:rFonts w:ascii="Times New Roman" w:hAnsi="Times New Roman" w:eastAsia="宋体" w:cs="Times New Roman"/>
      <w:sz w:val="18"/>
      <w:szCs w:val="18"/>
    </w:rPr>
  </w:style>
  <w:style w:type="paragraph" w:styleId="953" w:customStyle="1">
    <w:name w:val="页脚1"/>
    <w:basedOn w:val="726"/>
    <w:link w:val="954"/>
    <w:qFormat/>
    <w:pPr>
      <w:jc w:val="left"/>
      <w:tabs>
        <w:tab w:val="center" w:pos="4153" w:leader="none"/>
        <w:tab w:val="right" w:pos="8306" w:leader="none"/>
      </w:tabs>
    </w:pPr>
    <w:rPr>
      <w:rFonts w:ascii="Times New Roman" w:hAnsi="Times New Roman"/>
      <w:sz w:val="18"/>
      <w:szCs w:val="18"/>
    </w:rPr>
  </w:style>
  <w:style w:type="character" w:styleId="954" w:customStyle="1">
    <w:name w:val="页脚 字符"/>
    <w:link w:val="953"/>
    <w:qFormat/>
    <w:rPr>
      <w:rFonts w:ascii="Times New Roman" w:hAnsi="Times New Roman" w:eastAsia="宋体" w:cs="Times New Roman"/>
      <w:sz w:val="18"/>
      <w:szCs w:val="18"/>
    </w:rPr>
  </w:style>
  <w:style w:type="paragraph" w:styleId="955" w:customStyle="1">
    <w:name w:val="页眉1"/>
    <w:basedOn w:val="726"/>
    <w:link w:val="956"/>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6" w:customStyle="1">
    <w:name w:val="页眉 字符"/>
    <w:link w:val="955"/>
    <w:qFormat/>
    <w:rPr>
      <w:rFonts w:ascii="Times New Roman" w:hAnsi="Times New Roman" w:eastAsia="宋体" w:cs="Times New Roman"/>
      <w:sz w:val="18"/>
      <w:szCs w:val="18"/>
    </w:rPr>
  </w:style>
  <w:style w:type="paragraph" w:styleId="957" w:customStyle="1">
    <w:name w:val="列表1"/>
    <w:basedOn w:val="726"/>
    <w:qFormat/>
    <w:pPr>
      <w:ind w:left="200" w:hanging="200"/>
    </w:pPr>
    <w:rPr>
      <w:rFonts w:ascii="Times New Roman" w:hAnsi="Times New Roman"/>
      <w:szCs w:val="21"/>
    </w:rPr>
  </w:style>
  <w:style w:type="paragraph" w:styleId="958" w:customStyle="1">
    <w:name w:val="正文文本缩进 31"/>
    <w:basedOn w:val="726"/>
    <w:link w:val="959"/>
    <w:qFormat/>
    <w:pPr>
      <w:ind w:left="645" w:firstLine="645"/>
    </w:pPr>
    <w:rPr>
      <w:rFonts w:ascii="Arial" w:hAnsi="Arial" w:eastAsia="仿宋_GB2312" w:cs="Arial"/>
      <w:color w:val="ffff00"/>
      <w:sz w:val="32"/>
      <w:szCs w:val="32"/>
    </w:rPr>
  </w:style>
  <w:style w:type="character" w:styleId="959" w:customStyle="1">
    <w:name w:val="正文文本缩进 3 字符"/>
    <w:link w:val="958"/>
    <w:qFormat/>
    <w:rPr>
      <w:rFonts w:ascii="Arial" w:hAnsi="Arial" w:eastAsia="仿宋_GB2312" w:cs="Arial"/>
      <w:color w:val="ffff00"/>
      <w:sz w:val="32"/>
      <w:szCs w:val="32"/>
    </w:rPr>
  </w:style>
  <w:style w:type="paragraph" w:styleId="960" w:customStyle="1">
    <w:name w:val="图表目录1"/>
    <w:basedOn w:val="726"/>
    <w:next w:val="726"/>
    <w:semiHidden/>
    <w:qFormat/>
    <w:pPr>
      <w:ind w:left="840" w:hanging="420"/>
    </w:pPr>
    <w:rPr>
      <w:rFonts w:ascii="Times New Roman" w:hAnsi="Times New Roman"/>
      <w:szCs w:val="21"/>
    </w:rPr>
  </w:style>
  <w:style w:type="paragraph" w:styleId="961" w:customStyle="1">
    <w:name w:val="正文文本 21"/>
    <w:basedOn w:val="726"/>
    <w:link w:val="962"/>
    <w:qFormat/>
    <w:pPr>
      <w:jc w:val="center"/>
      <w:widowControl/>
    </w:pPr>
    <w:rPr>
      <w:rFonts w:ascii="楷体_GB2312" w:hAnsi="Times New Roman" w:eastAsia="楷体_GB2312"/>
      <w:sz w:val="28"/>
      <w:szCs w:val="28"/>
    </w:rPr>
  </w:style>
  <w:style w:type="character" w:styleId="962" w:customStyle="1">
    <w:name w:val="正文文本 2 字符"/>
    <w:link w:val="961"/>
    <w:qFormat/>
    <w:rPr>
      <w:rFonts w:ascii="楷体_GB2312" w:hAnsi="Times New Roman" w:eastAsia="楷体_GB2312" w:cs="Times New Roman"/>
      <w:sz w:val="28"/>
      <w:szCs w:val="28"/>
    </w:rPr>
  </w:style>
  <w:style w:type="paragraph" w:styleId="963" w:customStyle="1">
    <w:name w:val="普通(网站)1"/>
    <w:basedOn w:val="726"/>
    <w:uiPriority w:val="99"/>
    <w:qFormat/>
    <w:pPr>
      <w:jc w:val="left"/>
      <w:spacing w:before="100" w:beforeAutospacing="1" w:after="100" w:afterAutospacing="1"/>
      <w:widowControl/>
    </w:pPr>
    <w:rPr>
      <w:rFonts w:ascii="宋体" w:hAnsi="宋体" w:cs="宋体"/>
      <w:sz w:val="24"/>
      <w:szCs w:val="24"/>
    </w:rPr>
  </w:style>
  <w:style w:type="paragraph" w:styleId="964" w:customStyle="1">
    <w:name w:val="索引 11"/>
    <w:basedOn w:val="726"/>
    <w:next w:val="726"/>
    <w:semiHidden/>
    <w:qFormat/>
    <w:pPr>
      <w:spacing w:line="240" w:lineRule="atLeast"/>
    </w:pPr>
    <w:rPr>
      <w:rFonts w:ascii="Times New Roman" w:hAnsi="Times New Roman"/>
      <w:b/>
      <w:bCs/>
      <w:szCs w:val="21"/>
    </w:rPr>
  </w:style>
  <w:style w:type="paragraph" w:styleId="965" w:customStyle="1">
    <w:name w:val="批注主题1"/>
    <w:basedOn w:val="938"/>
    <w:next w:val="938"/>
    <w:link w:val="966"/>
    <w:semiHidden/>
    <w:qFormat/>
    <w:rPr>
      <w:rFonts w:ascii="Times New Roman" w:hAnsi="Times New Roman"/>
      <w:b/>
      <w:bCs/>
      <w:szCs w:val="21"/>
    </w:rPr>
  </w:style>
  <w:style w:type="character" w:styleId="966" w:customStyle="1">
    <w:name w:val="批注主题 字符"/>
    <w:link w:val="965"/>
    <w:semiHidden/>
    <w:qFormat/>
    <w:rPr>
      <w:rFonts w:ascii="Times New Roman" w:hAnsi="Times New Roman" w:eastAsia="宋体" w:cs="Times New Roman"/>
      <w:b/>
      <w:bCs/>
      <w:szCs w:val="21"/>
    </w:rPr>
  </w:style>
  <w:style w:type="paragraph" w:styleId="967" w:customStyle="1">
    <w:name w:val="正文文本首行缩进1"/>
    <w:basedOn w:val="726"/>
    <w:link w:val="968"/>
    <w:qFormat/>
    <w:pPr>
      <w:ind w:firstLine="200"/>
      <w:spacing w:line="360" w:lineRule="auto"/>
    </w:pPr>
    <w:rPr>
      <w:rFonts w:ascii="仿宋_GB2312" w:hAnsi="Times New Roman" w:eastAsia="仿宋_GB2312"/>
      <w:sz w:val="30"/>
      <w:szCs w:val="30"/>
    </w:rPr>
  </w:style>
  <w:style w:type="character" w:styleId="968" w:customStyle="1">
    <w:name w:val="正文文本首行缩进 字符"/>
    <w:link w:val="967"/>
    <w:qFormat/>
    <w:rPr>
      <w:rFonts w:ascii="仿宋_GB2312" w:hAnsi="Times New Roman" w:eastAsia="仿宋_GB2312" w:cs="Times New Roman"/>
      <w:sz w:val="30"/>
      <w:szCs w:val="30"/>
    </w:rPr>
  </w:style>
  <w:style w:type="table" w:styleId="969" w:customStyle="1">
    <w:name w:val="网格型11"/>
    <w:basedOn w:val="922"/>
    <w:qFormat/>
    <w:pPr>
      <w:jc w:val="both"/>
      <w:widowControl w:val="off"/>
    </w:pPr>
    <w:rPr>
      <w:rFonts w:ascii="Times New Roman" w:hAnsi="Times New Roman"/>
    </w:rPr>
    <w:tblPr>
      <w:tblCellMar>
        <w:left w:w="0" w:type="dxa"/>
        <w:top w:w="0" w:type="dxa"/>
        <w:right w:w="0" w:type="dxa"/>
        <w:bottom w:w="0" w:type="dxa"/>
      </w:tblCellMar>
    </w:tblPr>
  </w:style>
  <w:style w:type="character" w:styleId="970" w:customStyle="1">
    <w:name w:val="要点1"/>
    <w:qFormat/>
    <w:rPr>
      <w:b/>
      <w:bCs/>
    </w:rPr>
  </w:style>
  <w:style w:type="character" w:styleId="971" w:customStyle="1">
    <w:name w:val="页码1"/>
    <w:qFormat/>
  </w:style>
  <w:style w:type="character" w:styleId="972" w:customStyle="1">
    <w:name w:val="访问过的超链接1"/>
    <w:qFormat/>
    <w:rPr>
      <w:color w:val="800080"/>
      <w:u w:val="single"/>
    </w:rPr>
  </w:style>
  <w:style w:type="character" w:styleId="973" w:customStyle="1">
    <w:name w:val="强调1"/>
    <w:qFormat/>
    <w:rPr>
      <w:i/>
    </w:rPr>
  </w:style>
  <w:style w:type="character" w:styleId="974" w:customStyle="1">
    <w:name w:val="超链接1"/>
    <w:qFormat/>
    <w:rPr>
      <w:color w:val="0000ff"/>
      <w:u w:val="single"/>
    </w:rPr>
  </w:style>
  <w:style w:type="character" w:styleId="975" w:customStyle="1">
    <w:name w:val="批注引用1"/>
    <w:semiHidden/>
    <w:qFormat/>
    <w:rPr>
      <w:sz w:val="21"/>
      <w:szCs w:val="21"/>
    </w:rPr>
  </w:style>
  <w:style w:type="paragraph" w:styleId="976" w:customStyle="1">
    <w:name w:val="索引 41"/>
    <w:basedOn w:val="726"/>
    <w:next w:val="726"/>
    <w:semiHidden/>
    <w:qFormat/>
    <w:pPr>
      <w:ind w:left="1260"/>
    </w:pPr>
    <w:rPr>
      <w:rFonts w:eastAsia="Calibri" w:cs="宋体"/>
      <w:sz w:val="20"/>
      <w:lang w:val="zh-CN"/>
    </w:rPr>
  </w:style>
  <w:style w:type="character" w:styleId="977" w:customStyle="1">
    <w:name w:val="font5 Char"/>
    <w:qFormat/>
    <w:rPr>
      <w:rFonts w:ascii="宋体" w:hAnsi="宋体" w:eastAsia="宋体"/>
      <w:sz w:val="28"/>
      <w:szCs w:val="28"/>
      <w:lang w:val="en-US" w:eastAsia="zh-CN" w:bidi="ar-SA"/>
    </w:rPr>
  </w:style>
  <w:style w:type="character" w:styleId="978" w:customStyle="1">
    <w:name w:val="二级目录 Char"/>
    <w:link w:val="979"/>
    <w:qFormat/>
    <w:rPr>
      <w:b/>
      <w:sz w:val="30"/>
      <w:szCs w:val="28"/>
    </w:rPr>
  </w:style>
  <w:style w:type="paragraph" w:styleId="979" w:customStyle="1">
    <w:name w:val="二级目录"/>
    <w:next w:val="726"/>
    <w:link w:val="978"/>
    <w:qFormat/>
    <w:pPr>
      <w:ind w:left="907" w:hanging="907"/>
      <w:tabs>
        <w:tab w:val="left" w:pos="907" w:leader="none"/>
        <w:tab w:val="left" w:pos="1145" w:leader="none"/>
      </w:tabs>
      <w:outlineLvl w:val="1"/>
    </w:pPr>
    <w:rPr>
      <w:b/>
      <w:sz w:val="30"/>
      <w:szCs w:val="28"/>
    </w:rPr>
  </w:style>
  <w:style w:type="character" w:styleId="980" w:customStyle="1">
    <w:name w:val="列出段落 Char"/>
    <w:link w:val="981"/>
    <w:qFormat/>
    <w:rPr>
      <w:rFonts w:ascii="Calibri" w:hAnsi="Calibri"/>
      <w:sz w:val="24"/>
      <w:szCs w:val="24"/>
      <w:lang w:eastAsia="en-US" w:bidi="en-US"/>
    </w:rPr>
  </w:style>
  <w:style w:type="paragraph" w:styleId="981" w:customStyle="1">
    <w:name w:val="列出段落1"/>
    <w:basedOn w:val="726"/>
    <w:link w:val="980"/>
    <w:qFormat/>
    <w:pPr>
      <w:contextualSpacing/>
      <w:ind w:left="720"/>
      <w:jc w:val="left"/>
      <w:widowControl/>
    </w:pPr>
    <w:rPr>
      <w:sz w:val="24"/>
      <w:szCs w:val="24"/>
      <w:lang w:eastAsia="en-US" w:bidi="en-US"/>
    </w:rPr>
  </w:style>
  <w:style w:type="paragraph" w:styleId="982" w:customStyle="1">
    <w:name w:val="Body Text(ch)"/>
    <w:basedOn w:val="726"/>
    <w:next w:val="942"/>
    <w:qFormat/>
    <w:pPr>
      <w:spacing w:after="120"/>
    </w:pPr>
    <w:rPr>
      <w:rFonts w:ascii="宋体" w:hAnsi="Arial"/>
      <w:bCs/>
      <w:iCs/>
      <w:szCs w:val="24"/>
    </w:rPr>
  </w:style>
  <w:style w:type="paragraph" w:styleId="983" w:customStyle="1">
    <w:name w:val="xl27"/>
    <w:basedOn w:val="7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6"/>
    <w:basedOn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customStyle="1">
    <w:name w:val="Char"/>
    <w:basedOn w:val="726"/>
    <w:qFormat/>
    <w:pPr>
      <w:ind w:firstLine="200"/>
      <w:tabs>
        <w:tab w:val="left" w:pos="360" w:leader="none"/>
      </w:tabs>
    </w:pPr>
    <w:rPr>
      <w:rFonts w:ascii="Times New Roman" w:hAnsi="Times New Roman"/>
      <w:sz w:val="28"/>
      <w:szCs w:val="30"/>
    </w:rPr>
  </w:style>
  <w:style w:type="paragraph" w:styleId="986" w:customStyle="1">
    <w:name w:val="Char"/>
    <w:basedOn w:val="936"/>
    <w:qFormat/>
    <w:rPr>
      <w:rFonts w:ascii="Tahoma" w:hAnsi="Tahoma"/>
      <w:sz w:val="24"/>
      <w:szCs w:val="24"/>
    </w:rPr>
  </w:style>
  <w:style w:type="paragraph" w:styleId="987" w:customStyle="1">
    <w:name w:val="普通正文"/>
    <w:basedOn w:val="988"/>
    <w:qFormat/>
    <w:pPr>
      <w:ind w:firstLine="480"/>
      <w:spacing w:before="120" w:after="120" w:line="360" w:lineRule="auto"/>
    </w:pPr>
    <w:rPr>
      <w:rFonts w:ascii="Arial" w:hAnsi="Arial"/>
      <w:sz w:val="24"/>
      <w:szCs w:val="24"/>
    </w:rPr>
  </w:style>
  <w:style w:type="paragraph" w:styleId="988" w:customStyle="1">
    <w:name w:val="正文1"/>
    <w:qFormat/>
    <w:pPr>
      <w:spacing w:after="200" w:line="276" w:lineRule="auto"/>
    </w:pPr>
    <w:rPr>
      <w:sz w:val="22"/>
      <w:szCs w:val="22"/>
      <w:lang w:eastAsia="en-US"/>
    </w:rPr>
  </w:style>
  <w:style w:type="paragraph" w:styleId="989" w:customStyle="1">
    <w:name w:val="table_lines"/>
    <w:basedOn w:val="726"/>
    <w:qFormat/>
    <w:pPr>
      <w:jc w:val="left"/>
      <w:widowControl/>
    </w:pPr>
    <w:rPr>
      <w:rFonts w:ascii="Times New Roman" w:hAnsi="Times New Roman"/>
      <w:sz w:val="20"/>
      <w:szCs w:val="20"/>
      <w:lang w:val="de-DE" w:eastAsia="de-DE"/>
    </w:rPr>
  </w:style>
  <w:style w:type="paragraph" w:styleId="990" w:customStyle="1">
    <w:name w:val="附录1"/>
    <w:qFormat/>
    <w:pPr>
      <w:numPr>
        <w:numId w:val="2"/>
      </w:numPr>
      <w:spacing w:before="240" w:line="600" w:lineRule="atLeast"/>
    </w:pPr>
    <w:rPr>
      <w:rFonts w:ascii="Times New Roman" w:hAnsi="Times New Roman"/>
      <w:b/>
      <w:i/>
      <w:sz w:val="28"/>
    </w:rPr>
  </w:style>
  <w:style w:type="paragraph" w:styleId="991" w:customStyle="1">
    <w:name w:val="font7"/>
    <w:basedOn w:val="726"/>
    <w:qFormat/>
    <w:pPr>
      <w:jc w:val="left"/>
      <w:spacing w:before="100" w:beforeAutospacing="1" w:after="100" w:afterAutospacing="1"/>
      <w:widowControl/>
    </w:pPr>
    <w:rPr>
      <w:rFonts w:hint="eastAsia" w:ascii="宋体" w:hAnsi="宋体"/>
      <w:sz w:val="18"/>
      <w:szCs w:val="18"/>
    </w:rPr>
  </w:style>
  <w:style w:type="paragraph" w:styleId="992" w:customStyle="1">
    <w:name w:val="Char Char Char Char"/>
    <w:basedOn w:val="936"/>
    <w:qFormat/>
    <w:pPr>
      <w:spacing w:line="360" w:lineRule="auto"/>
    </w:pPr>
    <w:rPr>
      <w:rFonts w:ascii="Tahoma" w:hAnsi="Tahoma"/>
      <w:sz w:val="24"/>
      <w:szCs w:val="24"/>
    </w:rPr>
  </w:style>
  <w:style w:type="paragraph" w:styleId="993" w:customStyle="1">
    <w:name w:val="列表段落1"/>
    <w:basedOn w:val="726"/>
    <w:qFormat/>
    <w:pPr>
      <w:contextualSpacing/>
      <w:ind w:left="720"/>
      <w:jc w:val="left"/>
      <w:widowControl/>
    </w:pPr>
    <w:rPr>
      <w:sz w:val="24"/>
      <w:szCs w:val="24"/>
      <w:lang w:eastAsia="en-US" w:bidi="en-US"/>
    </w:rPr>
  </w:style>
  <w:style w:type="paragraph" w:styleId="994" w:customStyle="1">
    <w:name w:val="4"/>
    <w:basedOn w:val="726"/>
    <w:next w:val="958"/>
    <w:qFormat/>
    <w:pPr>
      <w:ind w:firstLine="420"/>
      <w:spacing w:line="360" w:lineRule="auto"/>
    </w:pPr>
    <w:rPr>
      <w:rFonts w:ascii="Times New Roman" w:hAnsi="Times New Roman"/>
      <w:color w:val="ff0000"/>
      <w:sz w:val="24"/>
      <w:szCs w:val="24"/>
    </w:rPr>
  </w:style>
  <w:style w:type="paragraph" w:styleId="995" w:customStyle="1">
    <w:name w:val="普通 (Web)"/>
    <w:basedOn w:val="726"/>
    <w:qFormat/>
    <w:pPr>
      <w:jc w:val="left"/>
      <w:spacing w:before="100" w:beforeAutospacing="1" w:after="100" w:afterAutospacing="1"/>
      <w:widowControl/>
    </w:pPr>
    <w:rPr>
      <w:rFonts w:ascii="宋体" w:hAnsi="宋体"/>
      <w:sz w:val="24"/>
      <w:szCs w:val="24"/>
    </w:rPr>
  </w:style>
  <w:style w:type="paragraph" w:styleId="996" w:customStyle="1">
    <w:name w:val="Char Char Char Char Char Char Char Char Char Char"/>
    <w:basedOn w:val="726"/>
    <w:qFormat/>
    <w:pPr>
      <w:spacing w:line="360" w:lineRule="auto"/>
    </w:pPr>
    <w:rPr>
      <w:rFonts w:ascii="Times New Roman" w:hAnsi="Times New Roman"/>
      <w:sz w:val="24"/>
      <w:szCs w:val="20"/>
    </w:rPr>
  </w:style>
  <w:style w:type="paragraph" w:styleId="997" w:customStyle="1">
    <w:name w:val="样式1"/>
    <w:basedOn w:val="726"/>
    <w:qFormat/>
    <w:pPr>
      <w:numPr>
        <w:numId w:val="3"/>
      </w:numPr>
    </w:pPr>
    <w:rPr>
      <w:rFonts w:ascii="宋体" w:hAnsi="宋体"/>
      <w:szCs w:val="21"/>
    </w:rPr>
  </w:style>
  <w:style w:type="paragraph" w:styleId="998" w:customStyle="1">
    <w:name w:val="font6"/>
    <w:basedOn w:val="726"/>
    <w:qFormat/>
    <w:pPr>
      <w:jc w:val="left"/>
      <w:spacing w:before="100" w:beforeAutospacing="1" w:after="100" w:afterAutospacing="1"/>
      <w:widowControl/>
    </w:pPr>
    <w:rPr>
      <w:rFonts w:hint="eastAsia" w:ascii="宋体" w:hAnsi="宋体"/>
      <w:sz w:val="28"/>
      <w:szCs w:val="28"/>
      <w:u w:val="single"/>
    </w:rPr>
  </w:style>
  <w:style w:type="paragraph" w:styleId="999" w:customStyle="1">
    <w:name w:val="xl25"/>
    <w:basedOn w:val="72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customStyle="1">
    <w:name w:val="图标"/>
    <w:basedOn w:val="726"/>
    <w:next w:val="726"/>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1" w:customStyle="1">
    <w:name w:val="标题3"/>
    <w:basedOn w:val="726"/>
    <w:next w:val="726"/>
    <w:qFormat/>
    <w:pPr>
      <w:ind w:firstLine="624"/>
      <w:spacing w:line="590" w:lineRule="atLeast"/>
    </w:pPr>
    <w:rPr>
      <w:rFonts w:ascii="方正黑体_GBK" w:hAnsi="Times New Roman" w:eastAsia="方正黑体_GBK"/>
      <w:sz w:val="32"/>
      <w:szCs w:val="32"/>
    </w:rPr>
  </w:style>
  <w:style w:type="paragraph" w:styleId="1002" w:customStyle="1">
    <w:name w:val="xl24"/>
    <w:basedOn w:val="7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xl29"/>
    <w:basedOn w:val="72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4" w:customStyle="1">
    <w:name w:val="Char Char Char Char Char Char Char Char"/>
    <w:basedOn w:val="726"/>
    <w:qFormat/>
    <w:pPr>
      <w:jc w:val="left"/>
      <w:spacing w:after="160" w:line="240" w:lineRule="exact"/>
      <w:widowControl/>
    </w:pPr>
    <w:rPr>
      <w:rFonts w:ascii="Verdana" w:hAnsi="Verdana"/>
      <w:sz w:val="20"/>
      <w:szCs w:val="20"/>
      <w:lang w:eastAsia="en-US"/>
    </w:rPr>
  </w:style>
  <w:style w:type="paragraph" w:styleId="1005" w:customStyle="1">
    <w:name w:val="xl28"/>
    <w:basedOn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6" w:customStyle="1">
    <w:name w:val="Char Char Char Char Char Char Char Char"/>
    <w:basedOn w:val="726"/>
    <w:qFormat/>
    <w:pPr>
      <w:jc w:val="left"/>
      <w:spacing w:after="160" w:line="240" w:lineRule="exact"/>
      <w:widowControl/>
    </w:pPr>
    <w:rPr>
      <w:rFonts w:ascii="Verdana" w:hAnsi="Verdana"/>
      <w:sz w:val="20"/>
      <w:szCs w:val="20"/>
      <w:lang w:eastAsia="en-US"/>
    </w:rPr>
  </w:style>
  <w:style w:type="paragraph" w:styleId="1007" w:customStyle="1">
    <w:name w:val="xl30"/>
    <w:basedOn w:val="726"/>
    <w:qFormat/>
    <w:pPr>
      <w:jc w:val="center"/>
      <w:spacing w:before="100" w:beforeAutospacing="1" w:after="100" w:afterAutospacing="1"/>
      <w:widowControl/>
    </w:pPr>
    <w:rPr>
      <w:rFonts w:ascii="宋体" w:hAnsi="宋体"/>
      <w:b/>
      <w:bCs/>
      <w:sz w:val="36"/>
      <w:szCs w:val="36"/>
    </w:rPr>
  </w:style>
  <w:style w:type="paragraph" w:styleId="1008" w:customStyle="1">
    <w:name w:val="Char Char Char Char"/>
    <w:basedOn w:val="936"/>
    <w:qFormat/>
    <w:pPr>
      <w:spacing w:line="360" w:lineRule="auto"/>
    </w:pPr>
    <w:rPr>
      <w:rFonts w:ascii="Tahoma" w:hAnsi="Tahoma"/>
      <w:sz w:val="24"/>
      <w:szCs w:val="24"/>
    </w:rPr>
  </w:style>
  <w:style w:type="paragraph" w:styleId="1009" w:customStyle="1">
    <w:name w:val="table_1stline"/>
    <w:basedOn w:val="726"/>
    <w:qFormat/>
    <w:pPr>
      <w:jc w:val="left"/>
      <w:spacing w:before="120"/>
      <w:widowControl/>
    </w:pPr>
    <w:rPr>
      <w:rFonts w:ascii="Times New Roman" w:hAnsi="Times New Roman"/>
      <w:bCs/>
      <w:sz w:val="20"/>
      <w:szCs w:val="20"/>
      <w:lang w:val="de-DE" w:eastAsia="de-DE"/>
    </w:rPr>
  </w:style>
  <w:style w:type="paragraph" w:styleId="1010" w:customStyle="1">
    <w:name w:val="font5"/>
    <w:basedOn w:val="726"/>
    <w:qFormat/>
    <w:pPr>
      <w:jc w:val="left"/>
      <w:spacing w:before="100" w:beforeAutospacing="1" w:after="100" w:afterAutospacing="1"/>
      <w:widowControl/>
    </w:pPr>
    <w:rPr>
      <w:rFonts w:hint="eastAsia" w:ascii="宋体" w:hAnsi="宋体"/>
      <w:sz w:val="28"/>
      <w:szCs w:val="28"/>
    </w:rPr>
  </w:style>
  <w:style w:type="paragraph" w:styleId="1011" w:customStyle="1">
    <w:name w:val="标题1"/>
    <w:basedOn w:val="726"/>
    <w:next w:val="726"/>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12" w:customStyle="1">
    <w:name w:val="修订1"/>
    <w:uiPriority w:val="99"/>
    <w:semiHidden/>
    <w:qFormat/>
    <w:rPr>
      <w:rFonts w:ascii="Times New Roman" w:hAnsi="Times New Roman"/>
      <w:sz w:val="21"/>
      <w:szCs w:val="21"/>
    </w:rPr>
  </w:style>
  <w:style w:type="paragraph" w:styleId="1013" w:customStyle="1">
    <w:name w:val="无间隔1"/>
    <w:uiPriority w:val="99"/>
    <w:qFormat/>
    <w:pPr>
      <w:jc w:val="both"/>
      <w:widowControl w:val="off"/>
    </w:pPr>
    <w:rPr>
      <w:rFonts w:ascii="Times New Roman" w:hAnsi="Times New Roman"/>
      <w:sz w:val="21"/>
      <w:szCs w:val="21"/>
    </w:rPr>
  </w:style>
  <w:style w:type="table" w:styleId="1014" w:customStyle="1">
    <w:name w:val="Table Normal"/>
    <w:qFormat/>
    <w:tblPr>
      <w:tblCellMar>
        <w:left w:w="0" w:type="dxa"/>
        <w:top w:w="0" w:type="dxa"/>
        <w:right w:w="0" w:type="dxa"/>
        <w:bottom w:w="0" w:type="dxa"/>
      </w:tblCellMar>
    </w:tblPr>
  </w:style>
  <w:style w:type="paragraph" w:styleId="1015" w:customStyle="1">
    <w:name w:val="正文文本 211"/>
    <w:basedOn w:val="726"/>
    <w:uiPriority w:val="99"/>
    <w:qFormat/>
    <w:pPr>
      <w:jc w:val="center"/>
    </w:pPr>
    <w:rPr>
      <w:b/>
      <w:bCs/>
      <w:sz w:val="20"/>
      <w:szCs w:val="20"/>
    </w:rPr>
  </w:style>
  <w:style w:type="paragraph" w:styleId="1016" w:customStyle="1">
    <w:name w:val="正文文本12"/>
    <w:basedOn w:val="726"/>
    <w:uiPriority w:val="1"/>
    <w:qFormat/>
    <w:pPr>
      <w:ind w:left="120"/>
    </w:pPr>
    <w:rPr>
      <w:rFonts w:ascii="宋体" w:hAnsi="宋体" w:cs="宋体"/>
      <w:szCs w:val="21"/>
      <w:lang w:val="zh-CN" w:bidi="zh-CN"/>
    </w:rPr>
  </w:style>
  <w:style w:type="table" w:styleId="1017" w:customStyle="1">
    <w:name w:val="网格型1"/>
    <w:basedOn w:val="1018"/>
    <w:qFormat/>
    <w:pPr>
      <w:jc w:val="both"/>
      <w:widowControl w:val="off"/>
    </w:pPr>
    <w:tblPr>
      <w:tblCellMar>
        <w:left w:w="0" w:type="dxa"/>
        <w:top w:w="0" w:type="dxa"/>
        <w:right w:w="0" w:type="dxa"/>
        <w:bottom w:w="0" w:type="dxa"/>
      </w:tblCellMar>
    </w:tblPr>
  </w:style>
  <w:style w:type="table" w:styleId="1018" w:customStyle="1">
    <w:name w:val="普通表格1"/>
    <w:uiPriority w:val="99"/>
    <w:unhideWhenUsed/>
    <w:qFormat/>
    <w:tblPr>
      <w:tblCellMar>
        <w:left w:w="0" w:type="dxa"/>
        <w:top w:w="0" w:type="dxa"/>
        <w:right w:w="0" w:type="dxa"/>
        <w:bottom w:w="0" w:type="dxa"/>
      </w:tblCellMar>
    </w:tblPr>
  </w:style>
  <w:style w:type="paragraph" w:styleId="1019" w:customStyle="1">
    <w:name w:val="正文首行缩进 211"/>
    <w:basedOn w:val="1020"/>
    <w:next w:val="726"/>
    <w:qFormat/>
    <w:pPr>
      <w:ind w:left="0" w:firstLine="420"/>
      <w:spacing w:after="0" w:line="360" w:lineRule="auto"/>
    </w:pPr>
    <w:rPr>
      <w:rFonts w:ascii="宋体" w:hAnsi="宋体"/>
      <w:szCs w:val="20"/>
    </w:rPr>
  </w:style>
  <w:style w:type="paragraph" w:styleId="1020" w:customStyle="1">
    <w:name w:val="正文文本缩进11"/>
    <w:basedOn w:val="726"/>
    <w:next w:val="1021"/>
    <w:unhideWhenUsed/>
    <w:qFormat/>
    <w:pPr>
      <w:ind w:left="420"/>
      <w:spacing w:after="120"/>
    </w:pPr>
  </w:style>
  <w:style w:type="paragraph" w:styleId="1021" w:customStyle="1">
    <w:name w:val="寄信人地址1"/>
    <w:basedOn w:val="726"/>
    <w:qFormat/>
    <w:rPr>
      <w:rFonts w:ascii="Arial" w:hAnsi="Arial" w:cs="宋体"/>
    </w:rPr>
  </w:style>
  <w:style w:type="paragraph" w:styleId="1022">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8</cp:revision>
  <dcterms:created xsi:type="dcterms:W3CDTF">2023-03-27T07:28:00Z</dcterms:created>
  <dcterms:modified xsi:type="dcterms:W3CDTF">2026-06-22T06:14:45Z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eyJoZGlkIjoiMDQxNDNlNDc0ODU3ZDk0ZmUyNjJiZWNjMmQxZjJhYmUiLCJ1c2VySWQiOiI0ODM0NDI3OTQifQ==</vt:lpwstr>
  </property>
  <property fmtid="{D5CDD505-2E9C-101B-9397-08002B2CF9AE}" pid="3" name="KSOProductBuildVer">
    <vt:lpwstr>2052-12.1.0.26895</vt:lpwstr>
  </property>
  <property fmtid="{D5CDD505-2E9C-101B-9397-08002B2CF9AE}" pid="4" name="ICV">
    <vt:lpwstr>E810CDB425ED40B294F1F2FFF2572ED5_13</vt:lpwstr>
  </property>
</Properties>
</file>