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江宁区疾病预防控制中心全自动微生物质谱检测仪等仪器设备采购项目</w:t>
      </w:r>
      <w:r/>
    </w:p>
    <w:p>
      <w:pPr>
        <w:pStyle w:val="68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1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5"/>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JSZC-320115-DJGS-G2026-0006</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南京市江宁区疾病预防控制中心</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5"/>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江宁区疾病预防控制中心全自动微生物质谱检测仪等仪器设备采购项目</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JSZC-320115-DJGS-G2026-0006</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江宁区疾病预防控制中心全自动微生物质谱检测仪等仪器设备采购项目</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170.5</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165万元，其中</w:t>
      </w:r>
      <w:r>
        <w:rPr>
          <w:rFonts w:hint="eastAsia" w:ascii="宋体" w:hAnsi="宋体" w:eastAsia="宋体" w:cs="宋体"/>
          <w:color w:val="000000" w:themeColor="text1"/>
          <w:highlight w:val="none"/>
          <w14:textFill>
            <w14:solidFill>
              <w14:schemeClr w14:val="tx1"/>
            </w14:solidFill>
          </w14:textFill>
        </w:rPr>
        <w:t xml:space="preserve">采购包1最高限价：</w:t>
      </w:r>
      <w:r>
        <w:rPr>
          <w:rFonts w:hint="eastAsia" w:ascii="宋体" w:hAnsi="宋体" w:cs="宋体"/>
          <w:color w:val="000000" w:themeColor="text1"/>
          <w:highlight w:val="none"/>
          <w:lang w:val="en-US" w:eastAsia="zh-CN"/>
          <w14:textFill>
            <w14:solidFill>
              <w14:schemeClr w14:val="tx1"/>
            </w14:solidFill>
          </w14:textFill>
        </w:rPr>
        <w:t xml:space="preserve">138</w:t>
      </w:r>
      <w:r>
        <w:rPr>
          <w:rFonts w:hint="eastAsia" w:ascii="宋体" w:hAnsi="宋体" w:eastAsia="宋体" w:cs="宋体"/>
          <w:color w:val="000000" w:themeColor="text1"/>
          <w:highlight w:val="none"/>
          <w14:textFill>
            <w14:solidFill>
              <w14:schemeClr w14:val="tx1"/>
            </w14:solidFill>
          </w14:textFill>
        </w:rPr>
        <w:t xml:space="preserve">万元；采购包2最高限价：</w:t>
      </w:r>
      <w:r>
        <w:rPr>
          <w:rFonts w:hint="eastAsia" w:ascii="宋体" w:hAnsi="宋体" w:cs="宋体"/>
          <w:color w:val="000000" w:themeColor="text1"/>
          <w:highlight w:val="none"/>
          <w:lang w:val="en-US" w:eastAsia="zh-CN"/>
          <w14:textFill>
            <w14:solidFill>
              <w14:schemeClr w14:val="tx1"/>
            </w14:solidFill>
          </w14:textFill>
        </w:rPr>
        <w:t xml:space="preserve">27</w:t>
      </w:r>
      <w:r>
        <w:rPr>
          <w:rFonts w:hint="eastAsia" w:ascii="宋体" w:hAnsi="宋体" w:eastAsia="宋体" w:cs="宋体"/>
          <w:color w:val="000000" w:themeColor="text1"/>
          <w:highlight w:val="none"/>
          <w14:textFill>
            <w14:solidFill>
              <w14:schemeClr w14:val="tx1"/>
            </w14:solidFill>
          </w14:textFill>
        </w:rPr>
        <w:t xml:space="preserve">万元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948" w:type="pct"/>
        <w:jc w:val="center"/>
        <w:tblLayout w:type="autofit"/>
        <w:tblCellMar>
          <w:left w:w="0" w:type="dxa"/>
          <w:top w:w="0" w:type="dxa"/>
          <w:right w:w="0" w:type="dxa"/>
          <w:bottom w:w="0" w:type="dxa"/>
        </w:tblCellMar>
        <w:tblLook w:val="04A0" w:firstRow="1" w:lastRow="0" w:firstColumn="1" w:lastColumn="0" w:noHBand="0" w:noVBand="1"/>
      </w:tblPr>
      <w:tblGrid>
        <w:gridCol w:w="717"/>
        <w:gridCol w:w="2948"/>
        <w:gridCol w:w="983"/>
        <w:gridCol w:w="1063"/>
        <w:gridCol w:w="24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包</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none" w:color="000000" w:sz="4"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全自动微生物质谱检测仪</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台</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138</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智能厌氧培养系统等仪器设备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台</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27</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5"/>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color w:val="000000" w:themeColor="text1"/>
          <w:szCs w:val="21"/>
          <w:highlight w:val="none"/>
          <w14:textFill>
            <w14:solidFill>
              <w14:schemeClr w14:val="tx1"/>
            </w14:solidFill>
          </w14:textFill>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color w:val="000000" w:themeColor="text1"/>
          <w:szCs w:val="21"/>
          <w:highlight w:val="none"/>
          <w14:textFill>
            <w14:solidFill>
              <w14:schemeClr w14:val="tx1"/>
            </w14:solidFill>
          </w14:textFill>
        </w:rPr>
        <w:t xml:space="preserve">（北京时间）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南京市江宁区疾病预防控制中心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w:t>
      </w:r>
      <w:r>
        <w:rPr>
          <w:rFonts w:hint="eastAsia" w:ascii="宋体" w:hAnsi="宋体" w:cs="宋体"/>
          <w:bCs/>
          <w:color w:val="000000" w:themeColor="text1"/>
          <w:szCs w:val="21"/>
          <w:highlight w:val="none"/>
          <w:lang w:val="en-US" w:eastAsia="zh-CN"/>
          <w14:textFill>
            <w14:solidFill>
              <w14:schemeClr w14:val="tx1"/>
            </w14:solidFill>
          </w14:textFill>
        </w:rPr>
        <w:t xml:space="preserve">71</w:t>
      </w:r>
      <w:r>
        <w:rPr>
          <w:rFonts w:hint="eastAsia" w:ascii="宋体" w:hAnsi="宋体" w:cs="宋体"/>
          <w:bCs/>
          <w:color w:val="000000" w:themeColor="text1"/>
          <w:szCs w:val="21"/>
          <w:highlight w:val="none"/>
          <w:lang w:eastAsia="zh-CN"/>
          <w14:textFill>
            <w14:solidFill>
              <w14:schemeClr w14:val="tx1"/>
            </w14:solidFill>
          </w14:textFill>
        </w:rPr>
        <w:t xml:space="preserve">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南京市江宁区疾病预防控制中心</w:t>
            </w:r>
            <w:r/>
          </w:p>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w:t>
            </w:r>
            <w:r>
              <w:rPr>
                <w:rFonts w:hint="eastAsia" w:ascii="宋体" w:hAnsi="宋体" w:cs="宋体"/>
                <w:bCs/>
                <w:color w:val="000000" w:themeColor="text1"/>
                <w:szCs w:val="21"/>
                <w:highlight w:val="none"/>
                <w:lang w:val="en-US" w:eastAsia="zh-CN"/>
                <w14:textFill>
                  <w14:solidFill>
                    <w14:schemeClr w14:val="tx1"/>
                  </w14:solidFill>
                </w14:textFill>
              </w:rPr>
              <w:t xml:space="preserve">71</w:t>
            </w:r>
            <w:r>
              <w:rPr>
                <w:rFonts w:hint="eastAsia" w:ascii="宋体" w:hAnsi="宋体" w:cs="宋体"/>
                <w:bCs/>
                <w:color w:val="000000" w:themeColor="text1"/>
                <w:szCs w:val="21"/>
                <w:highlight w:val="none"/>
                <w:lang w:eastAsia="zh-CN"/>
                <w14:textFill>
                  <w14:solidFill>
                    <w14:schemeClr w14:val="tx1"/>
                  </w14:solidFill>
                </w14:textFill>
              </w:rPr>
              <w:t xml:space="preserve">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汤科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16</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8539"/>
      <w:r/>
      <w:bookmarkStart w:id="6" w:name="_Toc19726"/>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458694821"/>
      <w:r/>
      <w:bookmarkStart w:id="10" w:name="_Toc24947"/>
      <w:r/>
      <w:bookmarkStart w:id="11" w:name="_Toc513029204"/>
      <w:r/>
      <w:bookmarkStart w:id="12" w:name="_Toc16938520"/>
      <w:r/>
      <w:bookmarkStart w:id="13" w:name="_Toc20823276"/>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w:t>
      </w:r>
      <w:r>
        <w:rPr>
          <w:rFonts w:hint="eastAsia" w:ascii="宋体" w:hAnsi="宋体" w:eastAsia="宋体" w:cs="宋体"/>
          <w:color w:val="000000" w:themeColor="text1"/>
          <w:szCs w:val="21"/>
          <w:highlight w:val="none"/>
          <w:lang w:val="zh-CN"/>
          <w14:textFill>
            <w14:solidFill>
              <w14:schemeClr w14:val="tx1"/>
            </w14:solidFill>
          </w14:textFill>
        </w:rPr>
        <w:t xml:space="preserve">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南京市江宁区疾病预防控制中心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62564067"/>
      <w:r/>
      <w:bookmarkStart w:id="19" w:name="_Toc16938523"/>
      <w:r/>
      <w:bookmarkStart w:id="20" w:name="_Toc17711"/>
      <w:r/>
      <w:bookmarkStart w:id="21" w:name="_Toc513029207"/>
      <w:r/>
      <w:bookmarkStart w:id="22" w:name="_Toc25651"/>
      <w:r/>
      <w:bookmarkStart w:id="23" w:name="_Toc4759"/>
      <w:r/>
      <w:bookmarkStart w:id="24" w:name="_Toc2082327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20614215"/>
      <w:r/>
      <w:bookmarkStart w:id="28" w:name="_Toc11232"/>
      <w:r/>
      <w:bookmarkStart w:id="29" w:name="_Toc15035"/>
      <w:r/>
      <w:bookmarkStart w:id="30" w:name="_Toc513029209"/>
      <w:r/>
      <w:bookmarkStart w:id="31" w:name="_Toc16938525"/>
      <w:r/>
      <w:bookmarkStart w:id="32" w:name="_Toc20823281"/>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31631"/>
      <w:r/>
      <w:bookmarkStart w:id="34" w:name="_Toc2899"/>
      <w:r/>
      <w:bookmarkStart w:id="35" w:name="_Toc16938526"/>
      <w:r/>
      <w:bookmarkStart w:id="36" w:name="_Toc513029210"/>
      <w:r/>
      <w:bookmarkStart w:id="37" w:name="_Toc20823282"/>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14415"/>
      <w:r/>
      <w:bookmarkStart w:id="39" w:name="_Toc24838"/>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w:t>
      </w:r>
      <w:r>
        <w:rPr>
          <w:rFonts w:hint="eastAsia" w:ascii="宋体" w:hAnsi="宋体" w:eastAsia="宋体" w:cs="宋体"/>
          <w:color w:val="000000" w:themeColor="text1"/>
          <w:szCs w:val="21"/>
          <w:highlight w:val="none"/>
          <w14:textFill>
            <w14:solidFill>
              <w14:schemeClr w14:val="tx1"/>
            </w14:solidFill>
          </w14:textFill>
        </w:rPr>
        <w:t xml:space="preserve">供应商与采购代理机构之间</w:t>
      </w:r>
      <w:r>
        <w:rPr>
          <w:rFonts w:hint="eastAsia" w:ascii="宋体" w:hAnsi="宋体" w:eastAsia="宋体" w:cs="宋体"/>
          <w:color w:val="000000" w:themeColor="text1"/>
          <w:szCs w:val="21"/>
          <w:highlight w:val="none"/>
          <w14:textFill>
            <w14:solidFill>
              <w14:schemeClr w14:val="tx1"/>
            </w14:solidFill>
          </w14:textFill>
        </w:rPr>
        <w:t xml:space="preserve">就有关投标的所有来往函电均应</w:t>
      </w:r>
      <w:r>
        <w:rPr>
          <w:rFonts w:hint="eastAsia" w:ascii="宋体" w:hAnsi="宋体" w:eastAsia="宋体" w:cs="宋体"/>
          <w:color w:val="000000" w:themeColor="text1"/>
          <w:szCs w:val="21"/>
          <w:highlight w:val="none"/>
          <w14:textFill>
            <w14:solidFill>
              <w14:schemeClr w14:val="tx1"/>
            </w14:solidFill>
          </w14:textFill>
        </w:rPr>
        <w:t xml:space="preserve">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30894"/>
      <w:r/>
      <w:bookmarkStart w:id="46" w:name="_Toc11547"/>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w:t>
      </w:r>
      <w:r>
        <w:rPr>
          <w:rFonts w:hint="eastAsia" w:ascii="宋体" w:hAnsi="宋体" w:eastAsia="宋体" w:cs="宋体"/>
          <w:color w:val="000000" w:themeColor="text1"/>
          <w:szCs w:val="21"/>
          <w:highlight w:val="none"/>
          <w14:textFill>
            <w14:solidFill>
              <w14:schemeClr w14:val="tx1"/>
            </w14:solidFill>
          </w14:textFill>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w:t>
      </w:r>
      <w:r>
        <w:rPr>
          <w:rFonts w:hint="eastAsia" w:ascii="宋体" w:hAnsi="宋体" w:eastAsia="宋体" w:cs="宋体"/>
          <w:color w:val="000000" w:themeColor="text1"/>
          <w:szCs w:val="21"/>
          <w:highlight w:val="none"/>
          <w14:textFill>
            <w14:solidFill>
              <w14:schemeClr w14:val="tx1"/>
            </w14:solidFill>
          </w14:textFill>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w:t>
      </w:r>
      <w:r>
        <w:rPr>
          <w:rFonts w:hint="eastAsia" w:ascii="宋体" w:hAnsi="宋体" w:eastAsia="宋体" w:cs="宋体"/>
          <w:color w:val="000000" w:themeColor="text1"/>
          <w:highlight w:val="none"/>
          <w14:textFill>
            <w14:solidFill>
              <w14:schemeClr w14:val="tx1"/>
            </w14:solidFill>
          </w14:textFill>
        </w:rPr>
        <w:t xml:space="preserve">联合体中有同类资质的供应商按照联合体分工承担相同工作的，按照资质等级较低的供应商确定资质等级，并</w:t>
      </w:r>
      <w:r>
        <w:rPr>
          <w:rFonts w:hint="eastAsia" w:ascii="宋体" w:hAnsi="宋体" w:eastAsia="宋体" w:cs="宋体"/>
          <w:color w:val="000000" w:themeColor="text1"/>
          <w:highlight w:val="none"/>
          <w14:textFill>
            <w14:solidFill>
              <w14:schemeClr w14:val="tx1"/>
            </w14:solidFill>
          </w14:textFill>
        </w:rPr>
        <w:t xml:space="preserve">以响应全权代表方的应答材料作为商务评审的依据</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31206"/>
      <w:r/>
      <w:bookmarkStart w:id="50" w:name="_Toc15215"/>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20823297"/>
      <w:r/>
      <w:bookmarkStart w:id="56" w:name="_Toc16938541"/>
      <w:r/>
      <w:bookmarkStart w:id="57" w:name="_Toc513029225"/>
      <w:r/>
      <w:bookmarkStart w:id="58" w:name="_Toc462564084"/>
      <w:r/>
      <w:bookmarkStart w:id="59" w:name="_Toc15509"/>
      <w:r/>
      <w:bookmarkStart w:id="60" w:name="_Toc415"/>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16938543"/>
      <w:r/>
      <w:bookmarkStart w:id="64" w:name="_Toc20823299"/>
      <w:r/>
      <w:bookmarkStart w:id="65" w:name="_Toc513029227"/>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16938544"/>
      <w:r/>
      <w:bookmarkStart w:id="68" w:name="_Toc513029228"/>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7"/>
      <w:r/>
      <w:bookmarkStart w:id="70" w:name="OLE_LINK3"/>
      <w:r/>
      <w:bookmarkStart w:id="71" w:name="_Toc15345"/>
      <w:r/>
      <w:bookmarkStart w:id="72" w:name="_Toc13829"/>
      <w:r/>
      <w:bookmarkStart w:id="73" w:name="_Toc3679"/>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16938547"/>
      <w:r/>
      <w:bookmarkStart w:id="78" w:name="_Toc20823303"/>
      <w:r/>
      <w:bookmarkStart w:id="79" w:name="_Toc513029231"/>
      <w:r/>
      <w:bookmarkStart w:id="80" w:name="_Toc29284"/>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8327"/>
      <w:r/>
      <w:bookmarkStart w:id="85"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1"/>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5"/>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584"/>
        <w:gridCol w:w="138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58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38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1"/>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584" w:type="dxa"/>
            <w:vAlign w:val="top"/>
            <w:textDirection w:val="lrTb"/>
            <w:noWrap w:val="false"/>
          </w:tcPr>
          <w:p>
            <w:pPr>
              <w:numPr>
                <w:ilvl w:val="0"/>
                <w:numId w:val="4"/>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numPr>
                <w:ilvl w:val="0"/>
                <w:numId w:val="4"/>
              </w:num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包2：</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385" w:type="dxa"/>
            <w:vAlign w:val="center"/>
            <w:textDirection w:val="lrTb"/>
            <w:noWrap w:val="false"/>
          </w:tcPr>
          <w:p>
            <w:pPr>
              <w:jc w:val="center"/>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包1:30分；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包2:32分</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分；</w:t>
            </w:r>
            <w:r/>
          </w:p>
          <w:p>
            <w:pPr>
              <w:pStyle w:val="695"/>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包1：</w:t>
            </w: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包2：</w:t>
            </w: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至少包含核心产品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385" w:type="dxa"/>
            <w:vAlign w:val="center"/>
            <w:textDirection w:val="lrTb"/>
            <w:noWrap w:val="false"/>
          </w:tcPr>
          <w:p>
            <w:pPr>
              <w:jc w:val="center"/>
              <w:widowControl w:val="off"/>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包1：5分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包2：3分</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58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江宁区疾病预防控制中心全自动微生物质谱检测仪等仪器设备采购项目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5"/>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(投标人在投标文件中体现对质保期限的响应且需要提供生产厂家的质保材料)。</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 (投标人在投标文件中体现对质保期限的响应且需要提供生产厂家的质保材料)。</w:t>
      </w:r>
      <w:r/>
    </w:p>
    <w:p>
      <w:pPr>
        <w:pStyle w:val="688"/>
        <w:ind w:firstLine="48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cs="宋体"/>
          <w:color w:val="000000" w:themeColor="text1"/>
          <w:szCs w:val="21"/>
          <w:lang w:eastAsia="zh-CN"/>
          <w14:textFill>
            <w14:solidFill>
              <w14:schemeClr w14:val="tx1"/>
            </w14:solidFill>
          </w14:textFill>
        </w:rPr>
        <w:t xml:space="preserve">设备发生故障或异常时</w:t>
      </w:r>
      <w:r>
        <w:rPr>
          <w:rFonts w:hint="eastAsia"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w:t>
      </w:r>
      <w:r/>
    </w:p>
    <w:p>
      <w:pPr>
        <w:pStyle w:val="688"/>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90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1</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pStyle w:val="876"/>
        <w:keepLines w:val="0"/>
        <w:keepNext w:val="0"/>
        <w:pageBreakBefore w:val="0"/>
        <w:spacing w:line="360" w:lineRule="auto"/>
        <w:rPr>
          <w:rFonts w:hint="default" w:ascii="宋体" w:hAnsi="宋体" w:eastAsia="宋体" w:cs="宋体"/>
          <w:b/>
          <w:bCs/>
          <w:color w:val="000000" w:themeColor="text1"/>
          <w:sz w:val="21"/>
          <w:szCs w:val="21"/>
          <w:lang w:val="en-US" w:eastAsia="zh-CN" w:bidi="ar-SA"/>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1"/>
          <w:szCs w:val="21"/>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eastAsia="宋体" w:cs="宋体"/>
          <w:b/>
          <w:bCs/>
          <w:color w:val="000000" w:themeColor="text1"/>
          <w:sz w:val="21"/>
          <w:szCs w:val="21"/>
          <w:lang w:val="en-US" w:eastAsia="zh-CN" w:bidi="en-US"/>
          <w14:textFill>
            <w14:solidFill>
              <w14:schemeClr w14:val="tx1"/>
            </w14:solidFill>
          </w14:textFill>
        </w:rPr>
        <w:t xml:space="preserve">6、供应商</w:t>
      </w:r>
      <w:r>
        <w:rPr>
          <w:rFonts w:hint="default" w:eastAsia="宋体" w:cs="宋体"/>
          <w:b/>
          <w:bCs/>
          <w:color w:val="000000" w:themeColor="text1"/>
          <w:sz w:val="21"/>
          <w:szCs w:val="21"/>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1"/>
          <w:szCs w:val="21"/>
          <w:lang w:val="en-US" w:eastAsia="zh-CN" w:bidi="en-US"/>
          <w14:textFill>
            <w14:solidFill>
              <w14:schemeClr w14:val="tx1"/>
            </w14:solidFill>
          </w14:textFill>
        </w:rPr>
        <w:t xml:space="preserve">必须</w:t>
      </w:r>
      <w:r>
        <w:rPr>
          <w:rFonts w:hint="default" w:eastAsia="宋体" w:cs="宋体"/>
          <w:b/>
          <w:bCs/>
          <w:color w:val="000000" w:themeColor="text1"/>
          <w:sz w:val="21"/>
          <w:szCs w:val="21"/>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1"/>
          <w:szCs w:val="21"/>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1"/>
          <w:szCs w:val="21"/>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1"/>
          <w:szCs w:val="21"/>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包1采购清单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352"/>
        <w:gridCol w:w="1314"/>
      </w:tblGrid>
      <w:tr>
        <w:trPr>
          <w:jc w:val="center"/>
          <w:trHeight w:val="1134"/>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352"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6"/>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314"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全自动微生物质谱检测仪</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138</w:t>
            </w:r>
            <w:r/>
          </w:p>
        </w:tc>
        <w:tc>
          <w:tcPr>
            <w:tcW w:w="1314"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bl>
    <w:p>
      <w:pPr>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352"/>
        <w:gridCol w:w="1314"/>
      </w:tblGrid>
      <w:tr>
        <w:trPr>
          <w:jc w:val="center"/>
          <w:trHeight w:val="1134"/>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352"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6"/>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314"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t xml:space="preserve">智能厌氧培养系统等仪器设备</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（核心产品）</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27</w:t>
            </w:r>
            <w:r/>
          </w:p>
        </w:tc>
        <w:tc>
          <w:tcPr>
            <w:tcW w:w="1314"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低速离心机</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瓶口分液器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 xml:space="preserve">无菌均质器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p>
      <w:pPr>
        <w:numPr>
          <w:ilvl w:val="0"/>
          <w:numId w:val="0"/>
        </w:numPr>
        <w:jc w:val="center"/>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包1</w:t>
      </w:r>
      <w:r>
        <w:rPr>
          <w:rFonts w:hint="default" w:ascii="宋体" w:hAnsi="宋体" w:cs="宋体"/>
          <w:b/>
          <w:bCs/>
          <w:color w:val="000000" w:themeColor="text1"/>
          <w:sz w:val="30"/>
          <w:szCs w:val="30"/>
          <w:highlight w:val="none"/>
          <w:lang w:val="en-US" w:eastAsia="zh-CN"/>
          <w14:textFill>
            <w14:solidFill>
              <w14:schemeClr w14:val="tx1"/>
            </w14:solidFill>
          </w14:textFill>
        </w:rPr>
        <w:t xml:space="preserve">全自动微生物质谱检测仪</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技术参数</w:t>
      </w:r>
      <w:r/>
    </w:p>
    <w:p>
      <w:pPr>
        <w:keepLines w:val="0"/>
        <w:keepNext w:val="0"/>
        <w:pageBreakBefore w:val="0"/>
        <w:spacing w:line="460" w:lineRule="exact"/>
        <w:rPr>
          <w:rFonts w:hint="default" w:eastAsia="宋体"/>
          <w:color w:val="000000" w:themeColor="text1"/>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 xml:space="preserve">1.硬件性能</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.1激光器：激光器：激光频率≥60Hz，在1～60 Hz范围内任意连续可调，激光发射次数大于4亿次激发，可长期使用。提供激光器生产商证明资料；</w:t>
      </w:r>
      <w:r/>
    </w:p>
    <w:p>
      <w:pPr>
        <w:jc w:val="left"/>
        <w:keepLines w:val="0"/>
        <w:keepNext w:val="0"/>
        <w:pageBreakBefore w:val="0"/>
        <w:spacing w:line="460" w:lineRule="exact"/>
        <w:widowControl/>
        <w:rPr>
          <w:rFonts w:hint="eastAsia"/>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1</w:t>
      </w:r>
      <w:r>
        <w:rPr>
          <w:rFonts w:hint="eastAsia"/>
          <w:color w:val="000000" w:themeColor="text1"/>
          <w:sz w:val="21"/>
          <w:szCs w:val="21"/>
          <w:highlight w:val="none"/>
          <w14:textFill>
            <w14:solidFill>
              <w14:schemeClr w14:val="tx1"/>
            </w14:solidFill>
          </w14:textFill>
        </w:rPr>
        <w:t xml:space="preserve">.2飞行管：钛金属飞行时间管，长度≥1050mm</w:t>
      </w:r>
      <w:r/>
    </w:p>
    <w:p>
      <w:pPr>
        <w:jc w:val="left"/>
        <w:keepLines w:val="0"/>
        <w:keepNext w:val="0"/>
        <w:pageBreakBefore w:val="0"/>
        <w:spacing w:line="4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1.3</w:t>
      </w:r>
      <w:r>
        <w:rPr>
          <w:rFonts w:hint="eastAsia" w:eastAsia="宋体"/>
          <w:color w:val="000000" w:themeColor="text1"/>
          <w:sz w:val="21"/>
          <w:szCs w:val="21"/>
          <w14:textFill>
            <w14:solidFill>
              <w14:schemeClr w14:val="tx1"/>
            </w14:solidFill>
          </w14:textFill>
        </w:rPr>
        <w:t xml:space="preserve">满足应急车载使用：设备需为桌面台式机型，高度≤1400mm，长度≤720mm，宽度≤550mm；</w:t>
      </w:r>
      <w:r/>
    </w:p>
    <w:p>
      <w:pPr>
        <w:keepLines w:val="0"/>
        <w:keepNext w:val="0"/>
        <w:pageBreakBefore w:val="0"/>
        <w:spacing w:line="460" w:lineRule="exact"/>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1.4检测器：电子倍增器，最大暗电流≤1pA,最大增益可达10⁷倍，无需额外加装前置放大器。</w:t>
      </w:r>
      <w:r/>
    </w:p>
    <w:p>
      <w:pPr>
        <w:keepLines w:val="0"/>
        <w:keepNext w:val="0"/>
        <w:pageBreakBefore w:val="0"/>
        <w:spacing w:line="460" w:lineRule="exact"/>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5具备无接触式进出靶触发装置，通过手势识别，无需在软件上操作及实体按键操作。</w:t>
      </w:r>
      <w:r/>
    </w:p>
    <w:p>
      <w:pPr>
        <w:keepLines w:val="0"/>
        <w:keepNext w:val="0"/>
        <w:pageBreakBefore w:val="0"/>
        <w:spacing w:line="460" w:lineRule="exact"/>
        <w:rPr>
          <w:rFonts w:hint="default" w:eastAsia="宋体"/>
          <w:color w:val="000000" w:themeColor="text1"/>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 xml:space="preserve">▲1.6分子泵为复合型涡轮分子泵，具有叶片级和拖拽级，拖拽级≥10 L/S,分子泵抽速≥300 L/S；（提供所配置分子泵拖拽级结构图和技术说明书）</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.检测性能</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.1检测范围：1-500kd；</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.2分辨率：&gt;</w:t>
      </w:r>
      <w:r>
        <w:rPr>
          <w:rFonts w:hint="eastAsia"/>
          <w:color w:val="000000" w:themeColor="text1"/>
          <w:sz w:val="21"/>
          <w:szCs w:val="21"/>
          <w:lang w:val="en-US" w:eastAsia="zh-CN"/>
          <w14:textFill>
            <w14:solidFill>
              <w14:schemeClr w14:val="tx1"/>
            </w14:solidFill>
          </w14:textFill>
        </w:rPr>
        <w:t xml:space="preserve">50</w:t>
      </w:r>
      <w:r>
        <w:rPr>
          <w:rFonts w:hint="eastAsia"/>
          <w:color w:val="000000" w:themeColor="text1"/>
          <w:sz w:val="21"/>
          <w:szCs w:val="21"/>
          <w14:textFill>
            <w14:solidFill>
              <w14:schemeClr w14:val="tx1"/>
            </w14:solidFill>
          </w14:textFill>
        </w:rPr>
        <w:t xml:space="preserve">00FWHM（血管紧张素，Angiotensin）；</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.3质量准确度：&lt;150ppm（内部校正误差）；&lt;100ppm（外部校正误差）；</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.数据库及功能</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.1</w:t>
      </w:r>
      <w:r>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t xml:space="preserve">标配质谱同品牌数据库，数据库具有自主知识产权，含鉴定微生物＞5300 种、1000 个属，支持在线及时终生免费升级，含霍乱弧菌、肺炎链球菌等多种高致病性菌株数据，丝状真菌数据库超过 500 种。且仪器配套使用的微生物蛋白指纹图谱数据库有法定的备案材料，且备案数量≥3000 种，8000 株。</w:t>
      </w:r>
      <w:r/>
    </w:p>
    <w:p>
      <w:p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3.2特色数据库：具备20种以上施万菌数据库；分枝杆菌数据库≥170种。</w:t>
      </w:r>
      <w:r/>
    </w:p>
    <w:p>
      <w:pPr>
        <w:jc w:val="left"/>
        <w:keepLines w:val="0"/>
        <w:keepNext w:val="0"/>
        <w:pageBreakBefore w:val="0"/>
        <w:spacing w:line="460" w:lineRule="exact"/>
        <w:widowControl/>
        <w:rPr>
          <w:rFonts w:hint="eastAsia"/>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t xml:space="preserve">装配质谱同品牌微生物实验室管理系统，与经过医疗器械注册证认证的质谱、血培养、药敏等仪器连接、进行数据统计等。提供微生物数据中心，用于查询菌种的形态学、药敏、基因序列等信息。（提供网址及联网备案信息证明并加盖投标人公章）</w:t>
      </w:r>
      <w:r/>
    </w:p>
    <w:p>
      <w:pPr>
        <w:jc w:val="left"/>
        <w:keepLines w:val="0"/>
        <w:keepNext w:val="0"/>
        <w:pageBreakBefore w:val="0"/>
        <w:spacing w:line="460" w:lineRule="exact"/>
        <w:widowControl/>
        <w:rPr>
          <w:rFonts w:hint="default"/>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3.4数据格式支持检索MICROBENET和MSI网站数据，增强对罕见菌和新发病原微生物的鉴定能力(提供鉴定流程软件截图)</w:t>
      </w:r>
      <w:r/>
    </w:p>
    <w:p>
      <w:pPr>
        <w:jc w:val="left"/>
        <w:keepLines w:val="0"/>
        <w:keepNext w:val="0"/>
        <w:pageBreakBefore w:val="0"/>
        <w:spacing w:line="460" w:lineRule="exact"/>
        <w:rPr>
          <w:rFonts w:hint="default" w:ascii="宋体" w:hAnsi="宋体" w:eastAsia="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ascii="宋体" w:hAnsi="宋体"/>
          <w:color w:val="000000" w:themeColor="text1"/>
          <w:sz w:val="21"/>
          <w:szCs w:val="21"/>
          <w:lang w:val="en-US" w:eastAsia="zh-CN"/>
          <w14:textFill>
            <w14:solidFill>
              <w14:schemeClr w14:val="tx1"/>
            </w14:solidFill>
          </w14:textFill>
        </w:rPr>
        <w:t xml:space="preserve">4.</w:t>
      </w:r>
      <w:r>
        <w:rPr>
          <w:rFonts w:hint="eastAsia" w:ascii="宋体" w:hAnsi="宋体"/>
          <w:color w:val="000000" w:themeColor="text1"/>
          <w:sz w:val="21"/>
          <w:szCs w:val="21"/>
          <w14:textFill>
            <w14:solidFill>
              <w14:schemeClr w14:val="tx1"/>
            </w14:solidFill>
          </w14:textFill>
        </w:rPr>
        <w:t xml:space="preserve">配置</w:t>
      </w:r>
      <w:r>
        <w:rPr>
          <w:rFonts w:hint="eastAsia" w:ascii="宋体" w:hAnsi="宋体"/>
          <w:color w:val="000000" w:themeColor="text1"/>
          <w:sz w:val="21"/>
          <w:szCs w:val="21"/>
          <w:lang w:val="en-US" w:eastAsia="zh-CN"/>
          <w14:textFill>
            <w14:solidFill>
              <w14:schemeClr w14:val="tx1"/>
            </w14:solidFill>
          </w14:textFill>
        </w:rPr>
        <w:t xml:space="preserve">清单（提供证明材料或承诺函，未提供按废标处理。）</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4.1台式MALDI-TOF: 1台（提供的设备必须是制造厂商原装的、全新的产品且生产日期为签收前半年内），包含激光器、离子源、检测器、飞行管和真空系统。</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4.2数据库及软件：具有核酸检测功能，配套微生物数据库，微生物采集与分析软件。</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4.3数据处理系统：Windows10以上操作系统，3.0GHz CPU处理器，16GB内存，1TB硬盘，27寸液晶显示屏，条码扫描器1套</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4.4标本板： 96孔的靶板，一体式靶板2块，分体式靶板（可重复性）5块，一次性靶板10盒，带有条形码，可进行追溯，2块靶托。</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4.5试剂：质谱样本处理基质溶液、质谱样本预处理试剂、质谱用丝状真菌预处理试剂、大肠杆菌/志贺菌鉴别试剂盒各一盒</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4.6提供同品牌质谱仪校准品或质控品一套（提供相应的注册证）。</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4.7 不间断电源1台：断电使用时间≥2小时</w:t>
      </w:r>
      <w:r/>
    </w:p>
    <w:p>
      <w:pPr>
        <w:jc w:val="left"/>
        <w:keepLines w:val="0"/>
        <w:keepNext w:val="0"/>
        <w:pageBreakBefore w:val="0"/>
        <w:spacing w:line="460" w:lineRule="exact"/>
        <w:widowControl/>
        <w:rPr>
          <w:rFonts w:hint="eastAsia"/>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4.8 配套移液枪1把，枪头1包，超声清洗仪1台，点靶台1个。</w:t>
      </w:r>
      <w:r/>
    </w:p>
    <w:p>
      <w:pPr>
        <w:jc w:val="left"/>
        <w:keepLines w:val="0"/>
        <w:keepNext w:val="0"/>
        <w:pageBreakBefore w:val="0"/>
        <w:spacing w:line="460" w:lineRule="exact"/>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包2:智能厌氧培养系统等仪器设备采购项目技术参数</w:t>
      </w:r>
      <w:r/>
    </w:p>
    <w:p>
      <w:pPr>
        <w:numPr>
          <w:ilvl w:val="0"/>
          <w:numId w:val="0"/>
        </w:numPr>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hAnsi="宋体"/>
          <w:b/>
          <w:bCs/>
          <w:color w:val="000000" w:themeColor="text1"/>
          <w:sz w:val="21"/>
          <w:szCs w:val="21"/>
          <w:lang w:val="en-US" w:eastAsia="zh-CN"/>
          <w14:textFill>
            <w14:solidFill>
              <w14:schemeClr w14:val="tx1"/>
            </w14:solidFill>
          </w14:textFill>
        </w:rPr>
        <w:t xml:space="preserve">智能厌氧培养</w:t>
      </w:r>
      <w:r>
        <w:rPr>
          <w:rFonts w:hint="eastAsia" w:hAnsi="宋体"/>
          <w:b/>
          <w:bCs/>
          <w:color w:val="000000" w:themeColor="text1"/>
          <w:sz w:val="21"/>
          <w:szCs w:val="21"/>
          <w14:textFill>
            <w14:solidFill>
              <w14:schemeClr w14:val="tx1"/>
            </w14:solidFill>
          </w14:textFill>
        </w:rPr>
        <w:t xml:space="preserve">系统</w:t>
      </w:r>
      <w:r>
        <w:rPr>
          <w:rFonts w:hint="eastAsia" w:hAnsi="宋体"/>
          <w:b/>
          <w:bCs/>
          <w:color w:val="000000" w:themeColor="text1"/>
          <w:sz w:val="21"/>
          <w:szCs w:val="21"/>
          <w:lang w:val="en-US" w:eastAsia="zh-CN"/>
          <w14:textFill>
            <w14:solidFill>
              <w14:schemeClr w14:val="tx1"/>
            </w14:solidFill>
          </w14:textFill>
        </w:rPr>
        <w:t xml:space="preserve">技术参数（核心产品）</w:t>
      </w:r>
      <w:r/>
    </w:p>
    <w:p>
      <w:pPr>
        <w:pStyle w:val="728"/>
        <w:ind w:left="0" w:firstLine="0"/>
        <w:keepLines w:val="0"/>
        <w:keepNext w:val="0"/>
        <w:pageBreakBefore w:val="0"/>
        <w:spacing w:line="460" w:lineRule="exact"/>
        <w:rPr>
          <w:rFonts w:hint="eastAsia" w:hAnsi="宋体"/>
          <w:color w:val="000000" w:themeColor="text1"/>
          <w:sz w:val="21"/>
          <w:szCs w:val="21"/>
          <w:lang w:val="en-US" w:eastAsia="zh-CN"/>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1、培养温控模块</w:t>
      </w:r>
      <w:r/>
    </w:p>
    <w:p>
      <w:pPr>
        <w:pStyle w:val="728"/>
        <w:ind w:left="0" w:firstLine="0"/>
        <w:keepLines w:val="0"/>
        <w:keepNext w:val="0"/>
        <w:pageBreakBefore w:val="0"/>
        <w:spacing w:line="460" w:lineRule="exact"/>
        <w:rPr>
          <w:rFonts w:hint="eastAsia" w:hAnsi="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1.1 温控系统容积≥200L；</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1.2 </w:t>
      </w:r>
      <w:r>
        <w:rPr>
          <w:rFonts w:hint="eastAsia" w:hAnsi="宋体"/>
          <w:color w:val="000000" w:themeColor="text1"/>
          <w:sz w:val="21"/>
          <w:szCs w:val="21"/>
          <w14:textFill>
            <w14:solidFill>
              <w14:schemeClr w14:val="tx1"/>
            </w14:solidFill>
          </w14:textFill>
        </w:rPr>
        <w:t xml:space="preserve">半导体温控技术，培养温度</w:t>
      </w:r>
      <w:r>
        <w:rPr>
          <w:rFonts w:hAnsi="宋体"/>
          <w:color w:val="000000" w:themeColor="text1"/>
          <w:sz w:val="21"/>
          <w:szCs w:val="21"/>
          <w14:textFill>
            <w14:solidFill>
              <w14:schemeClr w14:val="tx1"/>
            </w14:solidFill>
          </w14:textFill>
        </w:rPr>
        <w:t xml:space="preserve">0-70℃可调</w:t>
      </w:r>
      <w:r>
        <w:rPr>
          <w:rFonts w:hint="eastAsia" w:hAnsi="宋体"/>
          <w:color w:val="000000" w:themeColor="text1"/>
          <w:sz w:val="21"/>
          <w:szCs w:val="21"/>
          <w14:textFill>
            <w14:solidFill>
              <w14:schemeClr w14:val="tx1"/>
            </w14:solidFill>
          </w14:textFill>
        </w:rPr>
        <w:t xml:space="preserve">（需提供温控系统半导体模块实拍照片）；</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1.3 </w:t>
      </w:r>
      <w:r>
        <w:rPr>
          <w:rFonts w:hAnsi="宋体"/>
          <w:color w:val="000000" w:themeColor="text1"/>
          <w:sz w:val="21"/>
          <w:szCs w:val="21"/>
          <w14:textFill>
            <w14:solidFill>
              <w14:schemeClr w14:val="tx1"/>
            </w14:solidFill>
          </w14:textFill>
        </w:rPr>
        <w:t xml:space="preserve">温度均匀性≤±0.2℃（运行温度22℃），</w:t>
      </w:r>
      <w:r>
        <w:rPr>
          <w:rFonts w:hint="eastAsia" w:hAnsi="宋体"/>
          <w:color w:val="000000" w:themeColor="text1"/>
          <w:sz w:val="21"/>
          <w:szCs w:val="21"/>
          <w14:textFill>
            <w14:solidFill>
              <w14:schemeClr w14:val="tx1"/>
            </w14:solidFill>
          </w14:textFill>
        </w:rPr>
        <w:t xml:space="preserve">聚氨酯发泡保温；</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1.4 </w:t>
      </w:r>
      <w:r>
        <w:rPr>
          <w:rFonts w:hAnsi="宋体"/>
          <w:color w:val="000000" w:themeColor="text1"/>
          <w:sz w:val="21"/>
          <w:szCs w:val="21"/>
          <w14:textFill>
            <w14:solidFill>
              <w14:schemeClr w14:val="tx1"/>
            </w14:solidFill>
          </w14:textFill>
        </w:rPr>
        <w:t xml:space="preserve">温</w:t>
      </w:r>
      <w:r>
        <w:rPr>
          <w:rFonts w:hint="eastAsia" w:hAnsi="宋体"/>
          <w:color w:val="000000" w:themeColor="text1"/>
          <w:sz w:val="21"/>
          <w:szCs w:val="21"/>
          <w:lang w:val="en-US" w:eastAsia="zh-CN"/>
          <w14:textFill>
            <w14:solidFill>
              <w14:schemeClr w14:val="tx1"/>
            </w14:solidFill>
          </w14:textFill>
        </w:rPr>
        <w:t xml:space="preserve">度</w:t>
      </w:r>
      <w:r>
        <w:rPr>
          <w:rFonts w:hAnsi="宋体"/>
          <w:color w:val="000000" w:themeColor="text1"/>
          <w:sz w:val="21"/>
          <w:szCs w:val="21"/>
          <w14:textFill>
            <w14:solidFill>
              <w14:schemeClr w14:val="tx1"/>
            </w14:solidFill>
          </w14:textFill>
        </w:rPr>
        <w:t xml:space="preserve">控制</w:t>
      </w:r>
      <w:r>
        <w:rPr>
          <w:rFonts w:hint="eastAsia" w:hAnsi="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精度≤0.1℃，温度范围0-100℃可调（</w:t>
      </w:r>
      <w:r>
        <w:rPr>
          <w:rFonts w:hint="eastAsia" w:hAnsi="宋体"/>
          <w:color w:val="000000" w:themeColor="text1"/>
          <w:sz w:val="21"/>
          <w:szCs w:val="21"/>
          <w14:textFill>
            <w14:solidFill>
              <w14:schemeClr w14:val="tx1"/>
            </w14:solidFill>
          </w14:textFill>
        </w:rPr>
        <w:t xml:space="preserve">需</w:t>
      </w:r>
      <w:r>
        <w:rPr>
          <w:rFonts w:hAnsi="宋体"/>
          <w:color w:val="000000" w:themeColor="text1"/>
          <w:sz w:val="21"/>
          <w:szCs w:val="21"/>
          <w14:textFill>
            <w14:solidFill>
              <w14:schemeClr w14:val="tx1"/>
            </w14:solidFill>
          </w14:textFill>
        </w:rPr>
        <w:t xml:space="preserve">提供限温范围照片证明）；</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1.5 </w:t>
      </w:r>
      <w:r>
        <w:rPr>
          <w:rFonts w:hint="eastAsia" w:hAnsi="宋体"/>
          <w:color w:val="000000" w:themeColor="text1"/>
          <w:sz w:val="21"/>
          <w:szCs w:val="21"/>
          <w14:textFill>
            <w14:solidFill>
              <w14:schemeClr w14:val="tx1"/>
            </w14:solidFill>
          </w14:textFill>
        </w:rPr>
        <w:t xml:space="preserve">温控系统外形高度≤900mm，标配自动堆叠底脚，便于堆叠；</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1.6 </w:t>
      </w:r>
      <w:r>
        <w:rPr>
          <w:rFonts w:hint="eastAsia" w:hAnsi="宋体"/>
          <w:color w:val="000000" w:themeColor="text1"/>
          <w:sz w:val="21"/>
          <w:szCs w:val="21"/>
          <w14:textFill>
            <w14:solidFill>
              <w14:schemeClr w14:val="tx1"/>
            </w14:solidFill>
          </w14:textFill>
        </w:rPr>
        <w:t xml:space="preserve">温控系统触摸屏可实时显示培养罐内</w:t>
      </w:r>
      <w:r>
        <w:rPr>
          <w:rFonts w:hAnsi="宋体"/>
          <w:color w:val="000000" w:themeColor="text1"/>
          <w:sz w:val="21"/>
          <w:szCs w:val="21"/>
          <w14:textFill>
            <w14:solidFill>
              <w14:schemeClr w14:val="tx1"/>
            </w14:solidFill>
          </w14:textFill>
        </w:rPr>
        <w:t xml:space="preserve">氧气浓度、</w:t>
      </w:r>
      <w:r>
        <w:rPr>
          <w:rFonts w:hint="eastAsia" w:hAnsi="宋体"/>
          <w:color w:val="000000" w:themeColor="text1"/>
          <w:sz w:val="21"/>
          <w:szCs w:val="21"/>
          <w14:textFill>
            <w14:solidFill>
              <w14:schemeClr w14:val="tx1"/>
            </w14:solidFill>
          </w14:textFill>
        </w:rPr>
        <w:t xml:space="preserve">二氧化碳浓度、</w:t>
      </w:r>
      <w:r>
        <w:rPr>
          <w:rFonts w:hAnsi="宋体"/>
          <w:color w:val="000000" w:themeColor="text1"/>
          <w:sz w:val="21"/>
          <w:szCs w:val="21"/>
          <w14:textFill>
            <w14:solidFill>
              <w14:schemeClr w14:val="tx1"/>
            </w14:solidFill>
          </w14:textFill>
        </w:rPr>
        <w:t xml:space="preserve">温度、</w:t>
      </w:r>
      <w:r>
        <w:rPr>
          <w:rFonts w:hint="eastAsia" w:hAnsi="宋体"/>
          <w:color w:val="000000" w:themeColor="text1"/>
          <w:sz w:val="21"/>
          <w:szCs w:val="21"/>
          <w14:textFill>
            <w14:solidFill>
              <w14:schemeClr w14:val="tx1"/>
            </w14:solidFill>
          </w14:textFill>
        </w:rPr>
        <w:t xml:space="preserve">湿度、</w:t>
      </w:r>
      <w:r>
        <w:rPr>
          <w:rFonts w:hAnsi="宋体"/>
          <w:color w:val="000000" w:themeColor="text1"/>
          <w:sz w:val="21"/>
          <w:szCs w:val="21"/>
          <w14:textFill>
            <w14:solidFill>
              <w14:schemeClr w14:val="tx1"/>
            </w14:solidFill>
          </w14:textFill>
        </w:rPr>
        <w:t xml:space="preserve">压力数据</w:t>
      </w:r>
      <w:r>
        <w:rPr>
          <w:rFonts w:hint="eastAsia" w:hAnsi="宋体"/>
          <w:color w:val="000000" w:themeColor="text1"/>
          <w:sz w:val="21"/>
          <w:szCs w:val="21"/>
          <w14:textFill>
            <w14:solidFill>
              <w14:schemeClr w14:val="tx1"/>
            </w14:solidFill>
          </w14:textFill>
        </w:rPr>
        <w:t xml:space="preserve">（需提供温控系统屏幕显示培养罐五种参数的实拍照片）；</w:t>
      </w:r>
      <w:r/>
    </w:p>
    <w:p>
      <w:pPr>
        <w:pStyle w:val="728"/>
        <w:ind w:left="0" w:firstLine="0"/>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、培养监测模块</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2.1 </w:t>
      </w:r>
      <w:r>
        <w:rPr>
          <w:rFonts w:hint="eastAsia" w:hAnsi="宋体"/>
          <w:color w:val="000000" w:themeColor="text1"/>
          <w:sz w:val="21"/>
          <w:szCs w:val="21"/>
          <w14:textFill>
            <w14:solidFill>
              <w14:schemeClr w14:val="tx1"/>
            </w14:solidFill>
          </w14:textFill>
        </w:rPr>
        <w:t xml:space="preserve">标配2个无线探头</w:t>
      </w: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 xml:space="preserve">每个探头均可</w:t>
      </w:r>
      <w:r>
        <w:rPr>
          <w:rFonts w:hAnsi="宋体"/>
          <w:color w:val="000000" w:themeColor="text1"/>
          <w:sz w:val="21"/>
          <w:szCs w:val="21"/>
          <w14:textFill>
            <w14:solidFill>
              <w14:schemeClr w14:val="tx1"/>
            </w14:solidFill>
          </w14:textFill>
        </w:rPr>
        <w:t xml:space="preserve">监测</w:t>
      </w:r>
      <w:r>
        <w:rPr>
          <w:rFonts w:hint="eastAsia" w:hAnsi="宋体"/>
          <w:color w:val="000000" w:themeColor="text1"/>
          <w:sz w:val="21"/>
          <w:szCs w:val="21"/>
          <w14:textFill>
            <w14:solidFill>
              <w14:schemeClr w14:val="tx1"/>
            </w14:solidFill>
          </w14:textFill>
        </w:rPr>
        <w:t xml:space="preserve">培养罐内</w:t>
      </w:r>
      <w:r>
        <w:rPr>
          <w:rFonts w:hAnsi="宋体"/>
          <w:color w:val="000000" w:themeColor="text1"/>
          <w:sz w:val="21"/>
          <w:szCs w:val="21"/>
          <w14:textFill>
            <w14:solidFill>
              <w14:schemeClr w14:val="tx1"/>
            </w14:solidFill>
          </w14:textFill>
        </w:rPr>
        <w:t xml:space="preserve">氧气浓度、</w:t>
      </w:r>
      <w:r>
        <w:rPr>
          <w:rFonts w:hint="eastAsia" w:hAnsi="宋体"/>
          <w:color w:val="000000" w:themeColor="text1"/>
          <w:sz w:val="21"/>
          <w:szCs w:val="21"/>
          <w14:textFill>
            <w14:solidFill>
              <w14:schemeClr w14:val="tx1"/>
            </w14:solidFill>
          </w14:textFill>
        </w:rPr>
        <w:t xml:space="preserve">二氧化碳浓度、</w:t>
      </w:r>
      <w:r>
        <w:rPr>
          <w:rFonts w:hAnsi="宋体"/>
          <w:color w:val="000000" w:themeColor="text1"/>
          <w:sz w:val="21"/>
          <w:szCs w:val="21"/>
          <w14:textFill>
            <w14:solidFill>
              <w14:schemeClr w14:val="tx1"/>
            </w14:solidFill>
          </w14:textFill>
        </w:rPr>
        <w:t xml:space="preserve">温度、</w:t>
      </w:r>
      <w:r>
        <w:rPr>
          <w:rFonts w:hint="eastAsia" w:hAnsi="宋体"/>
          <w:color w:val="000000" w:themeColor="text1"/>
          <w:sz w:val="21"/>
          <w:szCs w:val="21"/>
          <w14:textFill>
            <w14:solidFill>
              <w14:schemeClr w14:val="tx1"/>
            </w14:solidFill>
          </w14:textFill>
        </w:rPr>
        <w:t xml:space="preserve">湿度、</w:t>
      </w:r>
      <w:r>
        <w:rPr>
          <w:rFonts w:hAnsi="宋体"/>
          <w:color w:val="000000" w:themeColor="text1"/>
          <w:sz w:val="21"/>
          <w:szCs w:val="21"/>
          <w14:textFill>
            <w14:solidFill>
              <w14:schemeClr w14:val="tx1"/>
            </w14:solidFill>
          </w14:textFill>
        </w:rPr>
        <w:t xml:space="preserve">压力数据</w:t>
      </w:r>
      <w:r>
        <w:rPr>
          <w:rFonts w:hint="eastAsia" w:hAnsi="宋体"/>
          <w:color w:val="000000" w:themeColor="text1"/>
          <w:sz w:val="21"/>
          <w:szCs w:val="21"/>
          <w14:textFill>
            <w14:solidFill>
              <w14:schemeClr w14:val="tx1"/>
            </w14:solidFill>
          </w14:textFill>
        </w:rPr>
        <w:t xml:space="preserve">；</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2.2 </w:t>
      </w:r>
      <w:r>
        <w:rPr>
          <w:rFonts w:hint="eastAsia" w:hAnsi="宋体"/>
          <w:color w:val="000000" w:themeColor="text1"/>
          <w:sz w:val="21"/>
          <w:szCs w:val="21"/>
          <w14:textFill>
            <w14:solidFill>
              <w14:schemeClr w14:val="tx1"/>
            </w14:solidFill>
          </w14:textFill>
        </w:rPr>
        <w:t xml:space="preserve">无线探头采集周期1-3600秒可调，</w:t>
      </w:r>
      <w:r>
        <w:rPr>
          <w:rFonts w:hint="eastAsia"/>
          <w:color w:val="000000" w:themeColor="text1"/>
          <w:sz w:val="21"/>
          <w:szCs w:val="21"/>
          <w14:textFill>
            <w14:solidFill>
              <w14:schemeClr w14:val="tx1"/>
            </w14:solidFill>
          </w14:textFill>
        </w:rPr>
        <w:t xml:space="preserve">可通过温控系统显示屏进行设置</w:t>
      </w:r>
      <w:r>
        <w:rPr>
          <w:rFonts w:hint="eastAsia" w:hAnsi="宋体"/>
          <w:color w:val="000000" w:themeColor="text1"/>
          <w:sz w:val="21"/>
          <w:szCs w:val="21"/>
          <w14:textFill>
            <w14:solidFill>
              <w14:schemeClr w14:val="tx1"/>
            </w14:solidFill>
          </w14:textFill>
        </w:rPr>
        <w:t xml:space="preserve">；</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2.3 </w:t>
      </w:r>
      <w:r>
        <w:rPr>
          <w:rFonts w:hint="eastAsia"/>
          <w:color w:val="000000" w:themeColor="text1"/>
          <w:sz w:val="21"/>
          <w:szCs w:val="21"/>
          <w14:textFill>
            <w14:solidFill>
              <w14:schemeClr w14:val="tx1"/>
            </w14:solidFill>
          </w14:textFill>
        </w:rPr>
        <w:t xml:space="preserve">无线探头采集周期设置为1秒，连续续航需≥7天；</w:t>
      </w:r>
      <w:r/>
    </w:p>
    <w:p>
      <w:pPr>
        <w:pStyle w:val="728"/>
        <w:ind w:left="0" w:firstLine="0"/>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、气体环境制备模块</w:t>
      </w:r>
      <w:r/>
    </w:p>
    <w:p>
      <w:pPr>
        <w:pStyle w:val="728"/>
        <w:numPr>
          <w:ilvl w:val="0"/>
          <w:numId w:val="0"/>
        </w:numPr>
        <w:keepLines w:val="0"/>
        <w:keepNext w:val="0"/>
        <w:pageBreakBefore w:val="0"/>
        <w:spacing w:line="460" w:lineRule="exact"/>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3.1 </w:t>
      </w:r>
      <w:r>
        <w:rPr>
          <w:rFonts w:hint="eastAsia" w:hAnsi="宋体"/>
          <w:color w:val="000000" w:themeColor="text1"/>
          <w:sz w:val="21"/>
          <w:szCs w:val="21"/>
          <w14:textFill>
            <w14:solidFill>
              <w14:schemeClr w14:val="tx1"/>
            </w14:solidFill>
          </w14:textFill>
        </w:rPr>
        <w:t xml:space="preserve">气体环境制备程序具有培养罐模式和注射针模式；</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3.2 支持可升级为</w:t>
      </w:r>
      <w:r>
        <w:rPr>
          <w:rFonts w:hint="eastAsia" w:hAnsi="宋体"/>
          <w:color w:val="000000" w:themeColor="text1"/>
          <w:sz w:val="21"/>
          <w:szCs w:val="21"/>
          <w14:textFill>
            <w14:solidFill>
              <w14:schemeClr w14:val="tx1"/>
            </w14:solidFill>
          </w14:textFill>
        </w:rPr>
        <w:t xml:space="preserve">手动模式</w:t>
      </w: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分为</w:t>
      </w:r>
      <w:r>
        <w:rPr>
          <w:rFonts w:hint="eastAsia" w:hAnsi="宋体"/>
          <w:color w:val="000000" w:themeColor="text1"/>
          <w:sz w:val="21"/>
          <w:szCs w:val="21"/>
          <w14:textFill>
            <w14:solidFill>
              <w14:schemeClr w14:val="tx1"/>
            </w14:solidFill>
          </w14:textFill>
        </w:rPr>
        <w:t xml:space="preserve">控压模式和计时模式，控压模式可手动设置真空压力、充气压力和循环次数，计时模式可手动设置真空时间、充气时间和循环次数（需提供仪器控压和计时实拍照片作为证明）；</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3.3 </w:t>
      </w:r>
      <w:r>
        <w:rPr>
          <w:rFonts w:hint="eastAsia" w:hAnsi="宋体"/>
          <w:color w:val="000000" w:themeColor="text1"/>
          <w:sz w:val="21"/>
          <w:szCs w:val="21"/>
          <w14:textFill>
            <w14:solidFill>
              <w14:schemeClr w14:val="tx1"/>
            </w14:solidFill>
          </w14:textFill>
        </w:rPr>
        <w:t xml:space="preserve">注射针模式可智能判定器皿容积，自适应匹配算法，具有一键启动快捷程序并可自定义设置增加1-4次气体置换循环；</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3.4 </w:t>
      </w:r>
      <w:r>
        <w:rPr>
          <w:rFonts w:hint="eastAsia" w:hAnsi="宋体"/>
          <w:color w:val="000000" w:themeColor="text1"/>
          <w:sz w:val="21"/>
          <w:szCs w:val="21"/>
          <w14:textFill>
            <w14:solidFill>
              <w14:schemeClr w14:val="tx1"/>
            </w14:solidFill>
          </w14:textFill>
        </w:rPr>
        <w:t xml:space="preserve">可单独设置氧气浓度和二氧化碳浓度，氧气浓度调节范围0.5-20%，二氧化碳浓度调节范围1-20%，制备精度±0.1%</w:t>
      </w:r>
      <w:r>
        <w:rPr>
          <w:rFonts w:hint="eastAsia" w:hAnsi="宋体"/>
          <w:color w:val="000000" w:themeColor="text1"/>
          <w:sz w:val="21"/>
          <w:szCs w:val="21"/>
          <w:lang w:val="en-US" w:eastAsia="zh-CN"/>
          <w14:textFill>
            <w14:solidFill>
              <w14:schemeClr w14:val="tx1"/>
            </w14:solidFill>
          </w14:textFill>
        </w:rPr>
        <w:t xml:space="preserve">或更优</w:t>
      </w:r>
      <w:r>
        <w:rPr>
          <w:rFonts w:hint="eastAsia" w:hAnsi="宋体"/>
          <w:color w:val="000000" w:themeColor="text1"/>
          <w:sz w:val="21"/>
          <w:szCs w:val="21"/>
          <w14:textFill>
            <w14:solidFill>
              <w14:schemeClr w14:val="tx1"/>
            </w14:solidFill>
          </w14:textFill>
        </w:rPr>
        <w:t xml:space="preserve">；</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3.5</w:t>
      </w:r>
      <w:r>
        <w:rPr>
          <w:rFonts w:hint="eastAsia" w:hAnsi="宋体"/>
          <w:color w:val="000000" w:themeColor="text1"/>
          <w:sz w:val="21"/>
          <w:szCs w:val="21"/>
          <w14:textFill>
            <w14:solidFill>
              <w14:schemeClr w14:val="tx1"/>
            </w14:solidFill>
          </w14:textFill>
        </w:rPr>
        <w:t xml:space="preserve">使用1.5升培养罐厌氧环境制备时间最快≤60s，微需氧环境制备时间最快≤20s；</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3.6 </w:t>
      </w:r>
      <w:r>
        <w:rPr>
          <w:rFonts w:hint="eastAsia" w:hAnsi="宋体"/>
          <w:color w:val="000000" w:themeColor="text1"/>
          <w:sz w:val="21"/>
          <w:szCs w:val="21"/>
          <w14:textFill>
            <w14:solidFill>
              <w14:schemeClr w14:val="tx1"/>
            </w14:solidFill>
          </w14:textFill>
        </w:rPr>
        <w:t xml:space="preserve">标配</w:t>
      </w:r>
      <w:r>
        <w:rPr>
          <w:rFonts w:hint="eastAsia" w:hAnsi="宋体"/>
          <w:color w:val="000000" w:themeColor="text1"/>
          <w:sz w:val="21"/>
          <w:szCs w:val="21"/>
          <w:lang w:val="en-US" w:eastAsia="zh-CN"/>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通道，可同时连接</w:t>
      </w:r>
      <w:r>
        <w:rPr>
          <w:rFonts w:hint="eastAsia" w:hAnsi="宋体"/>
          <w:color w:val="000000" w:themeColor="text1"/>
          <w:sz w:val="21"/>
          <w:szCs w:val="21"/>
          <w:lang w:val="en-US" w:eastAsia="zh-CN"/>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个培养罐，每个培养罐独立控制单次设置程序；</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3.7 </w:t>
      </w:r>
      <w:r>
        <w:rPr>
          <w:rFonts w:hint="eastAsia" w:hAnsi="宋体"/>
          <w:color w:val="000000" w:themeColor="text1"/>
          <w:sz w:val="21"/>
          <w:szCs w:val="21"/>
          <w14:textFill>
            <w14:solidFill>
              <w14:schemeClr w14:val="tx1"/>
            </w14:solidFill>
          </w14:textFill>
        </w:rPr>
        <w:t xml:space="preserve">设备具有红黄绿三色指示灯实体按键，可显示设备程序运行状态及报警信息，单个按键集成启动、急停等功能；</w:t>
      </w:r>
      <w:r/>
    </w:p>
    <w:p>
      <w:pPr>
        <w:pStyle w:val="728"/>
        <w:numPr>
          <w:ilvl w:val="0"/>
          <w:numId w:val="0"/>
        </w:numPr>
        <w:keepLines w:val="0"/>
        <w:keepNext w:val="0"/>
        <w:pageBreakBefore w:val="0"/>
        <w:spacing w:line="460" w:lineRule="exact"/>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3.8 </w:t>
      </w:r>
      <w:r>
        <w:rPr>
          <w:rFonts w:hint="eastAsia" w:hAnsi="宋体"/>
          <w:color w:val="000000" w:themeColor="text1"/>
          <w:sz w:val="21"/>
          <w:szCs w:val="21"/>
          <w14:textFill>
            <w14:solidFill>
              <w14:schemeClr w14:val="tx1"/>
            </w14:solidFill>
          </w14:textFill>
        </w:rPr>
        <w:t xml:space="preserve">标配注射针组件</w:t>
      </w:r>
      <w:r>
        <w:rPr>
          <w:rFonts w:hint="eastAsia" w:hAnsi="宋体"/>
          <w:color w:val="000000" w:themeColor="text1"/>
          <w:sz w:val="21"/>
          <w:szCs w:val="21"/>
          <w:lang w:val="en-US" w:eastAsia="zh-CN"/>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根，支持升级3</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通道注射针方案</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3.9 </w:t>
      </w:r>
      <w:r>
        <w:rPr>
          <w:rFonts w:hint="eastAsia" w:hAnsi="宋体"/>
          <w:color w:val="000000" w:themeColor="text1"/>
          <w:sz w:val="21"/>
          <w:szCs w:val="21"/>
          <w14:textFill>
            <w14:solidFill>
              <w14:schemeClr w14:val="tx1"/>
            </w14:solidFill>
          </w14:textFill>
        </w:rPr>
        <w:t xml:space="preserve">仪器的气体交换控制模块、打印机接口及数据导出接口均位于屏幕侧面，</w:t>
      </w:r>
      <w:r/>
    </w:p>
    <w:p>
      <w:pPr>
        <w:pStyle w:val="728"/>
        <w:numPr>
          <w:ilvl w:val="0"/>
          <w:numId w:val="0"/>
        </w:numPr>
        <w:keepLines w:val="0"/>
        <w:keepNext w:val="0"/>
        <w:pageBreakBefore w:val="0"/>
        <w:spacing w:line="460" w:lineRule="exact"/>
        <w:rPr>
          <w:rFonts w:hint="eastAsia" w:hAnsi="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3.10 </w:t>
      </w:r>
      <w:r>
        <w:rPr>
          <w:rFonts w:hint="eastAsia" w:hAnsi="宋体"/>
          <w:color w:val="000000" w:themeColor="text1"/>
          <w:sz w:val="21"/>
          <w:szCs w:val="21"/>
          <w14:textFill>
            <w14:solidFill>
              <w14:schemeClr w14:val="tx1"/>
            </w14:solidFill>
          </w14:textFill>
        </w:rPr>
        <w:t xml:space="preserve">所投仪器需提供至少三家第三方检测机构出具的性能测试报告（报告需带检测机构红章）并有第三方检测机构出具的CE认证证书；</w:t>
      </w:r>
      <w:r/>
    </w:p>
    <w:p>
      <w:pPr>
        <w:pStyle w:val="728"/>
        <w:numPr>
          <w:ilvl w:val="0"/>
          <w:numId w:val="0"/>
        </w:numPr>
        <w:keepLines w:val="0"/>
        <w:keepNext w:val="0"/>
        <w:pageBreakBefore w:val="0"/>
        <w:spacing w:line="460" w:lineRule="exact"/>
        <w:rPr>
          <w:rFonts w:hAnsi="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3.11 </w:t>
      </w:r>
      <w:r>
        <w:rPr>
          <w:rFonts w:hint="eastAsia" w:hAnsi="宋体"/>
          <w:color w:val="000000" w:themeColor="text1"/>
          <w:sz w:val="21"/>
          <w:szCs w:val="21"/>
          <w14:textFill>
            <w14:solidFill>
              <w14:schemeClr w14:val="tx1"/>
            </w14:solidFill>
          </w14:textFill>
        </w:rPr>
        <w:t xml:space="preserve">提供同品牌电机驱动样本转移系统一套；</w:t>
      </w:r>
      <w:r/>
    </w:p>
    <w:p>
      <w:pPr>
        <w:pStyle w:val="728"/>
        <w:numPr>
          <w:ilvl w:val="0"/>
          <w:numId w:val="0"/>
        </w:numPr>
        <w:jc w:val="left"/>
        <w:keepLines w:val="0"/>
        <w:keepNext w:val="0"/>
        <w:pageBreakBefore w:val="0"/>
        <w:spacing w:line="460" w:lineRule="exact"/>
        <w:rPr>
          <w:rFonts w:hint="eastAsia" w:hAnsi="宋体" w:eastAsia="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hAnsi="宋体"/>
          <w:color w:val="000000" w:themeColor="text1"/>
          <w:sz w:val="21"/>
          <w:szCs w:val="21"/>
          <w:lang w:val="en-US" w:eastAsia="zh-CN"/>
          <w14:textFill>
            <w14:solidFill>
              <w14:schemeClr w14:val="tx1"/>
            </w14:solidFill>
          </w14:textFill>
        </w:rPr>
        <w:t xml:space="preserve">4.</w:t>
      </w:r>
      <w:r>
        <w:rPr>
          <w:rFonts w:hint="eastAsia" w:hAnsi="宋体"/>
          <w:color w:val="000000" w:themeColor="text1"/>
          <w:sz w:val="21"/>
          <w:szCs w:val="21"/>
          <w14:textFill>
            <w14:solidFill>
              <w14:schemeClr w14:val="tx1"/>
            </w14:solidFill>
          </w14:textFill>
        </w:rPr>
        <w:t xml:space="preserve">配置</w:t>
      </w:r>
      <w:r>
        <w:rPr>
          <w:rFonts w:hint="eastAsia" w:hAnsi="宋体"/>
          <w:color w:val="000000" w:themeColor="text1"/>
          <w:sz w:val="21"/>
          <w:szCs w:val="21"/>
          <w:lang w:val="en-US" w:eastAsia="zh-CN"/>
          <w14:textFill>
            <w14:solidFill>
              <w14:schemeClr w14:val="tx1"/>
            </w14:solidFill>
          </w14:textFill>
        </w:rPr>
        <w:t xml:space="preserve">清单</w:t>
      </w:r>
      <w:r>
        <w:rPr>
          <w:rFonts w:hint="eastAsia" w:ascii="宋体" w:hAnsi="宋体"/>
          <w:color w:val="000000" w:themeColor="text1"/>
          <w:sz w:val="21"/>
          <w:szCs w:val="21"/>
          <w:lang w:val="en-US" w:eastAsia="zh-CN"/>
          <w14:textFill>
            <w14:solidFill>
              <w14:schemeClr w14:val="tx1"/>
            </w14:solidFill>
          </w14:textFill>
        </w:rPr>
        <w:t xml:space="preserve">（提供证明材料或承诺函，未提供按废标处理。）</w:t>
      </w:r>
      <w:r/>
    </w:p>
    <w:p>
      <w:pPr>
        <w:pStyle w:val="728"/>
        <w:numPr>
          <w:ilvl w:val="0"/>
          <w:numId w:val="0"/>
        </w:numPr>
        <w:ind w:firstLine="420"/>
        <w:jc w:val="left"/>
        <w:keepLines w:val="0"/>
        <w:keepNext w:val="0"/>
        <w:pageBreakBefore w:val="0"/>
        <w:spacing w:line="460" w:lineRule="exact"/>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主机1台</w:t>
      </w:r>
      <w:r>
        <w:rPr>
          <w:rFonts w:hint="eastAsia" w:hAnsi="宋体"/>
          <w:color w:val="000000" w:themeColor="text1"/>
          <w:sz w:val="21"/>
          <w:szCs w:val="21"/>
          <w:lang w:eastAsia="zh-CN"/>
          <w14:textFill>
            <w14:solidFill>
              <w14:schemeClr w14:val="tx1"/>
            </w14:solidFill>
          </w14:textFill>
        </w:rPr>
        <w:t xml:space="preserve">（</w:t>
      </w:r>
      <w:r>
        <w:rPr>
          <w:rFonts w:hint="eastAsia" w:ascii="宋体" w:hAnsi="宋体"/>
          <w:bCs/>
          <w:color w:val="000000" w:themeColor="text1"/>
          <w:sz w:val="21"/>
          <w:szCs w:val="21"/>
          <w14:textFill>
            <w14:solidFill>
              <w14:schemeClr w14:val="tx1"/>
            </w14:solidFill>
          </w14:textFill>
        </w:rPr>
        <w:t xml:space="preserve">提供的设备必须是制造厂商原装的、全新的产品</w:t>
      </w:r>
      <w:r>
        <w:rPr>
          <w:rFonts w:ascii="Arial" w:hAnsi="Arial" w:eastAsia="Arial" w:cs="Arial"/>
          <w:i w:val="0"/>
          <w:iCs w:val="0"/>
          <w:caps w:val="0"/>
          <w:color w:val="000000" w:themeColor="text1"/>
          <w:spacing w:val="0"/>
          <w:sz w:val="21"/>
          <w:szCs w:val="21"/>
          <w:shd w:val="clear" w:color="auto" w:fill="ffffff"/>
          <w14:textFill>
            <w14:solidFill>
              <w14:schemeClr w14:val="tx1"/>
            </w14:solidFill>
          </w14:textFill>
        </w:rPr>
        <w:t xml:space="preserve">且生产日期为签收前半年内</w:t>
      </w: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，同品牌电机驱动样本转移系统1套，6皿培养罐</w:t>
      </w:r>
      <w:r>
        <w:rPr>
          <w:rFonts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14:textFill>
            <w14:solidFill>
              <w14:schemeClr w14:val="tx1"/>
            </w14:solidFill>
          </w14:textFill>
        </w:rPr>
        <w:t xml:space="preserve">个，</w:t>
      </w:r>
      <w:r>
        <w:rPr>
          <w:rFonts w:hAnsi="宋体"/>
          <w:color w:val="000000" w:themeColor="text1"/>
          <w:sz w:val="21"/>
          <w:szCs w:val="21"/>
          <w14:textFill>
            <w14:solidFill>
              <w14:schemeClr w14:val="tx1"/>
            </w14:solidFill>
          </w14:textFill>
        </w:rPr>
        <w:t xml:space="preserve">12皿培养罐1个，24皿培养罐1个，</w:t>
      </w:r>
      <w:r>
        <w:rPr>
          <w:rFonts w:hint="eastAsia" w:hAnsi="宋体"/>
          <w:color w:val="000000" w:themeColor="text1"/>
          <w:sz w:val="21"/>
          <w:szCs w:val="21"/>
          <w14:textFill>
            <w14:solidFill>
              <w14:schemeClr w14:val="tx1"/>
            </w14:solidFill>
          </w14:textFill>
        </w:rPr>
        <w:t xml:space="preserve">双级减压阀1套，注射针组件</w:t>
      </w:r>
      <w:r>
        <w:rPr>
          <w:rFonts w:hint="eastAsia" w:hAnsi="宋体"/>
          <w:color w:val="000000" w:themeColor="text1"/>
          <w:sz w:val="21"/>
          <w:szCs w:val="21"/>
          <w:lang w:val="en-US" w:eastAsia="zh-CN"/>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根，大包催化剂4袋，小包催化剂</w:t>
      </w:r>
      <w:r>
        <w:rPr>
          <w:rFonts w:hAnsi="宋体"/>
          <w:color w:val="000000" w:themeColor="text1"/>
          <w:sz w:val="21"/>
          <w:szCs w:val="21"/>
          <w14:textFill>
            <w14:solidFill>
              <w14:schemeClr w14:val="tx1"/>
            </w14:solidFill>
          </w14:textFill>
        </w:rPr>
        <w:t xml:space="preserve">2袋</w:t>
      </w:r>
      <w:r>
        <w:rPr>
          <w:rFonts w:hint="eastAsia" w:hAnsi="宋体"/>
          <w:color w:val="000000" w:themeColor="text1"/>
          <w:sz w:val="21"/>
          <w:szCs w:val="21"/>
          <w14:textFill>
            <w14:solidFill>
              <w14:schemeClr w14:val="tx1"/>
            </w14:solidFill>
          </w14:textFill>
        </w:rPr>
        <w:t xml:space="preserve">，还原箱1台，同品牌培养温控模块1套，同品牌无线探头2个。</w:t>
      </w:r>
      <w:r/>
    </w:p>
    <w:p>
      <w:pPr>
        <w:pStyle w:val="728"/>
        <w:numPr>
          <w:ilvl w:val="0"/>
          <w:numId w:val="0"/>
        </w:numPr>
        <w:ind w:firstLine="420"/>
        <w:jc w:val="left"/>
        <w:keepLines w:val="0"/>
        <w:keepNext w:val="0"/>
        <w:pageBreakBefore w:val="0"/>
        <w:spacing w:line="460" w:lineRule="exact"/>
        <w:rPr>
          <w:rFonts w:hint="eastAsia" w:hAnsi="宋体"/>
          <w:color w:val="000000" w:themeColor="text1"/>
          <w:sz w:val="21"/>
          <w:szCs w:val="21"/>
          <w:lang w:val="en-US" w:eastAsia="zh-CN"/>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r>
      <w:r/>
    </w:p>
    <w:p>
      <w:pPr>
        <w:numPr>
          <w:ilvl w:val="0"/>
          <w:numId w:val="0"/>
        </w:numPr>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2、低速离心机技术参数</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1、转速：≧4000rpm；相对离心力：≧3041×g。</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2、转速精度：±10rpm, 噪音：≤58dB（A），定时范围：1sec～99h59min59sec。</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3、 微电脑控制、液晶同步显示设定参数和实时运行参数及运行状态。</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4、 10种升降档位选择，可根据样品特性选择升降速度。</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5、转速/离心力互设、同步显示；自动计算RCF值。</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6、两种计时模式可选：启动计时、定速计时。</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7、门盖双锁杆设计，磁感应安全门锁，启动后自动锁紧门盖。</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8、目视平衡，无需专门配平，最大偏重可达30克。</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9、有门锁、不平衡、超速、过流等多重保护功能，异常会报警停转。</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10</w:t>
      </w:r>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、配置</w:t>
      </w:r>
      <w:r>
        <w:rPr>
          <w:rFonts w:hint="eastAsia" w:ascii="宋体" w:hAnsi="宋体"/>
          <w:color w:val="000000" w:themeColor="text1"/>
          <w:sz w:val="21"/>
          <w:szCs w:val="21"/>
          <w:lang w:val="en-US" w:eastAsia="zh-CN"/>
          <w14:textFill>
            <w14:solidFill>
              <w14:schemeClr w14:val="tx1"/>
            </w14:solidFill>
          </w14:textFill>
        </w:rPr>
        <w:t xml:space="preserve">（提供证明材料或承诺函，未提供按废标处理。）</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default"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10.1、主机：1台</w:t>
      </w:r>
      <w:r/>
    </w:p>
    <w:p>
      <w:pPr>
        <w:ind w:left="0" w:right="0" w:firstLine="0"/>
        <w:jc w:val="left"/>
        <w:keepLines w:val="0"/>
        <w:keepNext w:val="0"/>
        <w:pageBreakBefore w:val="0"/>
        <w:spacing w:before="0" w:beforeAutospacing="0" w:after="0" w:afterAutospacing="0" w:line="460" w:lineRule="exact"/>
        <w:shd w:val="clear" w:color="auto" w:fill="ffffff"/>
        <w:widowControl/>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10.2、水平转头：</w:t>
      </w:r>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96孔浅孔酶标板×</w:t>
      </w:r>
      <w:r>
        <w:rPr>
          <w:rFonts w:hint="eastAsia" w:ascii="宋体" w:hAnsi="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4</w:t>
      </w:r>
      <w:r/>
    </w:p>
    <w:p>
      <w:pPr>
        <w:jc w:val="center"/>
        <w:keepLines w:val="0"/>
        <w:keepNext w:val="0"/>
        <w:pageBreakBefore w:val="0"/>
        <w:spacing w:line="460" w:lineRule="exact"/>
        <w:rPr>
          <w:rFonts w:hint="eastAsia"/>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3、瓶口分液器技术参数</w:t>
      </w:r>
      <w:r/>
    </w:p>
    <w:p>
      <w:pPr>
        <w:pStyle w:val="728"/>
        <w:numPr>
          <w:ilvl w:val="0"/>
          <w:numId w:val="0"/>
        </w:numPr>
        <w:keepLines w:val="0"/>
        <w:keepNext w:val="0"/>
        <w:pageBreakBefore w:val="0"/>
        <w:spacing w:line="460" w:lineRule="exact"/>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4位数字显示，可简单的通过调节数字显示直观准确的移取各种液体</w:t>
      </w:r>
      <w:r/>
    </w:p>
    <w:p>
      <w:pPr>
        <w:pStyle w:val="728"/>
        <w:numPr>
          <w:ilvl w:val="0"/>
          <w:numId w:val="0"/>
        </w:numPr>
        <w:keepLines w:val="0"/>
        <w:keepNext w:val="0"/>
        <w:pageBreakBefore w:val="0"/>
        <w:spacing w:line="460" w:lineRule="exact"/>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适用于</w:t>
      </w:r>
      <w:r>
        <w:rPr>
          <w:rFonts w:hint="eastAsia"/>
          <w:color w:val="000000" w:themeColor="text1"/>
          <w:sz w:val="21"/>
          <w:szCs w:val="21"/>
          <w:lang w:val="en-US" w:eastAsia="zh-CN"/>
          <w14:textFill>
            <w14:solidFill>
              <w14:schemeClr w14:val="tx1"/>
            </w14:solidFill>
          </w14:textFill>
        </w:rPr>
        <w:t xml:space="preserve">强</w:t>
      </w:r>
      <w:r>
        <w:rPr>
          <w:rFonts w:hint="eastAsia"/>
          <w:color w:val="000000" w:themeColor="text1"/>
          <w:sz w:val="21"/>
          <w:szCs w:val="21"/>
          <w14:textFill>
            <w14:solidFill>
              <w14:schemeClr w14:val="tx1"/>
            </w14:solidFill>
          </w14:textFill>
        </w:rPr>
        <w:t xml:space="preserve">酸，碱，盐溶液及大部分的有机溶剂</w:t>
      </w:r>
      <w:r/>
    </w:p>
    <w:p>
      <w:pPr>
        <w:pStyle w:val="728"/>
        <w:numPr>
          <w:ilvl w:val="0"/>
          <w:numId w:val="0"/>
        </w:numPr>
        <w:keepLines w:val="0"/>
        <w:keepNext w:val="0"/>
        <w:pageBreakBefore w:val="0"/>
        <w:spacing w:line="460" w:lineRule="exact"/>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10倍量程段，移液精准度</w:t>
      </w:r>
      <w:r>
        <w:rPr>
          <w:rFonts w:hint="eastAsia" w:ascii="宋体"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0.5%的高精度</w:t>
      </w:r>
      <w:r/>
    </w:p>
    <w:p>
      <w:pPr>
        <w:pStyle w:val="728"/>
        <w:numPr>
          <w:ilvl w:val="0"/>
          <w:numId w:val="0"/>
        </w:numPr>
        <w:keepLines w:val="0"/>
        <w:keepNext w:val="0"/>
        <w:pageBreakBefore w:val="0"/>
        <w:spacing w:line="460" w:lineRule="exact"/>
        <w:rPr>
          <w:rFonts w:hint="eastAsia" w:eastAsia="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采用浮动活塞原理，具有Easy Calibration 易校准技术，无需使用工具即可对瓶口分液器进行校准，且校准过程可通过数字显示调节，无需盲调</w:t>
      </w:r>
      <w:r>
        <w:rPr>
          <w:rFonts w:hint="eastAsia"/>
          <w:color w:val="000000" w:themeColor="text1"/>
          <w:sz w:val="21"/>
          <w:szCs w:val="21"/>
          <w:lang w:eastAsia="zh-CN"/>
          <w14:textFill>
            <w14:solidFill>
              <w14:schemeClr w14:val="tx1"/>
            </w14:solidFill>
          </w14:textFill>
        </w:rPr>
        <w:t xml:space="preserve">。</w:t>
      </w:r>
      <w:r/>
    </w:p>
    <w:p>
      <w:pPr>
        <w:pStyle w:val="728"/>
        <w:numPr>
          <w:ilvl w:val="0"/>
          <w:numId w:val="0"/>
        </w:numPr>
        <w:keepLines w:val="0"/>
        <w:keepNext w:val="0"/>
        <w:pageBreakBefore w:val="0"/>
        <w:spacing w:line="4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具有安全回流阀，残留液体可直接排回试剂瓶中。排液管具有阀门设计，拆出排液管时阀门自动关闭，不会造成漏液现象</w:t>
      </w:r>
      <w:r>
        <w:rPr>
          <w:rFonts w:hint="eastAsia"/>
          <w:color w:val="000000" w:themeColor="text1"/>
          <w:sz w:val="21"/>
          <w:szCs w:val="21"/>
          <w:lang w:eastAsia="zh-CN"/>
          <w14:textFill>
            <w14:solidFill>
              <w14:schemeClr w14:val="tx1"/>
            </w14:solidFill>
          </w14:textFill>
        </w:rPr>
        <w:t xml:space="preserve">。</w:t>
      </w:r>
      <w:r/>
    </w:p>
    <w:p>
      <w:pPr>
        <w:pStyle w:val="728"/>
        <w:numPr>
          <w:ilvl w:val="0"/>
          <w:numId w:val="0"/>
        </w:numPr>
        <w:keepLines w:val="0"/>
        <w:keepNext w:val="0"/>
        <w:pageBreakBefore w:val="0"/>
        <w:spacing w:line="460" w:lineRule="exact"/>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瓶口分液器机身及活塞采用具有化学耐性的材料制成</w:t>
      </w:r>
      <w:r>
        <w:rPr>
          <w:rFonts w:hint="eastAsia"/>
          <w:color w:val="000000" w:themeColor="text1"/>
          <w:sz w:val="21"/>
          <w:szCs w:val="21"/>
          <w:lang w:eastAsia="zh-CN"/>
          <w14:textFill>
            <w14:solidFill>
              <w14:schemeClr w14:val="tx1"/>
            </w14:solidFill>
          </w14:textFill>
        </w:rPr>
        <w:t xml:space="preserve">。</w:t>
      </w:r>
      <w:r/>
    </w:p>
    <w:p>
      <w:pPr>
        <w:pStyle w:val="728"/>
        <w:numPr>
          <w:ilvl w:val="0"/>
          <w:numId w:val="0"/>
        </w:numPr>
        <w:keepLines w:val="0"/>
        <w:keepNext w:val="0"/>
        <w:pageBreakBefore w:val="0"/>
        <w:spacing w:line="460" w:lineRule="exact"/>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拆卸便捷，可以在实验室自行进行维护和清洗</w:t>
      </w:r>
      <w:r/>
    </w:p>
    <w:p>
      <w:pPr>
        <w:pStyle w:val="728"/>
        <w:numPr>
          <w:ilvl w:val="0"/>
          <w:numId w:val="0"/>
        </w:numPr>
        <w:keepLines w:val="0"/>
        <w:keepNext w:val="0"/>
        <w:pageBreakBefore w:val="0"/>
        <w:spacing w:line="460" w:lineRule="exact"/>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8、</w:t>
      </w:r>
      <w:r>
        <w:rPr>
          <w:rFonts w:hint="eastAsia"/>
          <w:color w:val="000000" w:themeColor="text1"/>
          <w:sz w:val="21"/>
          <w:szCs w:val="21"/>
          <w14:textFill>
            <w14:solidFill>
              <w14:schemeClr w14:val="tx1"/>
            </w14:solidFill>
          </w14:textFill>
        </w:rPr>
        <w:t xml:space="preserve">具有360°可旋转的排液阀</w:t>
      </w:r>
      <w:r>
        <w:rPr>
          <w:rFonts w:hint="eastAsia"/>
          <w:color w:val="000000" w:themeColor="text1"/>
          <w:sz w:val="21"/>
          <w:szCs w:val="21"/>
          <w:lang w:val="en-US" w:eastAsia="zh-CN"/>
          <w14:textFill>
            <w14:solidFill>
              <w14:schemeClr w14:val="tx1"/>
            </w14:solidFill>
          </w14:textFill>
        </w:rPr>
        <w:t xml:space="preserve">和</w:t>
      </w:r>
      <w:r>
        <w:rPr>
          <w:rFonts w:hint="eastAsia"/>
          <w:color w:val="000000" w:themeColor="text1"/>
          <w:sz w:val="21"/>
          <w:szCs w:val="21"/>
          <w14:textFill>
            <w14:solidFill>
              <w14:schemeClr w14:val="tx1"/>
            </w14:solidFill>
          </w14:textFill>
        </w:rPr>
        <w:t xml:space="preserve">伸缩式进液管</w:t>
      </w:r>
      <w:r>
        <w:rPr>
          <w:rFonts w:hint="eastAsia"/>
          <w:color w:val="000000" w:themeColor="text1"/>
          <w:sz w:val="21"/>
          <w:szCs w:val="21"/>
          <w:lang w:eastAsia="zh-CN"/>
          <w14:textFill>
            <w14:solidFill>
              <w14:schemeClr w14:val="tx1"/>
            </w14:solidFill>
          </w14:textFill>
        </w:rPr>
        <w:t xml:space="preserve">。</w:t>
      </w:r>
      <w:r/>
    </w:p>
    <w:p>
      <w:pPr>
        <w:pStyle w:val="728"/>
        <w:numPr>
          <w:ilvl w:val="0"/>
          <w:numId w:val="0"/>
        </w:numPr>
        <w:keepLines w:val="0"/>
        <w:keepNext w:val="0"/>
        <w:pageBreakBefore w:val="0"/>
        <w:spacing w:line="46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9、</w:t>
      </w:r>
      <w:r>
        <w:rPr>
          <w:rFonts w:hint="eastAsia"/>
          <w:color w:val="000000" w:themeColor="text1"/>
          <w:sz w:val="21"/>
          <w:szCs w:val="21"/>
          <w14:textFill>
            <w14:solidFill>
              <w14:schemeClr w14:val="tx1"/>
            </w14:solidFill>
          </w14:textFill>
        </w:rPr>
        <w:t xml:space="preserve">提供</w:t>
      </w:r>
      <w:r>
        <w:rPr>
          <w:rFonts w:hint="eastAsia"/>
          <w:color w:val="000000" w:themeColor="text1"/>
          <w:sz w:val="21"/>
          <w:szCs w:val="21"/>
          <w:lang w:val="en-US" w:eastAsia="zh-CN"/>
          <w14:textFill>
            <w14:solidFill>
              <w14:schemeClr w14:val="tx1"/>
            </w14:solidFill>
          </w14:textFill>
        </w:rPr>
        <w:t xml:space="preserve">不同的</w:t>
      </w:r>
      <w:r>
        <w:rPr>
          <w:rFonts w:hint="eastAsia"/>
          <w:color w:val="000000" w:themeColor="text1"/>
          <w:sz w:val="21"/>
          <w:szCs w:val="21"/>
          <w14:textFill>
            <w14:solidFill>
              <w14:schemeClr w14:val="tx1"/>
            </w14:solidFill>
          </w14:textFill>
        </w:rPr>
        <w:t xml:space="preserve">瓶口转接环，各种试剂瓶皆可使用。</w:t>
      </w:r>
      <w:r/>
    </w:p>
    <w:p>
      <w:pPr>
        <w:pStyle w:val="728"/>
        <w:numPr>
          <w:ilvl w:val="0"/>
          <w:numId w:val="0"/>
        </w:numPr>
        <w:keepLines w:val="0"/>
        <w:keepNext w:val="0"/>
        <w:pageBreakBefore w:val="0"/>
        <w:spacing w:line="460" w:lineRule="exact"/>
        <w:rPr>
          <w:rFonts w:hint="default" w:eastAsia="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10、配置</w:t>
      </w:r>
      <w:r>
        <w:rPr>
          <w:rFonts w:hint="eastAsia" w:ascii="宋体" w:hAnsi="宋体"/>
          <w:color w:val="000000" w:themeColor="text1"/>
          <w:sz w:val="21"/>
          <w:szCs w:val="21"/>
          <w:lang w:val="en-US" w:eastAsia="zh-CN"/>
          <w14:textFill>
            <w14:solidFill>
              <w14:schemeClr w14:val="tx1"/>
            </w14:solidFill>
          </w14:textFill>
        </w:rPr>
        <w:t xml:space="preserve">（提供证明材料或承诺函，未提供按废标处理。）</w:t>
      </w:r>
      <w:r/>
    </w:p>
    <w:p>
      <w:pPr>
        <w:numPr>
          <w:ilvl w:val="0"/>
          <w:numId w:val="0"/>
        </w:numPr>
        <w:jc w:val="left"/>
        <w:keepLines w:val="0"/>
        <w:keepNext w:val="0"/>
        <w:pageBreakBefore w:val="0"/>
        <w:spacing w:line="460" w:lineRule="exact"/>
        <w:tabs>
          <w:tab w:val="left" w:pos="2889" w:leader="none"/>
        </w:tabs>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10.1、瓶口分液器：1套（适合强酸、有机溶剂同时适合碱性、盐溶液）</w:t>
      </w:r>
      <w:r/>
    </w:p>
    <w:p>
      <w:pPr>
        <w:numPr>
          <w:ilvl w:val="0"/>
          <w:numId w:val="0"/>
        </w:numPr>
        <w:jc w:val="left"/>
        <w:keepLines w:val="0"/>
        <w:keepNext w:val="0"/>
        <w:pageBreakBefore w:val="0"/>
        <w:spacing w:line="460" w:lineRule="exact"/>
        <w:tabs>
          <w:tab w:val="left" w:pos="2889" w:leader="none"/>
        </w:tabs>
        <w:rPr>
          <w:rFonts w:hint="eastAsia"/>
          <w:b/>
          <w:bCs/>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10.2、</w:t>
      </w:r>
      <w:r>
        <w:rPr>
          <w:rFonts w:hint="eastAsia"/>
          <w:color w:val="000000" w:themeColor="text1"/>
          <w:sz w:val="21"/>
          <w:szCs w:val="21"/>
          <w14:textFill>
            <w14:solidFill>
              <w14:schemeClr w14:val="tx1"/>
            </w14:solidFill>
          </w14:textFill>
        </w:rPr>
        <w:t xml:space="preserve">瓶口转接环</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不同规格5个</w:t>
      </w:r>
      <w:r/>
    </w:p>
    <w:p>
      <w:pPr>
        <w:jc w:val="center"/>
        <w:keepLines w:val="0"/>
        <w:keepNext w:val="0"/>
        <w:pageBreakBefore w:val="0"/>
        <w:spacing w:line="460" w:lineRule="exact"/>
        <w:rPr>
          <w:rFonts w:hint="eastAsia"/>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 xml:space="preserve">4、无菌均质器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技术参数</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 有效容积：3～400毫升</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 定时范围：0～9999秒；1秒递进，连续可调</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 温控范围：设定范围是室温～99℃，带拍击仓内温度显示。</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4. 消毒功能：工作仓内置紫外灯，开启消毒功能后，可无限延续或随时关闭。</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 可变速度：1～15次挤压/秒</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 拍击间距：0-10毫米可调</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 简易编程：大屏幕液晶显示10组均质方案，可设定均质时间、拍击速度和拍击加热温度。</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8.样品制备：可有效地分离被包含在“固体和半固体”样品内部和表面的微生物，确保无菌袋中的全部样品得到充分均一的混合</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样品中微生物回收率不低于90%。</w:t>
      </w:r>
      <w:r/>
    </w:p>
    <w:p>
      <w:pPr>
        <w:keepLines w:val="0"/>
        <w:keepNext w:val="0"/>
        <w:pageBreakBefore w:val="0"/>
        <w:spacing w:line="480" w:lineRule="auto"/>
        <w:widowControl w:val="off"/>
        <w:rPr>
          <w:rFonts w:hint="eastAsia"/>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9.无菌均质：拍击式均质器配合专用无菌均质袋使用，均质处理后的样品匀液可直接进行取样和微生物分析；可配套经辐照灭菌的滤膜均质袋，实现无菌均质袋中的样品与均质器无直接接触，没有样品间交叉污染的风险。</w:t>
      </w:r>
      <w:r/>
    </w:p>
    <w:p>
      <w:pPr>
        <w:pStyle w:val="728"/>
        <w:numPr>
          <w:ilvl w:val="0"/>
          <w:numId w:val="0"/>
        </w:numPr>
        <w:keepLines w:val="0"/>
        <w:keepNext w:val="0"/>
        <w:pageBreakBefore w:val="0"/>
        <w:spacing w:line="480" w:lineRule="auto"/>
        <w:widowControl w:val="off"/>
        <w:rPr>
          <w:rFonts w:hint="default" w:eastAsiaTheme="minorEastAsia"/>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10.配置</w:t>
      </w:r>
      <w:r>
        <w:rPr>
          <w:rFonts w:hint="eastAsia" w:ascii="宋体" w:hAnsi="宋体"/>
          <w:color w:val="000000" w:themeColor="text1"/>
          <w:sz w:val="21"/>
          <w:szCs w:val="21"/>
          <w:lang w:val="en-US" w:eastAsia="zh-CN"/>
          <w14:textFill>
            <w14:solidFill>
              <w14:schemeClr w14:val="tx1"/>
            </w14:solidFill>
          </w14:textFill>
        </w:rPr>
        <w:t xml:space="preserve">（提供证明材料或承诺函，未提供按废标处理。）</w:t>
      </w:r>
      <w:r/>
    </w:p>
    <w:p>
      <w:pPr>
        <w:numPr>
          <w:ilvl w:val="-1"/>
          <w:numId w:val="0"/>
        </w:numPr>
        <w:jc w:val="left"/>
        <w:keepLines w:val="0"/>
        <w:keepNext w:val="0"/>
        <w:pageBreakBefore w:val="0"/>
        <w:spacing w:line="480" w:lineRule="auto"/>
        <w:widowControl w:val="off"/>
        <w:rPr>
          <w:rFonts w:hint="eastAsia"/>
          <w:b/>
          <w:color w:val="000000" w:themeColor="text1"/>
          <w:sz w:val="24"/>
          <w:szCs w:val="24"/>
          <w:highlight w:val="none"/>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10.1、</w:t>
      </w:r>
      <w:r>
        <w:rPr>
          <w:rFonts w:hint="eastAsia"/>
          <w:color w:val="000000" w:themeColor="text1"/>
          <w:sz w:val="21"/>
          <w:szCs w:val="21"/>
          <w14:textFill>
            <w14:solidFill>
              <w14:schemeClr w14:val="tx1"/>
            </w14:solidFill>
          </w14:textFill>
        </w:rPr>
        <w:t xml:space="preserve">均质器主机1台、防污染废液槽、</w:t>
      </w:r>
      <w:r>
        <w:rPr>
          <w:rFonts w:hint="eastAsia"/>
          <w:color w:val="000000" w:themeColor="text1"/>
          <w:sz w:val="21"/>
          <w:szCs w:val="21"/>
          <w:lang w:val="en-US" w:eastAsia="zh-CN"/>
          <w14:textFill>
            <w14:solidFill>
              <w14:schemeClr w14:val="tx1"/>
            </w14:solidFill>
          </w14:textFill>
        </w:rPr>
        <w:t xml:space="preserve">500</w:t>
      </w:r>
      <w:r>
        <w:rPr>
          <w:rFonts w:hint="eastAsia"/>
          <w:color w:val="000000" w:themeColor="text1"/>
          <w:sz w:val="21"/>
          <w:szCs w:val="21"/>
          <w14:textFill>
            <w14:solidFill>
              <w14:schemeClr w14:val="tx1"/>
            </w14:solidFill>
          </w14:textFill>
        </w:rPr>
        <w:t xml:space="preserve">个拍击式均质袋。</w:t>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六、售后服务要求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3、提供质保期内仪器搬迁服务，协助用户搬迁实验室并完成机器调试</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（二）技术培训</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注：全自动微生物质谱检测仪要提供4名及以上厂家免费培训名额（包括来回交通、食宿）</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（三）后期维护</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宁区疾病预防控制中心全自动微生物质谱检测仪等仪器设备采购项目每年免费设备维护和现场巡检至少1次。因投标方设计安装原因而出现故障，则质保期从故障修复之日起重新开始计算。同步延长江宁区疾病预防控制中心全自动微生物质谱检测仪等仪器设备采购项目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（四）服务要求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江宁区疾病预防控制中心全自动微生物质谱检测仪等仪器设备采购项目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八、异常低价问题的处理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bookmarkStart w:id="96" w:name="_GoBack"/>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bookmarkEnd w:id="96"/>
      <w:r/>
      <w:r/>
    </w:p>
    <w:p>
      <w:pPr>
        <w:pStyle w:val="894"/>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4"/>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医疗设备采购合同</w:t>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b/>
          <w:bCs/>
          <w:color w:val="000000" w:themeColor="text1"/>
          <w:sz w:val="144"/>
          <w:szCs w:val="144"/>
          <w:highlight w:val="none"/>
          <w14:textFill>
            <w14:solidFill>
              <w14:schemeClr w14:val="tx1"/>
            </w14:solidFill>
          </w14:textFill>
        </w:rPr>
      </w:pPr>
      <w:r>
        <w:rPr>
          <w:b/>
          <w:bCs/>
          <w:color w:val="000000" w:themeColor="text1"/>
          <w:sz w:val="144"/>
          <w:szCs w:val="144"/>
          <w:highlight w:val="none"/>
          <w14:textFill>
            <w14:solidFill>
              <w14:schemeClr w14:val="tx1"/>
            </w14:solidFill>
          </w14:textFill>
        </w:rPr>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合同编号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项目名称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设备</w:t>
      </w:r>
      <w:r>
        <w:rPr>
          <w:b/>
          <w:bCs/>
          <w:color w:val="000000" w:themeColor="text1"/>
          <w:sz w:val="32"/>
          <w:szCs w:val="40"/>
          <w:highlight w:val="none"/>
          <w14:textFill>
            <w14:solidFill>
              <w14:schemeClr w14:val="tx1"/>
            </w14:solidFill>
          </w14:textFill>
        </w:rPr>
        <w:t xml:space="preserve">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采购单位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南京市江宁区疾病预防控制中心</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rFonts w:hint="eastAsia"/>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中标单位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b/>
          <w:bCs/>
          <w:color w:val="000000" w:themeColor="text1"/>
          <w:sz w:val="32"/>
          <w:szCs w:val="40"/>
          <w:highlight w:val="non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招标代理单位名称</w:t>
      </w:r>
      <w:r>
        <w:rPr>
          <w:rFonts w:hint="eastAsia"/>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color w:val="000000" w:themeColor="text1"/>
          <w:highlight w:val="none"/>
          <w14:textFill>
            <w14:solidFill>
              <w14:schemeClr w14:val="tx1"/>
            </w14:solidFill>
          </w14:textFill>
        </w:rPr>
      </w:pPr>
      <w:r>
        <w:rPr>
          <w:b/>
          <w:bCs/>
          <w:color w:val="000000" w:themeColor="text1"/>
          <w:sz w:val="32"/>
          <w:szCs w:val="40"/>
          <w:highlight w:val="none"/>
          <w14:textFill>
            <w14:solidFill>
              <w14:schemeClr w14:val="tx1"/>
            </w14:solidFill>
          </w14:textFill>
        </w:rPr>
        <w:t xml:space="preserve">签订日期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年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月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日   </w:t>
      </w:r>
      <w:r/>
    </w:p>
    <w:p>
      <w:pPr>
        <w:ind w:left="0" w:firstLine="480"/>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643"/>
        <w:jc w:val="center"/>
        <w:spacing w:line="360" w:lineRule="auto"/>
        <w:rPr>
          <w:rFonts w:ascii="宋体"/>
          <w:b/>
          <w:color w:val="000000" w:themeColor="text1"/>
          <w:sz w:val="32"/>
          <w:szCs w:val="32"/>
          <w:highlight w:val="none"/>
          <w14:textFill>
            <w14:solidFill>
              <w14:schemeClr w14:val="tx1"/>
            </w14:solidFill>
          </w14:textFill>
        </w:rPr>
      </w:pPr>
      <w:r>
        <w:rPr>
          <w:rFonts w:hint="eastAsia" w:ascii="宋体"/>
          <w:b/>
          <w:color w:val="000000" w:themeColor="text1"/>
          <w:sz w:val="32"/>
          <w:szCs w:val="32"/>
          <w:highlight w:val="none"/>
          <w14:textFill>
            <w14:solidFill>
              <w14:schemeClr w14:val="tx1"/>
            </w14:solidFill>
          </w14:textFill>
        </w:rPr>
        <w:t xml:space="preserve">购销合同</w:t>
      </w:r>
      <w:r/>
    </w:p>
    <w:p>
      <w:pPr>
        <w:jc w:val="left"/>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甲方：（买方）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南京市江宁区疾病预防控制中心</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乙方：（卖方）</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根据《民法典》以及《招标文件》、乙方《投标文件》，遵循平等、自愿、公平和诚实信用等原则</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Courier New"/>
          <w:color w:val="000000" w:themeColor="text1"/>
          <w:szCs w:val="21"/>
          <w:highlight w:val="none"/>
          <w14:textFill>
            <w14:solidFill>
              <w14:schemeClr w14:val="tx1"/>
            </w14:solidFill>
          </w14:textFill>
        </w:rPr>
        <w:t xml:space="preserve">甲乙双方同意按下述条款和条件签订本合同，并共同遵守。</w:t>
      </w:r>
      <w:r/>
    </w:p>
    <w:p>
      <w:pPr>
        <w:numPr>
          <w:ilvl w:val="0"/>
          <w:numId w:val="7"/>
        </w:numPr>
        <w:ind w:firstLine="482"/>
        <w:keepLines w:val="0"/>
        <w:keepNext w:val="0"/>
        <w:pageBreakBefore w:val="0"/>
        <w:spacing w:line="400" w:lineRule="exact"/>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设备项目</w:t>
      </w:r>
      <w:r/>
    </w:p>
    <w:p>
      <w:pPr>
        <w:numPr>
          <w:ilvl w:val="0"/>
          <w:numId w:val="0"/>
        </w:numPr>
        <w:keepLines w:val="0"/>
        <w:keepNext w:val="0"/>
        <w:pageBreakBefore w:val="0"/>
        <w:spacing w:line="400" w:lineRule="exact"/>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lang w:val="en-US" w:eastAsia="zh-CN"/>
          <w14:textFill>
            <w14:solidFill>
              <w14:schemeClr w14:val="tx1"/>
            </w14:solidFill>
          </w14:textFill>
        </w:rPr>
        <w:t xml:space="preserve">项目名称：</w:t>
      </w:r>
      <w:r/>
    </w:p>
    <w:tbl>
      <w:tblPr>
        <w:tblStyle w:val="683"/>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产品</w:t>
            </w:r>
            <w:r>
              <w:rPr>
                <w:rFonts w:hint="eastAsia" w:ascii="宋体" w:hAnsi="宋体"/>
                <w:bCs/>
                <w:color w:val="000000" w:themeColor="text1"/>
                <w:szCs w:val="21"/>
                <w:highlight w:val="none"/>
                <w:lang w:val="en-US" w:eastAsia="zh-CN"/>
                <w14:textFill>
                  <w14:solidFill>
                    <w14:schemeClr w14:val="tx1"/>
                  </w14:solidFill>
                </w14:textFill>
              </w:rPr>
              <w:t xml:space="preserve">注册证</w:t>
            </w:r>
            <w:r>
              <w:rPr>
                <w:rFonts w:hint="eastAsia" w:ascii="宋体" w:hAnsi="宋体"/>
                <w:bCs/>
                <w:color w:val="000000" w:themeColor="text1"/>
                <w:szCs w:val="21"/>
                <w:highlight w:val="none"/>
                <w14:textFill>
                  <w14:solidFill>
                    <w14:schemeClr w14:val="tx1"/>
                  </w14:solidFill>
                </w14:textFill>
              </w:rPr>
              <w:t xml:space="preserve">名称</w:t>
            </w:r>
            <w:r>
              <w:rPr>
                <w:rFonts w:hint="eastAsia" w:ascii="宋体" w:hAnsi="宋体"/>
                <w:bCs/>
                <w:color w:val="000000" w:themeColor="text1"/>
                <w:szCs w:val="21"/>
                <w:highlight w:val="none"/>
                <w:lang w:val="en-US" w:eastAsia="zh-CN"/>
                <w14:textFill>
                  <w14:solidFill>
                    <w14:schemeClr w14:val="tx1"/>
                  </w14:solidFill>
                </w14:textFill>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计量</w:t>
            </w:r>
            <w:r>
              <w:rPr>
                <w:rFonts w:hint="eastAsia" w:ascii="宋体" w:hAnsi="宋体"/>
                <w:bCs/>
                <w:color w:val="000000" w:themeColor="text1"/>
                <w:szCs w:val="21"/>
                <w:highlight w:val="none"/>
                <w14:textFill>
                  <w14:solidFill>
                    <w14:schemeClr w14:val="tx1"/>
                  </w14:solidFill>
                </w14:textFill>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合计</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含税合计 人民币</w:t>
            </w:r>
            <w:r>
              <w:rPr>
                <w:rFonts w:hint="eastAsia" w:ascii="宋体" w:hAnsi="宋体" w:cs="Arial"/>
                <w:bCs/>
                <w:color w:val="000000" w:themeColor="text1"/>
                <w:szCs w:val="21"/>
                <w:highlight w:val="none"/>
                <w:u w:val="single"/>
                <w14:textFill>
                  <w14:solidFill>
                    <w14:schemeClr w14:val="tx1"/>
                  </w14:solidFill>
                </w14:textFill>
              </w:rPr>
              <w:t xml:space="preserve">                 </w:t>
            </w:r>
            <w:r>
              <w:rPr>
                <w:rFonts w:hint="eastAsia" w:ascii="宋体" w:hAnsi="宋体" w:cs="Arial"/>
                <w:bCs/>
                <w:color w:val="000000" w:themeColor="text1"/>
                <w:szCs w:val="21"/>
                <w:highlight w:val="none"/>
                <w14:textFill>
                  <w14:solidFill>
                    <w14:schemeClr w14:val="tx1"/>
                  </w14:solidFill>
                </w14:textFill>
              </w:rPr>
              <w:t xml:space="preserve">元 </w:t>
            </w:r>
            <w:r/>
          </w:p>
        </w:tc>
      </w:tr>
    </w:tbl>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二、合同金额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  合同</w:t>
      </w:r>
      <w:r>
        <w:rPr>
          <w:rFonts w:hint="eastAsia" w:ascii="宋体" w:hAnsi="宋体"/>
          <w:color w:val="000000" w:themeColor="text1"/>
          <w:szCs w:val="21"/>
          <w:highlight w:val="none"/>
          <w:lang w:val="en-US" w:eastAsia="zh-CN"/>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三、技术资料</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乙方应向甲方提供使用</w:t>
      </w:r>
      <w:r>
        <w:rPr>
          <w:rFonts w:hint="eastAsia" w:ascii="宋体" w:hAnsi="宋体"/>
          <w:color w:val="000000" w:themeColor="text1"/>
          <w:szCs w:val="21"/>
          <w:highlight w:val="none"/>
          <w14:textFill>
            <w14:solidFill>
              <w14:schemeClr w14:val="tx1"/>
            </w14:solidFill>
          </w14:textFill>
        </w:rPr>
        <w:t xml:space="preserve">产品</w:t>
      </w:r>
      <w:r>
        <w:rPr>
          <w:rFonts w:ascii="宋体" w:hAnsi="宋体"/>
          <w:color w:val="000000" w:themeColor="text1"/>
          <w:szCs w:val="21"/>
          <w:highlight w:val="none"/>
          <w14:textFill>
            <w14:solidFill>
              <w14:schemeClr w14:val="tx1"/>
            </w14:solidFill>
          </w14:textFill>
        </w:rPr>
        <w:t xml:space="preserve">的有关技术资料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color w:val="000000" w:themeColor="text1"/>
          <w:szCs w:val="21"/>
          <w:highlight w:val="none"/>
          <w14:textFill>
            <w14:solidFill>
              <w14:schemeClr w14:val="tx1"/>
            </w14:solidFill>
          </w14:textFill>
        </w:rPr>
        <w:t xml:space="preserve">：技术说明书、使用说明书、安装维修手册、操作手册、常用易消耗品清单等。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四、知识产权</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w:t>
      </w:r>
      <w:r>
        <w:rPr>
          <w:rFonts w:hint="eastAsia" w:ascii="宋体" w:hAnsi="宋体"/>
          <w:color w:val="000000" w:themeColor="text1"/>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五、产权担保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w:t>
      </w:r>
      <w:r>
        <w:rPr>
          <w:rFonts w:ascii="宋体" w:hAnsi="宋体"/>
          <w:b/>
          <w:color w:val="000000" w:themeColor="text1"/>
          <w:szCs w:val="21"/>
          <w:highlight w:val="none"/>
          <w14:textFill>
            <w14:solidFill>
              <w14:schemeClr w14:val="tx1"/>
            </w14:solidFill>
          </w14:textFill>
        </w:rPr>
        <w:t xml:space="preserve">实施</w:t>
      </w:r>
      <w:r/>
    </w:p>
    <w:p>
      <w:pPr>
        <w:ind w:firstLine="480"/>
        <w:keepLines w:val="0"/>
        <w:keepNext w:val="0"/>
        <w:pageBreakBefore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本次采购采用乙方送货的供货方式，免费安装、调试完毕方视为交付</w:t>
      </w:r>
      <w:r>
        <w:rPr>
          <w:rFonts w:hint="eastAsia" w:ascii="Times New Roman" w:hAnsi="Times New Roman"/>
          <w:color w:val="000000" w:themeColor="text1"/>
          <w:szCs w:val="21"/>
          <w:highlight w:val="none"/>
          <w:lang w:val="en-US" w:eastAsia="zh-CN"/>
          <w14:textFill>
            <w14:solidFill>
              <w14:schemeClr w14:val="tx1"/>
            </w14:solidFill>
          </w14:textFill>
        </w:rPr>
        <w:t xml:space="preserve">甲</w:t>
      </w:r>
      <w:r>
        <w:rPr>
          <w:rFonts w:ascii="Times New Roman" w:hAnsi="Times New Roman"/>
          <w:color w:val="000000" w:themeColor="text1"/>
          <w:szCs w:val="21"/>
          <w:highlight w:val="none"/>
          <w14:textFill>
            <w14:solidFill>
              <w14:schemeClr w14:val="tx1"/>
            </w14:solidFill>
          </w14:textFill>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6.2  </w:t>
      </w:r>
      <w:r>
        <w:rPr>
          <w:rFonts w:hint="eastAsia" w:ascii="宋体" w:hAnsi="宋体"/>
          <w:color w:val="000000" w:themeColor="text1"/>
          <w:szCs w:val="21"/>
          <w:highlight w:val="none"/>
          <w14:textFill>
            <w14:solidFill>
              <w14:schemeClr w14:val="tx1"/>
            </w14:solidFill>
          </w14:textFill>
        </w:rPr>
        <w:t xml:space="preserve">交货</w:t>
      </w:r>
      <w:r>
        <w:rPr>
          <w:rFonts w:hint="eastAsia" w:ascii="Times New Roman" w:hAnsi="Times New Roman"/>
          <w:color w:val="000000" w:themeColor="text1"/>
          <w:szCs w:val="21"/>
          <w:highlight w:val="none"/>
          <w14:textFill>
            <w14:solidFill>
              <w14:schemeClr w14:val="tx1"/>
            </w14:solidFill>
          </w14:textFill>
        </w:rPr>
        <w:t xml:space="preserve">期</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6.3</w:t>
      </w:r>
      <w:r>
        <w:rPr>
          <w:rFonts w:hint="eastAsia" w:ascii="宋体"/>
          <w:color w:val="000000" w:themeColor="text1"/>
          <w:szCs w:val="21"/>
          <w:highlight w:val="none"/>
          <w14:textFill>
            <w14:solidFill>
              <w14:schemeClr w14:val="tx1"/>
            </w14:solidFill>
          </w14:textFill>
        </w:rPr>
        <w:t xml:space="preserve"> 交货</w:t>
      </w:r>
      <w:r>
        <w:rPr>
          <w:rFonts w:hint="eastAsia" w:ascii="Times New Roman" w:hAnsi="Times New Roman"/>
          <w:color w:val="000000" w:themeColor="text1"/>
          <w:szCs w:val="21"/>
          <w:highlight w:val="none"/>
          <w14:textFill>
            <w14:solidFill>
              <w14:schemeClr w14:val="tx1"/>
            </w14:solidFill>
          </w14:textFill>
        </w:rPr>
        <w:t xml:space="preserve">地点：甲方指定地点。设备到达</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设备使用方指定地方</w:t>
      </w:r>
      <w:r>
        <w:rPr>
          <w:rFonts w:hint="eastAsia" w:ascii="Times New Roman" w:hAnsi="Times New Roman"/>
          <w:color w:val="000000" w:themeColor="text1"/>
          <w:szCs w:val="21"/>
          <w:highlight w:val="none"/>
          <w14:textFill>
            <w14:solidFill>
              <w14:schemeClr w14:val="tx1"/>
            </w14:solidFill>
          </w14:textFill>
        </w:rPr>
        <w:t xml:space="preserve">时，乙方代表必须同时到达，由乙方负责卸货并搬运至</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w:t>
      </w:r>
      <w:r>
        <w:rPr>
          <w:rFonts w:hint="eastAsia" w:ascii="Times New Roman" w:hAnsi="Times New Roman"/>
          <w:color w:val="000000" w:themeColor="text1"/>
          <w:szCs w:val="21"/>
          <w:highlight w:val="none"/>
          <w14:textFill>
            <w14:solidFill>
              <w14:schemeClr w14:val="tx1"/>
            </w14:solidFill>
          </w14:textFill>
        </w:rPr>
        <w:t xml:space="preserve">指定的地点，待设备搬运完毕后，乙</w:t>
      </w:r>
      <w:r>
        <w:rPr>
          <w:rFonts w:hint="eastAsia" w:ascii="Times New Roman" w:hAnsi="Times New Roman"/>
          <w:color w:val="000000" w:themeColor="text1"/>
          <w:szCs w:val="21"/>
          <w:highlight w:val="none"/>
          <w:lang w:val="en-US" w:eastAsia="zh-CN"/>
          <w14:textFill>
            <w14:solidFill>
              <w14:schemeClr w14:val="tx1"/>
            </w14:solidFill>
          </w14:textFill>
        </w:rPr>
        <w:t xml:space="preserve">方、设备使用方</w:t>
      </w:r>
      <w:r>
        <w:rPr>
          <w:rFonts w:hint="eastAsia" w:ascii="Times New Roman" w:hAnsi="Times New Roman"/>
          <w:color w:val="000000" w:themeColor="text1"/>
          <w:szCs w:val="21"/>
          <w:highlight w:val="none"/>
          <w14:textFill>
            <w14:solidFill>
              <w14:schemeClr w14:val="tx1"/>
            </w14:solidFill>
          </w14:textFill>
        </w:rPr>
        <w:t xml:space="preserve">办理交接手</w:t>
      </w:r>
      <w:r>
        <w:rPr>
          <w:rFonts w:ascii="Times New Roman" w:hAnsi="Times New Roman"/>
          <w:color w:val="000000" w:themeColor="text1"/>
          <w:szCs w:val="21"/>
          <w:highlight w:val="none"/>
          <w14:textFill>
            <w14:solidFill>
              <w14:schemeClr w14:val="tx1"/>
            </w14:solidFill>
          </w14:textFill>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6.4  数据</w:t>
      </w:r>
      <w:r>
        <w:rPr>
          <w:rFonts w:hint="eastAsia" w:ascii="Times New Roman" w:hAnsi="Times New Roman"/>
          <w:color w:val="000000" w:themeColor="text1"/>
          <w:szCs w:val="21"/>
          <w:highlight w:val="none"/>
          <w14:textFill>
            <w14:solidFill>
              <w14:schemeClr w14:val="tx1"/>
            </w14:solidFill>
          </w14:textFill>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七、包装、运输、交货</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每件包装箱内应附一份详细装箱单和质量合格标识。</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乙方负责安排运输，并承担相关费用。</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八、货款支付</w:t>
      </w:r>
      <w:r/>
    </w:p>
    <w:p>
      <w:pPr>
        <w:pStyle w:val="688"/>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8.1 </w:t>
      </w:r>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ascii="Times New Roman" w:hAnsi="Times New Roman"/>
          <w:bCs/>
          <w:color w:val="000000" w:themeColor="text1"/>
          <w:szCs w:val="21"/>
          <w:highlight w:val="none"/>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90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1</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8.2  </w:t>
      </w:r>
      <w:r>
        <w:rPr>
          <w:rFonts w:hint="eastAsia" w:ascii="宋体"/>
          <w:color w:val="000000" w:themeColor="text1"/>
          <w:szCs w:val="21"/>
          <w:highlight w:val="none"/>
          <w14:textFill>
            <w14:solidFill>
              <w14:schemeClr w14:val="tx1"/>
            </w14:solidFill>
          </w14:textFill>
        </w:rPr>
        <w:t xml:space="preserve">在达到本合</w:t>
      </w:r>
      <w:r>
        <w:rPr>
          <w:rFonts w:ascii="Times New Roman" w:hAnsi="Times New Roman"/>
          <w:color w:val="000000" w:themeColor="text1"/>
          <w:highlight w:val="none"/>
          <w14:textFill>
            <w14:solidFill>
              <w14:schemeClr w14:val="tx1"/>
            </w14:solidFill>
          </w14:textFill>
        </w:rPr>
        <w:t xml:space="preserve">同约定的付款条件后，乙方应向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方出具正式合法的全额增值税发票，在乙方向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方提出付款申请并提供发票之前，</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方有权拒绝付款。因乙方原因致使</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未能及时付款所产生的责任由乙方负责，甲方</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不承担违约责任。</w:t>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九</w:t>
      </w:r>
      <w:r>
        <w:rPr>
          <w:rFonts w:ascii="宋体"/>
          <w:b/>
          <w:color w:val="000000" w:themeColor="text1"/>
          <w:szCs w:val="21"/>
          <w:highlight w:val="none"/>
          <w14:textFill>
            <w14:solidFill>
              <w14:schemeClr w14:val="tx1"/>
            </w14:solidFill>
          </w14:textFill>
        </w:rPr>
        <w:t xml:space="preserve">、</w:t>
      </w:r>
      <w:r>
        <w:rPr>
          <w:rFonts w:hint="eastAsia" w:ascii="宋体"/>
          <w:b/>
          <w:color w:val="000000" w:themeColor="text1"/>
          <w:szCs w:val="21"/>
          <w:highlight w:val="none"/>
          <w14:textFill>
            <w14:solidFill>
              <w14:schemeClr w14:val="tx1"/>
            </w14:solidFill>
          </w14:textFill>
        </w:rPr>
        <w:t xml:space="preserve">发票开具</w:t>
      </w:r>
      <w:r/>
    </w:p>
    <w:p>
      <w:pPr>
        <w:ind w:firstLine="480"/>
        <w:jc w:val="left"/>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十、安装及调试</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  设备安装期间，乙方须签订《设备安装安全责任书》。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十一、验收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11.1  设备投入运行前，</w:t>
      </w:r>
      <w:r>
        <w:rPr>
          <w:rFonts w:ascii="宋体"/>
          <w:color w:val="000000" w:themeColor="text1"/>
          <w:szCs w:val="21"/>
          <w:highlight w:val="none"/>
          <w14:textFill>
            <w14:solidFill>
              <w14:schemeClr w14:val="tx1"/>
            </w14:solidFill>
          </w14:textFill>
        </w:rPr>
        <w:t xml:space="preserve">乙方需向甲方提交验收申请</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由甲方组织对</w:t>
      </w:r>
      <w:r>
        <w:rPr>
          <w:rFonts w:hint="eastAsia" w:ascii="宋体"/>
          <w:color w:val="000000" w:themeColor="text1"/>
          <w:szCs w:val="21"/>
          <w:highlight w:val="none"/>
          <w14:textFill>
            <w14:solidFill>
              <w14:schemeClr w14:val="tx1"/>
            </w14:solidFill>
          </w14:textFill>
        </w:rPr>
        <w:t xml:space="preserve">设备</w:t>
      </w:r>
      <w:r>
        <w:rPr>
          <w:rFonts w:ascii="宋体"/>
          <w:color w:val="000000" w:themeColor="text1"/>
          <w:szCs w:val="21"/>
          <w:highlight w:val="none"/>
          <w14:textFill>
            <w14:solidFill>
              <w14:schemeClr w14:val="tx1"/>
            </w14:solidFill>
          </w14:textFill>
        </w:rPr>
        <w:t xml:space="preserve">进行初步验收，验收标准：对照招标文件、投标文件、合同及合同附件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使用</w:t>
      </w:r>
      <w:r>
        <w:rPr>
          <w:rFonts w:hint="eastAsia" w:ascii="宋体"/>
          <w:color w:val="000000" w:themeColor="text1"/>
          <w:szCs w:val="21"/>
          <w:highlight w:val="none"/>
          <w14:textFill>
            <w14:solidFill>
              <w14:schemeClr w14:val="tx1"/>
            </w14:solidFill>
          </w14:textFill>
        </w:rPr>
        <w:t xml:space="preserve">部门</w:t>
      </w:r>
      <w:r>
        <w:rPr>
          <w:rFonts w:ascii="宋体"/>
          <w:color w:val="000000" w:themeColor="text1"/>
          <w:szCs w:val="21"/>
          <w:highlight w:val="none"/>
          <w14:textFill>
            <w14:solidFill>
              <w14:schemeClr w14:val="tx1"/>
            </w14:solidFill>
          </w14:textFill>
        </w:rPr>
        <w:t xml:space="preserve">负责人签字确认合格后</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通过初验后进行试运行。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11.2  设备</w:t>
      </w:r>
      <w:r>
        <w:rPr>
          <w:rFonts w:ascii="宋体"/>
          <w:color w:val="000000" w:themeColor="text1"/>
          <w:szCs w:val="21"/>
          <w:highlight w:val="none"/>
          <w14:textFill>
            <w14:solidFill>
              <w14:schemeClr w14:val="tx1"/>
            </w14:solidFill>
          </w14:textFill>
        </w:rPr>
        <w:t xml:space="preserve">投入</w:t>
      </w:r>
      <w:r>
        <w:rPr>
          <w:rFonts w:hint="eastAsia" w:ascii="宋体"/>
          <w:color w:val="000000" w:themeColor="text1"/>
          <w:szCs w:val="21"/>
          <w:highlight w:val="none"/>
          <w14:textFill>
            <w14:solidFill>
              <w14:schemeClr w14:val="tx1"/>
            </w14:solidFill>
          </w14:textFill>
        </w:rPr>
        <w:t xml:space="preserve">试运行</w:t>
      </w:r>
      <w:r>
        <w:rPr>
          <w:rFonts w:ascii="宋体"/>
          <w:color w:val="000000" w:themeColor="text1"/>
          <w:szCs w:val="21"/>
          <w:highlight w:val="none"/>
          <w14:textFill>
            <w14:solidFill>
              <w14:schemeClr w14:val="tx1"/>
            </w14:solidFill>
          </w14:textFill>
        </w:rPr>
        <w:t xml:space="preserve">后正常</w:t>
      </w:r>
      <w:r>
        <w:rPr>
          <w:rFonts w:hint="eastAsia" w:ascii="宋体"/>
          <w:color w:val="000000" w:themeColor="text1"/>
          <w:szCs w:val="21"/>
          <w:highlight w:val="none"/>
          <w14:textFill>
            <w14:solidFill>
              <w14:schemeClr w14:val="tx1"/>
            </w14:solidFill>
          </w14:textFill>
        </w:rPr>
        <w:t xml:space="preserve">工作</w:t>
      </w:r>
      <w:r>
        <w:rPr>
          <w:rFonts w:hint="eastAsia" w:ascii="宋体"/>
          <w:color w:val="000000" w:themeColor="text1"/>
          <w:szCs w:val="21"/>
          <w:highlight w:val="none"/>
          <w:u w:val="single"/>
          <w14:textFill>
            <w14:solidFill>
              <w14:schemeClr w14:val="tx1"/>
            </w14:solidFill>
          </w14:textFill>
        </w:rPr>
        <w:t xml:space="preserve">10</w:t>
      </w:r>
      <w:r>
        <w:rPr>
          <w:rFonts w:hint="eastAsia" w:ascii="宋体"/>
          <w:color w:val="000000" w:themeColor="text1"/>
          <w:szCs w:val="21"/>
          <w:highlight w:val="none"/>
          <w14:textFill>
            <w14:solidFill>
              <w14:schemeClr w14:val="tx1"/>
            </w14:solidFill>
          </w14:textFill>
        </w:rPr>
        <w:t xml:space="preserve">个工作日</w:t>
      </w:r>
      <w:r>
        <w:rPr>
          <w:rFonts w:ascii="宋体"/>
          <w:color w:val="000000" w:themeColor="text1"/>
          <w:szCs w:val="21"/>
          <w:highlight w:val="none"/>
          <w14:textFill>
            <w14:solidFill>
              <w14:schemeClr w14:val="tx1"/>
            </w14:solidFill>
          </w14:textFill>
        </w:rPr>
        <w:t xml:space="preserve">，甲</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双方</w:t>
      </w:r>
      <w:r>
        <w:rPr>
          <w:rFonts w:ascii="宋体"/>
          <w:color w:val="000000" w:themeColor="text1"/>
          <w:szCs w:val="21"/>
          <w:highlight w:val="none"/>
          <w14:textFill>
            <w14:solidFill>
              <w14:schemeClr w14:val="tx1"/>
            </w14:solidFill>
          </w14:textFill>
        </w:rPr>
        <w:t xml:space="preserve">共同进行最终验收。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11.5  验收时乙方必须提供完整的验收资料</w:t>
      </w:r>
      <w:r>
        <w:rPr>
          <w:rFonts w:hint="eastAsia" w:ascii="宋体"/>
          <w:color w:val="000000" w:themeColor="text1"/>
          <w:szCs w:val="21"/>
          <w:highlight w:val="none"/>
          <w:lang w:eastAsia="zh-CN"/>
          <w14:textFill>
            <w14:solidFill>
              <w14:schemeClr w14:val="tx1"/>
            </w14:solidFill>
          </w14:textFill>
        </w:rPr>
        <w:t xml:space="preserve">、</w:t>
      </w:r>
      <w:r>
        <w:rPr>
          <w:rFonts w:ascii="Times New Roman" w:hAnsi="Times New Roman"/>
          <w:bCs/>
          <w:color w:val="000000" w:themeColor="text1"/>
          <w:szCs w:val="21"/>
          <w:highlight w:val="none"/>
          <w14:textFill>
            <w14:solidFill>
              <w14:schemeClr w14:val="tx1"/>
            </w14:solidFill>
          </w14:textFill>
        </w:rPr>
        <w:t xml:space="preserve">产品必备的证件，包括注册证（含附件产品技术要求）、原厂出具的合格证明文件、安全认证、中文标签、经营及生产资质、海关报关单、商检合格证明等并加盖公章，</w:t>
      </w:r>
      <w:r>
        <w:rPr>
          <w:rFonts w:hint="eastAsia"/>
          <w:bCs/>
          <w:color w:val="000000" w:themeColor="text1"/>
          <w:szCs w:val="21"/>
          <w:highlight w:val="none"/>
          <w:lang w:val="en-US" w:eastAsia="zh-CN"/>
          <w14:textFill>
            <w14:solidFill>
              <w14:schemeClr w14:val="tx1"/>
            </w14:solidFill>
          </w14:textFill>
        </w:rPr>
        <w:t xml:space="preserve">中文说明书与中文</w:t>
      </w:r>
      <w:r>
        <w:rPr>
          <w:rFonts w:ascii="Times New Roman" w:hAnsi="Times New Roman"/>
          <w:bCs/>
          <w:color w:val="000000" w:themeColor="text1"/>
          <w:szCs w:val="21"/>
          <w:highlight w:val="none"/>
          <w14:textFill>
            <w14:solidFill>
              <w14:schemeClr w14:val="tx1"/>
            </w14:solidFill>
          </w14:textFill>
        </w:rPr>
        <w:t xml:space="preserve">操作手册、简易操作流程卡、维修手册（含详细电路图）一并提供，及以上技术资料的电子版，如资料不全，</w:t>
      </w:r>
      <w:r>
        <w:rPr>
          <w:rFonts w:hint="eastAsia" w:ascii="Times New Roman" w:hAnsi="Times New Roman"/>
          <w:bCs/>
          <w:color w:val="000000" w:themeColor="text1"/>
          <w:szCs w:val="21"/>
          <w:highlight w:val="none"/>
          <w:lang w:val="en-US" w:eastAsia="zh-CN"/>
          <w14:textFill>
            <w14:solidFill>
              <w14:schemeClr w14:val="tx1"/>
            </w14:solidFill>
          </w14:textFill>
        </w:rPr>
        <w:t xml:space="preserve">设备使用方</w:t>
      </w:r>
      <w:r>
        <w:rPr>
          <w:rFonts w:ascii="Times New Roman" w:hAnsi="Times New Roman"/>
          <w:bCs/>
          <w:color w:val="000000" w:themeColor="text1"/>
          <w:szCs w:val="21"/>
          <w:highlight w:val="none"/>
          <w14:textFill>
            <w14:solidFill>
              <w14:schemeClr w14:val="tx1"/>
            </w14:solidFill>
          </w14:textFill>
        </w:rPr>
        <w:t xml:space="preserve">不予验收，因此产生的损失由乙方自行承担。</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11.6  乙方提供原版印刷产品技术指标文件。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十二、技术培训：</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w:t>
      </w:r>
      <w:r>
        <w:rPr>
          <w:rFonts w:hint="eastAsia" w:ascii="宋体"/>
          <w:color w:val="000000" w:themeColor="text1"/>
          <w:szCs w:val="21"/>
          <w:highlight w:val="none"/>
          <w14:textFill>
            <w14:solidFill>
              <w14:schemeClr w14:val="tx1"/>
            </w14:solidFill>
          </w14:textFill>
        </w:rPr>
        <w:t xml:space="preserve">技术培训要求</w:t>
      </w:r>
      <w:r>
        <w:rPr>
          <w:rFonts w:ascii="宋体"/>
          <w:color w:val="000000" w:themeColor="text1"/>
          <w:szCs w:val="21"/>
          <w:highlight w:val="none"/>
          <w14:textFill>
            <w14:solidFill>
              <w14:schemeClr w14:val="tx1"/>
            </w14:solidFill>
          </w14:textFill>
        </w:rPr>
        <w:t xml:space="preserve">详见招标文件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》中技术服务条款。</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十三</w:t>
      </w:r>
      <w:r>
        <w:rPr>
          <w:rFonts w:ascii="宋体"/>
          <w:b/>
          <w:color w:val="000000" w:themeColor="text1"/>
          <w:szCs w:val="21"/>
          <w:highlight w:val="none"/>
          <w14:textFill>
            <w14:solidFill>
              <w14:schemeClr w14:val="tx1"/>
            </w14:solidFill>
          </w14:textFill>
        </w:rPr>
        <w:t xml:space="preserve">、质量保证及售后服务</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13.1  </w:t>
      </w:r>
      <w:r>
        <w:rPr>
          <w:rFonts w:ascii="宋体"/>
          <w:color w:val="000000" w:themeColor="text1"/>
          <w:szCs w:val="21"/>
          <w:highlight w:val="none"/>
          <w14:textFill>
            <w14:solidFill>
              <w14:schemeClr w14:val="tx1"/>
            </w14:solidFill>
          </w14:textFill>
        </w:rPr>
        <w:t xml:space="preserve">乙方应按招标文件规定的货物性能、技术要求、质量标准向甲方提供未经使用的</w:t>
      </w:r>
      <w:r>
        <w:rPr>
          <w:rFonts w:hint="eastAsia" w:ascii="宋体"/>
          <w:color w:val="000000" w:themeColor="text1"/>
          <w:szCs w:val="21"/>
          <w:highlight w:val="none"/>
          <w14:textFill>
            <w14:solidFill>
              <w14:schemeClr w14:val="tx1"/>
            </w14:solidFill>
          </w14:textFill>
        </w:rPr>
        <w:t xml:space="preserve">两年内出厂的</w:t>
      </w:r>
      <w:r>
        <w:rPr>
          <w:rFonts w:ascii="宋体"/>
          <w:color w:val="000000" w:themeColor="text1"/>
          <w:szCs w:val="21"/>
          <w:highlight w:val="none"/>
          <w14:textFill>
            <w14:solidFill>
              <w14:schemeClr w14:val="tx1"/>
            </w14:solidFill>
          </w14:textFill>
        </w:rPr>
        <w:t xml:space="preserve">产品。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13.2  售后</w:t>
      </w:r>
      <w:r>
        <w:rPr>
          <w:rFonts w:ascii="宋体"/>
          <w:color w:val="000000" w:themeColor="text1"/>
          <w:szCs w:val="21"/>
          <w:highlight w:val="none"/>
          <w14:textFill>
            <w14:solidFill>
              <w14:schemeClr w14:val="tx1"/>
            </w14:solidFill>
          </w14:textFill>
        </w:rPr>
        <w:t xml:space="preserve">服务</w:t>
      </w:r>
      <w:r>
        <w:rPr>
          <w:rFonts w:hint="eastAsia" w:asci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整机免费提供原厂质保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。乙方保证保修期内年开机率</w:t>
      </w:r>
      <w:r>
        <w:rPr>
          <w:rFonts w:hint="eastAsia" w:ascii="宋体" w:hAns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95%，如未能达到则双倍延长</w:t>
      </w:r>
      <w:r>
        <w:rPr>
          <w:rFonts w:hint="eastAsia" w:ascii="宋体"/>
          <w:color w:val="000000" w:themeColor="text1"/>
          <w:szCs w:val="21"/>
          <w:highlight w:val="none"/>
          <w:lang w:val="en-US" w:eastAsia="zh-CN"/>
          <w14:textFill>
            <w14:solidFill>
              <w14:schemeClr w14:val="tx1"/>
            </w14:solidFill>
          </w14:textFill>
        </w:rPr>
        <w:t xml:space="preserve">免费质保时间</w:t>
      </w:r>
      <w:r>
        <w:rPr>
          <w:rFonts w:hint="eastAsia" w:ascii="宋体"/>
          <w:color w:val="000000" w:themeColor="text1"/>
          <w:szCs w:val="21"/>
          <w:highlight w:val="none"/>
          <w14:textFill>
            <w14:solidFill>
              <w14:schemeClr w14:val="tx1"/>
            </w14:solidFill>
          </w14:textFill>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四</w:t>
      </w:r>
      <w:r>
        <w:rPr>
          <w:rFonts w:ascii="宋体"/>
          <w:b/>
          <w:color w:val="000000" w:themeColor="text1"/>
          <w:szCs w:val="21"/>
          <w:highlight w:val="none"/>
          <w14:textFill>
            <w14:solidFill>
              <w14:schemeClr w14:val="tx1"/>
            </w14:solidFill>
          </w14:textFill>
        </w:rPr>
        <w:t xml:space="preserve">、违约责任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不得以</w:t>
      </w:r>
      <w:r>
        <w:rPr>
          <w:rFonts w:ascii="宋体"/>
          <w:color w:val="000000" w:themeColor="text1"/>
          <w:szCs w:val="21"/>
          <w:highlight w:val="none"/>
          <w14:textFill>
            <w14:solidFill>
              <w14:schemeClr w14:val="tx1"/>
            </w14:solidFill>
          </w14:textFill>
        </w:rPr>
        <w:t xml:space="preserve">无正当理由拒收货物，</w:t>
      </w:r>
      <w:r>
        <w:rPr>
          <w:rFonts w:hint="eastAsia" w:ascii="宋体"/>
          <w:color w:val="000000" w:themeColor="text1"/>
          <w:szCs w:val="21"/>
          <w:highlight w:val="none"/>
          <w14:textFill>
            <w14:solidFill>
              <w14:schemeClr w14:val="tx1"/>
            </w14:solidFill>
          </w14:textFill>
        </w:rPr>
        <w:t xml:space="preserve">否则由此所造成的损失须由</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承担赔偿责任</w:t>
      </w:r>
      <w:r>
        <w:rPr>
          <w:rFonts w:asci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乙方在非自然灾害、疫情等不可抗拒因素导致的逾期交付货物的免责或者甲乙双方相互协商延长时间，其他按照</w:t>
      </w:r>
      <w:r>
        <w:rPr>
          <w:rFonts w:ascii="宋体"/>
          <w:color w:val="000000" w:themeColor="text1"/>
          <w:szCs w:val="21"/>
          <w:highlight w:val="none"/>
          <w14:textFill>
            <w14:solidFill>
              <w14:schemeClr w14:val="tx1"/>
            </w14:solidFill>
          </w14:textFill>
        </w:rPr>
        <w:t xml:space="preserve">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》中服务条款的相应条文执行</w:t>
      </w:r>
      <w:r>
        <w:rPr>
          <w:rFonts w:hint="eastAsia" w:ascii="宋体" w:hAns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宋体"/>
          <w:color w:val="000000" w:themeColor="text1"/>
          <w:szCs w:val="21"/>
          <w:highlight w:val="none"/>
          <w14:textFill>
            <w14:solidFill>
              <w14:schemeClr w14:val="tx1"/>
            </w14:solidFill>
          </w14:textFill>
        </w:rPr>
        <w:t xml:space="preserve">乙方所交的货物品种、型号、规格、技术参数、质量不符合合同规定及招标文件规定标准</w:t>
      </w:r>
      <w:r>
        <w:rPr>
          <w:rFonts w:hint="eastAsia" w:ascii="宋体"/>
          <w:color w:val="000000" w:themeColor="text1"/>
          <w:szCs w:val="21"/>
          <w:highlight w:val="none"/>
          <w14:textFill>
            <w14:solidFill>
              <w14:schemeClr w14:val="tx1"/>
            </w14:solidFill>
          </w14:textFill>
        </w:rPr>
        <w:t xml:space="preserve">的</w:t>
      </w:r>
      <w:r>
        <w:rPr>
          <w:rFonts w:ascii="宋体"/>
          <w:color w:val="000000" w:themeColor="text1"/>
          <w:szCs w:val="21"/>
          <w:highlight w:val="none"/>
          <w14:textFill>
            <w14:solidFill>
              <w14:schemeClr w14:val="tx1"/>
            </w14:solidFill>
          </w14:textFill>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五</w:t>
      </w:r>
      <w:r>
        <w:rPr>
          <w:rFonts w:ascii="宋体"/>
          <w:b/>
          <w:color w:val="000000" w:themeColor="text1"/>
          <w:szCs w:val="21"/>
          <w:highlight w:val="none"/>
          <w14:textFill>
            <w14:solidFill>
              <w14:schemeClr w14:val="tx1"/>
            </w14:solidFill>
          </w14:textFill>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5</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六</w:t>
      </w:r>
      <w:r>
        <w:rPr>
          <w:rFonts w:ascii="宋体"/>
          <w:b/>
          <w:color w:val="000000" w:themeColor="text1"/>
          <w:szCs w:val="21"/>
          <w:highlight w:val="none"/>
          <w14:textFill>
            <w14:solidFill>
              <w14:schemeClr w14:val="tx1"/>
            </w14:solidFill>
          </w14:textFill>
        </w:rPr>
        <w:t xml:space="preserve">、合同生效及其它</w:t>
      </w:r>
      <w:r/>
    </w:p>
    <w:p>
      <w:pPr>
        <w:ind w:firstLine="480"/>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本合同由甲乙双方在</w:t>
      </w:r>
      <w:r>
        <w:rPr>
          <w:rFonts w:hint="eastAsia" w:ascii="宋体"/>
          <w:color w:val="000000" w:themeColor="text1"/>
          <w:szCs w:val="21"/>
          <w:highlight w:val="none"/>
          <w:u w:val="single"/>
          <w14:textFill>
            <w14:solidFill>
              <w14:schemeClr w14:val="tx1"/>
            </w14:solidFill>
          </w14:textFill>
        </w:rPr>
        <w:t xml:space="preserve"> </w:t>
      </w:r>
      <w:r>
        <w:rPr>
          <w:rStyle w:val="897"/>
          <w:rFonts w:hint="eastAsia" w:ascii="宋体" w:hAnsi="宋体"/>
          <w:color w:val="000000" w:themeColor="text1"/>
          <w:highlight w:val="none"/>
          <w:u w:val="single"/>
          <w14:textFill>
            <w14:solidFill>
              <w14:schemeClr w14:val="tx1"/>
            </w14:solidFill>
          </w14:textFill>
        </w:rPr>
        <w:t xml:space="preserve">甲方</w:t>
      </w:r>
      <w:r>
        <w:rPr>
          <w:rStyle w:val="897"/>
          <w:rFonts w:ascii="宋体" w:hAnsi="宋体"/>
          <w:color w:val="000000" w:themeColor="text1"/>
          <w:highlight w:val="none"/>
          <w:u w:val="single"/>
          <w14:textFill>
            <w14:solidFill>
              <w14:schemeClr w14:val="tx1"/>
            </w14:solidFill>
          </w14:textFill>
        </w:rPr>
        <w:t xml:space="preserve">所在地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签订。</w:t>
      </w:r>
      <w:r>
        <w:rPr>
          <w:rFonts w:ascii="宋体"/>
          <w:color w:val="000000" w:themeColor="text1"/>
          <w:szCs w:val="21"/>
          <w:highlight w:val="none"/>
          <w14:textFill>
            <w14:solidFill>
              <w14:schemeClr w14:val="tx1"/>
            </w14:solidFill>
          </w14:textFill>
        </w:rPr>
        <w:t xml:space="preserve">合同经双方法定代表人或授权委托人签字</w:t>
      </w:r>
      <w:r>
        <w:rPr>
          <w:rFonts w:hint="eastAsia" w:ascii="宋体"/>
          <w:color w:val="000000" w:themeColor="text1"/>
          <w:szCs w:val="21"/>
          <w:highlight w:val="none"/>
          <w14:textFill>
            <w14:solidFill>
              <w14:schemeClr w14:val="tx1"/>
            </w14:solidFill>
          </w14:textFill>
        </w:rPr>
        <w:t xml:space="preserve">盖章后生效。</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.2</w:t>
      </w:r>
      <w:r>
        <w:rPr>
          <w:rFonts w:hint="eastAsia" w:ascii="宋体"/>
          <w:color w:val="000000" w:themeColor="text1"/>
          <w:szCs w:val="21"/>
          <w:highlight w:val="none"/>
          <w14:textFill>
            <w14:solidFill>
              <w14:schemeClr w14:val="tx1"/>
            </w14:solidFill>
          </w14:textFill>
        </w:rPr>
        <w:t xml:space="preserve">  招标、投标文件是本合同不可或缺的部分，与合同具有同等效力。</w:t>
      </w:r>
      <w:r>
        <w:rPr>
          <w:rFonts w:ascii="宋体"/>
          <w:color w:val="000000" w:themeColor="text1"/>
          <w:szCs w:val="21"/>
          <w:highlight w:val="none"/>
          <w14:textFill>
            <w14:solidFill>
              <w14:schemeClr w14:val="tx1"/>
            </w14:solidFill>
          </w14:textFill>
        </w:rPr>
        <w:t xml:space="preserve">本合同未尽事宜，遵照</w:t>
      </w:r>
      <w:r>
        <w:rPr>
          <w:rFonts w:ascii="Arial" w:hAnsi="Arial" w:eastAsia="Arial" w:cs="Arial"/>
          <w:i w:val="0"/>
          <w:iCs w:val="0"/>
          <w:caps w:val="0"/>
          <w:color w:val="000000" w:themeColor="text1"/>
          <w:spacing w:val="0"/>
          <w:sz w:val="21"/>
          <w:szCs w:val="21"/>
          <w:highlight w:val="none"/>
          <w:shd w:val="clear" w:color="auto" w:fill="ffffff"/>
          <w14:textFill>
            <w14:solidFill>
              <w14:schemeClr w14:val="tx1"/>
            </w14:solidFill>
          </w14:textFill>
        </w:rPr>
        <w:t xml:space="preserve">《民法典》</w:t>
      </w:r>
      <w:r>
        <w:rPr>
          <w:rFonts w:ascii="宋体"/>
          <w:color w:val="000000" w:themeColor="text1"/>
          <w:szCs w:val="21"/>
          <w:highlight w:val="none"/>
          <w14:textFill>
            <w14:solidFill>
              <w14:schemeClr w14:val="tx1"/>
            </w14:solidFill>
          </w14:textFill>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Times New Roman" w:hAnsi="Times New Roman"/>
          <w:color w:val="000000" w:themeColor="text1"/>
          <w:szCs w:val="21"/>
          <w:highlight w:val="none"/>
          <w14:textFill>
            <w14:solidFill>
              <w14:schemeClr w14:val="tx1"/>
            </w14:solidFill>
          </w14:textFill>
        </w:rPr>
        <w:t xml:space="preserve">本合同一式</w:t>
      </w:r>
      <w:r>
        <w:rPr>
          <w:rFonts w:hint="eastAsia"/>
          <w:color w:val="000000" w:themeColor="text1"/>
          <w:szCs w:val="21"/>
          <w:highlight w:val="none"/>
          <w:lang w:val="en-US" w:eastAsia="zh-CN"/>
          <w14:textFill>
            <w14:solidFill>
              <w14:schemeClr w14:val="tx1"/>
            </w14:solidFill>
          </w14:textFill>
        </w:rPr>
        <w:t xml:space="preserve">肆</w:t>
      </w:r>
      <w:r>
        <w:rPr>
          <w:rFonts w:ascii="Times New Roman" w:hAnsi="Times New Roman"/>
          <w:color w:val="000000" w:themeColor="text1"/>
          <w:szCs w:val="21"/>
          <w:highlight w:val="none"/>
          <w14:textFill>
            <w14:solidFill>
              <w14:schemeClr w14:val="tx1"/>
            </w14:solidFill>
          </w14:textFill>
        </w:rPr>
        <w:t xml:space="preserve">份，经签字盖章并加盖骑缝章后生效。甲方执</w:t>
      </w:r>
      <w:r>
        <w:rPr>
          <w:rFonts w:hint="eastAsia"/>
          <w:color w:val="000000" w:themeColor="text1"/>
          <w:szCs w:val="21"/>
          <w:highlight w:val="none"/>
          <w:lang w:val="en-US" w:eastAsia="zh-CN"/>
          <w14:textFill>
            <w14:solidFill>
              <w14:schemeClr w14:val="tx1"/>
            </w14:solidFill>
          </w14:textFill>
        </w:rPr>
        <w:t xml:space="preserve">叁</w:t>
      </w:r>
      <w:r>
        <w:rPr>
          <w:rFonts w:ascii="Times New Roman" w:hAnsi="Times New Roman"/>
          <w:color w:val="000000" w:themeColor="text1"/>
          <w:szCs w:val="21"/>
          <w:highlight w:val="none"/>
          <w14:textFill>
            <w14:solidFill>
              <w14:schemeClr w14:val="tx1"/>
            </w14:solidFill>
          </w14:textFill>
        </w:rPr>
        <w:t xml:space="preserve">份，乙方执壹份。</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十七、 附件：</w:t>
      </w:r>
      <w:r>
        <w:rPr>
          <w:rFonts w:hint="eastAsia" w:ascii="宋体"/>
          <w:color w:val="000000" w:themeColor="text1"/>
          <w:szCs w:val="21"/>
          <w:highlight w:val="none"/>
          <w14:textFill>
            <w14:solidFill>
              <w14:schemeClr w14:val="tx1"/>
            </w14:solidFill>
          </w14:textFill>
        </w:rPr>
        <w:t xml:space="preserve">A、配置清单（分项一览表）；B、中标通知书； C、</w:t>
      </w:r>
      <w:r>
        <w:rPr>
          <w:rFonts w:hint="eastAsia" w:ascii="宋体" w:hAnsi="宋体"/>
          <w:color w:val="000000" w:themeColor="text1"/>
          <w:highlight w:val="none"/>
          <w14:textFill>
            <w14:solidFill>
              <w14:schemeClr w14:val="tx1"/>
            </w14:solidFill>
          </w14:textFill>
        </w:rPr>
        <w:t xml:space="preserve">原厂质保</w:t>
      </w:r>
      <w:r>
        <w:rPr>
          <w:rFonts w:hint="eastAsia" w:ascii="宋体"/>
          <w:color w:val="000000" w:themeColor="text1"/>
          <w:szCs w:val="21"/>
          <w:highlight w:val="none"/>
          <w14:textFill>
            <w14:solidFill>
              <w14:schemeClr w14:val="tx1"/>
            </w14:solidFill>
          </w14:textFill>
        </w:rPr>
        <w:t xml:space="preserve">售后承诺书；D、设备采购廉政协议；E、</w:t>
      </w:r>
      <w:r>
        <w:rPr>
          <w:rFonts w:hint="eastAsia" w:ascii="宋体" w:hAnsi="宋体"/>
          <w:color w:val="000000" w:themeColor="text1"/>
          <w:szCs w:val="21"/>
          <w:highlight w:val="none"/>
          <w14:textFill>
            <w14:solidFill>
              <w14:schemeClr w14:val="tx1"/>
            </w14:solidFill>
          </w14:textFill>
        </w:rPr>
        <w:t xml:space="preserve">设备安装安全责任书</w:t>
      </w:r>
      <w:r>
        <w:rPr>
          <w:rFonts w:hint="eastAsia"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F、</w:t>
      </w:r>
      <w:r>
        <w:rPr>
          <w:rFonts w:hint="eastAsia" w:ascii="宋体" w:hAnsi="宋体"/>
          <w:color w:val="000000" w:themeColor="text1"/>
          <w:highlight w:val="none"/>
          <w14:textFill>
            <w14:solidFill>
              <w14:schemeClr w14:val="tx1"/>
            </w14:solidFill>
          </w14:textFill>
        </w:rPr>
        <w:t xml:space="preserve">原厂</w:t>
      </w:r>
      <w:r>
        <w:rPr>
          <w:rFonts w:hint="eastAsia" w:ascii="宋体"/>
          <w:color w:val="000000" w:themeColor="text1"/>
          <w:szCs w:val="21"/>
          <w:highlight w:val="none"/>
          <w:lang w:val="en-US" w:eastAsia="zh-CN"/>
          <w14:textFill>
            <w14:solidFill>
              <w14:schemeClr w14:val="tx1"/>
            </w14:solidFill>
          </w14:textFill>
        </w:rPr>
        <w:t xml:space="preserve">授权书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以下无正文</w:t>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南京市江宁区疾病预防控制中心</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p>
    <w:p>
      <w:pPr>
        <w:ind w:left="0" w:firstLine="0"/>
        <w:spacing w:line="480" w:lineRule="auto"/>
        <w:rPr>
          <w:rFonts w:hint="eastAsia" w:ascii="宋体" w:eastAsia="宋体"/>
          <w:color w:val="000000" w:themeColor="text1"/>
          <w:szCs w:val="21"/>
          <w:highlight w:val="none"/>
          <w:lang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南京市江宁区天印大道657号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地址：</w:t>
      </w:r>
      <w:r>
        <w:rPr>
          <w:rFonts w:hint="eastAsia" w:ascii="宋体"/>
          <w:color w:val="000000" w:themeColor="text1"/>
          <w:szCs w:val="21"/>
          <w:highlight w:val="none"/>
          <w:lang w:val="en-US" w:eastAsia="zh-CN"/>
          <w14:textFill>
            <w14:solidFill>
              <w14:schemeClr w14:val="tx1"/>
            </w14:solidFill>
          </w14:textFill>
        </w:rPr>
        <w:t xml:space="preserve">  </w:t>
      </w:r>
      <w:r/>
    </w:p>
    <w:p>
      <w:pPr>
        <w:ind w:left="0" w:firstLine="0"/>
        <w:spacing w:line="48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w:t>
      </w:r>
      <w:r/>
    </w:p>
    <w:p>
      <w:pPr>
        <w:ind w:left="0" w:firstLine="0"/>
        <w:spacing w:line="48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联系电话：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联系电话：</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签订日期：</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月</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日</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360" w:lineRule="exact"/>
        <w:widowControl w:val="off"/>
        <w:rPr>
          <w:rFonts w:hint="eastAsia" w:ascii="宋体" w:eastAsia="宋体"/>
          <w:color w:val="000000" w:themeColor="text1"/>
          <w:szCs w:val="21"/>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甲方（采购单位）：</w:t>
      </w:r>
      <w:r>
        <w:rPr>
          <w:rFonts w:hint="eastAsia" w:ascii="宋体"/>
          <w:color w:val="000000" w:themeColor="text1"/>
          <w:szCs w:val="21"/>
          <w:highlight w:val="none"/>
          <w:lang w:eastAsia="zh-CN"/>
          <w14:textFill>
            <w14:solidFill>
              <w14:schemeClr w14:val="tx1"/>
            </w14:solidFill>
          </w14:textFill>
        </w:rPr>
        <w:t xml:space="preserve">南京市江宁区疾病预防控制中心</w:t>
      </w:r>
      <w:r/>
    </w:p>
    <w:p>
      <w:pPr>
        <w:keepLines w:val="0"/>
        <w:keepNext w:val="0"/>
        <w:pageBreakBefore w:val="0"/>
        <w:spacing w:line="360" w:lineRule="exact"/>
        <w:widowControl w:val="off"/>
        <w:rPr>
          <w:rFonts w:hint="default" w:ascii="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乙方（供货单位）：</w:t>
      </w:r>
      <w:r>
        <w:rPr>
          <w:rFonts w:hint="eastAsia" w:ascii="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一、甲方义务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二、乙方义务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三、违约责任</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乙方如发现甲方人员索要、收受贿赂或其他违法、违纪行为，要向</w:t>
      </w:r>
      <w:r>
        <w:rPr>
          <w:rFonts w:hint="eastAsia" w:ascii="宋体"/>
          <w:color w:val="000000" w:themeColor="text1"/>
          <w:szCs w:val="21"/>
          <w:highlight w:val="none"/>
          <w:lang w:eastAsia="zh-CN"/>
          <w14:textFill>
            <w14:solidFill>
              <w14:schemeClr w14:val="tx1"/>
            </w14:solidFill>
          </w14:textFill>
        </w:rPr>
        <w:t xml:space="preserve">南京市江宁区疾病预防控制中心</w:t>
      </w:r>
      <w:r>
        <w:rPr>
          <w:rFonts w:hint="eastAsia" w:ascii="宋体"/>
          <w:color w:val="000000" w:themeColor="text1"/>
          <w:szCs w:val="21"/>
          <w:highlight w:val="none"/>
          <w14:textFill>
            <w14:solidFill>
              <w14:schemeClr w14:val="tx1"/>
            </w14:solidFill>
          </w14:textFill>
        </w:rPr>
        <w:t xml:space="preserve">纪检监察部门或上级主管部门举报。</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本协议有效期限位双方每项采购合同签署之日起，至每项采购合同履行结束止。</w:t>
      </w:r>
      <w:r>
        <w:rPr>
          <w:color w:val="000000" w:themeColor="text1"/>
          <w:highlight w:val="none"/>
          <w14:textFill>
            <w14:solidFill>
              <w14:schemeClr w14:val="tx1"/>
            </w14:solidFill>
          </w14:textFill>
        </w:rPr>
        <w:br w:type="page" w:clear="all"/>
      </w:r>
      <w:r/>
    </w:p>
    <w:p>
      <w:pPr>
        <w:jc w:val="center"/>
        <w:spacing w:line="560" w:lineRule="exact"/>
        <w:rPr>
          <w:rFonts w:hint="eastAsia" w:ascii="方正小标宋简体" w:eastAsia="方正小标宋简体"/>
          <w:color w:val="000000" w:themeColor="text1"/>
          <w:sz w:val="30"/>
          <w:szCs w:val="30"/>
          <w:highlight w:val="none"/>
          <w14:textFill>
            <w14:solidFill>
              <w14:schemeClr w14:val="tx1"/>
            </w14:solidFill>
          </w14:textFill>
        </w:rPr>
      </w:pPr>
      <w:r>
        <w:rPr>
          <w:rFonts w:hint="eastAsia" w:ascii="方正小标宋简体" w:eastAsia="方正小标宋简体"/>
          <w:color w:val="000000" w:themeColor="text1"/>
          <w:sz w:val="30"/>
          <w:szCs w:val="30"/>
          <w:highlight w:val="none"/>
          <w14:textFill>
            <w14:solidFill>
              <w14:schemeClr w14:val="tx1"/>
            </w14:solidFill>
          </w14:textFill>
        </w:rPr>
        <w:t xml:space="preserve">医疗设备安装（施工）单位消防、安全生产、治安管理责任书</w:t>
      </w:r>
      <w:r/>
    </w:p>
    <w:p>
      <w:pPr>
        <w:jc w:val="center"/>
        <w:spacing w:line="560" w:lineRule="exact"/>
        <w:rPr>
          <w:rFonts w:hint="eastAsia" w:ascii="方正小标宋简体" w:eastAsia="方正小标宋简体"/>
          <w:color w:val="000000" w:themeColor="text1"/>
          <w:sz w:val="2"/>
          <w:szCs w:val="2"/>
          <w:highlight w:val="none"/>
          <w14:textFill>
            <w14:solidFill>
              <w14:schemeClr w14:val="tx1"/>
            </w14:solidFill>
          </w14:textFill>
        </w:rPr>
      </w:pPr>
      <w:r>
        <w:rPr>
          <w:rFonts w:hint="eastAsia" w:ascii="方正小标宋简体" w:eastAsia="方正小标宋简体"/>
          <w:color w:val="000000" w:themeColor="text1"/>
          <w:sz w:val="2"/>
          <w:szCs w:val="2"/>
          <w:highlight w:val="none"/>
          <w14:textFill>
            <w14:solidFill>
              <w14:schemeClr w14:val="tx1"/>
            </w14:solidFill>
          </w14:textFill>
        </w:rPr>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针对合同签订的医疗设备，该设备安装（施工）期间的消防、安全生产和治安防范工作须在</w:t>
      </w:r>
      <w:r>
        <w:rPr>
          <w:rFonts w:hint="eastAsia" w:ascii="宋体"/>
          <w:color w:val="000000" w:themeColor="text1"/>
          <w:szCs w:val="21"/>
          <w:highlight w:val="none"/>
          <w:lang w:eastAsia="zh-CN"/>
          <w14:textFill>
            <w14:solidFill>
              <w14:schemeClr w14:val="tx1"/>
            </w14:solidFill>
          </w14:textFill>
        </w:rPr>
        <w:t xml:space="preserve">南京市江宁区疾病预防控制中心</w:t>
      </w:r>
      <w:r>
        <w:rPr>
          <w:rFonts w:hint="eastAsia" w:ascii="宋体"/>
          <w:color w:val="000000" w:themeColor="text1"/>
          <w:szCs w:val="21"/>
          <w:highlight w:val="none"/>
          <w14:textFill>
            <w14:solidFill>
              <w14:schemeClr w14:val="tx1"/>
            </w14:solidFill>
          </w14:textFill>
        </w:rPr>
        <w:t xml:space="preserve">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十二、在您签名（盖章）前，请认真阅读以上规定，签字（盖章）后，表示已同意遵守</w:t>
      </w:r>
      <w:r>
        <w:rPr>
          <w:rFonts w:hint="eastAsia" w:ascii="宋体"/>
          <w:color w:val="000000" w:themeColor="text1"/>
          <w:szCs w:val="21"/>
          <w:highlight w:val="none"/>
          <w:lang w:eastAsia="zh-CN"/>
          <w14:textFill>
            <w14:solidFill>
              <w14:schemeClr w14:val="tx1"/>
            </w14:solidFill>
          </w14:textFill>
        </w:rPr>
        <w:t xml:space="preserve">南京市江宁区疾病预防控制中心</w:t>
      </w:r>
      <w:r>
        <w:rPr>
          <w:rFonts w:hint="eastAsia" w:ascii="宋体"/>
          <w:color w:val="000000" w:themeColor="text1"/>
          <w:szCs w:val="21"/>
          <w:highlight w:val="none"/>
          <w14:textFill>
            <w14:solidFill>
              <w14:schemeClr w14:val="tx1"/>
            </w14:solidFill>
          </w14:textFill>
        </w:rPr>
        <w:t xml:space="preserve">有关消防、安全生产、治安保卫规定。</w:t>
      </w:r>
      <w:r>
        <w:rPr>
          <w:rFonts w:hint="eastAsia" w:ascii="宋体"/>
          <w:color w:val="000000" w:themeColor="text1"/>
          <w:szCs w:val="21"/>
          <w:highlight w:val="none"/>
          <w:lang w:eastAsia="zh-CN"/>
          <w14:textFill>
            <w14:solidFill>
              <w14:schemeClr w14:val="tx1"/>
            </w14:solidFill>
          </w14:textFill>
        </w:rPr>
        <w:t xml:space="preserve">南京市江宁区疾病预防控制中心</w:t>
      </w:r>
      <w:r>
        <w:rPr>
          <w:rFonts w:hint="eastAsia" w:ascii="宋体"/>
          <w:color w:val="000000" w:themeColor="text1"/>
          <w:szCs w:val="21"/>
          <w:highlight w:val="none"/>
          <w14:textFill>
            <w14:solidFill>
              <w14:schemeClr w14:val="tx1"/>
            </w14:solidFill>
          </w14:textFill>
        </w:rPr>
        <w:t xml:space="preserve">对本制度有最终解释权</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医疗设备安装（施工）单位（盖章）</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责任人（签章）：</w:t>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附件1</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年及以上，关于质保和维保工作，我公司承诺如下：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江宁区疾病预防控制中心全自动微生物质谱检测仪等仪器设备采购项目（</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包1或包2</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（包1）</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疾控</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全自动微生物质谱检测仪</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（包2）</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疾控</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智能厌氧培养系统</w:t>
            </w:r>
            <w:r>
              <w:rPr>
                <w:rFonts w:hint="eastAsia" w:ascii="宋体" w:hAnsi="宋体" w:cs="宋体"/>
                <w:color w:val="000000" w:themeColor="text1"/>
                <w:sz w:val="18"/>
                <w:szCs w:val="18"/>
                <w:highlight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疾控</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低速离心机</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疾控</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瓶口分液器</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疾控</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无菌均质器</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5"/>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生产</w:t>
      </w:r>
      <w:r>
        <w:rPr>
          <w:rFonts w:hint="eastAsia" w:ascii="宋体" w:hAnsi="宋体" w:eastAsia="宋体" w:cs="宋体"/>
          <w:color w:val="000000" w:themeColor="text1"/>
          <w:sz w:val="21"/>
          <w:szCs w:val="21"/>
          <w:highlight w:val="none"/>
          <w14:textFill>
            <w14:solidFill>
              <w14:schemeClr w14:val="tx1"/>
            </w14:solidFill>
          </w14:textFill>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3"/>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5"/>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年及以上，关于质保和维保工作，我公司承诺如下：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09"/>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1"/>
        <w:ind w:firstLine="426"/>
        <w:jc w:val="left"/>
        <w:spacing w:befor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14:textFill>
            <w14:solidFill>
              <w14:schemeClr w14:val="tx1"/>
            </w14:solidFill>
          </w14:textFill>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rPr>
          <w:rFonts w:hint="eastAsia" w:ascii="宋体" w:hAnsi="宋体" w:cs="宋体"/>
          <w:b/>
          <w:bCs/>
          <w:color w:val="000000" w:themeColor="text1"/>
          <w:highlight w:val="none"/>
          <w:lang w:val="en-US" w:eastAsia="zh-CN"/>
          <w14:textFill>
            <w14:solidFill>
              <w14:schemeClr w14:val="tx1"/>
            </w14:solidFill>
          </w14:textFill>
        </w:rPr>
        <w:t xml:space="preserve">打印时间为本招标公告发布之日起至递交投标文件截止日前，</w:t>
      </w:r>
      <w:r>
        <w:rPr>
          <w:rFonts w:hint="eastAsia" w:ascii="宋体" w:hAnsi="宋体" w:cs="宋体"/>
          <w:b/>
          <w:bCs/>
          <w:color w:val="000000" w:themeColor="text1"/>
          <w:highlight w:val="none"/>
          <w14:textFill>
            <w14:solidFill>
              <w14:schemeClr w14:val="tx1"/>
            </w14:solidFill>
          </w14:textFill>
        </w:rPr>
        <w:t xml:space="preserve">在线打印其“南京市政府采购供应商信用记录表暨信用承诺书”，经法定代表人签字、加盖单位公章后作为响应文件的组成部分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未按上述要求提供的，投标文件作废标处理</w:t>
      </w:r>
      <w:r>
        <w:rPr>
          <w:rFonts w:hint="eastAsia" w:ascii="宋体" w:hAnsi="宋体" w:cs="宋体"/>
          <w:b/>
          <w:bCs/>
          <w:color w:val="000000" w:themeColor="text1"/>
          <w:highlight w:val="none"/>
          <w14:textFill>
            <w14:solidFill>
              <w14:schemeClr w14:val="tx1"/>
            </w14:solidFill>
          </w14:textFill>
        </w:rPr>
        <w:t xml:space="preserve">）</w:t>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cente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我公司自愿参加江苏东佳工程项目管理咨询有限公司组织的本次采购活动，严格遵守《中华人民共和国</w:t>
            </w: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政府采购法</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供应商名称（盖章）：</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法定代表人（签字）：</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000000" w:themeColor="text1"/>
          <w:highlight w:val="none"/>
          <w:lang w:eastAsia="zh-CN"/>
          <w14:textFill>
            <w14:solidFill>
              <w14:schemeClr w14:val="tx1"/>
            </w14:solidFill>
          </w14:textFill>
        </w:rPr>
        <w:t xml:space="preserve">字加</w:t>
      </w:r>
      <w:r>
        <w:rPr>
          <w:rFonts w:hint="eastAsia" w:ascii="宋体" w:hAnsi="宋体" w:cs="宋体"/>
          <w:bCs/>
          <w:color w:val="000000" w:themeColor="text1"/>
          <w:highlight w:val="none"/>
          <w14:textFill>
            <w14:solidFill>
              <w14:schemeClr w14:val="tx1"/>
            </w14:solidFill>
          </w14:textFill>
        </w:rPr>
        <w:t xml:space="preserve">盖</w:t>
      </w:r>
      <w:r>
        <w:rPr>
          <w:rFonts w:hint="eastAsia" w:ascii="宋体" w:hAnsi="宋体" w:cs="宋体"/>
          <w:bCs/>
          <w:color w:val="000000" w:themeColor="text1"/>
          <w:highlight w:val="none"/>
          <w:lang w:eastAsia="zh-CN"/>
          <w14:textFill>
            <w14:solidFill>
              <w14:schemeClr w14:val="tx1"/>
            </w14:solidFill>
          </w14:textFill>
        </w:rPr>
        <w:t xml:space="preserve">单位公</w:t>
      </w:r>
      <w:r>
        <w:rPr>
          <w:rFonts w:hint="eastAsia" w:ascii="宋体" w:hAnsi="宋体" w:cs="宋体"/>
          <w:bCs/>
          <w:color w:val="000000" w:themeColor="text1"/>
          <w:highlight w:val="none"/>
          <w14:textFill>
            <w14:solidFill>
              <w14:schemeClr w14:val="tx1"/>
            </w14:solidFill>
          </w14:textFill>
        </w:rPr>
        <w:t xml:space="preserve">章后作为响应文件的组成部分</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“南京市政府采购供应商信用记录表暨信用承诺书”是其参加本次政府采购活动的必备材料。</w:t>
      </w:r>
      <w:r/>
    </w:p>
    <w:p>
      <w:pPr>
        <w:pStyle w:val="902"/>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9"/>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6"/>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link w:val="872"/>
    <w:uiPriority w:val="0"/>
    <w:unhideWhenUsed/>
    <w:qFormat/>
    <w:pPr>
      <w:ind w:firstLine="420"/>
    </w:p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annotation text"/>
    <w:basedOn w:val="672"/>
    <w:link w:val="888"/>
    <w:uiPriority w:val="99"/>
    <w:semiHidden/>
    <w:unhideWhenUsed/>
    <w:qFormat/>
  </w:style>
  <w:style w:type="paragraph" w:styleId="688">
    <w:name w:val="Body Text"/>
    <w:basedOn w:val="672"/>
    <w:next w:val="672"/>
    <w:link w:val="879"/>
    <w:uiPriority w:val="1"/>
    <w:qFormat/>
    <w:pPr>
      <w:spacing w:line="240" w:lineRule="auto"/>
    </w:pPr>
    <w:rPr>
      <w:rFonts w:ascii="宋体" w:hAnsi="宋体" w:cs="宋体"/>
      <w:sz w:val="21"/>
      <w:szCs w:val="21"/>
      <w:lang w:val="zh-CN" w:bidi="zh-CN"/>
    </w:rPr>
  </w:style>
  <w:style w:type="paragraph" w:styleId="689">
    <w:name w:val="Body Text Indent"/>
    <w:basedOn w:val="672"/>
    <w:next w:val="690"/>
    <w:uiPriority w:val="0"/>
    <w:qFormat/>
    <w:pPr>
      <w:ind w:left="420" w:firstLine="1188"/>
      <w:spacing w:line="360" w:lineRule="exact"/>
    </w:pPr>
    <w:rPr>
      <w:rFonts w:ascii="Times New Roman" w:hAnsi="Times New Roman" w:cs="Times New Roman"/>
    </w:rPr>
  </w:style>
  <w:style w:type="paragraph" w:styleId="690">
    <w:name w:val="envelope return"/>
    <w:basedOn w:val="672"/>
    <w:uiPriority w:val="0"/>
    <w:qFormat/>
    <w:rPr>
      <w:rFonts w:ascii="Arial" w:hAnsi="Arial" w:cs="宋体"/>
    </w:rPr>
  </w:style>
  <w:style w:type="paragraph" w:styleId="691">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2">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3">
    <w:name w:val="toc 5"/>
    <w:basedOn w:val="672"/>
    <w:next w:val="672"/>
    <w:uiPriority w:val="39"/>
    <w:unhideWhenUsed/>
    <w:qFormat/>
    <w:pPr>
      <w:ind w:left="1134" w:right="0" w:firstLine="0"/>
      <w:spacing w:after="57"/>
    </w:pPr>
  </w:style>
  <w:style w:type="paragraph" w:styleId="694">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5">
    <w:name w:val="Plain Text"/>
    <w:basedOn w:val="672"/>
    <w:next w:val="688"/>
    <w:link w:val="870"/>
    <w:uiPriority w:val="0"/>
    <w:unhideWhenUsed/>
    <w:qFormat/>
    <w:rPr>
      <w:rFonts w:ascii="宋体" w:hAnsi="Courier New" w:cs="Courier New"/>
      <w:szCs w:val="21"/>
    </w:rPr>
  </w:style>
  <w:style w:type="paragraph" w:styleId="696">
    <w:name w:val="toc 8"/>
    <w:basedOn w:val="672"/>
    <w:next w:val="672"/>
    <w:uiPriority w:val="39"/>
    <w:unhideWhenUsed/>
    <w:qFormat/>
    <w:pPr>
      <w:ind w:left="1984" w:right="0" w:firstLine="0"/>
      <w:spacing w:after="57"/>
    </w:pPr>
  </w:style>
  <w:style w:type="paragraph" w:styleId="697">
    <w:name w:val="endnote text"/>
    <w:basedOn w:val="672"/>
    <w:link w:val="865"/>
    <w:uiPriority w:val="99"/>
    <w:semiHidden/>
    <w:unhideWhenUsed/>
    <w:qFormat/>
    <w:pPr>
      <w:spacing w:after="0" w:line="240" w:lineRule="auto"/>
    </w:pPr>
    <w:rPr>
      <w:sz w:val="20"/>
    </w:rPr>
  </w:style>
  <w:style w:type="paragraph" w:styleId="698">
    <w:name w:val="Balloon Text"/>
    <w:basedOn w:val="672"/>
    <w:link w:val="887"/>
    <w:uiPriority w:val="99"/>
    <w:semiHidden/>
    <w:unhideWhenUsed/>
    <w:qFormat/>
    <w:pPr>
      <w:spacing w:line="240" w:lineRule="auto"/>
    </w:pPr>
    <w:rPr>
      <w:sz w:val="18"/>
      <w:szCs w:val="18"/>
    </w:rPr>
  </w:style>
  <w:style w:type="paragraph" w:styleId="699">
    <w:name w:val="Footer"/>
    <w:basedOn w:val="672"/>
    <w:link w:val="868"/>
    <w:uiPriority w:val="99"/>
    <w:unhideWhenUsed/>
    <w:qFormat/>
    <w:pPr>
      <w:tabs>
        <w:tab w:val="center" w:pos="4153" w:leader="none"/>
        <w:tab w:val="right" w:pos="8306" w:leader="none"/>
      </w:tabs>
    </w:pPr>
    <w:rPr>
      <w:sz w:val="18"/>
      <w:szCs w:val="18"/>
    </w:rPr>
  </w:style>
  <w:style w:type="paragraph" w:styleId="700">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2"/>
    <w:next w:val="672"/>
    <w:uiPriority w:val="39"/>
    <w:unhideWhenUsed/>
    <w:qFormat/>
    <w:pPr>
      <w:spacing w:line="720" w:lineRule="auto"/>
      <w:tabs>
        <w:tab w:val="right" w:pos="9639" w:leader="dot"/>
      </w:tabs>
    </w:pPr>
  </w:style>
  <w:style w:type="paragraph" w:styleId="702">
    <w:name w:val="toc 4"/>
    <w:basedOn w:val="672"/>
    <w:next w:val="672"/>
    <w:uiPriority w:val="39"/>
    <w:unhideWhenUsed/>
    <w:qFormat/>
    <w:pPr>
      <w:ind w:left="850" w:right="0" w:firstLine="0"/>
      <w:spacing w:after="57"/>
    </w:pPr>
  </w:style>
  <w:style w:type="paragraph" w:styleId="703">
    <w:name w:val="Subtitle"/>
    <w:basedOn w:val="672"/>
    <w:next w:val="672"/>
    <w:link w:val="731"/>
    <w:uiPriority w:val="11"/>
    <w:qFormat/>
    <w:pPr>
      <w:spacing w:before="200" w:after="200"/>
    </w:pPr>
    <w:rPr>
      <w:sz w:val="24"/>
      <w:szCs w:val="24"/>
    </w:rPr>
  </w:style>
  <w:style w:type="paragraph" w:styleId="704">
    <w:name w:val="footnote text"/>
    <w:basedOn w:val="672"/>
    <w:link w:val="864"/>
    <w:uiPriority w:val="99"/>
    <w:semiHidden/>
    <w:unhideWhenUsed/>
    <w:qFormat/>
    <w:pPr>
      <w:spacing w:after="40" w:line="240" w:lineRule="auto"/>
    </w:pPr>
    <w:rPr>
      <w:sz w:val="18"/>
    </w:rPr>
  </w:style>
  <w:style w:type="paragraph" w:styleId="705">
    <w:name w:val="toc 6"/>
    <w:basedOn w:val="672"/>
    <w:next w:val="672"/>
    <w:uiPriority w:val="39"/>
    <w:unhideWhenUsed/>
    <w:qFormat/>
    <w:pPr>
      <w:ind w:left="1417" w:right="0" w:firstLine="0"/>
      <w:spacing w:after="57"/>
    </w:pPr>
  </w:style>
  <w:style w:type="paragraph" w:styleId="706">
    <w:name w:val="table of figures"/>
    <w:basedOn w:val="672"/>
    <w:next w:val="672"/>
    <w:uiPriority w:val="99"/>
    <w:unhideWhenUsed/>
    <w:qFormat/>
    <w:pPr>
      <w:spacing w:after="0" w:afterAutospacing="0"/>
    </w:pPr>
  </w:style>
  <w:style w:type="paragraph" w:styleId="707">
    <w:name w:val="toc 2"/>
    <w:basedOn w:val="672"/>
    <w:next w:val="672"/>
    <w:uiPriority w:val="39"/>
    <w:unhideWhenUsed/>
    <w:qFormat/>
    <w:pPr>
      <w:ind w:left="283" w:right="0" w:firstLine="0"/>
      <w:spacing w:after="57"/>
    </w:pPr>
  </w:style>
  <w:style w:type="paragraph" w:styleId="708">
    <w:name w:val="toc 9"/>
    <w:basedOn w:val="672"/>
    <w:next w:val="672"/>
    <w:uiPriority w:val="39"/>
    <w:unhideWhenUsed/>
    <w:qFormat/>
    <w:pPr>
      <w:ind w:left="2268" w:right="0" w:firstLine="0"/>
      <w:spacing w:after="57"/>
    </w:pPr>
  </w:style>
  <w:style w:type="paragraph" w:styleId="709">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0">
    <w:name w:val="Title"/>
    <w:basedOn w:val="672"/>
    <w:next w:val="672"/>
    <w:link w:val="730"/>
    <w:uiPriority w:val="10"/>
    <w:qFormat/>
    <w:pPr>
      <w:contextualSpacing/>
      <w:spacing w:before="300" w:after="200"/>
    </w:pPr>
    <w:rPr>
      <w:sz w:val="48"/>
      <w:szCs w:val="48"/>
    </w:rPr>
  </w:style>
  <w:style w:type="paragraph" w:styleId="711">
    <w:name w:val="Body Text First Indent 2"/>
    <w:basedOn w:val="689"/>
    <w:next w:val="672"/>
    <w:uiPriority w:val="0"/>
    <w:qFormat/>
    <w:pPr>
      <w:ind w:left="0" w:firstLine="420"/>
      <w:spacing w:after="0" w:line="360" w:lineRule="auto"/>
    </w:pPr>
    <w:rPr>
      <w:rFonts w:ascii="宋体" w:hAnsi="宋体"/>
      <w:sz w:val="20"/>
      <w:szCs w:val="20"/>
      <w:lang w:eastAsia="en-US"/>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5"/>
    <w:next w:val="695"/>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0"/>
    <w:uiPriority w:val="10"/>
    <w:qFormat/>
    <w:rPr>
      <w:sz w:val="48"/>
      <w:szCs w:val="48"/>
    </w:rPr>
  </w:style>
  <w:style w:type="character" w:styleId="731" w:customStyle="1">
    <w:name w:val="Subtitle Char"/>
    <w:basedOn w:val="682"/>
    <w:link w:val="703"/>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4"/>
    <w:uiPriority w:val="99"/>
    <w:qFormat/>
    <w:rPr>
      <w:sz w:val="18"/>
    </w:rPr>
  </w:style>
  <w:style w:type="character" w:styleId="865" w:customStyle="1">
    <w:name w:val="Endnote Text Char"/>
    <w:link w:val="697"/>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0"/>
    <w:uiPriority w:val="99"/>
    <w:semiHidden/>
    <w:qFormat/>
    <w:rPr>
      <w:sz w:val="18"/>
      <w:szCs w:val="18"/>
    </w:rPr>
  </w:style>
  <w:style w:type="character" w:styleId="868" w:customStyle="1">
    <w:name w:val="页脚 Char"/>
    <w:basedOn w:val="682"/>
    <w:link w:val="699"/>
    <w:uiPriority w:val="99"/>
    <w:qFormat/>
    <w:rPr>
      <w:sz w:val="18"/>
      <w:szCs w:val="18"/>
    </w:rPr>
  </w:style>
  <w:style w:type="character" w:styleId="869" w:customStyle="1">
    <w:name w:val="纯文本 Char"/>
    <w:basedOn w:val="682"/>
    <w:link w:val="695"/>
    <w:uiPriority w:val="99"/>
    <w:semiHidden/>
    <w:qFormat/>
    <w:rPr>
      <w:rFonts w:ascii="宋体" w:hAnsi="Courier New" w:eastAsia="宋体" w:cs="Courier New"/>
      <w:szCs w:val="21"/>
    </w:rPr>
  </w:style>
  <w:style w:type="character" w:styleId="870" w:customStyle="1">
    <w:name w:val="纯文本 Char1"/>
    <w:link w:val="695"/>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5"/>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88"/>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8"/>
    <w:uiPriority w:val="99"/>
    <w:semiHidden/>
    <w:qFormat/>
    <w:rPr>
      <w:rFonts w:ascii="Times New Roman" w:hAnsi="Times New Roman" w:eastAsia="宋体" w:cs="Times New Roman"/>
      <w:sz w:val="18"/>
      <w:szCs w:val="18"/>
    </w:rPr>
  </w:style>
  <w:style w:type="character" w:styleId="888" w:customStyle="1">
    <w:name w:val="批注文字 Char"/>
    <w:basedOn w:val="682"/>
    <w:link w:val="687"/>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paragraph" w:styleId="900" w:customStyle="1">
    <w:name w:val="null3"/>
    <w:hidden/>
    <w:uiPriority w:val="0"/>
    <w:qFormat/>
    <w:rPr>
      <w:rFonts w:hint="eastAsia" w:asciiTheme="minorHAnsi" w:hAnsiTheme="minorHAnsi" w:eastAsiaTheme="minorEastAsia" w:cstheme="minorBidi"/>
      <w:lang w:val="en-US" w:eastAsia="zh-Hans"/>
    </w:rPr>
  </w:style>
  <w:style w:type="paragraph" w:styleId="901" w:customStyle="1">
    <w:name w:val="标题1"/>
    <w:basedOn w:val="672"/>
    <w:next w:val="672"/>
    <w:uiPriority w:val="10"/>
    <w:qFormat/>
    <w:pPr>
      <w:contextualSpacing/>
      <w:spacing w:after="300" w:line="240" w:lineRule="auto"/>
    </w:pPr>
    <w:rPr>
      <w:smallCaps/>
      <w:sz w:val="52"/>
      <w:szCs w:val="52"/>
      <w:lang w:bidi="ar-SA"/>
    </w:rPr>
  </w:style>
  <w:style w:type="paragraph" w:styleId="902" w:customStyle="1">
    <w:name w:val="正文缩进11"/>
    <w:basedOn w:val="672"/>
    <w:next w:val="672"/>
    <w:uiPriority w:val="99"/>
    <w:qFormat/>
    <w:pPr>
      <w:ind w:firstLine="420"/>
    </w:pPr>
    <w:rPr>
      <w:szCs w:val="20"/>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29</cp:revision>
  <dcterms:created xsi:type="dcterms:W3CDTF">2023-09-21T04:43:00Z</dcterms:created>
  <dcterms:modified xsi:type="dcterms:W3CDTF">2026-07-09T03:27:31Z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8B2169DB54254E93937DA4A030FB0EA9_13</vt:lpwstr>
  </property>
  <property fmtid="{D5CDD505-2E9C-101B-9397-08002B2CF9AE}" pid="4" name="KSOTemplateDocerSaveRecord">
    <vt:lpwstr>eyJoZGlkIjoiNTZmNzYxM2Q0ZWY3NjUyZWMxMDk3MWRiOWNkZjgyNTIiLCJ1c2VySWQiOiIzNTYwMDE3MjEifQ==</vt:lpwstr>
  </property>
</Properties>
</file>