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9C5B2">
      <w:pPr>
        <w:kinsoku w:val="0"/>
        <w:overflowPunct w:val="0"/>
        <w:snapToGrid w:val="0"/>
        <w:spacing w:line="360" w:lineRule="auto"/>
        <w:jc w:val="center"/>
        <w:rPr>
          <w:rFonts w:hint="eastAsia" w:ascii="宋体" w:hAnsi="宋体" w:eastAsia="宋体"/>
          <w:b/>
          <w:color w:val="auto"/>
          <w:spacing w:val="-1"/>
          <w:sz w:val="36"/>
          <w:szCs w:val="36"/>
          <w:highlight w:val="none"/>
        </w:rPr>
      </w:pPr>
      <w:r>
        <w:rPr>
          <w:rFonts w:hint="eastAsia" w:ascii="宋体" w:hAnsi="宋体" w:eastAsia="宋体"/>
          <w:b/>
          <w:color w:val="auto"/>
          <w:spacing w:val="-1"/>
          <w:sz w:val="36"/>
          <w:szCs w:val="36"/>
          <w:highlight w:val="none"/>
        </w:rPr>
        <w:t>清单总说明</w:t>
      </w:r>
    </w:p>
    <w:tbl>
      <w:tblPr>
        <w:tblStyle w:val="6"/>
        <w:tblW w:w="9735" w:type="dxa"/>
        <w:tblInd w:w="-5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5"/>
      </w:tblGrid>
      <w:tr w14:paraId="215B5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5" w:type="dxa"/>
            <w:shd w:val="clear" w:color="auto" w:fill="auto"/>
            <w:vAlign w:val="top"/>
          </w:tcPr>
          <w:p w14:paraId="59F34CF3">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bCs w:val="0"/>
                <w:color w:val="auto"/>
                <w:spacing w:val="-1"/>
                <w:kern w:val="2"/>
                <w:sz w:val="24"/>
                <w:szCs w:val="24"/>
                <w:highlight w:val="none"/>
                <w:lang w:val="en-US" w:eastAsia="zh-CN" w:bidi="ar-SA"/>
              </w:rPr>
              <w:t>工程名称：</w:t>
            </w:r>
            <w:r>
              <w:rPr>
                <w:rFonts w:hint="eastAsia" w:asciiTheme="minorEastAsia" w:hAnsiTheme="minorEastAsia" w:eastAsiaTheme="minorEastAsia" w:cstheme="minorEastAsia"/>
                <w:b w:val="0"/>
                <w:bCs/>
                <w:color w:val="auto"/>
                <w:spacing w:val="-1"/>
                <w:kern w:val="2"/>
                <w:sz w:val="24"/>
                <w:szCs w:val="24"/>
                <w:highlight w:val="none"/>
                <w:lang w:val="en-US" w:eastAsia="zh-CN" w:bidi="ar-SA"/>
              </w:rPr>
              <w:t>2026年江浦街道拆除围挡复绿工程</w:t>
            </w:r>
          </w:p>
          <w:p w14:paraId="2EB8E0FD">
            <w:pPr>
              <w:keepNext w:val="0"/>
              <w:keepLines w:val="0"/>
              <w:widowControl/>
              <w:numPr>
                <w:ilvl w:val="0"/>
                <w:numId w:val="1"/>
              </w:numPr>
              <w:suppressLineNumbers w:val="0"/>
              <w:spacing w:line="360" w:lineRule="auto"/>
              <w:jc w:val="both"/>
              <w:textAlignment w:val="center"/>
              <w:rPr>
                <w:rFonts w:hint="eastAsia" w:asciiTheme="minorEastAsia" w:hAnsiTheme="minorEastAsia" w:eastAsiaTheme="minorEastAsia" w:cstheme="minorEastAsia"/>
                <w:b/>
                <w:bCs w:val="0"/>
                <w:color w:val="auto"/>
                <w:spacing w:val="-1"/>
                <w:kern w:val="2"/>
                <w:sz w:val="24"/>
                <w:szCs w:val="24"/>
                <w:highlight w:val="none"/>
                <w:lang w:val="en-US" w:eastAsia="zh-CN" w:bidi="ar-SA"/>
              </w:rPr>
            </w:pPr>
            <w:r>
              <w:rPr>
                <w:rFonts w:hint="eastAsia" w:asciiTheme="minorEastAsia" w:hAnsiTheme="minorEastAsia" w:eastAsiaTheme="minorEastAsia" w:cstheme="minorEastAsia"/>
                <w:b/>
                <w:bCs w:val="0"/>
                <w:color w:val="auto"/>
                <w:spacing w:val="-1"/>
                <w:kern w:val="2"/>
                <w:sz w:val="24"/>
                <w:szCs w:val="24"/>
                <w:highlight w:val="none"/>
                <w:lang w:val="en-US" w:eastAsia="zh-CN" w:bidi="ar-SA"/>
              </w:rPr>
              <w:t>工程概况：</w:t>
            </w:r>
          </w:p>
          <w:p w14:paraId="06AB68EF">
            <w:pPr>
              <w:keepNext w:val="0"/>
              <w:keepLines w:val="0"/>
              <w:widowControl/>
              <w:numPr>
                <w:ilvl w:val="0"/>
                <w:numId w:val="0"/>
              </w:numPr>
              <w:suppressLineNumbers w:val="0"/>
              <w:spacing w:line="360" w:lineRule="auto"/>
              <w:ind w:firstLine="476" w:firstLineChars="200"/>
              <w:jc w:val="both"/>
              <w:textAlignment w:val="center"/>
              <w:rPr>
                <w:rFonts w:hint="eastAsia" w:asciiTheme="minorEastAsia" w:hAnsiTheme="minorEastAsia" w:eastAsiaTheme="minorEastAsia" w:cstheme="minorEastAsia"/>
                <w:b/>
                <w:bCs w:val="0"/>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本工程为2026年江浦街道拆除围挡复绿工程，</w:t>
            </w:r>
            <w:r>
              <w:rPr>
                <w:rFonts w:hint="eastAsia" w:ascii="宋体" w:hAnsi="宋体" w:eastAsia="宋体" w:cs="Times New Roman"/>
                <w:sz w:val="24"/>
                <w:lang w:val="en-US" w:eastAsia="zh-CN"/>
              </w:rPr>
              <w:t>项目地点位于江苏省南京市江北新区。该工程包括施工围栏、铺种草籽、栽植苗木、安装芦苇灯等</w:t>
            </w:r>
            <w:r>
              <w:rPr>
                <w:rFonts w:hint="eastAsia" w:ascii="宋体" w:hAnsi="宋体" w:eastAsia="宋体" w:cs="Times New Roman"/>
                <w:sz w:val="24"/>
              </w:rPr>
              <w:t>。</w:t>
            </w:r>
          </w:p>
          <w:p w14:paraId="18A5870F">
            <w:pPr>
              <w:keepNext w:val="0"/>
              <w:keepLines w:val="0"/>
              <w:widowControl/>
              <w:numPr>
                <w:ilvl w:val="0"/>
                <w:numId w:val="1"/>
              </w:numPr>
              <w:suppressLineNumbers w:val="0"/>
              <w:spacing w:line="360" w:lineRule="auto"/>
              <w:ind w:left="0" w:leftChars="0" w:firstLine="0" w:firstLineChars="0"/>
              <w:jc w:val="both"/>
              <w:textAlignment w:val="center"/>
              <w:rPr>
                <w:rFonts w:hint="eastAsia" w:asciiTheme="minorEastAsia" w:hAnsiTheme="minorEastAsia" w:eastAsiaTheme="minorEastAsia" w:cstheme="minorEastAsia"/>
                <w:b/>
                <w:bCs w:val="0"/>
                <w:color w:val="auto"/>
                <w:spacing w:val="-1"/>
                <w:kern w:val="2"/>
                <w:sz w:val="24"/>
                <w:szCs w:val="24"/>
                <w:highlight w:val="none"/>
                <w:lang w:val="en-US" w:eastAsia="zh-CN" w:bidi="ar-SA"/>
              </w:rPr>
            </w:pPr>
            <w:r>
              <w:rPr>
                <w:rFonts w:hint="eastAsia" w:asciiTheme="minorEastAsia" w:hAnsiTheme="minorEastAsia" w:eastAsiaTheme="minorEastAsia" w:cstheme="minorEastAsia"/>
                <w:b/>
                <w:bCs w:val="0"/>
                <w:color w:val="auto"/>
                <w:spacing w:val="-1"/>
                <w:kern w:val="2"/>
                <w:sz w:val="24"/>
                <w:szCs w:val="24"/>
                <w:highlight w:val="none"/>
                <w:lang w:val="en-US" w:eastAsia="zh-CN" w:bidi="ar-SA"/>
              </w:rPr>
              <w:t>工程量清单编制范围：</w:t>
            </w:r>
          </w:p>
          <w:p w14:paraId="12A8B388">
            <w:pPr>
              <w:keepNext w:val="0"/>
              <w:keepLines w:val="0"/>
              <w:widowControl/>
              <w:numPr>
                <w:ilvl w:val="0"/>
                <w:numId w:val="0"/>
              </w:numPr>
              <w:suppressLineNumbers w:val="0"/>
              <w:spacing w:line="360" w:lineRule="auto"/>
              <w:ind w:leftChars="0"/>
              <w:jc w:val="both"/>
              <w:textAlignment w:val="center"/>
              <w:rPr>
                <w:rFonts w:hint="eastAsia" w:asciiTheme="minorEastAsia" w:hAnsiTheme="minorEastAsia" w:eastAsiaTheme="minorEastAsia" w:cstheme="minorEastAsia"/>
                <w:b/>
                <w:bCs w:val="0"/>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 xml:space="preserve">    本工程招标范围内包括施工铁艺栏杆、施工隐形绿篱围挡、栽植苗木、撒草籽及芦苇灯等施工、详见工程量清单。</w:t>
            </w:r>
          </w:p>
          <w:p w14:paraId="1EE86B70">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bCs w:val="0"/>
                <w:color w:val="auto"/>
                <w:spacing w:val="-1"/>
                <w:kern w:val="2"/>
                <w:sz w:val="24"/>
                <w:szCs w:val="24"/>
                <w:highlight w:val="none"/>
                <w:lang w:val="en-US" w:eastAsia="zh-CN" w:bidi="ar-SA"/>
              </w:rPr>
            </w:pPr>
            <w:r>
              <w:rPr>
                <w:rFonts w:hint="eastAsia" w:asciiTheme="minorEastAsia" w:hAnsiTheme="minorEastAsia" w:eastAsiaTheme="minorEastAsia" w:cstheme="minorEastAsia"/>
                <w:b/>
                <w:bCs w:val="0"/>
                <w:color w:val="auto"/>
                <w:spacing w:val="-1"/>
                <w:kern w:val="2"/>
                <w:sz w:val="24"/>
                <w:szCs w:val="24"/>
                <w:highlight w:val="none"/>
                <w:lang w:val="en-US" w:eastAsia="zh-CN" w:bidi="ar-SA"/>
              </w:rPr>
              <w:t>三、工程量清单编制依据：</w:t>
            </w:r>
          </w:p>
          <w:p w14:paraId="27829E82">
            <w:pPr>
              <w:keepNext w:val="0"/>
              <w:keepLines w:val="0"/>
              <w:widowControl/>
              <w:suppressLineNumbers w:val="0"/>
              <w:spacing w:line="360" w:lineRule="auto"/>
              <w:jc w:val="both"/>
              <w:textAlignment w:val="center"/>
              <w:rPr>
                <w:rFonts w:hint="default"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1.规范文件依据：</w:t>
            </w:r>
          </w:p>
          <w:p w14:paraId="444884F7">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《建设工程工程量清单计价规范》（GB50500—2013版）；</w:t>
            </w:r>
          </w:p>
          <w:p w14:paraId="790632B8">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《房屋建筑与装饰工程工程量计算规范》（GB50854—2013版）；</w:t>
            </w:r>
          </w:p>
          <w:p w14:paraId="501333D7">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《市政工程工程量计算规范》（GB50857-2013）；</w:t>
            </w:r>
          </w:p>
          <w:p w14:paraId="02D65F1D">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《通用安装工程工程量计算规范》（GB50856—2013版）；</w:t>
            </w:r>
          </w:p>
          <w:p w14:paraId="4E2EF94C">
            <w:pPr>
              <w:keepNext w:val="0"/>
              <w:keepLines w:val="0"/>
              <w:widowControl/>
              <w:suppressLineNumbers w:val="0"/>
              <w:spacing w:line="360" w:lineRule="auto"/>
              <w:jc w:val="both"/>
              <w:textAlignment w:val="center"/>
              <w:rPr>
                <w:rFonts w:hint="default"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苏建价〔2014〕448 号 江苏省住房城乡建设厅关于《建设工程工程量清单计价规范》（GB50500—2013）及其 9 本工程量计算规范的贯彻意见等。</w:t>
            </w:r>
          </w:p>
          <w:p w14:paraId="040D6E93">
            <w:pPr>
              <w:keepNext w:val="0"/>
              <w:keepLines w:val="0"/>
              <w:widowControl/>
              <w:suppressLineNumbers w:val="0"/>
              <w:spacing w:line="360" w:lineRule="auto"/>
              <w:jc w:val="both"/>
              <w:textAlignment w:val="center"/>
              <w:rPr>
                <w:rFonts w:hint="default"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2.定额文件依据：</w:t>
            </w:r>
          </w:p>
          <w:p w14:paraId="008DC9E9">
            <w:pPr>
              <w:keepNext w:val="0"/>
              <w:keepLines w:val="0"/>
              <w:widowControl/>
              <w:suppressLineNumbers w:val="0"/>
              <w:spacing w:line="360" w:lineRule="auto"/>
              <w:jc w:val="both"/>
              <w:textAlignment w:val="center"/>
              <w:rPr>
                <w:rFonts w:hint="default"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《江苏省房屋修缮工程计价表》（2009版）；</w:t>
            </w:r>
          </w:p>
          <w:p w14:paraId="5BBE663C">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《江苏省安装工程计价定额》（2014版）；</w:t>
            </w:r>
          </w:p>
          <w:p w14:paraId="3952BD43">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《江苏省建设工程费用定额》（2014版）；</w:t>
            </w:r>
          </w:p>
          <w:p w14:paraId="110EF65F">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《江苏省市政工程计价定额》（2014版）；</w:t>
            </w:r>
          </w:p>
          <w:p w14:paraId="52DF8C16">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《江苏省建筑与装饰工程计价定额》（2014版）；</w:t>
            </w:r>
          </w:p>
          <w:p w14:paraId="4239785B">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《江苏省仿古建筑与园林工程计价表》（2007版）及其他相关取费文件。</w:t>
            </w:r>
          </w:p>
          <w:p w14:paraId="7BAB66D0">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3.相关标准图集以及现行有关清单编制文件。</w:t>
            </w:r>
          </w:p>
          <w:p w14:paraId="298A14A8">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4.省住房城乡建设厅关于建筑业实施营改增后江苏省建设工程计价依据调整的通知苏建函价〔2019〕178号。</w:t>
            </w:r>
          </w:p>
          <w:p w14:paraId="50DE63E7">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5.省住房城乡建设厅关于增列建筑工人实名制费用及相关计取方法公告（2019）第19号文。</w:t>
            </w:r>
          </w:p>
          <w:p w14:paraId="71A4E6F9">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6.人工价格按苏建函价【2026】27号-2026年上半年建设工程人工价格指数的通知调整，材料价格参考南京市2026年02月材料市场信息价格执行。</w:t>
            </w:r>
          </w:p>
          <w:p w14:paraId="3D1AD725">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7.满足招标文件相关要求。</w:t>
            </w:r>
          </w:p>
          <w:p w14:paraId="3198FD5A">
            <w:pPr>
              <w:keepNext w:val="0"/>
              <w:keepLines w:val="0"/>
              <w:widowControl/>
              <w:suppressLineNumbers w:val="0"/>
              <w:spacing w:line="360" w:lineRule="auto"/>
              <w:jc w:val="both"/>
              <w:textAlignment w:val="center"/>
              <w:rPr>
                <w:rFonts w:hint="default"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8.建设单位提供的施工图纸。</w:t>
            </w:r>
          </w:p>
          <w:p w14:paraId="59E04865">
            <w:pPr>
              <w:keepNext w:val="0"/>
              <w:keepLines w:val="0"/>
              <w:widowControl/>
              <w:suppressLineNumbers w:val="0"/>
              <w:shd w:val="clear"/>
              <w:spacing w:line="360" w:lineRule="auto"/>
              <w:jc w:val="both"/>
              <w:textAlignment w:val="center"/>
              <w:rPr>
                <w:rFonts w:hint="eastAsia" w:asciiTheme="minorEastAsia" w:hAnsiTheme="minorEastAsia" w:eastAsiaTheme="minorEastAsia" w:cstheme="minorEastAsia"/>
                <w:b/>
                <w:bCs w:val="0"/>
                <w:color w:val="auto"/>
                <w:spacing w:val="-1"/>
                <w:kern w:val="2"/>
                <w:sz w:val="24"/>
                <w:szCs w:val="24"/>
                <w:highlight w:val="none"/>
                <w:lang w:val="en-US" w:eastAsia="zh-CN" w:bidi="ar-SA"/>
              </w:rPr>
            </w:pPr>
            <w:r>
              <w:rPr>
                <w:rFonts w:hint="eastAsia" w:asciiTheme="minorEastAsia" w:hAnsiTheme="minorEastAsia" w:eastAsiaTheme="minorEastAsia" w:cstheme="minorEastAsia"/>
                <w:b/>
                <w:bCs w:val="0"/>
                <w:color w:val="auto"/>
                <w:spacing w:val="-1"/>
                <w:kern w:val="2"/>
                <w:sz w:val="24"/>
                <w:szCs w:val="24"/>
                <w:highlight w:val="none"/>
                <w:lang w:val="en-US" w:eastAsia="zh-CN" w:bidi="ar-SA"/>
              </w:rPr>
              <w:t>四、编制说明：</w:t>
            </w:r>
          </w:p>
          <w:p w14:paraId="48C50949">
            <w:pPr>
              <w:keepNext w:val="0"/>
              <w:keepLines w:val="0"/>
              <w:widowControl/>
              <w:suppressLineNumbers w:val="0"/>
              <w:shd w:val="clear"/>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1.专业工程暂估价：无。</w:t>
            </w:r>
          </w:p>
          <w:p w14:paraId="4C468E36">
            <w:pPr>
              <w:keepNext w:val="0"/>
              <w:keepLines w:val="0"/>
              <w:widowControl/>
              <w:suppressLineNumbers w:val="0"/>
              <w:shd w:val="clear"/>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2.本工程暂列金额：无。</w:t>
            </w:r>
          </w:p>
          <w:p w14:paraId="2F24767B">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3.本工程暂定材料：无。</w:t>
            </w:r>
          </w:p>
          <w:p w14:paraId="425CE9DF">
            <w:pPr>
              <w:keepNext w:val="0"/>
              <w:keepLines w:val="0"/>
              <w:widowControl/>
              <w:suppressLineNumbers w:val="0"/>
              <w:shd w:val="clear"/>
              <w:spacing w:line="360" w:lineRule="auto"/>
              <w:jc w:val="both"/>
              <w:textAlignment w:val="center"/>
              <w:rPr>
                <w:rFonts w:hint="default"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4.本工程甲供材料：无</w:t>
            </w:r>
          </w:p>
          <w:p w14:paraId="694D91EA">
            <w:pPr>
              <w:keepNext w:val="0"/>
              <w:keepLines w:val="0"/>
              <w:widowControl/>
              <w:suppressLineNumbers w:val="0"/>
              <w:spacing w:line="360" w:lineRule="auto"/>
              <w:jc w:val="both"/>
              <w:textAlignment w:val="center"/>
              <w:rPr>
                <w:rFonts w:hint="default"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5.本工程质量要求：符合国家验收标准。</w:t>
            </w:r>
          </w:p>
          <w:p w14:paraId="00F94E0D">
            <w:pPr>
              <w:keepNext w:val="0"/>
              <w:keepLines w:val="0"/>
              <w:widowControl/>
              <w:suppressLineNumbers w:val="0"/>
              <w:shd w:val="clear"/>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6.工程量清单中每一个项目的综合单价及措施费中，应包括人工费、材料费、机械费、管理费、利润以及现行取费中的有关费用、有关文件规定的调价、场内外运输、机械进退场、临时设施、材料周转、二次倒运、赶工措施、机械停滞、噪音排污、围挡、夜间施工费、管线调查与保护、交通协调以及根据本招标文件要求的风险金等全部费用。</w:t>
            </w:r>
          </w:p>
          <w:p w14:paraId="03FB6A37">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7.措施费项目清单中内容仅供参考，投标人可根据工程实际与施工组织设计进行增补，但不得更改已列措施项目，结算时除工程变更引起施工方案改变外，承包人不得以招标工程措施项目清单缺项为由要求新增措施项目。</w:t>
            </w:r>
          </w:p>
          <w:p w14:paraId="50580FB4">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8.投标单位所报工程量清单综合单价应包括完成招标文件及其附件规定的工程量清单项目所需的全部费用，其内含：</w:t>
            </w:r>
          </w:p>
          <w:p w14:paraId="54EA1092">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①包括分部分项工程费、措施费、其它项目费和规费、税金；</w:t>
            </w:r>
          </w:p>
          <w:p w14:paraId="41598FDB">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②包括完成每分部分项工程所含全部工程内容的费用；</w:t>
            </w:r>
          </w:p>
          <w:p w14:paraId="6E67CEA2">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③包括完成每项工程内容所需的全部费用；</w:t>
            </w:r>
          </w:p>
          <w:p w14:paraId="41D3A44E">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④包括工程量清单项目中没有体现的，施工中又必须发生的工程内容所需的费用；</w:t>
            </w:r>
          </w:p>
          <w:p w14:paraId="19BB970A">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⑤考虑风险因素而调整的费用；</w:t>
            </w:r>
          </w:p>
          <w:p w14:paraId="74F3E582">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⑥因招标人在招标文件中的要求而发生的费用；</w:t>
            </w:r>
          </w:p>
          <w:p w14:paraId="5C0000B0">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⑦作为有经验的承包商按照合同条款及相关规定判定交付竣工产品还应计列的其他费用；</w:t>
            </w:r>
          </w:p>
          <w:p w14:paraId="167C8143">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⑧按照技术方案要求交付竣工产品应该计列的相关费用；</w:t>
            </w:r>
          </w:p>
          <w:p w14:paraId="3B20D070">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⑨其他应当计取的费用。</w:t>
            </w:r>
          </w:p>
          <w:p w14:paraId="36D2D9D0">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9.本工程量清单作为投标人报价的基础之一，投标人应结合招标文件、施工图纸、取费文件、技术规范等确定投标报价，工程量清单中项目特征描述不清楚的以设计图纸为准。凡清单项目特征未描述或无需描述，但又是完成该分项工程中必须有的工作内容，均应包括在综合单价中。</w:t>
            </w:r>
          </w:p>
          <w:p w14:paraId="1051D9CB">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10.本工程招标控制价（含综合单价）为招标人根据相关规定结合市场价编制，投标人未在约定时间内提出异议，视为对招标控制价（含综合单价）完全理解并接受，中标后不作调整。</w:t>
            </w:r>
          </w:p>
          <w:p w14:paraId="04047F0A">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11.各投标人必须充分勘察现场实际情况，自行考虑拆除项目、材料运输及堆放、施工时间的限制、临设场地的影响，踏勘现场后视为投标人对现场情况有充分了解，所有现场可以预见的施工费用在投标报价中予以考虑，结算时不得增加与上述有关的费用。</w:t>
            </w:r>
          </w:p>
          <w:p w14:paraId="536DA991">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12.施工期间对行人、车辆要有具体保护措施和方案，投标人在报价中应充分考虑此部分费用，结算时不得增加与此有关的费用。</w:t>
            </w:r>
          </w:p>
          <w:p w14:paraId="04A53F9C">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13.所有材料的垃圾外运费由投标人在报价中应充分考虑此部分费用，结算时不得增加与此有关的费用。</w:t>
            </w:r>
          </w:p>
          <w:p w14:paraId="4B54729A">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14.本工程砼材料采用商品砼，砂浆材料采用预拌砂浆，投标报价综合考虑，结算时不另增加费用。投标人自行考虑混凝土的倒运方式，不得因为与投标报价方式不一致而增加费用。</w:t>
            </w:r>
          </w:p>
          <w:p w14:paraId="31D8C197">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15.工程量清单特征描述不全时，应结合设计图纸，并应当综合考虑施工规范、地方规章等的要求，所产生的费用计入投标报价中。清单特征中未描述的，但清单规范文件中注明的工作内容，承包人在报价应充分考虑“工作内容”而产生的费用，列入相应报价中。分部分项工程量清单中对工程项目的项目特征及具体做法只做重点描述，详细情况请仔细阅读设计施工图、技术说明及相关标准图集，投标人项目组价时应结合在项目现场勘查实际情况中所包括完成所有工序工作内容的全部费用。</w:t>
            </w:r>
          </w:p>
          <w:p w14:paraId="57489E95">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16.本项目对于货物材料的运输、施工期限与施工时间的限制、施工场地和临设场地的影响等，请投标人在报价中充分考虑，结算时不得增加与此有关的费用。</w:t>
            </w:r>
          </w:p>
          <w:p w14:paraId="67E4D07B">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17.对于江苏省、南京市相关部门对工程施工要求所发的文件规定，特别是对于工程围挡、扬尘控制、智慧工地等要求，请投标人在报价中充分考虑，结算时不得增加与此有关的费用。</w:t>
            </w:r>
          </w:p>
          <w:p w14:paraId="3EDBBEE2">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18.投标人应提前勘察现场以充分了解项目施工环境，工地位置及任何其他足以影响工程费用及工期的情况，招标人对现有的施工环境条件将不增加投入，请投标人自行考虑并计入投标价中。</w:t>
            </w:r>
          </w:p>
          <w:p w14:paraId="33D25FF8">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19.设计图纸中不完善、不详细、节点不明之处，投标人应根据现场施工条件及进度要求，并根据图纸进行深化设计。深化设计应经招标人认可后方可施工，深化设计费用包含在投标报价中。</w:t>
            </w:r>
          </w:p>
          <w:p w14:paraId="092A75AA">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20.投标人对工程量清单有任何疑问，应于招标文件规定的疑问提交截止日前提出，如未提出，中标后相应单价不再调整，且必须按设计图纸完成所有工作内容。</w:t>
            </w:r>
          </w:p>
          <w:p w14:paraId="3F1E988D">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21.本工程施工外部协调工作由投标人负责，投标人应充分考虑周边地域情况，并将此费用考虑在投标报价中，结算时发包人不再为此增加费用。</w:t>
            </w:r>
          </w:p>
          <w:p w14:paraId="0CF7ADCD">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22.投标人在填写工程量清单的每一项综合单价和合价时均应结合招标文件、技术规范、设计施工图纸和现场实际勘察情况，谨慎仔细进行报价。工程量清单特征描述不全时，应当综合考虑施工规范、地方规章等的要求，所产生的费用应计入投标报价中。清单特征中未描述的，但计价规范中注明的工程内容，投标人在报价时应充分考虑“工程内容”而产生的费用，列入相应投标报价中，实施过程中费用不调整。</w:t>
            </w:r>
          </w:p>
          <w:p w14:paraId="45EA09E2">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23.工程量清单外的费用：工程量清单项目（包括实体性消耗和措施性消耗）中没有体现的，施工过程又必须发生的工作内容所需的费用，如：包括但不限于临时设施费、脚手架费、垂直运输费、主要材料构件的二次包装防护费、原材料的二次搬运费、场外运输费、摊销费、吊装费、超高部位人工、机械降效补贴费、成品保护费等，由投标人根据现场实际施工场地考察的情况并结合自身条件情况自行计入报价。</w:t>
            </w:r>
          </w:p>
          <w:p w14:paraId="6D918A64">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24.本工程中施工的实际损耗，自行综合考虑在本次报价中，不另增加费用。</w:t>
            </w:r>
          </w:p>
          <w:p w14:paraId="667312B4">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25.投标人须自行考虑材料的采购、保管费，中标后不再调整。</w:t>
            </w:r>
          </w:p>
          <w:p w14:paraId="0CC8AB23">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26.所有材料检测费均由承包人承担。材料质量应确保通过消防、节能、环保（包括室内环境、甲醇含量等）等第三方检测及消防、环保验收，由质量不合格引起的后果由施工单位承担。如环保、消防检测不合格，视为工程项目不合格。</w:t>
            </w:r>
          </w:p>
          <w:p w14:paraId="314ED256">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27.根据本项目的工期期限，赶工措施费、夜间施工、冬雨季施工、已完成工程及设备保护以及其他涉及或可能涉及的措施费由投标人自行考虑在报价中。</w:t>
            </w:r>
          </w:p>
          <w:p w14:paraId="793BCCB4">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28.成品保护、地下管线保护等由投标人负责。</w:t>
            </w:r>
          </w:p>
          <w:p w14:paraId="11A2AB14">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29.工程最终结算时，任何在实际施工中没有实施的项目将从结算价格中予以扣除。</w:t>
            </w:r>
          </w:p>
          <w:p w14:paraId="1947FC85">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30.建筑垃圾及施工垃圾集中堆放在指定地方后集中外运，垃圾清运、集中堆放、倒运、装车、外运、运距、运输方式、消纳等费用投标人均需考虑在综合单价中，结算时不得增加与此有关的费用。</w:t>
            </w:r>
          </w:p>
          <w:p w14:paraId="3FE6769C">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31.拆除工程的厚度以投标人现场勘察为准，项目特征仅供参考，结算单价不作调整。</w:t>
            </w:r>
          </w:p>
          <w:p w14:paraId="3168589E">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32.所列工程量的变动，丝毫不会使合同条件或条款无效或降低，也不免除承包人按要求的标准进行施工和缺陷修复的责任。</w:t>
            </w:r>
          </w:p>
          <w:p w14:paraId="125F0A86">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33.投标人应对招标文件、附件及其图纸和本次工程量清单中的每一个项目进行报价，如漏报或少报项目，则视为其费用已含在其他项目的综合单价或合计中，结算不予调整。</w:t>
            </w:r>
          </w:p>
          <w:p w14:paraId="01902BD2">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bCs w:val="0"/>
                <w:color w:val="auto"/>
                <w:spacing w:val="-1"/>
                <w:kern w:val="2"/>
                <w:sz w:val="24"/>
                <w:szCs w:val="24"/>
                <w:highlight w:val="none"/>
                <w:lang w:val="en-US" w:eastAsia="zh-CN" w:bidi="ar-SA"/>
              </w:rPr>
            </w:pPr>
            <w:r>
              <w:rPr>
                <w:rFonts w:hint="eastAsia" w:asciiTheme="minorEastAsia" w:hAnsiTheme="minorEastAsia" w:eastAsiaTheme="minorEastAsia" w:cstheme="minorEastAsia"/>
                <w:b/>
                <w:bCs w:val="0"/>
                <w:color w:val="auto"/>
                <w:spacing w:val="-1"/>
                <w:kern w:val="2"/>
                <w:sz w:val="24"/>
                <w:szCs w:val="24"/>
                <w:highlight w:val="none"/>
                <w:lang w:val="en-US" w:eastAsia="zh-CN" w:bidi="ar-SA"/>
              </w:rPr>
              <w:t>五、工程量清单编制中需说明的其他事项：</w:t>
            </w:r>
          </w:p>
          <w:p w14:paraId="78CEBC8F">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1.投标人自行考虑建筑垃圾外运、弃置场地、环保、交通、道路保洁等各种费用。</w:t>
            </w:r>
          </w:p>
          <w:p w14:paraId="2701771E">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2.投标人需自行踏勘现场，有关拆除费用时投标人根据图纸深化或同类项目经验充分考虑，在图纸无变化、建造标准无变化、业主无明确指令导致费用增加的，结算不予调整。</w:t>
            </w:r>
          </w:p>
          <w:p w14:paraId="2FC62965">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3.工程量清单中项目特征描述不清楚的以设计图纸为准。凡清单项目特征未描述或无需描述，但又是完成该分项工程必须有的工作内容，均应包括在综合单价中。工程量清单特征描述不全时,应结合设计图纸主要工艺施工技术说明及相关计价规范中注明的工程内容,并应当综合考虑施工规范、地方规章等的要求,所产生的费用综合考虑在投标报价中。投标人在报价时须充分考虑“主要工艺”和“工程内容”而产生的费用综合考虑在投标报价中。</w:t>
            </w:r>
          </w:p>
          <w:p w14:paraId="5E311115">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4.工程量清单中每一个项目的综合单价及措施费中，应包括人工费、材料费、机械费、管理费、利润及现行取费中的有关费用、有关文件规定的调价、场内外运输、机械进退场、临时设施、材料周转、二次倒运、赶工措施、机械停置、噪音、围挡、夜间施工费、成品保护、交通协调以及根据本招标文件要求的风险金等全部费用。</w:t>
            </w:r>
          </w:p>
          <w:p w14:paraId="46E9EBB3">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5.施工期间对行人、车辆要有具体保护措施和方案，投标人在报价中应充分考虑此部分费用，结算时不得增加与此有关的费用。</w:t>
            </w:r>
          </w:p>
          <w:p w14:paraId="6C386934">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6.所有材料、垃圾外运费由投标人在报价中应充分考虑此部分费用，结算时不得增加与此有关的费用。</w:t>
            </w:r>
          </w:p>
          <w:p w14:paraId="1655CE34">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7.对于所有墙面、台阶、地面等阴阳角、中间接缝的处理，投标人应在报价中充分考虑，结算时不得增加相关费用。</w:t>
            </w:r>
          </w:p>
          <w:p w14:paraId="108E32B7">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8.对于江苏省、南京市相关部门对工程施工要求所发的文件、通知规定，特别是工程围挡（本工程围挡搭建高度需符合甲方要求，并保证美观大方，满足市容城管等主管部门的管理要求，投标人需充分考虑上述因素影响而导致的成本增加）、扬尘控制和环境保护（投标人需保证作业现场的环境卫生和文明作业符合管理规定，配合政府做好环境检查，做好安全、防尘措施等工作，服从配合检查）的要求，请投标人在报价中充分考虑上诉要求，结算时不得增加与此有关费用。</w:t>
            </w:r>
          </w:p>
          <w:p w14:paraId="24008E8A">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9.投标人应提前勘察现场以充分了解施工环境(重点是施工用水的接入点、施工用电的接火点位置），临时电源、临时水源及施工用水用电由投标人自行解决，此项费用摊销在相关单价中。工地位置及任何其他足以影响工程价格及工期的情况，招标人对现有的施工环境条件将不增加投入，请投标人自行考虑并计入投标价中。</w:t>
            </w:r>
          </w:p>
          <w:p w14:paraId="6B1B96C7">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10.投标人应对招标文件、附件及其图纸和本次工程量清单中的每一个项目进行报价，如漏报或少报项目，则视为其费用已含在其他项目的综合单价或合计中，结算不予调整。</w:t>
            </w:r>
          </w:p>
          <w:p w14:paraId="51D2C3B0">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bCs w:val="0"/>
                <w:color w:val="auto"/>
                <w:spacing w:val="-1"/>
                <w:kern w:val="2"/>
                <w:sz w:val="24"/>
                <w:szCs w:val="24"/>
                <w:highlight w:val="none"/>
                <w:lang w:val="en-US" w:eastAsia="zh-CN" w:bidi="ar-SA"/>
              </w:rPr>
            </w:pPr>
            <w:r>
              <w:rPr>
                <w:rFonts w:hint="eastAsia" w:asciiTheme="minorEastAsia" w:hAnsiTheme="minorEastAsia" w:eastAsiaTheme="minorEastAsia" w:cstheme="minorEastAsia"/>
                <w:b/>
                <w:bCs w:val="0"/>
                <w:color w:val="auto"/>
                <w:spacing w:val="-1"/>
                <w:kern w:val="2"/>
                <w:sz w:val="24"/>
                <w:szCs w:val="24"/>
                <w:highlight w:val="none"/>
                <w:lang w:val="en-US" w:eastAsia="zh-CN" w:bidi="ar-SA"/>
              </w:rPr>
              <w:t>六、工程质量、材料、施工等的特殊要求：</w:t>
            </w:r>
          </w:p>
          <w:p w14:paraId="063BA6AC">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1.项目施工所使用的材料需满足设计及招标人的要求，并为正规厂家合格产品（环保产品需提供环保检测报告）。</w:t>
            </w:r>
          </w:p>
          <w:p w14:paraId="5AA648F5">
            <w:pPr>
              <w:keepNext w:val="0"/>
              <w:keepLines w:val="0"/>
              <w:widowControl/>
              <w:suppressLineNumbers w:val="0"/>
              <w:spacing w:line="360" w:lineRule="auto"/>
              <w:jc w:val="both"/>
              <w:textAlignment w:val="center"/>
              <w:rPr>
                <w:rFonts w:hint="eastAsia" w:asciiTheme="minorEastAsia" w:hAnsiTheme="minorEastAsia" w:eastAsiaTheme="minorEastAsia" w:cstheme="minorEastAsia"/>
                <w:b w:val="0"/>
                <w:bCs/>
                <w:color w:val="auto"/>
                <w:spacing w:val="-1"/>
                <w:kern w:val="2"/>
                <w:sz w:val="24"/>
                <w:szCs w:val="24"/>
                <w:highlight w:val="none"/>
                <w:lang w:val="en-US" w:eastAsia="zh-CN" w:bidi="ar-SA"/>
              </w:rPr>
            </w:pPr>
            <w:r>
              <w:rPr>
                <w:rFonts w:hint="eastAsia" w:asciiTheme="minorEastAsia" w:hAnsiTheme="minorEastAsia" w:eastAsiaTheme="minorEastAsia" w:cstheme="minorEastAsia"/>
                <w:b w:val="0"/>
                <w:bCs/>
                <w:color w:val="auto"/>
                <w:spacing w:val="-1"/>
                <w:kern w:val="2"/>
                <w:sz w:val="24"/>
                <w:szCs w:val="24"/>
                <w:highlight w:val="none"/>
                <w:lang w:val="en-US" w:eastAsia="zh-CN" w:bidi="ar-SA"/>
              </w:rPr>
              <w:t>2.中标单位在采购材料前，需按投标文件所投品牌先送样品给甲方，由甲方确认并封样（根据甲方要求）后，方可进行采购，否则一切损失由中标单位承担。</w:t>
            </w:r>
            <w:bookmarkStart w:id="0" w:name="_GoBack"/>
            <w:bookmarkEnd w:id="0"/>
          </w:p>
        </w:tc>
      </w:tr>
    </w:tbl>
    <w:p w14:paraId="418F6A07">
      <w:pPr>
        <w:pStyle w:val="2"/>
        <w:snapToGrid w:val="0"/>
        <w:spacing w:before="0" w:line="360" w:lineRule="auto"/>
        <w:ind w:left="0" w:leftChars="0" w:firstLine="0" w:firstLineChars="0"/>
        <w:jc w:val="both"/>
        <w:rPr>
          <w:rFonts w:hint="default" w:ascii="宋体" w:hAnsi="宋体" w:cs="Times New Roman"/>
          <w:color w:val="auto"/>
          <w:kern w:val="2"/>
          <w:sz w:val="24"/>
          <w:szCs w:val="24"/>
          <w:highlight w:val="none"/>
          <w:lang w:val="en-US" w:eastAsia="zh-CN" w:bidi="ar-SA"/>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E6CF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76CAE5">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0876CAE5">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E626F2"/>
    <w:multiLevelType w:val="singleLevel"/>
    <w:tmpl w:val="B4E626F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kOTdmNTJhM2QwNDljYmU4ZTZiYjc5ODJkMGUyNzAifQ=="/>
  </w:docVars>
  <w:rsids>
    <w:rsidRoot w:val="009E258E"/>
    <w:rsid w:val="00023690"/>
    <w:rsid w:val="001F092A"/>
    <w:rsid w:val="004D546E"/>
    <w:rsid w:val="005746B0"/>
    <w:rsid w:val="006D7F9C"/>
    <w:rsid w:val="00847374"/>
    <w:rsid w:val="008E2A0E"/>
    <w:rsid w:val="008E5189"/>
    <w:rsid w:val="00913684"/>
    <w:rsid w:val="009E258E"/>
    <w:rsid w:val="00AB3EF4"/>
    <w:rsid w:val="00D6509B"/>
    <w:rsid w:val="00EC148A"/>
    <w:rsid w:val="01374E54"/>
    <w:rsid w:val="020624C0"/>
    <w:rsid w:val="02196961"/>
    <w:rsid w:val="021F1EBB"/>
    <w:rsid w:val="02E828A9"/>
    <w:rsid w:val="031C69F7"/>
    <w:rsid w:val="04583A5F"/>
    <w:rsid w:val="05545BEA"/>
    <w:rsid w:val="05CD3FD8"/>
    <w:rsid w:val="06C947A0"/>
    <w:rsid w:val="07F912B3"/>
    <w:rsid w:val="09137F54"/>
    <w:rsid w:val="0922747C"/>
    <w:rsid w:val="097048BB"/>
    <w:rsid w:val="0972111F"/>
    <w:rsid w:val="09C33728"/>
    <w:rsid w:val="0A1C498E"/>
    <w:rsid w:val="0B0E0E65"/>
    <w:rsid w:val="0B5F56D3"/>
    <w:rsid w:val="0C264442"/>
    <w:rsid w:val="0CA21D1B"/>
    <w:rsid w:val="0CFD51A3"/>
    <w:rsid w:val="0E770F85"/>
    <w:rsid w:val="0E776826"/>
    <w:rsid w:val="0E8F53C9"/>
    <w:rsid w:val="0EFB3964"/>
    <w:rsid w:val="0F3D3F7D"/>
    <w:rsid w:val="0FA45DAA"/>
    <w:rsid w:val="0FF860F6"/>
    <w:rsid w:val="10263451"/>
    <w:rsid w:val="10A87B1C"/>
    <w:rsid w:val="113C4BF9"/>
    <w:rsid w:val="116D118E"/>
    <w:rsid w:val="11CC2B1C"/>
    <w:rsid w:val="11F325DC"/>
    <w:rsid w:val="12F42BA4"/>
    <w:rsid w:val="138F28CD"/>
    <w:rsid w:val="13B70C57"/>
    <w:rsid w:val="157C4EBA"/>
    <w:rsid w:val="160D79DC"/>
    <w:rsid w:val="175D4E15"/>
    <w:rsid w:val="178070FD"/>
    <w:rsid w:val="184B14B9"/>
    <w:rsid w:val="18E86D07"/>
    <w:rsid w:val="18EC5BE1"/>
    <w:rsid w:val="18F35864"/>
    <w:rsid w:val="19043167"/>
    <w:rsid w:val="19145D4E"/>
    <w:rsid w:val="199706EC"/>
    <w:rsid w:val="1997072D"/>
    <w:rsid w:val="1A1C1C73"/>
    <w:rsid w:val="1A4C1518"/>
    <w:rsid w:val="1AB31597"/>
    <w:rsid w:val="1AE6371B"/>
    <w:rsid w:val="1BCB46BE"/>
    <w:rsid w:val="1C163B8C"/>
    <w:rsid w:val="1C275D99"/>
    <w:rsid w:val="1CBE6D0B"/>
    <w:rsid w:val="1CCA1125"/>
    <w:rsid w:val="1E707ECB"/>
    <w:rsid w:val="1EF503D0"/>
    <w:rsid w:val="1F3C7DAD"/>
    <w:rsid w:val="1F6115C2"/>
    <w:rsid w:val="1FE16BA6"/>
    <w:rsid w:val="1FEA6E76"/>
    <w:rsid w:val="20601879"/>
    <w:rsid w:val="20E34258"/>
    <w:rsid w:val="225B2C40"/>
    <w:rsid w:val="22934188"/>
    <w:rsid w:val="22D93B65"/>
    <w:rsid w:val="23240EF7"/>
    <w:rsid w:val="23F32A04"/>
    <w:rsid w:val="24661428"/>
    <w:rsid w:val="24CC3981"/>
    <w:rsid w:val="263B4747"/>
    <w:rsid w:val="266876DA"/>
    <w:rsid w:val="26A56238"/>
    <w:rsid w:val="27CC5A46"/>
    <w:rsid w:val="284B2E0F"/>
    <w:rsid w:val="29946A38"/>
    <w:rsid w:val="29956114"/>
    <w:rsid w:val="2A181417"/>
    <w:rsid w:val="2A306760"/>
    <w:rsid w:val="2A571F3F"/>
    <w:rsid w:val="2BA35D61"/>
    <w:rsid w:val="2BAE3DE1"/>
    <w:rsid w:val="2DCE3DB2"/>
    <w:rsid w:val="2DD44444"/>
    <w:rsid w:val="2DEC0BF0"/>
    <w:rsid w:val="2DFE0923"/>
    <w:rsid w:val="2E075A2A"/>
    <w:rsid w:val="2F267D23"/>
    <w:rsid w:val="2F5B602D"/>
    <w:rsid w:val="3043238E"/>
    <w:rsid w:val="304E7940"/>
    <w:rsid w:val="31305298"/>
    <w:rsid w:val="318237B5"/>
    <w:rsid w:val="31B47C77"/>
    <w:rsid w:val="327B2543"/>
    <w:rsid w:val="32973A29"/>
    <w:rsid w:val="32AF043E"/>
    <w:rsid w:val="33281D89"/>
    <w:rsid w:val="334E7619"/>
    <w:rsid w:val="3431735D"/>
    <w:rsid w:val="35AD5109"/>
    <w:rsid w:val="35B52FA4"/>
    <w:rsid w:val="368A544A"/>
    <w:rsid w:val="369462C9"/>
    <w:rsid w:val="37144D14"/>
    <w:rsid w:val="37661A13"/>
    <w:rsid w:val="389E6F8B"/>
    <w:rsid w:val="391159AF"/>
    <w:rsid w:val="393671C3"/>
    <w:rsid w:val="3A8C6BB2"/>
    <w:rsid w:val="3ACA4067"/>
    <w:rsid w:val="3B322335"/>
    <w:rsid w:val="3BF27D19"/>
    <w:rsid w:val="3C4816E7"/>
    <w:rsid w:val="3C504A40"/>
    <w:rsid w:val="3C787DA8"/>
    <w:rsid w:val="3D475B8A"/>
    <w:rsid w:val="3E2C3F48"/>
    <w:rsid w:val="3E4A67D0"/>
    <w:rsid w:val="3E9A01F4"/>
    <w:rsid w:val="3F364FB1"/>
    <w:rsid w:val="3FDA11F0"/>
    <w:rsid w:val="3FF676AC"/>
    <w:rsid w:val="3FFE0E31"/>
    <w:rsid w:val="405368AD"/>
    <w:rsid w:val="4057396B"/>
    <w:rsid w:val="412A3AB2"/>
    <w:rsid w:val="41322966"/>
    <w:rsid w:val="414917D4"/>
    <w:rsid w:val="42613503"/>
    <w:rsid w:val="4333192F"/>
    <w:rsid w:val="44444E8A"/>
    <w:rsid w:val="454321D6"/>
    <w:rsid w:val="469D4D26"/>
    <w:rsid w:val="46A71700"/>
    <w:rsid w:val="46E306C3"/>
    <w:rsid w:val="47540EC4"/>
    <w:rsid w:val="47543636"/>
    <w:rsid w:val="487F7A2A"/>
    <w:rsid w:val="48D207F1"/>
    <w:rsid w:val="49496A9F"/>
    <w:rsid w:val="49F17862"/>
    <w:rsid w:val="4A873D23"/>
    <w:rsid w:val="4AC26E32"/>
    <w:rsid w:val="4BC806AC"/>
    <w:rsid w:val="4BE61635"/>
    <w:rsid w:val="4C1C642B"/>
    <w:rsid w:val="4C8F2A46"/>
    <w:rsid w:val="4CEC7F23"/>
    <w:rsid w:val="4D8602C2"/>
    <w:rsid w:val="4DD0778F"/>
    <w:rsid w:val="4E333A88"/>
    <w:rsid w:val="4EBD5F65"/>
    <w:rsid w:val="4EFA1A2A"/>
    <w:rsid w:val="4FAB2261"/>
    <w:rsid w:val="50087C55"/>
    <w:rsid w:val="50131BB5"/>
    <w:rsid w:val="502A762A"/>
    <w:rsid w:val="51453FF0"/>
    <w:rsid w:val="5153670D"/>
    <w:rsid w:val="538F052E"/>
    <w:rsid w:val="53901E9A"/>
    <w:rsid w:val="53B06098"/>
    <w:rsid w:val="54344E7C"/>
    <w:rsid w:val="55314755"/>
    <w:rsid w:val="55364E1B"/>
    <w:rsid w:val="55EC35D4"/>
    <w:rsid w:val="561356DC"/>
    <w:rsid w:val="576F2EA7"/>
    <w:rsid w:val="58CB127E"/>
    <w:rsid w:val="593908DE"/>
    <w:rsid w:val="594F73E0"/>
    <w:rsid w:val="59C46AE2"/>
    <w:rsid w:val="59CE54CA"/>
    <w:rsid w:val="59D979CB"/>
    <w:rsid w:val="5CC73295"/>
    <w:rsid w:val="5CE96177"/>
    <w:rsid w:val="5DA64068"/>
    <w:rsid w:val="5F610B8F"/>
    <w:rsid w:val="60FB12F6"/>
    <w:rsid w:val="614275EA"/>
    <w:rsid w:val="61657790"/>
    <w:rsid w:val="627C1D9E"/>
    <w:rsid w:val="62B334AF"/>
    <w:rsid w:val="64682077"/>
    <w:rsid w:val="64AD2180"/>
    <w:rsid w:val="6522491C"/>
    <w:rsid w:val="65D04378"/>
    <w:rsid w:val="66303043"/>
    <w:rsid w:val="6718355E"/>
    <w:rsid w:val="67694531"/>
    <w:rsid w:val="688B1DE5"/>
    <w:rsid w:val="69B144C0"/>
    <w:rsid w:val="69D81A4D"/>
    <w:rsid w:val="6A1D7C3D"/>
    <w:rsid w:val="6C075446"/>
    <w:rsid w:val="6CB73B9C"/>
    <w:rsid w:val="6D9052D2"/>
    <w:rsid w:val="6E6935BC"/>
    <w:rsid w:val="6E8126B3"/>
    <w:rsid w:val="6EA03A54"/>
    <w:rsid w:val="6EE3336E"/>
    <w:rsid w:val="6F4107E0"/>
    <w:rsid w:val="6F44291B"/>
    <w:rsid w:val="701D640C"/>
    <w:rsid w:val="708347C1"/>
    <w:rsid w:val="70B30B1E"/>
    <w:rsid w:val="710B6BAC"/>
    <w:rsid w:val="71186BD3"/>
    <w:rsid w:val="71BE59CD"/>
    <w:rsid w:val="72AC1CC9"/>
    <w:rsid w:val="73727658"/>
    <w:rsid w:val="73FE0302"/>
    <w:rsid w:val="741B4F00"/>
    <w:rsid w:val="749649DF"/>
    <w:rsid w:val="75226272"/>
    <w:rsid w:val="75CA27B9"/>
    <w:rsid w:val="76322C84"/>
    <w:rsid w:val="76A326F9"/>
    <w:rsid w:val="784C25B0"/>
    <w:rsid w:val="78DD498A"/>
    <w:rsid w:val="7A326F58"/>
    <w:rsid w:val="7CBB76D8"/>
    <w:rsid w:val="7D5471E5"/>
    <w:rsid w:val="7DD55E3A"/>
    <w:rsid w:val="7E06619F"/>
    <w:rsid w:val="7E2774F1"/>
    <w:rsid w:val="7FDD3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adjustRightInd w:val="0"/>
    </w:pPr>
    <w:rPr>
      <w:rFonts w:ascii="Times" w:hAnsi="Times" w:eastAsia="仿宋" w:cs="Times New Roman"/>
      <w:kern w:val="0"/>
      <w:sz w:val="32"/>
      <w:szCs w:val="3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0"/>
    <w:autoRedefine/>
    <w:unhideWhenUsed/>
    <w:qFormat/>
    <w:uiPriority w:val="99"/>
    <w:pPr>
      <w:spacing w:before="44" w:after="100" w:afterAutospacing="1"/>
      <w:ind w:left="1411" w:firstLine="472"/>
    </w:pPr>
    <w:rPr>
      <w:rFonts w:hAnsi="Calibri" w:eastAsia="宋体"/>
      <w:kern w:val="2"/>
      <w:sz w:val="21"/>
      <w:szCs w:val="21"/>
    </w:rPr>
  </w:style>
  <w:style w:type="paragraph" w:styleId="3">
    <w:name w:val="footer"/>
    <w:basedOn w:val="1"/>
    <w:autoRedefine/>
    <w:semiHidden/>
    <w:unhideWhenUsed/>
    <w:qFormat/>
    <w:uiPriority w:val="99"/>
    <w:pPr>
      <w:tabs>
        <w:tab w:val="center" w:pos="4153"/>
        <w:tab w:val="right" w:pos="8306"/>
      </w:tabs>
      <w:snapToGrid w:val="0"/>
      <w:jc w:val="left"/>
    </w:pPr>
    <w:rPr>
      <w:sz w:val="18"/>
    </w:rPr>
  </w:style>
  <w:style w:type="paragraph" w:styleId="4">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22"/>
    <w:rPr>
      <w:b/>
    </w:rPr>
  </w:style>
  <w:style w:type="paragraph" w:customStyle="1" w:styleId="9">
    <w:name w:val="Table Paragraph"/>
    <w:basedOn w:val="1"/>
    <w:autoRedefine/>
    <w:semiHidden/>
    <w:qFormat/>
    <w:uiPriority w:val="0"/>
  </w:style>
  <w:style w:type="character" w:customStyle="1" w:styleId="10">
    <w:name w:val="正文文本 Char"/>
    <w:basedOn w:val="7"/>
    <w:link w:val="2"/>
    <w:autoRedefine/>
    <w:qFormat/>
    <w:uiPriority w:val="99"/>
    <w:rPr>
      <w:rFonts w:ascii="Times" w:hAnsi="Calibri" w:eastAsia="宋体" w:cs="Times New Roman"/>
      <w:szCs w:val="21"/>
    </w:rPr>
  </w:style>
  <w:style w:type="paragraph" w:customStyle="1" w:styleId="11">
    <w:name w:val="answer_text"/>
    <w:basedOn w:val="1"/>
    <w:autoRedefine/>
    <w:qFormat/>
    <w:uiPriority w:val="0"/>
    <w:pPr>
      <w:spacing w:before="100" w:beforeAutospacing="1" w:after="525"/>
    </w:pPr>
  </w:style>
  <w:style w:type="character" w:customStyle="1" w:styleId="12">
    <w:name w:val="font11"/>
    <w:basedOn w:val="7"/>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4456</Words>
  <Characters>4625</Characters>
  <Lines>34</Lines>
  <Paragraphs>9</Paragraphs>
  <TotalTime>15</TotalTime>
  <ScaleCrop>false</ScaleCrop>
  <LinksUpToDate>false</LinksUpToDate>
  <CharactersWithSpaces>4633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2021-09-22T13:30:00Z</dcterms:created>
  <dc:creator>China</dc:creator>
  <cp:lastModifiedBy>熊国海</cp:lastModifiedBy>
  <cp:lastPrinted>2023-04-06T10:31:00Z</cp:lastPrinted>
  <dcterms:modified xsi:type="dcterms:W3CDTF">2026-04-01T01:00:10Z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77FAA3B05EA1433382BD2B334B5DC311_13</vt:lpwstr>
  </property>
  <property fmtid="{D5CDD505-2E9C-101B-9397-08002B2CF9AE}" pid="4" name="KSOTemplateDocerSaveRecord">
    <vt:lpwstr>eyJoZGlkIjoiZGMzNjZjYzQwNWMyNmE4YWE1YzMwMzQxNDYzMjkwNTkiLCJ1c2VySWQiOiI3MDk4MDAwODkifQ==</vt:lpwstr>
  </property>
</Properties>
</file>