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Arial" w:hAnsi="Arial" w:eastAsia="黑体"/>
          <w:b/>
          <w:bCs/>
          <w:color w:val="000000"/>
          <w:sz w:val="84"/>
          <w:szCs w:val="24"/>
          <w:highlight w:val="none"/>
        </w:rPr>
      </w:r>
      <w:r/>
    </w:p>
    <w:p>
      <w:pPr>
        <w:pStyle w:val="963"/>
        <w:rPr>
          <w:rFonts w:hint="eastAsia"/>
          <w:color w:val="000000"/>
          <w:highlight w:val="none"/>
        </w:rPr>
      </w:pPr>
      <w:r>
        <w:rPr>
          <w:rFonts w:hint="eastAsia"/>
          <w:color w:val="000000"/>
          <w:highlight w:val="none"/>
        </w:rPr>
      </w:r>
      <w:r/>
    </w:p>
    <w:p>
      <w:pPr>
        <w:pStyle w:val="980"/>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85"/>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：南京鼓楼医院医疗版式云文档中心</w:t>
      </w:r>
      <w:r>
        <w:rPr>
          <w:rFonts w:hint="eastAsia" w:ascii="Times New Roman" w:hAnsi="Times New Roman" w:eastAsia="宋体" w:cs="Times New Roman"/>
          <w:b/>
          <w:color w:val="000000"/>
          <w:sz w:val="30"/>
          <w:szCs w:val="30"/>
          <w:highlight w:val="none"/>
          <w:lang w:val="en-US" w:eastAsia="zh-CN"/>
        </w:rPr>
        <w:t xml:space="preserve"> </w:t>
      </w:r>
      <w:r>
        <w:rPr>
          <w:rFonts w:ascii="Times New Roman" w:hAnsi="Times New Roman" w:eastAsia="宋体" w:cs="Times New Roman"/>
          <w:b/>
          <w:color w:val="000000"/>
          <w:sz w:val="30"/>
          <w:szCs w:val="30"/>
          <w:highlight w:val="none"/>
          <w:lang w:val="en-US" w:eastAsia="zh-CN"/>
        </w:rPr>
      </w:r>
      <w:r/>
    </w:p>
    <w:p>
      <w:pPr>
        <w:pStyle w:val="885"/>
        <w:ind w:firstLine="1506"/>
        <w:rPr>
          <w:rFonts w:hint="eastAsia"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项目编号：JSZC-320100-JZCG-G2025-0556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8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8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88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7"/>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p>
    <w:p>
      <w:pPr>
        <w:pStyle w:val="897"/>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8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14</w:t>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17</w:t>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22</w:t>
      </w:r>
      <w:r/>
    </w:p>
    <w:p>
      <w:pPr>
        <w:pStyle w:val="88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25</w:t>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85"/>
        <w:ind w:firstLine="480"/>
        <w:pageBreakBefore w:val="0"/>
        <w:spacing w:line="252" w:lineRule="auto"/>
        <w:widowControl w:val="off"/>
        <w:rPr>
          <w:rFonts w:hint="eastAsia" w:ascii="宋体" w:hAnsi="宋体"/>
          <w:color w:val="000000"/>
          <w:sz w:val="24"/>
          <w:szCs w:val="24"/>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color w:val="000000"/>
          <w:sz w:val="24"/>
          <w:szCs w:val="24"/>
          <w:highlight w:val="none"/>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受南京鼓楼医院委托，南京市公共资源交易中心（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）就南京鼓楼医院医疗版式云文档中心进行公开招标采购，欢迎符合条件的供应商投标。</w:t>
      </w:r>
      <w:r>
        <w:rPr>
          <w:rFonts w:hint="eastAsia" w:ascii="宋体" w:hAnsi="宋体" w:eastAsia="宋体" w:cs="Times New Roman"/>
          <w:color w:val="000000"/>
          <w:sz w:val="24"/>
          <w:szCs w:val="24"/>
          <w:highlight w:val="none"/>
          <w:lang w:eastAsia="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JSZC-320100-JZCG-G2025-0556</w:t>
      </w:r>
      <w:r>
        <w:rPr>
          <w:rFonts w:hint="eastAsia" w:ascii="宋体" w:hAnsi="宋体" w:eastAsia="宋体" w:cs="Times New Roman"/>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val="en-US" w:eastAsia="zh-CN"/>
        </w:rPr>
        <w:t xml:space="preserve">南京鼓楼医院医疗版式云文档中心</w:t>
      </w:r>
      <w:r>
        <w:rPr>
          <w:rFonts w:hint="eastAsia" w:ascii="宋体" w:hAnsi="宋体" w:eastAsia="宋体"/>
          <w:color w:val="000000"/>
          <w:sz w:val="24"/>
          <w:szCs w:val="24"/>
          <w:highlight w:val="none"/>
          <w:lang w:eastAsia="zh-CN"/>
        </w:rPr>
      </w:r>
      <w:r/>
    </w:p>
    <w:p>
      <w:pPr>
        <w:pStyle w:val="885"/>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110万元 </w:t>
      </w:r>
      <w:r>
        <w:rPr>
          <w:rFonts w:hint="eastAsia" w:ascii="宋体" w:hAnsi="宋体"/>
          <w:color w:val="000000"/>
          <w:sz w:val="24"/>
          <w:szCs w:val="24"/>
          <w:highlight w:val="none"/>
          <w:lang w:val="en-US" w:eastAsia="zh-CN"/>
        </w:rPr>
      </w:r>
      <w:r/>
    </w:p>
    <w:p>
      <w:pPr>
        <w:pStyle w:val="885"/>
        <w:ind w:firstLine="480"/>
        <w:jc w:val="left"/>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olor w:val="000000"/>
          <w:sz w:val="24"/>
          <w:szCs w:val="24"/>
          <w:highlight w:val="none"/>
          <w:lang w:val="en-US" w:eastAsia="zh-CN"/>
        </w:rPr>
        <w:t xml:space="preserve">100万元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为积极响应OFD-H版式文件推广应用的政策导向，高效实现集团医院内部全量电子病案的协同共享与数据交换，现依据相关标准规范及信息化建设长远规划，建设OFD-H医疗版式云文档中心，形成全院业务系统的统一版式文件管理枢纽，为集团医院内部电子病案应用提供文档处理、质量管控、文档交换等能力。</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85"/>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s="宋体"/>
          <w:color w:val="000000"/>
          <w:sz w:val="24"/>
          <w:szCs w:val="24"/>
          <w:highlight w:val="none"/>
        </w:rPr>
        <w:t xml:space="preserve">180天</w:t>
      </w:r>
      <w:r>
        <w:rPr>
          <w:rFonts w:hint="eastAsia" w:ascii="宋体" w:hAnsi="宋体" w:cs="宋体"/>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8985264"/>
      <w:r/>
      <w:bookmarkStart w:id="14" w:name="_Toc28359080"/>
      <w:r/>
      <w:bookmarkStart w:id="15" w:name="_Toc35393791"/>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8985265"/>
      <w:r/>
      <w:bookmarkStart w:id="19" w:name="_Toc28359081"/>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8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8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85"/>
        <w:ind w:firstLine="480"/>
        <w:pageBreakBefore w:val="0"/>
        <w:spacing w:line="252"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rPr>
      </w:r>
      <w:r/>
    </w:p>
    <w:p>
      <w:pPr>
        <w:pStyle w:val="885"/>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5"/>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84"/>
      <w:r/>
      <w:bookmarkStart w:id="29" w:name="_Toc28359007"/>
      <w:r/>
      <w:bookmarkStart w:id="30" w:name="_Toc35393625"/>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19</w:t>
      </w:r>
      <w:r>
        <w:rPr>
          <w:rFonts w:hint="eastAsia" w:ascii="宋体" w:hAnsi="宋体"/>
          <w:bCs/>
          <w:color w:val="000000"/>
          <w:sz w:val="24"/>
          <w:szCs w:val="24"/>
          <w:highlight w:val="none"/>
          <w:u w:val="none"/>
        </w:rPr>
        <w:t xml:space="preserve">日14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85"/>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hint="eastAsia"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8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6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8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85"/>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85"/>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85"/>
        <w:ind w:firstLine="480"/>
        <w:spacing w:line="264" w:lineRule="auto"/>
        <w:rPr>
          <w:rFonts w:hint="eastAsia" w:ascii="宋体" w:hAnsi="宋体"/>
          <w:color w:val="000000"/>
          <w:sz w:val="24"/>
          <w:szCs w:val="24"/>
          <w:highlight w:val="none"/>
        </w:rPr>
      </w:pPr>
      <w:r/>
      <w:bookmarkStart w:id="40" w:name="_Toc28359086"/>
      <w:r/>
      <w:bookmarkStart w:id="41" w:name="_Toc28359009"/>
      <w:r>
        <w:rPr>
          <w:rFonts w:hint="eastAsia" w:ascii="宋体" w:hAnsi="宋体"/>
          <w:color w:val="000000"/>
          <w:sz w:val="24"/>
          <w:szCs w:val="24"/>
          <w:highlight w:val="none"/>
        </w:rPr>
        <w:t xml:space="preserve">名  称：南京鼓楼医院         </w:t>
      </w:r>
      <w:r>
        <w:rPr>
          <w:rFonts w:hint="eastAsia" w:ascii="宋体" w:hAnsi="宋体"/>
          <w:color w:val="000000"/>
          <w:sz w:val="24"/>
          <w:szCs w:val="24"/>
          <w:highlight w:val="none"/>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中山</w:t>
      </w:r>
      <w:r>
        <w:rPr>
          <w:rFonts w:hint="eastAsia" w:ascii="宋体" w:hAnsi="宋体" w:cs="宋体"/>
          <w:color w:val="000000"/>
          <w:sz w:val="24"/>
          <w:szCs w:val="24"/>
          <w:highlight w:val="none"/>
        </w:rPr>
        <w:t xml:space="preserve">路</w:t>
      </w:r>
      <w:r>
        <w:rPr>
          <w:rFonts w:ascii="宋体" w:hAnsi="宋体"/>
          <w:color w:val="000000"/>
          <w:sz w:val="24"/>
          <w:szCs w:val="24"/>
          <w:highlight w:val="none"/>
        </w:rPr>
        <w:t xml:space="preserve">321</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联系人：黄老师 </w:t>
      </w:r>
      <w:r>
        <w:rPr>
          <w:rFonts w:hint="eastAsia" w:ascii="宋体" w:hAnsi="宋体"/>
          <w:color w:val="000000"/>
          <w:sz w:val="24"/>
          <w:szCs w:val="24"/>
          <w:highlight w:val="none"/>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8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85"/>
        <w:ind w:firstLine="480"/>
        <w:pageBreakBefore w:val="0"/>
        <w:spacing w:line="252"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cs="Times New Roman"/>
          <w:color w:val="000000"/>
          <w:sz w:val="24"/>
          <w:szCs w:val="24"/>
          <w:highlight w:val="none"/>
          <w:u w:val="none"/>
          <w:lang w:val="en-US" w:eastAsia="zh-CN"/>
        </w:rPr>
      </w:r>
      <w:r/>
    </w:p>
    <w:p>
      <w:pPr>
        <w:pStyle w:val="885"/>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color w:val="000000"/>
          <w:highlight w:val="none"/>
          <w:u w:val="none"/>
        </w:rPr>
      </w:r>
      <w:r/>
    </w:p>
    <w:p>
      <w:pPr>
        <w:pStyle w:val="96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20823346"/>
      <w:r/>
      <w:bookmarkStart w:id="46" w:name="_Toc120614244"/>
      <w:r/>
      <w:bookmarkStart w:id="47" w:name="_Toc16938590"/>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20823274"/>
      <w:r/>
      <w:bookmarkStart w:id="50" w:name="_Toc16938518"/>
      <w:r/>
      <w:bookmarkStart w:id="51" w:name="_Toc513029202"/>
      <w:r/>
      <w:bookmarkStart w:id="52"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513029203"/>
      <w:r/>
      <w:bookmarkStart w:id="54" w:name="_Toc16938558"/>
      <w:r/>
      <w:bookmarkStart w:id="55" w:name="_Toc513029242"/>
      <w:r/>
      <w:bookmarkStart w:id="56" w:name="_Toc20823314"/>
      <w:r/>
      <w:bookmarkStart w:id="57" w:name="_Toc120614221"/>
      <w:r/>
      <w:bookmarkStart w:id="58" w:name="_Toc120614214"/>
      <w:r/>
      <w:bookmarkStart w:id="59" w:name="_Toc16938519"/>
      <w:r/>
      <w:bookmarkStart w:id="60" w:name="_Toc20823275"/>
      <w:r/>
      <w:bookmarkStart w:id="61" w:name="_Toc479757207"/>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2" w:name="_Toc458694821"/>
      <w:r/>
      <w:bookmarkStart w:id="63" w:name="_Toc16938520"/>
      <w:r/>
      <w:bookmarkStart w:id="64" w:name="_Toc513029204"/>
      <w:r/>
      <w:bookmarkStart w:id="65" w:name="_Toc20823276"/>
      <w:r/>
      <w:bookmarkStart w:id="66" w:name="_Hlt16619475"/>
      <w:r/>
      <w:bookmarkEnd w:id="66"/>
      <w:r>
        <w:rPr>
          <w:rFonts w:hint="eastAsia" w:ascii="方正楷体_GBK" w:hAnsi="方正楷体_GBK" w:eastAsia="方正楷体_GBK" w:cs="方正楷体_GBK"/>
          <w:b/>
          <w:bCs/>
          <w:color w:val="000000"/>
          <w:sz w:val="28"/>
          <w:szCs w:val="28"/>
          <w:highlight w:val="none"/>
        </w:rPr>
        <w:t xml:space="preserve">1</w:t>
      </w:r>
      <w:bookmarkEnd w:id="62"/>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3"/>
      <w:r/>
      <w:bookmarkEnd w:id="64"/>
      <w:r/>
      <w:bookmarkEnd w:id="65"/>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0" w:name="_Toc20823278"/>
      <w:r/>
      <w:bookmarkStart w:id="71" w:name="_Toc513029206"/>
      <w:r/>
      <w:bookmarkStart w:id="72"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73" w:name="_Toc20823279"/>
      <w:r/>
      <w:bookmarkStart w:id="74" w:name="_Toc16938523"/>
      <w:r/>
      <w:bookmarkStart w:id="75" w:name="_Toc462564067"/>
      <w:r/>
      <w:bookmarkStart w:id="76" w:name="_Toc51302920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120614215"/>
      <w:r/>
      <w:bookmarkStart w:id="79" w:name="_Toc513029209"/>
      <w:r/>
      <w:bookmarkStart w:id="80"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1" w:name="_Toc16938526"/>
      <w:r/>
      <w:bookmarkStart w:id="82" w:name="_Toc513029210"/>
      <w:r/>
      <w:bookmarkStart w:id="83" w:name="_Toc20823282"/>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4" w:name="_Toc462564070"/>
      <w:r/>
      <w:bookmarkStart w:id="85" w:name="_Toc16938527"/>
      <w:r/>
      <w:bookmarkStart w:id="86" w:name="_Toc513029211"/>
      <w:r/>
      <w:bookmarkStart w:id="87" w:name="_Toc20823283"/>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88" w:name="_Toc462564071"/>
      <w:r/>
      <w:bookmarkStart w:id="89" w:name="_Toc16938528"/>
      <w:r/>
      <w:bookmarkStart w:id="90" w:name="_Toc513029212"/>
      <w:r/>
      <w:bookmarkStart w:id="91" w:name="_Toc20823284"/>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Start w:id="92" w:name="_Toc513029213"/>
      <w:r/>
      <w:bookmarkStart w:id="93" w:name="_Toc120614216"/>
      <w:r/>
      <w:bookmarkStart w:id="94" w:name="_Toc16938529"/>
      <w:r/>
      <w:bookmarkStart w:id="95" w:name="_Toc20823285"/>
      <w:r/>
      <w:bookmarkStart w:id="96" w:name="_Toc462564072"/>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97" w:name="_Toc20823286"/>
      <w:r/>
      <w:bookmarkStart w:id="98" w:name="_Toc16938530"/>
      <w:r/>
      <w:bookmarkStart w:id="99" w:name="_Toc513029214"/>
      <w:r/>
      <w:bookmarkStart w:id="100" w:name="_Toc462564073"/>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1" w:name="_Toc462564074"/>
      <w:r/>
      <w:bookmarkStart w:id="102" w:name="_Toc513029215"/>
      <w:r/>
      <w:bookmarkStart w:id="103" w:name="_Toc20823287"/>
      <w:r/>
      <w:bookmarkStart w:id="104" w:name="_Toc16938531"/>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05" w:name="_Hlt26668975"/>
      <w:r/>
      <w:bookmarkEnd w:id="105"/>
      <w:r/>
      <w:bookmarkStart w:id="106" w:name="_Hlt26954838"/>
      <w:r/>
      <w:bookmarkEnd w:id="106"/>
      <w:r/>
      <w:bookmarkStart w:id="107" w:name="_Hlt26670360"/>
      <w:r/>
      <w:bookmarkEnd w:id="107"/>
      <w:r/>
      <w:bookmarkStart w:id="108" w:name="_Toc49090509"/>
      <w:r/>
      <w:bookmarkStart w:id="109" w:name="_Toc513029219"/>
      <w:r/>
      <w:bookmarkStart w:id="110" w:name="_Toc14577357"/>
      <w:r/>
      <w:bookmarkStart w:id="111" w:name="_Toc513029216"/>
      <w:r/>
      <w:bookmarkStart w:id="112" w:name="_Toc49090507"/>
      <w:r/>
      <w:bookmarkStart w:id="113" w:name="_Toc14577354"/>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18" w:name="_Hlt26670486"/>
      <w:r/>
      <w:bookmarkEnd w:id="118"/>
      <w:r/>
      <w:bookmarkStart w:id="119" w:name="_Hlt26954844"/>
      <w:r/>
      <w:bookmarkEnd w:id="119"/>
      <w:r/>
      <w:bookmarkStart w:id="120" w:name="_Hlt26670482"/>
      <w:r/>
      <w:bookmarkEnd w:id="120"/>
      <w:r/>
      <w:bookmarkStart w:id="121" w:name="_Hlt26668983"/>
      <w:r/>
      <w:bookmarkEnd w:id="121"/>
      <w:r/>
      <w:bookmarkStart w:id="122" w:name="_Hlt26670403"/>
      <w:r/>
      <w:bookmarkEnd w:id="122"/>
      <w:r/>
      <w:bookmarkStart w:id="123" w:name="_Hlt26954842"/>
      <w:r/>
      <w:bookmarkEnd w:id="123"/>
      <w:r/>
      <w:bookmarkStart w:id="124" w:name="_Hlt26954846"/>
      <w:r/>
      <w:bookmarkEnd w:id="124"/>
      <w:r/>
      <w:bookmarkStart w:id="125" w:name="_Hlt26670425"/>
      <w:r/>
      <w:bookmarkEnd w:id="125"/>
      <w:r/>
      <w:bookmarkStart w:id="126" w:name="_Hlt26954848"/>
      <w:r/>
      <w:bookmarkEnd w:id="126"/>
      <w:r/>
      <w:bookmarkStart w:id="127" w:name="_Hlt26954731"/>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Hlt26670489"/>
      <w:r/>
      <w:bookmarkEnd w:id="130"/>
      <w:r/>
      <w:bookmarkStart w:id="131" w:name="_Hlt26954734"/>
      <w:r/>
      <w:bookmarkEnd w:id="131"/>
      <w:r/>
      <w:bookmarkStart w:id="132" w:name="_Hlt26954850"/>
      <w:r/>
      <w:bookmarkEnd w:id="132"/>
      <w:r/>
      <w:bookmarkStart w:id="133" w:name="_Toc49090511"/>
      <w:r/>
      <w:bookmarkStart w:id="134" w:name="_Toc14577360"/>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3"/>
      <w:r/>
      <w:bookmarkEnd w:id="134"/>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852"/>
      <w:r/>
      <w:bookmarkEnd w:id="135"/>
      <w:r/>
      <w:bookmarkStart w:id="136" w:name="_Toc16938540"/>
      <w:r/>
      <w:bookmarkStart w:id="137" w:name="_Toc20823296"/>
      <w:r/>
      <w:bookmarkStart w:id="138" w:name="_Toc513029224"/>
      <w:r/>
      <w:bookmarkStart w:id="139" w:name="_Toc120614217"/>
      <w:r/>
      <w:bookmarkStart w:id="140" w:name="_Toc20823309"/>
      <w:r/>
      <w:bookmarkStart w:id="141" w:name="_Toc513029237"/>
      <w:r/>
      <w:bookmarkStart w:id="142" w:name="_Toc16938553"/>
      <w:r/>
      <w:bookmarkStart w:id="143" w:name="_Hlt26954739"/>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44" w:name="_Toc20823297"/>
      <w:r/>
      <w:bookmarkStart w:id="145" w:name="_Toc462564084"/>
      <w:r/>
      <w:bookmarkStart w:id="146" w:name="_Toc513029225"/>
      <w:r/>
      <w:bookmarkStart w:id="147" w:name="_Toc16938541"/>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1" w:name="_Toc16938543"/>
      <w:r/>
      <w:bookmarkStart w:id="152" w:name="_Toc513029227"/>
      <w:r/>
      <w:bookmarkStart w:id="153"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54" w:name="_Toc16938544"/>
      <w:r/>
      <w:bookmarkStart w:id="155" w:name="_Toc20823300"/>
      <w:r/>
      <w:bookmarkStart w:id="156"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20823301"/>
      <w:r/>
      <w:bookmarkStart w:id="158" w:name="_Toc513029229"/>
      <w:r/>
      <w:bookmarkStart w:id="159" w:name="_Toc120614218"/>
      <w:r/>
      <w:bookmarkStart w:id="160" w:name="_Toc16938545"/>
      <w:r>
        <w:rPr>
          <w:rFonts w:hint="eastAsia" w:ascii="宋体" w:hAnsi="宋体" w:eastAsia="宋体" w:cs="Times New Roman"/>
          <w:color w:val="000000"/>
          <w:sz w:val="24"/>
          <w:highlight w:val="none"/>
          <w:lang w:val="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1" w:name="_Toc16938546"/>
      <w:r/>
      <w:bookmarkStart w:id="162" w:name="_Toc20823302"/>
      <w:r/>
      <w:bookmarkStart w:id="163"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67" w:name="_Toc16938548"/>
      <w:r/>
      <w:bookmarkStart w:id="168" w:name="_Toc20823304"/>
      <w:r/>
      <w:bookmarkStart w:id="169" w:name="_Toc51302923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lang w:eastAsia="zh-CN"/>
        </w:rPr>
      </w:pPr>
      <w:r/>
      <w:bookmarkStart w:id="170" w:name="_Toc20823305"/>
      <w:r/>
      <w:bookmarkStart w:id="171" w:name="_Toc16938549"/>
      <w:r/>
      <w:bookmarkStart w:id="172"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85"/>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85"/>
        <w:ind w:left="0"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3" w:name="_Toc20823306"/>
      <w:r/>
      <w:bookmarkStart w:id="174" w:name="_Toc513029234"/>
      <w:r/>
      <w:bookmarkStart w:id="175"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bookmarkStart w:id="176" w:name="_Toc16938551"/>
      <w:r/>
      <w:bookmarkStart w:id="177" w:name="_Toc513029235"/>
      <w:r/>
      <w:bookmarkStart w:id="178"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应对</w:t>
      </w:r>
      <w:r>
        <w:rPr>
          <w:rFonts w:hint="eastAsia" w:ascii="宋体" w:hAnsi="宋体" w:eastAsia="宋体" w:cs="Times New Roman"/>
          <w:color w:val="000000"/>
          <w:sz w:val="24"/>
          <w:highlight w:val="none"/>
          <w:lang w:val="zh-CN" w:eastAsia="zh-CN"/>
        </w:rPr>
        <w:t xml:space="preserve">招标文件是否存在不合理条款</w:t>
      </w:r>
      <w:r>
        <w:rPr>
          <w:rFonts w:hint="eastAsia" w:ascii="宋体" w:hAnsi="宋体" w:eastAsia="宋体" w:cs="Times New Roman"/>
          <w:color w:val="000000"/>
          <w:sz w:val="24"/>
          <w:highlight w:val="none"/>
          <w:lang w:val="en-US" w:eastAsia="zh-CN"/>
        </w:rPr>
        <w:t xml:space="preserve">进行论证，并在评审报告中写明</w:t>
      </w:r>
      <w:r>
        <w:rPr>
          <w:rFonts w:hint="eastAsia" w:ascii="宋体" w:hAnsi="宋体" w:eastAsia="宋体" w:cs="Times New Roman"/>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Start w:id="180" w:name="_Toc20823310"/>
      <w:r/>
      <w:bookmarkStart w:id="181" w:name="_Toc16938554"/>
      <w:r/>
      <w:bookmarkStart w:id="182" w:name="_Toc513029238"/>
      <w:r>
        <w:rPr>
          <w:rFonts w:hint="eastAsia" w:ascii="方正楷体_GBK" w:hAnsi="方正楷体_GBK" w:eastAsia="方正楷体_GBK" w:cs="方正楷体_GBK"/>
          <w:b/>
          <w:bCs/>
          <w:color w:val="000000"/>
          <w:highlight w:val="none"/>
        </w:rPr>
        <w:t xml:space="preserve">2</w:t>
      </w:r>
      <w:bookmarkEnd w:id="182"/>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1"/>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90"/>
        <w:ind w:firstLine="422"/>
        <w:pageBreakBefore w:val="0"/>
        <w:spacing w:before="0" w:after="0" w:line="252"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8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w:t>
      </w:r>
      <w:r>
        <w:rPr>
          <w:rFonts w:hint="eastAsia" w:ascii="宋体" w:hAnsi="宋体" w:eastAsia="宋体" w:cs="Times New Roman"/>
          <w:b/>
          <w:bCs/>
          <w:color w:val="000000"/>
          <w:sz w:val="24"/>
          <w:highlight w:val="none"/>
          <w:lang w:val="zh-CN"/>
        </w:rPr>
        <w:t xml:space="preserve">、评标方法和评标标准、合同文本的询问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w:t>
      </w:r>
      <w:r>
        <w:rPr>
          <w:rFonts w:hint="eastAsia" w:ascii="宋体" w:hAnsi="宋体" w:eastAsia="宋体" w:cs="Times New Roman"/>
          <w:b/>
          <w:bCs/>
          <w:color w:val="000000"/>
          <w:sz w:val="24"/>
          <w:highlight w:val="none"/>
          <w:lang w:val="zh-CN"/>
        </w:rPr>
        <w:t xml:space="preserve">复。</w:t>
      </w:r>
      <w:r>
        <w:rPr>
          <w:rFonts w:hint="eastAsia" w:ascii="宋体" w:hAnsi="宋体" w:eastAsia="宋体" w:cs="Times New Roman"/>
          <w:b w:val="0"/>
          <w:bCs w:val="0"/>
          <w:color w:val="000000"/>
          <w:sz w:val="24"/>
          <w:highlight w:val="none"/>
          <w:lang w:val="zh-CN"/>
        </w:rPr>
        <w:t xml:space="preserve">供应商对</w:t>
      </w:r>
      <w:r>
        <w:rPr>
          <w:rFonts w:hint="eastAsia" w:ascii="宋体" w:hAnsi="宋体" w:eastAsia="宋体" w:cs="Times New Roman"/>
          <w:b w:val="0"/>
          <w:bCs w:val="0"/>
          <w:color w:val="000000"/>
          <w:sz w:val="24"/>
          <w:highlight w:val="none"/>
          <w:lang w:val="en-US" w:eastAsia="zh-CN"/>
        </w:rPr>
        <w:t xml:space="preserve">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85"/>
        <w:ind w:firstLine="422"/>
        <w:keepLines w:val="0"/>
        <w:keepNext w:val="0"/>
        <w:pageBreakBefore w:val="0"/>
        <w:spacing w:line="252"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w:t>
      </w:r>
      <w:r>
        <w:rPr>
          <w:rFonts w:hint="eastAsia" w:ascii="宋体" w:hAnsi="宋体"/>
          <w:b/>
          <w:bCs/>
          <w:color w:val="000000"/>
          <w:sz w:val="24"/>
          <w:highlight w:val="none"/>
          <w:lang w:val="zh-CN"/>
        </w:rPr>
        <w:t xml:space="preserve">：南京市玄武区双龙巷5号4楼4</w:t>
      </w:r>
      <w:r>
        <w:rPr>
          <w:rFonts w:ascii="宋体" w:hAnsi="宋体"/>
          <w:b/>
          <w:bCs/>
          <w:color w:val="000000"/>
          <w:sz w:val="24"/>
          <w:highlight w:val="none"/>
          <w:lang w:val="zh-CN"/>
        </w:rPr>
        <w:t xml:space="preserve">10（南京鼓楼医院医用物资采购中心）</w:t>
      </w:r>
      <w:r>
        <w:rPr>
          <w:rFonts w:hint="eastAsia" w:ascii="宋体" w:hAnsi="宋体"/>
          <w:b/>
          <w:bCs/>
          <w:color w:val="000000"/>
          <w:sz w:val="24"/>
          <w:highlight w:val="none"/>
          <w:lang w:val="zh-CN"/>
        </w:rPr>
        <w:t xml:space="preserve">黄</w:t>
      </w:r>
      <w:r>
        <w:rPr>
          <w:rFonts w:ascii="宋体" w:hAnsi="宋体"/>
          <w:b/>
          <w:bCs/>
          <w:color w:val="000000"/>
          <w:sz w:val="24"/>
          <w:highlight w:val="none"/>
          <w:lang w:val="zh-CN"/>
        </w:rPr>
        <w:t xml:space="preserve">老师</w:t>
      </w:r>
      <w:r>
        <w:rPr>
          <w:rFonts w:hint="eastAsia" w:ascii="宋体" w:hAnsi="宋体"/>
          <w:b/>
          <w:bCs/>
          <w:color w:val="000000"/>
          <w:sz w:val="24"/>
          <w:highlight w:val="none"/>
          <w:lang w:val="zh-CN"/>
        </w:rPr>
        <w:t xml:space="preserve"> </w:t>
      </w:r>
      <w:r>
        <w:rPr>
          <w:rFonts w:ascii="宋体" w:hAnsi="宋体"/>
          <w:b/>
          <w:bCs/>
          <w:color w:val="000000"/>
          <w:sz w:val="24"/>
          <w:highlight w:val="none"/>
          <w:lang w:val="zh-CN"/>
        </w:rPr>
        <w:t xml:space="preserve">025-83105006</w:t>
      </w:r>
      <w:r>
        <w:rPr>
          <w:rFonts w:hint="eastAsia" w:ascii="宋体" w:hAnsi="宋体"/>
          <w:b/>
          <w:bCs/>
          <w:color w:val="000000"/>
          <w:sz w:val="24"/>
          <w:highlight w:val="none"/>
          <w:lang w:val="zh-CN"/>
        </w:rPr>
        <w:t xml:space="preserve">。</w:t>
      </w:r>
      <w:r>
        <w:rPr>
          <w:rFonts w:hint="eastAsia" w:ascii="宋体" w:hAnsi="宋体" w:eastAsia="宋体" w:cs="Times New Roman"/>
          <w:b/>
          <w:bCs/>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85"/>
        <w:ind w:firstLine="422"/>
        <w:spacing w:line="252"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szCs w:val="21"/>
          <w:highlight w:val="none"/>
          <w:lang w:val="zh-CN"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89"/>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90"/>
        <w:ind w:firstLine="420"/>
        <w:pageBreakBefore w:val="0"/>
        <w:spacing w:before="0" w:after="0" w:line="252"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85"/>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zh-CN"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85"/>
        <w:ind w:firstLine="420"/>
        <w:pageBreakBefore w:val="0"/>
        <w:spacing w:line="252"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90"/>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0"/>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85"/>
        <w:ind w:firstLine="420"/>
        <w:pageBreakBefore w:val="0"/>
        <w:spacing w:line="252"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85"/>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85"/>
        <w:ind w:firstLine="420"/>
        <w:pageBreakBefore w:val="0"/>
        <w:spacing w:line="252"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90"/>
        <w:ind w:firstLine="420"/>
        <w:pageBreakBefore w:val="0"/>
        <w:spacing w:before="0" w:after="0" w:line="252"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85"/>
        <w:ind w:firstLine="420"/>
        <w:keepLines w:val="0"/>
        <w:keepNext w:val="0"/>
        <w:pageBreakBefore w:val="0"/>
        <w:spacing w:line="252"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90"/>
        <w:ind w:firstLine="422"/>
        <w:pageBreakBefore w:val="0"/>
        <w:spacing w:before="0" w:after="0" w:line="252"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85"/>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90"/>
        <w:ind w:firstLine="422"/>
        <w:pageBreakBefore w:val="0"/>
        <w:spacing w:before="0" w:after="0" w:line="252"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43.数据交易说明</w:t>
      </w:r>
      <w:r>
        <w:rPr>
          <w:rFonts w:hint="eastAsia" w:ascii="方正楷体_GBK" w:hAnsi="方正楷体_GBK" w:eastAsia="方正楷体_GBK" w:cs="方正楷体_GBK"/>
          <w:b/>
          <w:bCs/>
          <w:color w:val="000000"/>
          <w:sz w:val="28"/>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43.1 </w:t>
      </w: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85"/>
        <w:ind w:firstLine="420"/>
        <w:pageBreakBefore w:val="0"/>
        <w:spacing w:line="252"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6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85"/>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16938559"/>
      <w:r/>
      <w:bookmarkStart w:id="189" w:name="_Toc513029243"/>
      <w:r/>
      <w:bookmarkStart w:id="190"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63"/>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85"/>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85"/>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85"/>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7"/>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8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8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8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8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85"/>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2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2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27"/>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2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85"/>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8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27"/>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7"/>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7"/>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27"/>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27"/>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27"/>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7"/>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27"/>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85"/>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85"/>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27"/>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27"/>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100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5"/>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49090575"/>
      <w:r/>
      <w:bookmarkStart w:id="192"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8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8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85"/>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积极响应国家国产化替代战略及OFD-H版式文件推广应用的政策导向，高效实现集团医院内部全量电子病案的协同共享与数据交换，现依据相关标准规范及信息化建设长远规划，建设OFD-H医疗版式云文档中心，形成全院业务系统的统一版式文件管理枢纽，为集团医院内部电子病案应用提供文档处理、质量管控、文档交换等能力。</w:t>
      </w:r>
      <w:r>
        <w:rPr>
          <w:rFonts w:hint="eastAsia" w:ascii="宋体" w:hAnsi="宋体"/>
          <w:color w:val="000000"/>
          <w:sz w:val="24"/>
          <w:szCs w:val="24"/>
          <w:highlight w:val="none"/>
        </w:rPr>
      </w:r>
      <w:r/>
    </w:p>
    <w:p>
      <w:pPr>
        <w:pStyle w:val="88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《关于推动公立医院高质量发展的意见》</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《全国医院信息化建设标准与规范（试行）》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《医院信息化建设应用技术指引（试行）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《医院信息平台应用功能指引》</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《电子病历系统应用水平分级评价管理办法（试行）及评价标准（试行）》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《医院智慧服务分级评估标准体系（试行）》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《医院智慧管理分级评估标准体系（试行）》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《三级医院评审标准（2020年版）》</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《智慧医疗分级评价标准（2025年版）》;</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《中华人民共和国密码法》；</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《中华人民共和国网络安全法》；</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《中华人民共和国数据安全法》；</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《中华人民共和国个人信息保护法》；</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《电子病历基本规范（试行）》（卫医政发〔2010〕24号）；</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《电子病历基本架构与数据标准（试行）》（卫办发〔2009〕130号）；</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《国家健康医疗大数据标准、安全和服务管理办法（试行）》</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 健康医疗数据安全指南》；</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 网络安全等级保护测评过程指南》；</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《电子文件存储与交换格式—版式文件》（GB/T 33190-2016）</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 网络安全等级保护基本要求》GBT22239-2019；</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 网络安全等级保护定级指南》GB/T 22240-2020；</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 个人信息安全规范》（GB/T 35273-2017）；</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《信息安全技术网络存储安全技术要求》（GB∕T 37939-2019）；</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《开放版式文件密码应用技术规范》（GM/T 0099-2020）</w:t>
      </w:r>
      <w:r>
        <w:rPr>
          <w:rFonts w:hint="eastAsia" w:ascii="宋体" w:hAnsi="宋体" w:cs="宋体"/>
          <w:bCs/>
          <w:color w:val="000000"/>
          <w:sz w:val="24"/>
          <w:szCs w:val="24"/>
          <w:highlight w:val="none"/>
        </w:rPr>
      </w:r>
      <w:r/>
    </w:p>
    <w:p>
      <w:pPr>
        <w:pStyle w:val="885"/>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《信息技术 OFD档案应用指南》（GB/T 42133-2022）</w:t>
      </w:r>
      <w:r>
        <w:rPr>
          <w:rFonts w:hint="eastAsia" w:ascii="宋体" w:hAnsi="宋体" w:cs="宋体"/>
          <w:bCs/>
          <w:color w:val="000000"/>
          <w:sz w:val="24"/>
          <w:szCs w:val="24"/>
          <w:highlight w:val="none"/>
        </w:rPr>
      </w:r>
      <w:r/>
    </w:p>
    <w:p>
      <w:pPr>
        <w:pStyle w:val="88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《信息系统灾难恢复规范》</w:t>
      </w:r>
      <w:r>
        <w:rPr>
          <w:rFonts w:ascii="宋体" w:hAnsi="宋体" w:cs="宋体"/>
          <w:bCs/>
          <w:color w:val="000000"/>
          <w:sz w:val="24"/>
          <w:szCs w:val="24"/>
          <w:highlight w:val="none"/>
        </w:rPr>
      </w:r>
      <w:r/>
    </w:p>
    <w:p>
      <w:pPr>
        <w:pStyle w:val="885"/>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505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4"/>
        <w:gridCol w:w="1886"/>
        <w:gridCol w:w="859"/>
        <w:gridCol w:w="691"/>
        <w:gridCol w:w="952"/>
        <w:gridCol w:w="1100"/>
        <w:gridCol w:w="1437"/>
        <w:gridCol w:w="1037"/>
        <w:gridCol w:w="1218"/>
      </w:tblGrid>
      <w:tr>
        <w:trPr>
          <w:trHeight w:val="732"/>
        </w:trPr>
        <w:tc>
          <w:tcPr>
            <w:tcW w:w="347"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55"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hint="eastAsia" w:ascii="宋体" w:hAnsi="宋体"/>
                <w:bCs/>
                <w:color w:val="000000"/>
                <w:sz w:val="24"/>
                <w:szCs w:val="24"/>
                <w:highlight w:val="none"/>
              </w:rPr>
            </w:r>
            <w:r/>
          </w:p>
        </w:tc>
        <w:tc>
          <w:tcPr>
            <w:tcW w:w="435"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rPr>
            </w:r>
            <w:r/>
          </w:p>
        </w:tc>
        <w:tc>
          <w:tcPr>
            <w:tcW w:w="350"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hint="eastAsia" w:ascii="宋体" w:hAnsi="宋体"/>
                <w:bCs/>
                <w:color w:val="000000"/>
                <w:sz w:val="24"/>
                <w:szCs w:val="24"/>
                <w:highlight w:val="none"/>
              </w:rPr>
            </w:r>
            <w:r/>
          </w:p>
        </w:tc>
        <w:tc>
          <w:tcPr>
            <w:tcW w:w="482" w:type="dxa"/>
            <w:vAlign w:val="center"/>
            <w:textDirection w:val="lrTb"/>
            <w:noWrap w:val="false"/>
          </w:tcPr>
          <w:p>
            <w:pPr>
              <w:pStyle w:val="885"/>
              <w:jc w:val="center"/>
              <w:spacing w:line="400" w:lineRule="exact"/>
              <w:rPr>
                <w:rFonts w:hint="eastAsia"/>
                <w:color w:val="000000"/>
                <w:highlight w:val="none"/>
              </w:rPr>
            </w:pPr>
            <w:r>
              <w:rPr>
                <w:rFonts w:hint="eastAsia"/>
                <w:color w:val="000000"/>
                <w:highlight w:val="none"/>
              </w:rPr>
              <w:t xml:space="preserve">单价上限</w:t>
            </w:r>
            <w:r>
              <w:rPr>
                <w:rFonts w:hint="eastAsia"/>
                <w:color w:val="000000"/>
                <w:highlight w:val="none"/>
              </w:rPr>
            </w:r>
            <w:r/>
          </w:p>
          <w:p>
            <w:pPr>
              <w:pStyle w:val="897"/>
              <w:ind w:firstLine="0"/>
              <w:jc w:val="center"/>
              <w:spacing w:line="400" w:lineRule="exact"/>
              <w:rPr>
                <w:rFonts w:hint="eastAsia"/>
                <w:color w:val="000000"/>
                <w:highlight w:val="none"/>
              </w:rPr>
            </w:pPr>
            <w:r>
              <w:rPr>
                <w:rFonts w:hint="eastAsia" w:cs="宋体"/>
                <w:bCs/>
                <w:color w:val="000000"/>
                <w:sz w:val="24"/>
                <w:szCs w:val="24"/>
                <w:highlight w:val="none"/>
              </w:rPr>
              <w:t xml:space="preserve">（元）</w:t>
            </w:r>
            <w:r>
              <w:rPr>
                <w:rFonts w:hint="eastAsia"/>
                <w:color w:val="000000"/>
                <w:highlight w:val="none"/>
              </w:rPr>
            </w:r>
            <w:r/>
          </w:p>
        </w:tc>
        <w:tc>
          <w:tcPr>
            <w:tcW w:w="557" w:type="dxa"/>
            <w:vAlign w:val="center"/>
            <w:textDirection w:val="lrTb"/>
            <w:noWrap w:val="false"/>
          </w:tcPr>
          <w:p>
            <w:pPr>
              <w:pStyle w:val="885"/>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728"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hint="eastAsia" w:ascii="宋体" w:hAnsi="宋体"/>
                <w:bCs/>
                <w:color w:val="000000"/>
                <w:sz w:val="24"/>
                <w:szCs w:val="24"/>
                <w:highlight w:val="none"/>
              </w:rPr>
            </w:r>
            <w:r/>
          </w:p>
        </w:tc>
        <w:tc>
          <w:tcPr>
            <w:tcW w:w="525"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bCs/>
                <w:color w:val="000000"/>
                <w:sz w:val="24"/>
                <w:szCs w:val="24"/>
                <w:highlight w:val="none"/>
              </w:rPr>
            </w:r>
            <w:r/>
          </w:p>
        </w:tc>
        <w:tc>
          <w:tcPr>
            <w:tcW w:w="617"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lang w:eastAsia="zh-CN"/>
              </w:rPr>
              <w:t xml:space="preserve">数据交易类型（如有）</w:t>
            </w:r>
            <w:r>
              <w:rPr>
                <w:rFonts w:hint="eastAsia" w:ascii="宋体" w:hAnsi="宋体"/>
                <w:bCs/>
                <w:color w:val="000000"/>
                <w:sz w:val="24"/>
                <w:szCs w:val="24"/>
                <w:highlight w:val="none"/>
              </w:rPr>
            </w:r>
            <w:r/>
          </w:p>
        </w:tc>
      </w:tr>
      <w:tr>
        <w:trPr>
          <w:trHeight w:val="597"/>
        </w:trPr>
        <w:tc>
          <w:tcPr>
            <w:tcW w:w="347"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955" w:type="dxa"/>
            <w:vAlign w:val="center"/>
            <w:textDirection w:val="lrTb"/>
            <w:noWrap w:val="false"/>
          </w:tcPr>
          <w:p>
            <w:pPr>
              <w:pStyle w:val="885"/>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医疗版式云文档中心</w:t>
            </w:r>
            <w:r>
              <w:rPr>
                <w:rFonts w:hint="eastAsia" w:ascii="宋体" w:hAnsi="宋体"/>
                <w:bCs/>
                <w:color w:val="000000"/>
                <w:sz w:val="24"/>
                <w:szCs w:val="24"/>
                <w:highlight w:val="none"/>
              </w:rPr>
            </w:r>
            <w:r/>
          </w:p>
        </w:tc>
        <w:tc>
          <w:tcPr>
            <w:tcW w:w="435"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350"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套</w:t>
            </w:r>
            <w:r>
              <w:rPr>
                <w:rFonts w:hint="eastAsia" w:ascii="宋体" w:hAnsi="宋体"/>
                <w:bCs/>
                <w:color w:val="000000"/>
                <w:sz w:val="24"/>
                <w:szCs w:val="24"/>
                <w:highlight w:val="none"/>
              </w:rPr>
            </w:r>
            <w:r/>
          </w:p>
        </w:tc>
        <w:tc>
          <w:tcPr>
            <w:tcW w:w="482" w:type="dxa"/>
            <w:vAlign w:val="center"/>
            <w:textDirection w:val="lrTb"/>
            <w:noWrap w:val="false"/>
          </w:tcPr>
          <w:p>
            <w:pPr>
              <w:pStyle w:val="885"/>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557" w:type="dxa"/>
            <w:vAlign w:val="center"/>
            <w:textDirection w:val="lrTb"/>
            <w:noWrap w:val="false"/>
          </w:tcPr>
          <w:p>
            <w:pPr>
              <w:pStyle w:val="885"/>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728"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软件和信息技术服务</w:t>
            </w:r>
            <w:r>
              <w:rPr>
                <w:rFonts w:hint="eastAsia" w:ascii="宋体" w:hAnsi="宋体"/>
                <w:bCs/>
                <w:color w:val="000000"/>
                <w:sz w:val="24"/>
                <w:szCs w:val="24"/>
                <w:highlight w:val="none"/>
              </w:rPr>
            </w:r>
            <w:r/>
          </w:p>
        </w:tc>
        <w:tc>
          <w:tcPr>
            <w:tcW w:w="525" w:type="dxa"/>
            <w:vAlign w:val="center"/>
            <w:textDirection w:val="lrTb"/>
            <w:noWrap w:val="false"/>
          </w:tcPr>
          <w:p>
            <w:pPr>
              <w:pStyle w:val="885"/>
              <w:jc w:val="center"/>
              <w:spacing w:line="288"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17" w:type="dxa"/>
            <w:vAlign w:val="center"/>
            <w:textDirection w:val="lrTb"/>
            <w:noWrap w:val="false"/>
          </w:tcPr>
          <w:p>
            <w:pPr>
              <w:pStyle w:val="885"/>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rPr>
            </w:r>
            <w:r/>
          </w:p>
        </w:tc>
      </w:tr>
    </w:tbl>
    <w:p>
      <w:pPr>
        <w:pStyle w:val="885"/>
        <w:rPr>
          <w:rFonts w:hint="eastAsia"/>
          <w:color w:val="000000"/>
          <w:highlight w:val="none"/>
          <w:lang w:eastAsia="zh-CN"/>
        </w:rPr>
      </w:pPr>
      <w:r>
        <w:rPr>
          <w:rFonts w:hint="eastAsia"/>
          <w:color w:val="000000"/>
          <w:highlight w:val="none"/>
          <w:lang w:eastAsia="zh-CN"/>
        </w:rPr>
      </w:r>
      <w:r/>
    </w:p>
    <w:p>
      <w:pPr>
        <w:pStyle w:val="88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336"/>
        <w:gridCol w:w="7587"/>
      </w:tblGrid>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功能模块</w:t>
            </w:r>
            <w:r>
              <w:rPr>
                <w:rFonts w:hint="eastAsia"/>
                <w:color w:val="000000"/>
                <w:highlight w:val="none"/>
              </w:rPr>
            </w:r>
            <w:r/>
          </w:p>
        </w:tc>
        <w:tc>
          <w:tcPr>
            <w:tcW w:w="7587" w:type="dxa"/>
            <w:vAlign w:val="center"/>
            <w:textDirection w:val="lrTb"/>
            <w:noWrap w:val="false"/>
          </w:tcPr>
          <w:p>
            <w:pPr>
              <w:pStyle w:val="885"/>
              <w:rPr>
                <w:rFonts w:hint="eastAsia"/>
                <w:color w:val="000000"/>
                <w:highlight w:val="none"/>
              </w:rPr>
            </w:pPr>
            <w:r>
              <w:rPr>
                <w:rFonts w:hint="eastAsia"/>
                <w:color w:val="000000"/>
                <w:highlight w:val="none"/>
              </w:rPr>
              <w:t xml:space="preserve">需求描述</w:t>
            </w:r>
            <w:r>
              <w:rPr>
                <w:rFonts w:hint="eastAsia"/>
                <w:color w:val="000000"/>
                <w:highlight w:val="none"/>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1</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病案质量核查模块</w:t>
            </w:r>
            <w:r>
              <w:rPr>
                <w:rFonts w:hint="eastAsia"/>
                <w:color w:val="000000"/>
                <w:highlight w:val="none"/>
              </w:rPr>
            </w:r>
            <w:r/>
          </w:p>
        </w:tc>
        <w:tc>
          <w:tcPr>
            <w:tcW w:w="7587" w:type="dxa"/>
            <w:vAlign w:val="center"/>
            <w:textDirection w:val="lrTb"/>
            <w:noWrap w:val="false"/>
          </w:tcPr>
          <w:p>
            <w:pPr>
              <w:pStyle w:val="885"/>
              <w:numPr>
                <w:ilvl w:val="0"/>
                <w:numId w:val="6"/>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医生核查：在提交归档之前，为质控医生提供病案核查功能，可通过和驳回病案上传，可补充纸质病历数量。</w:t>
            </w:r>
            <w:r>
              <w:rPr>
                <w:rFonts w:hint="eastAsia"/>
                <w:color w:val="000000"/>
                <w:highlight w:val="none"/>
              </w:rPr>
            </w:r>
            <w:r/>
          </w:p>
          <w:p>
            <w:pPr>
              <w:pStyle w:val="885"/>
              <w:numPr>
                <w:ilvl w:val="0"/>
                <w:numId w:val="6"/>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护士核查：为质控合适提供病案核查功能，可通过和驳回病案上传，可补充纸质病历数量。</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人员管理：系统具备构建质控人员池功能，对质控人员进行账号管理</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权限管理：系统具备质控人员权限管理功能，可以管控质控员查看病案范围、时长等。</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核查计划管理：系统支持设置质控计划，可以自动抽取质控人员、分配质控任务，并且可以人工干预，重新调整计划安排，采取灵活可调整的方式进行质控周期设置。</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病案抽取规则管理：系统具备病案抽取规则设置能力，可以正删改病案抽取规则。</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抽检任务管理：系统具备建立病案池，并具备设置病案抽取规则，抽取模型基于规则进行抽取，分配病案抽检任务，并且可以支持人工干预。</w:t>
            </w:r>
            <w:r>
              <w:rPr>
                <w:rFonts w:hint="eastAsia"/>
                <w:color w:val="000000"/>
                <w:highlight w:val="none"/>
              </w:rPr>
            </w:r>
            <w:r/>
          </w:p>
          <w:p>
            <w:pPr>
              <w:pStyle w:val="885"/>
              <w:numPr>
                <w:ilvl w:val="0"/>
                <w:numId w:val="6"/>
              </w:numPr>
              <w:rPr>
                <w:rFonts w:hint="eastAsia"/>
                <w:b/>
                <w:bCs/>
                <w:color w:val="000000"/>
                <w:highlight w:val="none"/>
              </w:rPr>
            </w:pPr>
            <w:r>
              <w:rPr>
                <w:color w:val="000000"/>
                <w:highlight w:val="none"/>
              </w:rPr>
              <w:t xml:space="preserve">人工</w:t>
            </w:r>
            <w:r>
              <w:rPr>
                <w:rFonts w:hint="eastAsia"/>
                <w:color w:val="000000"/>
                <w:highlight w:val="none"/>
              </w:rPr>
              <w:t xml:space="preserve">病案打分：具备设置病案检查表，支持核查人员在线核查病历内容并对病案进行打分。</w:t>
            </w:r>
            <w:r>
              <w:rPr>
                <w:rFonts w:hint="eastAsia"/>
                <w:b/>
                <w:bCs/>
                <w:color w:val="000000"/>
                <w:highlight w:val="none"/>
              </w:rPr>
            </w:r>
            <w:r/>
          </w:p>
          <w:p>
            <w:pPr>
              <w:pStyle w:val="885"/>
              <w:numPr>
                <w:ilvl w:val="0"/>
                <w:numId w:val="6"/>
              </w:numPr>
              <w:rPr>
                <w:rFonts w:hint="eastAsia"/>
                <w:color w:val="000000"/>
                <w:highlight w:val="none"/>
              </w:rPr>
            </w:pPr>
            <w:r>
              <w:rPr>
                <w:color w:val="000000"/>
                <w:highlight w:val="none"/>
              </w:rPr>
              <w:t xml:space="preserve">多级复核</w:t>
            </w:r>
            <w:r>
              <w:rPr>
                <w:rFonts w:hint="eastAsia"/>
                <w:color w:val="000000"/>
                <w:highlight w:val="none"/>
              </w:rPr>
              <w:t xml:space="preserve">：设置核查流程，支持多级复核。</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核查</w:t>
            </w:r>
            <w:r>
              <w:rPr>
                <w:color w:val="000000"/>
                <w:highlight w:val="none"/>
              </w:rPr>
              <w:t xml:space="preserve">记录</w:t>
            </w:r>
            <w:r>
              <w:rPr>
                <w:rFonts w:hint="eastAsia"/>
                <w:color w:val="000000"/>
                <w:highlight w:val="none"/>
              </w:rPr>
              <w:t xml:space="preserve">：系统具备操作日志、检查表、核查结果等相关记录，各级核查人员可根据相关权限回溯核查记录；</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个人数据汇总：系统具备质控单元维度下，各科室的质控数据分析；支持核查人员查看个人质控统计汇总。</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科室数据管理：系统具备各科室、各病区的病案质量数据分析，如：甲级病历、乙级病历、丙级病历、总体数量等数据内容分析。</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全院数据管理：系统具备查看按日、周、月度、季度、年度等不同维度进行全院病历质量数据。</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质控管理数据化：系统具备质控数据的可视化展示、图表展示。</w:t>
            </w:r>
            <w:r>
              <w:rPr>
                <w:rFonts w:hint="eastAsia"/>
                <w:color w:val="000000"/>
                <w:highlight w:val="none"/>
              </w:rPr>
            </w:r>
            <w:r/>
          </w:p>
          <w:p>
            <w:pPr>
              <w:pStyle w:val="885"/>
              <w:numPr>
                <w:ilvl w:val="0"/>
                <w:numId w:val="6"/>
              </w:numPr>
              <w:rPr>
                <w:rFonts w:hint="eastAsia"/>
                <w:color w:val="000000"/>
                <w:highlight w:val="none"/>
              </w:rPr>
            </w:pPr>
            <w:r>
              <w:rPr>
                <w:rFonts w:hint="eastAsia"/>
                <w:color w:val="000000"/>
                <w:highlight w:val="none"/>
              </w:rPr>
              <w:t xml:space="preserve">报表管理：系统具备根据医院要求产出病历质量数据报表。</w:t>
            </w:r>
            <w:r>
              <w:rPr>
                <w:rFonts w:hint="eastAsia"/>
                <w:color w:val="000000"/>
                <w:highlight w:val="none"/>
              </w:rPr>
            </w:r>
            <w:r/>
          </w:p>
          <w:p>
            <w:pPr>
              <w:pStyle w:val="885"/>
              <w:numPr>
                <w:ilvl w:val="0"/>
                <w:numId w:val="6"/>
              </w:numPr>
              <w:rPr>
                <w:rFonts w:hint="eastAsia"/>
                <w:color w:val="000000"/>
                <w:highlight w:val="none"/>
              </w:rPr>
            </w:pPr>
            <w:r>
              <w:rPr>
                <w:color w:val="000000"/>
                <w:highlight w:val="none"/>
              </w:rPr>
              <w:t xml:space="preserve">指标建设</w:t>
            </w:r>
            <w:r>
              <w:rPr>
                <w:rFonts w:hint="eastAsia"/>
                <w:color w:val="000000"/>
                <w:highlight w:val="none"/>
              </w:rPr>
              <w:t xml:space="preserve">：系统具备对卫健要求的病案管理质量控制指标与医院特定质控指标</w:t>
            </w:r>
            <w:r>
              <w:rPr>
                <w:rFonts w:hint="eastAsia"/>
                <w:color w:val="000000"/>
                <w:highlight w:val="none"/>
                <w:lang w:eastAsia="zh-CN"/>
              </w:rPr>
              <w:t xml:space="preserve">。</w:t>
            </w:r>
            <w:r>
              <w:rPr>
                <w:rFonts w:hint="eastAsia"/>
                <w:color w:val="000000"/>
                <w:highlight w:val="none"/>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2</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OFD-H</w:t>
            </w:r>
            <w:r>
              <w:rPr>
                <w:rFonts w:hint="eastAsia"/>
                <w:color w:val="000000"/>
                <w:highlight w:val="none"/>
              </w:rPr>
            </w:r>
            <w:r/>
          </w:p>
          <w:p>
            <w:pPr>
              <w:pStyle w:val="885"/>
              <w:rPr>
                <w:rFonts w:hint="eastAsia"/>
                <w:color w:val="000000"/>
                <w:highlight w:val="none"/>
              </w:rPr>
            </w:pPr>
            <w:r>
              <w:rPr>
                <w:rFonts w:hint="eastAsia"/>
                <w:color w:val="000000"/>
                <w:highlight w:val="none"/>
              </w:rPr>
              <w:t xml:space="preserve">数据交换</w:t>
            </w:r>
            <w:r>
              <w:rPr>
                <w:rFonts w:hint="eastAsia"/>
                <w:color w:val="000000"/>
                <w:highlight w:val="none"/>
              </w:rPr>
            </w:r>
            <w:r/>
          </w:p>
        </w:tc>
        <w:tc>
          <w:tcPr>
            <w:tcW w:w="7587" w:type="dxa"/>
            <w:vAlign w:val="center"/>
            <w:textDirection w:val="lrTb"/>
            <w:noWrap w:val="false"/>
          </w:tcPr>
          <w:p>
            <w:pPr>
              <w:pStyle w:val="885"/>
              <w:numPr>
                <w:ilvl w:val="0"/>
                <w:numId w:val="7"/>
              </w:numPr>
              <w:rPr>
                <w:rFonts w:hint="eastAsia"/>
                <w:color w:val="000000"/>
                <w:highlight w:val="none"/>
                <w:lang w:bidi="en-US"/>
              </w:rPr>
            </w:pPr>
            <w:r>
              <w:rPr>
                <w:rFonts w:hint="eastAsia" w:cs="宋体"/>
                <w:color w:val="000000"/>
                <w:highlight w:val="none"/>
              </w:rPr>
              <w:t xml:space="preserve">▲</w:t>
            </w:r>
            <w:r>
              <w:rPr>
                <w:rFonts w:hint="eastAsia"/>
                <w:color w:val="000000"/>
                <w:highlight w:val="none"/>
              </w:rPr>
              <w:t xml:space="preserve">标准元数据管理：系统具备基于国家政策要求、院内业务要求建立全院标准元数据体系，明确元数据名称、数据类型等。</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olor w:val="000000"/>
                <w:highlight w:val="none"/>
                <w:lang w:bidi="en-US"/>
              </w:rPr>
              <w:t xml:space="preserve">元数据分组管理：系统具备</w:t>
            </w:r>
            <w:r>
              <w:rPr>
                <w:rFonts w:hint="eastAsia"/>
                <w:color w:val="000000"/>
                <w:highlight w:val="none"/>
              </w:rPr>
              <w:t xml:space="preserve">根据院内共享、卫健上报等不同应用场景来分类管理元数据功能。</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s="宋体"/>
                <w:color w:val="000000"/>
                <w:highlight w:val="none"/>
              </w:rPr>
              <w:t xml:space="preserve">▲</w:t>
            </w:r>
            <w:r>
              <w:rPr>
                <w:rFonts w:hint="eastAsia"/>
                <w:color w:val="000000"/>
                <w:highlight w:val="none"/>
                <w:lang w:bidi="en-US"/>
              </w:rPr>
              <w:t xml:space="preserve">数据映射规则管理：系统具备元数据映射规则管理，用于业务系统数据与标准元数据指标绑定，具备多套映射规则配置。</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olor w:val="000000"/>
                <w:highlight w:val="none"/>
                <w:lang w:bidi="en-US"/>
              </w:rPr>
              <w:t xml:space="preserve">标准化数据映射管理：对业务数据进行转换集成，可对多源异构数据进行整合，为数据应用提供数据基础。</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s="宋体"/>
                <w:color w:val="000000"/>
                <w:highlight w:val="none"/>
              </w:rPr>
              <w:t xml:space="preserve">▲</w:t>
            </w:r>
            <w:r>
              <w:rPr>
                <w:rFonts w:hint="eastAsia"/>
                <w:color w:val="000000"/>
                <w:highlight w:val="none"/>
                <w:lang w:bidi="en-US"/>
              </w:rPr>
              <w:t xml:space="preserve">OFD-H病历数版融合服务管理：系统具备基于OFD-</w:t>
            </w:r>
            <w:r>
              <w:rPr>
                <w:color w:val="000000"/>
                <w:highlight w:val="none"/>
                <w:lang w:bidi="en-US"/>
              </w:rPr>
              <w:t xml:space="preserve">H</w:t>
            </w:r>
            <w:r>
              <w:rPr>
                <w:rFonts w:hint="eastAsia"/>
                <w:color w:val="000000"/>
                <w:highlight w:val="none"/>
                <w:lang w:bidi="en-US"/>
              </w:rPr>
              <w:t xml:space="preserve">文档共享数据的新标要求</w:t>
            </w:r>
            <w:r>
              <w:rPr>
                <w:color w:val="000000"/>
                <w:highlight w:val="none"/>
                <w:lang w:bidi="en-US"/>
              </w:rPr>
              <w:t xml:space="preserve">,</w:t>
            </w:r>
            <w:r>
              <w:rPr>
                <w:rFonts w:hint="eastAsia"/>
                <w:color w:val="000000"/>
                <w:highlight w:val="none"/>
                <w:lang w:bidi="en-US"/>
              </w:rPr>
              <w:t xml:space="preserve">制定院内OFD病历文书内容，产生的</w:t>
            </w:r>
            <w:r>
              <w:rPr>
                <w:color w:val="000000"/>
                <w:highlight w:val="none"/>
                <w:lang w:bidi="en-US"/>
              </w:rPr>
              <w:t xml:space="preserve">OFD</w:t>
            </w:r>
            <w:r>
              <w:rPr>
                <w:rFonts w:hint="eastAsia"/>
                <w:color w:val="000000"/>
                <w:highlight w:val="none"/>
                <w:lang w:bidi="en-US"/>
              </w:rPr>
              <w:t xml:space="preserve">病案文书满足“数据+版式文件”相关要求。</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s="宋体"/>
                <w:color w:val="000000"/>
                <w:highlight w:val="none"/>
              </w:rPr>
              <w:t xml:space="preserve">▲</w:t>
            </w:r>
            <w:r>
              <w:rPr>
                <w:rFonts w:hint="eastAsia"/>
                <w:color w:val="000000"/>
                <w:highlight w:val="none"/>
                <w:lang w:bidi="en-US"/>
              </w:rPr>
              <w:t xml:space="preserve">基础OFD模板设计器：系统具备拖拉控件等简单操作完成OFD格式模板制作，支持文本域、图片域、签章域、表格等多类型控件；并可嵌入其他业务系统。</w:t>
            </w:r>
            <w:r>
              <w:rPr>
                <w:rFonts w:hint="eastAsia"/>
                <w:color w:val="000000"/>
                <w:highlight w:val="none"/>
                <w:lang w:bidi="en-US"/>
              </w:rPr>
            </w:r>
            <w:r/>
          </w:p>
          <w:p>
            <w:pPr>
              <w:pStyle w:val="885"/>
              <w:numPr>
                <w:ilvl w:val="0"/>
                <w:numId w:val="7"/>
              </w:numPr>
              <w:rPr>
                <w:rFonts w:hint="eastAsia"/>
                <w:color w:val="000000"/>
                <w:highlight w:val="none"/>
              </w:rPr>
            </w:pPr>
            <w:r>
              <w:rPr>
                <w:rFonts w:hint="eastAsia"/>
                <w:color w:val="000000"/>
                <w:highlight w:val="none"/>
                <w:lang w:bidi="en-US"/>
              </w:rPr>
              <w:t xml:space="preserve">动态OFD模板设计器：动态模板需具备自适应模板样式，基于OFD版式格式实现流式文件流畅书写的效果。</w:t>
            </w:r>
            <w:r>
              <w:rPr>
                <w:rFonts w:hint="eastAsia"/>
                <w:color w:val="000000"/>
                <w:highlight w:val="none"/>
              </w:rPr>
            </w:r>
            <w:r/>
          </w:p>
          <w:p>
            <w:pPr>
              <w:pStyle w:val="885"/>
              <w:rPr>
                <w:rFonts w:hint="eastAsia"/>
                <w:b/>
                <w:bCs/>
                <w:color w:val="000000"/>
                <w:highlight w:val="none"/>
                <w:lang w:bidi="en-US"/>
              </w:rPr>
            </w:pPr>
            <w:r>
              <w:rPr>
                <w:rFonts w:hint="eastAsia"/>
                <w:color w:val="000000"/>
                <w:highlight w:val="none"/>
                <w:lang w:bidi="en-US"/>
              </w:rPr>
              <w:t xml:space="preserve">OFD-H数据封装：系统具备经过数据治理输出的标准元数据，可以封装进OFD病历文书内存储，封装数据时可自定义数据层级结构。</w:t>
            </w:r>
            <w:r>
              <w:rPr>
                <w:rFonts w:hint="eastAsia"/>
                <w:b/>
                <w:bCs/>
                <w:color w:val="000000"/>
                <w:highlight w:val="none"/>
                <w:lang w:bidi="en-US"/>
              </w:rPr>
            </w:r>
            <w:r/>
          </w:p>
          <w:p>
            <w:pPr>
              <w:pStyle w:val="885"/>
              <w:numPr>
                <w:ilvl w:val="0"/>
                <w:numId w:val="7"/>
              </w:numPr>
              <w:rPr>
                <w:rFonts w:hint="eastAsia"/>
                <w:color w:val="000000"/>
                <w:highlight w:val="none"/>
                <w:lang w:bidi="en-US"/>
              </w:rPr>
            </w:pPr>
            <w:r>
              <w:rPr>
                <w:rFonts w:hint="eastAsia"/>
                <w:color w:val="000000"/>
                <w:highlight w:val="none"/>
                <w:lang w:bidi="en-US"/>
              </w:rPr>
              <w:t xml:space="preserve">OFD-H数据解析：系统具备针对含有数据的OFD病历文书进行反向解析，数据解析支持json格式。</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olor w:val="000000"/>
                <w:highlight w:val="none"/>
                <w:lang w:bidi="en-US"/>
              </w:rPr>
              <w:t xml:space="preserve">OFD-H病历的安全权限管理：系统具备不同角色在使用OFD-H病历时有文档权限控制，如：打印、复制、阅览有效期等。</w:t>
            </w:r>
            <w:r>
              <w:rPr>
                <w:rFonts w:hint="eastAsia"/>
                <w:color w:val="000000"/>
                <w:highlight w:val="none"/>
                <w:lang w:bidi="en-US"/>
              </w:rPr>
            </w:r>
            <w:r/>
          </w:p>
          <w:p>
            <w:pPr>
              <w:pStyle w:val="885"/>
              <w:numPr>
                <w:ilvl w:val="0"/>
                <w:numId w:val="7"/>
              </w:numPr>
              <w:rPr>
                <w:rFonts w:hint="eastAsia"/>
                <w:color w:val="000000"/>
                <w:highlight w:val="none"/>
                <w:lang w:bidi="en-US"/>
              </w:rPr>
            </w:pPr>
            <w:r>
              <w:rPr>
                <w:rFonts w:hint="eastAsia"/>
                <w:color w:val="000000"/>
                <w:highlight w:val="none"/>
                <w:lang w:bidi="en-US"/>
              </w:rPr>
              <w:t xml:space="preserve">基于OFD的数据交换：系统具备基于OFD格式文档实现院间、院内异构系统间的数据传输交换，可提供文件、接口交换方式。</w:t>
            </w:r>
            <w:r>
              <w:rPr>
                <w:rFonts w:hint="eastAsia"/>
                <w:color w:val="000000"/>
                <w:highlight w:val="none"/>
                <w:lang w:bidi="en-US"/>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3</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外院转换前置机系统</w:t>
            </w:r>
            <w:r>
              <w:rPr>
                <w:rFonts w:hint="eastAsia"/>
                <w:color w:val="000000"/>
                <w:highlight w:val="none"/>
              </w:rPr>
            </w:r>
            <w:r/>
          </w:p>
        </w:tc>
        <w:tc>
          <w:tcPr>
            <w:tcW w:w="7587" w:type="dxa"/>
            <w:vAlign w:val="center"/>
            <w:textDirection w:val="lrTb"/>
            <w:noWrap w:val="false"/>
          </w:tcPr>
          <w:p>
            <w:pPr>
              <w:pStyle w:val="885"/>
              <w:numPr>
                <w:ilvl w:val="0"/>
                <w:numId w:val="8"/>
              </w:numPr>
              <w:rPr>
                <w:rFonts w:hint="eastAsia"/>
                <w:color w:val="000000"/>
                <w:highlight w:val="none"/>
              </w:rPr>
            </w:pPr>
            <w:r>
              <w:rPr>
                <w:rFonts w:hint="eastAsia"/>
                <w:color w:val="000000"/>
                <w:highlight w:val="none"/>
              </w:rPr>
              <w:t xml:space="preserve">OFD</w:t>
            </w:r>
            <w:r>
              <w:rPr>
                <w:rFonts w:hint="eastAsia"/>
                <w:color w:val="000000"/>
                <w:highlight w:val="none"/>
                <w:lang w:bidi="en-US"/>
              </w:rPr>
              <w:t xml:space="preserve">-H</w:t>
            </w:r>
            <w:r>
              <w:rPr>
                <w:rFonts w:hint="eastAsia"/>
                <w:color w:val="000000"/>
                <w:highlight w:val="none"/>
              </w:rPr>
              <w:t xml:space="preserve">转换设计：对集团医院电子病历现存格式、数据情况、展现样式的分析，提供合适的转换OFD方案。</w:t>
            </w:r>
            <w:r>
              <w:rPr>
                <w:rFonts w:hint="eastAsia"/>
                <w:color w:val="000000"/>
                <w:highlight w:val="none"/>
              </w:rPr>
            </w:r>
            <w:r/>
          </w:p>
          <w:p>
            <w:pPr>
              <w:pStyle w:val="885"/>
              <w:numPr>
                <w:ilvl w:val="0"/>
                <w:numId w:val="8"/>
              </w:numPr>
              <w:rPr>
                <w:rFonts w:hint="eastAsia"/>
                <w:color w:val="000000"/>
                <w:highlight w:val="none"/>
              </w:rPr>
            </w:pPr>
            <w:r>
              <w:rPr>
                <w:rFonts w:hint="eastAsia"/>
                <w:color w:val="000000"/>
                <w:highlight w:val="none"/>
              </w:rPr>
              <w:t xml:space="preserve">OFD</w:t>
            </w:r>
            <w:r>
              <w:rPr>
                <w:rFonts w:hint="eastAsia"/>
                <w:color w:val="000000"/>
                <w:highlight w:val="none"/>
                <w:lang w:bidi="en-US"/>
              </w:rPr>
              <w:t xml:space="preserve">-H</w:t>
            </w:r>
            <w:r>
              <w:rPr>
                <w:rFonts w:hint="eastAsia"/>
                <w:color w:val="000000"/>
                <w:highlight w:val="none"/>
              </w:rPr>
              <w:t xml:space="preserve">转换前置服务：系统需具备为集团内及合作医联体医院提供转换服务能力。</w:t>
            </w:r>
            <w:r>
              <w:rPr>
                <w:rFonts w:hint="eastAsia"/>
                <w:color w:val="000000"/>
                <w:highlight w:val="none"/>
              </w:rPr>
            </w:r>
            <w:r/>
          </w:p>
          <w:p>
            <w:pPr>
              <w:pStyle w:val="885"/>
              <w:numPr>
                <w:ilvl w:val="0"/>
                <w:numId w:val="8"/>
              </w:numPr>
              <w:rPr>
                <w:rFonts w:hint="eastAsia"/>
                <w:color w:val="000000"/>
                <w:highlight w:val="none"/>
              </w:rPr>
            </w:pPr>
            <w:r>
              <w:rPr>
                <w:rFonts w:hint="eastAsia"/>
                <w:color w:val="000000"/>
                <w:highlight w:val="none"/>
              </w:rPr>
              <w:t xml:space="preserve">OFD</w:t>
            </w:r>
            <w:r>
              <w:rPr>
                <w:rFonts w:hint="eastAsia"/>
                <w:color w:val="000000"/>
                <w:highlight w:val="none"/>
                <w:lang w:bidi="en-US"/>
              </w:rPr>
              <w:t xml:space="preserve">-H</w:t>
            </w:r>
            <w:r>
              <w:rPr>
                <w:rFonts w:hint="eastAsia"/>
                <w:color w:val="000000"/>
                <w:highlight w:val="none"/>
              </w:rPr>
              <w:t xml:space="preserve">数据封装：系统具备将元数据封装进OFD病历文书内存储能力，封装数据可自定义数据层级结构。</w:t>
            </w:r>
            <w:r>
              <w:rPr>
                <w:rFonts w:hint="eastAsia"/>
                <w:color w:val="000000"/>
                <w:highlight w:val="none"/>
              </w:rPr>
            </w:r>
            <w:r/>
          </w:p>
          <w:p>
            <w:pPr>
              <w:pStyle w:val="885"/>
              <w:numPr>
                <w:ilvl w:val="0"/>
                <w:numId w:val="8"/>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OFD</w:t>
            </w:r>
            <w:r>
              <w:rPr>
                <w:rFonts w:hint="eastAsia"/>
                <w:color w:val="000000"/>
                <w:highlight w:val="none"/>
                <w:lang w:bidi="en-US"/>
              </w:rPr>
              <w:t xml:space="preserve">-H</w:t>
            </w:r>
            <w:r>
              <w:rPr>
                <w:rFonts w:hint="eastAsia"/>
                <w:color w:val="000000"/>
                <w:highlight w:val="none"/>
              </w:rPr>
              <w:t xml:space="preserve">的安全处理：系统具备</w:t>
            </w:r>
            <w:r>
              <w:rPr>
                <w:rFonts w:hint="eastAsia"/>
                <w:color w:val="000000"/>
                <w:highlight w:val="none"/>
                <w:lang w:bidi="en-US"/>
              </w:rPr>
              <w:t xml:space="preserve">系统具备不同角色在使用OFD病历时有文档权限控制，如：打印、复制、阅览有效期等</w:t>
            </w:r>
            <w:r>
              <w:rPr>
                <w:rFonts w:hint="eastAsia"/>
                <w:color w:val="000000"/>
                <w:highlight w:val="none"/>
                <w:lang w:eastAsia="zh-CN"/>
              </w:rPr>
              <w:t xml:space="preserve">。</w:t>
            </w:r>
            <w:r>
              <w:rPr>
                <w:rFonts w:hint="eastAsia"/>
                <w:color w:val="000000"/>
                <w:highlight w:val="none"/>
              </w:rPr>
            </w:r>
            <w:r/>
          </w:p>
          <w:p>
            <w:pPr>
              <w:pStyle w:val="885"/>
              <w:numPr>
                <w:ilvl w:val="0"/>
                <w:numId w:val="8"/>
              </w:numPr>
              <w:rPr>
                <w:rFonts w:hint="eastAsia"/>
                <w:color w:val="000000"/>
                <w:highlight w:val="none"/>
              </w:rPr>
            </w:pPr>
            <w:r>
              <w:rPr>
                <w:rFonts w:hint="eastAsia"/>
                <w:color w:val="000000"/>
                <w:highlight w:val="none"/>
              </w:rPr>
              <w:t xml:space="preserve">OFD</w:t>
            </w:r>
            <w:r>
              <w:rPr>
                <w:rFonts w:hint="eastAsia"/>
                <w:color w:val="000000"/>
                <w:highlight w:val="none"/>
                <w:lang w:bidi="en-US"/>
              </w:rPr>
              <w:t xml:space="preserve">-H</w:t>
            </w:r>
            <w:r>
              <w:rPr>
                <w:rFonts w:hint="eastAsia"/>
                <w:color w:val="000000"/>
                <w:highlight w:val="none"/>
              </w:rPr>
              <w:t xml:space="preserve">的安全共享：具备OFD病历在院间共享调阅，</w:t>
            </w:r>
            <w:r>
              <w:rPr>
                <w:color w:val="000000"/>
                <w:highlight w:val="none"/>
              </w:rPr>
              <w:t xml:space="preserve">OFD</w:t>
            </w:r>
            <w:r>
              <w:rPr>
                <w:rFonts w:hint="eastAsia"/>
                <w:color w:val="000000"/>
                <w:highlight w:val="none"/>
              </w:rPr>
              <w:t xml:space="preserve">病历需经过安全处理并进行数据封装。</w:t>
            </w:r>
            <w:r>
              <w:rPr>
                <w:rFonts w:hint="eastAsia"/>
                <w:color w:val="000000"/>
                <w:highlight w:val="none"/>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4</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非结构化病历文书治理模块</w:t>
            </w:r>
            <w:r>
              <w:rPr>
                <w:rFonts w:hint="eastAsia"/>
                <w:color w:val="000000"/>
                <w:highlight w:val="none"/>
              </w:rPr>
            </w:r>
            <w:r/>
          </w:p>
        </w:tc>
        <w:tc>
          <w:tcPr>
            <w:tcW w:w="7587" w:type="dxa"/>
            <w:vAlign w:val="center"/>
            <w:textDirection w:val="lrTb"/>
            <w:noWrap w:val="false"/>
          </w:tcPr>
          <w:p>
            <w:pPr>
              <w:pStyle w:val="885"/>
              <w:numPr>
                <w:ilvl w:val="0"/>
                <w:numId w:val="9"/>
              </w:numPr>
              <w:rPr>
                <w:rFonts w:hint="eastAsia"/>
                <w:color w:val="000000"/>
                <w:highlight w:val="none"/>
              </w:rPr>
            </w:pPr>
            <w:r>
              <w:rPr>
                <w:rFonts w:hint="eastAsia"/>
                <w:color w:val="000000"/>
                <w:highlight w:val="none"/>
              </w:rPr>
              <w:t xml:space="preserve">数据收集：基于院内文书类型、内容、训练目标，选取合适的病历文书。</w:t>
            </w:r>
            <w:r>
              <w:rPr>
                <w:rFonts w:hint="eastAsia"/>
                <w:color w:val="000000"/>
                <w:highlight w:val="none"/>
              </w:rPr>
            </w:r>
            <w:r/>
          </w:p>
          <w:p>
            <w:pPr>
              <w:pStyle w:val="885"/>
              <w:numPr>
                <w:ilvl w:val="0"/>
                <w:numId w:val="9"/>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元数据管理：支持设置元数据，可对元数据进行名称、类型等设置；支持对元数据进行分组管理。</w:t>
            </w:r>
            <w:r>
              <w:rPr>
                <w:rFonts w:hint="eastAsia"/>
                <w:color w:val="000000"/>
                <w:highlight w:val="none"/>
              </w:rPr>
            </w:r>
            <w:r/>
          </w:p>
          <w:p>
            <w:pPr>
              <w:pStyle w:val="885"/>
              <w:numPr>
                <w:ilvl w:val="0"/>
                <w:numId w:val="9"/>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病历结构化提取：支持对非结构化电子病历结构化转化工作，支持提取至文档段层级。</w:t>
            </w:r>
            <w:r>
              <w:rPr>
                <w:rFonts w:hint="eastAsia"/>
                <w:color w:val="000000"/>
                <w:highlight w:val="none"/>
              </w:rPr>
            </w:r>
            <w:r/>
          </w:p>
          <w:p>
            <w:pPr>
              <w:pStyle w:val="885"/>
              <w:numPr>
                <w:ilvl w:val="0"/>
                <w:numId w:val="9"/>
              </w:numPr>
              <w:rPr>
                <w:rFonts w:hint="eastAsia"/>
                <w:color w:val="000000"/>
                <w:highlight w:val="none"/>
              </w:rPr>
            </w:pPr>
            <w:r>
              <w:rPr>
                <w:rFonts w:hint="eastAsia"/>
                <w:color w:val="000000"/>
                <w:highlight w:val="none"/>
              </w:rPr>
              <w:t xml:space="preserve">搭建病历结构化模型：结构化模型用于实现非结构化病历文书内容识别、提取、结构化输出，支持对入院记录、出院小结等核心病历文书进行处理，提取有效结构化数据。</w:t>
            </w:r>
            <w:r>
              <w:rPr>
                <w:rFonts w:hint="eastAsia"/>
                <w:color w:val="000000"/>
                <w:highlight w:val="none"/>
              </w:rPr>
            </w:r>
            <w:r/>
          </w:p>
          <w:p>
            <w:pPr>
              <w:pStyle w:val="885"/>
              <w:numPr>
                <w:ilvl w:val="0"/>
                <w:numId w:val="9"/>
              </w:numPr>
              <w:rPr>
                <w:rFonts w:hint="eastAsia"/>
                <w:color w:val="000000"/>
                <w:highlight w:val="none"/>
              </w:rPr>
            </w:pPr>
            <w:r>
              <w:rPr>
                <w:rFonts w:hint="eastAsia"/>
                <w:color w:val="000000"/>
                <w:highlight w:val="none"/>
              </w:rPr>
              <w:t xml:space="preserve">病历结构化模型训练：系统具备对模型进行训练、验证、调优模型。</w:t>
            </w:r>
            <w:r>
              <w:rPr>
                <w:rFonts w:hint="eastAsia"/>
                <w:color w:val="000000"/>
                <w:highlight w:val="none"/>
              </w:rPr>
            </w:r>
            <w:r/>
          </w:p>
          <w:p>
            <w:pPr>
              <w:pStyle w:val="885"/>
              <w:numPr>
                <w:ilvl w:val="0"/>
                <w:numId w:val="9"/>
              </w:numPr>
              <w:rPr>
                <w:rFonts w:hint="eastAsia"/>
                <w:color w:val="000000"/>
                <w:highlight w:val="none"/>
              </w:rPr>
            </w:pPr>
            <w:r>
              <w:rPr>
                <w:rFonts w:hint="eastAsia"/>
                <w:color w:val="000000"/>
                <w:highlight w:val="none"/>
              </w:rPr>
              <w:t xml:space="preserve">模型优化：系统具备对参数调整和模型优化。</w:t>
            </w:r>
            <w:r>
              <w:rPr>
                <w:rFonts w:hint="eastAsia"/>
                <w:color w:val="000000"/>
                <w:highlight w:val="none"/>
              </w:rPr>
            </w:r>
            <w:r/>
          </w:p>
          <w:p>
            <w:pPr>
              <w:pStyle w:val="885"/>
              <w:numPr>
                <w:ilvl w:val="0"/>
                <w:numId w:val="9"/>
              </w:numPr>
              <w:rPr>
                <w:rFonts w:hint="eastAsia"/>
                <w:color w:val="000000"/>
                <w:highlight w:val="none"/>
              </w:rPr>
            </w:pPr>
            <w:r>
              <w:rPr>
                <w:rFonts w:hint="eastAsia"/>
                <w:color w:val="000000"/>
                <w:highlight w:val="none"/>
              </w:rPr>
              <w:t xml:space="preserve">医院提供符合项目相关</w:t>
            </w:r>
            <w:r>
              <w:rPr>
                <w:color w:val="000000"/>
                <w:highlight w:val="none"/>
              </w:rPr>
              <w:t xml:space="preserve">GPU</w:t>
            </w:r>
            <w:r>
              <w:rPr>
                <w:rFonts w:hint="eastAsia"/>
                <w:color w:val="000000"/>
                <w:highlight w:val="none"/>
              </w:rPr>
              <w:t xml:space="preserve">算力，保证模型高可用。</w:t>
            </w:r>
            <w:r>
              <w:rPr>
                <w:rFonts w:hint="eastAsia"/>
                <w:color w:val="000000"/>
                <w:highlight w:val="none"/>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5</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接口模块</w:t>
            </w:r>
            <w:r>
              <w:rPr>
                <w:rFonts w:hint="eastAsia"/>
                <w:color w:val="000000"/>
                <w:highlight w:val="none"/>
              </w:rPr>
            </w:r>
            <w:r/>
          </w:p>
        </w:tc>
        <w:tc>
          <w:tcPr>
            <w:tcW w:w="7587" w:type="dxa"/>
            <w:vAlign w:val="center"/>
            <w:textDirection w:val="lrTb"/>
            <w:noWrap w:val="false"/>
          </w:tcPr>
          <w:p>
            <w:pPr>
              <w:pStyle w:val="885"/>
              <w:numPr>
                <w:ilvl w:val="0"/>
                <w:numId w:val="10"/>
              </w:numPr>
              <w:rPr>
                <w:rFonts w:hint="eastAsia"/>
                <w:color w:val="000000"/>
                <w:highlight w:val="none"/>
              </w:rPr>
            </w:pPr>
            <w:r>
              <w:rPr>
                <w:rFonts w:hint="eastAsia"/>
                <w:color w:val="000000"/>
                <w:highlight w:val="none"/>
              </w:rPr>
              <w:t xml:space="preserve">报告医嘱单同步接口：提供医嘱单信息同步接口。</w:t>
            </w:r>
            <w:r>
              <w:rPr>
                <w:rFonts w:hint="eastAsia"/>
                <w:color w:val="000000"/>
                <w:highlight w:val="none"/>
              </w:rPr>
            </w:r>
            <w:r/>
          </w:p>
          <w:p>
            <w:pPr>
              <w:pStyle w:val="885"/>
              <w:numPr>
                <w:ilvl w:val="0"/>
                <w:numId w:val="10"/>
              </w:numPr>
              <w:rPr>
                <w:rFonts w:hint="eastAsia"/>
                <w:color w:val="000000"/>
                <w:highlight w:val="none"/>
              </w:rPr>
            </w:pPr>
            <w:r>
              <w:rPr>
                <w:rFonts w:hint="eastAsia"/>
                <w:color w:val="000000"/>
                <w:highlight w:val="none"/>
              </w:rPr>
              <w:t xml:space="preserve">患者文书转换接口：提供患者文书转换接口，支持多格式转换生成OFD；以网页形式返回文书阅览页面。</w:t>
            </w:r>
            <w:r>
              <w:rPr>
                <w:rFonts w:hint="eastAsia"/>
                <w:color w:val="000000"/>
                <w:highlight w:val="none"/>
              </w:rPr>
            </w:r>
            <w:r/>
          </w:p>
          <w:p>
            <w:pPr>
              <w:pStyle w:val="885"/>
              <w:numPr>
                <w:ilvl w:val="0"/>
                <w:numId w:val="10"/>
              </w:numPr>
              <w:rPr>
                <w:rFonts w:hint="eastAsia"/>
                <w:color w:val="000000"/>
                <w:highlight w:val="none"/>
              </w:rPr>
            </w:pPr>
            <w:r>
              <w:rPr>
                <w:rFonts w:hint="eastAsia" w:cs="宋体"/>
                <w:color w:val="000000"/>
                <w:highlight w:val="none"/>
              </w:rPr>
              <w:t xml:space="preserve">▲</w:t>
            </w:r>
            <w:r>
              <w:rPr>
                <w:rFonts w:hint="eastAsia"/>
                <w:color w:val="000000"/>
                <w:highlight w:val="none"/>
              </w:rPr>
              <w:t xml:space="preserve">患者签名服务接口：支持与院内电子签名平台对接，展示医护、患者签名信息，包含签名结果，签名值，签名原文等；</w:t>
            </w:r>
            <w:r>
              <w:rPr>
                <w:rFonts w:hint="eastAsia"/>
                <w:color w:val="000000"/>
                <w:highlight w:val="none"/>
              </w:rPr>
            </w:r>
            <w:r/>
          </w:p>
          <w:p>
            <w:pPr>
              <w:pStyle w:val="885"/>
              <w:numPr>
                <w:ilvl w:val="0"/>
                <w:numId w:val="10"/>
              </w:numPr>
              <w:rPr>
                <w:rFonts w:hint="eastAsia"/>
                <w:color w:val="000000"/>
                <w:highlight w:val="none"/>
              </w:rPr>
            </w:pPr>
            <w:r>
              <w:rPr>
                <w:rFonts w:hint="eastAsia"/>
                <w:color w:val="000000"/>
                <w:highlight w:val="none"/>
              </w:rPr>
              <w:t xml:space="preserve">OFD电子签章接口：对接CA的OFD签章服务，实现OFD文件上传、OFD文件电子签名、签署状态查询、用户授权等多个接口接入。</w:t>
            </w:r>
            <w:r>
              <w:rPr>
                <w:rFonts w:hint="eastAsia"/>
                <w:color w:val="000000"/>
                <w:highlight w:val="none"/>
              </w:rPr>
            </w:r>
            <w:r/>
          </w:p>
          <w:p>
            <w:pPr>
              <w:pStyle w:val="885"/>
              <w:numPr>
                <w:ilvl w:val="0"/>
                <w:numId w:val="10"/>
              </w:numPr>
              <w:rPr>
                <w:rFonts w:hint="eastAsia"/>
                <w:color w:val="000000"/>
                <w:highlight w:val="none"/>
              </w:rPr>
            </w:pPr>
            <w:r>
              <w:rPr>
                <w:rFonts w:hint="eastAsia"/>
                <w:color w:val="000000"/>
                <w:highlight w:val="none"/>
              </w:rPr>
              <w:t xml:space="preserve">电子签名有效性验证：支持跨院区签名互信互认，实现跨院区的集团医院与医联体上传文书的多源认证互信，支持OFD文书的系统内认证；数据验证通过后，提供可追溯的数据展示，提供丰富的数据验证效果；</w:t>
            </w:r>
            <w:r>
              <w:rPr>
                <w:rFonts w:hint="eastAsia"/>
                <w:color w:val="000000"/>
                <w:highlight w:val="none"/>
              </w:rPr>
            </w:r>
            <w:r/>
          </w:p>
        </w:tc>
      </w:tr>
      <w:tr>
        <w:trPr/>
        <w:tc>
          <w:tcPr>
            <w:tcW w:w="1019" w:type="dxa"/>
            <w:vAlign w:val="center"/>
            <w:textDirection w:val="lrTb"/>
            <w:noWrap w:val="false"/>
          </w:tcPr>
          <w:p>
            <w:pPr>
              <w:pStyle w:val="885"/>
              <w:rPr>
                <w:rFonts w:hint="eastAsia"/>
                <w:color w:val="000000"/>
                <w:highlight w:val="none"/>
              </w:rPr>
            </w:pPr>
            <w:r>
              <w:rPr>
                <w:rFonts w:hint="eastAsia"/>
                <w:color w:val="000000"/>
                <w:highlight w:val="none"/>
              </w:rPr>
              <w:t xml:space="preserve">6</w:t>
            </w:r>
            <w:r>
              <w:rPr>
                <w:rFonts w:hint="eastAsia"/>
                <w:color w:val="000000"/>
                <w:highlight w:val="none"/>
              </w:rPr>
            </w:r>
            <w:r/>
          </w:p>
        </w:tc>
        <w:tc>
          <w:tcPr>
            <w:tcW w:w="1336" w:type="dxa"/>
            <w:vAlign w:val="center"/>
            <w:textDirection w:val="lrTb"/>
            <w:noWrap w:val="false"/>
          </w:tcPr>
          <w:p>
            <w:pPr>
              <w:pStyle w:val="885"/>
              <w:rPr>
                <w:rFonts w:hint="eastAsia"/>
                <w:color w:val="000000"/>
                <w:highlight w:val="none"/>
              </w:rPr>
            </w:pPr>
            <w:r>
              <w:rPr>
                <w:rFonts w:hint="eastAsia"/>
                <w:color w:val="000000"/>
                <w:highlight w:val="none"/>
              </w:rPr>
              <w:t xml:space="preserve">护理质控</w:t>
            </w:r>
            <w:r>
              <w:rPr>
                <w:rFonts w:hint="eastAsia"/>
                <w:color w:val="000000"/>
                <w:highlight w:val="none"/>
              </w:rPr>
            </w:r>
            <w:r/>
          </w:p>
        </w:tc>
        <w:tc>
          <w:tcPr>
            <w:tcW w:w="7587" w:type="dxa"/>
            <w:vAlign w:val="center"/>
            <w:textDirection w:val="lrTb"/>
            <w:noWrap w:val="false"/>
          </w:tcPr>
          <w:p>
            <w:pPr>
              <w:pStyle w:val="885"/>
              <w:numPr>
                <w:ilvl w:val="0"/>
                <w:numId w:val="11"/>
              </w:numPr>
              <w:rPr>
                <w:rFonts w:hint="eastAsia"/>
                <w:color w:val="000000"/>
                <w:highlight w:val="none"/>
              </w:rPr>
            </w:pPr>
            <w:r>
              <w:rPr>
                <w:rFonts w:hint="eastAsia"/>
                <w:color w:val="000000"/>
                <w:highlight w:val="none"/>
              </w:rPr>
              <w:t xml:space="preserve">护理机器质控：基于护理质控规则进行机器校验</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护理人工质控：支持关联标准后对缺陷项目进行添加、删除、修改、撤回操作。</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护理概览：可以查看到病历总数、机器/人工质控数,还可以查看护理评分，合格率。</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护理详情：可以查看护理文书存在的缺陷，缺陷支持自动定位和高亮展示。</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护理质控列表：支持查看患者列表，以卡片的形式展示。</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护理模块分析：以数字列表的形式统计缺陷详情，支持根据科室、病区、质控护士检索缺陷；可以查看缺陷内容、扣分标准、缺陷病历数和占比情况，点击护理的文书号可追踪到具体病历，支持病案号导出。</w:t>
            </w:r>
            <w:r>
              <w:rPr>
                <w:rFonts w:hint="eastAsia"/>
                <w:color w:val="000000"/>
                <w:highlight w:val="none"/>
              </w:rPr>
            </w:r>
            <w:r/>
          </w:p>
          <w:p>
            <w:pPr>
              <w:pStyle w:val="885"/>
              <w:numPr>
                <w:ilvl w:val="0"/>
                <w:numId w:val="11"/>
              </w:numPr>
              <w:rPr>
                <w:rFonts w:hint="eastAsia"/>
                <w:color w:val="000000"/>
                <w:highlight w:val="none"/>
              </w:rPr>
            </w:pPr>
            <w:r>
              <w:rPr>
                <w:rFonts w:hint="eastAsia"/>
                <w:color w:val="000000"/>
                <w:highlight w:val="none"/>
              </w:rPr>
              <w:t xml:space="preserve">护理质控报告：自动生成护理质控报告。</w:t>
            </w:r>
            <w:r>
              <w:rPr>
                <w:rFonts w:hint="eastAsia"/>
                <w:color w:val="000000"/>
                <w:highlight w:val="none"/>
              </w:rPr>
            </w:r>
            <w:r/>
          </w:p>
        </w:tc>
      </w:tr>
    </w:tbl>
    <w:p>
      <w:pPr>
        <w:pStyle w:val="88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8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85"/>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软件服务要求不影响现有的业务系统，供应商负责平台的部署；需与院内现有病案管理系统进行产品对接，在不涉及大版本升级的情况下，无条件配合医院调整功能、需求，软件功能满足采购人个性化需求修改</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对接工作由采购人进行协调</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对接工作联系人：</w:t>
      </w:r>
      <w:r>
        <w:rPr>
          <w:rFonts w:hint="eastAsia" w:ascii="宋体" w:hAnsi="宋体" w:eastAsia="宋体" w:cs="Times New Roman"/>
          <w:color w:val="000000"/>
          <w:sz w:val="24"/>
          <w:szCs w:val="24"/>
          <w:highlight w:val="none"/>
        </w:rPr>
        <w:t xml:space="preserve">刘工 联系电话：025-83106666转60619</w:t>
      </w:r>
      <w:r>
        <w:rPr>
          <w:rFonts w:hint="eastAsia" w:ascii="宋体" w:hAnsi="宋体" w:eastAsia="宋体" w:cs="Times New Roman"/>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；供应商提供项目实施团队人员配置情况，并在系统部署工作开始之日起，指派专业的项目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负责现场工作的组织、协调和实施工作。</w:t>
      </w:r>
      <w:r>
        <w:rPr>
          <w:rFonts w:hint="eastAsia" w:ascii="宋体" w:hAnsi="宋体" w:cs="宋体"/>
          <w:color w:val="000000"/>
          <w:sz w:val="24"/>
          <w:szCs w:val="24"/>
          <w:highlight w:val="none"/>
        </w:rPr>
      </w:r>
      <w:r/>
    </w:p>
    <w:p>
      <w:pPr>
        <w:pStyle w:val="885"/>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须充分评估所提供的产品及服务能完全兼容院内现有病案管理系统，要求不影响已有的功能，支持已上线功能的正常使用，无需一期病案管理系统二次改造接口，供应商负责平台的部署、平滑升级切换等，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签订合同</w:t>
      </w:r>
      <w:r>
        <w:rPr>
          <w:rFonts w:hint="eastAsia" w:ascii="宋体" w:hAnsi="宋体" w:cs="宋体"/>
          <w:color w:val="000000"/>
          <w:sz w:val="24"/>
          <w:szCs w:val="24"/>
          <w:highlight w:val="none"/>
        </w:rPr>
        <w:t xml:space="preserve">时须提供书面承诺函</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85"/>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1）项目进场实施期间，供应商需提供不少于2</w:t>
      </w:r>
      <w:r>
        <w:rPr>
          <w:rFonts w:hint="eastAsia" w:ascii="宋体" w:hAnsi="宋体" w:cs="宋体"/>
          <w:color w:val="000000"/>
          <w:sz w:val="24"/>
          <w:szCs w:val="24"/>
          <w:highlight w:val="none"/>
          <w:lang w:val="en-US" w:eastAsia="zh-CN"/>
        </w:rPr>
        <w:t xml:space="preserve">名</w:t>
      </w:r>
      <w:r>
        <w:rPr>
          <w:rFonts w:hint="eastAsia" w:ascii="宋体" w:hAnsi="宋体" w:cs="宋体"/>
          <w:color w:val="000000"/>
          <w:sz w:val="24"/>
          <w:szCs w:val="24"/>
          <w:highlight w:val="none"/>
        </w:rPr>
        <w:t xml:space="preserve">工程师驻场服务。</w:t>
      </w:r>
      <w:r>
        <w:rPr>
          <w:rFonts w:ascii="宋体" w:hAnsi="宋体" w:cs="宋体"/>
          <w:color w:val="000000"/>
          <w:sz w:val="24"/>
          <w:szCs w:val="24"/>
          <w:highlight w:val="none"/>
        </w:rPr>
      </w:r>
      <w:r/>
    </w:p>
    <w:p>
      <w:pPr>
        <w:pStyle w:val="885"/>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2）供应商需提供定期回访服务，对采购人提出的合理优化建议应提供升级服务。</w:t>
      </w:r>
      <w:r>
        <w:rPr>
          <w:rFonts w:hint="eastAsia" w:ascii="宋体" w:hAnsi="宋体" w:cs="宋体"/>
          <w:color w:val="000000"/>
          <w:sz w:val="24"/>
          <w:szCs w:val="24"/>
          <w:highlight w:val="none"/>
        </w:rPr>
      </w:r>
      <w:r/>
    </w:p>
    <w:p>
      <w:pPr>
        <w:pStyle w:val="885"/>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2）所有的服务方式均为供应商上门保修，即由供应商派员到系统使用现场进行故障恢复，由此产生的一切费用均由供应商承担。</w:t>
      </w:r>
      <w:r>
        <w:rPr>
          <w:rFonts w:hint="eastAsia" w:ascii="宋体" w:hAnsi="宋体" w:cs="宋体"/>
          <w:color w:val="000000"/>
          <w:sz w:val="24"/>
          <w:szCs w:val="24"/>
          <w:highlight w:val="none"/>
        </w:rPr>
      </w:r>
      <w:r/>
    </w:p>
    <w:p>
      <w:pPr>
        <w:pStyle w:val="885"/>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cs="宋体"/>
          <w:color w:val="000000"/>
          <w:sz w:val="24"/>
          <w:szCs w:val="24"/>
          <w:highlight w:val="none"/>
        </w:rPr>
        <w:t xml:space="preserve">3）质保期内供应商提供的系统软件升级，保证采购人使用最新版本软件。</w:t>
      </w:r>
      <w:r>
        <w:rPr>
          <w:rFonts w:ascii="宋体" w:hAnsi="宋体" w:eastAsia="宋体" w:cs="Times New Roman"/>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85"/>
        <w:ind w:firstLine="480"/>
        <w:spacing w:line="288"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rPr>
          <w:rFonts w:ascii="宋体" w:hAnsi="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85"/>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1）维</w:t>
      </w:r>
      <w:r>
        <w:rPr>
          <w:rFonts w:hint="eastAsia" w:ascii="宋体" w:hAnsi="宋体" w:cs="宋体"/>
          <w:color w:val="000000"/>
          <w:sz w:val="24"/>
          <w:szCs w:val="24"/>
          <w:highlight w:val="none"/>
          <w:lang w:val="en-US" w:eastAsia="zh-CN"/>
        </w:rPr>
        <w:t xml:space="preserve">保</w:t>
      </w:r>
      <w:r>
        <w:rPr>
          <w:rFonts w:hint="eastAsia" w:ascii="宋体" w:hAnsi="宋体" w:cs="宋体"/>
          <w:color w:val="000000"/>
          <w:sz w:val="24"/>
          <w:szCs w:val="24"/>
          <w:highlight w:val="none"/>
        </w:rPr>
        <w:t xml:space="preserve">期：供应商应确保本次采购所有项目的安全稳定的运行，并提供不低于</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维</w:t>
      </w:r>
      <w:r>
        <w:rPr>
          <w:rFonts w:hint="eastAsia" w:ascii="宋体" w:hAnsi="宋体" w:cs="宋体"/>
          <w:color w:val="000000"/>
          <w:sz w:val="24"/>
          <w:szCs w:val="24"/>
          <w:highlight w:val="none"/>
        </w:rPr>
        <w:t xml:space="preserve">保服务（自验收报告签字确认日起，开始进入维</w:t>
      </w:r>
      <w:r>
        <w:rPr>
          <w:rFonts w:hint="eastAsia" w:ascii="宋体" w:hAnsi="宋体" w:cs="宋体"/>
          <w:color w:val="000000"/>
          <w:sz w:val="24"/>
          <w:szCs w:val="24"/>
          <w:highlight w:val="none"/>
          <w:lang w:val="en-US" w:eastAsia="zh-CN"/>
        </w:rPr>
        <w:t xml:space="preserve">保</w:t>
      </w:r>
      <w:r>
        <w:rPr>
          <w:rFonts w:hint="eastAsia" w:ascii="宋体" w:hAnsi="宋体" w:cs="宋体"/>
          <w:color w:val="000000"/>
          <w:sz w:val="24"/>
          <w:szCs w:val="24"/>
          <w:highlight w:val="none"/>
        </w:rPr>
        <w:t xml:space="preserve">期，相关费用包含在本次报价中）。维</w:t>
      </w:r>
      <w:r>
        <w:rPr>
          <w:rFonts w:hint="eastAsia" w:ascii="宋体" w:hAnsi="宋体" w:cs="宋体"/>
          <w:color w:val="000000"/>
          <w:sz w:val="24"/>
          <w:szCs w:val="24"/>
          <w:highlight w:val="none"/>
          <w:lang w:val="en-US" w:eastAsia="zh-CN"/>
        </w:rPr>
        <w:t xml:space="preserve">保</w:t>
      </w:r>
      <w:r>
        <w:rPr>
          <w:rFonts w:hint="eastAsia" w:ascii="宋体" w:hAnsi="宋体" w:cs="宋体"/>
          <w:color w:val="000000"/>
          <w:sz w:val="24"/>
          <w:szCs w:val="24"/>
          <w:highlight w:val="none"/>
        </w:rPr>
        <w:t xml:space="preserve">期内，本合同项目所有技术和服务发生任何非人为故障，由供应商负责系统恢复。</w:t>
      </w:r>
      <w:r>
        <w:rPr>
          <w:rFonts w:hint="eastAsia" w:ascii="宋体" w:hAnsi="宋体" w:cs="宋体"/>
          <w:color w:val="000000"/>
          <w:sz w:val="24"/>
          <w:szCs w:val="24"/>
          <w:highlight w:val="none"/>
        </w:rPr>
      </w:r>
      <w:r/>
    </w:p>
    <w:p>
      <w:pPr>
        <w:pStyle w:val="885"/>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2）维</w:t>
      </w:r>
      <w:r>
        <w:rPr>
          <w:rFonts w:hint="eastAsia" w:ascii="宋体" w:hAnsi="宋体" w:cs="宋体"/>
          <w:color w:val="000000"/>
          <w:sz w:val="24"/>
          <w:szCs w:val="24"/>
          <w:highlight w:val="none"/>
          <w:lang w:val="en-US" w:eastAsia="zh-CN"/>
        </w:rPr>
        <w:t xml:space="preserve">保</w:t>
      </w:r>
      <w:r>
        <w:rPr>
          <w:rFonts w:hint="eastAsia" w:ascii="宋体" w:hAnsi="宋体" w:cs="宋体"/>
          <w:color w:val="000000"/>
          <w:sz w:val="24"/>
          <w:szCs w:val="24"/>
          <w:highlight w:val="none"/>
        </w:rPr>
        <w:t xml:space="preserve">期内，对采购人提出的合理服务要求，供应商必须即时进行电话、邮件及远程网络支持，并在2小时内到场服务，小型故障恢复时间为4个小时</w:t>
      </w: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，严重故障恢复时间为24小时内，并及时有效的提供解决方案。如不到场，采购人有权自行处理，相关费用由供应商负责。</w:t>
      </w:r>
      <w:r>
        <w:rPr>
          <w:rFonts w:hint="eastAsia" w:ascii="宋体" w:hAnsi="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①项目经理：1人，具有至少3年以上项目管理工作经验，不得兼任其他岗位。 </w:t>
      </w:r>
      <w:r>
        <w:rPr>
          <w:rFonts w:hint="eastAsia" w:ascii="宋体" w:hAnsi="宋体"/>
          <w:color w:val="000000"/>
          <w:sz w:val="24"/>
          <w:szCs w:val="24"/>
          <w:highlight w:val="none"/>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②技术负责人1人，具有至少3年以上信息化技术管理工作经验，不得兼任其他岗位。  </w:t>
      </w:r>
      <w:r>
        <w:rPr>
          <w:rFonts w:hint="eastAsia" w:ascii="宋体" w:hAnsi="宋体"/>
          <w:color w:val="000000"/>
          <w:sz w:val="24"/>
          <w:szCs w:val="24"/>
          <w:highlight w:val="none"/>
        </w:rPr>
      </w:r>
      <w:r/>
    </w:p>
    <w:p>
      <w:pPr>
        <w:pStyle w:val="88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③实施人员：不少于2人，具有信息系统建设工作经验。 </w:t>
      </w:r>
      <w:r>
        <w:rPr>
          <w:rFonts w:hint="eastAsia" w:ascii="宋体" w:hAnsi="宋体"/>
          <w:color w:val="000000"/>
          <w:sz w:val="24"/>
          <w:szCs w:val="24"/>
          <w:highlight w:val="none"/>
        </w:rPr>
      </w:r>
      <w:r/>
    </w:p>
    <w:p>
      <w:pPr>
        <w:pStyle w:val="885"/>
        <w:ind w:firstLine="480"/>
        <w:spacing w:line="288" w:lineRule="auto"/>
        <w:rPr>
          <w:rFonts w:eastAsia="宋体"/>
          <w:color w:val="000000"/>
          <w:sz w:val="24"/>
          <w:szCs w:val="24"/>
          <w:highlight w:val="none"/>
          <w:lang w:val="en-US" w:eastAsia="zh-CN"/>
        </w:rPr>
      </w:pPr>
      <w:r>
        <w:rPr>
          <w:rFonts w:hint="eastAsia"/>
          <w:color w:val="000000"/>
          <w:sz w:val="24"/>
          <w:szCs w:val="24"/>
          <w:highlight w:val="none"/>
        </w:rPr>
        <w:t xml:space="preserve">④</w:t>
      </w:r>
      <w:r>
        <w:rPr>
          <w:rFonts w:hint="eastAsia" w:ascii="宋体" w:hAnsi="宋体" w:cs="宋体"/>
          <w:color w:val="000000"/>
          <w:sz w:val="24"/>
          <w:szCs w:val="24"/>
          <w:highlight w:val="none"/>
        </w:rPr>
        <w:t xml:space="preserve">项目进场实施期间，</w:t>
      </w:r>
      <w:r>
        <w:rPr>
          <w:rFonts w:hint="eastAsia" w:ascii="宋体" w:hAnsi="宋体" w:cs="宋体"/>
          <w:color w:val="000000"/>
          <w:sz w:val="24"/>
          <w:szCs w:val="24"/>
          <w:highlight w:val="none"/>
          <w:lang w:val="en-US" w:eastAsia="zh-CN"/>
        </w:rPr>
        <w:t xml:space="preserve">项目团队中</w:t>
      </w:r>
      <w:r>
        <w:rPr>
          <w:rFonts w:hint="eastAsia" w:ascii="宋体" w:hAnsi="宋体" w:cs="宋体"/>
          <w:color w:val="000000"/>
          <w:sz w:val="24"/>
          <w:szCs w:val="24"/>
          <w:highlight w:val="none"/>
        </w:rPr>
        <w:t xml:space="preserve">不少于2</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驻场</w:t>
      </w:r>
      <w:r>
        <w:rPr>
          <w:rFonts w:hint="eastAsia" w:ascii="宋体" w:hAnsi="宋体" w:cs="宋体"/>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服务。</w:t>
      </w:r>
      <w:r>
        <w:rPr>
          <w:rFonts w:eastAsia="宋体"/>
          <w:color w:val="000000"/>
          <w:sz w:val="24"/>
          <w:szCs w:val="24"/>
          <w:highlight w:val="none"/>
          <w:lang w:val="en-US" w:eastAsia="zh-CN"/>
        </w:rPr>
      </w:r>
      <w:r/>
    </w:p>
    <w:p>
      <w:pPr>
        <w:pStyle w:val="885"/>
        <w:ind w:firstLine="480"/>
        <w:spacing w:line="288" w:lineRule="auto"/>
        <w:rPr>
          <w:rFonts w:hint="eastAsia" w:ascii="宋体" w:hAnsi="宋体"/>
          <w:color w:val="000000"/>
          <w:sz w:val="24"/>
          <w:szCs w:val="24"/>
          <w:highlight w:val="none"/>
        </w:rPr>
      </w:pPr>
      <w:r>
        <w:rPr>
          <w:rFonts w:hint="eastAsia" w:ascii="方正仿宋繁体" w:hAnsi="方正仿宋繁体" w:eastAsia="方正仿宋繁体" w:cs="方正仿宋繁体"/>
          <w:color w:val="000000"/>
          <w:sz w:val="24"/>
          <w:szCs w:val="24"/>
          <w:highlight w:val="none"/>
        </w:rPr>
        <w:t xml:space="preserve">⑤</w:t>
      </w:r>
      <w:r>
        <w:rPr>
          <w:rFonts w:hint="eastAsia" w:ascii="宋体" w:hAnsi="宋体"/>
          <w:color w:val="000000"/>
          <w:sz w:val="24"/>
          <w:szCs w:val="24"/>
          <w:highlight w:val="none"/>
        </w:rPr>
        <w:t xml:space="preserve">项目组所有人员必须为供应商正式工作人员，不得兼任其他项目工作，未经采购人同意，人员不得更换。</w:t>
      </w:r>
      <w:r>
        <w:rPr>
          <w:rFonts w:hint="eastAsia" w:ascii="宋体" w:hAnsi="宋体"/>
          <w:color w:val="000000"/>
          <w:sz w:val="24"/>
          <w:szCs w:val="24"/>
          <w:highlight w:val="none"/>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Times New Roman"/>
          <w:color w:val="000000"/>
          <w:sz w:val="24"/>
          <w:szCs w:val="24"/>
          <w:highlight w:val="none"/>
          <w:lang w:val="en-US" w:eastAsia="zh-CN"/>
        </w:rPr>
        <w:t xml:space="preserve">180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完成系统开发</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8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5"/>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5"/>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5"/>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pStyle w:val="897"/>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5"/>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8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8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2.1-2.4</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8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8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0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8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8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8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8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8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85"/>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85"/>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85"/>
              <w:jc w:val="left"/>
              <w:keepLines w:val="0"/>
              <w:keepNext w:val="0"/>
              <w:pageBreakBefore w:val="0"/>
              <w:spacing w:line="264" w:lineRule="auto"/>
              <w:widowControl w:val="off"/>
              <w:rPr>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highlight w:val="none"/>
                <w:lang w:val="en-US" w:eastAsia="zh-CN"/>
              </w:rPr>
              <w:t xml:space="preserve">价格分值（小数点保留两位）</w:t>
            </w:r>
            <w:r>
              <w:rPr>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85"/>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85"/>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85"/>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项负偏离扣2分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其余指标有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0.25</w:t>
            </w:r>
            <w:r>
              <w:rPr>
                <w:rFonts w:ascii="宋体" w:hAnsi="宋体" w:eastAsia="宋体" w:cs="宋体"/>
                <w:color w:val="000000"/>
                <w:sz w:val="21"/>
                <w:szCs w:val="21"/>
                <w:highlight w:val="none"/>
                <w:lang w:val="en-US" w:eastAsia="zh-CN"/>
              </w:rPr>
              <w:t xml:space="preserve">分，扣完为止。</w:t>
            </w:r>
            <w:r>
              <w:rPr>
                <w:color w:val="000000"/>
                <w:sz w:val="21"/>
                <w:szCs w:val="21"/>
                <w:highlight w:val="none"/>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85"/>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需求理解</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85"/>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评委根据投标人提供的需求理解材料</w:t>
            </w:r>
            <w:r>
              <w:rPr>
                <w:rFonts w:hint="eastAsia" w:ascii="宋体" w:hAnsi="宋体" w:eastAsia="宋体" w:cs="宋体"/>
                <w:color w:val="000000"/>
                <w:sz w:val="21"/>
                <w:szCs w:val="21"/>
                <w:highlight w:val="none"/>
                <w:lang w:val="en-US" w:eastAsia="zh-CN"/>
              </w:rPr>
              <w:t xml:space="preserve">综合评分，</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highlight w:val="none"/>
              </w:rPr>
              <w:t xml:space="preserve">：1</w:t>
            </w:r>
            <w:r>
              <w:rPr>
                <w:rFonts w:ascii="宋体" w:hAnsi="宋体" w:cs="宋体"/>
                <w:color w:val="000000"/>
                <w:highlight w:val="none"/>
              </w:rPr>
              <w:t xml:space="preserve">.项目背景、2</w:t>
            </w:r>
            <w:r>
              <w:rPr>
                <w:rFonts w:hint="eastAsia" w:ascii="宋体" w:hAnsi="宋体" w:cs="宋体"/>
                <w:color w:val="000000"/>
                <w:highlight w:val="none"/>
              </w:rPr>
              <w:t xml:space="preserve">.</w:t>
            </w:r>
            <w:r>
              <w:rPr>
                <w:rFonts w:ascii="宋体" w:hAnsi="宋体" w:cs="宋体"/>
                <w:color w:val="000000"/>
                <w:highlight w:val="none"/>
              </w:rPr>
              <w:t xml:space="preserve">建设目标、</w:t>
            </w:r>
            <w:r>
              <w:rPr>
                <w:rFonts w:hint="eastAsia" w:ascii="宋体" w:hAnsi="宋体" w:cs="宋体"/>
                <w:color w:val="000000"/>
                <w:highlight w:val="none"/>
              </w:rPr>
              <w:t xml:space="preserve">3</w:t>
            </w:r>
            <w:r>
              <w:rPr>
                <w:rFonts w:ascii="宋体" w:hAnsi="宋体" w:cs="宋体"/>
                <w:color w:val="000000"/>
                <w:highlight w:val="none"/>
              </w:rPr>
              <w:t xml:space="preserve">.重点难点分析</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r>
            <w:r/>
          </w:p>
          <w:p>
            <w:pPr>
              <w:pStyle w:val="885"/>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完整深刻、针对性强、紧贴采购需求的，得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较为完整深刻、针对性较强、能够满足采购需求的，得 </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spacing w:line="264"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基本完整、具有一定针对性、基本符合采购需求的，得 </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spacing w:line="264" w:lineRule="auto"/>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不符合采购需求或未提供需求理解材料的不得分。</w:t>
            </w:r>
            <w:r>
              <w:rPr>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85"/>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85"/>
              <w:jc w:val="left"/>
              <w:keepLines w:val="0"/>
              <w:keepNext w:val="0"/>
              <w:pageBreakBefore w:val="0"/>
              <w:spacing w:line="264"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评委根据投标人提供的项目总体技术方案</w:t>
            </w:r>
            <w:r>
              <w:rPr>
                <w:rFonts w:hint="eastAsia" w:ascii="宋体" w:hAnsi="宋体" w:eastAsia="宋体" w:cs="宋体"/>
                <w:color w:val="000000"/>
                <w:sz w:val="21"/>
                <w:szCs w:val="21"/>
                <w:highlight w:val="none"/>
                <w:lang w:val="en-US" w:eastAsia="zh-CN"/>
              </w:rPr>
              <w:t xml:space="preserve">综合评分，包括：</w:t>
            </w:r>
            <w:r>
              <w:rPr>
                <w:rFonts w:ascii="宋体" w:hAnsi="宋体" w:cs="宋体"/>
                <w:color w:val="000000"/>
                <w:highlight w:val="none"/>
              </w:rPr>
              <w:t xml:space="preserve">1.</w:t>
            </w:r>
            <w:r>
              <w:rPr>
                <w:rFonts w:hint="eastAsia" w:ascii="宋体" w:hAnsi="宋体" w:cs="宋体"/>
                <w:color w:val="000000"/>
                <w:highlight w:val="none"/>
              </w:rPr>
              <w:t xml:space="preserve">总体架构和性能设计；</w:t>
            </w:r>
            <w:r>
              <w:rPr>
                <w:rFonts w:ascii="宋体" w:hAnsi="宋体" w:cs="宋体"/>
                <w:color w:val="000000"/>
                <w:highlight w:val="none"/>
              </w:rPr>
              <w:t xml:space="preserve">2.</w:t>
            </w:r>
            <w:r>
              <w:rPr>
                <w:rFonts w:hint="eastAsia" w:ascii="宋体" w:hAnsi="宋体" w:cs="宋体"/>
                <w:color w:val="000000"/>
                <w:highlight w:val="none"/>
              </w:rPr>
              <w:t xml:space="preserve">技术路线和业务逻辑流程设计；</w:t>
            </w:r>
            <w:r>
              <w:rPr>
                <w:rFonts w:ascii="宋体" w:hAnsi="宋体" w:cs="宋体"/>
                <w:color w:val="000000"/>
                <w:highlight w:val="none"/>
              </w:rPr>
              <w:t xml:space="preserve">3.</w:t>
            </w:r>
            <w:r>
              <w:rPr>
                <w:rFonts w:hint="eastAsia" w:ascii="宋体" w:hAnsi="宋体" w:cs="宋体"/>
                <w:color w:val="000000"/>
                <w:highlight w:val="none"/>
              </w:rPr>
              <w:t xml:space="preserve">用户界面和应用功能设计；</w:t>
            </w:r>
            <w:r>
              <w:rPr>
                <w:rFonts w:ascii="宋体" w:hAnsi="宋体" w:cs="宋体"/>
                <w:color w:val="000000"/>
                <w:highlight w:val="none"/>
              </w:rPr>
              <w:t xml:space="preserve">4.</w:t>
            </w:r>
            <w:r>
              <w:rPr>
                <w:rFonts w:hint="eastAsia" w:ascii="宋体" w:hAnsi="宋体" w:cs="宋体"/>
                <w:color w:val="000000"/>
                <w:highlight w:val="none"/>
              </w:rPr>
              <w:t xml:space="preserve">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sz w:val="21"/>
                <w:szCs w:val="21"/>
                <w:highlight w:val="none"/>
                <w:lang w:val="en-US" w:eastAsia="zh-CN"/>
              </w:rPr>
            </w:r>
            <w:r/>
          </w:p>
          <w:p>
            <w:pPr>
              <w:pStyle w:val="885"/>
              <w:jc w:val="left"/>
              <w:keepLines w:val="0"/>
              <w:keepNext w:val="0"/>
              <w:spacing w:line="264" w:lineRule="auto"/>
              <w:widowControl/>
              <w:rPr>
                <w:rFonts w:ascii="宋体" w:hAnsi="宋体" w:eastAsia="宋体" w:cs="宋体"/>
                <w:color w:val="000000"/>
                <w:sz w:val="21"/>
                <w:szCs w:val="21"/>
                <w:highlight w:val="none"/>
                <w:lang w:val="en-US" w:eastAsia="zh-CN"/>
              </w:rPr>
              <w:suppressLineNumbers w:val="0"/>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设计思路科学、前瞻性、技术先进可行</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紧贴采购需求的，得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设计思路较科学、前瞻性、技术较先进可行、能够满足采购需求的，得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设计思路基本满足采购需求、具有一定可行性的，得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hint="eastAsia"/>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设计思路不能满足采购需求或未提供方案的不得分。</w:t>
            </w:r>
            <w:r>
              <w:rPr>
                <w:rFonts w:hint="eastAsia"/>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8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85"/>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评委根据投标人提供的项目实施方案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w:t>
            </w:r>
            <w:r>
              <w:rPr>
                <w:rFonts w:ascii="宋体" w:hAnsi="宋体" w:eastAsia="宋体" w:cs="宋体"/>
                <w:color w:val="000000"/>
                <w:sz w:val="21"/>
                <w:szCs w:val="21"/>
                <w:highlight w:val="none"/>
                <w:lang w:val="en-US" w:eastAsia="zh-CN"/>
              </w:rPr>
              <w:t xml:space="preserve">1.实施流程；2.实施进度安排；3.保障措施；4.验收措施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完整深刻、可行性强、紧贴采购需求的，得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较为完整深刻、可行性较强、能够满足采购需求的，得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基本完整、具有一定可行性、基本符合采购需求的，得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不合理可行或未提供方案的不得分。</w:t>
            </w:r>
            <w:r>
              <w:rPr>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pacing w:val="-6"/>
                <w:sz w:val="21"/>
                <w:szCs w:val="21"/>
                <w:highlight w:val="none"/>
              </w:rPr>
            </w:r>
            <w:r/>
          </w:p>
        </w:tc>
      </w:tr>
      <w:tr>
        <w:trPr>
          <w:trHeight w:val="472"/>
        </w:trPr>
        <w:tc>
          <w:tcPr>
            <w:gridSpan w:val="5"/>
            <w:tcW w:w="9575" w:type="dxa"/>
            <w:vAlign w:val="center"/>
            <w:textDirection w:val="lrTb"/>
            <w:noWrap w:val="false"/>
          </w:tcPr>
          <w:p>
            <w:pPr>
              <w:pStyle w:val="885"/>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8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评委根据投标人提供的维保服务方案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服务措施</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应急举措</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服务流程及服务保障体系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完整、合理性、操作性强的，得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基本完整、基本合理，有可操作性的，得1分；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color w:val="000000"/>
                <w:sz w:val="21"/>
                <w:szCs w:val="21"/>
                <w:highlight w:val="none"/>
                <w:lang w:val="zh-CN"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不完整、不科学合理、不具可操作性或未提供的不得分。</w:t>
            </w:r>
            <w:r>
              <w:rPr>
                <w:color w:val="000000"/>
                <w:sz w:val="21"/>
                <w:szCs w:val="21"/>
                <w:highlight w:val="none"/>
                <w:lang w:val="zh-CN"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8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培训方案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评委根据投标人提供的项目培训方案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培训计划</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培训内容</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师资力量</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完整详细、针对性强的，得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基本满足采购需求，有一定针对性的，得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85"/>
              <w:jc w:val="left"/>
              <w:keepLines w:val="0"/>
              <w:keepNext w:val="0"/>
              <w:pageBreakBefore w:val="0"/>
              <w:spacing w:line="264" w:lineRule="auto"/>
              <w:widowControl/>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没有针对性或未提供方案的不得分。</w:t>
            </w:r>
            <w:r>
              <w:rPr>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85"/>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85"/>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85"/>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cs="宋体"/>
                <w:color w:val="000000"/>
                <w:highlight w:val="none"/>
              </w:rPr>
              <w:t xml:space="preserve">投标人提供2023年1月1日（含）以来类似项目业绩（至少包含</w:t>
            </w:r>
            <w:r>
              <w:rPr>
                <w:rFonts w:hint="eastAsia" w:ascii="宋体" w:hAnsi="宋体" w:eastAsia="宋体" w:cs="宋体"/>
                <w:color w:val="000000"/>
                <w:highlight w:val="none"/>
              </w:rPr>
              <w:t xml:space="preserve">文档中心</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文档集中管理</w:t>
            </w:r>
            <w:r>
              <w:rPr>
                <w:rFonts w:hint="eastAsia" w:ascii="宋体" w:hAnsi="宋体" w:cs="宋体"/>
                <w:color w:val="000000"/>
                <w:highlight w:val="none"/>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85"/>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85"/>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8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85"/>
              <w:numPr>
                <w:ilvl w:val="0"/>
                <w:numId w:val="12"/>
              </w:numPr>
              <w:spacing w:line="264" w:lineRule="auto"/>
              <w:rPr>
                <w:rFonts w:hint="eastAsia" w:ascii="宋体" w:hAnsi="宋体" w:cs="宋体"/>
                <w:color w:val="000000"/>
                <w:highlight w:val="none"/>
                <w:lang w:eastAsia="zh-CN"/>
              </w:rPr>
            </w:pPr>
            <w:r>
              <w:rPr>
                <w:rFonts w:hint="eastAsia" w:ascii="宋体" w:hAnsi="宋体" w:cs="宋体"/>
                <w:color w:val="000000"/>
                <w:highlight w:val="none"/>
              </w:rPr>
              <w:t xml:space="preserve">投标人拟投入本项目的项目经理</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885"/>
              <w:numPr>
                <w:ilvl w:val="0"/>
                <w:numId w:val="0"/>
              </w:numPr>
              <w:spacing w:line="264" w:lineRule="auto"/>
              <w:rPr>
                <w:rFonts w:hint="eastAsia" w:ascii="宋体" w:hAnsi="宋体" w:cs="宋体"/>
                <w:color w:val="000000"/>
                <w:highlight w:val="none"/>
              </w:rPr>
            </w:pPr>
            <w:r>
              <w:rPr>
                <w:rFonts w:hint="eastAsia" w:ascii="宋体" w:hAnsi="宋体" w:cs="宋体"/>
                <w:color w:val="000000"/>
                <w:highlight w:val="none"/>
              </w:rPr>
              <w:t xml:space="preserve">具有高级工程师（电子信息化类或数字经济类通信工程专业）或以上</w:t>
            </w:r>
            <w:r>
              <w:rPr>
                <w:rFonts w:hint="eastAsia" w:ascii="宋体" w:hAnsi="宋体" w:cs="宋体"/>
                <w:color w:val="000000"/>
                <w:highlight w:val="none"/>
                <w:lang w:val="en-US" w:eastAsia="zh-CN"/>
              </w:rPr>
              <w:t xml:space="preserve">职称</w:t>
            </w:r>
            <w:r>
              <w:rPr>
                <w:rFonts w:hint="eastAsia" w:ascii="宋体" w:hAnsi="宋体" w:cs="宋体"/>
                <w:color w:val="000000"/>
                <w:highlight w:val="none"/>
              </w:rPr>
              <w:t xml:space="preserve">证书、信息系统项目管理师证书、ITSS</w:t>
            </w:r>
            <w:r>
              <w:rPr>
                <w:rFonts w:hint="eastAsia" w:ascii="宋体" w:hAnsi="宋体" w:cs="宋体"/>
                <w:color w:val="000000"/>
                <w:highlight w:val="none"/>
                <w:lang w:val="en-US" w:eastAsia="zh-CN"/>
              </w:rPr>
              <w:t xml:space="preserve"> IT</w:t>
            </w:r>
            <w:r>
              <w:rPr>
                <w:rFonts w:hint="eastAsia" w:ascii="宋体" w:hAnsi="宋体" w:cs="宋体"/>
                <w:color w:val="000000"/>
                <w:highlight w:val="none"/>
              </w:rPr>
              <w:t xml:space="preserve">服务项目经理证书</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注册信息安全专业人员</w:t>
            </w:r>
            <w:r>
              <w:rPr>
                <w:rFonts w:hint="eastAsia" w:ascii="宋体" w:hAnsi="宋体" w:eastAsia="宋体" w:cs="宋体"/>
                <w:color w:val="000000"/>
                <w:highlight w:val="none"/>
              </w:rPr>
              <w:t xml:space="preserve">（CISP-CISE）</w:t>
            </w:r>
            <w:r>
              <w:rPr>
                <w:rFonts w:hint="eastAsia" w:ascii="宋体" w:hAnsi="宋体" w:cs="宋体"/>
                <w:color w:val="000000"/>
                <w:highlight w:val="none"/>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t xml:space="preserve">每提供1个证书得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最多得2分。</w:t>
            </w:r>
            <w:r>
              <w:rPr>
                <w:rFonts w:hint="eastAsia" w:ascii="宋体" w:hAnsi="宋体" w:cs="宋体"/>
                <w:color w:val="000000"/>
                <w:highlight w:val="none"/>
              </w:rPr>
            </w:r>
            <w:r/>
          </w:p>
          <w:p>
            <w:pPr>
              <w:pStyle w:val="885"/>
              <w:spacing w:line="264" w:lineRule="auto"/>
              <w:rPr>
                <w:rFonts w:hint="eastAsia" w:ascii="宋体" w:hAnsi="宋体" w:cs="宋体"/>
                <w:color w:val="000000"/>
                <w:highlight w:val="none"/>
              </w:rPr>
            </w:pPr>
            <w:r>
              <w:rPr>
                <w:rFonts w:hint="eastAsia" w:ascii="宋体" w:hAnsi="宋体" w:cs="宋体"/>
                <w:color w:val="000000"/>
                <w:highlight w:val="none"/>
              </w:rPr>
              <w:t xml:space="preserve">（2）投标人拟投入本项目的技术负责人：</w:t>
            </w:r>
            <w:r>
              <w:rPr>
                <w:rFonts w:hint="eastAsia" w:ascii="宋体" w:hAnsi="宋体" w:cs="宋体"/>
                <w:color w:val="000000"/>
                <w:highlight w:val="none"/>
              </w:rPr>
            </w:r>
            <w:r/>
          </w:p>
          <w:p>
            <w:pPr>
              <w:pStyle w:val="885"/>
              <w:spacing w:line="264" w:lineRule="auto"/>
              <w:rPr>
                <w:rFonts w:hint="eastAsia" w:ascii="宋体" w:hAnsi="宋体" w:cs="宋体"/>
                <w:color w:val="000000"/>
                <w:highlight w:val="none"/>
              </w:rPr>
            </w:pPr>
            <w:r>
              <w:rPr>
                <w:rFonts w:hint="eastAsia" w:ascii="宋体" w:hAnsi="宋体" w:cs="宋体"/>
                <w:color w:val="000000"/>
                <w:highlight w:val="none"/>
              </w:rPr>
              <w:t xml:space="preserve">①具有中级工程师（电子信息化类或数字经济类通信</w:t>
            </w: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专业）或以上</w:t>
            </w:r>
            <w:r>
              <w:rPr>
                <w:rFonts w:hint="eastAsia" w:ascii="宋体" w:hAnsi="宋体" w:cs="宋体"/>
                <w:color w:val="000000"/>
                <w:highlight w:val="none"/>
                <w:lang w:val="en-US" w:eastAsia="zh-CN"/>
              </w:rPr>
              <w:t xml:space="preserve">职称</w:t>
            </w:r>
            <w:r>
              <w:rPr>
                <w:rFonts w:hint="eastAsia" w:ascii="宋体" w:hAnsi="宋体" w:cs="宋体"/>
                <w:color w:val="000000"/>
                <w:highlight w:val="none"/>
              </w:rPr>
              <w:t xml:space="preserve">证书</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注册信息安全专业人员</w:t>
            </w:r>
            <w:r>
              <w:rPr>
                <w:rFonts w:hint="eastAsia" w:ascii="宋体" w:hAnsi="宋体" w:eastAsia="宋体" w:cs="宋体"/>
                <w:color w:val="000000"/>
                <w:highlight w:val="none"/>
              </w:rPr>
              <w:t xml:space="preserve">（CISP-CISE）</w:t>
            </w:r>
            <w:r>
              <w:rPr>
                <w:rFonts w:hint="eastAsia" w:ascii="宋体" w:hAnsi="宋体" w:cs="宋体"/>
                <w:color w:val="000000"/>
                <w:highlight w:val="none"/>
              </w:rPr>
              <w:t xml:space="preserve">证书</w:t>
            </w:r>
            <w:r>
              <w:rPr>
                <w:rFonts w:hint="eastAsia" w:ascii="宋体" w:hAnsi="宋体" w:cs="宋体"/>
                <w:color w:val="000000"/>
                <w:highlight w:val="none"/>
              </w:rPr>
              <w:t xml:space="preserve">，每提供1个证书得0.5分，最多得1分；</w:t>
            </w:r>
            <w:r>
              <w:rPr>
                <w:rFonts w:hint="eastAsia" w:ascii="宋体" w:hAnsi="宋体" w:cs="宋体"/>
                <w:color w:val="000000"/>
                <w:highlight w:val="none"/>
              </w:rPr>
            </w:r>
            <w:r/>
          </w:p>
          <w:p>
            <w:pPr>
              <w:pStyle w:val="885"/>
              <w:spacing w:line="264" w:lineRule="auto"/>
              <w:rPr>
                <w:rFonts w:hint="eastAsia" w:ascii="宋体" w:hAnsi="宋体" w:cs="宋体"/>
                <w:color w:val="000000"/>
                <w:highlight w:val="none"/>
              </w:rPr>
            </w:pPr>
            <w:r>
              <w:rPr>
                <w:rFonts w:hint="eastAsia" w:ascii="宋体" w:hAnsi="宋体" w:cs="宋体"/>
                <w:color w:val="000000"/>
                <w:highlight w:val="none"/>
              </w:rPr>
              <w:t xml:space="preserve">②具有系统规划与管理师（高级）证书</w:t>
            </w:r>
            <w:r>
              <w:rPr>
                <w:rFonts w:hint="eastAsia" w:ascii="宋体" w:hAnsi="宋体" w:cs="宋体"/>
                <w:color w:val="000000"/>
                <w:highlight w:val="none"/>
                <w:lang w:val="en-US" w:eastAsia="zh-CN"/>
              </w:rPr>
              <w:t xml:space="preserve">或</w:t>
            </w:r>
            <w:r>
              <w:rPr>
                <w:rFonts w:hint="eastAsia" w:ascii="宋体" w:hAnsi="宋体" w:cs="宋体"/>
                <w:color w:val="000000"/>
                <w:highlight w:val="none"/>
              </w:rPr>
              <w:t xml:space="preserve">系统架构设计师（高级）证书，每提供1个证书得1分，最多得2分。</w:t>
            </w:r>
            <w:r>
              <w:rPr>
                <w:rFonts w:hint="eastAsia" w:ascii="宋体" w:hAnsi="宋体" w:cs="宋体"/>
                <w:color w:val="000000"/>
                <w:highlight w:val="none"/>
              </w:rPr>
            </w:r>
            <w:r/>
          </w:p>
          <w:p>
            <w:pPr>
              <w:pStyle w:val="885"/>
              <w:jc w:val="both"/>
              <w:keepLines w:val="0"/>
              <w:keepNext w:val="0"/>
              <w:pageBreakBefore w:val="0"/>
              <w:spacing w:line="264" w:lineRule="auto"/>
              <w:widowControl w:val="off"/>
              <w:rPr>
                <w:color w:val="000000"/>
                <w:sz w:val="21"/>
                <w:szCs w:val="21"/>
                <w:highlight w:val="none"/>
                <w:lang w:val="en-US" w:eastAsia="zh-CN"/>
              </w:rPr>
            </w:pPr>
            <w:r>
              <w:rPr>
                <w:rFonts w:hint="eastAsia" w:ascii="宋体" w:hAnsi="宋体" w:cs="宋体"/>
                <w:color w:val="000000"/>
                <w:highlight w:val="none"/>
              </w:rPr>
              <w:t xml:space="preserve">（提供上述人员证书及投标人为其缴纳的2025年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月以来任意一个月的社保证明材料，缺一不可）</w:t>
            </w:r>
            <w:r>
              <w:rPr>
                <w:rFonts w:hint="eastAsia" w:ascii="宋体" w:hAnsi="宋体" w:eastAsia="宋体" w:cs="宋体"/>
                <w:color w:val="000000"/>
                <w:sz w:val="21"/>
                <w:szCs w:val="21"/>
                <w:highlight w:val="none"/>
                <w:lang w:val="en-US" w:eastAsia="zh-CN"/>
              </w:rPr>
              <w:t xml:space="preserve">）</w:t>
            </w:r>
            <w:r>
              <w:rPr>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8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85"/>
              <w:spacing w:line="264" w:lineRule="auto"/>
              <w:rPr>
                <w:rFonts w:hint="eastAsia" w:ascii="宋体" w:hAnsi="宋体" w:cs="宋体"/>
                <w:color w:val="000000"/>
                <w:highlight w:val="none"/>
              </w:rPr>
            </w:pPr>
            <w:r>
              <w:rPr>
                <w:rFonts w:hint="eastAsia" w:ascii="宋体" w:hAnsi="宋体" w:cs="宋体"/>
                <w:color w:val="000000"/>
                <w:highlight w:val="none"/>
              </w:rPr>
              <w:t xml:space="preserve">投标人拟投入本项目的项目实施团队（不含项目经理和技术负责人）：</w:t>
            </w:r>
            <w:r>
              <w:rPr>
                <w:rFonts w:hint="eastAsia" w:ascii="宋体" w:hAnsi="宋体" w:cs="宋体"/>
                <w:color w:val="000000"/>
                <w:highlight w:val="none"/>
              </w:rPr>
            </w:r>
            <w:r/>
          </w:p>
          <w:p>
            <w:pPr>
              <w:pStyle w:val="885"/>
              <w:rPr>
                <w:rFonts w:hint="eastAsia" w:ascii="宋体" w:hAnsi="宋体" w:cs="宋体"/>
                <w:color w:val="000000"/>
                <w:highlight w:val="none"/>
              </w:rPr>
            </w:pPr>
            <w:r>
              <w:rPr>
                <w:rFonts w:hint="eastAsia" w:ascii="宋体" w:hAnsi="宋体" w:cs="宋体"/>
                <w:color w:val="000000"/>
                <w:highlight w:val="none"/>
              </w:rPr>
              <w:t xml:space="preserve">具有网络工程师（中级）、数据库系统工程师（中级）、ITSS IT服务工程师证书，每提供1个证书</w:t>
            </w:r>
            <w:r>
              <w:rPr>
                <w:rFonts w:hint="eastAsia" w:ascii="宋体" w:hAnsi="宋体" w:cs="宋体"/>
                <w:color w:val="000000"/>
                <w:highlight w:val="none"/>
              </w:rPr>
              <w:t xml:space="preserve">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分；具有系统分析师、网络规划设计师（高级），每提供一</w:t>
            </w:r>
            <w:r>
              <w:rPr>
                <w:rFonts w:hint="eastAsia" w:ascii="宋体" w:hAnsi="宋体" w:cs="宋体"/>
                <w:color w:val="000000"/>
                <w:highlight w:val="none"/>
                <w:lang w:val="en-US" w:eastAsia="zh-CN"/>
              </w:rPr>
              <w:t xml:space="preserve">个</w:t>
            </w:r>
            <w:r>
              <w:rPr>
                <w:rFonts w:hint="eastAsia" w:ascii="宋体" w:hAnsi="宋体" w:cs="宋体"/>
                <w:color w:val="000000"/>
                <w:highlight w:val="none"/>
              </w:rPr>
              <w:t xml:space="preserve">证书得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本项</w:t>
            </w:r>
            <w:r>
              <w:rPr>
                <w:rFonts w:hint="eastAsia" w:ascii="宋体" w:hAnsi="宋体" w:cs="宋体"/>
                <w:color w:val="000000"/>
                <w:highlight w:val="none"/>
              </w:rPr>
              <w:t xml:space="preserve">最</w:t>
            </w:r>
            <w:r>
              <w:rPr>
                <w:rFonts w:hint="eastAsia" w:ascii="宋体" w:hAnsi="宋体" w:cs="宋体"/>
                <w:color w:val="000000"/>
                <w:highlight w:val="none"/>
                <w:lang w:val="en-US" w:eastAsia="zh-CN"/>
              </w:rPr>
              <w:t xml:space="preserve">多</w:t>
            </w:r>
            <w:r>
              <w:rPr>
                <w:rFonts w:hint="eastAsia" w:ascii="宋体" w:hAnsi="宋体" w:cs="宋体"/>
                <w:color w:val="000000"/>
                <w:highlight w:val="none"/>
              </w:rPr>
              <w:t xml:space="preserve">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885"/>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highlight w:val="none"/>
              </w:rPr>
              <w:t xml:space="preserve">（多人一证、一人多证不重复计分，提供上述人员证书及投标人为其缴纳的2025年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8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8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85"/>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投标人拟投入本项目的相关产品具</w:t>
            </w:r>
            <w:r>
              <w:rPr>
                <w:rFonts w:hint="eastAsia" w:ascii="宋体" w:hAnsi="宋体" w:eastAsia="宋体" w:cs="宋体"/>
                <w:color w:val="000000"/>
                <w:sz w:val="21"/>
                <w:szCs w:val="21"/>
                <w:highlight w:val="none"/>
                <w:lang w:val="en-US" w:eastAsia="zh-CN"/>
              </w:rPr>
              <w:t xml:space="preserve">有</w:t>
            </w:r>
            <w:r>
              <w:rPr>
                <w:rFonts w:hint="eastAsia" w:ascii="宋体" w:hAnsi="宋体" w:cs="宋体"/>
                <w:color w:val="000000"/>
                <w:highlight w:val="none"/>
              </w:rPr>
              <w:t xml:space="preserve">OFD-H方面</w:t>
            </w:r>
            <w:r>
              <w:rPr>
                <w:rFonts w:hint="eastAsia" w:ascii="宋体" w:hAnsi="宋体" w:eastAsia="宋体" w:cs="宋体"/>
                <w:color w:val="000000"/>
                <w:sz w:val="21"/>
                <w:szCs w:val="21"/>
                <w:highlight w:val="none"/>
                <w:lang w:val="en-US" w:eastAsia="zh-CN"/>
              </w:rPr>
              <w:t xml:space="preserve">软件著作权证书，软件名称包含</w:t>
            </w:r>
            <w:r>
              <w:rPr>
                <w:rFonts w:ascii="宋体" w:hAnsi="宋体" w:eastAsia="宋体" w:cs="宋体"/>
                <w:color w:val="000000"/>
                <w:sz w:val="21"/>
                <w:szCs w:val="21"/>
                <w:highlight w:val="none"/>
                <w:lang w:val="en-US" w:eastAsia="zh-CN"/>
              </w:rPr>
              <w:t xml:space="preserve">“</w:t>
            </w:r>
            <w:r>
              <w:rPr>
                <w:rFonts w:hint="eastAsia" w:ascii="宋体" w:hAnsi="宋体" w:cs="宋体"/>
                <w:color w:val="000000"/>
                <w:highlight w:val="none"/>
              </w:rPr>
              <w:t xml:space="preserve">OFD-H</w:t>
            </w:r>
            <w:r>
              <w:rPr>
                <w:rFonts w:ascii="宋体" w:hAnsi="宋体" w:cs="宋体"/>
                <w:color w:val="000000"/>
                <w:highlight w:val="none"/>
              </w:rPr>
              <w:t xml:space="preserve">医疗版式云文档中心系统</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或“</w:t>
            </w:r>
            <w:r>
              <w:rPr>
                <w:rFonts w:ascii="宋体" w:hAnsi="宋体" w:cs="宋体"/>
                <w:color w:val="000000"/>
                <w:highlight w:val="none"/>
              </w:rPr>
              <w:t xml:space="preserve">OFD-H医疗版式文档中台系统</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或“</w:t>
            </w:r>
            <w:r>
              <w:rPr>
                <w:rFonts w:ascii="宋体" w:hAnsi="宋体" w:cs="宋体"/>
                <w:color w:val="000000"/>
                <w:highlight w:val="none"/>
              </w:rPr>
              <w:t xml:space="preserve">OFD-H电子病历资源库系统</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或“</w:t>
            </w:r>
            <w:r>
              <w:rPr>
                <w:rFonts w:ascii="宋体" w:hAnsi="宋体" w:cs="宋体"/>
                <w:color w:val="000000"/>
                <w:highlight w:val="none"/>
              </w:rPr>
              <w:t xml:space="preserve">OFD-H智慧医疗文档集中管理平台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等关键字，每提供1个证书得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 </w:t>
            </w:r>
            <w:r>
              <w:rPr>
                <w:rFonts w:hint="eastAsia" w:ascii="宋体" w:hAnsi="宋体" w:cs="宋体"/>
                <w:color w:val="000000"/>
                <w:highlight w:val="none"/>
              </w:rPr>
              <w:t xml:space="preserve">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eastAsia="宋体" w:cs="宋体"/>
                <w:color w:val="000000"/>
                <w:sz w:val="21"/>
                <w:szCs w:val="21"/>
                <w:highlight w:val="none"/>
                <w:lang w:val="en-US" w:eastAsia="zh-CN"/>
              </w:rPr>
            </w:r>
            <w:r/>
          </w:p>
          <w:p>
            <w:pPr>
              <w:pStyle w:val="885"/>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85"/>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85"/>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85"/>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85"/>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85"/>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85"/>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rPr>
          <w:rFonts w:hint="eastAsia"/>
          <w:color w:val="000000"/>
          <w:highlight w:val="none"/>
        </w:rPr>
      </w:r>
      <w:r/>
    </w:p>
    <w:p>
      <w:pPr>
        <w:pStyle w:val="963"/>
        <w:rPr>
          <w:rFonts w:hint="eastAsia"/>
          <w:color w:val="000000"/>
          <w:highlight w:val="none"/>
        </w:rPr>
      </w:pPr>
      <w:r>
        <w:rPr>
          <w:rFonts w:hint="eastAsia"/>
          <w:color w:val="000000"/>
          <w:highlight w:val="none"/>
        </w:rPr>
      </w:r>
      <w:r>
        <w:rPr>
          <w:rFonts w:hint="eastAsia"/>
          <w:color w:val="000000"/>
          <w:highlight w:val="none"/>
        </w:rPr>
      </w:r>
      <w:r/>
    </w:p>
    <w:p>
      <w:pPr>
        <w:pStyle w:val="963"/>
        <w:rPr>
          <w:rFonts w:hint="eastAsia"/>
          <w:color w:val="000000"/>
          <w:highlight w:val="none"/>
        </w:rPr>
      </w:pPr>
      <w:r>
        <w:rPr>
          <w:rFonts w:hint="eastAsia"/>
          <w:color w:val="000000"/>
          <w:highlight w:val="none"/>
        </w:rPr>
      </w: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97"/>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97"/>
        <w:rPr>
          <w:rFonts w:hint="eastAsia"/>
          <w:color w:val="000000"/>
          <w:highlight w:val="none"/>
        </w:rPr>
      </w:pPr>
      <w:r>
        <w:rPr>
          <w:rFonts w:hint="eastAsia"/>
          <w:color w:val="000000"/>
          <w:highlight w:val="none"/>
        </w:rPr>
      </w:r>
      <w:r/>
    </w:p>
    <w:p>
      <w:pPr>
        <w:pStyle w:val="88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85"/>
        <w:jc w:val="center"/>
        <w:rPr>
          <w:rFonts w:hint="eastAsia" w:ascii="宋体" w:hAnsi="宋体"/>
          <w:b/>
          <w:color w:val="000000"/>
          <w:sz w:val="72"/>
          <w:highlight w:val="none"/>
        </w:rPr>
      </w:pPr>
      <w:r/>
      <w:bookmarkStart w:id="194" w:name="_Toc49090576"/>
      <w:r/>
      <w:bookmarkStart w:id="195" w:name="_Toc120614282"/>
      <w:r/>
      <w:bookmarkStart w:id="196" w:name="_Toc26554094"/>
      <w:r/>
      <w:bookmarkStart w:id="197" w:name="_Hlt26955039"/>
      <w:r/>
      <w:bookmarkEnd w:id="197"/>
      <w:r/>
      <w:bookmarkStart w:id="198" w:name="_Hlt26671244"/>
      <w:r/>
      <w:bookmarkEnd w:id="198"/>
      <w:r>
        <w:rPr>
          <w:rFonts w:hint="eastAsia" w:ascii="宋体" w:hAnsi="宋体"/>
          <w:b/>
          <w:color w:val="000000"/>
          <w:sz w:val="72"/>
          <w:highlight w:val="none"/>
        </w:rPr>
      </w:r>
      <w:r/>
    </w:p>
    <w:p>
      <w:pPr>
        <w:pStyle w:val="88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85"/>
        <w:jc w:val="center"/>
        <w:rPr>
          <w:rFonts w:hint="eastAsia" w:ascii="宋体" w:hAnsi="宋体"/>
          <w:b/>
          <w:color w:val="000000"/>
          <w:sz w:val="72"/>
          <w:highlight w:val="none"/>
        </w:rPr>
      </w:pPr>
      <w:r>
        <w:rPr>
          <w:rFonts w:hint="eastAsia" w:ascii="宋体" w:hAnsi="宋体"/>
          <w:b/>
          <w:color w:val="000000"/>
          <w:sz w:val="72"/>
          <w:highlight w:val="none"/>
        </w:rPr>
      </w:r>
      <w:r/>
    </w:p>
    <w:p>
      <w:pPr>
        <w:pStyle w:val="885"/>
        <w:jc w:val="center"/>
        <w:rPr>
          <w:rFonts w:hint="eastAsia" w:ascii="宋体" w:hAnsi="宋体"/>
          <w:b/>
          <w:color w:val="000000"/>
          <w:sz w:val="72"/>
          <w:highlight w:val="none"/>
        </w:rPr>
      </w:pPr>
      <w:r>
        <w:rPr>
          <w:rFonts w:hint="eastAsia" w:ascii="宋体" w:hAnsi="宋体"/>
          <w:b/>
          <w:color w:val="000000"/>
          <w:sz w:val="72"/>
          <w:highlight w:val="none"/>
        </w:rPr>
      </w:r>
      <w:r/>
    </w:p>
    <w:p>
      <w:pPr>
        <w:pStyle w:val="885"/>
        <w:jc w:val="center"/>
        <w:rPr>
          <w:rFonts w:hint="eastAsia" w:ascii="宋体" w:hAnsi="宋体"/>
          <w:b/>
          <w:color w:val="000000"/>
          <w:sz w:val="36"/>
          <w:highlight w:val="none"/>
        </w:rPr>
      </w:pPr>
      <w:r>
        <w:rPr>
          <w:rFonts w:hint="eastAsia" w:ascii="宋体" w:hAnsi="宋体"/>
          <w:b/>
          <w:color w:val="000000"/>
          <w:sz w:val="36"/>
          <w:highlight w:val="none"/>
        </w:rPr>
      </w:r>
      <w:r/>
    </w:p>
    <w:p>
      <w:pPr>
        <w:pStyle w:val="885"/>
        <w:jc w:val="center"/>
        <w:rPr>
          <w:rFonts w:hint="eastAsia" w:ascii="宋体" w:hAnsi="宋体"/>
          <w:b/>
          <w:color w:val="000000"/>
          <w:sz w:val="36"/>
          <w:highlight w:val="none"/>
        </w:rPr>
      </w:pPr>
      <w:r>
        <w:rPr>
          <w:rFonts w:hint="eastAsia" w:ascii="宋体" w:hAnsi="宋体"/>
          <w:b/>
          <w:color w:val="000000"/>
          <w:sz w:val="36"/>
          <w:highlight w:val="none"/>
        </w:rPr>
      </w:r>
      <w:r/>
    </w:p>
    <w:p>
      <w:pPr>
        <w:pStyle w:val="885"/>
        <w:jc w:val="center"/>
        <w:rPr>
          <w:rFonts w:hint="eastAsia" w:ascii="宋体" w:hAnsi="宋体"/>
          <w:b/>
          <w:color w:val="000000"/>
          <w:sz w:val="36"/>
          <w:highlight w:val="none"/>
        </w:rPr>
      </w:pPr>
      <w:r>
        <w:rPr>
          <w:rFonts w:hint="eastAsia" w:ascii="宋体" w:hAnsi="宋体"/>
          <w:b/>
          <w:color w:val="000000"/>
          <w:sz w:val="36"/>
          <w:highlight w:val="none"/>
        </w:rPr>
      </w:r>
      <w:r/>
    </w:p>
    <w:p>
      <w:pPr>
        <w:pStyle w:val="88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8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8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8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5"/>
        <w:spacing w:line="440" w:lineRule="exact"/>
        <w:rPr>
          <w:rFonts w:ascii="宋体" w:hAnsi="宋体"/>
          <w:color w:val="000000"/>
          <w:highlight w:val="none"/>
        </w:rPr>
      </w:pPr>
      <w:r>
        <w:rPr>
          <w:rFonts w:ascii="宋体" w:hAnsi="宋体"/>
          <w:color w:val="000000"/>
          <w:highlight w:val="none"/>
        </w:rPr>
      </w:r>
      <w:r/>
    </w:p>
    <w:p>
      <w:pPr>
        <w:pStyle w:val="885"/>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十二、分包承诺书（如有）</w:t>
      </w:r>
      <w:r>
        <w:rPr>
          <w:rFonts w:hint="eastAsia" w:ascii="宋体" w:hAnsi="宋体" w:eastAsia="宋体" w:cs="宋体"/>
          <w:b w:val="0"/>
          <w:bCs w:val="0"/>
          <w:i w:val="0"/>
          <w:color w:val="000000"/>
          <w:sz w:val="28"/>
          <w:szCs w:val="28"/>
          <w:highlight w:val="none"/>
          <w:u w:val="none"/>
          <w:lang w:val="en-US" w:eastAsia="zh-CN"/>
        </w:rPr>
      </w:r>
      <w:r/>
    </w:p>
    <w:p>
      <w:pPr>
        <w:pStyle w:val="88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85"/>
        <w:ind w:firstLine="480"/>
        <w:spacing w:line="440" w:lineRule="exact"/>
        <w:rPr>
          <w:rFonts w:ascii="宋体" w:hAnsi="宋体"/>
          <w:color w:val="000000"/>
          <w:sz w:val="24"/>
          <w:highlight w:val="none"/>
        </w:rPr>
      </w:pPr>
      <w:r>
        <w:rPr>
          <w:rFonts w:ascii="宋体" w:hAnsi="宋体"/>
          <w:color w:val="000000"/>
          <w:sz w:val="24"/>
          <w:highlight w:val="none"/>
        </w:rPr>
      </w:r>
      <w:r/>
    </w:p>
    <w:p>
      <w:pPr>
        <w:pStyle w:val="885"/>
        <w:ind w:firstLine="480"/>
        <w:spacing w:line="440" w:lineRule="exact"/>
        <w:rPr>
          <w:rFonts w:ascii="宋体" w:hAnsi="宋体"/>
          <w:color w:val="000000"/>
          <w:sz w:val="24"/>
          <w:highlight w:val="none"/>
        </w:rPr>
      </w:pPr>
      <w:r>
        <w:rPr>
          <w:rFonts w:ascii="宋体" w:hAnsi="宋体"/>
          <w:color w:val="000000"/>
          <w:sz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885"/>
        <w:ind w:firstLine="480"/>
        <w:spacing w:line="440" w:lineRule="exact"/>
        <w:rPr>
          <w:rFonts w:ascii="宋体" w:hAnsi="宋体"/>
          <w:color w:val="000000"/>
          <w:sz w:val="24"/>
          <w:highlight w:val="none"/>
        </w:rPr>
      </w:pPr>
      <w:r>
        <w:rPr>
          <w:rFonts w:ascii="宋体" w:hAnsi="宋体"/>
          <w:color w:val="000000"/>
          <w:sz w:val="24"/>
          <w:highlight w:val="none"/>
        </w:rPr>
      </w:r>
      <w:r/>
    </w:p>
    <w:p>
      <w:pPr>
        <w:pStyle w:val="885"/>
        <w:rPr>
          <w:rFonts w:hint="eastAsia" w:ascii="黑体" w:hAnsi="黑体" w:eastAsia="黑体" w:cs="Times New Roman"/>
          <w:i/>
          <w:color w:val="000000"/>
          <w:sz w:val="32"/>
          <w:szCs w:val="32"/>
          <w:highlight w:val="none"/>
          <w:u w:val="single"/>
          <w:lang w:val="en-US" w:eastAsia="zh-CN"/>
        </w:rPr>
      </w:pPr>
      <w:r/>
      <w:bookmarkEnd w:id="194"/>
      <w:r/>
      <w:bookmarkEnd w:id="195"/>
      <w:r/>
      <w:bookmarkEnd w:id="196"/>
      <w:r/>
      <w:bookmarkStart w:id="199" w:name="_Toc120614284"/>
      <w:r>
        <w:rPr>
          <w:rFonts w:hint="eastAsia" w:ascii="黑体" w:hAnsi="黑体" w:eastAsia="黑体" w:cs="Times New Roman"/>
          <w:i/>
          <w:color w:val="000000"/>
          <w:sz w:val="32"/>
          <w:szCs w:val="32"/>
          <w:highlight w:val="none"/>
          <w:u w:val="single"/>
          <w:lang w:val="en-US" w:eastAsia="zh-CN"/>
        </w:rPr>
      </w:r>
      <w:r/>
    </w:p>
    <w:p>
      <w:pPr>
        <w:pStyle w:val="88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8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8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85"/>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8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8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85"/>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85"/>
        <w:ind w:firstLine="492"/>
        <w:spacing w:line="460" w:lineRule="exact"/>
        <w:rPr>
          <w:color w:val="000000"/>
          <w:sz w:val="24"/>
          <w:szCs w:val="24"/>
          <w:highlight w:val="none"/>
        </w:rPr>
      </w:pPr>
      <w:r>
        <w:rPr>
          <w:color w:val="000000"/>
          <w:sz w:val="24"/>
          <w:szCs w:val="24"/>
          <w:highlight w:val="none"/>
        </w:rPr>
      </w:r>
      <w:r/>
    </w:p>
    <w:p>
      <w:pPr>
        <w:pStyle w:val="1006"/>
        <w:rPr>
          <w:color w:val="000000"/>
          <w:sz w:val="24"/>
          <w:szCs w:val="24"/>
          <w:highlight w:val="none"/>
        </w:rPr>
      </w:pPr>
      <w:r>
        <w:rPr>
          <w:color w:val="000000"/>
          <w:sz w:val="24"/>
          <w:szCs w:val="24"/>
          <w:highlight w:val="none"/>
        </w:rPr>
      </w:r>
      <w:r/>
    </w:p>
    <w:p>
      <w:pPr>
        <w:pStyle w:val="88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5"/>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5"/>
        <w:rPr>
          <w:color w:val="000000"/>
          <w:sz w:val="24"/>
          <w:szCs w:val="24"/>
          <w:highlight w:val="none"/>
        </w:rPr>
      </w:pPr>
      <w:r>
        <w:rPr>
          <w:color w:val="000000"/>
          <w:sz w:val="24"/>
          <w:szCs w:val="24"/>
          <w:highlight w:val="none"/>
        </w:rPr>
      </w:r>
      <w:r/>
    </w:p>
    <w:p>
      <w:pPr>
        <w:pStyle w:val="885"/>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5"/>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1008"/>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85"/>
        <w:rPr>
          <w:rFonts w:hint="eastAsia"/>
          <w:color w:val="000000"/>
          <w:highlight w:val="none"/>
          <w:lang w:eastAsia="zh-CN"/>
        </w:rPr>
      </w:pPr>
      <w:r>
        <w:rPr>
          <w:rFonts w:hint="eastAsia"/>
          <w:color w:val="000000"/>
          <w:highlight w:val="none"/>
          <w:lang w:eastAsia="zh-CN"/>
        </w:rPr>
      </w:r>
      <w:r/>
    </w:p>
    <w:p>
      <w:pPr>
        <w:pStyle w:val="897"/>
        <w:rPr>
          <w:rFonts w:hint="eastAsia"/>
          <w:color w:val="000000"/>
          <w:highlight w:val="none"/>
          <w:lang w:eastAsia="zh-CN"/>
        </w:rPr>
      </w:pPr>
      <w:r>
        <w:rPr>
          <w:rFonts w:hint="eastAsia"/>
          <w:color w:val="000000"/>
          <w:highlight w:val="none"/>
          <w:lang w:eastAsia="zh-CN"/>
        </w:rPr>
      </w:r>
      <w:r/>
    </w:p>
    <w:p>
      <w:pPr>
        <w:pStyle w:val="885"/>
        <w:rPr>
          <w:rFonts w:hint="eastAsia"/>
          <w:color w:val="000000"/>
          <w:highlight w:val="none"/>
          <w:lang w:eastAsia="zh-CN"/>
        </w:rPr>
      </w:pPr>
      <w:r>
        <w:rPr>
          <w:rFonts w:hint="eastAsia"/>
          <w:color w:val="000000"/>
          <w:highlight w:val="none"/>
          <w:lang w:eastAsia="zh-CN"/>
        </w:rPr>
      </w:r>
      <w:r/>
    </w:p>
    <w:p>
      <w:pPr>
        <w:pStyle w:val="885"/>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78"/>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1008"/>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8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85"/>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8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7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78"/>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78"/>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7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7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0" w:name="_Hlt26671380"/>
      <w:r/>
      <w:bookmarkEnd w:id="200"/>
      <w:r/>
      <w:bookmarkStart w:id="201" w:name="_Hlt26955070"/>
      <w:r/>
      <w:bookmarkEnd w:id="201"/>
      <w:r/>
      <w:bookmarkStart w:id="202" w:name="_格式3__银行出具的资信证明"/>
      <w:r/>
      <w:bookmarkEnd w:id="202"/>
      <w:r>
        <w:rPr>
          <w:rFonts w:hint="eastAsia"/>
          <w:color w:val="000000"/>
          <w:sz w:val="24"/>
          <w:szCs w:val="24"/>
          <w:highlight w:val="none"/>
        </w:rPr>
      </w:r>
      <w:r/>
    </w:p>
    <w:p>
      <w:pPr>
        <w:pStyle w:val="904"/>
        <w:rPr>
          <w:rFonts w:hint="eastAsia"/>
          <w:i/>
          <w:color w:val="000000"/>
          <w:sz w:val="24"/>
          <w:szCs w:val="24"/>
          <w:highlight w:val="none"/>
          <w:u w:val="single"/>
        </w:rPr>
      </w:pPr>
      <w:r>
        <w:rPr>
          <w:rFonts w:hint="eastAsia"/>
          <w:i/>
          <w:color w:val="000000"/>
          <w:sz w:val="24"/>
          <w:szCs w:val="24"/>
          <w:highlight w:val="none"/>
          <w:u w:val="single"/>
        </w:rPr>
      </w:r>
      <w:r/>
    </w:p>
    <w:p>
      <w:pPr>
        <w:pStyle w:val="904"/>
        <w:rPr>
          <w:rFonts w:hint="eastAsia"/>
          <w:i/>
          <w:color w:val="000000"/>
          <w:sz w:val="24"/>
          <w:szCs w:val="24"/>
          <w:highlight w:val="none"/>
          <w:u w:val="single"/>
        </w:rPr>
      </w:pPr>
      <w:r>
        <w:rPr>
          <w:rFonts w:hint="eastAsia"/>
          <w:i/>
          <w:color w:val="000000"/>
          <w:sz w:val="24"/>
          <w:szCs w:val="24"/>
          <w:highlight w:val="none"/>
          <w:u w:val="single"/>
        </w:rPr>
      </w:r>
      <w:r/>
    </w:p>
    <w:p>
      <w:pPr>
        <w:pStyle w:val="904"/>
        <w:rPr>
          <w:rFonts w:hint="eastAsia"/>
          <w:i/>
          <w:color w:val="000000"/>
          <w:sz w:val="24"/>
          <w:szCs w:val="24"/>
          <w:highlight w:val="none"/>
          <w:u w:val="single"/>
        </w:rPr>
      </w:pPr>
      <w:r>
        <w:rPr>
          <w:rFonts w:hint="eastAsia"/>
          <w:i/>
          <w:color w:val="000000"/>
          <w:sz w:val="24"/>
          <w:szCs w:val="24"/>
          <w:highlight w:val="none"/>
          <w:u w:val="single"/>
        </w:rPr>
      </w:r>
      <w:r/>
    </w:p>
    <w:p>
      <w:pPr>
        <w:pStyle w:val="904"/>
        <w:ind w:firstLine="0"/>
        <w:rPr>
          <w:rFonts w:hint="eastAsia"/>
          <w:color w:val="000000"/>
          <w:highlight w:val="none"/>
        </w:rPr>
      </w:pPr>
      <w:r>
        <w:rPr>
          <w:rFonts w:hint="eastAsia"/>
          <w:color w:val="000000"/>
          <w:highlight w:val="none"/>
        </w:rPr>
      </w:r>
      <w:r/>
    </w:p>
    <w:p>
      <w:pPr>
        <w:pStyle w:val="885"/>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8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9"/>
        <w:rPr>
          <w:rFonts w:hint="eastAsia" w:ascii="宋体" w:hAnsi="宋体"/>
          <w:bCs/>
          <w:color w:val="000000"/>
          <w:sz w:val="24"/>
          <w:highlight w:val="none"/>
        </w:rPr>
      </w:pPr>
      <w:r>
        <w:rPr>
          <w:rFonts w:hint="eastAsia" w:ascii="宋体" w:hAnsi="宋体"/>
          <w:bCs/>
          <w:color w:val="000000"/>
          <w:sz w:val="24"/>
          <w:highlight w:val="none"/>
        </w:rPr>
      </w:r>
      <w:r/>
    </w:p>
    <w:p>
      <w:pPr>
        <w:pStyle w:val="969"/>
        <w:rPr>
          <w:rFonts w:hint="eastAsia" w:ascii="宋体" w:hAnsi="宋体"/>
          <w:bCs/>
          <w:color w:val="000000"/>
          <w:sz w:val="24"/>
          <w:highlight w:val="none"/>
        </w:rPr>
      </w:pPr>
      <w:r>
        <w:rPr>
          <w:rFonts w:hint="eastAsia" w:ascii="宋体" w:hAnsi="宋体"/>
          <w:bCs/>
          <w:color w:val="000000"/>
          <w:sz w:val="24"/>
          <w:highlight w:val="none"/>
        </w:rPr>
      </w:r>
      <w:r/>
    </w:p>
    <w:p>
      <w:pPr>
        <w:pStyle w:val="885"/>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8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8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80"/>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8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85"/>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80"/>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8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80"/>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8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8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8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8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85"/>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8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80"/>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80"/>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8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8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85"/>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85"/>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5"/>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85"/>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80"/>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5"/>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85"/>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85"/>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97"/>
        <w:rPr>
          <w:rFonts w:hint="eastAsia"/>
          <w:color w:val="000000"/>
          <w:highlight w:val="none"/>
        </w:rPr>
      </w:pPr>
      <w:r>
        <w:rPr>
          <w:rFonts w:hint="eastAsia"/>
          <w:color w:val="000000"/>
          <w:highlight w:val="none"/>
        </w:rPr>
      </w:r>
      <w:r/>
    </w:p>
    <w:p>
      <w:pPr>
        <w:pStyle w:val="885"/>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评委会将启动异常低价投标审查机制，投标人应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8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6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8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85"/>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85"/>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85"/>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85"/>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85"/>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8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8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85"/>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5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5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5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8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63"/>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5"/>
        <w:rPr>
          <w:rFonts w:hint="eastAsia"/>
          <w:color w:val="000000"/>
          <w:highlight w:val="none"/>
          <w:lang w:val="en-US" w:eastAsia="zh-CN"/>
        </w:rPr>
      </w:pPr>
      <w:r>
        <w:rPr>
          <w:rFonts w:hint="eastAsia"/>
          <w:color w:val="000000"/>
          <w:highlight w:val="none"/>
          <w:lang w:val="en-US" w:eastAsia="zh-CN"/>
        </w:rPr>
      </w:r>
      <w:r/>
    </w:p>
    <w:p>
      <w:pPr>
        <w:pStyle w:val="88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5"/>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85"/>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85"/>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8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2"/>
      <w:r/>
      <w:bookmarkEnd w:id="43"/>
      <w:r/>
      <w:bookmarkEnd w:id="199"/>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8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5"/>
              <w:jc w:val="center"/>
              <w:rPr>
                <w:color w:val="000000"/>
                <w:highlight w:val="none"/>
              </w:rPr>
            </w:pPr>
            <w:r>
              <w:rPr>
                <w:color w:val="000000"/>
                <w:highlight w:val="none"/>
              </w:rPr>
            </w:r>
            <w:r/>
          </w:p>
          <w:p>
            <w:pPr>
              <w:pStyle w:val="897"/>
              <w:rPr>
                <w:rFonts w:hint="eastAsia"/>
                <w:color w:val="000000"/>
                <w:highlight w:val="none"/>
              </w:rPr>
            </w:pPr>
            <w:r>
              <w:rPr>
                <w:rFonts w:hint="eastAsia"/>
                <w:color w:val="000000"/>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8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5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5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5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85"/>
        <w:rPr>
          <w:rFonts w:hint="eastAsia" w:ascii="黑体" w:hAnsi="黑体" w:eastAsia="黑体" w:cs="Times New Roman"/>
          <w:i w:val="0"/>
          <w:iCs/>
          <w:color w:val="000000"/>
          <w:sz w:val="32"/>
          <w:szCs w:val="32"/>
          <w:highlight w:val="none"/>
          <w:u w:val="none"/>
          <w:lang w:val="en-US" w:eastAsia="zh-CN"/>
        </w:rPr>
      </w:pPr>
      <w:r/>
      <w:bookmarkStart w:id="203" w:name="_Hlt26955054"/>
      <w:r/>
      <w:bookmarkEnd w:id="203"/>
      <w:r>
        <w:rPr>
          <w:rFonts w:hint="eastAsia" w:ascii="黑体" w:hAnsi="黑体" w:eastAsia="黑体" w:cs="Times New Roman"/>
          <w:i w:val="0"/>
          <w:iCs/>
          <w:color w:val="000000"/>
          <w:sz w:val="32"/>
          <w:szCs w:val="32"/>
          <w:highlight w:val="none"/>
          <w:u w:val="none"/>
          <w:lang w:val="en-US" w:eastAsia="zh-CN"/>
        </w:rPr>
      </w:r>
      <w:r/>
    </w:p>
    <w:p>
      <w:pPr>
        <w:pStyle w:val="88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85"/>
              <w:jc w:val="center"/>
              <w:rPr>
                <w:rFonts w:hint="eastAsia" w:ascii="宋体" w:hAnsi="宋体"/>
                <w:color w:val="000000"/>
                <w:sz w:val="24"/>
                <w:szCs w:val="24"/>
                <w:highlight w:val="none"/>
              </w:rPr>
            </w:pPr>
            <w:r/>
            <w:bookmarkStart w:id="204" w:name="_Hlt26580838"/>
            <w:r/>
            <w:bookmarkEnd w:id="204"/>
            <w:r/>
            <w:bookmarkStart w:id="205" w:name="_Hlt26609391"/>
            <w:r/>
            <w:bookmarkEnd w:id="205"/>
            <w:r/>
            <w:bookmarkStart w:id="206" w:name="_Hlt26782999"/>
            <w:r/>
            <w:bookmarkEnd w:id="206"/>
            <w:r/>
            <w:bookmarkStart w:id="207" w:name="_Hlt26955056"/>
            <w:r/>
            <w:bookmarkEnd w:id="207"/>
            <w:r/>
            <w:bookmarkStart w:id="208" w:name="_Hlt26671343"/>
            <w:r/>
            <w:bookmarkEnd w:id="208"/>
            <w:r/>
            <w:bookmarkStart w:id="209" w:name="_Hlt24879081"/>
            <w:r/>
            <w:bookmarkEnd w:id="209"/>
            <w:r/>
            <w:bookmarkStart w:id="210" w:name="_Hlt26955064"/>
            <w:r/>
            <w:bookmarkEnd w:id="210"/>
            <w:r/>
            <w:bookmarkStart w:id="211" w:name="_Hlt26671372"/>
            <w:r/>
            <w:bookmarkEnd w:id="21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8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5"/>
              <w:jc w:val="center"/>
              <w:rPr>
                <w:color w:val="000000"/>
                <w:highlight w:val="none"/>
              </w:rPr>
            </w:pPr>
            <w:r>
              <w:rPr>
                <w:color w:val="000000"/>
                <w:highlight w:val="none"/>
              </w:rPr>
            </w:r>
            <w:r/>
          </w:p>
          <w:p>
            <w:pPr>
              <w:pStyle w:val="897"/>
              <w:rPr>
                <w:rFonts w:hint="eastAsia"/>
                <w:color w:val="000000"/>
                <w:highlight w:val="none"/>
              </w:rPr>
            </w:pPr>
            <w:r>
              <w:rPr>
                <w:rFonts w:hint="eastAsia"/>
                <w:color w:val="000000"/>
                <w:highlight w:val="none"/>
              </w:rPr>
            </w:r>
            <w:r/>
          </w:p>
        </w:tc>
        <w:tc>
          <w:tcPr>
            <w:tcW w:w="2832"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5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8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5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5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85"/>
        <w:rPr>
          <w:color w:val="000000"/>
          <w:highlight w:val="none"/>
        </w:rPr>
      </w:pPr>
      <w:r>
        <w:rPr>
          <w:color w:val="000000"/>
          <w:highlight w:val="none"/>
        </w:rPr>
      </w:r>
      <w:r/>
    </w:p>
    <w:p>
      <w:pPr>
        <w:pStyle w:val="88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3"/>
        <w:rPr>
          <w:rFonts w:hint="eastAsia"/>
          <w:color w:val="000000"/>
          <w:highlight w:val="none"/>
        </w:rPr>
      </w:pPr>
      <w:r>
        <w:rPr>
          <w:rFonts w:hint="eastAsia"/>
          <w:color w:val="000000"/>
          <w:highlight w:val="none"/>
        </w:rPr>
      </w:r>
      <w:r/>
    </w:p>
    <w:p>
      <w:pPr>
        <w:pStyle w:val="88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8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85"/>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85"/>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3"/>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5"/>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8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5"/>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85"/>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85"/>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5"/>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63"/>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5"/>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8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5"/>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8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85"/>
        <w:ind w:firstLine="480"/>
        <w:spacing w:line="480" w:lineRule="exact"/>
        <w:rPr>
          <w:rFonts w:ascii="宋体" w:hAnsi="宋体"/>
          <w:color w:val="000000"/>
          <w:sz w:val="24"/>
          <w:highlight w:val="none"/>
        </w:rPr>
      </w:pPr>
      <w:r>
        <w:rPr>
          <w:rFonts w:ascii="宋体" w:hAnsi="宋体"/>
          <w:color w:val="000000"/>
          <w:sz w:val="24"/>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5"/>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85"/>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5"/>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8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8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5"/>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85"/>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5"/>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5"/>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8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5"/>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85"/>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8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97"/>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5"/>
        <w:rPr>
          <w:rFonts w:hint="eastAsia"/>
          <w:color w:val="000000"/>
          <w:highlight w:val="none"/>
        </w:rPr>
      </w:pPr>
      <w:r>
        <w:rPr>
          <w:rFonts w:hint="eastAsia"/>
          <w:color w:val="000000"/>
          <w:highlight w:val="none"/>
        </w:rPr>
      </w:r>
      <w:r/>
    </w:p>
    <w:p>
      <w:pPr>
        <w:pStyle w:val="885"/>
        <w:ind w:firstLine="645"/>
        <w:spacing w:line="560" w:lineRule="exact"/>
        <w:rPr>
          <w:rFonts w:ascii="宋体" w:hAnsi="宋体"/>
          <w:color w:val="000000"/>
          <w:sz w:val="24"/>
          <w:highlight w:val="none"/>
        </w:rPr>
      </w:pPr>
      <w:r>
        <w:rPr>
          <w:rFonts w:ascii="宋体" w:hAnsi="宋体"/>
          <w:color w:val="000000"/>
          <w:sz w:val="24"/>
          <w:highlight w:val="none"/>
        </w:rPr>
      </w:r>
      <w:r/>
    </w:p>
    <w:p>
      <w:pPr>
        <w:pStyle w:val="88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63"/>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963"/>
        <w:rPr>
          <w:rFonts w:hint="eastAsia"/>
          <w:color w:val="000000"/>
          <w:highlight w:val="none"/>
        </w:rPr>
      </w:pPr>
      <w:r>
        <w:rPr>
          <w:rFonts w:hint="eastAsia"/>
          <w:color w:val="000000"/>
          <w:highlight w:val="none"/>
        </w:rPr>
      </w:r>
      <w:r/>
    </w:p>
    <w:p>
      <w:pPr>
        <w:pStyle w:val="885"/>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885"/>
        <w:rPr>
          <w:rFonts w:hint="eastAsia"/>
          <w:color w:val="000000"/>
          <w:highlight w:val="none"/>
        </w:rPr>
      </w:pPr>
      <w:r>
        <w:rPr>
          <w:rFonts w:hint="eastAsia"/>
          <w:color w:val="000000"/>
          <w:highlight w:val="none"/>
        </w:rPr>
      </w:r>
      <w:r/>
    </w:p>
    <w:p>
      <w:pPr>
        <w:pStyle w:val="88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zh-CN" w:eastAsia="zh-CN"/>
        </w:rPr>
      </w:pPr>
      <w:r>
        <w:rPr>
          <w:rFonts w:hint="eastAsia" w:ascii="方正小标宋简体" w:hAnsi="方正小标宋简体" w:eastAsia="方正小标宋简体" w:cs="方正小标宋简体"/>
          <w:b w:val="0"/>
          <w:bCs w:val="0"/>
          <w:color w:val="000000"/>
          <w:sz w:val="32"/>
          <w:szCs w:val="32"/>
          <w:highlight w:val="none"/>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highlight w:val="none"/>
          <w:lang w:val="zh-CN" w:eastAsia="zh-CN"/>
        </w:rPr>
      </w:r>
      <w:r/>
    </w:p>
    <w:p>
      <w:pPr>
        <w:pStyle w:val="885"/>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885"/>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85"/>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885"/>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885"/>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5"/>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885"/>
        <w:jc w:val="center"/>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8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9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9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9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9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97"/>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85"/>
        <w:rPr>
          <w:rFonts w:hint="eastAsia"/>
          <w:color w:val="000000"/>
          <w:highlight w:val="none"/>
        </w:rPr>
      </w:pPr>
      <w:r>
        <w:rPr>
          <w:rFonts w:hint="eastAsia"/>
          <w:color w:val="000000"/>
          <w:highlight w:val="none"/>
        </w:rPr>
      </w:r>
      <w:r/>
    </w:p>
    <w:p>
      <w:pPr>
        <w:pStyle w:val="88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8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85"/>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8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8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85"/>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85"/>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仿宋繁体">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３５</w:t>
    </w:r>
    <w:r>
      <w:rPr>
        <w:rFonts w:ascii="宋体" w:hAnsi="宋体"/>
      </w:rPr>
      <w:fldChar w:fldCharType="end"/>
    </w:r>
    <w:r>
      <w:rPr>
        <w:rStyle w:val="959"/>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2"/>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abstractNum w:abstractNumId="5">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abstractNum w:abstractNumId="6">
    <w:multiLevelType w:val="hybridMultilevel"/>
    <w:lvl w:ilvl="0">
      <w:start w:val="1"/>
      <w:numFmt w:val="decimal"/>
      <w:pStyle w:val="989"/>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abstractNum w:abstractNumId="8">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abstractNum w:abstractNumId="9">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abstractNum w:abstractNumId="10">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11">
    <w:multiLevelType w:val="hybridMultilevel"/>
    <w:lvl w:ilvl="0">
      <w:start w:val="1"/>
      <w:numFmt w:val="decimal"/>
      <w:isLgl w:val="false"/>
      <w:suff w:val="tab"/>
      <w:lvlText w:val="%1)"/>
      <w:lvlJc w:val="left"/>
      <w:pPr>
        <w:pStyle w:val="885"/>
        <w:ind w:left="440" w:hanging="440"/>
      </w:pPr>
    </w:lvl>
    <w:lvl w:ilvl="1">
      <w:start w:val="1"/>
      <w:numFmt w:val="lowerLetter"/>
      <w:isLgl w:val="false"/>
      <w:suff w:val="tab"/>
      <w:lvlText w:val="%2)"/>
      <w:lvlJc w:val="left"/>
      <w:pPr>
        <w:pStyle w:val="885"/>
        <w:ind w:left="880" w:hanging="440"/>
      </w:pPr>
    </w:lvl>
    <w:lvl w:ilvl="2">
      <w:start w:val="1"/>
      <w:numFmt w:val="lowerRoman"/>
      <w:isLgl w:val="false"/>
      <w:suff w:val="tab"/>
      <w:lvlText w:val="%3."/>
      <w:lvlJc w:val="right"/>
      <w:pPr>
        <w:pStyle w:val="885"/>
        <w:ind w:left="1320" w:hanging="440"/>
      </w:pPr>
    </w:lvl>
    <w:lvl w:ilvl="3">
      <w:start w:val="1"/>
      <w:numFmt w:val="decimal"/>
      <w:isLgl w:val="false"/>
      <w:suff w:val="tab"/>
      <w:lvlText w:val="%4."/>
      <w:lvlJc w:val="left"/>
      <w:pPr>
        <w:pStyle w:val="885"/>
        <w:ind w:left="1760" w:hanging="440"/>
      </w:pPr>
    </w:lvl>
    <w:lvl w:ilvl="4">
      <w:start w:val="1"/>
      <w:numFmt w:val="lowerLetter"/>
      <w:isLgl w:val="false"/>
      <w:suff w:val="tab"/>
      <w:lvlText w:val="%5)"/>
      <w:lvlJc w:val="left"/>
      <w:pPr>
        <w:pStyle w:val="885"/>
        <w:ind w:left="2200" w:hanging="440"/>
      </w:pPr>
    </w:lvl>
    <w:lvl w:ilvl="5">
      <w:start w:val="1"/>
      <w:numFmt w:val="lowerRoman"/>
      <w:isLgl w:val="false"/>
      <w:suff w:val="tab"/>
      <w:lvlText w:val="%6."/>
      <w:lvlJc w:val="right"/>
      <w:pPr>
        <w:pStyle w:val="885"/>
        <w:ind w:left="2640" w:hanging="440"/>
      </w:pPr>
    </w:lvl>
    <w:lvl w:ilvl="6">
      <w:start w:val="1"/>
      <w:numFmt w:val="decimal"/>
      <w:isLgl w:val="false"/>
      <w:suff w:val="tab"/>
      <w:lvlText w:val="%7."/>
      <w:lvlJc w:val="left"/>
      <w:pPr>
        <w:pStyle w:val="885"/>
        <w:ind w:left="3080" w:hanging="440"/>
      </w:pPr>
    </w:lvl>
    <w:lvl w:ilvl="7">
      <w:start w:val="1"/>
      <w:numFmt w:val="lowerLetter"/>
      <w:isLgl w:val="false"/>
      <w:suff w:val="tab"/>
      <w:lvlText w:val="%8)"/>
      <w:lvlJc w:val="left"/>
      <w:pPr>
        <w:pStyle w:val="885"/>
        <w:ind w:left="3520" w:hanging="440"/>
      </w:pPr>
    </w:lvl>
    <w:lvl w:ilvl="8">
      <w:start w:val="1"/>
      <w:numFmt w:val="lowerRoman"/>
      <w:isLgl w:val="false"/>
      <w:suff w:val="tab"/>
      <w:lvlText w:val="%9."/>
      <w:lvlJc w:val="right"/>
      <w:pPr>
        <w:pStyle w:val="885"/>
        <w:ind w:left="3960" w:hanging="440"/>
      </w:pPr>
    </w:lvl>
  </w:abstractNum>
  <w:num w:numId="1">
    <w:abstractNumId w:val="10"/>
  </w:num>
  <w:num w:numId="2">
    <w:abstractNumId w:val="2"/>
  </w:num>
  <w:num w:numId="3">
    <w:abstractNumId w:val="6"/>
  </w:num>
  <w:num w:numId="4">
    <w:abstractNumId w:val="0"/>
  </w:num>
  <w:num w:numId="5">
    <w:abstractNumId w:val="3"/>
  </w:num>
  <w:num w:numId="6">
    <w:abstractNumId w:val="11"/>
  </w:num>
  <w:num w:numId="7">
    <w:abstractNumId w:val="9"/>
  </w:num>
  <w:num w:numId="8">
    <w:abstractNumId w:val="8"/>
  </w:num>
  <w:num w:numId="9">
    <w:abstractNumId w:val="5"/>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7"/>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902"/>
    <w:qFormat/>
    <w:pPr>
      <w:jc w:val="center"/>
      <w:keepNext/>
      <w:outlineLvl w:val="0"/>
    </w:pPr>
    <w:rPr>
      <w:rFonts w:ascii="楷体_GB2312" w:eastAsia="楷体_GB2312"/>
      <w:sz w:val="28"/>
      <w:szCs w:val="28"/>
    </w:rPr>
  </w:style>
  <w:style w:type="paragraph" w:styleId="887">
    <w:name w:val="标题 2"/>
    <w:basedOn w:val="885"/>
    <w:next w:val="904"/>
    <w:link w:val="903"/>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904"/>
    <w:link w:val="906"/>
    <w:qFormat/>
    <w:pPr>
      <w:keepLines/>
      <w:keepNext/>
      <w:spacing w:before="260" w:after="260" w:line="416" w:lineRule="auto"/>
      <w:outlineLvl w:val="2"/>
    </w:pPr>
    <w:rPr>
      <w:b/>
      <w:bCs/>
      <w:sz w:val="32"/>
      <w:szCs w:val="32"/>
    </w:rPr>
  </w:style>
  <w:style w:type="paragraph" w:styleId="889">
    <w:name w:val="标题 4"/>
    <w:basedOn w:val="885"/>
    <w:next w:val="904"/>
    <w:link w:val="907"/>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4"/>
    <w:link w:val="908"/>
    <w:qFormat/>
    <w:pPr>
      <w:keepNext/>
      <w:outlineLvl w:val="4"/>
    </w:pPr>
    <w:rPr>
      <w:rFonts w:ascii="宋体"/>
      <w:color w:val="000000"/>
      <w:sz w:val="28"/>
      <w:szCs w:val="28"/>
    </w:rPr>
  </w:style>
  <w:style w:type="paragraph" w:styleId="891">
    <w:name w:val="标题 6"/>
    <w:basedOn w:val="885"/>
    <w:next w:val="885"/>
    <w:link w:val="9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10"/>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12"/>
    <w:qFormat/>
    <w:pPr>
      <w:numPr>
        <w:ilvl w:val="8"/>
        <w:numId w:val="1"/>
      </w:numPr>
      <w:keepLines/>
      <w:keepNext/>
      <w:spacing w:before="240" w:after="64" w:line="320" w:lineRule="auto"/>
      <w:outlineLvl w:val="8"/>
    </w:pPr>
    <w:rPr>
      <w:rFonts w:ascii="Arial" w:hAnsi="Arial" w:eastAsia="黑体"/>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paragraph" w:styleId="897">
    <w:name w:val="正文首行缩进 2"/>
    <w:basedOn w:val="898"/>
    <w:next w:val="885"/>
    <w:link w:val="901"/>
    <w:pPr>
      <w:ind w:firstLine="420"/>
      <w:spacing w:line="360" w:lineRule="auto"/>
    </w:pPr>
    <w:rPr>
      <w:rFonts w:ascii="宋体" w:hAnsi="宋体" w:eastAsia="宋体"/>
      <w:sz w:val="21"/>
      <w:szCs w:val="20"/>
    </w:rPr>
  </w:style>
  <w:style w:type="paragraph" w:styleId="898">
    <w:name w:val="正文文本缩进"/>
    <w:basedOn w:val="885"/>
    <w:next w:val="900"/>
    <w:link w:val="899"/>
    <w:pPr>
      <w:ind w:firstLine="645"/>
    </w:pPr>
    <w:rPr>
      <w:rFonts w:ascii="楷体_GB2312" w:eastAsia="楷体_GB2312"/>
      <w:sz w:val="32"/>
      <w:szCs w:val="32"/>
    </w:rPr>
  </w:style>
  <w:style w:type="character" w:styleId="899">
    <w:name w:val="正文文本缩进 Char"/>
    <w:next w:val="899"/>
    <w:link w:val="898"/>
    <w:rPr>
      <w:rFonts w:ascii="楷体_GB2312" w:hAnsi="Times New Roman" w:eastAsia="楷体_GB2312" w:cs="Times New Roman"/>
      <w:sz w:val="32"/>
      <w:szCs w:val="32"/>
    </w:rPr>
  </w:style>
  <w:style w:type="paragraph" w:styleId="900">
    <w:name w:val="寄信人地址"/>
    <w:basedOn w:val="885"/>
    <w:next w:val="900"/>
    <w:link w:val="885"/>
    <w:qFormat/>
    <w:rPr>
      <w:rFonts w:ascii="Arial" w:hAnsi="Arial" w:eastAsia="宋体" w:cs="宋体"/>
    </w:rPr>
  </w:style>
  <w:style w:type="character" w:styleId="901">
    <w:name w:val="正文首行缩进 2 Char"/>
    <w:next w:val="901"/>
    <w:link w:val="897"/>
    <w:rPr>
      <w:rFonts w:ascii="宋体" w:hAnsi="宋体" w:eastAsia="宋体" w:cs="Times New Roman"/>
      <w:sz w:val="32"/>
      <w:szCs w:val="20"/>
    </w:rPr>
  </w:style>
  <w:style w:type="character" w:styleId="902">
    <w:name w:val="标题 1 Char"/>
    <w:next w:val="902"/>
    <w:link w:val="886"/>
    <w:rPr>
      <w:rFonts w:ascii="楷体_GB2312" w:hAnsi="Times New Roman" w:eastAsia="楷体_GB2312" w:cs="Times New Roman"/>
      <w:sz w:val="28"/>
      <w:szCs w:val="28"/>
    </w:rPr>
  </w:style>
  <w:style w:type="character" w:styleId="903">
    <w:name w:val="标题 2 Char"/>
    <w:next w:val="903"/>
    <w:link w:val="887"/>
    <w:rPr>
      <w:rFonts w:ascii="Arial" w:hAnsi="Arial" w:eastAsia="幼圆" w:cs="Arial"/>
      <w:b/>
      <w:bCs/>
      <w:sz w:val="44"/>
      <w:szCs w:val="44"/>
    </w:rPr>
  </w:style>
  <w:style w:type="paragraph" w:styleId="904">
    <w:name w:val="正文缩进"/>
    <w:basedOn w:val="885"/>
    <w:next w:val="904"/>
    <w:link w:val="905"/>
    <w:pPr>
      <w:ind w:firstLine="420"/>
    </w:pPr>
  </w:style>
  <w:style w:type="character" w:styleId="905">
    <w:name w:val="正文缩进 Char"/>
    <w:next w:val="905"/>
    <w:link w:val="904"/>
    <w:rPr>
      <w:rFonts w:ascii="Times New Roman" w:hAnsi="Times New Roman" w:eastAsia="宋体" w:cs="Times New Roman"/>
      <w:szCs w:val="21"/>
    </w:rPr>
  </w:style>
  <w:style w:type="character" w:styleId="906">
    <w:name w:val="标题 3 Char"/>
    <w:next w:val="906"/>
    <w:link w:val="888"/>
    <w:rPr>
      <w:rFonts w:ascii="Times New Roman" w:hAnsi="Times New Roman" w:eastAsia="宋体" w:cs="Times New Roman"/>
      <w:b/>
      <w:bCs/>
      <w:sz w:val="32"/>
      <w:szCs w:val="32"/>
    </w:rPr>
  </w:style>
  <w:style w:type="character" w:styleId="907">
    <w:name w:val="标题 4 Char"/>
    <w:next w:val="907"/>
    <w:link w:val="889"/>
    <w:rPr>
      <w:rFonts w:ascii="Arial" w:hAnsi="Arial" w:eastAsia="黑体" w:cs="Arial"/>
      <w:b/>
      <w:bCs/>
      <w:sz w:val="28"/>
      <w:szCs w:val="28"/>
    </w:rPr>
  </w:style>
  <w:style w:type="character" w:styleId="908">
    <w:name w:val="标题 5 Char"/>
    <w:next w:val="908"/>
    <w:link w:val="890"/>
    <w:rPr>
      <w:rFonts w:ascii="宋体" w:hAnsi="Times New Roman" w:eastAsia="宋体" w:cs="Times New Roman"/>
      <w:color w:val="000000"/>
      <w:sz w:val="28"/>
      <w:szCs w:val="28"/>
    </w:rPr>
  </w:style>
  <w:style w:type="character" w:styleId="909">
    <w:name w:val="标题 6 Char"/>
    <w:next w:val="909"/>
    <w:link w:val="891"/>
    <w:rPr>
      <w:rFonts w:ascii="Arial" w:hAnsi="Arial" w:eastAsia="黑体" w:cs="Times New Roman"/>
      <w:b/>
      <w:bCs/>
      <w:sz w:val="24"/>
      <w:szCs w:val="24"/>
    </w:rPr>
  </w:style>
  <w:style w:type="character" w:styleId="910">
    <w:name w:val="标题 7 Char"/>
    <w:next w:val="910"/>
    <w:link w:val="892"/>
    <w:rPr>
      <w:rFonts w:ascii="Times New Roman" w:hAnsi="Times New Roman" w:eastAsia="宋体" w:cs="Times New Roman"/>
      <w:b/>
      <w:bCs/>
      <w:sz w:val="24"/>
      <w:szCs w:val="24"/>
    </w:rPr>
  </w:style>
  <w:style w:type="character" w:styleId="911">
    <w:name w:val="标题 8 Char"/>
    <w:next w:val="911"/>
    <w:link w:val="893"/>
    <w:rPr>
      <w:rFonts w:ascii="Arial" w:hAnsi="Arial" w:eastAsia="黑体" w:cs="Times New Roman"/>
      <w:sz w:val="24"/>
      <w:szCs w:val="24"/>
    </w:rPr>
  </w:style>
  <w:style w:type="character" w:styleId="912">
    <w:name w:val="标题 9 Char"/>
    <w:next w:val="912"/>
    <w:link w:val="894"/>
    <w:rPr>
      <w:rFonts w:ascii="Arial" w:hAnsi="Arial" w:eastAsia="黑体" w:cs="Times New Roman"/>
      <w:szCs w:val="21"/>
    </w:rPr>
  </w:style>
  <w:style w:type="paragraph" w:styleId="913">
    <w:name w:val="列表 3"/>
    <w:basedOn w:val="885"/>
    <w:next w:val="913"/>
    <w:link w:val="885"/>
    <w:pPr>
      <w:ind w:left="100" w:hanging="200"/>
    </w:pPr>
  </w:style>
  <w:style w:type="paragraph" w:styleId="914">
    <w:name w:val="目录 7"/>
    <w:basedOn w:val="885"/>
    <w:next w:val="885"/>
    <w:link w:val="885"/>
    <w:semiHidden/>
    <w:pPr>
      <w:ind w:left="1260"/>
      <w:jc w:val="left"/>
    </w:pPr>
  </w:style>
  <w:style w:type="paragraph" w:styleId="915">
    <w:name w:val="文档结构图"/>
    <w:basedOn w:val="885"/>
    <w:next w:val="915"/>
    <w:link w:val="916"/>
    <w:semiHidden/>
    <w:pPr>
      <w:shd w:val="clear" w:color="auto" w:fill="000080"/>
    </w:p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引文目录标题"/>
    <w:basedOn w:val="885"/>
    <w:next w:val="885"/>
    <w:link w:val="885"/>
    <w:uiPriority w:val="99"/>
    <w:unhideWhenUsed/>
    <w:qFormat/>
    <w:pPr>
      <w:spacing w:before="120"/>
    </w:pPr>
    <w:rPr>
      <w:rFonts w:ascii="Cambria" w:hAnsi="Cambria"/>
      <w:sz w:val="24"/>
    </w:rPr>
  </w:style>
  <w:style w:type="paragraph" w:styleId="918">
    <w:name w:val="批注文字"/>
    <w:basedOn w:val="885"/>
    <w:next w:val="918"/>
    <w:link w:val="919"/>
    <w:semiHidden/>
    <w:pPr>
      <w:jc w:val="left"/>
    </w:p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85"/>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85"/>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列表 2"/>
    <w:basedOn w:val="885"/>
    <w:next w:val="924"/>
    <w:link w:val="885"/>
    <w:pPr>
      <w:ind w:left="100" w:hanging="200"/>
    </w:pPr>
  </w:style>
  <w:style w:type="paragraph" w:styleId="925">
    <w:name w:val="目录 5"/>
    <w:basedOn w:val="885"/>
    <w:next w:val="885"/>
    <w:link w:val="885"/>
    <w:semiHidden/>
    <w:pPr>
      <w:ind w:left="840"/>
      <w:jc w:val="left"/>
    </w:pPr>
  </w:style>
  <w:style w:type="paragraph" w:styleId="926">
    <w:name w:val="目录 3"/>
    <w:basedOn w:val="885"/>
    <w:next w:val="885"/>
    <w:link w:val="885"/>
    <w:semiHidden/>
    <w:pPr>
      <w:ind w:left="420"/>
      <w:jc w:val="left"/>
    </w:pPr>
    <w:rPr>
      <w:i/>
      <w:iCs/>
      <w:szCs w:val="24"/>
    </w:rPr>
  </w:style>
  <w:style w:type="paragraph" w:styleId="927">
    <w:name w:val="纯文本"/>
    <w:basedOn w:val="885"/>
    <w:next w:val="927"/>
    <w:link w:val="928"/>
    <w:rPr>
      <w:rFonts w:ascii="宋体" w:hAnsi="Courier New" w:cs="Courier New"/>
    </w:rPr>
  </w:style>
  <w:style w:type="character" w:styleId="928">
    <w:name w:val="纯文本 Char"/>
    <w:next w:val="928"/>
    <w:link w:val="927"/>
    <w:rPr>
      <w:rFonts w:ascii="宋体" w:hAnsi="Courier New" w:eastAsia="宋体" w:cs="Courier New"/>
      <w:szCs w:val="21"/>
    </w:rPr>
  </w:style>
  <w:style w:type="paragraph" w:styleId="929">
    <w:name w:val="目录 8"/>
    <w:basedOn w:val="885"/>
    <w:next w:val="885"/>
    <w:link w:val="885"/>
    <w:semiHidden/>
    <w:pPr>
      <w:ind w:left="1470"/>
      <w:jc w:val="left"/>
    </w:pPr>
  </w:style>
  <w:style w:type="paragraph" w:styleId="930">
    <w:name w:val="日期"/>
    <w:basedOn w:val="885"/>
    <w:next w:val="885"/>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5"/>
    <w:next w:val="932"/>
    <w:link w:val="933"/>
    <w:pPr>
      <w:ind w:left="630" w:firstLine="645"/>
    </w:pPr>
    <w:rPr>
      <w:rFonts w:ascii="Arial" w:hAnsi="Arial" w:eastAsia="仿宋_GB2312" w:cs="Arial"/>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5"/>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5"/>
    <w:next w:val="936"/>
    <w:link w:val="937"/>
    <w:pPr>
      <w:jc w:val="left"/>
      <w:tabs>
        <w:tab w:val="center" w:pos="4153" w:leader="none"/>
        <w:tab w:val="right" w:pos="8306" w:leader="none"/>
      </w:tabs>
    </w:pPr>
    <w:rPr>
      <w:sz w:val="18"/>
      <w:szCs w:val="18"/>
    </w:rPr>
  </w:style>
  <w:style w:type="character" w:styleId="937">
    <w:name w:val="页脚 Char"/>
    <w:next w:val="937"/>
    <w:link w:val="936"/>
    <w:rPr>
      <w:rFonts w:ascii="Times New Roman" w:hAnsi="Times New Roman" w:eastAsia="宋体" w:cs="Times New Roman"/>
      <w:sz w:val="18"/>
      <w:szCs w:val="18"/>
    </w:rPr>
  </w:style>
  <w:style w:type="paragraph" w:styleId="938">
    <w:name w:val="页眉"/>
    <w:basedOn w:val="885"/>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rPr>
      <w:rFonts w:ascii="Times New Roman" w:hAnsi="Times New Roman" w:eastAsia="宋体" w:cs="Times New Roman"/>
      <w:sz w:val="18"/>
      <w:szCs w:val="18"/>
    </w:rPr>
  </w:style>
  <w:style w:type="paragraph" w:styleId="940">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5"/>
    <w:next w:val="885"/>
    <w:link w:val="885"/>
    <w:semiHidden/>
    <w:pPr>
      <w:ind w:left="630"/>
      <w:jc w:val="left"/>
    </w:pPr>
  </w:style>
  <w:style w:type="paragraph" w:styleId="942">
    <w:name w:val="列表"/>
    <w:basedOn w:val="885"/>
    <w:next w:val="942"/>
    <w:link w:val="885"/>
    <w:pPr>
      <w:ind w:left="200" w:hanging="200"/>
    </w:pPr>
  </w:style>
  <w:style w:type="paragraph" w:styleId="943">
    <w:name w:val="目录 6"/>
    <w:basedOn w:val="885"/>
    <w:next w:val="885"/>
    <w:link w:val="885"/>
    <w:semiHidden/>
    <w:pPr>
      <w:ind w:left="1050"/>
      <w:jc w:val="left"/>
    </w:pPr>
  </w:style>
  <w:style w:type="paragraph" w:styleId="944">
    <w:name w:val="正文文本缩进 3"/>
    <w:basedOn w:val="885"/>
    <w:next w:val="944"/>
    <w:link w:val="945"/>
    <w:pPr>
      <w:ind w:left="645" w:firstLine="645"/>
    </w:pPr>
    <w:rPr>
      <w:rFonts w:ascii="Arial" w:hAnsi="Arial" w:eastAsia="仿宋_GB2312" w:cs="Arial"/>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5"/>
    <w:next w:val="885"/>
    <w:link w:val="885"/>
    <w:semiHidden/>
    <w:pPr>
      <w:ind w:left="840" w:hanging="420"/>
    </w:pPr>
  </w:style>
  <w:style w:type="paragraph" w:styleId="947">
    <w:name w:val="目录 2"/>
    <w:basedOn w:val="885"/>
    <w:next w:val="885"/>
    <w:link w:val="885"/>
    <w:semiHidden/>
    <w:pPr>
      <w:ind w:left="210"/>
      <w:jc w:val="left"/>
    </w:pPr>
    <w:rPr>
      <w:smallCaps/>
      <w:szCs w:val="24"/>
    </w:rPr>
  </w:style>
  <w:style w:type="paragraph" w:styleId="948">
    <w:name w:val="目录 9"/>
    <w:basedOn w:val="885"/>
    <w:next w:val="885"/>
    <w:link w:val="885"/>
    <w:semiHidden/>
    <w:pPr>
      <w:ind w:left="1680"/>
      <w:jc w:val="left"/>
    </w:pPr>
  </w:style>
  <w:style w:type="paragraph" w:styleId="949">
    <w:name w:val="正文文本 2"/>
    <w:basedOn w:val="885"/>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普通(网站)"/>
    <w:basedOn w:val="885"/>
    <w:next w:val="951"/>
    <w:link w:val="885"/>
    <w:uiPriority w:val="99"/>
    <w:pPr>
      <w:jc w:val="left"/>
      <w:spacing w:before="100" w:beforeAutospacing="1" w:after="100" w:afterAutospacing="1"/>
      <w:widowControl/>
    </w:pPr>
    <w:rPr>
      <w:rFonts w:ascii="宋体" w:hAnsi="宋体" w:cs="宋体"/>
      <w:sz w:val="24"/>
      <w:szCs w:val="24"/>
    </w:rPr>
  </w:style>
  <w:style w:type="paragraph" w:styleId="952">
    <w:name w:val="索引 1"/>
    <w:basedOn w:val="885"/>
    <w:next w:val="885"/>
    <w:link w:val="885"/>
    <w:semiHidden/>
    <w:pPr>
      <w:spacing w:line="240" w:lineRule="atLeast"/>
    </w:pPr>
    <w:rPr>
      <w:b/>
      <w:bCs/>
    </w:rPr>
  </w:style>
  <w:style w:type="paragraph" w:styleId="953">
    <w:name w:val="批注主题"/>
    <w:basedOn w:val="918"/>
    <w:next w:val="918"/>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w:basedOn w:val="885"/>
    <w:next w:val="955"/>
    <w:link w:val="956"/>
    <w:pPr>
      <w:ind w:firstLine="200"/>
      <w:spacing w:line="360" w:lineRule="auto"/>
    </w:pPr>
    <w:rPr>
      <w:rFonts w:ascii="仿宋_GB2312" w:eastAsia="仿宋_GB2312"/>
      <w:sz w:val="30"/>
      <w:szCs w:val="30"/>
    </w:rPr>
  </w:style>
  <w:style w:type="character" w:styleId="956">
    <w:name w:val="正文首行缩进 Char"/>
    <w:next w:val="956"/>
    <w:link w:val="955"/>
    <w:rPr>
      <w:rFonts w:ascii="仿宋_GB2312" w:hAnsi="Times New Roman" w:eastAsia="仿宋_GB2312" w:cs="Times New Roman"/>
      <w:sz w:val="30"/>
      <w:szCs w:val="3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已访问的超链接"/>
    <w:next w:val="960"/>
    <w:link w:val="885"/>
    <w:rPr>
      <w:color w:val="800080"/>
      <w:u w:val="single"/>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paragraph" w:styleId="963">
    <w:name w:val="索引 41"/>
    <w:basedOn w:val="885"/>
    <w:next w:val="885"/>
    <w:link w:val="885"/>
    <w:semiHidden/>
    <w:qFormat/>
    <w:pPr>
      <w:ind w:left="1260"/>
    </w:pPr>
    <w:rPr>
      <w:rFonts w:ascii="Calibri" w:hAnsi="Calibri" w:eastAsia="Calibri" w:cs="宋体"/>
      <w:sz w:val="20"/>
      <w:lang w:val="zh-CN"/>
    </w:rPr>
  </w:style>
  <w:style w:type="paragraph" w:styleId="964">
    <w:name w:val="正文首行缩进 21"/>
    <w:basedOn w:val="965"/>
    <w:next w:val="885"/>
    <w:link w:val="885"/>
    <w:qFormat/>
    <w:pPr>
      <w:ind w:firstLine="420"/>
      <w:spacing w:line="360" w:lineRule="auto"/>
    </w:pPr>
    <w:rPr>
      <w:rFonts w:ascii="宋体" w:hAnsi="宋体" w:eastAsia="宋体"/>
      <w:sz w:val="21"/>
      <w:szCs w:val="20"/>
    </w:rPr>
  </w:style>
  <w:style w:type="paragraph" w:styleId="965">
    <w:name w:val="正文文本缩进11"/>
    <w:basedOn w:val="885"/>
    <w:next w:val="966"/>
    <w:link w:val="885"/>
    <w:qFormat/>
    <w:pPr>
      <w:ind w:firstLine="645"/>
    </w:pPr>
    <w:rPr>
      <w:rFonts w:ascii="楷体_GB2312" w:eastAsia="楷体_GB2312"/>
      <w:sz w:val="32"/>
      <w:szCs w:val="32"/>
    </w:rPr>
  </w:style>
  <w:style w:type="paragraph" w:styleId="966">
    <w:name w:val="寄信人地址1"/>
    <w:basedOn w:val="885"/>
    <w:next w:val="966"/>
    <w:link w:val="885"/>
    <w:qFormat/>
    <w:rPr>
      <w:rFonts w:ascii="Arial" w:hAnsi="Arial" w:eastAsia="宋体" w:cs="宋体"/>
    </w:rPr>
  </w:style>
  <w:style w:type="paragraph" w:styleId="967">
    <w:name w:val="标题 41"/>
    <w:basedOn w:val="885"/>
    <w:next w:val="968"/>
    <w:link w:val="885"/>
    <w:qFormat/>
    <w:pPr>
      <w:keepLines/>
      <w:keepNext/>
      <w:spacing w:before="280" w:after="290" w:line="376" w:lineRule="auto"/>
      <w:outlineLvl w:val="3"/>
    </w:pPr>
    <w:rPr>
      <w:rFonts w:ascii="Arial" w:hAnsi="Arial" w:eastAsia="黑体" w:cs="Arial"/>
      <w:b/>
      <w:bCs/>
      <w:sz w:val="28"/>
      <w:szCs w:val="28"/>
    </w:rPr>
  </w:style>
  <w:style w:type="paragraph" w:styleId="968">
    <w:name w:val="正文缩进1"/>
    <w:basedOn w:val="885"/>
    <w:next w:val="968"/>
    <w:link w:val="885"/>
    <w:qFormat/>
    <w:pPr>
      <w:ind w:firstLine="420"/>
    </w:pPr>
  </w:style>
  <w:style w:type="paragraph" w:styleId="969">
    <w:name w:val="正文文本12"/>
    <w:basedOn w:val="885"/>
    <w:next w:val="969"/>
    <w:link w:val="885"/>
    <w:uiPriority w:val="1"/>
    <w:qFormat/>
    <w:pPr>
      <w:ind w:left="120"/>
    </w:pPr>
    <w:rPr>
      <w:rFonts w:ascii="宋体" w:hAnsi="宋体" w:eastAsia="宋体" w:cs="宋体"/>
      <w:sz w:val="21"/>
      <w:szCs w:val="21"/>
      <w:lang w:val="zh-CN" w:eastAsia="zh-CN" w:bidi="zh-CN"/>
    </w:rPr>
  </w:style>
  <w:style w:type="character" w:styleId="970">
    <w:name w:val="font5 Char"/>
    <w:next w:val="970"/>
    <w:link w:val="885"/>
    <w:rPr>
      <w:rFonts w:ascii="宋体" w:hAnsi="宋体" w:eastAsia="宋体"/>
      <w:sz w:val="28"/>
      <w:szCs w:val="28"/>
      <w:lang w:val="en-US" w:eastAsia="zh-CN" w:bidi="ar-SA"/>
    </w:rPr>
  </w:style>
  <w:style w:type="character" w:styleId="971">
    <w:name w:val="二级目录 Char"/>
    <w:next w:val="971"/>
    <w:link w:val="972"/>
    <w:rPr>
      <w:b/>
      <w:sz w:val="30"/>
      <w:szCs w:val="28"/>
    </w:rPr>
  </w:style>
  <w:style w:type="paragraph" w:styleId="972">
    <w:name w:val="二级目录"/>
    <w:next w:val="885"/>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85"/>
    <w:next w:val="974"/>
    <w:link w:val="973"/>
    <w:qFormat/>
    <w:pPr>
      <w:contextualSpacing/>
      <w:ind w:left="720"/>
      <w:jc w:val="left"/>
      <w:widowControl/>
    </w:pPr>
    <w:rPr>
      <w:rFonts w:ascii="Calibri" w:hAnsi="Calibri" w:eastAsia="宋体" w:cs="Times New Roman"/>
      <w:sz w:val="24"/>
      <w:szCs w:val="24"/>
      <w:lang w:eastAsia="en-US" w:bidi="en-US"/>
    </w:rPr>
  </w:style>
  <w:style w:type="paragraph" w:styleId="975">
    <w:name w:val="Body Text(ch)"/>
    <w:basedOn w:val="885"/>
    <w:next w:val="922"/>
    <w:link w:val="885"/>
    <w:pPr>
      <w:spacing w:after="120"/>
    </w:pPr>
    <w:rPr>
      <w:rFonts w:ascii="宋体" w:hAnsi="Arial"/>
      <w:bCs/>
      <w:iCs/>
      <w:szCs w:val="24"/>
    </w:rPr>
  </w:style>
  <w:style w:type="paragraph" w:styleId="976">
    <w:name w:val="xl27"/>
    <w:basedOn w:val="885"/>
    <w:next w:val="976"/>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85"/>
    <w:next w:val="977"/>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85"/>
    <w:next w:val="978"/>
    <w:link w:val="885"/>
    <w:pPr>
      <w:ind w:firstLine="200"/>
      <w:tabs>
        <w:tab w:val="left" w:pos="360" w:leader="none"/>
      </w:tabs>
    </w:pPr>
    <w:rPr>
      <w:sz w:val="28"/>
      <w:szCs w:val="30"/>
    </w:rPr>
  </w:style>
  <w:style w:type="paragraph" w:styleId="979">
    <w:name w:val=" Char"/>
    <w:basedOn w:val="915"/>
    <w:next w:val="979"/>
    <w:link w:val="885"/>
    <w:rPr>
      <w:rFonts w:ascii="Tahoma" w:hAnsi="Tahoma"/>
      <w:sz w:val="24"/>
      <w:szCs w:val="24"/>
    </w:rPr>
  </w:style>
  <w:style w:type="paragraph" w:styleId="980">
    <w:name w:val="普通正文"/>
    <w:basedOn w:val="885"/>
    <w:next w:val="980"/>
    <w:link w:val="885"/>
    <w:pPr>
      <w:ind w:firstLine="480"/>
      <w:jc w:val="left"/>
      <w:spacing w:before="120" w:after="120" w:line="360" w:lineRule="auto"/>
    </w:pPr>
    <w:rPr>
      <w:rFonts w:ascii="Arial" w:hAnsi="Arial"/>
      <w:sz w:val="24"/>
      <w:szCs w:val="24"/>
    </w:rPr>
  </w:style>
  <w:style w:type="paragraph" w:styleId="981">
    <w:name w:val="table_lines"/>
    <w:basedOn w:val="885"/>
    <w:next w:val="981"/>
    <w:link w:val="885"/>
    <w:pPr>
      <w:jc w:val="left"/>
      <w:widowControl/>
    </w:pPr>
    <w:rPr>
      <w:sz w:val="20"/>
      <w:szCs w:val="20"/>
      <w:lang w:val="de-DE" w:eastAsia="de-DE"/>
    </w:rPr>
  </w:style>
  <w:style w:type="paragraph" w:styleId="982">
    <w:name w:val="附录1"/>
    <w:next w:val="982"/>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85"/>
    <w:next w:val="983"/>
    <w:link w:val="885"/>
    <w:pPr>
      <w:jc w:val="left"/>
      <w:spacing w:before="100" w:beforeAutospacing="1" w:after="100" w:afterAutospacing="1"/>
      <w:widowControl/>
    </w:pPr>
    <w:rPr>
      <w:rFonts w:hint="eastAsia" w:ascii="宋体" w:hAnsi="宋体"/>
      <w:sz w:val="18"/>
      <w:szCs w:val="18"/>
    </w:rPr>
  </w:style>
  <w:style w:type="paragraph" w:styleId="984">
    <w:name w:val=" Char Char Char Char"/>
    <w:basedOn w:val="915"/>
    <w:next w:val="984"/>
    <w:link w:val="885"/>
    <w:pPr>
      <w:spacing w:line="360" w:lineRule="auto"/>
    </w:pPr>
    <w:rPr>
      <w:rFonts w:ascii="Tahoma" w:hAnsi="Tahoma"/>
      <w:sz w:val="24"/>
      <w:szCs w:val="24"/>
    </w:rPr>
  </w:style>
  <w:style w:type="paragraph" w:styleId="985">
    <w:name w:val="列出段落"/>
    <w:basedOn w:val="885"/>
    <w:next w:val="985"/>
    <w:link w:val="885"/>
    <w:qFormat/>
    <w:pPr>
      <w:contextualSpacing/>
      <w:ind w:left="720"/>
      <w:jc w:val="left"/>
      <w:widowControl/>
    </w:pPr>
    <w:rPr>
      <w:rFonts w:ascii="Calibri" w:hAnsi="Calibri"/>
      <w:sz w:val="24"/>
      <w:szCs w:val="24"/>
      <w:lang w:eastAsia="en-US" w:bidi="en-US"/>
    </w:rPr>
  </w:style>
  <w:style w:type="paragraph" w:styleId="986">
    <w:name w:val="4"/>
    <w:basedOn w:val="885"/>
    <w:next w:val="944"/>
    <w:link w:val="885"/>
    <w:pPr>
      <w:ind w:firstLine="420"/>
      <w:spacing w:line="360" w:lineRule="auto"/>
    </w:pPr>
    <w:rPr>
      <w:color w:val="ff0000"/>
      <w:sz w:val="24"/>
      <w:szCs w:val="24"/>
    </w:rPr>
  </w:style>
  <w:style w:type="paragraph" w:styleId="987">
    <w:name w:val="普通 (Web)"/>
    <w:basedOn w:val="885"/>
    <w:next w:val="987"/>
    <w:link w:val="885"/>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85"/>
    <w:next w:val="988"/>
    <w:link w:val="885"/>
    <w:pPr>
      <w:spacing w:line="360" w:lineRule="auto"/>
    </w:pPr>
    <w:rPr>
      <w:sz w:val="24"/>
      <w:szCs w:val="20"/>
    </w:rPr>
  </w:style>
  <w:style w:type="paragraph" w:styleId="989">
    <w:name w:val="样式1"/>
    <w:basedOn w:val="885"/>
    <w:next w:val="989"/>
    <w:link w:val="885"/>
    <w:pPr>
      <w:numPr>
        <w:ilvl w:val="0"/>
        <w:numId w:val="3"/>
      </w:numPr>
      <w:tabs>
        <w:tab w:val="left" w:pos="709" w:leader="none"/>
      </w:tabs>
    </w:pPr>
    <w:rPr>
      <w:rFonts w:ascii="宋体" w:hAnsi="宋体"/>
    </w:rPr>
  </w:style>
  <w:style w:type="paragraph" w:styleId="990">
    <w:name w:val="font6"/>
    <w:basedOn w:val="885"/>
    <w:next w:val="990"/>
    <w:link w:val="885"/>
    <w:pPr>
      <w:jc w:val="left"/>
      <w:spacing w:before="100" w:beforeAutospacing="1" w:after="100" w:afterAutospacing="1"/>
      <w:widowControl/>
    </w:pPr>
    <w:rPr>
      <w:rFonts w:hint="eastAsia" w:ascii="宋体" w:hAnsi="宋体"/>
      <w:sz w:val="28"/>
      <w:szCs w:val="28"/>
      <w:u w:val="single"/>
    </w:rPr>
  </w:style>
  <w:style w:type="paragraph" w:styleId="991">
    <w:name w:val="xl25"/>
    <w:basedOn w:val="885"/>
    <w:next w:val="991"/>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85"/>
    <w:next w:val="885"/>
    <w:link w:val="885"/>
    <w:pPr>
      <w:ind w:firstLine="624"/>
      <w:spacing w:line="590" w:lineRule="atLeast"/>
    </w:pPr>
    <w:rPr>
      <w:rFonts w:ascii="方正黑体_GBK" w:eastAsia="方正黑体_GBK"/>
      <w:sz w:val="32"/>
      <w:szCs w:val="32"/>
    </w:rPr>
  </w:style>
  <w:style w:type="paragraph" w:styleId="994">
    <w:name w:val="xl24"/>
    <w:basedOn w:val="885"/>
    <w:next w:val="994"/>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85"/>
    <w:next w:val="995"/>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85"/>
    <w:next w:val="996"/>
    <w:link w:val="885"/>
    <w:pPr>
      <w:jc w:val="left"/>
      <w:spacing w:after="160" w:line="240" w:lineRule="exact"/>
      <w:widowControl/>
    </w:pPr>
    <w:rPr>
      <w:rFonts w:ascii="Verdana" w:hAnsi="Verdana"/>
      <w:sz w:val="20"/>
      <w:szCs w:val="20"/>
      <w:lang w:eastAsia="en-US"/>
    </w:rPr>
  </w:style>
  <w:style w:type="paragraph" w:styleId="997">
    <w:name w:val="xl28"/>
    <w:basedOn w:val="885"/>
    <w:next w:val="997"/>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85"/>
    <w:next w:val="998"/>
    <w:link w:val="885"/>
    <w:pPr>
      <w:jc w:val="left"/>
      <w:spacing w:after="160" w:line="240" w:lineRule="exact"/>
      <w:widowControl/>
    </w:pPr>
    <w:rPr>
      <w:rFonts w:ascii="Verdana" w:hAnsi="Verdana"/>
      <w:sz w:val="20"/>
      <w:szCs w:val="20"/>
      <w:lang w:eastAsia="en-US"/>
    </w:rPr>
  </w:style>
  <w:style w:type="paragraph" w:styleId="999">
    <w:name w:val="xl30"/>
    <w:basedOn w:val="885"/>
    <w:next w:val="999"/>
    <w:link w:val="885"/>
    <w:pPr>
      <w:jc w:val="center"/>
      <w:spacing w:before="100" w:beforeAutospacing="1" w:after="100" w:afterAutospacing="1"/>
      <w:widowControl/>
    </w:pPr>
    <w:rPr>
      <w:rFonts w:ascii="宋体" w:hAnsi="宋体"/>
      <w:b/>
      <w:bCs/>
      <w:sz w:val="36"/>
      <w:szCs w:val="36"/>
    </w:rPr>
  </w:style>
  <w:style w:type="paragraph" w:styleId="1000">
    <w:name w:val="Char Char Char Char"/>
    <w:basedOn w:val="915"/>
    <w:next w:val="1000"/>
    <w:link w:val="885"/>
    <w:pPr>
      <w:spacing w:line="360" w:lineRule="auto"/>
    </w:pPr>
    <w:rPr>
      <w:rFonts w:ascii="Tahoma" w:hAnsi="Tahoma"/>
      <w:sz w:val="24"/>
      <w:szCs w:val="24"/>
    </w:rPr>
  </w:style>
  <w:style w:type="paragraph" w:styleId="1001">
    <w:name w:val="table_1stline"/>
    <w:basedOn w:val="885"/>
    <w:next w:val="1001"/>
    <w:link w:val="885"/>
    <w:pPr>
      <w:jc w:val="left"/>
      <w:spacing w:before="120"/>
      <w:widowControl/>
    </w:pPr>
    <w:rPr>
      <w:bCs/>
      <w:sz w:val="20"/>
      <w:szCs w:val="20"/>
      <w:lang w:val="de-DE" w:eastAsia="de-DE"/>
    </w:rPr>
  </w:style>
  <w:style w:type="paragraph" w:styleId="1002">
    <w:name w:val="font5"/>
    <w:basedOn w:val="885"/>
    <w:next w:val="1002"/>
    <w:link w:val="885"/>
    <w:pPr>
      <w:jc w:val="left"/>
      <w:spacing w:before="100" w:beforeAutospacing="1" w:after="100" w:afterAutospacing="1"/>
      <w:widowControl/>
    </w:pPr>
    <w:rPr>
      <w:rFonts w:hint="eastAsia" w:ascii="宋体" w:hAnsi="宋体"/>
      <w:sz w:val="28"/>
      <w:szCs w:val="28"/>
    </w:rPr>
  </w:style>
  <w:style w:type="paragraph" w:styleId="1003">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85"/>
    <w:uiPriority w:val="99"/>
    <w:semiHidden/>
    <w:rPr>
      <w:rFonts w:ascii="Times New Roman" w:hAnsi="Times New Roman"/>
      <w:sz w:val="21"/>
      <w:szCs w:val="21"/>
      <w:lang w:val="en-US" w:eastAsia="zh-CN" w:bidi="ar-SA"/>
    </w:rPr>
  </w:style>
  <w:style w:type="paragraph" w:styleId="1005">
    <w:name w:val="无间隔"/>
    <w:next w:val="1005"/>
    <w:link w:val="885"/>
    <w:uiPriority w:val="99"/>
    <w:qFormat/>
    <w:pPr>
      <w:jc w:val="both"/>
      <w:widowControl w:val="off"/>
    </w:pPr>
    <w:rPr>
      <w:rFonts w:ascii="Times New Roman" w:hAnsi="Times New Roman"/>
      <w:sz w:val="21"/>
      <w:szCs w:val="21"/>
      <w:lang w:val="en-US" w:eastAsia="zh-CN" w:bidi="ar-SA"/>
    </w:rPr>
  </w:style>
  <w:style w:type="paragraph" w:styleId="1006">
    <w:name w:val="正文文本 211"/>
    <w:basedOn w:val="885"/>
    <w:next w:val="1006"/>
    <w:link w:val="885"/>
    <w:uiPriority w:val="99"/>
    <w:qFormat/>
    <w:pPr>
      <w:jc w:val="center"/>
    </w:pPr>
    <w:rPr>
      <w:b/>
      <w:bCs/>
      <w:sz w:val="20"/>
      <w:szCs w:val="20"/>
    </w:rPr>
  </w:style>
  <w:style w:type="table" w:styleId="1007">
    <w:name w:val="Table Normal"/>
    <w:next w:val="1007"/>
    <w:link w:val="885"/>
    <w:qFormat/>
    <w:tblPr/>
  </w:style>
  <w:style w:type="paragraph" w:styleId="1008">
    <w:name w:val="正文文本1"/>
    <w:basedOn w:val="885"/>
    <w:next w:val="885"/>
    <w:link w:val="885"/>
    <w:semiHidden/>
    <w:qFormat/>
    <w:rPr>
      <w:rFonts w:ascii="Arial" w:hAnsi="Arial" w:eastAsia="Arial" w:cs="Arial"/>
      <w:sz w:val="21"/>
      <w:szCs w:val="21"/>
      <w:lang w:val="en-US" w:eastAsia="en-US" w:bidi="ar-SA"/>
    </w:rPr>
  </w:style>
  <w:style w:type="paragraph" w:styleId="1009">
    <w:name w:val="纯文本1"/>
    <w:basedOn w:val="885"/>
    <w:next w:val="1009"/>
    <w:link w:val="885"/>
    <w:qFormat/>
    <w:rPr>
      <w:rFonts w:ascii="宋体" w:hAnsi="Courier New" w:cs="Courier New"/>
    </w:rPr>
  </w:style>
  <w:style w:type="table" w:styleId="1010">
    <w:name w:val="网格型1"/>
    <w:basedOn w:val="1011"/>
    <w:next w:val="1010"/>
    <w:link w:val="885"/>
    <w:qFormat/>
    <w:pPr>
      <w:jc w:val="both"/>
      <w:widowControl w:val="off"/>
    </w:pPr>
    <w:tblPr/>
  </w:style>
  <w:style w:type="table" w:styleId="1011">
    <w:name w:val="普通表格1"/>
    <w:next w:val="1011"/>
    <w:link w:val="885"/>
    <w:uiPriority w:val="99"/>
    <w:unhideWhenUsed/>
    <w:qFormat/>
    <w:tbl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5</cp:revision>
  <dcterms:created xsi:type="dcterms:W3CDTF">2023-03-16T02:16:00Z</dcterms:created>
  <dcterms:modified xsi:type="dcterms:W3CDTF">2025-12-26T09:23:57Z</dcterms:modified>
</cp:coreProperties>
</file>