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3"/>
        <w:ind w:right="-110" w:firstLine="562"/>
        <w:rPr>
          <w:rFonts w:asciiTheme="minorEastAsia" w:hAnsiTheme="minorEastAsia" w:eastAsiaTheme="minorEastAsia"/>
        </w:rPr>
      </w:pPr>
      <w:r>
        <w:rPr>
          <w:rFonts w:asciiTheme="minorEastAsia" w:hAnsiTheme="minorEastAsia" w:eastAsiaTheme="minorEastAsia"/>
        </w:rPr>
      </w:r>
      <w:r/>
    </w:p>
    <w:p>
      <w:pPr>
        <w:ind w:right="-110" w:firstLine="1526"/>
        <w:jc w:val="center"/>
        <w:tabs>
          <w:tab w:val="left" w:pos="390" w:leader="none"/>
          <w:tab w:val="center" w:pos="4404" w:leader="none"/>
        </w:tabs>
        <w:rPr>
          <w:rFonts w:asciiTheme="minorEastAsia" w:hAnsiTheme="minorEastAsia" w:eastAsiaTheme="minorEastAsia"/>
          <w:sz w:val="76"/>
          <w:szCs w:val="76"/>
        </w:rPr>
      </w:pPr>
      <w:r>
        <w:rPr>
          <w:rFonts w:asciiTheme="minorEastAsia" w:hAnsiTheme="minorEastAsia" w:eastAsiaTheme="minorEastAsia"/>
          <w:sz w:val="76"/>
          <w:szCs w:val="76"/>
        </w:rPr>
      </w:r>
      <w:r/>
    </w:p>
    <w:p>
      <w:pPr>
        <w:ind w:right="-110" w:firstLine="1526"/>
        <w:jc w:val="center"/>
        <w:tabs>
          <w:tab w:val="left" w:pos="390" w:leader="none"/>
          <w:tab w:val="center" w:pos="4404" w:leader="none"/>
        </w:tabs>
        <w:rPr>
          <w:rFonts w:asciiTheme="minorEastAsia" w:hAnsiTheme="minorEastAsia" w:eastAsiaTheme="minorEastAsia"/>
          <w:sz w:val="76"/>
          <w:szCs w:val="76"/>
        </w:rPr>
      </w:pPr>
      <w:r>
        <w:rPr>
          <w:rFonts w:asciiTheme="minorEastAsia" w:hAnsiTheme="minorEastAsia" w:eastAsiaTheme="minorEastAsia"/>
          <w:sz w:val="76"/>
          <w:szCs w:val="76"/>
        </w:rPr>
      </w:r>
      <w:r/>
    </w:p>
    <w:p>
      <w:pPr>
        <w:ind w:right="-110"/>
        <w:jc w:val="center"/>
        <w:tabs>
          <w:tab w:val="left" w:pos="390" w:leader="none"/>
          <w:tab w:val="center" w:pos="4404" w:leader="none"/>
        </w:tabs>
        <w:rPr>
          <w:rFonts w:asciiTheme="minorEastAsia" w:hAnsiTheme="minorEastAsia" w:eastAsiaTheme="minorEastAsia"/>
          <w:sz w:val="76"/>
          <w:szCs w:val="76"/>
        </w:rPr>
      </w:pPr>
      <w:r>
        <w:rPr>
          <w:rFonts w:hint="eastAsia" w:asciiTheme="minorEastAsia" w:hAnsiTheme="minorEastAsia" w:eastAsiaTheme="minorEastAsia"/>
          <w:sz w:val="76"/>
          <w:szCs w:val="76"/>
        </w:rPr>
        <w:t xml:space="preserve">竞争性磋商文件</w:t>
      </w:r>
      <w:r/>
    </w:p>
    <w:p>
      <w:pPr>
        <w:ind w:right="-110"/>
        <w:jc w:val="center"/>
        <w:tabs>
          <w:tab w:val="left" w:pos="390" w:leader="none"/>
          <w:tab w:val="center" w:pos="4404" w:leader="none"/>
        </w:tabs>
        <w:rPr>
          <w:rFonts w:asciiTheme="minorEastAsia" w:hAnsiTheme="minorEastAsia" w:eastAsiaTheme="minorEastAsia"/>
          <w:sz w:val="76"/>
          <w:szCs w:val="76"/>
        </w:rPr>
      </w:pPr>
      <w:r>
        <w:rPr>
          <w:rFonts w:asciiTheme="minorEastAsia" w:hAnsiTheme="minorEastAsia" w:eastAsiaTheme="minorEastAsia"/>
          <w:sz w:val="56"/>
          <w:szCs w:val="76"/>
        </w:rPr>
        <w:t xml:space="preserve">（</w:t>
      </w:r>
      <w:r>
        <w:rPr>
          <w:rFonts w:hint="eastAsia" w:asciiTheme="minorEastAsia" w:hAnsiTheme="minorEastAsia" w:eastAsiaTheme="minorEastAsia"/>
          <w:sz w:val="56"/>
          <w:szCs w:val="76"/>
        </w:rPr>
        <w:t xml:space="preserve">服务</w:t>
      </w:r>
      <w:r>
        <w:rPr>
          <w:rFonts w:asciiTheme="minorEastAsia" w:hAnsiTheme="minorEastAsia" w:eastAsiaTheme="minorEastAsia"/>
          <w:sz w:val="56"/>
          <w:szCs w:val="76"/>
        </w:rPr>
        <w:t xml:space="preserve">类）</w:t>
      </w:r>
      <w:r/>
    </w:p>
    <w:p>
      <w:pPr>
        <w:pStyle w:val="1099"/>
        <w:ind w:right="-110" w:firstLine="562"/>
        <w:rPr>
          <w:rFonts w:asciiTheme="minorEastAsia" w:hAnsiTheme="minorEastAsia" w:eastAsiaTheme="minorEastAsia"/>
        </w:rPr>
      </w:pPr>
      <w:r>
        <w:rPr>
          <w:rFonts w:asciiTheme="minorEastAsia" w:hAnsiTheme="minorEastAsia" w:eastAsiaTheme="minorEastAsia"/>
        </w:rPr>
      </w:r>
      <w:r/>
    </w:p>
    <w:p>
      <w:pPr>
        <w:ind w:right="-110" w:firstLine="422"/>
        <w:rPr>
          <w:rFonts w:asciiTheme="minorEastAsia" w:hAnsiTheme="minorEastAsia" w:eastAsiaTheme="minorEastAsia"/>
        </w:rPr>
      </w:pPr>
      <w:r>
        <w:rPr>
          <w:rFonts w:asciiTheme="minorEastAsia" w:hAnsiTheme="minorEastAsia" w:eastAsiaTheme="minorEastAsia"/>
        </w:rPr>
      </w:r>
      <w:r/>
    </w:p>
    <w:p>
      <w:pPr>
        <w:pStyle w:val="1099"/>
        <w:ind w:right="-110" w:firstLine="562"/>
        <w:rPr>
          <w:rFonts w:asciiTheme="minorEastAsia" w:hAnsiTheme="minorEastAsia" w:eastAsiaTheme="minorEastAsia"/>
        </w:rPr>
      </w:pPr>
      <w:r>
        <w:rPr>
          <w:rFonts w:asciiTheme="minorEastAsia" w:hAnsiTheme="minorEastAsia" w:eastAsiaTheme="minorEastAsia"/>
        </w:rPr>
      </w:r>
      <w:r/>
    </w:p>
    <w:p>
      <w:pPr>
        <w:ind w:right="-110"/>
        <w:rPr>
          <w:rFonts w:asciiTheme="minorEastAsia" w:hAnsiTheme="minorEastAsia" w:eastAsiaTheme="minorEastAsia"/>
          <w:sz w:val="44"/>
        </w:rPr>
      </w:pPr>
      <w:r>
        <w:rPr>
          <w:rFonts w:hint="eastAsia" w:asciiTheme="minorEastAsia" w:hAnsiTheme="minorEastAsia" w:eastAsiaTheme="minorEastAsia"/>
          <w:sz w:val="44"/>
        </w:rPr>
        <w:t xml:space="preserve">项目编号：</w:t>
      </w:r>
      <w:r>
        <w:rPr>
          <w:rFonts w:asciiTheme="minorEastAsia" w:hAnsiTheme="minorEastAsia" w:eastAsiaTheme="minorEastAsia"/>
          <w:sz w:val="44"/>
        </w:rPr>
        <w:t xml:space="preserve">JSZC-320117-HTZB-C2026-0002</w:t>
      </w:r>
      <w:r/>
    </w:p>
    <w:p>
      <w:pPr>
        <w:ind w:right="-110"/>
        <w:rPr>
          <w:rFonts w:asciiTheme="minorEastAsia" w:hAnsiTheme="minorEastAsia" w:eastAsiaTheme="minorEastAsia"/>
          <w:sz w:val="44"/>
        </w:rPr>
      </w:pPr>
      <w:r>
        <w:rPr>
          <w:rFonts w:hint="eastAsia" w:asciiTheme="minorEastAsia" w:hAnsiTheme="minorEastAsia" w:eastAsiaTheme="minorEastAsia"/>
          <w:sz w:val="44"/>
          <w:szCs w:val="44"/>
        </w:rPr>
        <w:t xml:space="preserve">项目名称：</w:t>
      </w:r>
      <w:r>
        <w:rPr>
          <w:rFonts w:hint="eastAsia" w:asciiTheme="minorEastAsia" w:hAnsiTheme="minorEastAsia" w:eastAsiaTheme="minorEastAsia"/>
          <w:sz w:val="44"/>
          <w:szCs w:val="44"/>
        </w:rPr>
        <w:t xml:space="preserve">溧水区重点断面水质自动站运行维护</w:t>
      </w:r>
      <w:r/>
    </w:p>
    <w:p>
      <w:pPr>
        <w:ind w:right="-110" w:firstLine="883"/>
        <w:rPr>
          <w:rFonts w:asciiTheme="minorEastAsia" w:hAnsiTheme="minorEastAsia" w:eastAsiaTheme="minorEastAsia"/>
          <w:sz w:val="44"/>
          <w:szCs w:val="44"/>
        </w:rPr>
      </w:pPr>
      <w:r>
        <w:rPr>
          <w:rFonts w:asciiTheme="minorEastAsia" w:hAnsiTheme="minorEastAsia" w:eastAsiaTheme="minorEastAsia"/>
          <w:sz w:val="44"/>
          <w:szCs w:val="44"/>
        </w:rPr>
      </w:r>
      <w:r/>
    </w:p>
    <w:p>
      <w:pPr>
        <w:ind w:right="-110" w:firstLine="643"/>
        <w:rPr>
          <w:rFonts w:asciiTheme="minorEastAsia" w:hAnsiTheme="minorEastAsia" w:eastAsiaTheme="minorEastAsia"/>
          <w:sz w:val="32"/>
        </w:rPr>
      </w:pPr>
      <w:r>
        <w:rPr>
          <w:rFonts w:asciiTheme="minorEastAsia" w:hAnsiTheme="minorEastAsia" w:eastAsiaTheme="minorEastAsia"/>
          <w:sz w:val="32"/>
        </w:rPr>
      </w:r>
      <w:r/>
    </w:p>
    <w:p>
      <w:pPr>
        <w:ind w:right="-110" w:firstLine="643"/>
        <w:rPr>
          <w:rFonts w:asciiTheme="minorEastAsia" w:hAnsiTheme="minorEastAsia" w:eastAsiaTheme="minorEastAsia"/>
          <w:sz w:val="32"/>
        </w:rPr>
      </w:pPr>
      <w:r>
        <w:rPr>
          <w:rFonts w:asciiTheme="minorEastAsia" w:hAnsiTheme="minorEastAsia" w:eastAsiaTheme="minorEastAsia"/>
          <w:sz w:val="32"/>
        </w:rPr>
      </w:r>
      <w:r/>
    </w:p>
    <w:p>
      <w:pPr>
        <w:ind w:right="-110" w:firstLine="643"/>
        <w:rPr>
          <w:rFonts w:asciiTheme="minorEastAsia" w:hAnsiTheme="minorEastAsia" w:eastAsiaTheme="minorEastAsia"/>
          <w:sz w:val="32"/>
        </w:rPr>
      </w:pPr>
      <w:r>
        <w:rPr>
          <w:rFonts w:asciiTheme="minorEastAsia" w:hAnsiTheme="minorEastAsia" w:eastAsiaTheme="minorEastAsia"/>
          <w:sz w:val="32"/>
        </w:rPr>
      </w:r>
      <w:r/>
    </w:p>
    <w:p>
      <w:pPr>
        <w:ind w:right="-110" w:firstLine="643"/>
        <w:rPr>
          <w:rFonts w:asciiTheme="minorEastAsia" w:hAnsiTheme="minorEastAsia" w:eastAsiaTheme="minorEastAsia"/>
          <w:sz w:val="32"/>
        </w:rPr>
      </w:pPr>
      <w:r>
        <w:rPr>
          <w:rFonts w:asciiTheme="minorEastAsia" w:hAnsiTheme="minorEastAsia" w:eastAsiaTheme="minorEastAsia"/>
          <w:sz w:val="32"/>
        </w:rPr>
      </w:r>
      <w:r/>
    </w:p>
    <w:p>
      <w:pPr>
        <w:ind w:right="-110" w:firstLine="643"/>
        <w:rPr>
          <w:rFonts w:asciiTheme="minorEastAsia" w:hAnsiTheme="minorEastAsia" w:eastAsiaTheme="minorEastAsia"/>
          <w:sz w:val="32"/>
        </w:rPr>
      </w:pPr>
      <w:r>
        <w:rPr>
          <w:rFonts w:asciiTheme="minorEastAsia" w:hAnsiTheme="minorEastAsia" w:eastAsiaTheme="minorEastAsia"/>
          <w:sz w:val="32"/>
        </w:rPr>
      </w:r>
      <w:r/>
    </w:p>
    <w:p>
      <w:pPr>
        <w:pStyle w:val="1108"/>
      </w:pPr>
      <w:r/>
      <w:r/>
    </w:p>
    <w:p>
      <w:pPr>
        <w:ind w:right="-110" w:firstLine="422"/>
        <w:rPr>
          <w:rFonts w:asciiTheme="minorEastAsia" w:hAnsiTheme="minorEastAsia" w:eastAsiaTheme="minorEastAsia"/>
        </w:rPr>
      </w:pPr>
      <w:r>
        <w:rPr>
          <w:rFonts w:asciiTheme="minorEastAsia" w:hAnsiTheme="minorEastAsia" w:eastAsiaTheme="minorEastAsia"/>
        </w:rPr>
      </w:r>
      <w:r/>
    </w:p>
    <w:p>
      <w:pPr>
        <w:pStyle w:val="1099"/>
        <w:ind w:right="-110" w:firstLine="562"/>
        <w:rPr>
          <w:rFonts w:asciiTheme="minorEastAsia" w:hAnsiTheme="minorEastAsia" w:eastAsiaTheme="minorEastAsia"/>
        </w:rPr>
      </w:pPr>
      <w:r>
        <w:rPr>
          <w:rFonts w:asciiTheme="minorEastAsia" w:hAnsiTheme="minorEastAsia" w:eastAsiaTheme="minorEastAsia"/>
        </w:rPr>
      </w:r>
      <w:r/>
    </w:p>
    <w:p>
      <w:pPr>
        <w:ind w:right="-110" w:firstLine="422"/>
        <w:rPr>
          <w:rFonts w:asciiTheme="minorEastAsia" w:hAnsiTheme="minorEastAsia" w:eastAsiaTheme="minorEastAsia"/>
        </w:rPr>
      </w:pPr>
      <w:r>
        <w:rPr>
          <w:rFonts w:asciiTheme="minorEastAsia" w:hAnsiTheme="minorEastAsia" w:eastAsiaTheme="minorEastAsia"/>
        </w:rPr>
      </w:r>
      <w:r/>
    </w:p>
    <w:p>
      <w:pPr>
        <w:jc w:val="center"/>
        <w:rPr>
          <w:rFonts w:asciiTheme="minorEastAsia" w:hAnsiTheme="minorEastAsia" w:eastAsiaTheme="minorEastAsia"/>
          <w:sz w:val="44"/>
        </w:rPr>
      </w:pPr>
      <w:r>
        <w:rPr>
          <w:rFonts w:hint="eastAsia" w:asciiTheme="minorEastAsia" w:hAnsiTheme="minorEastAsia" w:eastAsiaTheme="minorEastAsia"/>
          <w:sz w:val="44"/>
        </w:rPr>
        <w:t xml:space="preserve">采购人：</w:t>
      </w:r>
      <w:r>
        <w:rPr>
          <w:rFonts w:hint="eastAsia" w:asciiTheme="minorEastAsia" w:hAnsiTheme="minorEastAsia" w:eastAsiaTheme="minorEastAsia"/>
          <w:sz w:val="44"/>
        </w:rPr>
        <w:t xml:space="preserve">南京市溧水生态环境局</w:t>
      </w:r>
      <w:r/>
    </w:p>
    <w:p>
      <w:pPr>
        <w:ind w:right="-110"/>
        <w:rPr>
          <w:rFonts w:asciiTheme="minorEastAsia" w:hAnsiTheme="minorEastAsia" w:eastAsiaTheme="minorEastAsia"/>
          <w:sz w:val="44"/>
        </w:rPr>
      </w:pPr>
      <w:r>
        <w:rPr>
          <w:rFonts w:hint="eastAsia" w:asciiTheme="minorEastAsia" w:hAnsiTheme="minorEastAsia" w:eastAsiaTheme="minorEastAsia"/>
          <w:sz w:val="44"/>
        </w:rPr>
        <w:t xml:space="preserve">采购代理机构：南京鸿腾工程项目咨询有限公司</w:t>
      </w:r>
      <w:r/>
    </w:p>
    <w:p>
      <w:pPr>
        <w:ind w:right="-110" w:firstLine="883"/>
        <w:jc w:val="center"/>
        <w:rPr>
          <w:rFonts w:asciiTheme="minorEastAsia" w:hAnsiTheme="minorEastAsia" w:eastAsiaTheme="minorEastAsia"/>
          <w:sz w:val="44"/>
        </w:rPr>
      </w:pPr>
      <w:r>
        <w:rPr>
          <w:rFonts w:hint="eastAsia" w:asciiTheme="minorEastAsia" w:hAnsiTheme="minorEastAsia" w:eastAsiaTheme="minorEastAsia"/>
          <w:sz w:val="44"/>
        </w:rPr>
        <w:t xml:space="preserve">二〇二</w:t>
      </w:r>
      <w:r>
        <w:rPr>
          <w:rFonts w:hint="eastAsia" w:asciiTheme="minorEastAsia" w:hAnsiTheme="minorEastAsia" w:eastAsiaTheme="minorEastAsia"/>
          <w:sz w:val="44"/>
        </w:rPr>
        <w:t xml:space="preserve">六</w:t>
      </w:r>
      <w:r>
        <w:rPr>
          <w:rFonts w:hint="eastAsia" w:asciiTheme="minorEastAsia" w:hAnsiTheme="minorEastAsia" w:eastAsiaTheme="minorEastAsia"/>
          <w:sz w:val="44"/>
        </w:rPr>
        <w:t xml:space="preserve">年</w:t>
      </w:r>
      <w:r>
        <w:rPr>
          <w:rFonts w:hint="eastAsia" w:asciiTheme="minorEastAsia" w:hAnsiTheme="minorEastAsia" w:eastAsiaTheme="minorEastAsia"/>
          <w:sz w:val="44"/>
        </w:rPr>
        <w:t xml:space="preserve">六</w:t>
      </w:r>
      <w:r>
        <w:rPr>
          <w:rFonts w:hint="eastAsia" w:asciiTheme="minorEastAsia" w:hAnsiTheme="minorEastAsia" w:eastAsiaTheme="minorEastAsia"/>
          <w:sz w:val="44"/>
        </w:rPr>
        <w:t xml:space="preserve">月</w:t>
      </w:r>
      <w:r/>
    </w:p>
    <w:p>
      <w:pPr>
        <w:pStyle w:val="1517"/>
        <w:rPr>
          <w:rFonts w:asciiTheme="minorEastAsia" w:hAnsiTheme="minorEastAsia" w:eastAsiaTheme="minorEastAsia"/>
          <w:lang w:val="en-US"/>
        </w:rPr>
      </w:pPr>
      <w:r>
        <w:rPr>
          <w:rFonts w:asciiTheme="minorEastAsia" w:hAnsiTheme="minorEastAsia" w:eastAsiaTheme="minorEastAsia"/>
          <w:lang w:val="en-US"/>
        </w:rPr>
      </w:r>
      <w:r/>
    </w:p>
    <w:p>
      <w:pPr>
        <w:pStyle w:val="1096"/>
        <w:numPr>
          <w:ilvl w:val="0"/>
          <w:numId w:val="1"/>
        </w:numPr>
        <w:ind w:right="-110" w:firstLine="482"/>
        <w:jc w:val="center"/>
        <w:spacing w:before="240" w:after="240"/>
        <w:rPr>
          <w:rFonts w:cs="仿宋" w:asciiTheme="minorEastAsia" w:hAnsiTheme="minorEastAsia" w:eastAsiaTheme="minorEastAsia"/>
          <w:sz w:val="32"/>
          <w:szCs w:val="32"/>
        </w:rPr>
      </w:pPr>
      <w:r/>
      <w:bookmarkStart w:id="0" w:name="_Toc10045197"/>
      <w:r/>
      <w:bookmarkStart w:id="1" w:name="_Toc13932587"/>
      <w:r>
        <w:rPr>
          <w:rFonts w:hint="eastAsia" w:asciiTheme="minorEastAsia" w:hAnsiTheme="minorEastAsia" w:eastAsiaTheme="minorEastAsia"/>
        </w:rPr>
        <w:br w:type="page" w:clear="all"/>
      </w:r>
      <w:r>
        <w:rPr>
          <w:rFonts w:hint="eastAsia" w:cs="仿宋" w:asciiTheme="minorEastAsia" w:hAnsiTheme="minorEastAsia" w:eastAsiaTheme="minorEastAsia"/>
          <w:sz w:val="32"/>
          <w:szCs w:val="32"/>
        </w:rPr>
        <w:t xml:space="preserve">竞争性磋商邀请</w:t>
      </w:r>
      <w:bookmarkEnd w:id="0"/>
      <w:r/>
      <w:bookmarkEnd w:id="1"/>
      <w:r/>
      <w:r/>
    </w:p>
    <w:p>
      <w:pPr>
        <w:ind w:right="-110" w:firstLine="422"/>
        <w:rPr>
          <w:rFonts w:asciiTheme="minorEastAsia" w:hAnsiTheme="minorEastAsia" w:eastAsiaTheme="minorEastAsia"/>
        </w:rPr>
      </w:pPr>
      <w:r>
        <w:rPr>
          <w:rFonts w:asciiTheme="minorEastAsia" w:hAnsiTheme="minorEastAsia" w:eastAsiaTheme="minorEastAsia"/>
        </w:rPr>
      </w:r>
      <w:r/>
    </w:p>
    <w:p>
      <w:pPr>
        <w:ind w:right="-110" w:firstLine="480"/>
        <w:rPr>
          <w:rFonts w:cs="仿宋"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rPr>
          <w:rFonts w:hint="eastAsia" w:cs="仿宋" w:asciiTheme="minorEastAsia" w:hAnsiTheme="minorEastAsia" w:eastAsiaTheme="minorEastAsia"/>
          <w:sz w:val="24"/>
          <w:szCs w:val="24"/>
        </w:rPr>
        <w:t xml:space="preserve">项目概况</w:t>
      </w:r>
      <w:r/>
    </w:p>
    <w:p>
      <w:pPr>
        <w:ind w:right="-110" w:firstLine="480"/>
        <w:rPr>
          <w:rFonts w:cs="仿宋"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rPr>
          <w:rFonts w:hint="eastAsia" w:cs="仿宋" w:asciiTheme="minorEastAsia" w:hAnsiTheme="minorEastAsia" w:eastAsiaTheme="minorEastAsia"/>
          <w:sz w:val="24"/>
          <w:szCs w:val="24"/>
          <w:u w:val="single"/>
        </w:rPr>
        <w:t xml:space="preserve">溧水区重点断面水质自动站运行维护</w:t>
      </w:r>
      <w:r>
        <w:rPr>
          <w:rFonts w:cs="仿宋" w:asciiTheme="minorEastAsia" w:hAnsiTheme="minorEastAsia" w:eastAsiaTheme="minorEastAsia"/>
          <w:sz w:val="24"/>
          <w:szCs w:val="24"/>
          <w:u w:val="single"/>
        </w:rPr>
        <w:t xml:space="preserve">JSZC-320117-HTZB-C2026-0002</w:t>
      </w:r>
      <w:r>
        <w:rPr>
          <w:rFonts w:hint="eastAsia" w:cs="仿宋" w:asciiTheme="minorEastAsia" w:hAnsiTheme="minorEastAsia" w:eastAsiaTheme="minorEastAsia"/>
          <w:sz w:val="24"/>
          <w:szCs w:val="24"/>
        </w:rPr>
        <w:t xml:space="preserve">的潜在供应商应在</w:t>
      </w:r>
      <w:r>
        <w:rPr>
          <w:rFonts w:hint="eastAsia" w:cs="仿宋" w:asciiTheme="minorEastAsia" w:hAnsiTheme="minorEastAsia" w:eastAsiaTheme="minorEastAsia"/>
          <w:sz w:val="24"/>
          <w:szCs w:val="24"/>
          <w:u w:val="single"/>
        </w:rPr>
        <w:t xml:space="preserve">苏采云</w:t>
      </w:r>
      <w:r>
        <w:rPr>
          <w:rFonts w:hint="eastAsia" w:cs="仿宋" w:asciiTheme="minorEastAsia" w:hAnsiTheme="minorEastAsia" w:eastAsiaTheme="minorEastAsia"/>
          <w:sz w:val="24"/>
          <w:szCs w:val="24"/>
        </w:rPr>
        <w:t xml:space="preserve">获取采购文件，并于</w:t>
      </w:r>
      <w:r>
        <w:rPr>
          <w:rFonts w:hint="eastAsia" w:cs="仿宋" w:asciiTheme="minorEastAsia" w:hAnsiTheme="minorEastAsia" w:eastAsiaTheme="minorEastAsia"/>
          <w:sz w:val="24"/>
          <w:szCs w:val="24"/>
          <w:u w:val="single"/>
        </w:rPr>
        <w:t xml:space="preserve">202</w:t>
      </w:r>
      <w:r>
        <w:rPr>
          <w:rFonts w:hint="eastAsia" w:cs="仿宋" w:asciiTheme="minorEastAsia" w:hAnsiTheme="minorEastAsia" w:eastAsiaTheme="minorEastAsia"/>
          <w:sz w:val="24"/>
          <w:szCs w:val="24"/>
          <w:u w:val="single"/>
        </w:rPr>
        <w:t xml:space="preserve">6</w:t>
      </w:r>
      <w:r>
        <w:rPr>
          <w:rFonts w:hint="eastAsia" w:cs="仿宋" w:asciiTheme="minorEastAsia" w:hAnsiTheme="minorEastAsia" w:eastAsiaTheme="minorEastAsia"/>
          <w:sz w:val="24"/>
          <w:szCs w:val="24"/>
          <w:u w:val="single"/>
        </w:rPr>
        <w:t xml:space="preserve">年</w:t>
      </w:r>
      <w:r>
        <w:rPr>
          <w:rFonts w:hint="eastAsia" w:cs="仿宋" w:asciiTheme="minorEastAsia" w:hAnsiTheme="minorEastAsia" w:eastAsiaTheme="minorEastAsia"/>
          <w:bCs/>
          <w:sz w:val="24"/>
          <w:szCs w:val="24"/>
          <w:u w:val="single"/>
        </w:rPr>
        <w:t xml:space="preserve">6</w:t>
      </w:r>
      <w:r>
        <w:rPr>
          <w:rFonts w:hint="eastAsia" w:cs="仿宋" w:asciiTheme="minorEastAsia" w:hAnsiTheme="minorEastAsia" w:eastAsiaTheme="minorEastAsia"/>
          <w:bCs/>
          <w:sz w:val="24"/>
          <w:szCs w:val="24"/>
          <w:u w:val="single"/>
        </w:rPr>
        <w:t xml:space="preserve">月</w:t>
      </w:r>
      <w:r>
        <w:rPr>
          <w:rFonts w:hint="eastAsia" w:cs="仿宋" w:asciiTheme="minorEastAsia" w:hAnsiTheme="minorEastAsia" w:eastAsiaTheme="minorEastAsia"/>
          <w:bCs/>
          <w:sz w:val="24"/>
          <w:szCs w:val="24"/>
          <w:u w:val="single"/>
        </w:rPr>
        <w:t xml:space="preserve">12</w:t>
      </w:r>
      <w:r>
        <w:rPr>
          <w:rFonts w:hint="eastAsia" w:cs="仿宋" w:asciiTheme="minorEastAsia" w:hAnsiTheme="minorEastAsia" w:eastAsiaTheme="minorEastAsia"/>
          <w:bCs/>
          <w:sz w:val="24"/>
          <w:szCs w:val="24"/>
          <w:u w:val="single"/>
        </w:rPr>
        <w:t xml:space="preserve">日</w:t>
      </w:r>
      <w:r>
        <w:rPr>
          <w:rFonts w:hint="eastAsia" w:cs="仿宋" w:asciiTheme="minorEastAsia" w:hAnsiTheme="minorEastAsia" w:eastAsiaTheme="minorEastAsia"/>
          <w:sz w:val="24"/>
          <w:szCs w:val="24"/>
          <w:u w:val="single"/>
        </w:rPr>
        <w:t xml:space="preserve">14</w:t>
      </w:r>
      <w:r>
        <w:rPr>
          <w:rFonts w:hint="eastAsia" w:cs="仿宋" w:asciiTheme="minorEastAsia" w:hAnsiTheme="minorEastAsia" w:eastAsiaTheme="minorEastAsia"/>
          <w:sz w:val="24"/>
          <w:szCs w:val="24"/>
          <w:u w:val="single"/>
        </w:rPr>
        <w:t xml:space="preserve">点</w:t>
      </w:r>
      <w:r>
        <w:rPr>
          <w:rFonts w:hint="eastAsia" w:cs="仿宋" w:asciiTheme="minorEastAsia" w:hAnsiTheme="minorEastAsia" w:eastAsiaTheme="minorEastAsia"/>
          <w:sz w:val="24"/>
          <w:szCs w:val="24"/>
          <w:u w:val="single"/>
        </w:rPr>
        <w:t xml:space="preserve">3</w:t>
      </w:r>
      <w:r>
        <w:rPr>
          <w:rFonts w:hint="eastAsia" w:cs="仿宋" w:asciiTheme="minorEastAsia" w:hAnsiTheme="minorEastAsia" w:eastAsiaTheme="minorEastAsia"/>
          <w:sz w:val="24"/>
          <w:szCs w:val="24"/>
          <w:u w:val="single"/>
        </w:rPr>
        <w:t xml:space="preserve">0</w:t>
      </w:r>
      <w:r>
        <w:rPr>
          <w:rFonts w:hint="eastAsia" w:cs="仿宋" w:asciiTheme="minorEastAsia" w:hAnsiTheme="minorEastAsia" w:eastAsiaTheme="minorEastAsia"/>
          <w:sz w:val="24"/>
          <w:szCs w:val="24"/>
          <w:u w:val="single"/>
        </w:rPr>
        <w:t xml:space="preserve">分</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bCs/>
          <w:sz w:val="24"/>
          <w:szCs w:val="24"/>
        </w:rPr>
        <w:t xml:space="preserve">北京时间）前提交响应文件</w:t>
      </w:r>
      <w:r>
        <w:rPr>
          <w:rFonts w:hint="eastAsia" w:cs="仿宋" w:asciiTheme="minorEastAsia" w:hAnsiTheme="minorEastAsia" w:eastAsiaTheme="minorEastAsia"/>
          <w:sz w:val="24"/>
          <w:szCs w:val="24"/>
        </w:rPr>
        <w:t xml:space="preserve">。</w:t>
      </w:r>
      <w:r/>
    </w:p>
    <w:p>
      <w:pPr>
        <w:pStyle w:val="1097"/>
        <w:ind w:right="-110" w:firstLine="482"/>
        <w:rPr>
          <w:rFonts w:cs="仿宋" w:asciiTheme="minorEastAsia" w:hAnsiTheme="minorEastAsia" w:eastAsiaTheme="minorEastAsia"/>
          <w:sz w:val="24"/>
        </w:rPr>
      </w:pPr>
      <w:r/>
      <w:bookmarkStart w:id="2" w:name="_Toc35393629"/>
      <w:r/>
      <w:bookmarkStart w:id="3" w:name="_Toc35393798"/>
      <w:r/>
      <w:bookmarkStart w:id="4" w:name="_Toc28359089"/>
      <w:r/>
      <w:bookmarkStart w:id="5" w:name="_Toc28359012"/>
      <w:r>
        <w:rPr>
          <w:rFonts w:hint="eastAsia" w:cs="仿宋" w:asciiTheme="minorEastAsia" w:hAnsiTheme="minorEastAsia" w:eastAsiaTheme="minorEastAsia"/>
          <w:sz w:val="24"/>
        </w:rPr>
        <w:t xml:space="preserve">一、项目基本情况</w:t>
      </w:r>
      <w:bookmarkEnd w:id="2"/>
      <w:r/>
      <w:bookmarkEnd w:id="3"/>
      <w:r/>
      <w:bookmarkEnd w:id="4"/>
      <w:r/>
      <w:bookmarkEnd w:id="5"/>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项目编号：</w:t>
      </w:r>
      <w:r>
        <w:rPr>
          <w:rFonts w:cs="仿宋" w:asciiTheme="minorEastAsia" w:hAnsiTheme="minorEastAsia" w:eastAsiaTheme="minorEastAsia"/>
          <w:sz w:val="24"/>
          <w:szCs w:val="24"/>
        </w:rPr>
        <w:t xml:space="preserve">JSZC-320117-HTZB-C2026-0002</w:t>
      </w:r>
      <w:r/>
    </w:p>
    <w:p>
      <w:pPr>
        <w:ind w:right="-110" w:firstLine="480"/>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项目名称：</w:t>
      </w:r>
      <w:r>
        <w:rPr>
          <w:rFonts w:hint="eastAsia" w:cs="仿宋" w:asciiTheme="minorEastAsia" w:hAnsiTheme="minorEastAsia" w:eastAsiaTheme="minorEastAsia"/>
          <w:sz w:val="24"/>
          <w:szCs w:val="24"/>
          <w:lang w:val="zh-CN"/>
        </w:rPr>
        <w:t xml:space="preserve">溧水区重点断面水质自动站运行维护</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采购方式：竞争性磋商</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采购预算：</w:t>
      </w: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rPr>
        <w:t xml:space="preserve">00</w:t>
      </w:r>
      <w:r>
        <w:rPr>
          <w:rFonts w:hint="eastAsia" w:cs="仿宋" w:asciiTheme="minorEastAsia" w:hAnsiTheme="minorEastAsia" w:eastAsiaTheme="minorEastAsia"/>
          <w:sz w:val="24"/>
          <w:szCs w:val="24"/>
        </w:rPr>
        <w:t xml:space="preserve">万元</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最高限价：</w:t>
      </w: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rPr>
        <w:t xml:space="preserve">00</w:t>
      </w:r>
      <w:r>
        <w:rPr>
          <w:rFonts w:hint="eastAsia" w:cs="仿宋" w:asciiTheme="minorEastAsia" w:hAnsiTheme="minorEastAsia" w:eastAsiaTheme="minorEastAsia"/>
          <w:sz w:val="24"/>
          <w:szCs w:val="24"/>
        </w:rPr>
        <w:t xml:space="preserve">万元</w:t>
      </w:r>
      <w:r>
        <w:rPr>
          <w:rFonts w:hint="eastAsia" w:cs="仿宋" w:asciiTheme="minorEastAsia" w:hAnsiTheme="minorEastAsia" w:eastAsiaTheme="minorEastAsia"/>
          <w:sz w:val="24"/>
          <w:szCs w:val="24"/>
        </w:rPr>
        <w:t xml:space="preserve">（报价超过最高限价的按无效投标处理）</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采购需求：</w:t>
      </w:r>
      <w:r>
        <w:rPr>
          <w:rFonts w:hint="eastAsia" w:cs="仿宋" w:asciiTheme="minorEastAsia" w:hAnsiTheme="minorEastAsia" w:eastAsiaTheme="minorEastAsia"/>
          <w:sz w:val="24"/>
          <w:szCs w:val="24"/>
        </w:rPr>
        <w:t xml:space="preserve">对溧水区重点断面水质自动站开展运行维护</w:t>
      </w:r>
      <w:r>
        <w:rPr>
          <w:rFonts w:hint="eastAsia" w:cs="仿宋" w:asciiTheme="minorEastAsia" w:hAnsiTheme="minorEastAsia" w:eastAsiaTheme="minorEastAsia"/>
          <w:sz w:val="24"/>
          <w:szCs w:val="24"/>
        </w:rPr>
        <w:t xml:space="preserve">，详见磋商文件</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合同履行期限：</w:t>
      </w:r>
      <w:r>
        <w:rPr>
          <w:rFonts w:hint="eastAsia" w:cs="仿宋" w:asciiTheme="minorEastAsia" w:hAnsiTheme="minorEastAsia" w:eastAsiaTheme="minorEastAsia"/>
          <w:sz w:val="24"/>
          <w:szCs w:val="24"/>
        </w:rPr>
        <w:t xml:space="preserve">自合同签订之日起一年</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是否接受联合体投标：</w:t>
      </w:r>
      <w:r>
        <w:rPr>
          <w:rFonts w:hint="eastAsia" w:cs="仿宋" w:asciiTheme="minorEastAsia" w:hAnsiTheme="minorEastAsia" w:eastAsiaTheme="minorEastAsia"/>
          <w:sz w:val="24"/>
          <w:szCs w:val="24"/>
        </w:rPr>
        <w:t xml:space="preserve">不</w:t>
      </w:r>
      <w:r>
        <w:rPr>
          <w:rFonts w:hint="eastAsia" w:cs="仿宋" w:asciiTheme="minorEastAsia" w:hAnsiTheme="minorEastAsia" w:eastAsiaTheme="minorEastAsia"/>
          <w:sz w:val="24"/>
          <w:szCs w:val="24"/>
        </w:rPr>
        <w:t xml:space="preserve">接受</w:t>
      </w:r>
      <w:r/>
    </w:p>
    <w:p>
      <w:pPr>
        <w:pStyle w:val="1097"/>
        <w:ind w:right="-110" w:firstLine="482"/>
        <w:rPr>
          <w:rFonts w:cs="仿宋" w:asciiTheme="minorEastAsia" w:hAnsiTheme="minorEastAsia" w:eastAsiaTheme="minorEastAsia"/>
          <w:sz w:val="24"/>
        </w:rPr>
      </w:pPr>
      <w:r/>
      <w:bookmarkStart w:id="6" w:name="_Toc28359090"/>
      <w:r/>
      <w:bookmarkStart w:id="7" w:name="_Toc35393799"/>
      <w:r/>
      <w:bookmarkStart w:id="8" w:name="_Toc35393630"/>
      <w:r/>
      <w:bookmarkStart w:id="9" w:name="_Toc28359013"/>
      <w:r>
        <w:rPr>
          <w:rFonts w:hint="eastAsia" w:cs="仿宋" w:asciiTheme="minorEastAsia" w:hAnsiTheme="minorEastAsia" w:eastAsiaTheme="minorEastAsia"/>
          <w:sz w:val="24"/>
        </w:rPr>
        <w:t xml:space="preserve">二、申请人的资格要求：</w:t>
      </w:r>
      <w:bookmarkEnd w:id="6"/>
      <w:r/>
      <w:bookmarkEnd w:id="7"/>
      <w:r/>
      <w:bookmarkEnd w:id="8"/>
      <w:r/>
      <w:bookmarkEnd w:id="9"/>
      <w:r/>
      <w:r/>
    </w:p>
    <w:p>
      <w:pPr>
        <w:ind w:right="-110" w:firstLine="480"/>
        <w:rPr>
          <w:rFonts w:cs="仿宋" w:asciiTheme="minorEastAsia" w:hAnsiTheme="minorEastAsia" w:eastAsiaTheme="minorEastAsia"/>
          <w:sz w:val="24"/>
          <w:szCs w:val="24"/>
        </w:rPr>
      </w:pPr>
      <w:r/>
      <w:bookmarkStart w:id="10" w:name="_Toc35393800"/>
      <w:r/>
      <w:bookmarkStart w:id="11" w:name="_Toc28359091"/>
      <w:r/>
      <w:bookmarkStart w:id="12" w:name="_Toc35393631"/>
      <w:r/>
      <w:bookmarkStart w:id="13" w:name="_Toc28359014"/>
      <w:r>
        <w:rPr>
          <w:rFonts w:hint="eastAsia" w:cs="仿宋" w:asciiTheme="minorEastAsia" w:hAnsiTheme="minorEastAsia" w:eastAsiaTheme="minorEastAsia"/>
          <w:sz w:val="24"/>
          <w:szCs w:val="24"/>
        </w:rPr>
        <w:t xml:space="preserve">（一）满足《中华人民共和国政府采购法》第二十二条规定：</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1.具有独立承担民事责任的能力（提供法人或者其他组织营业执照或法人证书或组织机构代码证，自然人的身份证明）；</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2.具有良好的商业信誉和健全的财务会计制度（提供参加本次政府采购活动前12个月（至少一个月）会计报表）（成立不满一个月的无需提供）【提供《南京市政府采购供应商信用记录表暨信用承诺书》，格式见</w:t>
      </w:r>
      <w:r>
        <w:rPr>
          <w:rFonts w:hint="eastAsia" w:cs="仿宋" w:asciiTheme="minorEastAsia" w:hAnsiTheme="minorEastAsia" w:eastAsiaTheme="minorEastAsia"/>
          <w:sz w:val="24"/>
          <w:szCs w:val="24"/>
        </w:rPr>
        <w:t xml:space="preserve">响应文件</w:t>
      </w:r>
      <w:r>
        <w:rPr>
          <w:rFonts w:hint="eastAsia" w:cs="仿宋" w:asciiTheme="minorEastAsia" w:hAnsiTheme="minorEastAsia" w:eastAsiaTheme="minorEastAsia"/>
          <w:sz w:val="24"/>
          <w:szCs w:val="24"/>
        </w:rPr>
        <w:t xml:space="preserve">格式模板】；</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3.具有履行合同所必需的设备和专业技术能力（根据项目需求提供履行合同所必需的设备和专业技术能力的声明函）【证明材料提供《南京市政府采购供应商信用记录表暨信用承诺书》，格式见</w:t>
      </w:r>
      <w:r>
        <w:rPr>
          <w:rFonts w:hint="eastAsia" w:cs="仿宋" w:asciiTheme="minorEastAsia" w:hAnsiTheme="minorEastAsia" w:eastAsiaTheme="minorEastAsia"/>
          <w:sz w:val="24"/>
          <w:szCs w:val="24"/>
        </w:rPr>
        <w:t xml:space="preserve">响应文件</w:t>
      </w:r>
      <w:r>
        <w:rPr>
          <w:rFonts w:hint="eastAsia" w:cs="仿宋" w:asciiTheme="minorEastAsia" w:hAnsiTheme="minorEastAsia" w:eastAsiaTheme="minorEastAsia"/>
          <w:sz w:val="24"/>
          <w:szCs w:val="24"/>
        </w:rPr>
        <w:t xml:space="preserve">格式模板】；</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有依法缴纳税收和社会保障资金的良好记录（提供参加本次采购活动前近12个月内任一月份依法缴纳税收及社会保障资金的相关材料。依法免缴、迟缴的应提供相应文件证明）（成立不满一个月的无需提供）【提供《南京市政府采购供应商信用记录表暨信用承诺书》，格式见</w:t>
      </w:r>
      <w:r>
        <w:rPr>
          <w:rFonts w:hint="eastAsia" w:cs="仿宋" w:asciiTheme="minorEastAsia" w:hAnsiTheme="minorEastAsia" w:eastAsiaTheme="minorEastAsia"/>
          <w:sz w:val="24"/>
          <w:szCs w:val="24"/>
        </w:rPr>
        <w:t xml:space="preserve">响应文件</w:t>
      </w:r>
      <w:r>
        <w:rPr>
          <w:rFonts w:hint="eastAsia" w:cs="仿宋" w:asciiTheme="minorEastAsia" w:hAnsiTheme="minorEastAsia" w:eastAsiaTheme="minorEastAsia"/>
          <w:sz w:val="24"/>
          <w:szCs w:val="24"/>
        </w:rPr>
        <w:t xml:space="preserve">格式模板】；</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参加政府采购活动前三年内，在经营活动中没有重大违法记录（提供参加本次采购活动前3年内在经营活动中没有重大违法记录的书面声明）【证明材料提供《南京市政府采购供应商信用记录表暨信用承诺书》，格式见</w:t>
      </w:r>
      <w:r>
        <w:rPr>
          <w:rFonts w:hint="eastAsia" w:cs="仿宋" w:asciiTheme="minorEastAsia" w:hAnsiTheme="minorEastAsia" w:eastAsiaTheme="minorEastAsia"/>
          <w:sz w:val="24"/>
          <w:szCs w:val="24"/>
        </w:rPr>
        <w:t xml:space="preserve">响应文件</w:t>
      </w:r>
      <w:r>
        <w:rPr>
          <w:rFonts w:hint="eastAsia" w:cs="仿宋" w:asciiTheme="minorEastAsia" w:hAnsiTheme="minorEastAsia" w:eastAsiaTheme="minorEastAsia"/>
          <w:sz w:val="24"/>
          <w:szCs w:val="24"/>
        </w:rPr>
        <w:t xml:space="preserve">格式模板】；</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6.法律、行政法规规定的其他条件，提供相关证明材料：无。</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（二）落实政府采购政策需满足的资格要求：</w:t>
      </w:r>
      <w:r>
        <w:rPr>
          <w:rFonts w:hint="eastAsia" w:cs="仿宋" w:asciiTheme="minorEastAsia" w:hAnsiTheme="minorEastAsia" w:eastAsiaTheme="minorEastAsia"/>
          <w:b/>
          <w:bCs/>
          <w:sz w:val="24"/>
          <w:szCs w:val="24"/>
        </w:rPr>
        <w:t xml:space="preserve">本项目专门面向中小企业采购。</w:t>
      </w:r>
      <w:r/>
    </w:p>
    <w:p>
      <w:pPr>
        <w:ind w:right="-110"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（三）本项目的特定资格要求：无。</w:t>
      </w:r>
      <w:r/>
    </w:p>
    <w:p>
      <w:pPr>
        <w:ind w:right="-110" w:firstLine="480"/>
        <w:rPr>
          <w:rFonts w:cs="仿宋" w:asciiTheme="minorEastAsia" w:hAnsiTheme="minorEastAsia" w:eastAsiaTheme="minorEastAsia"/>
          <w:sz w:val="24"/>
        </w:rPr>
      </w:pPr>
      <w:r>
        <w:rPr>
          <w:rFonts w:hint="eastAsia" w:cs="仿宋" w:asciiTheme="minorEastAsia" w:hAnsiTheme="minorEastAsia" w:eastAsiaTheme="minorEastAsia"/>
          <w:sz w:val="24"/>
        </w:rPr>
        <w:t xml:space="preserve">三、获取采购文件</w:t>
      </w:r>
      <w:bookmarkEnd w:id="10"/>
      <w:r/>
      <w:bookmarkEnd w:id="11"/>
      <w:r/>
      <w:bookmarkEnd w:id="12"/>
      <w:r/>
      <w:bookmarkEnd w:id="13"/>
      <w:r/>
      <w:r/>
    </w:p>
    <w:p>
      <w:pPr>
        <w:ind w:right="-108" w:firstLine="482"/>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时间：</w:t>
      </w:r>
      <w:r>
        <w:rPr>
          <w:rFonts w:hint="eastAsia" w:cs="仿宋" w:asciiTheme="minorEastAsia" w:hAnsiTheme="minorEastAsia" w:eastAsiaTheme="minorEastAsia"/>
          <w:sz w:val="24"/>
          <w:szCs w:val="24"/>
        </w:rPr>
        <w:t xml:space="preserve">自磋商文件公告发布之日起5个工作日</w:t>
      </w:r>
      <w:r/>
    </w:p>
    <w:p>
      <w:pPr>
        <w:ind w:right="-110" w:firstLine="482"/>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地点：</w:t>
      </w:r>
      <w:r>
        <w:rPr>
          <w:rFonts w:hint="eastAsia" w:cs="仿宋" w:asciiTheme="minorEastAsia" w:hAnsiTheme="minorEastAsia" w:eastAsiaTheme="minorEastAsia"/>
          <w:sz w:val="24"/>
          <w:szCs w:val="24"/>
        </w:rPr>
        <w:t xml:space="preserve">苏采云</w:t>
      </w:r>
      <w:r/>
    </w:p>
    <w:p>
      <w:pPr>
        <w:ind w:right="-110" w:firstLine="482"/>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方式：</w:t>
      </w:r>
      <w:r>
        <w:rPr>
          <w:rFonts w:hint="eastAsia" w:cs="仿宋" w:asciiTheme="minorEastAsia" w:hAnsiTheme="minorEastAsia" w:eastAsiaTheme="minorEastAsia"/>
          <w:sz w:val="24"/>
          <w:szCs w:val="24"/>
        </w:rPr>
        <w:t xml:space="preserve">线上获取</w:t>
      </w:r>
      <w:r/>
    </w:p>
    <w:p>
      <w:pPr>
        <w:ind w:right="-110" w:firstLine="482"/>
        <w:rPr>
          <w:rFonts w:cs="仿宋" w:asciiTheme="minorEastAsia" w:hAnsiTheme="minorEastAsia" w:eastAsiaTheme="minorEastAsia"/>
          <w:b/>
          <w:bCs/>
          <w:sz w:val="24"/>
          <w:szCs w:val="24"/>
        </w:rPr>
      </w:pPr>
      <w:r/>
      <w:bookmarkStart w:id="14" w:name="_Toc28359015"/>
      <w:r/>
      <w:bookmarkStart w:id="15" w:name="_Toc35393632"/>
      <w:r/>
      <w:bookmarkStart w:id="16" w:name="_Toc35393801"/>
      <w:r/>
      <w:bookmarkStart w:id="17" w:name="_Toc28359092"/>
      <w:r>
        <w:rPr>
          <w:rFonts w:hint="eastAsia" w:cs="仿宋" w:asciiTheme="minorEastAsia" w:hAnsiTheme="minorEastAsia" w:eastAsiaTheme="minorEastAsia"/>
          <w:b/>
          <w:bCs/>
          <w:sz w:val="24"/>
          <w:szCs w:val="24"/>
        </w:rPr>
        <w:t xml:space="preserve">四、响应文件提交</w:t>
      </w:r>
      <w:bookmarkEnd w:id="14"/>
      <w:r/>
      <w:bookmarkEnd w:id="15"/>
      <w:r/>
      <w:bookmarkEnd w:id="16"/>
      <w:r/>
      <w:bookmarkEnd w:id="17"/>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截止时间：</w:t>
      </w:r>
      <w:r>
        <w:rPr>
          <w:rFonts w:hint="eastAsia" w:cs="仿宋" w:asciiTheme="minorEastAsia" w:hAnsiTheme="minorEastAsia" w:eastAsiaTheme="minorEastAsia"/>
          <w:sz w:val="24"/>
          <w:szCs w:val="24"/>
          <w:u w:val="single"/>
        </w:rPr>
        <w:t xml:space="preserve">202</w:t>
      </w:r>
      <w:r>
        <w:rPr>
          <w:rFonts w:hint="eastAsia" w:cs="仿宋" w:asciiTheme="minorEastAsia" w:hAnsiTheme="minorEastAsia" w:eastAsiaTheme="minorEastAsia"/>
          <w:sz w:val="24"/>
          <w:szCs w:val="24"/>
          <w:u w:val="single"/>
        </w:rPr>
        <w:t xml:space="preserve">6</w:t>
      </w:r>
      <w:r>
        <w:rPr>
          <w:rFonts w:hint="eastAsia" w:cs="仿宋" w:asciiTheme="minorEastAsia" w:hAnsiTheme="minorEastAsia" w:eastAsiaTheme="minorEastAsia"/>
          <w:sz w:val="24"/>
          <w:szCs w:val="24"/>
          <w:u w:val="single"/>
        </w:rPr>
        <w:t xml:space="preserve">年</w:t>
      </w:r>
      <w:r>
        <w:rPr>
          <w:rFonts w:hint="eastAsia" w:cs="仿宋" w:asciiTheme="minorEastAsia" w:hAnsiTheme="minorEastAsia" w:eastAsiaTheme="minorEastAsia"/>
          <w:bCs/>
          <w:sz w:val="24"/>
          <w:szCs w:val="24"/>
          <w:u w:val="single"/>
        </w:rPr>
        <w:t xml:space="preserve">6月12日</w:t>
      </w:r>
      <w:r>
        <w:rPr>
          <w:rFonts w:hint="eastAsia" w:cs="仿宋" w:asciiTheme="minorEastAsia" w:hAnsiTheme="minorEastAsia" w:eastAsiaTheme="minorEastAsia"/>
          <w:bCs/>
          <w:sz w:val="24"/>
          <w:szCs w:val="24"/>
          <w:u w:val="single"/>
        </w:rPr>
        <w:t xml:space="preserve">14</w:t>
      </w:r>
      <w:r>
        <w:rPr>
          <w:rFonts w:hint="eastAsia" w:cs="仿宋" w:asciiTheme="minorEastAsia" w:hAnsiTheme="minorEastAsia" w:eastAsiaTheme="minorEastAsia"/>
          <w:bCs/>
          <w:sz w:val="24"/>
          <w:szCs w:val="24"/>
          <w:u w:val="single"/>
        </w:rPr>
        <w:t xml:space="preserve">：</w:t>
      </w:r>
      <w:r>
        <w:rPr>
          <w:rFonts w:hint="eastAsia" w:cs="仿宋" w:asciiTheme="minorEastAsia" w:hAnsiTheme="minorEastAsia" w:eastAsiaTheme="minorEastAsia"/>
          <w:bCs/>
          <w:sz w:val="24"/>
          <w:szCs w:val="24"/>
          <w:u w:val="single"/>
        </w:rPr>
        <w:t xml:space="preserve">3</w:t>
      </w:r>
      <w:r>
        <w:rPr>
          <w:rFonts w:hint="eastAsia" w:cs="仿宋" w:asciiTheme="minorEastAsia" w:hAnsiTheme="minorEastAsia" w:eastAsiaTheme="minorEastAsia"/>
          <w:bCs/>
          <w:sz w:val="24"/>
          <w:szCs w:val="24"/>
          <w:u w:val="single"/>
        </w:rPr>
        <w:t xml:space="preserve">0（北京时间）</w:t>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sz w:val="24"/>
          <w:szCs w:val="24"/>
        </w:rPr>
        <w:t xml:space="preserve">地点：</w:t>
      </w:r>
      <w:r>
        <w:rPr>
          <w:rFonts w:hint="eastAsia" w:cs="仿宋" w:asciiTheme="minorEastAsia" w:hAnsiTheme="minorEastAsia" w:eastAsiaTheme="minorEastAsia"/>
          <w:sz w:val="24"/>
          <w:szCs w:val="24"/>
        </w:rPr>
        <w:t xml:space="preserve">“苏采云”系统</w:t>
      </w:r>
      <w:r/>
    </w:p>
    <w:p>
      <w:pPr>
        <w:ind w:right="-110" w:firstLine="482"/>
        <w:rPr>
          <w:rFonts w:cs="仿宋" w:asciiTheme="minorEastAsia" w:hAnsiTheme="minorEastAsia" w:eastAsiaTheme="minorEastAsia"/>
          <w:b/>
          <w:bCs/>
          <w:sz w:val="24"/>
          <w:szCs w:val="24"/>
        </w:rPr>
      </w:pPr>
      <w:r/>
      <w:bookmarkStart w:id="18" w:name="_Toc28359093"/>
      <w:r/>
      <w:bookmarkStart w:id="19" w:name="_Toc35393802"/>
      <w:r/>
      <w:bookmarkStart w:id="20" w:name="_Toc35393633"/>
      <w:r/>
      <w:bookmarkStart w:id="21" w:name="_Toc28359016"/>
      <w:r>
        <w:rPr>
          <w:rFonts w:hint="eastAsia" w:cs="仿宋" w:asciiTheme="minorEastAsia" w:hAnsiTheme="minorEastAsia" w:eastAsiaTheme="minorEastAsia"/>
          <w:b/>
          <w:bCs/>
          <w:sz w:val="24"/>
          <w:szCs w:val="24"/>
        </w:rPr>
        <w:t xml:space="preserve">五、开启</w:t>
      </w:r>
      <w:bookmarkEnd w:id="18"/>
      <w:r/>
      <w:bookmarkEnd w:id="19"/>
      <w:r/>
      <w:bookmarkEnd w:id="20"/>
      <w:r/>
      <w:bookmarkEnd w:id="21"/>
      <w:r/>
      <w:r/>
    </w:p>
    <w:p>
      <w:pPr>
        <w:ind w:right="-110" w:firstLine="482"/>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时间：</w:t>
      </w:r>
      <w:r>
        <w:rPr>
          <w:rFonts w:hint="eastAsia" w:cs="仿宋" w:asciiTheme="minorEastAsia" w:hAnsiTheme="minorEastAsia" w:eastAsiaTheme="minorEastAsia"/>
          <w:sz w:val="24"/>
          <w:szCs w:val="24"/>
          <w:u w:val="single"/>
        </w:rPr>
        <w:t xml:space="preserve">202</w:t>
      </w:r>
      <w:r>
        <w:rPr>
          <w:rFonts w:hint="eastAsia" w:cs="仿宋" w:asciiTheme="minorEastAsia" w:hAnsiTheme="minorEastAsia" w:eastAsiaTheme="minorEastAsia"/>
          <w:sz w:val="24"/>
          <w:szCs w:val="24"/>
          <w:u w:val="single"/>
        </w:rPr>
        <w:t xml:space="preserve">6</w:t>
      </w:r>
      <w:r>
        <w:rPr>
          <w:rFonts w:hint="eastAsia" w:cs="仿宋" w:asciiTheme="minorEastAsia" w:hAnsiTheme="minorEastAsia" w:eastAsiaTheme="minorEastAsia"/>
          <w:sz w:val="24"/>
          <w:szCs w:val="24"/>
          <w:u w:val="single"/>
        </w:rPr>
        <w:t xml:space="preserve">年</w:t>
      </w:r>
      <w:r>
        <w:rPr>
          <w:rFonts w:hint="eastAsia" w:cs="仿宋" w:asciiTheme="minorEastAsia" w:hAnsiTheme="minorEastAsia" w:eastAsiaTheme="minorEastAsia"/>
          <w:bCs/>
          <w:sz w:val="24"/>
          <w:szCs w:val="24"/>
          <w:u w:val="single"/>
        </w:rPr>
        <w:t xml:space="preserve">6月12日</w:t>
      </w:r>
      <w:r>
        <w:rPr>
          <w:rFonts w:hint="eastAsia" w:cs="仿宋" w:asciiTheme="minorEastAsia" w:hAnsiTheme="minorEastAsia" w:eastAsiaTheme="minorEastAsia"/>
          <w:bCs/>
          <w:sz w:val="24"/>
          <w:szCs w:val="24"/>
          <w:u w:val="single"/>
        </w:rPr>
        <w:t xml:space="preserve">14：30</w:t>
      </w:r>
      <w:r>
        <w:rPr>
          <w:rFonts w:hint="eastAsia" w:cs="仿宋" w:asciiTheme="minorEastAsia" w:hAnsiTheme="minorEastAsia" w:eastAsiaTheme="minorEastAsia"/>
          <w:sz w:val="24"/>
          <w:szCs w:val="24"/>
          <w:u w:val="single"/>
        </w:rPr>
        <w:t xml:space="preserve">（北京时间）</w:t>
      </w:r>
      <w:r/>
    </w:p>
    <w:p>
      <w:pPr>
        <w:ind w:right="-110" w:firstLine="482"/>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地点：</w:t>
      </w:r>
      <w:r>
        <w:rPr>
          <w:rFonts w:hint="eastAsia" w:cs="仿宋" w:asciiTheme="minorEastAsia" w:hAnsiTheme="minorEastAsia" w:eastAsiaTheme="minorEastAsia"/>
          <w:sz w:val="24"/>
          <w:szCs w:val="24"/>
        </w:rPr>
        <w:t xml:space="preserve">南京市溧水区中大街81号溧致汇大厦814开评标室</w:t>
      </w:r>
      <w:r/>
    </w:p>
    <w:p>
      <w:pPr>
        <w:ind w:right="-110" w:firstLine="482"/>
        <w:rPr>
          <w:rFonts w:cs="仿宋" w:asciiTheme="minorEastAsia" w:hAnsiTheme="minorEastAsia" w:eastAsiaTheme="minorEastAsia"/>
          <w:b/>
          <w:bCs/>
          <w:sz w:val="24"/>
          <w:szCs w:val="24"/>
        </w:rPr>
      </w:pPr>
      <w:r/>
      <w:bookmarkStart w:id="22" w:name="_Toc35393634"/>
      <w:r/>
      <w:bookmarkStart w:id="23" w:name="_Toc28359017"/>
      <w:r/>
      <w:bookmarkStart w:id="24" w:name="_Toc35393803"/>
      <w:r/>
      <w:bookmarkStart w:id="25" w:name="_Toc28359094"/>
      <w:r>
        <w:rPr>
          <w:rFonts w:hint="eastAsia" w:cs="仿宋" w:asciiTheme="minorEastAsia" w:hAnsiTheme="minorEastAsia" w:eastAsiaTheme="minorEastAsia"/>
          <w:b/>
          <w:bCs/>
          <w:sz w:val="24"/>
          <w:szCs w:val="24"/>
        </w:rPr>
        <w:t xml:space="preserve">六、公告期限</w:t>
      </w:r>
      <w:bookmarkEnd w:id="22"/>
      <w:r/>
      <w:bookmarkEnd w:id="23"/>
      <w:r/>
      <w:bookmarkEnd w:id="24"/>
      <w:r/>
      <w:bookmarkEnd w:id="25"/>
      <w:r/>
      <w:r/>
    </w:p>
    <w:p>
      <w:pPr>
        <w:ind w:right="-110" w:firstLine="482"/>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自本公告发布之日起5个工作日。</w:t>
      </w:r>
      <w:r/>
    </w:p>
    <w:p>
      <w:pPr>
        <w:ind w:right="-110" w:firstLine="482"/>
        <w:rPr>
          <w:rFonts w:cs="仿宋" w:asciiTheme="minorEastAsia" w:hAnsiTheme="minorEastAsia" w:eastAsiaTheme="minorEastAsia"/>
          <w:b/>
          <w:bCs/>
          <w:sz w:val="24"/>
          <w:szCs w:val="24"/>
        </w:rPr>
      </w:pPr>
      <w:r/>
      <w:bookmarkStart w:id="26" w:name="_Toc35393635"/>
      <w:r/>
      <w:bookmarkStart w:id="27" w:name="_Toc35393804"/>
      <w:r>
        <w:rPr>
          <w:rFonts w:hint="eastAsia" w:cs="仿宋" w:asciiTheme="minorEastAsia" w:hAnsiTheme="minorEastAsia" w:eastAsiaTheme="minorEastAsia"/>
          <w:b/>
          <w:bCs/>
          <w:sz w:val="24"/>
          <w:szCs w:val="24"/>
        </w:rPr>
        <w:t xml:space="preserve">七、其他补充事宜</w:t>
      </w:r>
      <w:bookmarkStart w:id="28" w:name="_Toc28359095"/>
      <w:r/>
      <w:bookmarkStart w:id="29" w:name="_Toc28359018"/>
      <w:r/>
      <w:bookmarkStart w:id="30" w:name="_Toc35393805"/>
      <w:r/>
      <w:bookmarkStart w:id="31" w:name="_Toc35393636"/>
      <w:r/>
      <w:bookmarkEnd w:id="26"/>
      <w:r/>
      <w:bookmarkEnd w:id="27"/>
      <w:r/>
      <w:r/>
    </w:p>
    <w:p>
      <w:pPr>
        <w:ind w:right="-110" w:firstLine="482"/>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1、拒绝下述供应商参加本次采购活动：</w:t>
      </w:r>
      <w:r/>
    </w:p>
    <w:p>
      <w:pPr>
        <w:ind w:right="-110" w:firstLine="482"/>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（1）供应商单位负责人为同一人或者存在直接控股、管理关系的不同供应商，不得参加同一合同项下的政府采购活动。</w:t>
      </w:r>
      <w:r/>
    </w:p>
    <w:p>
      <w:pPr>
        <w:ind w:right="-110" w:firstLine="482"/>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（2）凡为采购项目提供整体设计、规范编制或者项目管理、监理、检测等服务的供应商，不得再参加本项目的采购活动。</w:t>
      </w:r>
      <w:r/>
    </w:p>
    <w:p>
      <w:pPr>
        <w:ind w:right="-110" w:firstLine="482"/>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（3）供应商被“信用中国”网站（www.creditchina.gov.cn）、“中国政府采购网</w:t>
      </w:r>
      <w:r>
        <w:rPr>
          <w:rFonts w:hint="eastAsia" w:cs="仿宋" w:asciiTheme="minorEastAsia" w:hAnsiTheme="minorEastAsia" w:eastAsiaTheme="minorEastAsia"/>
          <w:bCs/>
          <w:sz w:val="24"/>
          <w:szCs w:val="24"/>
        </w:rPr>
        <w:t xml:space="preserve">”</w:t>
      </w:r>
      <w:r>
        <w:rPr>
          <w:rFonts w:hint="eastAsia" w:cs="仿宋" w:asciiTheme="minorEastAsia" w:hAnsiTheme="minorEastAsia" w:eastAsiaTheme="minorEastAsia"/>
          <w:bCs/>
          <w:sz w:val="24"/>
          <w:szCs w:val="24"/>
        </w:rPr>
        <w:t xml:space="preserve">(www.ccgp.gov.cn)等渠道列入失信被执行人、重大税收违法案件当事人名单、政府采购严重违法失信行为记录名单。</w:t>
      </w:r>
      <w:r/>
    </w:p>
    <w:p>
      <w:pPr>
        <w:ind w:right="-110" w:firstLine="482"/>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（4）供应商未提供《南京市政府采购供应商信用记录表暨信用承诺书》</w:t>
      </w:r>
      <w:r>
        <w:rPr>
          <w:rFonts w:hint="eastAsia" w:cs="仿宋" w:asciiTheme="minorEastAsia" w:hAnsiTheme="minorEastAsia" w:eastAsiaTheme="minorEastAsia"/>
          <w:bCs/>
          <w:sz w:val="24"/>
          <w:szCs w:val="24"/>
        </w:rPr>
        <w:t xml:space="preserve">或提供的《南京市政府采购供应商信用记录表暨信用承诺书》不符合要求</w:t>
      </w:r>
      <w:r>
        <w:rPr>
          <w:rFonts w:hint="eastAsia" w:cs="仿宋" w:asciiTheme="minorEastAsia" w:hAnsiTheme="minorEastAsia" w:eastAsiaTheme="minorEastAsia"/>
          <w:bCs/>
          <w:sz w:val="24"/>
          <w:szCs w:val="24"/>
        </w:rPr>
        <w:t xml:space="preserve">。</w:t>
      </w:r>
      <w:r/>
    </w:p>
    <w:p>
      <w:pPr>
        <w:ind w:firstLine="539"/>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cs="仿宋" w:asciiTheme="minorEastAsia" w:hAnsiTheme="minorEastAsia" w:eastAsiaTheme="minorEastAsia"/>
          <w:bCs/>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ind w:firstLine="539"/>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在政府采购资格审查环节，供应商只需提供书面《南京市政府采购供应商信用记录表暨信用承诺书》，即可替代以下证明材料：</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（1）符合国家相关规定的财务状况报告；</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（2）依法缴纳税收的证明材料；</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（3）依法缴纳社会保障资金的证明材料；</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（4）具备履行政府采购合同所必需的设备和专业技术能力的证明材料；</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（5）参加政府采购活动前三年内在经营活动中没有重大违法记录的证明材料；</w:t>
      </w:r>
      <w:r/>
    </w:p>
    <w:p>
      <w:pPr>
        <w:ind w:firstLine="539"/>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（6）未被列入失信被执行人、重大税收违法失信主体、政府采购严重违法失信行为记录名单的证明材料。</w:t>
      </w:r>
      <w:r/>
    </w:p>
    <w:p>
      <w:pPr>
        <w:ind w:firstLine="539"/>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供应商涉及以下情形的，不适用信用承诺：</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（1）供应商被列入严重失信主体名单；</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（2）被相关监管部门作出行政处罚且尚在处罚有效期内；</w:t>
      </w:r>
      <w:r/>
    </w:p>
    <w:p>
      <w:pPr>
        <w:ind w:left="54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（3）其他法律、行政法规规定的不适用信用承诺的情形。</w:t>
      </w:r>
      <w:r/>
    </w:p>
    <w:p>
      <w:pPr>
        <w:ind w:firstLine="539"/>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供应商对信用承诺内容的真实性、合法性、有效性负责。如作出虚假信用承诺，视同为“提供虚假材料谋取中标、成交”的违法行为。</w:t>
      </w:r>
      <w:r/>
    </w:p>
    <w:p>
      <w:pPr>
        <w:ind w:right="-110" w:firstLine="480"/>
        <w:rPr>
          <w:rFonts w:asciiTheme="minorEastAsia" w:hAnsiTheme="minorEastAsia" w:eastAsiaTheme="minorEastAsia"/>
        </w:rPr>
      </w:pPr>
      <w:r>
        <w:rPr>
          <w:rFonts w:hint="eastAsia" w:cs="仿宋" w:asciiTheme="minorEastAsia" w:hAnsiTheme="minorEastAsia" w:eastAsiaTheme="minorEastAsia"/>
          <w:bCs/>
          <w:sz w:val="24"/>
          <w:szCs w:val="24"/>
        </w:rPr>
        <w:t xml:space="preserve">3、</w:t>
      </w:r>
      <w:r>
        <w:rPr>
          <w:rFonts w:hint="eastAsia" w:cs="仿宋" w:asciiTheme="minorEastAsia" w:hAnsiTheme="minorEastAsia" w:eastAsiaTheme="minorEastAsia"/>
          <w:bCs/>
          <w:sz w:val="24"/>
          <w:szCs w:val="24"/>
        </w:rPr>
        <w:t xml:space="preserve">集中考察或答疑：采购人不组织。供应商如果对采购需求有疑问请和采购单位联系人沟通。</w:t>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4、有关本次采购的事项若存在变动或修改，敬请及时关注“南京公共采购信息网”发布的信息更正公告。</w:t>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5、本项目需要使用CA数字证书制作、上传电子</w:t>
      </w:r>
      <w:r>
        <w:rPr>
          <w:rFonts w:hint="eastAsia" w:cs="仿宋" w:asciiTheme="minorEastAsia" w:hAnsiTheme="minorEastAsia" w:eastAsiaTheme="minorEastAsia"/>
          <w:bCs/>
          <w:sz w:val="24"/>
          <w:szCs w:val="24"/>
        </w:rPr>
        <w:t xml:space="preserve">响应</w:t>
      </w:r>
      <w:r>
        <w:rPr>
          <w:rFonts w:hint="eastAsia" w:cs="仿宋" w:asciiTheme="minorEastAsia" w:hAnsiTheme="minorEastAsia" w:eastAsiaTheme="minorEastAsia"/>
          <w:bCs/>
          <w:sz w:val="24"/>
          <w:szCs w:val="24"/>
        </w:rPr>
        <w:t xml:space="preserve">文件完成电子投标，请供应商在</w:t>
      </w:r>
      <w:r>
        <w:rPr>
          <w:rFonts w:hint="eastAsia" w:cs="仿宋" w:asciiTheme="minorEastAsia" w:hAnsiTheme="minorEastAsia" w:eastAsiaTheme="minorEastAsia"/>
          <w:bCs/>
          <w:sz w:val="24"/>
          <w:szCs w:val="24"/>
        </w:rPr>
        <w:t xml:space="preserve">参加投标活动前办理好CA数字证书申领及电子签章等操作。</w:t>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5.1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p>
      <w:pPr>
        <w:ind w:right="-108"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5.2供应商按《苏采云系统供应商操作手册》要求进行注册，并制作上传电子</w:t>
      </w:r>
      <w:r>
        <w:rPr>
          <w:rFonts w:hint="eastAsia" w:cs="仿宋" w:asciiTheme="minorEastAsia" w:hAnsiTheme="minorEastAsia" w:eastAsiaTheme="minorEastAsia"/>
          <w:bCs/>
          <w:sz w:val="24"/>
          <w:szCs w:val="24"/>
        </w:rPr>
        <w:t xml:space="preserve">响应文件</w:t>
      </w:r>
      <w:r>
        <w:rPr>
          <w:rFonts w:hint="eastAsia" w:cs="仿宋" w:asciiTheme="minorEastAsia" w:hAnsiTheme="minorEastAsia" w:eastAsiaTheme="minorEastAsia"/>
          <w:bCs/>
          <w:sz w:val="24"/>
          <w:szCs w:val="24"/>
        </w:rPr>
        <w:t xml:space="preserve">（“苏采云”南京地区客服热线025-83633744、025-83633743）。江苏省政府采购管理交易系统供应商操作指南，下载地址：</w:t>
      </w:r>
      <w:hyperlink r:id="rId15" w:tooltip="http://www.ccgp-jiangsu.gov.cn/jiangsu/zlxz/ee/ee3a4bc5a3454aa2b0d9312230633ce9.html" w:history="1">
        <w:r>
          <w:rPr>
            <w:rStyle w:val="1165"/>
            <w:rFonts w:hint="eastAsia" w:cs="仿宋" w:asciiTheme="minorEastAsia" w:hAnsiTheme="minorEastAsia" w:eastAsiaTheme="minorEastAsia"/>
            <w:bCs/>
            <w:color w:val="auto"/>
            <w:sz w:val="24"/>
            <w:szCs w:val="24"/>
            <w:u w:val="none"/>
          </w:rPr>
          <w:t xml:space="preserve">http://www.ccgp-jiangsu.gov.cn/jiangsu/zlxz/ee/ee3a4bc5a3454aa2b0d9312230633ce9.html</w:t>
        </w:r>
      </w:hyperlink>
      <w:r>
        <w:rPr>
          <w:rFonts w:cs="仿宋" w:asciiTheme="minorEastAsia" w:hAnsiTheme="minorEastAsia" w:eastAsiaTheme="minorEastAsia"/>
          <w:bCs/>
          <w:sz w:val="24"/>
          <w:szCs w:val="24"/>
        </w:rPr>
        <w:t xml:space="preserve">。</w:t>
      </w:r>
      <w:r/>
    </w:p>
    <w:p>
      <w:pPr>
        <w:ind w:right="-108" w:firstLine="480"/>
        <w:rPr>
          <w:rFonts w:asciiTheme="minorEastAsia" w:hAnsiTheme="minorEastAsia" w:eastAsiaTheme="minorEastAsia"/>
        </w:rPr>
      </w:pPr>
      <w:r>
        <w:rPr>
          <w:rFonts w:hint="eastAsia" w:cs="仿宋" w:asciiTheme="minorEastAsia" w:hAnsiTheme="minorEastAsia" w:eastAsiaTheme="minorEastAsia"/>
          <w:bCs/>
          <w:sz w:val="24"/>
          <w:szCs w:val="24"/>
        </w:rPr>
        <w:t xml:space="preserve">6、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1097"/>
        <w:ind w:right="-110" w:firstLine="482"/>
        <w:rPr>
          <w:rFonts w:cs="仿宋" w:asciiTheme="minorEastAsia" w:hAnsiTheme="minorEastAsia" w:eastAsiaTheme="minorEastAsia"/>
          <w:sz w:val="24"/>
        </w:rPr>
      </w:pPr>
      <w:r>
        <w:rPr>
          <w:rFonts w:hint="eastAsia" w:cs="仿宋" w:asciiTheme="minorEastAsia" w:hAnsiTheme="minorEastAsia" w:eastAsiaTheme="minorEastAsia"/>
          <w:sz w:val="24"/>
        </w:rPr>
        <w:t xml:space="preserve">八、凡对本次采购提出询问，请按以下方式联系。</w:t>
      </w:r>
      <w:bookmarkEnd w:id="28"/>
      <w:r/>
      <w:bookmarkEnd w:id="29"/>
      <w:r/>
      <w:bookmarkEnd w:id="30"/>
      <w:r/>
      <w:bookmarkEnd w:id="31"/>
      <w:r/>
      <w:r/>
    </w:p>
    <w:p>
      <w:pPr>
        <w:ind w:right="-110" w:firstLine="480"/>
        <w:rPr>
          <w:rFonts w:cs="仿宋" w:asciiTheme="minorEastAsia" w:hAnsiTheme="minorEastAsia" w:eastAsiaTheme="minorEastAsia"/>
          <w:bCs/>
          <w:sz w:val="24"/>
          <w:szCs w:val="24"/>
        </w:rPr>
      </w:pPr>
      <w:r/>
      <w:bookmarkStart w:id="32" w:name="_Toc35393806"/>
      <w:r/>
      <w:bookmarkStart w:id="33" w:name="_Toc35393637"/>
      <w:r/>
      <w:bookmarkStart w:id="34" w:name="_Toc28359096"/>
      <w:r/>
      <w:bookmarkStart w:id="35" w:name="_Toc28359019"/>
      <w:r>
        <w:rPr>
          <w:rFonts w:hint="eastAsia" w:cs="仿宋" w:asciiTheme="minorEastAsia" w:hAnsiTheme="minorEastAsia" w:eastAsiaTheme="minorEastAsia"/>
          <w:bCs/>
          <w:sz w:val="24"/>
          <w:szCs w:val="24"/>
        </w:rPr>
        <w:t xml:space="preserve">1.采购人信息</w:t>
      </w:r>
      <w:bookmarkEnd w:id="32"/>
      <w:r/>
      <w:bookmarkEnd w:id="33"/>
      <w:r/>
      <w:bookmarkEnd w:id="34"/>
      <w:r/>
      <w:bookmarkEnd w:id="35"/>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名    称：</w:t>
      </w:r>
      <w:r>
        <w:rPr>
          <w:rFonts w:hint="eastAsia" w:cs="仿宋" w:asciiTheme="minorEastAsia" w:hAnsiTheme="minorEastAsia" w:eastAsiaTheme="minorEastAsia"/>
          <w:bCs/>
          <w:sz w:val="24"/>
          <w:szCs w:val="24"/>
        </w:rPr>
        <w:t xml:space="preserve">南京市溧水生态环境局</w:t>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地    址：</w:t>
      </w:r>
      <w:r>
        <w:rPr>
          <w:rFonts w:hint="eastAsia" w:ascii="宋体" w:hAnsi="宋体" w:cs="宋体"/>
          <w:sz w:val="24"/>
        </w:rPr>
        <w:t xml:space="preserve">南京市溧水区永阳街道中山西路28号</w:t>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联系方式：</w:t>
      </w:r>
      <w:r>
        <w:rPr>
          <w:rFonts w:hint="eastAsia" w:cs="仿宋" w:asciiTheme="minorEastAsia" w:hAnsiTheme="minorEastAsia" w:eastAsiaTheme="minorEastAsia"/>
          <w:bCs/>
          <w:sz w:val="24"/>
          <w:szCs w:val="24"/>
        </w:rPr>
        <w:t xml:space="preserve">杨平18052080756</w:t>
      </w:r>
      <w:r/>
    </w:p>
    <w:p>
      <w:pPr>
        <w:ind w:right="-110" w:firstLine="480"/>
        <w:rPr>
          <w:rFonts w:cs="仿宋" w:asciiTheme="minorEastAsia" w:hAnsiTheme="minorEastAsia" w:eastAsiaTheme="minorEastAsia"/>
          <w:bCs/>
          <w:sz w:val="24"/>
          <w:szCs w:val="24"/>
        </w:rPr>
      </w:pPr>
      <w:r/>
      <w:bookmarkStart w:id="36" w:name="_Toc35393807"/>
      <w:r/>
      <w:bookmarkStart w:id="37" w:name="_Toc35393638"/>
      <w:r/>
      <w:bookmarkStart w:id="38" w:name="_Toc28359097"/>
      <w:r/>
      <w:bookmarkStart w:id="39" w:name="_Toc28359020"/>
      <w:r>
        <w:rPr>
          <w:rFonts w:hint="eastAsia" w:cs="仿宋" w:asciiTheme="minorEastAsia" w:hAnsiTheme="minorEastAsia" w:eastAsiaTheme="minorEastAsia"/>
          <w:bCs/>
          <w:sz w:val="24"/>
          <w:szCs w:val="24"/>
        </w:rPr>
        <w:t xml:space="preserve">2.采购代理机构信息</w:t>
      </w:r>
      <w:bookmarkEnd w:id="36"/>
      <w:r/>
      <w:bookmarkEnd w:id="37"/>
      <w:r/>
      <w:bookmarkEnd w:id="38"/>
      <w:r/>
      <w:bookmarkEnd w:id="39"/>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名    称：南京鸿腾工程项目咨询有限公司　</w:t>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地　　址：</w:t>
      </w:r>
      <w:r>
        <w:rPr>
          <w:rFonts w:hint="eastAsia" w:ascii="宋体" w:hAnsi="宋体" w:cs="宋体"/>
          <w:sz w:val="24"/>
        </w:rPr>
        <w:t xml:space="preserve">南京市溧水区中大街81号溧致汇大厦814室</w:t>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联系方式：季彬彬025-57200087</w:t>
      </w:r>
      <w:r/>
    </w:p>
    <w:p>
      <w:pPr>
        <w:ind w:right="-110" w:firstLine="480"/>
        <w:rPr>
          <w:rFonts w:cs="仿宋" w:asciiTheme="minorEastAsia" w:hAnsiTheme="minorEastAsia" w:eastAsiaTheme="minorEastAsia"/>
          <w:bCs/>
          <w:sz w:val="24"/>
          <w:szCs w:val="24"/>
        </w:rPr>
      </w:pPr>
      <w:r/>
      <w:bookmarkStart w:id="40" w:name="_Toc35393808"/>
      <w:r/>
      <w:bookmarkStart w:id="41" w:name="_Toc35393639"/>
      <w:r/>
      <w:bookmarkStart w:id="42" w:name="_Toc28359098"/>
      <w:r/>
      <w:bookmarkStart w:id="43" w:name="_Toc28359021"/>
      <w:r>
        <w:rPr>
          <w:rFonts w:hint="eastAsia" w:cs="仿宋" w:asciiTheme="minorEastAsia" w:hAnsiTheme="minorEastAsia" w:eastAsiaTheme="minorEastAsia"/>
          <w:bCs/>
          <w:sz w:val="24"/>
          <w:szCs w:val="24"/>
        </w:rPr>
        <w:t xml:space="preserve">3.项目联系方式</w:t>
      </w:r>
      <w:bookmarkEnd w:id="40"/>
      <w:r/>
      <w:bookmarkEnd w:id="41"/>
      <w:r/>
      <w:bookmarkEnd w:id="42"/>
      <w:r/>
      <w:bookmarkEnd w:id="43"/>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项目联系人：</w:t>
      </w:r>
      <w:r>
        <w:rPr>
          <w:rFonts w:hint="eastAsia" w:cs="仿宋" w:asciiTheme="minorEastAsia" w:hAnsiTheme="minorEastAsia" w:eastAsiaTheme="minorEastAsia"/>
          <w:bCs/>
          <w:sz w:val="24"/>
          <w:szCs w:val="24"/>
        </w:rPr>
        <w:t xml:space="preserve">杨平</w:t>
      </w:r>
      <w:r>
        <w:rPr>
          <w:rFonts w:hint="eastAsia" w:cs="仿宋" w:asciiTheme="minorEastAsia" w:hAnsiTheme="minorEastAsia" w:eastAsiaTheme="minorEastAsia"/>
          <w:bCs/>
          <w:sz w:val="24"/>
          <w:szCs w:val="24"/>
        </w:rPr>
        <w:t xml:space="preserve">、季彬彬</w:t>
      </w:r>
      <w:r/>
    </w:p>
    <w:p>
      <w:pPr>
        <w:ind w:right="-110" w:firstLine="48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电　　 话：</w:t>
      </w:r>
      <w:r>
        <w:rPr>
          <w:rFonts w:hint="eastAsia" w:cs="仿宋" w:asciiTheme="minorEastAsia" w:hAnsiTheme="minorEastAsia" w:eastAsiaTheme="minorEastAsia"/>
          <w:bCs/>
          <w:sz w:val="24"/>
          <w:szCs w:val="24"/>
        </w:rPr>
        <w:t xml:space="preserve">18052080756</w:t>
      </w:r>
      <w:r>
        <w:rPr>
          <w:rFonts w:hint="eastAsia" w:cs="仿宋" w:asciiTheme="minorEastAsia" w:hAnsiTheme="minorEastAsia" w:eastAsiaTheme="minorEastAsia"/>
          <w:bCs/>
          <w:sz w:val="24"/>
          <w:szCs w:val="24"/>
        </w:rPr>
        <w:t xml:space="preserve">、025-57200087</w:t>
      </w:r>
      <w:r/>
    </w:p>
    <w:p>
      <w:pPr>
        <w:pStyle w:val="1096"/>
        <w:ind w:right="-110" w:firstLine="482"/>
        <w:jc w:val="center"/>
        <w:spacing w:before="240" w:after="240"/>
        <w:rPr>
          <w:rFonts w:cs="仿宋" w:asciiTheme="minorEastAsia" w:hAnsiTheme="minorEastAsia" w:eastAsiaTheme="minorEastAsia"/>
          <w:szCs w:val="24"/>
        </w:rPr>
      </w:pPr>
      <w:r>
        <w:rPr>
          <w:rFonts w:hint="eastAsia" w:cs="仿宋" w:asciiTheme="minorEastAsia" w:hAnsiTheme="minorEastAsia" w:eastAsiaTheme="minorEastAsia"/>
          <w:szCs w:val="24"/>
        </w:rPr>
        <w:br w:type="page" w:clear="all"/>
      </w:r>
      <w:bookmarkStart w:id="44" w:name="_Toc10045198"/>
      <w:r/>
      <w:bookmarkStart w:id="45" w:name="_Toc13932588"/>
      <w:r>
        <w:rPr>
          <w:rFonts w:hint="eastAsia" w:cs="仿宋" w:asciiTheme="minorEastAsia" w:hAnsiTheme="minorEastAsia" w:eastAsiaTheme="minorEastAsia"/>
          <w:sz w:val="32"/>
          <w:szCs w:val="24"/>
        </w:rPr>
        <w:t xml:space="preserve">第二章</w:t>
      </w:r>
      <w:r>
        <w:rPr>
          <w:rFonts w:hint="eastAsia" w:cs="仿宋" w:asciiTheme="minorEastAsia" w:hAnsiTheme="minorEastAsia" w:eastAsiaTheme="minorEastAsia"/>
          <w:sz w:val="32"/>
          <w:szCs w:val="32"/>
        </w:rPr>
        <w:t xml:space="preserve">竞争性磋商须知</w:t>
      </w:r>
      <w:bookmarkEnd w:id="44"/>
      <w:r/>
      <w:bookmarkEnd w:id="45"/>
      <w:r/>
      <w:r/>
    </w:p>
    <w:p>
      <w:pPr>
        <w:pStyle w:val="1097"/>
        <w:ind w:right="-110"/>
        <w:rPr>
          <w:rFonts w:cs="仿宋" w:asciiTheme="minorEastAsia" w:hAnsiTheme="minorEastAsia" w:eastAsiaTheme="minorEastAsia"/>
          <w:sz w:val="24"/>
        </w:rPr>
      </w:pPr>
      <w:r/>
      <w:bookmarkStart w:id="46" w:name="_Toc13932589"/>
      <w:r/>
      <w:bookmarkStart w:id="47" w:name="_Toc10045199"/>
      <w:r>
        <w:rPr>
          <w:rFonts w:hint="eastAsia" w:cs="仿宋" w:asciiTheme="minorEastAsia" w:hAnsiTheme="minorEastAsia" w:eastAsiaTheme="minorEastAsia"/>
          <w:sz w:val="24"/>
        </w:rPr>
        <w:t xml:space="preserve">一、总    则</w:t>
      </w:r>
      <w:bookmarkEnd w:id="46"/>
      <w:r/>
      <w:bookmarkEnd w:id="47"/>
      <w:r/>
      <w:r/>
    </w:p>
    <w:p>
      <w:pPr>
        <w:pStyle w:val="1517"/>
        <w:numPr>
          <w:ilvl w:val="0"/>
          <w:numId w:val="4"/>
        </w:numPr>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适用法律</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1.1 《中华人民共和国政府采购法》、《中华人民共和国政府采购法实施条例》、《政府采购竞争性磋商采购方式管理暂行办法》等有关法律、规章和规定等。</w:t>
      </w:r>
      <w:r/>
    </w:p>
    <w:p>
      <w:pPr>
        <w:pStyle w:val="1517"/>
        <w:numPr>
          <w:ilvl w:val="0"/>
          <w:numId w:val="4"/>
        </w:numPr>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定义</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2.1 “供应商”是指参加磋商竞争，并符合采购文件规定资格条件的法人、其他组织或者自然人。</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2.2 “货物和服务”指本采购文件中所述产品及相关服务。</w:t>
      </w:r>
      <w:r>
        <w:rPr>
          <w:rFonts w:hint="eastAsia" w:cs="仿宋" w:asciiTheme="minorEastAsia" w:hAnsiTheme="minorEastAsia" w:eastAsiaTheme="minorEastAsia"/>
          <w:b/>
          <w:szCs w:val="24"/>
          <w:lang w:val="en-US"/>
        </w:rPr>
        <w:t xml:space="preserve">本次采购不接受进口产品投标</w:t>
      </w:r>
      <w:r>
        <w:rPr>
          <w:rFonts w:hint="eastAsia" w:cs="仿宋" w:asciiTheme="minorEastAsia" w:hAnsiTheme="minorEastAsia" w:eastAsiaTheme="minorEastAsia"/>
          <w:szCs w:val="24"/>
          <w:lang w:val="en-US"/>
        </w:rPr>
        <w:t xml:space="preserve">，进口产品是指通过中国海关报关验放进入中国境内且产自关境外的产品。</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 “用户或使用单位”是指使用服务的单位。</w:t>
      </w:r>
      <w:r/>
    </w:p>
    <w:p>
      <w:pPr>
        <w:pStyle w:val="1517"/>
        <w:numPr>
          <w:ilvl w:val="0"/>
          <w:numId w:val="4"/>
        </w:numPr>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政策功能</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3.1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3.2政府采购促进中小企业发展，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right="-110" w:firstLine="482"/>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（1）在货物采购项目中，货物由中小企业制造，即货物由中小企业生产且使用该中小企业商号或者注册商标；</w:t>
      </w:r>
      <w:r/>
    </w:p>
    <w:p>
      <w:pPr>
        <w:ind w:right="-110" w:firstLine="482"/>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（2）在工程采购项目中，工程由中小企业承建，即工程施工单位为中小企业；</w:t>
      </w:r>
      <w:r/>
    </w:p>
    <w:p>
      <w:pPr>
        <w:ind w:right="-110" w:firstLine="482"/>
        <w:jc w:val="lef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（3）在服务采购项目中，服务由中小企业承接，即提供服务的人员为中小企业依照《中华人民共和国劳动合同法》订立劳动合同的从业人员。</w:t>
      </w:r>
      <w:r/>
    </w:p>
    <w:p>
      <w:pPr>
        <w:ind w:right="-110" w:firstLine="482"/>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（4）在货物采购项目中，供应商提供的货物既有中小企业制造货物，也有大型企业制造货物的，不享受中小企业扶持政策。</w:t>
      </w:r>
      <w:r/>
    </w:p>
    <w:p>
      <w:pPr>
        <w:ind w:right="-110" w:firstLine="482"/>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（5）以联合体形式参加政府采购活动，联合体各方均为中小企业的，联合体视同中小企业。其中，联合体各方均为小微企业的，联合体视同小微企业。</w:t>
      </w:r>
      <w:r/>
    </w:p>
    <w:p>
      <w:pPr>
        <w:ind w:right="-110" w:firstLine="482"/>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（6）中小企业供应商参加政府采购活动，应当出具《中小企业声明函》（格式见后附件），否则不得享受相关中小企业扶持政策。</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3.3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3.4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3.5提供的产品属于信息安全产品的，供应商应当选择经国家认证的信息安全产品投标，并提供由中国信息安全认证中心按国家标准认证颁发的有效认证证书</w:t>
      </w:r>
      <w:r>
        <w:rPr>
          <w:rFonts w:hint="eastAsia" w:cs="仿宋" w:asciiTheme="minorEastAsia" w:hAnsiTheme="minorEastAsia" w:eastAsiaTheme="minorEastAsia"/>
          <w:szCs w:val="24"/>
          <w:lang w:val="en-US"/>
        </w:rPr>
        <w:t xml:space="preserve">扫描</w:t>
      </w:r>
      <w:r>
        <w:rPr>
          <w:rFonts w:hint="eastAsia" w:cs="仿宋" w:asciiTheme="minorEastAsia" w:hAnsiTheme="minorEastAsia" w:eastAsiaTheme="minorEastAsia"/>
          <w:szCs w:val="24"/>
          <w:lang w:val="en-US"/>
        </w:rPr>
        <w:t xml:space="preserve">件。</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3.6提供的产品属于环境标志产品的,供应商应当选择经过认证的环境标志产品投标</w:t>
      </w:r>
      <w:r>
        <w:rPr>
          <w:rFonts w:hint="eastAsia" w:cs="仿宋" w:asciiTheme="minorEastAsia" w:hAnsiTheme="minorEastAsia" w:eastAsiaTheme="minorEastAsia"/>
          <w:szCs w:val="24"/>
          <w:lang w:val="en-US"/>
        </w:rPr>
        <w:t xml:space="preserve">，</w:t>
      </w:r>
      <w:r>
        <w:rPr>
          <w:rFonts w:hint="eastAsia" w:cs="仿宋" w:asciiTheme="minorEastAsia" w:hAnsiTheme="minorEastAsia" w:eastAsiaTheme="minorEastAsia"/>
          <w:szCs w:val="24"/>
          <w:lang w:val="en-US"/>
        </w:rPr>
        <w:t xml:space="preserve">并提供有效的环境标志产品认证证书</w:t>
      </w:r>
      <w:r>
        <w:rPr>
          <w:rFonts w:hint="eastAsia" w:cs="仿宋" w:asciiTheme="minorEastAsia" w:hAnsiTheme="minorEastAsia" w:eastAsiaTheme="minorEastAsia"/>
          <w:szCs w:val="24"/>
          <w:lang w:val="en-US"/>
        </w:rPr>
        <w:t xml:space="preserve">扫描</w:t>
      </w:r>
      <w:r>
        <w:rPr>
          <w:rFonts w:hint="eastAsia" w:cs="仿宋" w:asciiTheme="minorEastAsia" w:hAnsiTheme="minorEastAsia" w:eastAsiaTheme="minorEastAsia"/>
          <w:szCs w:val="24"/>
          <w:lang w:val="en-US"/>
        </w:rPr>
        <w:t xml:space="preserve">件。</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3.7提供的产品属于政府强制采购节能产品的，供应商应当选择经过认证的节能产品投标，并提供有效的节能产品认证证书</w:t>
      </w:r>
      <w:r>
        <w:rPr>
          <w:rFonts w:hint="eastAsia" w:cs="仿宋" w:asciiTheme="minorEastAsia" w:hAnsiTheme="minorEastAsia" w:eastAsiaTheme="minorEastAsia"/>
          <w:szCs w:val="24"/>
          <w:lang w:val="en-US"/>
        </w:rPr>
        <w:t xml:space="preserve">扫描</w:t>
      </w:r>
      <w:r>
        <w:rPr>
          <w:rFonts w:hint="eastAsia" w:cs="仿宋" w:asciiTheme="minorEastAsia" w:hAnsiTheme="minorEastAsia" w:eastAsiaTheme="minorEastAsia"/>
          <w:szCs w:val="24"/>
          <w:lang w:val="en-US"/>
        </w:rPr>
        <w:t xml:space="preserve">件。</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4.</w:t>
      </w:r>
      <w:r>
        <w:rPr>
          <w:rFonts w:hint="eastAsia" w:cs="仿宋" w:asciiTheme="minorEastAsia" w:hAnsiTheme="minorEastAsia" w:eastAsiaTheme="minorEastAsia"/>
          <w:szCs w:val="24"/>
        </w:rPr>
        <w:t xml:space="preserve">磋商费用</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4.1 供应商应承担所有与准备和参加磋商有关的费用，无论采购结果如何，采购代理和采购人在任何情况下均无义务和责任承担这些费用。</w:t>
      </w:r>
      <w:r/>
    </w:p>
    <w:p>
      <w:pPr>
        <w:pStyle w:val="1517"/>
        <w:rPr>
          <w:rFonts w:cs="仿宋" w:asciiTheme="minorEastAsia" w:hAnsiTheme="minorEastAsia" w:eastAsiaTheme="minorEastAsia"/>
          <w:b/>
          <w:szCs w:val="24"/>
          <w:lang w:val="en-US"/>
        </w:rPr>
      </w:pPr>
      <w:r>
        <w:rPr>
          <w:rFonts w:hint="eastAsia" w:cs="仿宋" w:asciiTheme="minorEastAsia" w:hAnsiTheme="minorEastAsia" w:eastAsiaTheme="minorEastAsia"/>
          <w:b/>
          <w:szCs w:val="24"/>
        </w:rPr>
        <w:t xml:space="preserve">4.2</w:t>
      </w:r>
      <w:r>
        <w:rPr>
          <w:rFonts w:hint="eastAsia" w:cs="仿宋" w:asciiTheme="minorEastAsia" w:hAnsiTheme="minorEastAsia" w:eastAsiaTheme="minorEastAsia"/>
          <w:b/>
          <w:szCs w:val="24"/>
          <w:lang w:val="en-US"/>
        </w:rPr>
        <w:t xml:space="preserve">本项目</w:t>
      </w:r>
      <w:r>
        <w:rPr>
          <w:rFonts w:hint="eastAsia" w:cs="仿宋" w:asciiTheme="minorEastAsia" w:hAnsiTheme="minorEastAsia" w:eastAsiaTheme="minorEastAsia"/>
          <w:b/>
          <w:szCs w:val="24"/>
          <w:lang w:val="en-US"/>
        </w:rPr>
        <w:t xml:space="preserve">采购</w:t>
      </w:r>
      <w:r>
        <w:rPr>
          <w:rFonts w:hint="eastAsia" w:cs="仿宋" w:asciiTheme="minorEastAsia" w:hAnsiTheme="minorEastAsia" w:eastAsiaTheme="minorEastAsia"/>
          <w:b/>
          <w:szCs w:val="24"/>
          <w:lang w:val="en-US"/>
        </w:rPr>
        <w:t xml:space="preserve">代理</w:t>
      </w:r>
      <w:r>
        <w:rPr>
          <w:rFonts w:hint="eastAsia" w:cs="仿宋" w:asciiTheme="minorEastAsia" w:hAnsiTheme="minorEastAsia" w:eastAsiaTheme="minorEastAsia"/>
          <w:b/>
          <w:szCs w:val="24"/>
          <w:lang w:val="en-US"/>
        </w:rPr>
        <w:t xml:space="preserve">服务</w:t>
      </w:r>
      <w:r>
        <w:rPr>
          <w:rFonts w:hint="eastAsia" w:cs="仿宋" w:asciiTheme="minorEastAsia" w:hAnsiTheme="minorEastAsia" w:eastAsiaTheme="minorEastAsia"/>
          <w:b/>
          <w:szCs w:val="24"/>
          <w:lang w:val="en-US"/>
        </w:rPr>
        <w:t xml:space="preserve">费由成交供应商在领取成交通知书时向采购代理机构一次付清，</w:t>
      </w:r>
      <w:r>
        <w:rPr>
          <w:rFonts w:hint="eastAsia" w:cs="仿宋" w:asciiTheme="minorEastAsia" w:hAnsiTheme="minorEastAsia" w:eastAsiaTheme="minorEastAsia"/>
          <w:b/>
          <w:szCs w:val="24"/>
          <w:lang w:val="en-US"/>
        </w:rPr>
        <w:t xml:space="preserve">采购代理服务费</w:t>
      </w:r>
      <w:r>
        <w:rPr>
          <w:rFonts w:hint="eastAsia" w:cs="仿宋" w:asciiTheme="minorEastAsia" w:hAnsiTheme="minorEastAsia" w:eastAsiaTheme="minorEastAsia"/>
          <w:b/>
          <w:szCs w:val="24"/>
          <w:lang w:val="en-US"/>
        </w:rPr>
        <w:t xml:space="preserve">计费原则：</w:t>
      </w:r>
      <w:r>
        <w:rPr>
          <w:rFonts w:hint="eastAsia" w:cs="仿宋" w:asciiTheme="minorEastAsia" w:hAnsiTheme="minorEastAsia" w:eastAsiaTheme="minorEastAsia"/>
          <w:b/>
          <w:szCs w:val="24"/>
          <w:lang w:val="en-US"/>
        </w:rPr>
        <w:t xml:space="preserve">参照</w:t>
      </w:r>
      <w:r>
        <w:rPr>
          <w:rFonts w:hint="eastAsia" w:cs="仿宋" w:asciiTheme="minorEastAsia" w:hAnsiTheme="minorEastAsia" w:eastAsiaTheme="minorEastAsia"/>
          <w:b/>
          <w:szCs w:val="24"/>
          <w:lang w:val="en-US"/>
        </w:rPr>
        <w:t xml:space="preserve">《招标代理服务收费管理暂行办法》国家发展计划委员会计价格[2002]1980号文件基准费率计取。</w:t>
      </w:r>
      <w:r>
        <w:rPr>
          <w:rFonts w:hint="eastAsia" w:cs="仿宋" w:asciiTheme="minorEastAsia" w:hAnsiTheme="minorEastAsia" w:eastAsiaTheme="minorEastAsia"/>
          <w:b/>
          <w:szCs w:val="24"/>
          <w:lang w:val="en-US"/>
        </w:rPr>
        <w:t xml:space="preserve">本项目专家评审费由采购人支付。</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4.3本项目还涉及税费、管理费等相关为完成本次项目磋商的费用由成交供应商支付并含在投标综合单价内。</w:t>
      </w:r>
      <w:r/>
    </w:p>
    <w:p>
      <w:pPr>
        <w:pStyle w:val="1097"/>
        <w:ind w:right="-110"/>
        <w:rPr>
          <w:rFonts w:cs="仿宋" w:asciiTheme="minorEastAsia" w:hAnsiTheme="minorEastAsia" w:eastAsiaTheme="minorEastAsia"/>
          <w:sz w:val="24"/>
        </w:rPr>
      </w:pPr>
      <w:r/>
      <w:bookmarkStart w:id="48" w:name="_Toc10045200"/>
      <w:r/>
      <w:bookmarkStart w:id="49" w:name="_Toc13932590"/>
      <w:r>
        <w:rPr>
          <w:rFonts w:hint="eastAsia" w:cs="仿宋" w:asciiTheme="minorEastAsia" w:hAnsiTheme="minorEastAsia" w:eastAsiaTheme="minorEastAsia"/>
          <w:sz w:val="24"/>
        </w:rPr>
        <w:t xml:space="preserve">二、响应文件编制</w:t>
      </w:r>
      <w:bookmarkEnd w:id="48"/>
      <w:r/>
      <w:bookmarkEnd w:id="49"/>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5.投标</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5.1 供应商应由其法定代表人或法定代表人授权委托人在规定的投标时间内完成投标。</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5.2 供应商应当对磋商文件提出的要求和条件作出实质性响应，并逐条应答。</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5.3供应商应对要求提供的资格证明文件（如资质证书、资格证书）、技术资料（如白皮书、彩页、手册、检测报告等）</w:t>
      </w:r>
      <w:r>
        <w:rPr>
          <w:rFonts w:hint="eastAsia" w:cs="仿宋" w:asciiTheme="minorEastAsia" w:hAnsiTheme="minorEastAsia" w:eastAsiaTheme="minorEastAsia"/>
          <w:szCs w:val="24"/>
        </w:rPr>
        <w:t xml:space="preserve">扫描件</w:t>
      </w:r>
      <w:r>
        <w:rPr>
          <w:rFonts w:hint="eastAsia" w:cs="仿宋" w:asciiTheme="minorEastAsia" w:hAnsiTheme="minorEastAsia" w:eastAsiaTheme="minorEastAsia"/>
          <w:szCs w:val="24"/>
        </w:rPr>
        <w:t xml:space="preserve">并加盖公章。</w:t>
      </w:r>
      <w:r>
        <w:rPr>
          <w:rFonts w:hint="eastAsia" w:cs="仿宋" w:asciiTheme="minorEastAsia" w:hAnsiTheme="minorEastAsia" w:eastAsiaTheme="minorEastAsia"/>
          <w:b/>
          <w:szCs w:val="24"/>
          <w:lang w:val="en-US"/>
        </w:rPr>
        <w:t xml:space="preserve">制作电子响应文件时请将相关资料上传至相应模块。供应商应保证上传的响应文件完整、清晰可辨认，若因上传资料过小或模糊不清等无法辨认的都视为该资料未提供。</w:t>
      </w:r>
      <w:r>
        <w:rPr>
          <w:rFonts w:ascii="SimSun" w:hAnsi="SimSun" w:eastAsia="SimSun" w:cs="SimSun"/>
          <w:b/>
          <w:color w:val="000000"/>
          <w:sz w:val="24"/>
        </w:rPr>
        <w:t xml:space="preserve">注：本项目无需提供《关于符合本国产品标准的声明函》，标书制作工具中格式模板可上传空白文件。</w:t>
      </w:r>
      <w:r>
        <w:rPr>
          <w:rFonts w:hint="eastAsia" w:cs="仿宋" w:asciiTheme="minorEastAsia" w:hAnsiTheme="minorEastAsia" w:eastAsiaTheme="minorEastAsia"/>
          <w:b/>
          <w:szCs w:val="24"/>
          <w:lang w:val="en-US"/>
        </w:rPr>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w:t>
      </w:r>
      <w:r>
        <w:rPr>
          <w:rFonts w:hint="eastAsia" w:cs="仿宋" w:asciiTheme="minorEastAsia" w:hAnsiTheme="minorEastAsia" w:eastAsiaTheme="minorEastAsia"/>
          <w:szCs w:val="24"/>
        </w:rPr>
        <w:t xml:space="preserve">4</w:t>
      </w:r>
      <w:r>
        <w:rPr>
          <w:rFonts w:hint="eastAsia" w:cs="仿宋" w:asciiTheme="minorEastAsia" w:hAnsiTheme="minorEastAsia" w:eastAsiaTheme="minorEastAsia"/>
          <w:szCs w:val="24"/>
        </w:rPr>
        <w:t xml:space="preserve">供应商拟在成交后将成交项目的非主体、非关键性工作交由他人完成的，应当在响应文件中载明。</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w:t>
      </w:r>
      <w:r>
        <w:rPr>
          <w:rFonts w:hint="eastAsia" w:cs="仿宋" w:asciiTheme="minorEastAsia" w:hAnsiTheme="minorEastAsia" w:eastAsiaTheme="minorEastAsia"/>
          <w:szCs w:val="24"/>
        </w:rPr>
        <w:t xml:space="preserve">5</w:t>
      </w:r>
      <w:r>
        <w:rPr>
          <w:rFonts w:hint="eastAsia" w:cs="仿宋" w:asciiTheme="minorEastAsia" w:hAnsiTheme="minorEastAsia" w:eastAsiaTheme="minorEastAsia"/>
          <w:szCs w:val="24"/>
        </w:rPr>
        <w:t xml:space="preserve">供应商应当按照磋商文件的要求编制响应文件，并对其提交的响应文件真实性、合法性承担法律责任。</w:t>
      </w:r>
      <w:r/>
    </w:p>
    <w:p>
      <w:pPr>
        <w:pStyle w:val="1517"/>
        <w:numPr>
          <w:ilvl w:val="0"/>
          <w:numId w:val="5"/>
        </w:numPr>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磋商文件的澄清或修改</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6.1提交首次响应文件截止至日前，</w:t>
      </w:r>
      <w:r>
        <w:rPr>
          <w:rFonts w:cs="仿宋" w:asciiTheme="minorEastAsia" w:hAnsiTheme="minorEastAsia" w:eastAsiaTheme="minorEastAsia"/>
          <w:szCs w:val="24"/>
          <w:lang w:val="en-US"/>
        </w:rPr>
        <w:t xml:space="preserve">采购人或者采购代理机构可以对已发出的磋商文件进行必要的澄清或者修改。澄清或者修改将在原公告发布媒体上发布澄清公告。澄清或者修改的内容为磋商文件的组成部分。</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6.2</w:t>
      </w:r>
      <w:r>
        <w:rPr>
          <w:rFonts w:cs="仿宋" w:asciiTheme="minorEastAsia" w:hAnsiTheme="minorEastAsia" w:eastAsiaTheme="minorEastAsia"/>
          <w:szCs w:val="24"/>
          <w:lang w:val="en-US"/>
        </w:rPr>
        <w:t xml:space="preserve">澄清或者修改的内容可能影响响应文件编制的，采购人或者采购代理机构将在投标截止时间至少</w:t>
      </w:r>
      <w:r>
        <w:rPr>
          <w:rFonts w:hint="eastAsia" w:cs="仿宋" w:asciiTheme="minorEastAsia" w:hAnsiTheme="minorEastAsia" w:eastAsiaTheme="minorEastAsia"/>
          <w:szCs w:val="24"/>
          <w:lang w:val="en-US"/>
        </w:rPr>
        <w:t xml:space="preserve">5</w:t>
      </w:r>
      <w:r>
        <w:rPr>
          <w:rFonts w:cs="仿宋" w:asciiTheme="minorEastAsia" w:hAnsiTheme="minorEastAsia" w:eastAsiaTheme="minorEastAsia"/>
          <w:szCs w:val="24"/>
          <w:lang w:val="en-US"/>
        </w:rPr>
        <w:t xml:space="preserve">日前，以书面形式通知所有获取磋商文件的潜在供应商；不足</w:t>
      </w:r>
      <w:r>
        <w:rPr>
          <w:rFonts w:hint="eastAsia" w:cs="仿宋" w:asciiTheme="minorEastAsia" w:hAnsiTheme="minorEastAsia" w:eastAsiaTheme="minorEastAsia"/>
          <w:szCs w:val="24"/>
          <w:lang w:val="en-US"/>
        </w:rPr>
        <w:t xml:space="preserve">5</w:t>
      </w:r>
      <w:r>
        <w:rPr>
          <w:rFonts w:cs="仿宋" w:asciiTheme="minorEastAsia" w:hAnsiTheme="minorEastAsia" w:eastAsiaTheme="minorEastAsia"/>
          <w:szCs w:val="24"/>
          <w:lang w:val="en-US"/>
        </w:rPr>
        <w:t xml:space="preserve">日的，采购人或者采购代理机构将顺延提交响应文件的截止时间。</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.响应文件的语言、计量单位、货币和编制</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.1 供应商提交的响应文件、技术文件和资料，包括图纸中的说明应使用中文。响应文件中若有英文或其他语言文字的资料，应提供相应的中文翻译资料。对不同文本响应文件的解释发生异议的，以中文文本为准。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.2 供应商所使用的计量单位应为国家法定计量单位。</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.3供应商所使用的币种位应为人民币，单位为“元”。投标产品如果属于进口产品的，应提供人民币与美元之间的汇率。</w:t>
      </w:r>
      <w:r>
        <w:rPr>
          <w:rFonts w:hint="eastAsia" w:cs="仿宋" w:asciiTheme="minorEastAsia" w:hAnsiTheme="minorEastAsia" w:eastAsiaTheme="minorEastAsia"/>
          <w:szCs w:val="24"/>
        </w:rPr>
        <w:br/>
      </w: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.4 响应文件应字迹清楚、内容齐全、不得涂改。如有修改，修改处须有供应商公章或法定代表人或其授权磋商代表签字。</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rPr>
        <w:t xml:space="preserve">5</w:t>
      </w:r>
      <w:r>
        <w:rPr>
          <w:rFonts w:hint="eastAsia" w:cs="仿宋" w:asciiTheme="minorEastAsia" w:hAnsiTheme="minorEastAsia" w:eastAsiaTheme="minorEastAsia"/>
          <w:szCs w:val="24"/>
        </w:rPr>
        <w:t xml:space="preserve"> 供应商应在响应文件中写清相应的项目编号、项目名称、供应商名称、地址、电话、传真等。</w:t>
      </w:r>
      <w:r/>
    </w:p>
    <w:p>
      <w:pPr>
        <w:pStyle w:val="1517"/>
        <w:rPr>
          <w:rFonts w:cs="仿宋" w:asciiTheme="minorEastAsia" w:hAnsiTheme="minorEastAsia" w:eastAsiaTheme="minorEastAsia"/>
          <w:bCs/>
          <w:szCs w:val="24"/>
        </w:rPr>
      </w:pP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rPr>
        <w:t xml:space="preserve">6</w:t>
      </w:r>
      <w:r>
        <w:rPr>
          <w:rFonts w:hint="eastAsia" w:cs="仿宋" w:asciiTheme="minorEastAsia" w:hAnsiTheme="minorEastAsia" w:eastAsiaTheme="minorEastAsia"/>
          <w:szCs w:val="24"/>
        </w:rPr>
        <w:t xml:space="preserve">供应商所使用的技术标准应遵循国家最新标准及规范。</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.响应文件的组成</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.1 供应商应当根据磋商文件要求编制响应文件，并根据自己的商务能力、技术水平对磋商文件提出的要求和条件逐条标明是否响应。响应文件由商务部分、技术部分、价格部分，以及其他部分组成。</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bCs/>
          <w:szCs w:val="24"/>
          <w:lang w:val="en-US"/>
        </w:rPr>
        <w:t xml:space="preserve">8</w:t>
      </w:r>
      <w:r>
        <w:rPr>
          <w:rFonts w:hint="eastAsia" w:cs="仿宋" w:asciiTheme="minorEastAsia" w:hAnsiTheme="minorEastAsia" w:eastAsiaTheme="minorEastAsia"/>
          <w:bCs/>
          <w:szCs w:val="24"/>
        </w:rPr>
        <w:t xml:space="preserve">.2 响应文件的商务部分。</w:t>
      </w:r>
      <w:r>
        <w:rPr>
          <w:rFonts w:hint="eastAsia" w:cs="仿宋" w:asciiTheme="minorEastAsia" w:hAnsiTheme="minorEastAsia" w:eastAsiaTheme="minorEastAsia"/>
          <w:szCs w:val="24"/>
        </w:rPr>
        <w:t xml:space="preserve">商务部分是证明供应商有资格参加磋商和成交后有能力履行合同的文件，这些文件应能满足竞争性磋商采购文件的要求，包括但不限于下列文件，其中加★项目不得有缺失或无效：</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（1）★投标申请及声明；</w:t>
      </w:r>
      <w:r>
        <w:rPr>
          <w:rFonts w:cs="仿宋" w:asciiTheme="minorEastAsia" w:hAnsiTheme="minorEastAsia" w:eastAsiaTheme="minorEastAsia"/>
          <w:szCs w:val="24"/>
        </w:rPr>
        <w:t xml:space="preserve"> </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bCs/>
          <w:szCs w:val="24"/>
          <w:lang w:val="en-US"/>
        </w:rPr>
        <w:t xml:space="preserve">法定代表人授权委托书及委托代理人的身份证</w:t>
      </w:r>
      <w:r>
        <w:rPr>
          <w:rFonts w:hint="eastAsia" w:cs="仿宋" w:asciiTheme="minorEastAsia" w:hAnsiTheme="minorEastAsia" w:eastAsiaTheme="minorEastAsia"/>
          <w:bCs/>
          <w:szCs w:val="24"/>
          <w:lang w:val="en-US"/>
        </w:rPr>
        <w:t xml:space="preserve">扫描</w:t>
      </w:r>
      <w:r>
        <w:rPr>
          <w:rFonts w:hint="eastAsia" w:cs="仿宋" w:asciiTheme="minorEastAsia" w:hAnsiTheme="minorEastAsia" w:eastAsiaTheme="minorEastAsia"/>
          <w:bCs/>
          <w:szCs w:val="24"/>
          <w:lang w:val="en-US"/>
        </w:rPr>
        <w:t xml:space="preserve">件</w:t>
      </w:r>
      <w:r>
        <w:rPr>
          <w:rFonts w:hint="eastAsia" w:cs="仿宋" w:asciiTheme="minorEastAsia" w:hAnsiTheme="minorEastAsia" w:eastAsiaTheme="minorEastAsia"/>
          <w:szCs w:val="24"/>
        </w:rPr>
        <w:t xml:space="preserve">； </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（3）★供应商资格条件证明文件；</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（4）★</w:t>
      </w:r>
      <w:r>
        <w:rPr>
          <w:rFonts w:hint="eastAsia" w:cs="仿宋" w:asciiTheme="minorEastAsia" w:hAnsiTheme="minorEastAsia" w:eastAsiaTheme="minorEastAsia"/>
          <w:lang w:val="en-US"/>
        </w:rPr>
        <w:t xml:space="preserve"> </w:t>
      </w:r>
      <w:r>
        <w:rPr>
          <w:rFonts w:hint="eastAsia" w:cs="仿宋" w:asciiTheme="minorEastAsia" w:hAnsiTheme="minorEastAsia" w:eastAsiaTheme="minorEastAsia"/>
          <w:lang w:val="en-US"/>
        </w:rPr>
        <w:t xml:space="preserve">“</w:t>
      </w:r>
      <w:r>
        <w:rPr>
          <w:rFonts w:hint="eastAsia" w:cs="仿宋" w:asciiTheme="minorEastAsia" w:hAnsiTheme="minorEastAsia" w:eastAsiaTheme="minorEastAsia"/>
        </w:rPr>
        <w:t xml:space="preserve">南京公共采购信息网</w:t>
      </w:r>
      <w:r>
        <w:rPr>
          <w:rFonts w:hint="eastAsia" w:cs="仿宋" w:asciiTheme="minorEastAsia" w:hAnsiTheme="minorEastAsia" w:eastAsiaTheme="minorEastAsia"/>
          <w:lang w:val="en-US"/>
        </w:rPr>
        <w:t xml:space="preserve">”网站</w:t>
      </w:r>
      <w:r>
        <w:rPr>
          <w:rFonts w:hint="eastAsia" w:cs="仿宋" w:asciiTheme="minorEastAsia" w:hAnsiTheme="minorEastAsia" w:eastAsiaTheme="minorEastAsia"/>
        </w:rPr>
        <w:t xml:space="preserve">在线打印</w:t>
      </w:r>
      <w:r>
        <w:rPr>
          <w:rFonts w:hint="eastAsia" w:cs="仿宋" w:asciiTheme="minorEastAsia" w:hAnsiTheme="minorEastAsia" w:eastAsiaTheme="minorEastAsia"/>
          <w:lang w:val="en-US"/>
        </w:rPr>
        <w:t xml:space="preserve">的</w:t>
      </w:r>
      <w:r>
        <w:rPr>
          <w:rFonts w:hint="eastAsia" w:cs="仿宋" w:asciiTheme="minorEastAsia" w:hAnsiTheme="minorEastAsia" w:eastAsiaTheme="minorEastAsia"/>
          <w:szCs w:val="24"/>
        </w:rPr>
        <w:t xml:space="preserve">南京市政府采购供应商信用记录表</w:t>
      </w:r>
      <w:r>
        <w:rPr>
          <w:rFonts w:hint="eastAsia" w:cs="仿宋" w:asciiTheme="minorEastAsia" w:hAnsiTheme="minorEastAsia" w:eastAsiaTheme="minorEastAsia"/>
          <w:bCs/>
          <w:szCs w:val="24"/>
        </w:rPr>
        <w:t xml:space="preserve">暨信用承诺书</w:t>
      </w:r>
      <w:r>
        <w:rPr>
          <w:rFonts w:hint="eastAsia" w:cs="仿宋" w:asciiTheme="minorEastAsia" w:hAnsiTheme="minorEastAsia" w:eastAsiaTheme="minorEastAsia"/>
          <w:szCs w:val="24"/>
          <w:lang w:val="en-US"/>
        </w:rPr>
        <w:t xml:space="preserve">（</w:t>
      </w:r>
      <w:r>
        <w:rPr>
          <w:rFonts w:hint="eastAsia" w:cs="仿宋" w:asciiTheme="minorEastAsia" w:hAnsiTheme="minorEastAsia" w:eastAsiaTheme="minorEastAsia"/>
          <w:b/>
          <w:szCs w:val="24"/>
          <w:lang w:val="en-US"/>
        </w:rPr>
        <w:t xml:space="preserve">经法定代表人签名并加盖公章</w:t>
      </w:r>
      <w:r>
        <w:rPr>
          <w:rFonts w:hint="eastAsia" w:cs="仿宋" w:asciiTheme="minorEastAsia" w:hAnsiTheme="minorEastAsia" w:eastAsiaTheme="minorEastAsia"/>
          <w:szCs w:val="24"/>
          <w:lang w:val="en-US"/>
        </w:rPr>
        <w:t xml:space="preserve">；《南京市政府采购供应商信用记录表暨信用承诺书》法定代表人电子签名或手写签名方有效，法定代表人电子印章视为无效；打印日期为采购文件发布之日起至递交响应文件截止日前）；</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5</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w:t>
      </w:r>
      <w:r>
        <w:rPr>
          <w:rFonts w:hint="eastAsia" w:cs="仿宋" w:asciiTheme="minorEastAsia" w:hAnsiTheme="minorEastAsia" w:eastAsiaTheme="minorEastAsia"/>
          <w:szCs w:val="24"/>
        </w:rPr>
        <w:t xml:space="preserve">中小企业声明函；</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）《商务条款偏离表》；</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）供应商认为需要提供的其他资格证明文件和商务资料。</w:t>
      </w:r>
      <w:r/>
    </w:p>
    <w:p>
      <w:pPr>
        <w:pStyle w:val="1517"/>
        <w:rPr>
          <w:rFonts w:cs="仿宋" w:asciiTheme="minorEastAsia" w:hAnsiTheme="minorEastAsia" w:eastAsiaTheme="minorEastAsia"/>
          <w:bCs/>
          <w:szCs w:val="24"/>
        </w:rPr>
      </w:pPr>
      <w:r>
        <w:rPr>
          <w:rFonts w:hint="eastAsia" w:cs="仿宋" w:asciiTheme="minorEastAsia" w:hAnsiTheme="minorEastAsia" w:eastAsiaTheme="minorEastAsia"/>
          <w:bCs/>
          <w:szCs w:val="24"/>
          <w:lang w:val="en-US"/>
        </w:rPr>
        <w:t xml:space="preserve">8</w:t>
      </w:r>
      <w:r>
        <w:rPr>
          <w:rFonts w:hint="eastAsia" w:cs="仿宋" w:asciiTheme="minorEastAsia" w:hAnsiTheme="minorEastAsia" w:eastAsiaTheme="minorEastAsia"/>
          <w:bCs/>
          <w:szCs w:val="24"/>
        </w:rPr>
        <w:t xml:space="preserve">.3 响应文件的技术部分。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bCs/>
          <w:szCs w:val="24"/>
        </w:rPr>
        <w:t xml:space="preserve">（1）</w:t>
      </w:r>
      <w:r>
        <w:rPr>
          <w:rFonts w:hint="eastAsia" w:cs="仿宋" w:asciiTheme="minorEastAsia" w:hAnsiTheme="minorEastAsia" w:eastAsiaTheme="minorEastAsia"/>
          <w:szCs w:val="24"/>
        </w:rPr>
        <w:t xml:space="preserve">技术部分是证明供应商提供的服务是合格的，并符合磋商文件要求的证明文件，以及对投标报价表中的服务的详细说明，这些文件可以是文字资料、图纸和数据等。</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（2）若技术性能无特殊说明，则按国家有关部门最新颁布的标准及规范为准；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（3）提供的服务如与磋商文件要求有不符之处，应说明其差别之所在，并在《技术条款偏离表》中逐条予以说明。</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（4）</w:t>
      </w:r>
      <w:r>
        <w:rPr>
          <w:rFonts w:hint="eastAsia" w:cs="仿宋" w:asciiTheme="minorEastAsia" w:hAnsiTheme="minorEastAsia" w:eastAsiaTheme="minorEastAsia"/>
          <w:szCs w:val="24"/>
        </w:rPr>
        <w:t xml:space="preserve">响应文件</w:t>
      </w:r>
      <w:r>
        <w:rPr>
          <w:rFonts w:hint="eastAsia" w:cs="仿宋" w:asciiTheme="minorEastAsia" w:hAnsiTheme="minorEastAsia" w:eastAsiaTheme="minorEastAsia"/>
          <w:szCs w:val="24"/>
        </w:rPr>
        <w:t xml:space="preserve">应按照磋商文件要求提供技术资料、文件和有关证明，包括但不限于其中加“★”项目不得有缺失或无效：</w:t>
      </w:r>
      <w:r/>
    </w:p>
    <w:p>
      <w:pPr>
        <w:ind w:right="-110" w:firstLine="482"/>
        <w:spacing w:line="352" w:lineRule="exac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rPr>
        <w:t xml:space="preserve">①</w:t>
      </w:r>
      <w:r>
        <w:rPr>
          <w:rFonts w:hint="eastAsia" w:cs="仿宋" w:asciiTheme="minorEastAsia" w:hAnsiTheme="minorEastAsia" w:eastAsiaTheme="minorEastAsia"/>
          <w:sz w:val="24"/>
          <w:szCs w:val="24"/>
          <w:lang w:val="zh-CN"/>
        </w:rPr>
        <w:t xml:space="preserve">《技术条款偏离表》；</w:t>
      </w:r>
      <w:r/>
    </w:p>
    <w:p>
      <w:pPr>
        <w:ind w:right="-110" w:firstLine="482"/>
        <w:spacing w:line="352" w:lineRule="exac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rPr>
        <w:t xml:space="preserve">②</w:t>
      </w:r>
      <w:r>
        <w:rPr>
          <w:rFonts w:hint="eastAsia" w:cs="仿宋" w:asciiTheme="minorEastAsia" w:hAnsiTheme="minorEastAsia" w:eastAsiaTheme="minorEastAsia"/>
          <w:sz w:val="24"/>
          <w:szCs w:val="24"/>
          <w:lang w:val="zh-CN"/>
        </w:rPr>
        <w:t xml:space="preserve">项目技术方案</w:t>
      </w:r>
      <w:r>
        <w:rPr>
          <w:rFonts w:hint="eastAsia" w:cs="仿宋" w:asciiTheme="minorEastAsia" w:hAnsiTheme="minorEastAsia" w:eastAsiaTheme="minorEastAsia"/>
          <w:sz w:val="24"/>
          <w:szCs w:val="24"/>
          <w:lang w:val="zh-CN"/>
        </w:rPr>
        <w:t xml:space="preserve">；</w:t>
      </w:r>
      <w:r/>
    </w:p>
    <w:p>
      <w:pPr>
        <w:ind w:right="-110" w:firstLine="482"/>
        <w:spacing w:line="352" w:lineRule="exac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rPr>
        <w:t xml:space="preserve">③</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 w:val="24"/>
          <w:szCs w:val="24"/>
          <w:lang w:val="zh-CN"/>
        </w:rPr>
        <w:t xml:space="preserve">服务承诺（不得低于本项目磋商要求）；</w:t>
      </w:r>
      <w:r/>
    </w:p>
    <w:p>
      <w:pPr>
        <w:ind w:right="-110" w:firstLine="482"/>
        <w:spacing w:line="352" w:lineRule="exact"/>
        <w:rPr>
          <w:rFonts w:cs="仿宋" w:asciiTheme="minorEastAsia" w:hAnsiTheme="minorEastAsia" w:eastAsiaTheme="minorEastAsia"/>
          <w:szCs w:val="24"/>
        </w:rPr>
      </w:pPr>
      <w:r>
        <w:rPr>
          <w:rFonts w:hint="eastAsia" w:cs="仿宋" w:asciiTheme="minorEastAsia" w:hAnsiTheme="minorEastAsia" w:eastAsiaTheme="minorEastAsia"/>
          <w:sz w:val="24"/>
          <w:szCs w:val="24"/>
        </w:rPr>
        <w:t xml:space="preserve">④</w:t>
      </w:r>
      <w:r>
        <w:rPr>
          <w:rFonts w:hint="eastAsia" w:cs="仿宋" w:asciiTheme="minorEastAsia" w:hAnsiTheme="minorEastAsia" w:eastAsiaTheme="minorEastAsia"/>
          <w:sz w:val="24"/>
          <w:szCs w:val="24"/>
        </w:rPr>
        <w:t xml:space="preserve">供应商认为需要提供的其他技术</w:t>
      </w:r>
      <w:r>
        <w:rPr>
          <w:rFonts w:hint="eastAsia" w:cs="仿宋" w:asciiTheme="minorEastAsia" w:hAnsiTheme="minorEastAsia" w:eastAsiaTheme="minorEastAsia"/>
          <w:sz w:val="24"/>
          <w:szCs w:val="24"/>
        </w:rPr>
        <w:t xml:space="preserve">文件或资料等。</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.4 响应文件的价格部分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（1）价格部分是对货物和服务价格构成的说明，磋商文件如没有特别说明的话，对每一项服务仅接受一个价格。</w:t>
      </w:r>
      <w:r/>
    </w:p>
    <w:p>
      <w:pPr>
        <w:pStyle w:val="1517"/>
        <w:rPr>
          <w:rFonts w:cs="仿宋" w:asciiTheme="minorEastAsia" w:hAnsiTheme="minorEastAsia" w:eastAsiaTheme="minorEastAsia"/>
          <w:bCs/>
          <w:szCs w:val="24"/>
        </w:rPr>
      </w:pPr>
      <w:r>
        <w:rPr>
          <w:rFonts w:hint="eastAsia" w:cs="仿宋" w:asciiTheme="minorEastAsia" w:hAnsiTheme="minorEastAsia" w:eastAsiaTheme="minorEastAsia"/>
          <w:szCs w:val="24"/>
        </w:rPr>
        <w:t xml:space="preserve">（2）报价应包含完成本服务项目发生的所有含税费用、支付给员工的工资和国家强制缴纳的各种社会保障资金</w:t>
      </w:r>
      <w:r>
        <w:rPr>
          <w:rFonts w:hint="eastAsia" w:cs="仿宋" w:asciiTheme="minorEastAsia" w:hAnsiTheme="minorEastAsia" w:eastAsiaTheme="minorEastAsia"/>
          <w:bCs/>
          <w:szCs w:val="24"/>
        </w:rPr>
        <w:t xml:space="preserve">，以及供应商认为需要的其他费用等</w:t>
      </w:r>
      <w:r>
        <w:rPr>
          <w:rFonts w:hint="eastAsia" w:cs="仿宋" w:asciiTheme="minorEastAsia" w:hAnsiTheme="minorEastAsia" w:eastAsiaTheme="minorEastAsia"/>
          <w:szCs w:val="24"/>
        </w:rPr>
        <w:t xml:space="preserve">。</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（3）供应商应充分考虑到市场价格变动，以及项目实施过程中的不可预见因素，一旦成交，总价格不变。如果有漏项，视同让利。</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（4）经磋商后，如果成交价高于或低于供应商在响应文件首次报价的，分项报价同比例调整。</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.5 响应文件的其他部分。其他部分由供应商根据编制响应文件需要提供的其他相关文件。</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9</w:t>
      </w:r>
      <w:r>
        <w:rPr>
          <w:rFonts w:hint="eastAsia" w:cs="仿宋" w:asciiTheme="minorEastAsia" w:hAnsiTheme="minorEastAsia" w:eastAsiaTheme="minorEastAsia"/>
          <w:szCs w:val="24"/>
        </w:rPr>
        <w:t xml:space="preserve">.竞争性磋商保证金</w:t>
      </w: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lang w:val="en-US"/>
        </w:rPr>
        <w:t xml:space="preserve">以下为格式文本，本项目无需缴纳投标保证金</w:t>
      </w:r>
      <w:r>
        <w:rPr>
          <w:rFonts w:hint="eastAsia" w:cs="仿宋" w:asciiTheme="minorEastAsia" w:hAnsiTheme="minorEastAsia" w:eastAsiaTheme="minorEastAsia"/>
          <w:b/>
          <w:szCs w:val="24"/>
        </w:rPr>
        <w:t xml:space="preserve">）</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9</w:t>
      </w:r>
      <w:r>
        <w:rPr>
          <w:rFonts w:hint="eastAsia" w:cs="仿宋" w:asciiTheme="minorEastAsia" w:hAnsiTheme="minorEastAsia" w:eastAsiaTheme="minorEastAsia"/>
          <w:szCs w:val="24"/>
        </w:rPr>
        <w:t xml:space="preserve">.1 供应商应按照要求提交磋商保证金，并作为其响应文件的一部分。磋商保证金是为了保护采购人免遭因供应商的行为而蒙受的损失，采购代理在因供应商的行为受到损害时，磋商保证金将不予退还。</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9</w:t>
      </w:r>
      <w:r>
        <w:rPr>
          <w:rFonts w:hint="eastAsia" w:cs="仿宋" w:asciiTheme="minorEastAsia" w:hAnsiTheme="minorEastAsia" w:eastAsiaTheme="minorEastAsia"/>
          <w:szCs w:val="24"/>
        </w:rPr>
        <w:t xml:space="preserve">.2 未成交供应商的磋商保证金，将在成交通知发出后</w:t>
      </w:r>
      <w:r>
        <w:rPr>
          <w:rFonts w:hint="eastAsia" w:cs="仿宋" w:asciiTheme="minorEastAsia" w:hAnsiTheme="minorEastAsia" w:eastAsiaTheme="minorEastAsia"/>
          <w:bCs/>
          <w:iCs/>
          <w:szCs w:val="24"/>
          <w:u w:val="single"/>
        </w:rPr>
        <w:t xml:space="preserve">五个工作日</w:t>
      </w:r>
      <w:r>
        <w:rPr>
          <w:rFonts w:hint="eastAsia" w:cs="仿宋" w:asciiTheme="minorEastAsia" w:hAnsiTheme="minorEastAsia" w:eastAsiaTheme="minorEastAsia"/>
          <w:szCs w:val="24"/>
        </w:rPr>
        <w:t xml:space="preserve">内无息退还。未成交的供应商应主动与响应文件接收人联系办理磋商保证金退还事宜，以及办理退还手续，由于供应商的自身原因未联系办理保证金退还的，其责任和由此造成的后果由供应商自行承担。</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9</w:t>
      </w:r>
      <w:r>
        <w:rPr>
          <w:rFonts w:hint="eastAsia" w:cs="仿宋" w:asciiTheme="minorEastAsia" w:hAnsiTheme="minorEastAsia" w:eastAsiaTheme="minorEastAsia"/>
          <w:szCs w:val="24"/>
        </w:rPr>
        <w:t xml:space="preserve">.3 成交供应商的磋商保证金，将在采购合同签订后退回。竞争性磋商文件另有约定的从其约定。</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9</w:t>
      </w:r>
      <w:r>
        <w:rPr>
          <w:rFonts w:hint="eastAsia" w:cs="仿宋" w:asciiTheme="minorEastAsia" w:hAnsiTheme="minorEastAsia" w:eastAsiaTheme="minorEastAsia"/>
          <w:szCs w:val="24"/>
        </w:rPr>
        <w:t xml:space="preserve">.4 下列任何情况发生时，磋商保证金不予退还：</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（1）成交通知书发出后三十日内，成交供应商未与采购人签订合同的；</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（2）提供虚假材料谋取成交的；</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（3）经查实与采购人、其他供应商或者采购代理恶意串通的等。</w:t>
      </w:r>
      <w:r/>
    </w:p>
    <w:p>
      <w:pPr>
        <w:pStyle w:val="1097"/>
        <w:ind w:right="-110"/>
        <w:rPr>
          <w:rFonts w:cs="仿宋" w:asciiTheme="minorEastAsia" w:hAnsiTheme="minorEastAsia" w:eastAsiaTheme="minorEastAsia"/>
          <w:sz w:val="24"/>
        </w:rPr>
      </w:pPr>
      <w:r/>
      <w:bookmarkStart w:id="50" w:name="_Toc13932591"/>
      <w:r/>
      <w:bookmarkStart w:id="51" w:name="_Toc10045201"/>
      <w:r>
        <w:rPr>
          <w:rFonts w:hint="eastAsia" w:cs="仿宋" w:asciiTheme="minorEastAsia" w:hAnsiTheme="minorEastAsia" w:eastAsiaTheme="minorEastAsia"/>
          <w:sz w:val="24"/>
        </w:rPr>
        <w:t xml:space="preserve">三、响应文件签署与提交</w:t>
      </w:r>
      <w:bookmarkEnd w:id="50"/>
      <w:r/>
      <w:bookmarkEnd w:id="51"/>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10</w:t>
      </w:r>
      <w:r>
        <w:rPr>
          <w:rFonts w:hint="eastAsia" w:cs="仿宋" w:asciiTheme="minorEastAsia" w:hAnsiTheme="minorEastAsia" w:eastAsiaTheme="minorEastAsia"/>
          <w:szCs w:val="24"/>
        </w:rPr>
        <w:t xml:space="preserve">.响应文件签署</w:t>
      </w:r>
      <w:r/>
    </w:p>
    <w:p>
      <w:pPr>
        <w:pStyle w:val="1517"/>
        <w:rPr>
          <w:rFonts w:cs="仿宋" w:asciiTheme="minorEastAsia" w:hAnsiTheme="minorEastAsia" w:eastAsiaTheme="minorEastAsia"/>
          <w:bCs/>
          <w:szCs w:val="24"/>
        </w:rPr>
      </w:pPr>
      <w:r>
        <w:rPr>
          <w:rFonts w:hint="eastAsia" w:cs="仿宋" w:asciiTheme="minorEastAsia" w:hAnsiTheme="minorEastAsia" w:eastAsiaTheme="minorEastAsia"/>
          <w:szCs w:val="24"/>
          <w:lang w:val="en-US"/>
        </w:rPr>
        <w:t xml:space="preserve">10</w:t>
      </w:r>
      <w:r>
        <w:rPr>
          <w:rFonts w:hint="eastAsia" w:cs="仿宋" w:asciiTheme="minorEastAsia" w:hAnsiTheme="minorEastAsia" w:eastAsiaTheme="minorEastAsia"/>
          <w:szCs w:val="24"/>
        </w:rPr>
        <w:t xml:space="preserve">.1 响应文件应由供应商法定代表人或授权代表签字，并加盖公章。</w:t>
      </w:r>
      <w:r>
        <w:rPr>
          <w:rFonts w:hint="eastAsia" w:cs="仿宋" w:asciiTheme="minorEastAsia" w:hAnsiTheme="minorEastAsia" w:eastAsiaTheme="minorEastAsia"/>
          <w:b/>
          <w:szCs w:val="24"/>
        </w:rPr>
        <w:t xml:space="preserve">如标书制作工具中格式和内容与“南京公共采购信息网”发布的采购文件不一致，请以“南京公共采购信息网”发布的采购文件为准。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10</w:t>
      </w:r>
      <w:r>
        <w:rPr>
          <w:rFonts w:hint="eastAsia" w:cs="仿宋" w:asciiTheme="minorEastAsia" w:hAnsiTheme="minorEastAsia" w:eastAsiaTheme="minorEastAsia"/>
          <w:szCs w:val="24"/>
        </w:rPr>
        <w:t xml:space="preserve">.2 </w:t>
      </w:r>
      <w:r>
        <w:rPr>
          <w:rFonts w:hint="eastAsia" w:cs="仿宋" w:asciiTheme="minorEastAsia" w:hAnsiTheme="minorEastAsia" w:eastAsiaTheme="minorEastAsia"/>
          <w:szCs w:val="24"/>
        </w:rPr>
        <w:t xml:space="preserve">供应商应当按照《操作手册》规定，在磋商公告规定的提交响应文件截止时间前制作并上传电子响应文件。</w:t>
      </w:r>
      <w:r>
        <w:rPr>
          <w:rFonts w:hint="eastAsia" w:cs="仿宋" w:asciiTheme="minorEastAsia" w:hAnsiTheme="minorEastAsia" w:eastAsiaTheme="minorEastAsia"/>
          <w:szCs w:val="24"/>
        </w:rPr>
        <w:t xml:space="preserve">提交响应文件截止时间后上传的任何响应文件将被拒绝。</w:t>
      </w:r>
      <w:r/>
    </w:p>
    <w:p>
      <w:pPr>
        <w:pStyle w:val="1517"/>
        <w:rPr>
          <w:rFonts w:cs="仿宋" w:asciiTheme="minorEastAsia" w:hAnsiTheme="minorEastAsia" w:eastAsiaTheme="minorEastAsia"/>
          <w:bCs/>
          <w:szCs w:val="24"/>
        </w:rPr>
      </w:pPr>
      <w:r>
        <w:rPr>
          <w:rFonts w:hint="eastAsia" w:cs="仿宋" w:asciiTheme="minorEastAsia" w:hAnsiTheme="minorEastAsia" w:eastAsiaTheme="minorEastAsia"/>
          <w:bCs/>
          <w:szCs w:val="24"/>
          <w:lang w:val="en-US"/>
        </w:rPr>
        <w:t xml:space="preserve">10</w:t>
      </w:r>
      <w:r>
        <w:rPr>
          <w:rFonts w:hint="eastAsia" w:cs="仿宋" w:asciiTheme="minorEastAsia" w:hAnsiTheme="minorEastAsia" w:eastAsiaTheme="minorEastAsia"/>
          <w:bCs/>
          <w:szCs w:val="24"/>
        </w:rPr>
        <w:t xml:space="preserve">.3 </w:t>
      </w:r>
      <w:r>
        <w:rPr>
          <w:rFonts w:hint="eastAsia" w:cs="仿宋" w:asciiTheme="minorEastAsia" w:hAnsiTheme="minorEastAsia" w:eastAsiaTheme="minorEastAsia"/>
          <w:bCs/>
          <w:szCs w:val="24"/>
        </w:rPr>
        <w:t xml:space="preserve">供应商应充分考虑网络环境、网络带宽等因素可能对磋商产生的影响，如因供应商自身原因造成的电子响应文件上传不成功的，按照本磋商文件第二章第</w:t>
      </w:r>
      <w:r>
        <w:rPr>
          <w:rFonts w:hint="eastAsia" w:cs="仿宋" w:asciiTheme="minorEastAsia" w:hAnsiTheme="minorEastAsia" w:eastAsiaTheme="minorEastAsia"/>
          <w:bCs/>
          <w:szCs w:val="24"/>
        </w:rPr>
        <w:t xml:space="preserve">14.2.3</w:t>
      </w:r>
      <w:r>
        <w:rPr>
          <w:rFonts w:hint="eastAsia" w:cs="仿宋" w:asciiTheme="minorEastAsia" w:hAnsiTheme="minorEastAsia" w:eastAsiaTheme="minorEastAsia"/>
          <w:bCs/>
          <w:szCs w:val="24"/>
        </w:rPr>
        <w:t xml:space="preserve">条规定做无效响应处理。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1</w:t>
      </w:r>
      <w:r>
        <w:rPr>
          <w:rFonts w:hint="eastAsia" w:cs="仿宋" w:asciiTheme="minorEastAsia" w:hAnsiTheme="minorEastAsia" w:eastAsiaTheme="minorEastAsia"/>
          <w:szCs w:val="24"/>
        </w:rPr>
        <w:t xml:space="preserve">.响应文件的修改和撤回</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1</w:t>
      </w: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rPr>
        <w:t xml:space="preserve">供应商可在提交响应文件截止时间前对其电子响应文件进行修改，具体操作方法见《操作手册》。</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1</w:t>
      </w:r>
      <w:r>
        <w:rPr>
          <w:rFonts w:hint="eastAsia" w:cs="仿宋" w:asciiTheme="minorEastAsia" w:hAnsiTheme="minorEastAsia" w:eastAsiaTheme="minorEastAsia"/>
          <w:szCs w:val="24"/>
        </w:rPr>
        <w:t xml:space="preserve">.2 </w:t>
      </w:r>
      <w:r>
        <w:rPr>
          <w:rFonts w:hint="eastAsia" w:cs="仿宋" w:asciiTheme="minorEastAsia" w:hAnsiTheme="minorEastAsia" w:eastAsiaTheme="minorEastAsia"/>
          <w:szCs w:val="24"/>
        </w:rPr>
        <w:t xml:space="preserve">提交响应文件截止时间之后，供应商不得对其电子响应文件作任何修改。</w:t>
      </w:r>
      <w:r/>
    </w:p>
    <w:p>
      <w:pPr>
        <w:pStyle w:val="1517"/>
        <w:rPr>
          <w:rFonts w:cs="仿宋" w:asciiTheme="minorEastAsia" w:hAnsiTheme="minorEastAsia" w:eastAsiaTheme="minorEastAsia"/>
          <w:b/>
          <w:bCs/>
          <w:szCs w:val="32"/>
          <w:lang w:val="en-US"/>
        </w:rPr>
      </w:pPr>
      <w:r>
        <w:rPr>
          <w:rFonts w:hint="eastAsia" w:cs="仿宋" w:asciiTheme="minorEastAsia" w:hAnsiTheme="minorEastAsia" w:eastAsiaTheme="minorEastAsia"/>
          <w:szCs w:val="24"/>
        </w:rPr>
        <w:t xml:space="preserve">11.3在提交响应文件截止时间至磋商文件中规定的磋商有效期满之间的这段时间内，供应商不得撤回其响应文件。</w:t>
      </w:r>
      <w:r>
        <w:rPr>
          <w:rFonts w:hint="eastAsia" w:cs="仿宋" w:asciiTheme="minorEastAsia" w:hAnsiTheme="minorEastAsia" w:eastAsiaTheme="minorEastAsia"/>
          <w:szCs w:val="24"/>
        </w:rPr>
        <w:br/>
      </w:r>
      <w:r>
        <w:rPr>
          <w:rFonts w:hint="eastAsia" w:cs="仿宋" w:asciiTheme="minorEastAsia" w:hAnsiTheme="minorEastAsia" w:eastAsiaTheme="minorEastAsia"/>
          <w:b/>
          <w:bCs/>
          <w:szCs w:val="32"/>
          <w:lang w:val="en-US"/>
        </w:rPr>
        <w:t xml:space="preserve">四、磋商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.联合体</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b/>
          <w:szCs w:val="24"/>
          <w:lang w:val="en-US"/>
        </w:rPr>
        <w:t xml:space="preserve">以下为格式文本，本项目不接受联合体投标</w:t>
      </w:r>
      <w:r>
        <w:rPr>
          <w:rFonts w:hint="eastAsia" w:cs="仿宋" w:asciiTheme="minorEastAsia" w:hAnsiTheme="minorEastAsia" w:eastAsiaTheme="minorEastAsia"/>
          <w:szCs w:val="24"/>
        </w:rPr>
        <w:t xml:space="preserve">）</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rPr>
        <w:t xml:space="preserve">两个以上的自然人、法人或者其他组织可以组成一个联合体，以一个供应商的身份共同参加政府采购。</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.2 鼓励大中型企业和其他自然人、法人或者其他组织与小型、微型企业组成联合体共同参加非专门面向中小企业的政府采购活动。</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.3</w:t>
      </w:r>
      <w:r>
        <w:rPr>
          <w:rFonts w:hint="eastAsia" w:cs="仿宋" w:asciiTheme="minorEastAsia" w:hAnsiTheme="minorEastAsia" w:eastAsiaTheme="minorEastAsia"/>
          <w:szCs w:val="24"/>
        </w:rPr>
        <w:t xml:space="preserve"> 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.4 联合体各方之间应当签订联合体协议，明确约定联合体各方承担的工作和相应的责任，并将联合体协议连同响应文件一并提交。</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.5 以联合体形式参加政府采购活动的，联合体各方不得再单独参加或者与其他供应商另外组成联合体参加同一合同项下的政府采购活动。</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12.6</w:t>
      </w:r>
      <w:r>
        <w:rPr>
          <w:rFonts w:cs="仿宋" w:asciiTheme="minorEastAsia" w:hAnsiTheme="minorEastAsia" w:eastAsiaTheme="minorEastAsia"/>
          <w:szCs w:val="24"/>
        </w:rPr>
        <w:t xml:space="preserve">政府采购合同分包履行的，</w:t>
      </w:r>
      <w:r>
        <w:rPr>
          <w:rFonts w:hint="eastAsia" w:cs="仿宋" w:asciiTheme="minorEastAsia" w:hAnsiTheme="minorEastAsia" w:eastAsiaTheme="minorEastAsia"/>
          <w:szCs w:val="24"/>
        </w:rPr>
        <w:t xml:space="preserve">成交</w:t>
      </w:r>
      <w:r>
        <w:rPr>
          <w:rFonts w:cs="仿宋" w:asciiTheme="minorEastAsia" w:hAnsiTheme="minorEastAsia" w:eastAsiaTheme="minorEastAsia"/>
          <w:szCs w:val="24"/>
        </w:rPr>
        <w:t xml:space="preserve">供应商就采购项目和分包项目向采购人负责，分包项目供应商就分包项目承担责任，</w:t>
      </w:r>
      <w:r>
        <w:rPr>
          <w:rFonts w:hint="eastAsia" w:cs="仿宋" w:asciiTheme="minorEastAsia" w:hAnsiTheme="minorEastAsia" w:eastAsiaTheme="minorEastAsia"/>
          <w:szCs w:val="24"/>
        </w:rPr>
        <w:t xml:space="preserve">成交</w:t>
      </w:r>
      <w:r>
        <w:rPr>
          <w:rFonts w:cs="仿宋" w:asciiTheme="minorEastAsia" w:hAnsiTheme="minorEastAsia" w:eastAsiaTheme="minorEastAsia"/>
          <w:szCs w:val="24"/>
        </w:rPr>
        <w:t xml:space="preserve">供应商与分包供应商之间应该签订分包意向协议。</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12.7</w:t>
      </w:r>
      <w:r>
        <w:rPr>
          <w:rFonts w:cs="仿宋" w:asciiTheme="minorEastAsia" w:hAnsiTheme="minorEastAsia" w:eastAsiaTheme="minorEastAsia"/>
          <w:szCs w:val="24"/>
        </w:rPr>
        <w:t xml:space="preserve">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cs="仿宋" w:asciiTheme="minorEastAsia" w:hAnsiTheme="minorEastAsia" w:eastAsiaTheme="minorEastAsia"/>
          <w:szCs w:val="24"/>
        </w:rPr>
        <w:t xml:space="preserve">。</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3</w:t>
      </w:r>
      <w:r>
        <w:rPr>
          <w:rFonts w:hint="eastAsia" w:cs="仿宋" w:asciiTheme="minorEastAsia" w:hAnsiTheme="minorEastAsia" w:eastAsiaTheme="minorEastAsia"/>
          <w:szCs w:val="24"/>
        </w:rPr>
        <w:t xml:space="preserve">.磋商组织</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3</w:t>
      </w:r>
      <w:r>
        <w:rPr>
          <w:rFonts w:hint="eastAsia" w:cs="仿宋" w:asciiTheme="minorEastAsia" w:hAnsiTheme="minorEastAsia" w:eastAsiaTheme="minorEastAsia"/>
          <w:szCs w:val="24"/>
        </w:rPr>
        <w:t xml:space="preserve">.1 </w:t>
      </w:r>
      <w:r>
        <w:rPr>
          <w:rFonts w:hint="eastAsia" w:cs="仿宋" w:asciiTheme="minorEastAsia" w:hAnsiTheme="minorEastAsia" w:eastAsiaTheme="minorEastAsia"/>
          <w:szCs w:val="24"/>
        </w:rPr>
        <w:t xml:space="preserve">供应商应当按照《操作手册》规定，在苏采云系统规定的时间内对响应文件进行解密。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3</w:t>
      </w:r>
      <w:r>
        <w:rPr>
          <w:rFonts w:hint="eastAsia" w:cs="仿宋" w:asciiTheme="minorEastAsia" w:hAnsiTheme="minorEastAsia" w:eastAsiaTheme="minorEastAsia"/>
          <w:szCs w:val="24"/>
        </w:rPr>
        <w:t xml:space="preserve">.2 磋商工作由采购代理负责组织，具体磋商事务由依法组建的磋商小组负责。</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13.3</w:t>
      </w:r>
      <w:r>
        <w:rPr>
          <w:rFonts w:hint="eastAsia" w:ascii="宋体" w:hAnsi="宋体" w:eastAsia="宋体" w:cs="Times New Roman"/>
          <w:szCs w:val="21"/>
          <w:lang w:val="en-US"/>
        </w:rPr>
        <w:t xml:space="preserve">磋商小组、采购人和</w:t>
      </w:r>
      <w:r>
        <w:rPr>
          <w:rFonts w:hint="eastAsia" w:cs="仿宋" w:asciiTheme="minorEastAsia" w:hAnsiTheme="minorEastAsia" w:eastAsiaTheme="minorEastAsia"/>
          <w:szCs w:val="24"/>
        </w:rPr>
        <w:t xml:space="preserve">采购代理</w:t>
      </w:r>
      <w:r>
        <w:rPr>
          <w:rFonts w:hint="eastAsia" w:ascii="宋体" w:hAnsi="宋体" w:eastAsia="宋体" w:cs="Times New Roman"/>
          <w:szCs w:val="21"/>
          <w:lang w:val="en-US"/>
        </w:rPr>
        <w:t xml:space="preserve">、相关监督人员等与评审工作有关的人员，对评审情况以及在评审过程中获悉的国家秘密、商业秘密负有保密责任。</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4</w:t>
      </w:r>
      <w:r>
        <w:rPr>
          <w:rFonts w:hint="eastAsia" w:cs="仿宋" w:asciiTheme="minorEastAsia" w:hAnsiTheme="minorEastAsia" w:eastAsiaTheme="minorEastAsia"/>
          <w:szCs w:val="24"/>
        </w:rPr>
        <w:t xml:space="preserve">. 磋商程序</w:t>
      </w:r>
      <w:r>
        <w:rPr>
          <w:rFonts w:hint="eastAsia" w:cs="仿宋" w:asciiTheme="minorEastAsia" w:hAnsiTheme="minorEastAsia" w:eastAsiaTheme="minorEastAsia"/>
          <w:szCs w:val="24"/>
        </w:rPr>
        <w:t xml:space="preserve">与评审审查</w:t>
      </w:r>
      <w:r/>
    </w:p>
    <w:p>
      <w:pPr>
        <w:rPr>
          <w:rFonts w:ascii="宋体" w:hAnsi="宋体"/>
          <w:sz w:val="24"/>
          <w:szCs w:val="21"/>
        </w:rPr>
      </w:pPr>
      <w:r>
        <w:rPr>
          <w:rFonts w:hint="eastAsia" w:ascii="宋体" w:hAnsi="宋体"/>
          <w:sz w:val="24"/>
          <w:szCs w:val="21"/>
        </w:rPr>
        <w:t xml:space="preserve">14.1</w:t>
      </w:r>
      <w:r>
        <w:rPr>
          <w:rFonts w:hint="eastAsia" w:ascii="宋体" w:hAnsi="宋体"/>
          <w:sz w:val="24"/>
          <w:szCs w:val="21"/>
        </w:rPr>
        <w:t xml:space="preserve">磋商程序</w:t>
      </w:r>
      <w:r/>
    </w:p>
    <w:p>
      <w:pPr>
        <w:ind w:firstLine="480"/>
        <w:rPr>
          <w:rFonts w:ascii="宋体" w:hAnsi="宋体"/>
          <w:sz w:val="24"/>
          <w:szCs w:val="21"/>
        </w:rPr>
      </w:pPr>
      <w:r>
        <w:rPr>
          <w:rFonts w:hint="eastAsia" w:ascii="宋体" w:hAnsi="宋体"/>
          <w:sz w:val="24"/>
          <w:szCs w:val="21"/>
        </w:rPr>
        <w:t xml:space="preserve">14.1.1</w:t>
      </w:r>
      <w:r>
        <w:rPr>
          <w:rFonts w:hint="eastAsia" w:ascii="宋体" w:hAnsi="宋体"/>
          <w:sz w:val="24"/>
          <w:szCs w:val="21"/>
        </w:rPr>
        <w:t xml:space="preserve">对于通过资格审查和符合性审查的供应商，磋商小组将集中与单一供应商</w:t>
      </w:r>
      <w:r>
        <w:rPr>
          <w:rFonts w:hint="eastAsia" w:ascii="宋体" w:hAnsi="宋体"/>
          <w:sz w:val="24"/>
          <w:szCs w:val="21"/>
        </w:rPr>
        <w:t xml:space="preserve">在苏采云系统中</w:t>
      </w:r>
      <w:r>
        <w:rPr>
          <w:rFonts w:hint="eastAsia" w:ascii="宋体" w:hAnsi="宋体"/>
          <w:sz w:val="24"/>
          <w:szCs w:val="21"/>
        </w:rPr>
        <w:t xml:space="preserve">分别进行磋商。磋商小组通过苏采云系统向供应商发出《磋商函》，供应商应当按照要求在苏采云系统提交《磋商响应函》并加盖电子公章。</w:t>
      </w:r>
      <w:r/>
    </w:p>
    <w:p>
      <w:pPr>
        <w:pStyle w:val="1517"/>
        <w:ind w:firstLine="480"/>
        <w:rPr>
          <w:rFonts w:cs="仿宋" w:asciiTheme="minorEastAsia" w:hAnsiTheme="minorEastAsia" w:eastAsiaTheme="minorEastAsia"/>
          <w:szCs w:val="24"/>
        </w:rPr>
      </w:pPr>
      <w:r>
        <w:rPr>
          <w:rFonts w:hint="eastAsia" w:ascii="宋体" w:hAnsi="宋体" w:eastAsia="宋体" w:cs="Times New Roman"/>
          <w:szCs w:val="21"/>
          <w:lang w:val="en-US"/>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1517"/>
        <w:ind w:firstLine="480"/>
        <w:rPr>
          <w:rFonts w:cs="仿宋" w:asciiTheme="minorEastAsia" w:hAnsiTheme="minorEastAsia" w:eastAsiaTheme="minorEastAsia"/>
          <w:szCs w:val="24"/>
        </w:rPr>
      </w:pPr>
      <w:r>
        <w:rPr>
          <w:rFonts w:hint="eastAsia" w:ascii="宋体" w:hAnsi="宋体"/>
          <w:szCs w:val="21"/>
        </w:rPr>
        <w:t xml:space="preserve">14.1.</w:t>
      </w: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szCs w:val="24"/>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本项目总共二轮报价，</w:t>
      </w:r>
      <w:r>
        <w:rPr>
          <w:rFonts w:hint="eastAsia" w:cs="仿宋" w:asciiTheme="minorEastAsia" w:hAnsiTheme="minorEastAsia" w:eastAsiaTheme="minorEastAsia"/>
          <w:b/>
          <w:szCs w:val="24"/>
        </w:rPr>
        <w:t xml:space="preserve">提交</w:t>
      </w:r>
      <w:r>
        <w:rPr>
          <w:rFonts w:hint="eastAsia" w:cs="仿宋" w:asciiTheme="minorEastAsia" w:hAnsiTheme="minorEastAsia" w:eastAsiaTheme="minorEastAsia"/>
          <w:b/>
          <w:szCs w:val="24"/>
        </w:rPr>
        <w:t xml:space="preserve">电子</w:t>
      </w:r>
      <w:r>
        <w:rPr>
          <w:rFonts w:hint="eastAsia" w:cs="仿宋" w:asciiTheme="minorEastAsia" w:hAnsiTheme="minorEastAsia" w:eastAsiaTheme="minorEastAsia"/>
          <w:b/>
          <w:szCs w:val="24"/>
        </w:rPr>
        <w:t xml:space="preserve">响应文件时的报价为第一轮报价，</w:t>
      </w:r>
      <w:r>
        <w:rPr>
          <w:rFonts w:hint="eastAsia" w:cs="仿宋" w:asciiTheme="minorEastAsia" w:hAnsiTheme="minorEastAsia" w:eastAsiaTheme="minorEastAsia"/>
          <w:b/>
          <w:szCs w:val="24"/>
        </w:rPr>
        <w:t xml:space="preserve">评审</w:t>
      </w:r>
      <w:r>
        <w:rPr>
          <w:rFonts w:hint="eastAsia" w:cs="仿宋" w:asciiTheme="minorEastAsia" w:hAnsiTheme="minorEastAsia" w:eastAsiaTheme="minorEastAsia"/>
          <w:b/>
          <w:szCs w:val="24"/>
        </w:rPr>
        <w:t xml:space="preserve">过程中</w:t>
      </w:r>
      <w:r>
        <w:rPr>
          <w:rFonts w:hint="eastAsia" w:cs="仿宋" w:asciiTheme="minorEastAsia" w:hAnsiTheme="minorEastAsia" w:eastAsiaTheme="minorEastAsia"/>
          <w:b/>
          <w:szCs w:val="24"/>
        </w:rPr>
        <w:t xml:space="preserve">在</w:t>
      </w:r>
      <w:r>
        <w:rPr>
          <w:rFonts w:hint="eastAsia" w:cs="仿宋" w:asciiTheme="minorEastAsia" w:hAnsiTheme="minorEastAsia" w:eastAsiaTheme="minorEastAsia"/>
          <w:b/>
          <w:szCs w:val="24"/>
        </w:rPr>
        <w:t xml:space="preserve">苏采云系统</w:t>
      </w:r>
      <w:r>
        <w:rPr>
          <w:rFonts w:hint="eastAsia" w:cs="仿宋" w:asciiTheme="minorEastAsia" w:hAnsiTheme="minorEastAsia" w:eastAsiaTheme="minorEastAsia"/>
          <w:b/>
          <w:szCs w:val="24"/>
        </w:rPr>
        <w:t xml:space="preserve">提交的</w:t>
      </w:r>
      <w:r>
        <w:rPr>
          <w:rFonts w:hint="eastAsia" w:cs="仿宋" w:asciiTheme="minorEastAsia" w:hAnsiTheme="minorEastAsia" w:eastAsiaTheme="minorEastAsia"/>
          <w:b/>
          <w:szCs w:val="24"/>
        </w:rPr>
        <w:t xml:space="preserve">最后报价为第二轮报价。</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1517"/>
        <w:ind w:firstLine="480"/>
        <w:rPr>
          <w:rFonts w:cs="仿宋" w:asciiTheme="minorEastAsia" w:hAnsiTheme="minorEastAsia" w:eastAsiaTheme="minorEastAsia"/>
          <w:szCs w:val="24"/>
        </w:rPr>
      </w:pPr>
      <w:r>
        <w:rPr>
          <w:rFonts w:hint="eastAsia" w:ascii="宋体" w:hAnsi="宋体"/>
          <w:szCs w:val="21"/>
        </w:rPr>
        <w:t xml:space="preserve">14.1.</w:t>
      </w:r>
      <w:r>
        <w:rPr>
          <w:rFonts w:hint="eastAsia" w:cs="仿宋" w:asciiTheme="minorEastAsia" w:hAnsiTheme="minorEastAsia" w:eastAsiaTheme="minorEastAsia"/>
          <w:szCs w:val="24"/>
        </w:rPr>
        <w:t xml:space="preserve">3</w:t>
      </w:r>
      <w:r>
        <w:rPr>
          <w:rFonts w:hint="eastAsia" w:cs="仿宋" w:asciiTheme="minorEastAsia" w:hAnsiTheme="minorEastAsia" w:eastAsiaTheme="minorEastAsia"/>
          <w:szCs w:val="24"/>
        </w:rPr>
        <w:t xml:space="preserve">供应商未在磋商小组规定的时间内在苏采云系统中提交最后报价的视为放弃磋商，其响应文件按无效响应处理，最后报价格式表须加盖电子公章</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rPr>
        <w:t xml:space="preserve">否则视为未提交最后报价。已提交响应文件的供应商，在提交最后报价之前，可以根据磋商情况退出磋商，并在苏采云系统中提交加盖电子公章的《退出磋商函》。</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4</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szCs w:val="24"/>
        </w:rPr>
        <w:t xml:space="preserve">响应文件的审查</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14.2.1 响应文件审查分为资格审查和符合性审查。</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（1）资格审查。依据法律法规和磋商文件的规定，磋商小组对响应文件中的资格证明文件进行审查，以确定供应商是否具备参加磋商的资格。</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（2）符合性审查。依据磋商文件的规定，由磋商小组从有效性、完整性和对磋商文件的响应程度等方面对响应文件进行审查，以确定是否对磋商文件的实质性要求作出响应。</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（3）未通过资格审查或符合性审查的供应商，磋商小组将通过苏采云系统告知具体原因，评审结束后将不再接受有关询问。</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14.2.2 在详细评审之前，磋商小组将首先审查每份响应文件是否实质性响应了磋商文件的要求。实质性响应的响应文件应该是与磋商文件要求的条款、条件和规格相符，没有重大偏离或保留的文件。</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w:t>
      </w:r>
      <w:r>
        <w:rPr>
          <w:rFonts w:hint="eastAsia" w:cs="仿宋" w:asciiTheme="minorEastAsia" w:hAnsiTheme="minorEastAsia" w:eastAsiaTheme="minorEastAsia"/>
          <w:szCs w:val="24"/>
        </w:rPr>
        <w:t xml:space="preserve">服从多数的原则作出结论。磋商小组认定响应文件的响应性只根据响应文件本身的内容，而不寻求外部的证据。</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14.</w:t>
      </w:r>
      <w:r>
        <w:rPr>
          <w:rFonts w:hint="eastAsia" w:cs="仿宋" w:asciiTheme="minorEastAsia" w:hAnsiTheme="minorEastAsia" w:eastAsiaTheme="minorEastAsia"/>
          <w:b/>
          <w:szCs w:val="24"/>
        </w:rPr>
        <w:t xml:space="preserve">2.</w:t>
      </w:r>
      <w:r>
        <w:rPr>
          <w:rFonts w:hint="eastAsia" w:cs="仿宋" w:asciiTheme="minorEastAsia" w:hAnsiTheme="minorEastAsia" w:eastAsiaTheme="minorEastAsia"/>
          <w:b/>
          <w:szCs w:val="24"/>
        </w:rPr>
        <w:t xml:space="preserve">3</w:t>
      </w:r>
      <w:r>
        <w:rPr>
          <w:rFonts w:hint="eastAsia" w:cs="仿宋" w:asciiTheme="minorEastAsia" w:hAnsiTheme="minorEastAsia" w:eastAsiaTheme="minorEastAsia"/>
          <w:b/>
          <w:szCs w:val="24"/>
        </w:rPr>
        <w:t xml:space="preserve">响应文件属下列情形之一的，按照无效</w:t>
      </w:r>
      <w:r>
        <w:rPr>
          <w:rFonts w:hint="eastAsia" w:cs="仿宋" w:asciiTheme="minorEastAsia" w:hAnsiTheme="minorEastAsia" w:eastAsiaTheme="minorEastAsia"/>
          <w:b/>
          <w:szCs w:val="24"/>
        </w:rPr>
        <w:t xml:space="preserve">响应</w:t>
      </w:r>
      <w:r>
        <w:rPr>
          <w:rFonts w:hint="eastAsia" w:cs="仿宋" w:asciiTheme="minorEastAsia" w:hAnsiTheme="minorEastAsia" w:eastAsiaTheme="minorEastAsia"/>
          <w:b/>
          <w:szCs w:val="24"/>
        </w:rPr>
        <w:t xml:space="preserve">处理：</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w:t>
      </w:r>
      <w:r>
        <w:rPr>
          <w:rFonts w:hint="eastAsia" w:cs="仿宋" w:asciiTheme="minorEastAsia" w:hAnsiTheme="minorEastAsia" w:eastAsiaTheme="minorEastAsia"/>
          <w:b/>
          <w:szCs w:val="24"/>
        </w:rPr>
        <w:t xml:space="preserve">供应商在苏采云系统规定的时间内未成功解密电子响应文件的。</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（2）</w:t>
      </w:r>
      <w:r>
        <w:rPr>
          <w:rFonts w:hint="eastAsia" w:cs="仿宋" w:asciiTheme="minorEastAsia" w:hAnsiTheme="minorEastAsia" w:eastAsiaTheme="minorEastAsia"/>
          <w:b/>
          <w:szCs w:val="24"/>
        </w:rPr>
        <w:t xml:space="preserve">供应商未按照磋商文件要求上传电子响应文件的。</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（3）</w:t>
      </w:r>
      <w:r>
        <w:rPr>
          <w:rFonts w:hint="eastAsia" w:cs="仿宋" w:asciiTheme="minorEastAsia" w:hAnsiTheme="minorEastAsia" w:eastAsiaTheme="minorEastAsia"/>
          <w:b/>
          <w:szCs w:val="24"/>
        </w:rPr>
        <w:t xml:space="preserve">同一供应商提交两个（含两个）以上不同的响应文件或者最后报价的。</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（4）</w:t>
      </w:r>
      <w:r>
        <w:rPr>
          <w:rFonts w:hint="eastAsia" w:cs="仿宋" w:asciiTheme="minorEastAsia" w:hAnsiTheme="minorEastAsia" w:eastAsiaTheme="minorEastAsia"/>
          <w:b/>
          <w:szCs w:val="24"/>
        </w:rPr>
        <w:t xml:space="preserve"> 供应商不具备磋商文件中规定资格要求的。</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（5）</w:t>
      </w:r>
      <w:r>
        <w:rPr>
          <w:rFonts w:hint="eastAsia" w:cs="仿宋" w:asciiTheme="minorEastAsia" w:hAnsiTheme="minorEastAsia" w:eastAsiaTheme="minorEastAsia"/>
          <w:b/>
          <w:szCs w:val="24"/>
        </w:rPr>
        <w:t xml:space="preserve">供应商的最后报价超过了采购预算或最高限价的。</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（6）不同供应商的IP地址或MAC地址或标书制作工具客户端标识信息一致并且经磋商小组认定的。</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rPr>
        <w:t xml:space="preserve">7</w:t>
      </w: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rPr>
        <w:t xml:space="preserve">不符合磋商文件中规定的实质性要求和条件的。</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rPr>
        <w:t xml:space="preserve">8</w:t>
      </w: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rPr>
        <w:t xml:space="preserve">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rPr>
        <w:t xml:space="preserve">9</w:t>
      </w: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rPr>
        <w:t xml:space="preserve">响应文件含有采购人不能接受的附加条件的。</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（10）根据《关于推动解决政府采购异常低价问题的通知》（财库〔2026〕2号），政府采购评审中出现下列情形之一的，评审委员会应当启动异常低价投标（响应）审查程序：</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1）投标（响应）报价低于全部通过符合性审查供应商投标（响应）报价平均值65%的，即投标（响应）报价&lt;全部通过符合性审查供应商投标（响应）报价平均值×65%；</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2）投标（响应）报价低于通过符合性审查的次低报价供应商投标（响应）报价65%的，即投标（响应）报价&lt;通过符合性审查的次低报价供应商投标（响应）报价×65%；</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3）投标（响应）报价低于采购项目最高限价65%的，即投标（响应）报价&lt;采购项目最高限价×65%；</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4）评审委员会基于专业判断，认为供应商报价过低，有可能影响产品质量或者不能诚信履约的其他情形。</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w:t>
      </w:r>
      <w:r>
        <w:rPr>
          <w:rFonts w:hint="eastAsia" w:cs="仿宋" w:asciiTheme="minorEastAsia" w:hAnsiTheme="minorEastAsia" w:eastAsiaTheme="minorEastAsia"/>
          <w:b/>
          <w:szCs w:val="24"/>
        </w:rPr>
        <w:t xml:space="preserve">1</w:t>
      </w: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rPr>
        <w:t xml:space="preserve">采购产品被财政部、国家发改委、生态环境部等列入“节能产品品目清单”强制采购范围，而供应商提供的产品不在强制采购范围内的。</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w:t>
      </w:r>
      <w:r>
        <w:rPr>
          <w:rFonts w:hint="eastAsia" w:cs="仿宋" w:asciiTheme="minorEastAsia" w:hAnsiTheme="minorEastAsia" w:eastAsiaTheme="minorEastAsia"/>
          <w:b/>
          <w:szCs w:val="24"/>
        </w:rPr>
        <w:t xml:space="preserve">2</w:t>
      </w: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rPr>
        <w:t xml:space="preserve">响应文件未按照磋商文件要求加盖电子公章的。</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w:t>
      </w:r>
      <w:r>
        <w:rPr>
          <w:rFonts w:hint="eastAsia" w:cs="仿宋" w:asciiTheme="minorEastAsia" w:hAnsiTheme="minorEastAsia" w:eastAsiaTheme="minorEastAsia"/>
          <w:b/>
          <w:szCs w:val="24"/>
        </w:rPr>
        <w:t xml:space="preserve">3</w:t>
      </w: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rPr>
        <w:t xml:space="preserve">法律法规及本磋商文件规定的其他无效响应的情形。</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如果响应文件实质上没有响应磋商文件的要求，磋商小组将予以拒绝，供应商不得通过修改或撤销不合要求的偏离或保留而使其成为实质性响应的文件。</w:t>
      </w:r>
      <w:r/>
    </w:p>
    <w:p>
      <w:pPr>
        <w:pStyle w:val="1517"/>
        <w:ind w:firstLine="482"/>
        <w:rPr>
          <w:rFonts w:cs="仿宋" w:asciiTheme="minorEastAsia" w:hAnsiTheme="minorEastAsia" w:eastAsiaTheme="minorEastAsia"/>
          <w:b/>
          <w:szCs w:val="24"/>
        </w:rPr>
      </w:pPr>
      <w:r>
        <w:rPr>
          <w:rFonts w:hint="eastAsia" w:cs="仿宋" w:asciiTheme="minorEastAsia" w:hAnsiTheme="minorEastAsia" w:eastAsiaTheme="minorEastAsia"/>
          <w:b/>
          <w:szCs w:val="24"/>
          <w:highlight w:val="yellow"/>
        </w:rPr>
        <w:t xml:space="preserve">供应商在项目评审全过程中应保持通讯畅通，及时登录苏采云系统查阅、答复相关信息，并安排专人与</w:t>
      </w:r>
      <w:r>
        <w:rPr>
          <w:rFonts w:hint="eastAsia" w:cs="仿宋" w:asciiTheme="minorEastAsia" w:hAnsiTheme="minorEastAsia" w:eastAsiaTheme="minorEastAsia"/>
          <w:b/>
          <w:szCs w:val="24"/>
          <w:highlight w:val="yellow"/>
        </w:rPr>
        <w:t xml:space="preserve">采购代理机构</w:t>
      </w:r>
      <w:r>
        <w:rPr>
          <w:rFonts w:hint="eastAsia" w:cs="仿宋" w:asciiTheme="minorEastAsia" w:hAnsiTheme="minorEastAsia" w:eastAsiaTheme="minorEastAsia"/>
          <w:b/>
          <w:szCs w:val="24"/>
          <w:highlight w:val="yellow"/>
        </w:rPr>
        <w:t xml:space="preserve">及磋商小组联系。</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4</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rPr>
        <w:t xml:space="preserve">3</w:t>
      </w:r>
      <w:r>
        <w:rPr>
          <w:rFonts w:hint="eastAsia" w:cs="仿宋" w:asciiTheme="minorEastAsia" w:hAnsiTheme="minorEastAsia" w:eastAsiaTheme="minorEastAsia"/>
          <w:szCs w:val="24"/>
        </w:rPr>
        <w:t xml:space="preserve"> 出现下列情形之一的，磋商终止：</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（1）因情况变化，不再符合规定的竞争性磋商采购方式适用情形的；</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（2）所有供应商的响应文件被磋商小组认定为无效的；</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（3）出现影响采购公正的违法、违规行为的；</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（4）</w:t>
      </w:r>
      <w:r>
        <w:rPr>
          <w:rFonts w:hint="eastAsia" w:ascii="宋体" w:hAnsi="宋体" w:eastAsia="宋体" w:cs="Times New Roman"/>
          <w:szCs w:val="21"/>
          <w:lang w:val="en-US"/>
        </w:rPr>
        <w:t xml:space="preserve">在苏采云系统规定时间内成功解密电子响应文件的供应商不足3家的</w:t>
      </w:r>
      <w:r>
        <w:rPr>
          <w:rFonts w:hint="eastAsia" w:cs="仿宋" w:asciiTheme="minorEastAsia" w:hAnsiTheme="minorEastAsia" w:eastAsiaTheme="minorEastAsia"/>
          <w:szCs w:val="24"/>
        </w:rPr>
        <w:t xml:space="preserve">；</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（5）因重大变故，采购任务取消的；</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（6）采购人需求发生重大变化暂时不能确定或供应商提供的货物和服务不能满足需求等。</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）预留份额的采购项目或采购包，通过发布公告方式邀请供应商后，符合资格条件的中小企业数量不足</w:t>
      </w:r>
      <w:r>
        <w:rPr>
          <w:rFonts w:cs="仿宋" w:asciiTheme="minorEastAsia" w:hAnsiTheme="minorEastAsia" w:eastAsiaTheme="minorEastAsia"/>
          <w:szCs w:val="24"/>
        </w:rPr>
        <w:t xml:space="preserve">3</w:t>
      </w:r>
      <w:r>
        <w:rPr>
          <w:rFonts w:hint="eastAsia" w:cs="仿宋" w:asciiTheme="minorEastAsia" w:hAnsiTheme="minorEastAsia" w:eastAsiaTheme="minorEastAsia"/>
          <w:szCs w:val="24"/>
        </w:rPr>
        <w:t xml:space="preserve">家的。</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14.</w:t>
      </w:r>
      <w:r>
        <w:rPr>
          <w:rFonts w:hint="eastAsia" w:cs="仿宋" w:asciiTheme="minorEastAsia" w:hAnsiTheme="minorEastAsia" w:eastAsiaTheme="minorEastAsia"/>
          <w:szCs w:val="24"/>
        </w:rPr>
        <w:t xml:space="preserve">4</w:t>
      </w:r>
      <w:r>
        <w:rPr>
          <w:rFonts w:hint="eastAsia" w:cs="仿宋" w:asciiTheme="minorEastAsia" w:hAnsiTheme="minorEastAsia" w:eastAsiaTheme="minorEastAsia"/>
          <w:szCs w:val="24"/>
        </w:rPr>
        <w:t xml:space="preserve">评审过程中的澄清</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14.</w:t>
      </w:r>
      <w:r>
        <w:rPr>
          <w:rFonts w:hint="eastAsia" w:cs="仿宋" w:asciiTheme="minorEastAsia" w:hAnsiTheme="minorEastAsia" w:eastAsiaTheme="minorEastAsia"/>
          <w:szCs w:val="24"/>
        </w:rPr>
        <w:t xml:space="preserve">4</w:t>
      </w:r>
      <w:r>
        <w:rPr>
          <w:rFonts w:hint="eastAsia" w:cs="仿宋" w:asciiTheme="minorEastAsia" w:hAnsiTheme="minorEastAsia" w:eastAsiaTheme="minorEastAsia"/>
          <w:szCs w:val="24"/>
        </w:rPr>
        <w:t xml:space="preserve">.1 项目评审期间，磋商小组有权要求供应商对响应文件中含义不明确、同类问题表述不一致或者有明显文字和计算错误的内容等作出必要的澄清、说明或者补正。供应商的澄清、说明或者补正不得超出响应文件的范围或者改变响应文件的实质性内容。</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磋商小组并非对每个供应商都作澄清要求。</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14.</w:t>
      </w:r>
      <w:r>
        <w:rPr>
          <w:rFonts w:hint="eastAsia" w:cs="仿宋" w:asciiTheme="minorEastAsia" w:hAnsiTheme="minorEastAsia" w:eastAsiaTheme="minorEastAsia"/>
          <w:szCs w:val="24"/>
        </w:rPr>
        <w:t xml:space="preserve">4</w:t>
      </w:r>
      <w:r>
        <w:rPr>
          <w:rFonts w:hint="eastAsia" w:cs="仿宋" w:asciiTheme="minorEastAsia" w:hAnsiTheme="minorEastAsia" w:eastAsiaTheme="minorEastAsia"/>
          <w:szCs w:val="24"/>
        </w:rPr>
        <w:t xml:space="preserve">.2 需要供应商进行澄清、说明和补正的，磋商小组将通过苏采云系统向供应商发出《澄清要求函》，接到《澄清要求函》的供应商应当按照要求在苏采云系统中提交《澄清</w:t>
      </w:r>
      <w:r>
        <w:rPr>
          <w:rFonts w:hint="eastAsia" w:cs="仿宋" w:asciiTheme="minorEastAsia" w:hAnsiTheme="minorEastAsia" w:eastAsiaTheme="minorEastAsia"/>
          <w:szCs w:val="24"/>
        </w:rPr>
        <w:t xml:space="preserve">响应</w:t>
      </w:r>
      <w:r>
        <w:rPr>
          <w:rFonts w:hint="eastAsia" w:cs="仿宋" w:asciiTheme="minorEastAsia" w:hAnsiTheme="minorEastAsia" w:eastAsiaTheme="minorEastAsia"/>
          <w:szCs w:val="24"/>
        </w:rPr>
        <w:t xml:space="preserve">函》并加盖电子公章。澄清、说明和补正的内容作为响应文件的补充部分，具体操作方式见《操作手册》。</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14.</w:t>
      </w:r>
      <w:r>
        <w:rPr>
          <w:rFonts w:hint="eastAsia" w:cs="仿宋" w:asciiTheme="minorEastAsia" w:hAnsiTheme="minorEastAsia" w:eastAsiaTheme="minorEastAsia"/>
          <w:szCs w:val="24"/>
        </w:rPr>
        <w:t xml:space="preserve">4</w:t>
      </w:r>
      <w:r>
        <w:rPr>
          <w:rFonts w:hint="eastAsia" w:cs="仿宋" w:asciiTheme="minorEastAsia" w:hAnsiTheme="minorEastAsia" w:eastAsiaTheme="minorEastAsia"/>
          <w:szCs w:val="24"/>
        </w:rPr>
        <w:t xml:space="preserve">.3 接到磋商小组澄清、说明和补正要求的供应商如未按规定做出澄清、说明和补正，其风险由供应商自行承担。</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5</w:t>
      </w:r>
      <w:r>
        <w:rPr>
          <w:rFonts w:hint="eastAsia" w:cs="仿宋" w:asciiTheme="minorEastAsia" w:hAnsiTheme="minorEastAsia" w:eastAsiaTheme="minorEastAsia"/>
          <w:szCs w:val="24"/>
        </w:rPr>
        <w:t xml:space="preserve">.评定成交方法和标准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5</w:t>
      </w:r>
      <w:r>
        <w:rPr>
          <w:rFonts w:hint="eastAsia" w:cs="仿宋" w:asciiTheme="minorEastAsia" w:hAnsiTheme="minorEastAsia" w:eastAsiaTheme="minorEastAsia"/>
          <w:szCs w:val="24"/>
        </w:rPr>
        <w:t xml:space="preserve">.1 采用综合评分法。即在最大限度地满足竞争性磋商文件实质性要求前提下，按照磋商文件中规定的各项因素及诚信记录进行综合评审后，以评审总得分最高的供应商作为成交候选供应商或者成交供应商的评审方法。</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5</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评定方法，详见磋商文件第三章。</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.确定成交供应商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在综合比较与评价后按照得分高低顺序对供应商进行排列。得分相同的，按报价由低到高顺序排列。得分且报价相同的，按商务指标优劣顺序排列。</w:t>
      </w:r>
      <w:r>
        <w:rPr>
          <w:rFonts w:hint="eastAsia" w:cs="仿宋" w:asciiTheme="minorEastAsia" w:hAnsiTheme="minorEastAsia" w:eastAsiaTheme="minorEastAsia"/>
        </w:rPr>
        <w:t xml:space="preserve">得分、报价和商务指标均相同的，以抽签方式确定。</w:t>
      </w:r>
      <w:r>
        <w:rPr>
          <w:rFonts w:hint="eastAsia" w:cs="仿宋" w:asciiTheme="minorEastAsia" w:hAnsiTheme="minorEastAsia" w:eastAsiaTheme="minorEastAsia"/>
          <w:szCs w:val="24"/>
          <w:lang w:val="en-US"/>
        </w:rPr>
        <w:t xml:space="preserve">磋商小组将严格按照采购文件的要求和条件进行比较</w:t>
      </w:r>
      <w:r>
        <w:rPr>
          <w:rFonts w:hint="eastAsia" w:cs="仿宋" w:asciiTheme="minorEastAsia" w:hAnsiTheme="minorEastAsia" w:eastAsiaTheme="minorEastAsia"/>
          <w:szCs w:val="24"/>
          <w:lang w:val="en-US"/>
        </w:rPr>
        <w:t xml:space="preserve">，</w:t>
      </w:r>
      <w:r>
        <w:rPr>
          <w:rFonts w:hint="eastAsia" w:cs="仿宋" w:asciiTheme="minorEastAsia" w:hAnsiTheme="minorEastAsia" w:eastAsiaTheme="minorEastAsia"/>
          <w:szCs w:val="24"/>
          <w:lang w:val="en-US"/>
        </w:rPr>
        <w:t xml:space="preserve">根据评审办法直接确定成交供应商或推荐出成交候选供应商。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16.2按以下第（</w:t>
      </w: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szCs w:val="24"/>
        </w:rPr>
        <w:t xml:space="preserve">）种方式确定成交供应商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w:t>
      </w:r>
      <w:r>
        <w:rPr>
          <w:rFonts w:cs="仿宋" w:asciiTheme="minorEastAsia" w:hAnsiTheme="minorEastAsia" w:eastAsiaTheme="minorEastAsia"/>
          <w:szCs w:val="24"/>
        </w:rPr>
        <w:t xml:space="preserve">1</w:t>
      </w:r>
      <w:r>
        <w:rPr>
          <w:rFonts w:hint="eastAsia" w:cs="仿宋" w:asciiTheme="minorEastAsia" w:hAnsiTheme="minorEastAsia" w:eastAsiaTheme="minorEastAsia"/>
          <w:szCs w:val="24"/>
        </w:rPr>
        <w:t xml:space="preserve">）磋商小组直接确定排名第一的成交候选人为成交供应商；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w:t>
      </w:r>
      <w:r>
        <w:rPr>
          <w:rFonts w:cs="仿宋" w:asciiTheme="minorEastAsia" w:hAnsiTheme="minorEastAsia" w:eastAsiaTheme="minorEastAsia"/>
          <w:szCs w:val="24"/>
        </w:rPr>
        <w:t xml:space="preserve">2</w:t>
      </w:r>
      <w:r>
        <w:rPr>
          <w:rFonts w:hint="eastAsia" w:cs="仿宋" w:asciiTheme="minorEastAsia" w:hAnsiTheme="minorEastAsia" w:eastAsiaTheme="minorEastAsia"/>
          <w:szCs w:val="24"/>
        </w:rPr>
        <w:t xml:space="preserve">）采购人在磋商小组推荐的成交候选人中按顺序确定成交供应商。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.3 成交供应商确定之日起两个工作日内，将发布成交公告。</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.4 《成交通知书》对采购人和成交供应商具有同等法律效力。</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.5 </w:t>
      </w:r>
      <w:r>
        <w:rPr>
          <w:rFonts w:hint="eastAsia" w:cs="仿宋" w:asciiTheme="minorEastAsia" w:hAnsiTheme="minorEastAsia" w:eastAsiaTheme="minorEastAsia"/>
          <w:szCs w:val="24"/>
        </w:rPr>
        <w:t xml:space="preserve">代理机构</w:t>
      </w:r>
      <w:r>
        <w:rPr>
          <w:rFonts w:hint="eastAsia" w:cs="仿宋" w:asciiTheme="minorEastAsia" w:hAnsiTheme="minorEastAsia" w:eastAsiaTheme="minorEastAsia"/>
          <w:szCs w:val="24"/>
        </w:rPr>
        <w:t xml:space="preserve">对未成交的供应商不作未成交原因的解释</w:t>
      </w:r>
      <w:r>
        <w:rPr>
          <w:rFonts w:hint="eastAsia" w:cs="仿宋" w:asciiTheme="minorEastAsia" w:hAnsiTheme="minorEastAsia" w:eastAsiaTheme="minorEastAsia"/>
          <w:szCs w:val="24"/>
        </w:rPr>
        <w:t xml:space="preserve">，</w:t>
      </w:r>
      <w:r>
        <w:rPr>
          <w:rFonts w:hint="eastAsia" w:ascii="宋体" w:hAnsi="宋体" w:eastAsia="宋体" w:cs="Times New Roman"/>
          <w:szCs w:val="21"/>
          <w:lang w:val="en-US"/>
        </w:rPr>
        <w:t xml:space="preserve">也不公布评审过程中的相关细节。</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rPr>
        <w:t xml:space="preserve">6</w:t>
      </w:r>
      <w:r>
        <w:rPr>
          <w:rFonts w:hint="eastAsia" w:cs="仿宋" w:asciiTheme="minorEastAsia" w:hAnsiTheme="minorEastAsia" w:eastAsiaTheme="minorEastAsia"/>
          <w:szCs w:val="24"/>
        </w:rPr>
        <w:t xml:space="preserve">成交供应商需按磋商文件要求将由信用承诺书替代的证明材料提交采购人或采购代理机构核验。</w:t>
      </w:r>
      <w:r>
        <w:rPr>
          <w:rFonts w:hint="eastAsia" w:cs="仿宋" w:asciiTheme="minorEastAsia" w:hAnsiTheme="minorEastAsia" w:eastAsiaTheme="minorEastAsia"/>
          <w:szCs w:val="24"/>
        </w:rPr>
        <w:t xml:space="preserve">成交结果确定后</w:t>
      </w:r>
      <w:r>
        <w:rPr>
          <w:rFonts w:hint="eastAsia" w:cs="仿宋" w:asciiTheme="minorEastAsia" w:hAnsiTheme="minorEastAsia" w:eastAsiaTheme="minorEastAsia"/>
          <w:szCs w:val="24"/>
        </w:rPr>
        <w:t xml:space="preserve">，由采购代理机构发出成交通知书。</w:t>
      </w:r>
      <w:r>
        <w:rPr>
          <w:rFonts w:hint="eastAsia" w:cs="仿宋" w:asciiTheme="minorEastAsia" w:hAnsiTheme="minorEastAsia" w:eastAsiaTheme="minorEastAsia"/>
          <w:szCs w:val="24"/>
        </w:rPr>
        <w:t xml:space="preserve">成交供应商可在成交结果公告届满之日起三十日内，登录苏采云系统下载。因系统存储空间有限，成交结果公告届满之日起三十日后，苏采云系统不再保证提供下载《成交通知书》服务，因未及时下载而造成的不利后果由成交供应商自行承担。</w:t>
      </w:r>
      <w:r/>
    </w:p>
    <w:p>
      <w:pPr>
        <w:pStyle w:val="1517"/>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16.7</w:t>
      </w:r>
      <w:r>
        <w:rPr>
          <w:rFonts w:hint="eastAsia" w:cs="仿宋" w:asciiTheme="minorEastAsia" w:hAnsiTheme="minorEastAsia" w:eastAsiaTheme="minorEastAsia"/>
          <w:b/>
          <w:szCs w:val="24"/>
        </w:rPr>
        <w:t xml:space="preserve">成交供应商</w:t>
      </w:r>
      <w:r>
        <w:rPr>
          <w:rFonts w:hint="eastAsia" w:cs="仿宋" w:asciiTheme="minorEastAsia" w:hAnsiTheme="minorEastAsia" w:eastAsiaTheme="minorEastAsia"/>
          <w:b/>
          <w:szCs w:val="24"/>
        </w:rPr>
        <w:t xml:space="preserve">在成交后3个工作日内</w:t>
      </w:r>
      <w:r>
        <w:rPr>
          <w:rFonts w:hint="eastAsia" w:cs="仿宋" w:asciiTheme="minorEastAsia" w:hAnsiTheme="minorEastAsia" w:eastAsiaTheme="minorEastAsia"/>
          <w:b/>
          <w:szCs w:val="24"/>
        </w:rPr>
        <w:t xml:space="preserve">提供2份纸质版响应文件（与系统中提交的电子响应文件一致并胶装）。</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.编写评审报告</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17.1</w:t>
      </w:r>
      <w:r>
        <w:rPr>
          <w:rFonts w:hint="eastAsia" w:cs="仿宋" w:asciiTheme="minorEastAsia" w:hAnsiTheme="minorEastAsia" w:eastAsiaTheme="minorEastAsia"/>
          <w:szCs w:val="24"/>
        </w:rPr>
        <w:t xml:space="preserve">磋商小组根据磋商过程和结果编写评审报告。</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.签订合同</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.1 成交供应商应当自成交通知书发出之日起三十日内，与采购人签订政府采购合同，所签订的合同不得对磋商文件和响应文件作实质性修改。</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.2 采购人不得向成交供应商提出任何不合理的要求作为签订合同的条件，不得与成交供应商私下订立背离合同实质性内容的协议。</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.3 除不可抗力等因素外，成交通知书发出后，采购人改变成交结果，或者成交供应商拒绝签订政府采购合同的，应当承担相应的法律责任。</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.4 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pStyle w:val="1097"/>
        <w:ind w:right="-110"/>
        <w:rPr>
          <w:rFonts w:cs="仿宋" w:asciiTheme="minorEastAsia" w:hAnsiTheme="minorEastAsia" w:eastAsiaTheme="minorEastAsia"/>
          <w:sz w:val="24"/>
        </w:rPr>
      </w:pPr>
      <w:r/>
      <w:bookmarkStart w:id="52" w:name="_Toc13932592"/>
      <w:r/>
      <w:bookmarkStart w:id="53" w:name="_Toc10045202"/>
      <w:r>
        <w:rPr>
          <w:rFonts w:hint="eastAsia" w:cs="仿宋" w:asciiTheme="minorEastAsia" w:hAnsiTheme="minorEastAsia" w:eastAsiaTheme="minorEastAsia"/>
          <w:sz w:val="24"/>
        </w:rPr>
        <w:t xml:space="preserve">五、询问、质疑、投诉和诚实信用</w:t>
      </w:r>
      <w:bookmarkEnd w:id="52"/>
      <w:r/>
      <w:bookmarkEnd w:id="53"/>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9</w:t>
      </w:r>
      <w:r>
        <w:rPr>
          <w:rFonts w:hint="eastAsia" w:cs="仿宋" w:asciiTheme="minorEastAsia" w:hAnsiTheme="minorEastAsia" w:eastAsiaTheme="minorEastAsia"/>
          <w:szCs w:val="24"/>
        </w:rPr>
        <w:t xml:space="preserve">.询问</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9</w:t>
      </w:r>
      <w:r>
        <w:rPr>
          <w:rFonts w:hint="eastAsia" w:cs="仿宋" w:asciiTheme="minorEastAsia" w:hAnsiTheme="minorEastAsia" w:eastAsiaTheme="minorEastAsia"/>
          <w:szCs w:val="24"/>
        </w:rPr>
        <w:t xml:space="preserve">.1供应商对招标活动事项有疑问的，可以向采购人或采购代理机构提出询问，采购人或采购代理机构将在三个工作日内作出答复，但答复的内容不涉及商业秘密。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20.质疑</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20</w:t>
      </w:r>
      <w:r>
        <w:rPr>
          <w:rFonts w:hint="eastAsia" w:cs="仿宋" w:asciiTheme="minorEastAsia" w:hAnsiTheme="minorEastAsia" w:eastAsiaTheme="minorEastAsia"/>
          <w:szCs w:val="24"/>
        </w:rPr>
        <w:t xml:space="preserve">.1供应商认为采购文件、采购过程或者中标结果使自己的权益受到损害的，可以在知道或者应当知道其权益受到损害之日起七个工作日内，以书面形式（质疑函原件）向采购人或采购代理机构提出质疑。通过现场提出的，提出时间以采购代理机构收到时间为准；通过邮寄、快递方式提出的，提出时间以邮寄件上的寄出邮戳时间、快递件上签注的寄出时间为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20</w:t>
      </w:r>
      <w:r>
        <w:rPr>
          <w:rFonts w:hint="eastAsia" w:cs="仿宋" w:asciiTheme="minorEastAsia" w:hAnsiTheme="minorEastAsia" w:eastAsiaTheme="minorEastAsia"/>
          <w:szCs w:val="24"/>
        </w:rPr>
        <w:t xml:space="preserve">.2提出质疑的供应商应当是参与所质疑项目采购活动的供应商。潜在供应商已依法获取其可质疑的采购文件的，可以对该文件提出质疑。</w:t>
      </w:r>
      <w:r>
        <w:rPr>
          <w:rFonts w:hint="eastAsia" w:cs="仿宋" w:asciiTheme="minorEastAsia" w:hAnsiTheme="minorEastAsia" w:eastAsiaTheme="minorEastAsia"/>
          <w:szCs w:val="24"/>
        </w:rPr>
        <w:br/>
      </w:r>
      <w:r>
        <w:rPr>
          <w:rFonts w:hint="eastAsia" w:cs="仿宋" w:asciiTheme="minorEastAsia" w:hAnsiTheme="minorEastAsia" w:eastAsiaTheme="minorEastAsia"/>
          <w:szCs w:val="24"/>
          <w:lang w:val="en-US"/>
        </w:rPr>
        <w:t xml:space="preserve">20</w:t>
      </w:r>
      <w:r>
        <w:rPr>
          <w:rFonts w:hint="eastAsia" w:cs="仿宋" w:asciiTheme="minorEastAsia" w:hAnsiTheme="minorEastAsia" w:eastAsiaTheme="minorEastAsia"/>
          <w:szCs w:val="24"/>
        </w:rPr>
        <w:t xml:space="preserve">.3 上述应知其权益受到损害之日是指：</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（1）对采购文件提出质疑的，为收到采购文件之日或者采购文件公告期限届满之日起计算；</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（2）对采购过程提出质疑的，自采购程序环节结束之日起计算；</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（3）对中标结果提出质疑的，自中标结果公告期限届满之日起计算。</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20</w:t>
      </w:r>
      <w:r>
        <w:rPr>
          <w:rFonts w:hint="eastAsia" w:cs="仿宋" w:asciiTheme="minorEastAsia" w:hAnsiTheme="minorEastAsia" w:eastAsiaTheme="minorEastAsia"/>
          <w:szCs w:val="24"/>
        </w:rPr>
        <w:t xml:space="preserve">.4</w:t>
      </w:r>
      <w:r>
        <w:rPr>
          <w:rFonts w:hint="eastAsia" w:cs="仿宋" w:asciiTheme="minorEastAsia" w:hAnsiTheme="minorEastAsia" w:eastAsiaTheme="minorEastAsia"/>
          <w:szCs w:val="24"/>
          <w:lang w:val="en-US"/>
        </w:rPr>
        <w:t xml:space="preserve">在法定质疑期内，针对同一采购程序环节的质疑供应商应当一次性提出。对一个项目的不同包提出质疑的，应当将各包质疑事项集中在一份质疑函中提出。质疑供应商需要修改、补充质疑函的，应当在法定质疑有效期内提交修改或补充材料。</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20.5提出质疑的供应商应当是参与所质疑项目采购活动的供应商。供应商提出质疑应当提交质疑函和必要的证明材料。关于质疑函，供应商为自然人的，应当由本人签字；供应商为法人或者其他组织的，应当由法定代表人、主要负责人，或者其授权代表签字或者盖章，并加盖公章。供应商委托代理人进行质疑时，应当提交质疑供应商的授权委托书，授权委托书应当载明代理人的姓名或者名称、代理事项、具体权限、期限和相关事项。供应商为自然人的，应当由本人签字；供应商为法人或者其他组织的，应当由法定代表人、主</w:t>
      </w:r>
      <w:r>
        <w:rPr>
          <w:rFonts w:hint="eastAsia" w:cs="仿宋" w:asciiTheme="minorEastAsia" w:hAnsiTheme="minorEastAsia" w:eastAsiaTheme="minorEastAsia"/>
          <w:szCs w:val="24"/>
          <w:lang w:val="en-US"/>
        </w:rPr>
        <w:t xml:space="preserve">要负责人签字或者盖章，并加盖公章。质疑函通过现场提交至采购代理机构联系人处的，提交时应出示有效身份证明。以联合体形式参加政府采购活动的，其投诉应当由组成联合体的所有供应商共同提出。</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20.6质疑函存在以下情形的，代理机构不予受理：</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（一）质疑主体不满足《政府采购质疑和投诉办法》第十一条规定的；</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（二）供应商超过法定质疑期提出质疑的；</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（三）其它不符合受理条件情形的。</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20</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质疑文件应包括以下主要内容，并附上相关证明材料：</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（1）质疑供应商姓名或名称、地址、邮编、联系人及联系电话；</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（2）质疑项目名称、项目编号；</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（3）具体、明确的质疑事项和与质疑事项相关的请求；</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（4）事实依据；</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（5）必要的法律依据；</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（6）提出质疑的日期。</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20.8供应商以质疑函形式递交，但无具体、明确质疑事项，实质内容为询问的，代理机构可视为书面询问受理，后续事宜按照询问答复流程办理。</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20</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9采购人或采购代理机构在收到供应商的书面质疑后，采购代理机构将及时配合采购人进行调查核实，在七个工作日内作出答复，并以书面形式通知质疑供应商和其他有关供应商，答复的内容不涉及商业秘密。</w:t>
      </w:r>
      <w:r/>
    </w:p>
    <w:p>
      <w:pPr>
        <w:pStyle w:val="1517"/>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20</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10采购人或采购代理机构遵循“谁过错谁负担”的原则，有过错的一方承担调查论证费用。违规质疑或多次质疑不成立的，将报财政部门记入供应商诚信档案或列入不良行为记录名单。</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21.投诉</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szCs w:val="24"/>
          <w:lang w:val="en-US"/>
        </w:rPr>
        <w:t xml:space="preserve">1</w:t>
      </w:r>
      <w:r>
        <w:rPr>
          <w:rFonts w:hint="eastAsia" w:cs="仿宋" w:asciiTheme="minorEastAsia" w:hAnsiTheme="minorEastAsia" w:eastAsiaTheme="minorEastAsia"/>
          <w:szCs w:val="24"/>
        </w:rPr>
        <w:t xml:space="preserve">.1质疑供应商对采购代理的答复不满意，或采购代理未在规定的时间内作出答复的，可以在答复期满后十五个工作日内向采购项目同级财政部门投诉。</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22.诚实信用</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.1供应商之间不得相互串通报价，不得妨碍其他供应商的公平竞争，不得损害采购人和其他供应商的合法权益。</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.2 供应商不得以向采购代理工作人员、磋商小组成员行贿或者采取其他不正当手段谋取成交。经查实供应商有此行为的，政府采购管理部门将供应商列入不良行为记录名单，按照《政府采购法》有关规定处理。</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.3 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22.4供应商不得虚假承诺，否则，按照提供虚假材料谋取成交处理。</w:t>
      </w:r>
      <w:r/>
    </w:p>
    <w:p>
      <w:pPr>
        <w:pStyle w:val="1517"/>
        <w:rPr>
          <w:rFonts w:cs="仿宋" w:asciiTheme="minorEastAsia" w:hAnsiTheme="minorEastAsia" w:eastAsiaTheme="minorEastAsia"/>
          <w:szCs w:val="24"/>
        </w:rPr>
      </w:pPr>
      <w:r>
        <w:rPr>
          <w:rFonts w:cs="仿宋" w:asciiTheme="minorEastAsia" w:hAnsiTheme="minorEastAsia" w:eastAsiaTheme="minorEastAsia"/>
          <w:szCs w:val="24"/>
        </w:rPr>
        <w:t xml:space="preserve">2</w:t>
      </w:r>
      <w:r>
        <w:rPr>
          <w:rFonts w:hint="eastAsia" w:cs="仿宋" w:asciiTheme="minorEastAsia" w:hAnsiTheme="minorEastAsia" w:eastAsiaTheme="minorEastAsia"/>
          <w:szCs w:val="24"/>
        </w:rPr>
        <w:t xml:space="preserve">2</w:t>
      </w:r>
      <w:r>
        <w:rPr>
          <w:rFonts w:cs="仿宋" w:asciiTheme="minorEastAsia" w:hAnsiTheme="minorEastAsia" w:eastAsiaTheme="minorEastAsia"/>
          <w:szCs w:val="24"/>
        </w:rPr>
        <w:t xml:space="preserve">.5 </w:t>
      </w:r>
      <w:r>
        <w:rPr>
          <w:rFonts w:hint="eastAsia" w:cs="仿宋" w:asciiTheme="minorEastAsia" w:hAnsiTheme="minorEastAsia" w:eastAsiaTheme="minorEastAsia"/>
          <w:szCs w:val="24"/>
        </w:rPr>
        <w:t xml:space="preserve">供应商应自觉遵守磋商、评审纪律，扰乱磋商、评审现场秩序的，属于失信行为，根据《江苏省政府采购供应商监督管理暂行办法》，失信行为将被记入供应商诚信档案。</w:t>
      </w:r>
      <w:r/>
    </w:p>
    <w:p>
      <w:pPr>
        <w:ind w:left="0" w:right="-110" w:firstLine="0"/>
        <w:jc w:val="center"/>
        <w:rPr>
          <w:rFonts w:cs="黑体" w:asciiTheme="minorEastAsia" w:hAnsiTheme="minorEastAsia" w:eastAsiaTheme="minorEastAsia"/>
          <w:b/>
          <w:sz w:val="32"/>
          <w:szCs w:val="32"/>
          <w:lang w:val="zh-CN"/>
        </w:rPr>
      </w:pPr>
      <w:r>
        <w:rPr>
          <w:rFonts w:hint="eastAsia" w:cs="宋体" w:asciiTheme="minorEastAsia" w:hAnsiTheme="minorEastAsia" w:eastAsiaTheme="minorEastAsia"/>
          <w:szCs w:val="24"/>
          <w:lang w:val="zh-CN"/>
        </w:rPr>
        <w:br w:type="page" w:clear="all"/>
      </w:r>
      <w:r>
        <w:rPr>
          <w:rFonts w:hint="eastAsia" w:cs="黑体" w:asciiTheme="minorEastAsia" w:hAnsiTheme="minorEastAsia" w:eastAsiaTheme="minorEastAsia"/>
          <w:b/>
          <w:sz w:val="32"/>
          <w:szCs w:val="32"/>
        </w:rPr>
        <w:t xml:space="preserve">第三章 </w:t>
      </w:r>
      <w:r>
        <w:rPr>
          <w:rFonts w:hint="eastAsia" w:cs="黑体" w:asciiTheme="minorEastAsia" w:hAnsiTheme="minorEastAsia" w:eastAsiaTheme="minorEastAsia"/>
          <w:b/>
          <w:sz w:val="32"/>
          <w:szCs w:val="32"/>
        </w:rPr>
        <w:t xml:space="preserve">成交</w:t>
      </w:r>
      <w:r>
        <w:rPr>
          <w:rFonts w:hint="eastAsia" w:cs="黑体" w:asciiTheme="minorEastAsia" w:hAnsiTheme="minorEastAsia" w:eastAsiaTheme="minorEastAsia"/>
          <w:b/>
          <w:sz w:val="32"/>
          <w:szCs w:val="32"/>
          <w:lang w:val="zh-CN"/>
        </w:rPr>
        <w:t xml:space="preserve">标准</w:t>
      </w:r>
      <w:r/>
    </w:p>
    <w:tbl>
      <w:tblPr>
        <w:tblW w:w="53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56"/>
        <w:gridCol w:w="1490"/>
        <w:gridCol w:w="6733"/>
        <w:gridCol w:w="864"/>
      </w:tblGrid>
      <w:tr>
        <w:trPr>
          <w:jc w:val="center"/>
          <w:trHeight w:val="373"/>
        </w:trPr>
        <w:tc>
          <w:tcPr>
            <w:tcW w:w="476" w:type="pct"/>
            <w:vAlign w:val="center"/>
            <w:textDirection w:val="lrTb"/>
            <w:noWrap w:val="false"/>
          </w:tcPr>
          <w:p>
            <w:pPr>
              <w:jc w:val="center"/>
              <w:widowControl/>
              <w:rPr>
                <w:rFonts w:asciiTheme="minorEastAsia" w:hAnsiTheme="minorEastAsia" w:eastAsiaTheme="minorEastAsia"/>
                <w:b/>
                <w:bCs/>
                <w:sz w:val="22"/>
              </w:rPr>
            </w:pPr>
            <w:r>
              <w:rPr>
                <w:rFonts w:asciiTheme="minorEastAsia" w:hAnsiTheme="minorEastAsia" w:eastAsiaTheme="minorEastAsia"/>
                <w:b/>
                <w:bCs/>
                <w:sz w:val="22"/>
              </w:rPr>
              <w:t xml:space="preserve">项目</w:t>
            </w:r>
            <w:r/>
          </w:p>
        </w:tc>
        <w:tc>
          <w:tcPr>
            <w:tcW w:w="742" w:type="pct"/>
            <w:vAlign w:val="center"/>
            <w:textDirection w:val="lrTb"/>
            <w:noWrap w:val="false"/>
          </w:tcPr>
          <w:p>
            <w:pPr>
              <w:jc w:val="center"/>
              <w:widowControl/>
              <w:rPr>
                <w:rFonts w:asciiTheme="minorEastAsia" w:hAnsiTheme="minorEastAsia" w:eastAsiaTheme="minorEastAsia"/>
                <w:b/>
                <w:bCs/>
                <w:sz w:val="22"/>
              </w:rPr>
            </w:pPr>
            <w:r>
              <w:rPr>
                <w:rFonts w:asciiTheme="minorEastAsia" w:hAnsiTheme="minorEastAsia" w:eastAsiaTheme="minorEastAsia"/>
                <w:b/>
                <w:bCs/>
                <w:sz w:val="22"/>
              </w:rPr>
              <w:t xml:space="preserve">评分项</w:t>
            </w:r>
            <w:r/>
          </w:p>
        </w:tc>
        <w:tc>
          <w:tcPr>
            <w:tcW w:w="3352" w:type="pct"/>
            <w:vAlign w:val="center"/>
            <w:textDirection w:val="lrTb"/>
            <w:noWrap w:val="false"/>
          </w:tcPr>
          <w:p>
            <w:pPr>
              <w:jc w:val="center"/>
              <w:widowControl/>
              <w:rPr>
                <w:rFonts w:asciiTheme="minorEastAsia" w:hAnsiTheme="minorEastAsia" w:eastAsiaTheme="minorEastAsia"/>
                <w:b/>
                <w:bCs/>
                <w:sz w:val="22"/>
              </w:rPr>
            </w:pPr>
            <w:r>
              <w:rPr>
                <w:rFonts w:asciiTheme="minorEastAsia" w:hAnsiTheme="minorEastAsia" w:eastAsiaTheme="minorEastAsia"/>
                <w:b/>
                <w:bCs/>
                <w:sz w:val="22"/>
              </w:rPr>
              <w:t xml:space="preserve">评分细则</w:t>
            </w:r>
            <w:r/>
          </w:p>
        </w:tc>
        <w:tc>
          <w:tcPr>
            <w:tcW w:w="430" w:type="pct"/>
            <w:vAlign w:val="center"/>
            <w:textDirection w:val="lrTb"/>
            <w:noWrap w:val="false"/>
          </w:tcPr>
          <w:p>
            <w:pPr>
              <w:jc w:val="center"/>
              <w:widowControl/>
              <w:rPr>
                <w:rFonts w:asciiTheme="minorEastAsia" w:hAnsiTheme="minorEastAsia" w:eastAsiaTheme="minorEastAsia"/>
                <w:b/>
                <w:bCs/>
                <w:sz w:val="22"/>
              </w:rPr>
            </w:pPr>
            <w:r>
              <w:rPr>
                <w:rFonts w:asciiTheme="minorEastAsia" w:hAnsiTheme="minorEastAsia" w:eastAsiaTheme="minorEastAsia"/>
                <w:b/>
                <w:bCs/>
                <w:sz w:val="22"/>
              </w:rPr>
              <w:t xml:space="preserve">分值</w:t>
            </w:r>
            <w:r/>
          </w:p>
        </w:tc>
      </w:tr>
      <w:tr>
        <w:trPr>
          <w:jc w:val="center"/>
          <w:trHeight w:val="1240"/>
        </w:trPr>
        <w:tc>
          <w:tcPr>
            <w:tcW w:w="476" w:type="pct"/>
            <w:vAlign w:val="center"/>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t xml:space="preserve">一、价格部分</w:t>
            </w:r>
            <w:r/>
          </w:p>
          <w:p>
            <w:pPr>
              <w:jc w:val="center"/>
              <w:rPr>
                <w:rFonts w:asciiTheme="minorEastAsia" w:hAnsiTheme="minorEastAsia" w:eastAsiaTheme="minorEastAsia"/>
                <w:bCs/>
                <w:sz w:val="22"/>
              </w:rPr>
            </w:pPr>
            <w:r>
              <w:rPr>
                <w:rFonts w:asciiTheme="minorEastAsia" w:hAnsiTheme="minorEastAsia" w:eastAsiaTheme="minorEastAsia"/>
                <w:bCs/>
                <w:sz w:val="22"/>
              </w:rPr>
              <w:t xml:space="preserve">(15分)</w:t>
            </w:r>
            <w:r/>
          </w:p>
        </w:tc>
        <w:tc>
          <w:tcPr>
            <w:tcW w:w="742" w:type="pct"/>
            <w:vAlign w:val="center"/>
            <w:textDirection w:val="lrTb"/>
            <w:noWrap w:val="false"/>
          </w:tcPr>
          <w:p>
            <w:pPr>
              <w:jc w:val="center"/>
              <w:widowControl/>
              <w:rPr>
                <w:rFonts w:asciiTheme="minorEastAsia" w:hAnsiTheme="minorEastAsia" w:eastAsiaTheme="minorEastAsia"/>
                <w:bCs/>
                <w:sz w:val="22"/>
              </w:rPr>
            </w:pPr>
            <w:r>
              <w:rPr>
                <w:rFonts w:asciiTheme="minorEastAsia" w:hAnsiTheme="minorEastAsia" w:eastAsiaTheme="minorEastAsia"/>
                <w:bCs/>
                <w:sz w:val="22"/>
              </w:rPr>
              <w:t xml:space="preserve">价格评分</w:t>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采用低价优先法计算，即满足采购文件要求且响应性报价最低的报价为评标基准价，其价格分为满分。其他供应商的价格分统一按照下列公式计算：投标报价得分=(评标基准价/最终投标报价)×15（小数点保留两位）。</w:t>
            </w:r>
            <w:r/>
          </w:p>
        </w:tc>
        <w:tc>
          <w:tcPr>
            <w:tcW w:w="430" w:type="pct"/>
            <w:vAlign w:val="center"/>
            <w:textDirection w:val="lrTb"/>
            <w:noWrap w:val="false"/>
          </w:tcPr>
          <w:p>
            <w:pPr>
              <w:jc w:val="center"/>
              <w:widowControl/>
              <w:rPr>
                <w:rFonts w:asciiTheme="minorEastAsia" w:hAnsiTheme="minorEastAsia" w:eastAsiaTheme="minorEastAsia"/>
                <w:bCs/>
                <w:sz w:val="22"/>
              </w:rPr>
            </w:pPr>
            <w:r>
              <w:rPr>
                <w:rFonts w:asciiTheme="minorEastAsia" w:hAnsiTheme="minorEastAsia" w:eastAsiaTheme="minorEastAsia"/>
                <w:sz w:val="22"/>
              </w:rPr>
              <w:t xml:space="preserve">15</w:t>
            </w:r>
            <w:r/>
          </w:p>
        </w:tc>
      </w:tr>
      <w:tr>
        <w:trPr>
          <w:jc w:val="center"/>
          <w:trHeight w:val="923"/>
        </w:trPr>
        <w:tc>
          <w:tcPr>
            <w:tcW w:w="476" w:type="pct"/>
            <w:vAlign w:val="center"/>
            <w:vMerge w:val="restart"/>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t xml:space="preserve">二、商务部分</w:t>
            </w:r>
            <w:r/>
          </w:p>
          <w:p>
            <w:pPr>
              <w:jc w:val="center"/>
              <w:rPr>
                <w:rFonts w:asciiTheme="minorEastAsia" w:hAnsiTheme="minorEastAsia" w:eastAsiaTheme="minorEastAsia"/>
                <w:bCs/>
                <w:sz w:val="22"/>
              </w:rPr>
            </w:pPr>
            <w:r>
              <w:rPr>
                <w:rFonts w:asciiTheme="minorEastAsia" w:hAnsiTheme="minorEastAsia" w:eastAsiaTheme="minorEastAsia"/>
                <w:bCs/>
                <w:sz w:val="22"/>
              </w:rPr>
              <w:t xml:space="preserve">(</w:t>
            </w:r>
            <w:r>
              <w:rPr>
                <w:rFonts w:hint="eastAsia" w:asciiTheme="minorEastAsia" w:hAnsiTheme="minorEastAsia" w:eastAsiaTheme="minorEastAsia"/>
                <w:bCs/>
                <w:sz w:val="22"/>
              </w:rPr>
              <w:t xml:space="preserve">45</w:t>
            </w:r>
            <w:r>
              <w:rPr>
                <w:rFonts w:asciiTheme="minorEastAsia" w:hAnsiTheme="minorEastAsia" w:eastAsiaTheme="minorEastAsia"/>
                <w:bCs/>
                <w:sz w:val="22"/>
              </w:rPr>
              <w:t xml:space="preserve">分)</w:t>
            </w:r>
            <w:r/>
          </w:p>
        </w:tc>
        <w:tc>
          <w:tcPr>
            <w:tcW w:w="742" w:type="pct"/>
            <w:vAlign w:val="center"/>
            <w:vMerge w:val="restart"/>
            <w:textDirection w:val="lrTb"/>
            <w:noWrap w:val="false"/>
          </w:tcPr>
          <w:p>
            <w:pPr>
              <w:jc w:val="center"/>
              <w:widowControl/>
              <w:rPr>
                <w:rFonts w:asciiTheme="minorEastAsia" w:hAnsiTheme="minorEastAsia" w:eastAsiaTheme="minorEastAsia"/>
                <w:sz w:val="22"/>
              </w:rPr>
            </w:pPr>
            <w:r>
              <w:rPr>
                <w:rFonts w:asciiTheme="minorEastAsia" w:hAnsiTheme="minorEastAsia" w:eastAsiaTheme="minorEastAsia"/>
                <w:sz w:val="22"/>
              </w:rPr>
              <w:t xml:space="preserve">机构人员、车辆和设备配置</w:t>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项目负责人：具备环境类专业的中级及以上职称且</w:t>
            </w:r>
            <w:r>
              <w:rPr>
                <w:rFonts w:asciiTheme="minorEastAsia" w:hAnsiTheme="minorEastAsia" w:eastAsiaTheme="minorEastAsia"/>
                <w:sz w:val="22"/>
              </w:rPr>
              <w:t xml:space="preserve">通过省级及以上环境管理部门或环境保护行业协会组织的地表水监控相关技术考核或培训</w:t>
            </w:r>
            <w:r>
              <w:rPr>
                <w:rFonts w:asciiTheme="minorEastAsia" w:hAnsiTheme="minorEastAsia" w:eastAsiaTheme="minorEastAsia"/>
                <w:bCs/>
                <w:sz w:val="22"/>
              </w:rPr>
              <w:t xml:space="preserve">得</w:t>
            </w:r>
            <w:r>
              <w:rPr>
                <w:rFonts w:hint="eastAsia" w:asciiTheme="minorEastAsia" w:hAnsiTheme="minorEastAsia" w:eastAsiaTheme="minorEastAsia"/>
                <w:bCs/>
                <w:sz w:val="22"/>
              </w:rPr>
              <w:t xml:space="preserve">6</w:t>
            </w:r>
            <w:r>
              <w:rPr>
                <w:rFonts w:asciiTheme="minorEastAsia" w:hAnsiTheme="minorEastAsia" w:eastAsiaTheme="minorEastAsia"/>
                <w:bCs/>
                <w:sz w:val="22"/>
              </w:rPr>
              <w:t xml:space="preserve">分；具备环境类专业的初级职称且</w:t>
            </w:r>
            <w:r>
              <w:rPr>
                <w:rFonts w:asciiTheme="minorEastAsia" w:hAnsiTheme="minorEastAsia" w:eastAsiaTheme="minorEastAsia"/>
                <w:sz w:val="22"/>
              </w:rPr>
              <w:t xml:space="preserve">通过省级及以上环境管理部门或环境保护行业协会组织的地表水监控相关技术考核或培训</w:t>
            </w:r>
            <w:r>
              <w:rPr>
                <w:rFonts w:asciiTheme="minorEastAsia" w:hAnsiTheme="minorEastAsia" w:eastAsiaTheme="minorEastAsia"/>
                <w:bCs/>
                <w:sz w:val="22"/>
              </w:rPr>
              <w:t xml:space="preserve">得3分；未提供不得分。本项最多得</w:t>
            </w:r>
            <w:r>
              <w:rPr>
                <w:rFonts w:hint="eastAsia" w:asciiTheme="minorEastAsia" w:hAnsiTheme="minorEastAsia" w:eastAsiaTheme="minorEastAsia"/>
                <w:bCs/>
                <w:sz w:val="22"/>
              </w:rPr>
              <w:t xml:space="preserve">6</w:t>
            </w:r>
            <w:r>
              <w:rPr>
                <w:rFonts w:asciiTheme="minorEastAsia" w:hAnsiTheme="minorEastAsia" w:eastAsiaTheme="minorEastAsia"/>
                <w:bCs/>
                <w:sz w:val="22"/>
              </w:rPr>
              <w:t xml:space="preserve">分。（提供相应证书扫描件加盖公章及供应商为拟派的项目负责人缴纳的近六个月（2025年1</w:t>
            </w:r>
            <w:r>
              <w:rPr>
                <w:rFonts w:hint="eastAsia" w:asciiTheme="minorEastAsia" w:hAnsiTheme="minorEastAsia" w:eastAsiaTheme="minorEastAsia"/>
                <w:bCs/>
                <w:sz w:val="22"/>
              </w:rPr>
              <w:t xml:space="preserve">2</w:t>
            </w:r>
            <w:r>
              <w:rPr>
                <w:rFonts w:asciiTheme="minorEastAsia" w:hAnsiTheme="minorEastAsia" w:eastAsiaTheme="minorEastAsia"/>
                <w:bCs/>
                <w:sz w:val="22"/>
              </w:rPr>
              <w:t xml:space="preserve">月-2026年</w:t>
            </w:r>
            <w:r>
              <w:rPr>
                <w:rFonts w:hint="eastAsia" w:asciiTheme="minorEastAsia" w:hAnsiTheme="minorEastAsia" w:eastAsiaTheme="minorEastAsia"/>
                <w:bCs/>
                <w:sz w:val="22"/>
              </w:rPr>
              <w:t xml:space="preserve">5</w:t>
            </w:r>
            <w:r>
              <w:rPr>
                <w:rFonts w:asciiTheme="minorEastAsia" w:hAnsiTheme="minorEastAsia" w:eastAsiaTheme="minorEastAsia"/>
                <w:bCs/>
                <w:sz w:val="22"/>
              </w:rPr>
              <w:t xml:space="preserve">月）的社保缴费证明材料【加盖社保公章或具有可验证的二维码（或验证码）】加盖公章）</w:t>
            </w:r>
            <w:r/>
          </w:p>
        </w:tc>
        <w:tc>
          <w:tcPr>
            <w:tcW w:w="430" w:type="pct"/>
            <w:vAlign w:val="center"/>
            <w:textDirection w:val="lrTb"/>
            <w:noWrap w:val="false"/>
          </w:tcPr>
          <w:p>
            <w:pPr>
              <w:jc w:val="center"/>
              <w:widowControl/>
              <w:rPr>
                <w:rFonts w:asciiTheme="minorEastAsia" w:hAnsiTheme="minorEastAsia" w:eastAsiaTheme="minorEastAsia"/>
                <w:sz w:val="22"/>
              </w:rPr>
            </w:pPr>
            <w:r>
              <w:rPr>
                <w:rFonts w:hint="eastAsia" w:asciiTheme="minorEastAsia" w:hAnsiTheme="minorEastAsia" w:eastAsiaTheme="minorEastAsia"/>
                <w:sz w:val="22"/>
              </w:rPr>
              <w:t xml:space="preserve">6</w:t>
            </w:r>
            <w:r/>
          </w:p>
        </w:tc>
      </w:tr>
      <w:tr>
        <w:trPr>
          <w:jc w:val="center"/>
          <w:trHeight w:val="1290"/>
        </w:trPr>
        <w:tc>
          <w:tcPr>
            <w:tcW w:w="476" w:type="pct"/>
            <w:vAlign w:val="center"/>
            <w:vMerge w:val="continue"/>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r>
            <w:r/>
          </w:p>
        </w:tc>
        <w:tc>
          <w:tcPr>
            <w:tcW w:w="742" w:type="pct"/>
            <w:vAlign w:val="center"/>
            <w:vMerge w:val="continue"/>
            <w:textDirection w:val="lrTb"/>
            <w:noWrap w:val="false"/>
          </w:tcPr>
          <w:p>
            <w:pPr>
              <w:jc w:val="center"/>
              <w:widowControl/>
              <w:rPr>
                <w:rFonts w:asciiTheme="minorEastAsia" w:hAnsiTheme="minorEastAsia" w:eastAsiaTheme="minorEastAsia"/>
                <w:sz w:val="22"/>
              </w:rPr>
            </w:pPr>
            <w:r>
              <w:rPr>
                <w:rFonts w:asciiTheme="minorEastAsia" w:hAnsiTheme="minorEastAsia" w:eastAsiaTheme="minorEastAsia"/>
                <w:sz w:val="22"/>
              </w:rPr>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项目运维人员：为本项目配置的运维人员在满足磋商文件要求的基础上，具有3年以上水站运维工作经验或具备环境相关专业中级及以上职称的得3分/人，本项最多得6分。（提供工作经验证明材料或职称证书扫描件加盖公章）</w:t>
            </w:r>
            <w:r/>
          </w:p>
        </w:tc>
        <w:tc>
          <w:tcPr>
            <w:tcW w:w="430" w:type="pct"/>
            <w:vAlign w:val="center"/>
            <w:textDirection w:val="lrTb"/>
            <w:noWrap w:val="false"/>
          </w:tcPr>
          <w:p>
            <w:pPr>
              <w:jc w:val="center"/>
              <w:tabs>
                <w:tab w:val="left" w:pos="567" w:leader="none"/>
              </w:tabs>
              <w:rPr>
                <w:rFonts w:asciiTheme="minorEastAsia" w:hAnsiTheme="minorEastAsia" w:eastAsiaTheme="minorEastAsia"/>
                <w:bCs/>
                <w:sz w:val="22"/>
              </w:rPr>
            </w:pPr>
            <w:r>
              <w:rPr>
                <w:rFonts w:asciiTheme="minorEastAsia" w:hAnsiTheme="minorEastAsia" w:eastAsiaTheme="minorEastAsia"/>
                <w:bCs/>
                <w:sz w:val="22"/>
              </w:rPr>
              <w:t xml:space="preserve">6</w:t>
            </w:r>
            <w:r/>
          </w:p>
        </w:tc>
      </w:tr>
      <w:tr>
        <w:trPr>
          <w:jc w:val="center"/>
          <w:trHeight w:val="1107"/>
        </w:trPr>
        <w:tc>
          <w:tcPr>
            <w:tcW w:w="476" w:type="pct"/>
            <w:vAlign w:val="center"/>
            <w:vMerge w:val="continue"/>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r>
            <w:r/>
          </w:p>
        </w:tc>
        <w:tc>
          <w:tcPr>
            <w:tcW w:w="742" w:type="pct"/>
            <w:vAlign w:val="center"/>
            <w:vMerge w:val="continue"/>
            <w:textDirection w:val="lrTb"/>
            <w:noWrap w:val="false"/>
          </w:tcPr>
          <w:p>
            <w:pPr>
              <w:jc w:val="center"/>
              <w:widowControl/>
              <w:rPr>
                <w:rFonts w:asciiTheme="minorEastAsia" w:hAnsiTheme="minorEastAsia" w:eastAsiaTheme="minorEastAsia"/>
                <w:sz w:val="22"/>
              </w:rPr>
            </w:pPr>
            <w:r>
              <w:rPr>
                <w:rFonts w:asciiTheme="minorEastAsia" w:hAnsiTheme="minorEastAsia" w:eastAsiaTheme="minorEastAsia"/>
                <w:sz w:val="22"/>
              </w:rPr>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驻场人员：</w:t>
            </w:r>
            <w:r>
              <w:rPr>
                <w:rFonts w:asciiTheme="minorEastAsia" w:hAnsiTheme="minorEastAsia" w:eastAsiaTheme="minorEastAsia"/>
                <w:sz w:val="22"/>
              </w:rPr>
              <w:t xml:space="preserve">通过省级及以上环境管理部门或环境保护行业协会组织的地表水监控相关技术考核或培训</w:t>
            </w:r>
            <w:r>
              <w:rPr>
                <w:rFonts w:asciiTheme="minorEastAsia" w:hAnsiTheme="minorEastAsia" w:eastAsiaTheme="minorEastAsia"/>
                <w:bCs/>
                <w:sz w:val="22"/>
              </w:rPr>
              <w:t xml:space="preserve">得3分，同时具有本科及以上学历或5年及以上水站数据监控工作经验的加</w:t>
            </w:r>
            <w:r>
              <w:rPr>
                <w:rFonts w:hint="eastAsia" w:asciiTheme="minorEastAsia" w:hAnsiTheme="minorEastAsia" w:eastAsiaTheme="minorEastAsia"/>
                <w:bCs/>
                <w:sz w:val="22"/>
              </w:rPr>
              <w:t xml:space="preserve">3</w:t>
            </w:r>
            <w:r>
              <w:rPr>
                <w:rFonts w:asciiTheme="minorEastAsia" w:hAnsiTheme="minorEastAsia" w:eastAsiaTheme="minorEastAsia"/>
                <w:bCs/>
                <w:sz w:val="22"/>
              </w:rPr>
              <w:t xml:space="preserve">分。本项最多得</w:t>
            </w:r>
            <w:r>
              <w:rPr>
                <w:rFonts w:hint="eastAsia" w:asciiTheme="minorEastAsia" w:hAnsiTheme="minorEastAsia" w:eastAsiaTheme="minorEastAsia"/>
                <w:bCs/>
                <w:sz w:val="22"/>
              </w:rPr>
              <w:t xml:space="preserve">6</w:t>
            </w:r>
            <w:r>
              <w:rPr>
                <w:rFonts w:asciiTheme="minorEastAsia" w:hAnsiTheme="minorEastAsia" w:eastAsiaTheme="minorEastAsia"/>
                <w:bCs/>
                <w:sz w:val="22"/>
              </w:rPr>
              <w:t xml:space="preserve">分。（提供相应证明材料扫描件加盖公章及供应商为拟派的驻场人员缴纳的</w:t>
            </w:r>
            <w:r>
              <w:rPr>
                <w:rFonts w:asciiTheme="minorEastAsia" w:hAnsiTheme="minorEastAsia" w:eastAsiaTheme="minorEastAsia"/>
                <w:bCs/>
                <w:sz w:val="22"/>
              </w:rPr>
              <w:t xml:space="preserve">近六个月（2025年1</w:t>
            </w:r>
            <w:r>
              <w:rPr>
                <w:rFonts w:hint="eastAsia" w:asciiTheme="minorEastAsia" w:hAnsiTheme="minorEastAsia" w:eastAsiaTheme="minorEastAsia"/>
                <w:bCs/>
                <w:sz w:val="22"/>
              </w:rPr>
              <w:t xml:space="preserve">2</w:t>
            </w:r>
            <w:r>
              <w:rPr>
                <w:rFonts w:asciiTheme="minorEastAsia" w:hAnsiTheme="minorEastAsia" w:eastAsiaTheme="minorEastAsia"/>
                <w:bCs/>
                <w:sz w:val="22"/>
              </w:rPr>
              <w:t xml:space="preserve">月-2026年</w:t>
            </w:r>
            <w:r>
              <w:rPr>
                <w:rFonts w:hint="eastAsia" w:asciiTheme="minorEastAsia" w:hAnsiTheme="minorEastAsia" w:eastAsiaTheme="minorEastAsia"/>
                <w:bCs/>
                <w:sz w:val="22"/>
              </w:rPr>
              <w:t xml:space="preserve">5</w:t>
            </w:r>
            <w:r>
              <w:rPr>
                <w:rFonts w:asciiTheme="minorEastAsia" w:hAnsiTheme="minorEastAsia" w:eastAsiaTheme="minorEastAsia"/>
                <w:bCs/>
                <w:sz w:val="22"/>
              </w:rPr>
              <w:t xml:space="preserve">月）</w:t>
            </w:r>
            <w:r>
              <w:rPr>
                <w:rFonts w:asciiTheme="minorEastAsia" w:hAnsiTheme="minorEastAsia" w:eastAsiaTheme="minorEastAsia"/>
                <w:bCs/>
                <w:sz w:val="22"/>
              </w:rPr>
              <w:t xml:space="preserve">的社保缴费证明材料【加盖社保公章或具有可验证的二维码（或验证码）】加盖公章）</w:t>
            </w:r>
            <w:r/>
          </w:p>
        </w:tc>
        <w:tc>
          <w:tcPr>
            <w:tcW w:w="430" w:type="pct"/>
            <w:vAlign w:val="center"/>
            <w:textDirection w:val="lrTb"/>
            <w:noWrap w:val="false"/>
          </w:tcPr>
          <w:p>
            <w:pPr>
              <w:jc w:val="center"/>
              <w:tabs>
                <w:tab w:val="left" w:pos="567" w:leader="none"/>
              </w:tabs>
              <w:rPr>
                <w:rFonts w:asciiTheme="minorEastAsia" w:hAnsiTheme="minorEastAsia" w:eastAsiaTheme="minorEastAsia"/>
                <w:bCs/>
                <w:sz w:val="22"/>
              </w:rPr>
            </w:pPr>
            <w:r>
              <w:rPr>
                <w:rFonts w:hint="eastAsia" w:asciiTheme="minorEastAsia" w:hAnsiTheme="minorEastAsia" w:eastAsiaTheme="minorEastAsia"/>
                <w:bCs/>
                <w:sz w:val="22"/>
              </w:rPr>
              <w:t xml:space="preserve">6</w:t>
            </w:r>
            <w:r/>
          </w:p>
        </w:tc>
      </w:tr>
      <w:tr>
        <w:trPr>
          <w:jc w:val="center"/>
          <w:trHeight w:val="1107"/>
        </w:trPr>
        <w:tc>
          <w:tcPr>
            <w:tcW w:w="476" w:type="pct"/>
            <w:vAlign w:val="center"/>
            <w:vMerge w:val="continue"/>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r>
            <w:r/>
          </w:p>
        </w:tc>
        <w:tc>
          <w:tcPr>
            <w:tcW w:w="742" w:type="pct"/>
            <w:vAlign w:val="center"/>
            <w:vMerge w:val="continue"/>
            <w:textDirection w:val="lrTb"/>
            <w:noWrap w:val="false"/>
          </w:tcPr>
          <w:p>
            <w:pPr>
              <w:jc w:val="center"/>
              <w:widowControl/>
              <w:rPr>
                <w:rFonts w:asciiTheme="minorEastAsia" w:hAnsiTheme="minorEastAsia" w:eastAsiaTheme="minorEastAsia"/>
                <w:sz w:val="22"/>
              </w:rPr>
            </w:pPr>
            <w:r>
              <w:rPr>
                <w:rFonts w:asciiTheme="minorEastAsia" w:hAnsiTheme="minorEastAsia" w:eastAsiaTheme="minorEastAsia"/>
                <w:sz w:val="22"/>
              </w:rPr>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车辆：为本项目配置的运维车辆数量在满足磋商文件要求的基础上，每增加一辆得</w:t>
            </w:r>
            <w:r>
              <w:rPr>
                <w:rFonts w:hint="eastAsia" w:asciiTheme="minorEastAsia" w:hAnsiTheme="minorEastAsia" w:eastAsiaTheme="minorEastAsia"/>
                <w:bCs/>
                <w:sz w:val="22"/>
              </w:rPr>
              <w:t xml:space="preserve">4</w:t>
            </w:r>
            <w:r>
              <w:rPr>
                <w:rFonts w:asciiTheme="minorEastAsia" w:hAnsiTheme="minorEastAsia" w:eastAsiaTheme="minorEastAsia"/>
                <w:bCs/>
                <w:sz w:val="22"/>
              </w:rPr>
              <w:t xml:space="preserve">分，本项最多得</w:t>
            </w:r>
            <w:r>
              <w:rPr>
                <w:rFonts w:hint="eastAsia" w:asciiTheme="minorEastAsia" w:hAnsiTheme="minorEastAsia" w:eastAsiaTheme="minorEastAsia"/>
                <w:bCs/>
                <w:sz w:val="22"/>
              </w:rPr>
              <w:t xml:space="preserve">4</w:t>
            </w:r>
            <w:r>
              <w:rPr>
                <w:rFonts w:asciiTheme="minorEastAsia" w:hAnsiTheme="minorEastAsia" w:eastAsiaTheme="minorEastAsia"/>
                <w:bCs/>
                <w:sz w:val="22"/>
              </w:rPr>
              <w:t xml:space="preserve">分。（同时提供车辆牌照、行驶证、车辆采购或租赁等证明材料扫描件加盖公章；如为租赁合同，则租赁合同周期需至少覆盖本项目运维服务期）</w:t>
            </w:r>
            <w:r/>
          </w:p>
        </w:tc>
        <w:tc>
          <w:tcPr>
            <w:tcW w:w="430" w:type="pct"/>
            <w:vAlign w:val="center"/>
            <w:textDirection w:val="lrTb"/>
            <w:noWrap w:val="false"/>
          </w:tcPr>
          <w:p>
            <w:pPr>
              <w:jc w:val="center"/>
              <w:tabs>
                <w:tab w:val="left" w:pos="567" w:leader="none"/>
              </w:tabs>
              <w:rPr>
                <w:rFonts w:asciiTheme="minorEastAsia" w:hAnsiTheme="minorEastAsia" w:eastAsiaTheme="minorEastAsia"/>
                <w:bCs/>
                <w:sz w:val="22"/>
              </w:rPr>
            </w:pPr>
            <w:r>
              <w:rPr>
                <w:rFonts w:hint="eastAsia" w:asciiTheme="minorEastAsia" w:hAnsiTheme="minorEastAsia" w:eastAsiaTheme="minorEastAsia"/>
                <w:bCs/>
                <w:sz w:val="22"/>
              </w:rPr>
              <w:t xml:space="preserve">4</w:t>
            </w:r>
            <w:r/>
          </w:p>
        </w:tc>
      </w:tr>
      <w:tr>
        <w:trPr>
          <w:jc w:val="center"/>
          <w:trHeight w:val="274"/>
        </w:trPr>
        <w:tc>
          <w:tcPr>
            <w:tcW w:w="476" w:type="pct"/>
            <w:vAlign w:val="center"/>
            <w:vMerge w:val="continue"/>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r>
            <w:r/>
          </w:p>
        </w:tc>
        <w:tc>
          <w:tcPr>
            <w:tcW w:w="742" w:type="pct"/>
            <w:vAlign w:val="center"/>
            <w:vMerge w:val="continue"/>
            <w:textDirection w:val="lrTb"/>
            <w:noWrap w:val="false"/>
          </w:tcPr>
          <w:p>
            <w:pPr>
              <w:jc w:val="center"/>
              <w:widowControl/>
              <w:rPr>
                <w:rFonts w:asciiTheme="minorEastAsia" w:hAnsiTheme="minorEastAsia" w:eastAsiaTheme="minorEastAsia"/>
                <w:sz w:val="22"/>
              </w:rPr>
            </w:pPr>
            <w:r>
              <w:rPr>
                <w:rFonts w:asciiTheme="minorEastAsia" w:hAnsiTheme="minorEastAsia" w:eastAsiaTheme="minorEastAsia"/>
                <w:sz w:val="22"/>
              </w:rPr>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备机：根据供应商提供的备机情况进行评审（</w:t>
            </w:r>
            <w:r>
              <w:rPr>
                <w:rFonts w:asciiTheme="minorEastAsia" w:hAnsiTheme="minorEastAsia" w:eastAsiaTheme="minorEastAsia"/>
                <w:sz w:val="22"/>
              </w:rPr>
              <w:t xml:space="preserve">配备十参数分析仪（pH、水温、溶解氧、电导率、浊度、高锰酸盐指数、氨氮、总磷、总氮、化学需氧量）备机以满足水站运维管理需要。按单项参数总量，每5台同参数仪器应配备不少于1台的备机，不足5台按5台仪器配置备机。故本项目单项参数仪器需配备2台备机，共计至少20台备机</w:t>
            </w:r>
            <w:r>
              <w:rPr>
                <w:rFonts w:asciiTheme="minorEastAsia" w:hAnsiTheme="minorEastAsia" w:eastAsiaTheme="minorEastAsia"/>
                <w:bCs/>
                <w:sz w:val="22"/>
              </w:rPr>
              <w:t xml:space="preserve">），符合上述要求的得</w:t>
            </w:r>
            <w:r>
              <w:rPr>
                <w:rFonts w:hint="eastAsia" w:asciiTheme="minorEastAsia" w:hAnsiTheme="minorEastAsia" w:eastAsiaTheme="minorEastAsia"/>
                <w:bCs/>
                <w:sz w:val="22"/>
              </w:rPr>
              <w:t xml:space="preserve">6</w:t>
            </w:r>
            <w:r>
              <w:rPr>
                <w:rFonts w:asciiTheme="minorEastAsia" w:hAnsiTheme="minorEastAsia" w:eastAsiaTheme="minorEastAsia"/>
                <w:bCs/>
                <w:sz w:val="22"/>
              </w:rPr>
              <w:t xml:space="preserve">分，缺任一参数</w:t>
            </w:r>
            <w:r>
              <w:rPr>
                <w:rFonts w:hint="eastAsia" w:asciiTheme="minorEastAsia" w:hAnsiTheme="minorEastAsia" w:eastAsiaTheme="minorEastAsia"/>
                <w:bCs/>
                <w:sz w:val="22"/>
              </w:rPr>
              <w:t xml:space="preserve">本项</w:t>
            </w:r>
            <w:r>
              <w:rPr>
                <w:rFonts w:asciiTheme="minorEastAsia" w:hAnsiTheme="minorEastAsia" w:eastAsiaTheme="minorEastAsia"/>
                <w:bCs/>
                <w:sz w:val="22"/>
              </w:rPr>
              <w:t xml:space="preserve">不得分</w:t>
            </w:r>
            <w:r>
              <w:rPr>
                <w:rFonts w:hint="eastAsia" w:asciiTheme="minorEastAsia" w:hAnsiTheme="minorEastAsia" w:eastAsiaTheme="minorEastAsia"/>
                <w:bCs/>
                <w:sz w:val="22"/>
              </w:rPr>
              <w:t xml:space="preserve">。</w:t>
            </w:r>
            <w:r>
              <w:rPr>
                <w:rFonts w:asciiTheme="minorEastAsia" w:hAnsiTheme="minorEastAsia" w:eastAsiaTheme="minorEastAsia"/>
                <w:bCs/>
                <w:sz w:val="22"/>
              </w:rPr>
              <w:t xml:space="preserve">在满足</w:t>
            </w:r>
            <w:r>
              <w:rPr>
                <w:rFonts w:hint="eastAsia" w:asciiTheme="minorEastAsia" w:hAnsiTheme="minorEastAsia" w:eastAsiaTheme="minorEastAsia"/>
                <w:bCs/>
                <w:sz w:val="22"/>
              </w:rPr>
              <w:t xml:space="preserve">20台备机的基础上，每增加一个参数的备机加1分，最多加5分。</w:t>
            </w:r>
            <w:r>
              <w:rPr>
                <w:rFonts w:asciiTheme="minorEastAsia" w:hAnsiTheme="minorEastAsia" w:eastAsiaTheme="minorEastAsia"/>
                <w:bCs/>
                <w:sz w:val="22"/>
              </w:rPr>
              <w:t xml:space="preserve">（需提供备机配置情况清单，仪器生产厂家需提供相关持有证明，非仪器生产厂家需提供采购合同或意向性供货协议）；</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承诺中标后购置满足上述要求</w:t>
            </w:r>
            <w:r>
              <w:rPr>
                <w:rFonts w:asciiTheme="minorEastAsia" w:hAnsiTheme="minorEastAsia" w:eastAsiaTheme="minorEastAsia"/>
                <w:bCs/>
                <w:sz w:val="22"/>
              </w:rPr>
              <w:t xml:space="preserve">（上述要求指至少20台备机；提供承诺书加盖公章，不提供不得分）</w:t>
            </w:r>
            <w:r>
              <w:rPr>
                <w:rFonts w:asciiTheme="minorEastAsia" w:hAnsiTheme="minorEastAsia" w:eastAsiaTheme="minorEastAsia"/>
                <w:bCs/>
                <w:sz w:val="22"/>
              </w:rPr>
              <w:t xml:space="preserve">的备机，得</w:t>
            </w:r>
            <w:r>
              <w:rPr>
                <w:rFonts w:hint="eastAsia" w:asciiTheme="minorEastAsia" w:hAnsiTheme="minorEastAsia" w:eastAsiaTheme="minorEastAsia"/>
                <w:bCs/>
                <w:sz w:val="22"/>
              </w:rPr>
              <w:t xml:space="preserve">4</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未提供不得分。</w:t>
            </w:r>
            <w:r/>
          </w:p>
          <w:p>
            <w:pPr>
              <w:pStyle w:val="1108"/>
              <w:jc w:val="both"/>
              <w:rPr>
                <w:rFonts w:asciiTheme="minorEastAsia" w:hAnsiTheme="minorEastAsia" w:eastAsiaTheme="minorEastAsia"/>
                <w:b/>
                <w:sz w:val="22"/>
                <w:szCs w:val="24"/>
              </w:rPr>
            </w:pPr>
            <w:r>
              <w:rPr>
                <w:rFonts w:asciiTheme="minorEastAsia" w:hAnsiTheme="minorEastAsia" w:eastAsiaTheme="minorEastAsia"/>
                <w:b/>
                <w:bCs/>
                <w:sz w:val="22"/>
                <w:szCs w:val="24"/>
              </w:rPr>
              <w:t xml:space="preserve">注：备机性能及功能应满足相关技术规范要求和管理需求。备机均应通过环境保护部环境监测仪器质量监督检验中心的适用性检测，具有环境保护部环境监测仪器质量监督检验中心出具的在有效期内的检测合格报告。测量数据等参数按水站数据传输协议上传采购人指定的上层平台。</w:t>
            </w:r>
            <w:r/>
          </w:p>
        </w:tc>
        <w:tc>
          <w:tcPr>
            <w:tcW w:w="430" w:type="pct"/>
            <w:vAlign w:val="center"/>
            <w:textDirection w:val="lrTb"/>
            <w:noWrap w:val="false"/>
          </w:tcPr>
          <w:p>
            <w:pPr>
              <w:jc w:val="center"/>
              <w:tabs>
                <w:tab w:val="left" w:pos="567" w:leader="none"/>
              </w:tabs>
              <w:rPr>
                <w:rFonts w:asciiTheme="minorEastAsia" w:hAnsiTheme="minorEastAsia" w:eastAsiaTheme="minorEastAsia"/>
                <w:bCs/>
                <w:sz w:val="22"/>
              </w:rPr>
            </w:pPr>
            <w:r>
              <w:rPr>
                <w:rFonts w:hint="eastAsia" w:asciiTheme="minorEastAsia" w:hAnsiTheme="minorEastAsia" w:eastAsiaTheme="minorEastAsia"/>
                <w:bCs/>
                <w:sz w:val="22"/>
              </w:rPr>
              <w:t xml:space="preserve">11</w:t>
            </w:r>
            <w:r/>
          </w:p>
        </w:tc>
      </w:tr>
      <w:tr>
        <w:trPr>
          <w:jc w:val="center"/>
          <w:trHeight w:val="923"/>
        </w:trPr>
        <w:tc>
          <w:tcPr>
            <w:tcW w:w="476" w:type="pct"/>
            <w:vAlign w:val="center"/>
            <w:vMerge w:val="continue"/>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r>
            <w:r/>
          </w:p>
        </w:tc>
        <w:tc>
          <w:tcPr>
            <w:tcW w:w="742" w:type="pct"/>
            <w:vAlign w:val="center"/>
            <w:vMerge w:val="continue"/>
            <w:textDirection w:val="lrTb"/>
            <w:noWrap w:val="false"/>
          </w:tcPr>
          <w:p>
            <w:pPr>
              <w:jc w:val="center"/>
              <w:widowControl/>
              <w:rPr>
                <w:rFonts w:asciiTheme="minorEastAsia" w:hAnsiTheme="minorEastAsia" w:eastAsiaTheme="minorEastAsia"/>
                <w:sz w:val="22"/>
              </w:rPr>
            </w:pPr>
            <w:r>
              <w:rPr>
                <w:rFonts w:asciiTheme="minorEastAsia" w:hAnsiTheme="minorEastAsia" w:eastAsiaTheme="minorEastAsia"/>
                <w:sz w:val="22"/>
              </w:rPr>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便携仪器设备：根据供应商提供的便携仪器设备套数（</w:t>
            </w:r>
            <w:r>
              <w:rPr>
                <w:rFonts w:asciiTheme="minorEastAsia" w:hAnsiTheme="minorEastAsia" w:eastAsiaTheme="minorEastAsia"/>
                <w:sz w:val="22"/>
              </w:rPr>
              <w:t xml:space="preserve">每5个站需要配备1套通过计量检定/校准的便携式五参数监测设备，不足5个站点按5个站点配置，应满足原位监测要求，并在需要时用于水质自动监测站的质控及比对考核，即共计需要2套</w:t>
            </w:r>
            <w:r>
              <w:rPr>
                <w:rFonts w:asciiTheme="minorEastAsia" w:hAnsiTheme="minorEastAsia" w:eastAsiaTheme="minorEastAsia"/>
                <w:bCs/>
                <w:sz w:val="22"/>
              </w:rPr>
              <w:t xml:space="preserve">便携仪器设备）进行评审，每套设备应具备测定水温、pH值、溶解氧、电导率、浊度的功能。</w:t>
            </w:r>
            <w:r>
              <w:rPr>
                <w:rFonts w:asciiTheme="minorEastAsia" w:hAnsiTheme="minorEastAsia" w:eastAsiaTheme="minorEastAsia"/>
                <w:bCs/>
                <w:sz w:val="22"/>
              </w:rPr>
              <w:t xml:space="preserve">已采购（需提供采购发票或采购合同证明扫描件加盖公章）且与上述要求的数量一致得4分，承诺中标后购置（提供承诺书加盖公章，不提供不得分）的得2分。</w:t>
            </w:r>
            <w:r/>
          </w:p>
        </w:tc>
        <w:tc>
          <w:tcPr>
            <w:tcW w:w="430" w:type="pct"/>
            <w:vAlign w:val="center"/>
            <w:textDirection w:val="lrTb"/>
            <w:noWrap w:val="false"/>
          </w:tcPr>
          <w:p>
            <w:pPr>
              <w:jc w:val="center"/>
              <w:tabs>
                <w:tab w:val="left" w:pos="567" w:leader="none"/>
              </w:tabs>
              <w:rPr>
                <w:rFonts w:asciiTheme="minorEastAsia" w:hAnsiTheme="minorEastAsia" w:eastAsiaTheme="minorEastAsia"/>
                <w:bCs/>
                <w:sz w:val="22"/>
              </w:rPr>
            </w:pPr>
            <w:r>
              <w:rPr>
                <w:rFonts w:asciiTheme="minorEastAsia" w:hAnsiTheme="minorEastAsia" w:eastAsiaTheme="minorEastAsia"/>
                <w:bCs/>
                <w:sz w:val="22"/>
              </w:rPr>
              <w:t xml:space="preserve">4</w:t>
            </w:r>
            <w:r/>
          </w:p>
        </w:tc>
      </w:tr>
      <w:tr>
        <w:trPr>
          <w:jc w:val="center"/>
          <w:trHeight w:val="1262"/>
        </w:trPr>
        <w:tc>
          <w:tcPr>
            <w:tcW w:w="476" w:type="pct"/>
            <w:vAlign w:val="center"/>
            <w:vMerge w:val="continue"/>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r>
            <w:r/>
          </w:p>
        </w:tc>
        <w:tc>
          <w:tcPr>
            <w:tcW w:w="742" w:type="pct"/>
            <w:vAlign w:val="center"/>
            <w:textDirection w:val="lrTb"/>
            <w:noWrap w:val="false"/>
          </w:tcPr>
          <w:p>
            <w:pPr>
              <w:jc w:val="center"/>
              <w:widowControl/>
              <w:rPr>
                <w:rFonts w:asciiTheme="minorEastAsia" w:hAnsiTheme="minorEastAsia" w:eastAsiaTheme="minorEastAsia"/>
                <w:bCs/>
                <w:sz w:val="22"/>
              </w:rPr>
            </w:pPr>
            <w:r>
              <w:rPr>
                <w:rFonts w:asciiTheme="minorEastAsia" w:hAnsiTheme="minorEastAsia" w:eastAsiaTheme="minorEastAsia"/>
                <w:bCs/>
                <w:sz w:val="22"/>
              </w:rPr>
              <w:t xml:space="preserve">业绩</w:t>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供应商自2023年1月1日（含）以来运维市级（含县级市）及以上环境地表水水质自动站运维业绩（至少含1年运维服务），每提供一份得</w:t>
            </w:r>
            <w:r>
              <w:rPr>
                <w:rFonts w:hint="eastAsia" w:asciiTheme="minorEastAsia" w:hAnsiTheme="minorEastAsia" w:eastAsiaTheme="minorEastAsia"/>
                <w:bCs/>
                <w:sz w:val="22"/>
              </w:rPr>
              <w:t xml:space="preserve">1</w:t>
            </w:r>
            <w:r>
              <w:rPr>
                <w:rFonts w:asciiTheme="minorEastAsia" w:hAnsiTheme="minorEastAsia" w:eastAsiaTheme="minorEastAsia"/>
                <w:bCs/>
                <w:sz w:val="22"/>
              </w:rPr>
              <w:t xml:space="preserve">分，最高得2分。（提供运维合同扫描件加盖公章，时间以合同签订时间为准）注：同一份合同分年度签订的，算作1份业绩。</w:t>
            </w:r>
            <w:r/>
          </w:p>
        </w:tc>
        <w:tc>
          <w:tcPr>
            <w:tcW w:w="430" w:type="pct"/>
            <w:vAlign w:val="center"/>
            <w:textDirection w:val="lrTb"/>
            <w:noWrap w:val="false"/>
          </w:tcPr>
          <w:p>
            <w:pPr>
              <w:jc w:val="center"/>
              <w:widowControl/>
              <w:rPr>
                <w:rFonts w:asciiTheme="minorEastAsia" w:hAnsiTheme="minorEastAsia" w:eastAsiaTheme="minorEastAsia"/>
                <w:bCs/>
                <w:sz w:val="22"/>
              </w:rPr>
            </w:pPr>
            <w:r>
              <w:rPr>
                <w:rFonts w:asciiTheme="minorEastAsia" w:hAnsiTheme="minorEastAsia" w:eastAsiaTheme="minorEastAsia"/>
                <w:sz w:val="22"/>
              </w:rPr>
              <w:t xml:space="preserve">2</w:t>
            </w:r>
            <w:r/>
          </w:p>
        </w:tc>
      </w:tr>
      <w:tr>
        <w:trPr>
          <w:jc w:val="center"/>
          <w:trHeight w:val="4358"/>
        </w:trPr>
        <w:tc>
          <w:tcPr>
            <w:tcW w:w="476" w:type="pct"/>
            <w:vAlign w:val="center"/>
            <w:vMerge w:val="continue"/>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r>
            <w:r/>
          </w:p>
        </w:tc>
        <w:tc>
          <w:tcPr>
            <w:tcW w:w="742" w:type="pct"/>
            <w:vAlign w:val="center"/>
            <w:textDirection w:val="lrTb"/>
            <w:noWrap w:val="false"/>
          </w:tcPr>
          <w:p>
            <w:pPr>
              <w:jc w:val="center"/>
              <w:widowControl/>
              <w:rPr>
                <w:rFonts w:asciiTheme="minorEastAsia" w:hAnsiTheme="minorEastAsia" w:eastAsiaTheme="minorEastAsia"/>
                <w:bCs/>
                <w:sz w:val="22"/>
              </w:rPr>
            </w:pPr>
            <w:r>
              <w:rPr>
                <w:rFonts w:asciiTheme="minorEastAsia" w:hAnsiTheme="minorEastAsia" w:eastAsiaTheme="minorEastAsia"/>
                <w:bCs/>
                <w:sz w:val="22"/>
              </w:rPr>
              <w:t xml:space="preserve">质控能力</w:t>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1）供应商本身在江苏省内自有（可为控股实验室，占股或出资比例超过50%，需提供行政主管部门出具的证明或国家企业信用信息公示系统网站截图并加盖公章）或在江苏省内有委托的（委托协议须覆盖本次项目运维周期，需提供合同等相关证明材料扫描件加盖公章）用于质量控制的CMA资质认定的</w:t>
            </w:r>
            <w:r>
              <w:rPr>
                <w:rFonts w:asciiTheme="minorEastAsia" w:hAnsiTheme="minorEastAsia" w:eastAsiaTheme="minorEastAsia"/>
                <w:sz w:val="22"/>
              </w:rPr>
              <w:t xml:space="preserve">质量保证</w:t>
            </w:r>
            <w:r>
              <w:rPr>
                <w:rFonts w:asciiTheme="minorEastAsia" w:hAnsiTheme="minorEastAsia" w:eastAsiaTheme="minorEastAsia"/>
                <w:bCs/>
                <w:sz w:val="22"/>
              </w:rPr>
              <w:t xml:space="preserve">实验室得4分（认证范围需包含水温、pH值、溶解氧、电导率、浊度、高锰酸盐指数、氨氮、总磷、总氮、化学需氧量；须提供实验室资质证书及涵盖本项目指标的计量认证证明扫描件加盖公章，否则不予计分）；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供应商承诺中标后3个月内建立CMA实验室的得2分（提供承诺书原件、提交至江苏省市场监管局的《检验检测机构资质认定申请书》扫描件加盖公章）；</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没有委托实验室且未承诺建立的不得分。</w:t>
            </w:r>
            <w:r/>
          </w:p>
          <w:p>
            <w:pPr>
              <w:jc w:val="left"/>
              <w:widowControl/>
              <w:rPr>
                <w:rFonts w:asciiTheme="minorEastAsia" w:hAnsiTheme="minorEastAsia" w:eastAsiaTheme="minorEastAsia"/>
                <w:sz w:val="22"/>
              </w:rPr>
            </w:pPr>
            <w:r>
              <w:rPr>
                <w:rFonts w:asciiTheme="minorEastAsia" w:hAnsiTheme="minorEastAsia" w:eastAsiaTheme="minorEastAsia"/>
                <w:sz w:val="22"/>
              </w:rPr>
              <w:t xml:space="preserve">（2）用于质量控制的实验室在2小时内能够到达</w:t>
            </w:r>
            <w:r>
              <w:rPr>
                <w:rFonts w:hint="eastAsia" w:asciiTheme="minorEastAsia" w:hAnsiTheme="minorEastAsia" w:eastAsiaTheme="minorEastAsia"/>
                <w:sz w:val="22"/>
              </w:rPr>
              <w:t xml:space="preserve">南京市溧水生态环境局</w:t>
            </w:r>
            <w:r>
              <w:rPr>
                <w:rFonts w:asciiTheme="minorEastAsia" w:hAnsiTheme="minorEastAsia" w:eastAsiaTheme="minorEastAsia"/>
                <w:sz w:val="22"/>
              </w:rPr>
              <w:t xml:space="preserve">的加2分。（提供主流地图软件显示车程截图加盖公章</w:t>
            </w:r>
            <w:r>
              <w:rPr>
                <w:rFonts w:hint="eastAsia" w:asciiTheme="minorEastAsia" w:hAnsiTheme="minorEastAsia" w:eastAsiaTheme="minorEastAsia"/>
                <w:sz w:val="22"/>
              </w:rPr>
              <w:t xml:space="preserve">；不得以直线距离计算</w:t>
            </w:r>
            <w:r>
              <w:rPr>
                <w:rFonts w:asciiTheme="minorEastAsia" w:hAnsiTheme="minorEastAsia" w:eastAsiaTheme="minorEastAsia"/>
                <w:sz w:val="22"/>
              </w:rPr>
              <w:t xml:space="preserve">）</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本项最高得6分。</w:t>
            </w:r>
            <w:r/>
          </w:p>
        </w:tc>
        <w:tc>
          <w:tcPr>
            <w:tcW w:w="430" w:type="pct"/>
            <w:vAlign w:val="center"/>
            <w:textDirection w:val="lrTb"/>
            <w:noWrap w:val="false"/>
          </w:tcPr>
          <w:p>
            <w:pPr>
              <w:jc w:val="center"/>
              <w:widowControl/>
              <w:rPr>
                <w:rFonts w:asciiTheme="minorEastAsia" w:hAnsiTheme="minorEastAsia" w:eastAsiaTheme="minorEastAsia"/>
                <w:bCs/>
                <w:sz w:val="22"/>
              </w:rPr>
            </w:pPr>
            <w:r>
              <w:rPr>
                <w:rFonts w:asciiTheme="minorEastAsia" w:hAnsiTheme="minorEastAsia" w:eastAsiaTheme="minorEastAsia"/>
                <w:sz w:val="22"/>
              </w:rPr>
              <w:t xml:space="preserve">6</w:t>
            </w:r>
            <w:r/>
          </w:p>
        </w:tc>
      </w:tr>
      <w:tr>
        <w:trPr>
          <w:jc w:val="center"/>
          <w:trHeight w:val="1781"/>
        </w:trPr>
        <w:tc>
          <w:tcPr>
            <w:tcW w:w="476" w:type="pct"/>
            <w:vAlign w:val="center"/>
            <w:vMerge w:val="restart"/>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t xml:space="preserve">三、技术部分</w:t>
            </w:r>
            <w:r/>
          </w:p>
          <w:p>
            <w:pPr>
              <w:jc w:val="center"/>
              <w:rPr>
                <w:rFonts w:asciiTheme="minorEastAsia" w:hAnsiTheme="minorEastAsia" w:eastAsiaTheme="minorEastAsia"/>
                <w:bCs/>
                <w:sz w:val="22"/>
              </w:rPr>
            </w:pPr>
            <w:r>
              <w:rPr>
                <w:rFonts w:asciiTheme="minorEastAsia" w:hAnsiTheme="minorEastAsia" w:eastAsiaTheme="minorEastAsia"/>
                <w:bCs/>
                <w:sz w:val="22"/>
              </w:rPr>
              <w:t xml:space="preserve">(4</w:t>
            </w:r>
            <w:r>
              <w:rPr>
                <w:rFonts w:hint="eastAsia" w:asciiTheme="minorEastAsia" w:hAnsiTheme="minorEastAsia" w:eastAsiaTheme="minorEastAsia"/>
                <w:bCs/>
                <w:sz w:val="22"/>
              </w:rPr>
              <w:t xml:space="preserve">0</w:t>
            </w:r>
            <w:r>
              <w:rPr>
                <w:rFonts w:asciiTheme="minorEastAsia" w:hAnsiTheme="minorEastAsia" w:eastAsiaTheme="minorEastAsia"/>
                <w:bCs/>
                <w:sz w:val="22"/>
              </w:rPr>
              <w:t xml:space="preserve">分)</w:t>
            </w:r>
            <w:r/>
          </w:p>
        </w:tc>
        <w:tc>
          <w:tcPr>
            <w:tcW w:w="742" w:type="pct"/>
            <w:vAlign w:val="center"/>
            <w:textDirection w:val="lrTb"/>
            <w:noWrap w:val="false"/>
          </w:tcPr>
          <w:p>
            <w:pPr>
              <w:jc w:val="center"/>
              <w:rPr>
                <w:rFonts w:asciiTheme="minorEastAsia" w:hAnsiTheme="minorEastAsia" w:eastAsiaTheme="minorEastAsia"/>
                <w:sz w:val="22"/>
              </w:rPr>
            </w:pPr>
            <w:r>
              <w:rPr>
                <w:rFonts w:asciiTheme="minorEastAsia" w:hAnsiTheme="minorEastAsia" w:eastAsiaTheme="minorEastAsia"/>
                <w:sz w:val="22"/>
              </w:rPr>
              <w:t xml:space="preserve">服务保障能力</w:t>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根据供应商的服务时效（包括到现场响应时间、服务机构保障、服务物资保障等）综合评审：</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响应方便、快捷、及时、服务有保障得6分；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响应较便捷、较及时、服务基本有保障的4分；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响应基本及时得2分；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未提供不得分。</w:t>
            </w:r>
            <w:r/>
          </w:p>
        </w:tc>
        <w:tc>
          <w:tcPr>
            <w:tcW w:w="430" w:type="pct"/>
            <w:vAlign w:val="center"/>
            <w:textDirection w:val="lrTb"/>
            <w:noWrap w:val="false"/>
          </w:tcPr>
          <w:p>
            <w:pPr>
              <w:jc w:val="center"/>
              <w:widowControl/>
              <w:rPr>
                <w:rFonts w:asciiTheme="minorEastAsia" w:hAnsiTheme="minorEastAsia" w:eastAsiaTheme="minorEastAsia"/>
                <w:sz w:val="22"/>
              </w:rPr>
            </w:pPr>
            <w:r>
              <w:rPr>
                <w:rFonts w:asciiTheme="minorEastAsia" w:hAnsiTheme="minorEastAsia" w:eastAsiaTheme="minorEastAsia"/>
                <w:sz w:val="22"/>
              </w:rPr>
              <w:t xml:space="preserve">6</w:t>
            </w:r>
            <w:r/>
          </w:p>
        </w:tc>
      </w:tr>
      <w:tr>
        <w:trPr>
          <w:jc w:val="center"/>
          <w:trHeight w:val="924"/>
        </w:trPr>
        <w:tc>
          <w:tcPr>
            <w:tcW w:w="476" w:type="pct"/>
            <w:vAlign w:val="center"/>
            <w:vMerge w:val="continue"/>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r>
            <w:r/>
          </w:p>
        </w:tc>
        <w:tc>
          <w:tcPr>
            <w:tcW w:w="742" w:type="pct"/>
            <w:vAlign w:val="center"/>
            <w:textDirection w:val="lrTb"/>
            <w:noWrap w:val="false"/>
          </w:tcPr>
          <w:p>
            <w:pPr>
              <w:jc w:val="center"/>
              <w:rPr>
                <w:rFonts w:asciiTheme="minorEastAsia" w:hAnsiTheme="minorEastAsia" w:eastAsiaTheme="minorEastAsia"/>
                <w:sz w:val="22"/>
              </w:rPr>
            </w:pPr>
            <w:r>
              <w:rPr>
                <w:rFonts w:asciiTheme="minorEastAsia" w:hAnsiTheme="minorEastAsia" w:eastAsiaTheme="minorEastAsia"/>
                <w:sz w:val="22"/>
              </w:rPr>
              <w:t xml:space="preserve">运维方案</w:t>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评委对供应商所提供的水质自动监测站运维方案进行综合评分：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供应商针对需求并结合项目水站情况，在现有运维管理体系下，如何实施运维管理，包括但不限于职责分工、日常管理制度、备机日常维护管理制度、备品备件保障措施、水站运维管理体系文件配套情况、运维质量考核办法等内容。</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方案全面、科学、合理、可行、针对性强得</w:t>
            </w:r>
            <w:r>
              <w:rPr>
                <w:rFonts w:hint="eastAsia" w:asciiTheme="minorEastAsia" w:hAnsiTheme="minorEastAsia" w:eastAsiaTheme="minorEastAsia"/>
                <w:bCs/>
                <w:sz w:val="22"/>
              </w:rPr>
              <w:t xml:space="preserve">7</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方案较全面、较合理、较可行得</w:t>
            </w:r>
            <w:r>
              <w:rPr>
                <w:rFonts w:hint="eastAsia" w:asciiTheme="minorEastAsia" w:hAnsiTheme="minorEastAsia" w:eastAsiaTheme="minorEastAsia"/>
                <w:bCs/>
                <w:sz w:val="22"/>
              </w:rPr>
              <w:t xml:space="preserve">5</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方案基本合理、有可行性得</w:t>
            </w:r>
            <w:r>
              <w:rPr>
                <w:rFonts w:hint="eastAsia" w:asciiTheme="minorEastAsia" w:hAnsiTheme="minorEastAsia" w:eastAsiaTheme="minorEastAsia"/>
                <w:bCs/>
                <w:sz w:val="22"/>
              </w:rPr>
              <w:t xml:space="preserve">3</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方案阐述简单得</w:t>
            </w:r>
            <w:r>
              <w:rPr>
                <w:rFonts w:hint="eastAsia" w:asciiTheme="minorEastAsia" w:hAnsiTheme="minorEastAsia" w:eastAsiaTheme="minorEastAsia"/>
                <w:bCs/>
                <w:sz w:val="22"/>
              </w:rPr>
              <w:t xml:space="preserve">1</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sz w:val="22"/>
              </w:rPr>
            </w:pPr>
            <w:r>
              <w:rPr>
                <w:rFonts w:asciiTheme="minorEastAsia" w:hAnsiTheme="minorEastAsia" w:eastAsiaTheme="minorEastAsia"/>
                <w:bCs/>
                <w:sz w:val="22"/>
              </w:rPr>
              <w:t xml:space="preserve">未提供不得分。</w:t>
            </w:r>
            <w:r/>
          </w:p>
        </w:tc>
        <w:tc>
          <w:tcPr>
            <w:tcW w:w="430" w:type="pct"/>
            <w:vAlign w:val="center"/>
            <w:textDirection w:val="lrTb"/>
            <w:noWrap w:val="false"/>
          </w:tcPr>
          <w:p>
            <w:pPr>
              <w:jc w:val="center"/>
              <w:widowControl/>
              <w:rPr>
                <w:rFonts w:asciiTheme="minorEastAsia" w:hAnsiTheme="minorEastAsia" w:eastAsiaTheme="minorEastAsia"/>
                <w:sz w:val="22"/>
              </w:rPr>
            </w:pPr>
            <w:r>
              <w:rPr>
                <w:rFonts w:hint="eastAsia" w:asciiTheme="minorEastAsia" w:hAnsiTheme="minorEastAsia" w:eastAsiaTheme="minorEastAsia"/>
                <w:sz w:val="22"/>
              </w:rPr>
              <w:t xml:space="preserve">7</w:t>
            </w:r>
            <w:r/>
          </w:p>
        </w:tc>
      </w:tr>
      <w:tr>
        <w:trPr>
          <w:jc w:val="center"/>
          <w:trHeight w:val="783"/>
        </w:trPr>
        <w:tc>
          <w:tcPr>
            <w:tcW w:w="476" w:type="pct"/>
            <w:vAlign w:val="center"/>
            <w:vMerge w:val="continue"/>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r>
            <w:r/>
          </w:p>
        </w:tc>
        <w:tc>
          <w:tcPr>
            <w:tcW w:w="742" w:type="pct"/>
            <w:vAlign w:val="center"/>
            <w:textDirection w:val="lrTb"/>
            <w:noWrap w:val="false"/>
          </w:tcPr>
          <w:p>
            <w:pPr>
              <w:jc w:val="center"/>
              <w:rPr>
                <w:rFonts w:asciiTheme="minorEastAsia" w:hAnsiTheme="minorEastAsia" w:eastAsiaTheme="minorEastAsia"/>
                <w:sz w:val="22"/>
              </w:rPr>
            </w:pPr>
            <w:r>
              <w:rPr>
                <w:rFonts w:asciiTheme="minorEastAsia" w:hAnsiTheme="minorEastAsia" w:eastAsiaTheme="minorEastAsia"/>
                <w:sz w:val="22"/>
              </w:rPr>
              <w:t xml:space="preserve">质控方案</w:t>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评委对供应商所提供水质自动监测站运维质控方案进行综合评分：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供应商针对需求并结合项目水站情况提供质控方案，需从人员、装备、仪器设备、试剂、监测环境、质量监督等方面描述如何实现质控目标（包括但不限于上述内容）。</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方案全面、表述清晰、可操作性、针对性强得</w:t>
            </w:r>
            <w:r>
              <w:rPr>
                <w:rFonts w:hint="eastAsia" w:asciiTheme="minorEastAsia" w:hAnsiTheme="minorEastAsia" w:eastAsiaTheme="minorEastAsia"/>
                <w:bCs/>
                <w:sz w:val="22"/>
              </w:rPr>
              <w:t xml:space="preserve">7</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方案较全面、较清晰、较可行得</w:t>
            </w:r>
            <w:r>
              <w:rPr>
                <w:rFonts w:hint="eastAsia" w:asciiTheme="minorEastAsia" w:hAnsiTheme="minorEastAsia" w:eastAsiaTheme="minorEastAsia"/>
                <w:bCs/>
                <w:sz w:val="22"/>
              </w:rPr>
              <w:t xml:space="preserve">5</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方案基本全面、有可行性得</w:t>
            </w:r>
            <w:r>
              <w:rPr>
                <w:rFonts w:hint="eastAsia" w:asciiTheme="minorEastAsia" w:hAnsiTheme="minorEastAsia" w:eastAsiaTheme="minorEastAsia"/>
                <w:bCs/>
                <w:sz w:val="22"/>
              </w:rPr>
              <w:t xml:space="preserve">3</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方案阐述简单得</w:t>
            </w:r>
            <w:r>
              <w:rPr>
                <w:rFonts w:hint="eastAsia" w:asciiTheme="minorEastAsia" w:hAnsiTheme="minorEastAsia" w:eastAsiaTheme="minorEastAsia"/>
                <w:bCs/>
                <w:sz w:val="22"/>
              </w:rPr>
              <w:t xml:space="preserve">1</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未提供不得分。</w:t>
            </w:r>
            <w:r/>
          </w:p>
        </w:tc>
        <w:tc>
          <w:tcPr>
            <w:tcW w:w="430" w:type="pct"/>
            <w:vAlign w:val="center"/>
            <w:textDirection w:val="lrTb"/>
            <w:noWrap w:val="false"/>
          </w:tcPr>
          <w:p>
            <w:pPr>
              <w:jc w:val="center"/>
              <w:widowControl/>
              <w:rPr>
                <w:rFonts w:asciiTheme="minorEastAsia" w:hAnsiTheme="minorEastAsia" w:eastAsiaTheme="minorEastAsia"/>
                <w:sz w:val="22"/>
              </w:rPr>
            </w:pPr>
            <w:r>
              <w:rPr>
                <w:rFonts w:hint="eastAsia" w:asciiTheme="minorEastAsia" w:hAnsiTheme="minorEastAsia" w:eastAsiaTheme="minorEastAsia"/>
                <w:sz w:val="22"/>
              </w:rPr>
              <w:t xml:space="preserve">7</w:t>
            </w:r>
            <w:r/>
          </w:p>
        </w:tc>
      </w:tr>
      <w:tr>
        <w:trPr>
          <w:jc w:val="center"/>
          <w:trHeight w:val="1473"/>
        </w:trPr>
        <w:tc>
          <w:tcPr>
            <w:tcW w:w="476" w:type="pct"/>
            <w:vAlign w:val="center"/>
            <w:vMerge w:val="continue"/>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r>
            <w:r/>
          </w:p>
        </w:tc>
        <w:tc>
          <w:tcPr>
            <w:tcW w:w="742" w:type="pct"/>
            <w:vAlign w:val="center"/>
            <w:textDirection w:val="lrTb"/>
            <w:noWrap w:val="false"/>
          </w:tcPr>
          <w:p>
            <w:pPr>
              <w:jc w:val="center"/>
              <w:rPr>
                <w:rFonts w:asciiTheme="minorEastAsia" w:hAnsiTheme="minorEastAsia" w:eastAsiaTheme="minorEastAsia"/>
                <w:sz w:val="22"/>
              </w:rPr>
            </w:pPr>
            <w:r>
              <w:rPr>
                <w:rFonts w:asciiTheme="minorEastAsia" w:hAnsiTheme="minorEastAsia" w:eastAsiaTheme="minorEastAsia"/>
                <w:sz w:val="22"/>
              </w:rPr>
              <w:t xml:space="preserve">应急处理解决方案（运维应急预案）</w:t>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评委对供应商所提供水质自动监测站运维应急预案进行综合评分：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运维应急预案内容包括突发性水质污染、特殊时期（丰水期、枯水期、冰封期等）、自然灾害、水电检修、临时停电或节假日、重大活动或被偷盗破坏等情况，是否具备有效的预防和应急措施。</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方案完善、针对性强、管理组织办法全面得</w:t>
            </w:r>
            <w:r>
              <w:rPr>
                <w:rFonts w:hint="eastAsia" w:asciiTheme="minorEastAsia" w:hAnsiTheme="minorEastAsia" w:eastAsiaTheme="minorEastAsia"/>
                <w:bCs/>
                <w:sz w:val="22"/>
              </w:rPr>
              <w:t xml:space="preserve">7</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方案较完善、较可行的得</w:t>
            </w:r>
            <w:r>
              <w:rPr>
                <w:rFonts w:hint="eastAsia" w:asciiTheme="minorEastAsia" w:hAnsiTheme="minorEastAsia" w:eastAsiaTheme="minorEastAsia"/>
                <w:bCs/>
                <w:sz w:val="22"/>
              </w:rPr>
              <w:t xml:space="preserve">5</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方案基本完善，有可行性得</w:t>
            </w:r>
            <w:r>
              <w:rPr>
                <w:rFonts w:hint="eastAsia" w:asciiTheme="minorEastAsia" w:hAnsiTheme="minorEastAsia" w:eastAsiaTheme="minorEastAsia"/>
                <w:bCs/>
                <w:sz w:val="22"/>
              </w:rPr>
              <w:t xml:space="preserve">3</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方案阐述简单得</w:t>
            </w:r>
            <w:r>
              <w:rPr>
                <w:rFonts w:hint="eastAsia" w:asciiTheme="minorEastAsia" w:hAnsiTheme="minorEastAsia" w:eastAsiaTheme="minorEastAsia"/>
                <w:bCs/>
                <w:sz w:val="22"/>
              </w:rPr>
              <w:t xml:space="preserve">1</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未提供不得分。</w:t>
            </w:r>
            <w:r/>
          </w:p>
        </w:tc>
        <w:tc>
          <w:tcPr>
            <w:tcW w:w="430" w:type="pct"/>
            <w:vAlign w:val="center"/>
            <w:textDirection w:val="lrTb"/>
            <w:noWrap w:val="false"/>
          </w:tcPr>
          <w:p>
            <w:pPr>
              <w:jc w:val="center"/>
              <w:widowControl/>
              <w:rPr>
                <w:rFonts w:asciiTheme="minorEastAsia" w:hAnsiTheme="minorEastAsia" w:eastAsiaTheme="minorEastAsia"/>
                <w:sz w:val="22"/>
              </w:rPr>
            </w:pPr>
            <w:r>
              <w:rPr>
                <w:rFonts w:hint="eastAsia" w:asciiTheme="minorEastAsia" w:hAnsiTheme="minorEastAsia" w:eastAsiaTheme="minorEastAsia"/>
                <w:sz w:val="22"/>
              </w:rPr>
              <w:t xml:space="preserve">7</w:t>
            </w:r>
            <w:r/>
          </w:p>
        </w:tc>
      </w:tr>
      <w:tr>
        <w:trPr>
          <w:jc w:val="center"/>
          <w:trHeight w:val="2207"/>
        </w:trPr>
        <w:tc>
          <w:tcPr>
            <w:tcW w:w="476" w:type="pct"/>
            <w:vAlign w:val="center"/>
            <w:vMerge w:val="continue"/>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r>
            <w:r/>
          </w:p>
        </w:tc>
        <w:tc>
          <w:tcPr>
            <w:tcW w:w="742" w:type="pct"/>
            <w:vAlign w:val="center"/>
            <w:textDirection w:val="lrTb"/>
            <w:noWrap w:val="false"/>
          </w:tcPr>
          <w:p>
            <w:pPr>
              <w:jc w:val="center"/>
              <w:rPr>
                <w:rFonts w:asciiTheme="minorEastAsia" w:hAnsiTheme="minorEastAsia" w:eastAsiaTheme="minorEastAsia"/>
                <w:sz w:val="22"/>
              </w:rPr>
            </w:pPr>
            <w:r>
              <w:rPr>
                <w:rFonts w:asciiTheme="minorEastAsia" w:hAnsiTheme="minorEastAsia" w:eastAsiaTheme="minorEastAsia"/>
                <w:sz w:val="22"/>
              </w:rPr>
              <w:t xml:space="preserve">交接方案</w:t>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评委对供应商所提供水质自动监测站运维交接方案进行综合评分：</w:t>
            </w:r>
            <w:r/>
          </w:p>
          <w:p>
            <w:pPr>
              <w:jc w:val="left"/>
              <w:widowControl/>
              <w:rPr>
                <w:rFonts w:asciiTheme="minorEastAsia" w:hAnsiTheme="minorEastAsia" w:eastAsiaTheme="minorEastAsia"/>
                <w:bCs/>
                <w:sz w:val="22"/>
              </w:rPr>
            </w:pPr>
            <w:r>
              <w:rPr>
                <w:rFonts w:asciiTheme="minorEastAsia" w:hAnsiTheme="minorEastAsia" w:eastAsiaTheme="minorEastAsia"/>
                <w:sz w:val="22"/>
              </w:rPr>
              <w:t xml:space="preserve">供应商中标后，根据项目要求，开展参数补齐和仪器搬迁接入工作；在合同期满后，供应商需保证水站内的所有仪器设备</w:t>
            </w:r>
            <w:r>
              <w:rPr>
                <w:rFonts w:asciiTheme="minorEastAsia" w:hAnsiTheme="minorEastAsia" w:eastAsiaTheme="minorEastAsia"/>
                <w:bCs/>
                <w:sz w:val="22"/>
              </w:rPr>
              <w:t xml:space="preserve">达到《</w:t>
            </w:r>
            <w:hyperlink r:id="rId16" w:tooltip="http://www.mee.gov.cn/ywgz/fgbz/bz/bzwb/jcffbz/202501/t20250126_1101553.shtml" w:history="1">
              <w:r>
                <w:rPr>
                  <w:rFonts w:asciiTheme="minorEastAsia" w:hAnsiTheme="minorEastAsia" w:eastAsiaTheme="minorEastAsia"/>
                  <w:sz w:val="22"/>
                </w:rPr>
                <w:t xml:space="preserve">地表水水质自动监测站（常规五参数、CODMn、NH3-N、TP、TN）运行维护技术规范》（HJ 915.3-2024）</w:t>
              </w:r>
            </w:hyperlink>
            <w:r>
              <w:rPr>
                <w:rFonts w:asciiTheme="minorEastAsia" w:hAnsiTheme="minorEastAsia" w:eastAsiaTheme="minorEastAsia"/>
                <w:sz w:val="22"/>
              </w:rPr>
              <w:t xml:space="preserve">》</w:t>
            </w:r>
            <w:r>
              <w:rPr>
                <w:rFonts w:asciiTheme="minorEastAsia" w:hAnsiTheme="minorEastAsia" w:eastAsiaTheme="minorEastAsia"/>
                <w:bCs/>
                <w:sz w:val="22"/>
              </w:rPr>
              <w:t xml:space="preserve">中系统正常运行要求，并将水站完整地接收和交接给下一家运维服务单位。</w:t>
            </w:r>
            <w:r>
              <w:rPr>
                <w:rFonts w:asciiTheme="minorEastAsia" w:hAnsiTheme="minorEastAsia" w:eastAsiaTheme="minorEastAsia"/>
                <w:sz w:val="22"/>
              </w:rPr>
              <w:t xml:space="preserve">供应商</w:t>
            </w:r>
            <w:r>
              <w:rPr>
                <w:rFonts w:asciiTheme="minorEastAsia" w:hAnsiTheme="minorEastAsia" w:eastAsiaTheme="minorEastAsia"/>
                <w:bCs/>
                <w:sz w:val="22"/>
              </w:rPr>
              <w:t xml:space="preserve">应在响应文件中对接收和交接方案进行详细描述，至少包括时间人员安排、职责分工、交接内容、交接流程等内容。</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方案表述清晰、贴合需求、可操作性、针对性强得</w:t>
            </w:r>
            <w:r>
              <w:rPr>
                <w:rFonts w:hint="eastAsia" w:asciiTheme="minorEastAsia" w:hAnsiTheme="minorEastAsia" w:eastAsiaTheme="minorEastAsia"/>
                <w:bCs/>
                <w:sz w:val="22"/>
              </w:rPr>
              <w:t xml:space="preserve">6</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方案较清晰、较符合需求、较可行得</w:t>
            </w:r>
            <w:r>
              <w:rPr>
                <w:rFonts w:hint="eastAsia" w:asciiTheme="minorEastAsia" w:hAnsiTheme="minorEastAsia" w:eastAsiaTheme="minorEastAsia"/>
                <w:bCs/>
                <w:sz w:val="22"/>
              </w:rPr>
              <w:t xml:space="preserve">4</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sz w:val="22"/>
              </w:rPr>
            </w:pPr>
            <w:r>
              <w:rPr>
                <w:rFonts w:asciiTheme="minorEastAsia" w:hAnsiTheme="minorEastAsia" w:eastAsiaTheme="minorEastAsia"/>
                <w:bCs/>
                <w:sz w:val="22"/>
              </w:rPr>
              <w:t xml:space="preserve">方案基本清晰、基本符合需求、有可行性得</w:t>
            </w:r>
            <w:r>
              <w:rPr>
                <w:rFonts w:hint="eastAsia" w:asciiTheme="minorEastAsia" w:hAnsiTheme="minorEastAsia" w:eastAsiaTheme="minorEastAsia"/>
                <w:bCs/>
                <w:sz w:val="22"/>
              </w:rPr>
              <w:t xml:space="preserve">2</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方案阐述简单得</w:t>
            </w:r>
            <w:r>
              <w:rPr>
                <w:rFonts w:hint="eastAsia" w:asciiTheme="minorEastAsia" w:hAnsiTheme="minorEastAsia" w:eastAsiaTheme="minorEastAsia"/>
                <w:bCs/>
                <w:sz w:val="22"/>
              </w:rPr>
              <w:t xml:space="preserve">1</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未提供不得分。</w:t>
            </w:r>
            <w:r/>
          </w:p>
        </w:tc>
        <w:tc>
          <w:tcPr>
            <w:tcW w:w="430" w:type="pct"/>
            <w:vAlign w:val="center"/>
            <w:textDirection w:val="lrTb"/>
            <w:noWrap w:val="false"/>
          </w:tcPr>
          <w:p>
            <w:pPr>
              <w:jc w:val="center"/>
              <w:widowControl/>
              <w:rPr>
                <w:rFonts w:asciiTheme="minorEastAsia" w:hAnsiTheme="minorEastAsia" w:eastAsiaTheme="minorEastAsia"/>
                <w:sz w:val="22"/>
              </w:rPr>
            </w:pPr>
            <w:r>
              <w:rPr>
                <w:rFonts w:hint="eastAsia" w:asciiTheme="minorEastAsia" w:hAnsiTheme="minorEastAsia" w:eastAsiaTheme="minorEastAsia"/>
                <w:sz w:val="22"/>
              </w:rPr>
              <w:t xml:space="preserve">6</w:t>
            </w:r>
            <w:r/>
          </w:p>
        </w:tc>
      </w:tr>
      <w:tr>
        <w:trPr>
          <w:jc w:val="center"/>
          <w:trHeight w:val="1350"/>
        </w:trPr>
        <w:tc>
          <w:tcPr>
            <w:tcW w:w="476" w:type="pct"/>
            <w:vAlign w:val="center"/>
            <w:vMerge w:val="continue"/>
            <w:textDirection w:val="lrTb"/>
            <w:noWrap w:val="false"/>
          </w:tcPr>
          <w:p>
            <w:pPr>
              <w:jc w:val="center"/>
              <w:rPr>
                <w:rFonts w:asciiTheme="minorEastAsia" w:hAnsiTheme="minorEastAsia" w:eastAsiaTheme="minorEastAsia"/>
                <w:bCs/>
                <w:sz w:val="22"/>
              </w:rPr>
            </w:pPr>
            <w:r>
              <w:rPr>
                <w:rFonts w:asciiTheme="minorEastAsia" w:hAnsiTheme="minorEastAsia" w:eastAsiaTheme="minorEastAsia"/>
                <w:bCs/>
                <w:sz w:val="22"/>
              </w:rPr>
            </w:r>
            <w:r/>
          </w:p>
        </w:tc>
        <w:tc>
          <w:tcPr>
            <w:tcW w:w="742" w:type="pct"/>
            <w:vAlign w:val="center"/>
            <w:textDirection w:val="lrTb"/>
            <w:noWrap w:val="false"/>
          </w:tcPr>
          <w:p>
            <w:pPr>
              <w:jc w:val="center"/>
              <w:rPr>
                <w:rFonts w:asciiTheme="minorEastAsia" w:hAnsiTheme="minorEastAsia" w:eastAsiaTheme="minorEastAsia"/>
                <w:sz w:val="22"/>
              </w:rPr>
            </w:pPr>
            <w:r>
              <w:rPr>
                <w:rFonts w:asciiTheme="minorEastAsia" w:hAnsiTheme="minorEastAsia" w:eastAsiaTheme="minorEastAsia"/>
                <w:sz w:val="22"/>
              </w:rPr>
              <w:t xml:space="preserve">数据审核方案</w:t>
            </w:r>
            <w:r/>
          </w:p>
        </w:tc>
        <w:tc>
          <w:tcPr>
            <w:tcW w:w="3352" w:type="pct"/>
            <w:vAlign w:val="center"/>
            <w:textDirection w:val="lrTb"/>
            <w:noWrap w:val="false"/>
          </w:tcPr>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评委对供应商所提供水质自动监测站运维数据审核方案进行综合评分：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供应商针对技术需求并结合水站的现场水质和配置的仪器状况提供数据审核方案，至少包括职责分工、数据审核规则、内部数据审核制度和数据复核以及运维相关视频、日志、关键参数日常审核等内容。</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方案表述清晰、贴合需求、可操作性、针对性强得</w:t>
            </w:r>
            <w:r>
              <w:rPr>
                <w:rFonts w:hint="eastAsia" w:asciiTheme="minorEastAsia" w:hAnsiTheme="minorEastAsia" w:eastAsiaTheme="minorEastAsia"/>
                <w:bCs/>
                <w:sz w:val="22"/>
              </w:rPr>
              <w:t xml:space="preserve">7</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方案较清晰、较符合需求、较可行得</w:t>
            </w:r>
            <w:r>
              <w:rPr>
                <w:rFonts w:hint="eastAsia" w:asciiTheme="minorEastAsia" w:hAnsiTheme="minorEastAsia" w:eastAsiaTheme="minorEastAsia"/>
                <w:bCs/>
                <w:sz w:val="22"/>
              </w:rPr>
              <w:t xml:space="preserve">5</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sz w:val="22"/>
              </w:rPr>
            </w:pPr>
            <w:r>
              <w:rPr>
                <w:rFonts w:asciiTheme="minorEastAsia" w:hAnsiTheme="minorEastAsia" w:eastAsiaTheme="minorEastAsia"/>
                <w:bCs/>
                <w:sz w:val="22"/>
              </w:rPr>
              <w:t xml:space="preserve">方案基本清晰、基本符合需求、有可行性得</w:t>
            </w:r>
            <w:r>
              <w:rPr>
                <w:rFonts w:hint="eastAsia" w:asciiTheme="minorEastAsia" w:hAnsiTheme="minorEastAsia" w:eastAsiaTheme="minorEastAsia"/>
                <w:bCs/>
                <w:sz w:val="22"/>
              </w:rPr>
              <w:t xml:space="preserve">3</w:t>
            </w:r>
            <w:r>
              <w:rPr>
                <w:rFonts w:asciiTheme="minorEastAsia" w:hAnsiTheme="minorEastAsia" w:eastAsiaTheme="minorEastAsia"/>
                <w:bCs/>
                <w:sz w:val="22"/>
              </w:rPr>
              <w:t xml:space="preserve">分；</w:t>
            </w:r>
            <w:r/>
          </w:p>
          <w:p>
            <w:pPr>
              <w:jc w:val="left"/>
              <w:widowControl/>
              <w:rPr>
                <w:rFonts w:asciiTheme="minorEastAsia" w:hAnsiTheme="minorEastAsia" w:eastAsiaTheme="minorEastAsia"/>
                <w:bCs/>
                <w:sz w:val="22"/>
              </w:rPr>
            </w:pPr>
            <w:r>
              <w:rPr>
                <w:rFonts w:asciiTheme="minorEastAsia" w:hAnsiTheme="minorEastAsia" w:eastAsiaTheme="minorEastAsia"/>
                <w:bCs/>
                <w:sz w:val="22"/>
              </w:rPr>
              <w:t xml:space="preserve">方案阐述简单得</w:t>
            </w:r>
            <w:r>
              <w:rPr>
                <w:rFonts w:hint="eastAsia" w:asciiTheme="minorEastAsia" w:hAnsiTheme="minorEastAsia" w:eastAsiaTheme="minorEastAsia"/>
                <w:bCs/>
                <w:sz w:val="22"/>
              </w:rPr>
              <w:t xml:space="preserve">1</w:t>
            </w:r>
            <w:r>
              <w:rPr>
                <w:rFonts w:asciiTheme="minorEastAsia" w:hAnsiTheme="minorEastAsia" w:eastAsiaTheme="minorEastAsia"/>
                <w:bCs/>
                <w:sz w:val="22"/>
              </w:rPr>
              <w:t xml:space="preserve">分；</w:t>
            </w:r>
            <w:r/>
          </w:p>
          <w:p>
            <w:pPr>
              <w:tabs>
                <w:tab w:val="left" w:pos="567" w:leader="none"/>
              </w:tabs>
              <w:rPr>
                <w:rFonts w:asciiTheme="minorEastAsia" w:hAnsiTheme="minorEastAsia" w:eastAsiaTheme="minorEastAsia"/>
                <w:bCs/>
                <w:sz w:val="22"/>
              </w:rPr>
            </w:pPr>
            <w:r>
              <w:rPr>
                <w:rFonts w:asciiTheme="minorEastAsia" w:hAnsiTheme="minorEastAsia" w:eastAsiaTheme="minorEastAsia"/>
                <w:bCs/>
                <w:sz w:val="22"/>
              </w:rPr>
              <w:t xml:space="preserve">未提供不得分。</w:t>
            </w:r>
            <w:r/>
          </w:p>
        </w:tc>
        <w:tc>
          <w:tcPr>
            <w:tcW w:w="430" w:type="pct"/>
            <w:vAlign w:val="center"/>
            <w:textDirection w:val="lrTb"/>
            <w:noWrap w:val="false"/>
          </w:tcPr>
          <w:p>
            <w:pPr>
              <w:jc w:val="center"/>
              <w:widowControl/>
              <w:rPr>
                <w:rFonts w:asciiTheme="minorEastAsia" w:hAnsiTheme="minorEastAsia" w:eastAsiaTheme="minorEastAsia"/>
                <w:sz w:val="22"/>
              </w:rPr>
            </w:pPr>
            <w:r>
              <w:rPr>
                <w:rFonts w:hint="eastAsia" w:asciiTheme="minorEastAsia" w:hAnsiTheme="minorEastAsia" w:eastAsiaTheme="minorEastAsia"/>
                <w:sz w:val="22"/>
              </w:rPr>
              <w:t xml:space="preserve">7</w:t>
            </w:r>
            <w:r/>
          </w:p>
        </w:tc>
      </w:tr>
    </w:tbl>
    <w:p>
      <w:pPr>
        <w:ind w:right="-110"/>
        <w:spacing w:line="300" w:lineRule="exact"/>
        <w:tabs>
          <w:tab w:val="left" w:pos="1630" w:leader="none"/>
        </w:tabs>
        <w:rPr>
          <w:rFonts w:cs="仿宋" w:asciiTheme="minorEastAsia" w:hAnsiTheme="minorEastAsia" w:eastAsiaTheme="minorEastAsia"/>
          <w:b/>
          <w:sz w:val="24"/>
        </w:rPr>
      </w:pPr>
      <w:r>
        <w:rPr>
          <w:rFonts w:cs="仿宋" w:asciiTheme="minorEastAsia" w:hAnsiTheme="minorEastAsia" w:eastAsiaTheme="minorEastAsia"/>
          <w:b/>
          <w:sz w:val="24"/>
        </w:rPr>
      </w:r>
      <w:r/>
    </w:p>
    <w:p>
      <w:pPr>
        <w:ind w:right="-110" w:firstLine="482"/>
        <w:spacing w:line="300" w:lineRule="exact"/>
        <w:tabs>
          <w:tab w:val="left" w:pos="1630" w:leader="none"/>
        </w:tabs>
        <w:rPr>
          <w:rFonts w:cs="仿宋" w:asciiTheme="minorEastAsia" w:hAnsiTheme="minorEastAsia" w:eastAsiaTheme="minorEastAsia"/>
          <w:b/>
          <w:sz w:val="24"/>
        </w:rPr>
      </w:pPr>
      <w:r>
        <w:rPr>
          <w:rFonts w:hint="eastAsia" w:cs="仿宋" w:asciiTheme="minorEastAsia" w:hAnsiTheme="minorEastAsia" w:eastAsiaTheme="minorEastAsia"/>
          <w:b/>
          <w:sz w:val="24"/>
        </w:rPr>
        <w:t xml:space="preserve">说明：</w:t>
      </w:r>
      <w:r>
        <w:rPr>
          <w:rFonts w:hint="eastAsia" w:cs="仿宋" w:asciiTheme="minorEastAsia" w:hAnsiTheme="minorEastAsia" w:eastAsiaTheme="minorEastAsia"/>
          <w:b/>
          <w:sz w:val="24"/>
        </w:rPr>
        <w:tab/>
      </w:r>
      <w:r/>
    </w:p>
    <w:p>
      <w:pPr>
        <w:pStyle w:val="1460"/>
        <w:ind w:right="-110"/>
        <w:rPr>
          <w:rFonts w:cs="仿宋" w:asciiTheme="minorEastAsia" w:hAnsiTheme="minorEastAsia" w:eastAsiaTheme="minorEastAsia"/>
          <w:sz w:val="24"/>
        </w:rPr>
      </w:pPr>
      <w:r>
        <w:rPr>
          <w:rFonts w:hint="eastAsia" w:cs="仿宋" w:asciiTheme="minorEastAsia" w:hAnsiTheme="minorEastAsia" w:eastAsiaTheme="minorEastAsia"/>
          <w:sz w:val="24"/>
          <w:lang w:val="en-US"/>
        </w:rPr>
        <w:t xml:space="preserve">1</w:t>
      </w:r>
      <w:r>
        <w:rPr>
          <w:rFonts w:hint="eastAsia" w:cs="仿宋" w:asciiTheme="minorEastAsia" w:hAnsiTheme="minorEastAsia" w:eastAsiaTheme="minorEastAsia"/>
          <w:sz w:val="24"/>
        </w:rPr>
        <w:t xml:space="preserve">、得分且报价相同的，按</w:t>
      </w:r>
      <w:r>
        <w:rPr>
          <w:rFonts w:hint="eastAsia" w:cs="仿宋" w:asciiTheme="minorEastAsia" w:hAnsiTheme="minorEastAsia" w:eastAsiaTheme="minorEastAsia"/>
          <w:b/>
          <w:bCs/>
          <w:sz w:val="32"/>
          <w:szCs w:val="32"/>
          <w:u w:val="single"/>
          <w:lang w:val="en-US"/>
        </w:rPr>
        <w:t xml:space="preserve">商务指标</w:t>
      </w:r>
      <w:r>
        <w:rPr>
          <w:rFonts w:hint="eastAsia" w:cs="仿宋" w:asciiTheme="minorEastAsia" w:hAnsiTheme="minorEastAsia" w:eastAsiaTheme="minorEastAsia"/>
          <w:sz w:val="24"/>
        </w:rPr>
        <w:t xml:space="preserve">评分因素优劣排序。</w:t>
      </w:r>
      <w:r>
        <w:rPr>
          <w:rFonts w:hint="eastAsia" w:cs="仿宋" w:asciiTheme="minorEastAsia" w:hAnsiTheme="minorEastAsia" w:eastAsiaTheme="minorEastAsia"/>
          <w:sz w:val="24"/>
        </w:rPr>
        <w:t xml:space="preserve">得分、报价和商务指标均相同的，以抽签方式确定。</w:t>
      </w:r>
      <w:r/>
    </w:p>
    <w:p>
      <w:pPr>
        <w:pStyle w:val="1460"/>
        <w:ind w:right="-110"/>
        <w:rPr>
          <w:rFonts w:cs="仿宋" w:asciiTheme="minorEastAsia" w:hAnsiTheme="minorEastAsia" w:eastAsiaTheme="minorEastAsia"/>
          <w:sz w:val="24"/>
        </w:rPr>
      </w:pPr>
      <w:r>
        <w:rPr>
          <w:rFonts w:hint="eastAsia" w:cs="仿宋" w:asciiTheme="minorEastAsia" w:hAnsiTheme="minorEastAsia" w:eastAsiaTheme="minorEastAsia"/>
          <w:sz w:val="24"/>
          <w:lang w:val="en-US"/>
        </w:rPr>
        <w:t xml:space="preserve">2</w:t>
      </w:r>
      <w:r>
        <w:rPr>
          <w:rFonts w:hint="eastAsia" w:cs="仿宋" w:asciiTheme="minorEastAsia" w:hAnsiTheme="minorEastAsia" w:eastAsiaTheme="minorEastAsia"/>
          <w:sz w:val="24"/>
        </w:rPr>
        <w:t xml:space="preserve">、实质性要求不得负偏离；否则，按照无效报价处理。</w:t>
      </w:r>
      <w:r/>
    </w:p>
    <w:p>
      <w:pPr>
        <w:pStyle w:val="1460"/>
        <w:ind w:right="-110"/>
        <w:rPr>
          <w:rFonts w:cs="仿宋" w:asciiTheme="minorEastAsia" w:hAnsiTheme="minorEastAsia" w:eastAsiaTheme="minorEastAsia"/>
          <w:sz w:val="24"/>
        </w:rPr>
      </w:pPr>
      <w:r>
        <w:rPr>
          <w:rFonts w:hint="eastAsia" w:cs="仿宋" w:asciiTheme="minorEastAsia" w:hAnsiTheme="minorEastAsia" w:eastAsiaTheme="minorEastAsia"/>
          <w:sz w:val="24"/>
          <w:lang w:val="en-US"/>
        </w:rPr>
        <w:t xml:space="preserve">3</w:t>
      </w:r>
      <w:r>
        <w:rPr>
          <w:rFonts w:hint="eastAsia" w:cs="仿宋" w:asciiTheme="minorEastAsia" w:hAnsiTheme="minorEastAsia" w:eastAsiaTheme="minorEastAsia"/>
          <w:sz w:val="24"/>
        </w:rPr>
        <w:t xml:space="preserve">、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pStyle w:val="1460"/>
        <w:ind w:right="-110" w:firstLine="482"/>
        <w:rPr>
          <w:rFonts w:cs="仿宋" w:asciiTheme="minorEastAsia" w:hAnsiTheme="minorEastAsia" w:eastAsiaTheme="minorEastAsia"/>
          <w:sz w:val="24"/>
        </w:rPr>
      </w:pPr>
      <w:r>
        <w:rPr>
          <w:rFonts w:hint="eastAsia" w:cs="仿宋" w:asciiTheme="minorEastAsia" w:hAnsiTheme="minorEastAsia" w:eastAsiaTheme="minorEastAsia"/>
          <w:b/>
          <w:sz w:val="24"/>
          <w:lang w:val="en-US"/>
        </w:rPr>
        <w:t xml:space="preserve">4</w:t>
      </w:r>
      <w:r>
        <w:rPr>
          <w:rFonts w:hint="eastAsia" w:cs="仿宋" w:asciiTheme="minorEastAsia" w:hAnsiTheme="minorEastAsia" w:eastAsiaTheme="minorEastAsia"/>
          <w:b/>
          <w:sz w:val="24"/>
        </w:rPr>
        <w:t xml:space="preserve">、</w:t>
      </w:r>
      <w:r>
        <w:rPr>
          <w:rFonts w:hint="eastAsia" w:cs="仿宋" w:asciiTheme="minorEastAsia" w:hAnsiTheme="minorEastAsia" w:eastAsiaTheme="minorEastAsia"/>
          <w:b/>
          <w:bCs/>
          <w:sz w:val="24"/>
          <w:lang w:val="en-US"/>
        </w:rPr>
        <w:t xml:space="preserve">本项目专门面向中小企业采购，不执行价格扣除优惠政策。</w:t>
      </w:r>
      <w:r/>
    </w:p>
    <w:p>
      <w:pPr>
        <w:ind w:right="-110" w:firstLine="470"/>
        <w:jc w:val="left"/>
        <w:spacing w:line="300" w:lineRule="exact"/>
        <w:widowControl/>
        <w:rPr>
          <w:rFonts w:cs="仿宋" w:asciiTheme="minorEastAsia" w:hAnsiTheme="minorEastAsia" w:eastAsiaTheme="minorEastAsia"/>
          <w:sz w:val="24"/>
        </w:rPr>
      </w:pPr>
      <w:r>
        <w:rPr>
          <w:rFonts w:hint="eastAsia" w:cs="仿宋" w:asciiTheme="minorEastAsia" w:hAnsiTheme="minorEastAsia" w:eastAsiaTheme="minorEastAsia"/>
          <w:sz w:val="24"/>
        </w:rPr>
        <w:t xml:space="preserve">5</w:t>
      </w:r>
      <w:r>
        <w:rPr>
          <w:rFonts w:hint="eastAsia" w:cs="仿宋" w:asciiTheme="minorEastAsia" w:hAnsiTheme="minorEastAsia" w:eastAsiaTheme="minorEastAsia"/>
          <w:sz w:val="24"/>
        </w:rPr>
        <w:t xml:space="preserve">、</w:t>
      </w:r>
      <w:r>
        <w:rPr>
          <w:rFonts w:hint="eastAsia" w:cs="仿宋" w:asciiTheme="minorEastAsia" w:hAnsiTheme="minorEastAsia" w:eastAsiaTheme="minorEastAsia"/>
          <w:bCs/>
          <w:sz w:val="24"/>
        </w:rPr>
        <w:t xml:space="preserve">所有认证、证明和业绩均以有效的证明文件的</w:t>
      </w:r>
      <w:r>
        <w:rPr>
          <w:rFonts w:hint="eastAsia" w:cs="仿宋" w:asciiTheme="minorEastAsia" w:hAnsiTheme="minorEastAsia" w:eastAsiaTheme="minorEastAsia"/>
          <w:bCs/>
          <w:sz w:val="24"/>
        </w:rPr>
        <w:t xml:space="preserve">扫描</w:t>
      </w:r>
      <w:r>
        <w:rPr>
          <w:rFonts w:hint="eastAsia" w:cs="仿宋" w:asciiTheme="minorEastAsia" w:hAnsiTheme="minorEastAsia" w:eastAsiaTheme="minorEastAsia"/>
          <w:bCs/>
          <w:sz w:val="24"/>
        </w:rPr>
        <w:t xml:space="preserve">件（加盖公章）为依据，原件备查</w:t>
      </w:r>
      <w:r>
        <w:rPr>
          <w:rFonts w:hint="eastAsia" w:cs="仿宋" w:asciiTheme="minorEastAsia" w:hAnsiTheme="minorEastAsia" w:eastAsiaTheme="minorEastAsia"/>
          <w:sz w:val="24"/>
        </w:rPr>
        <w:t xml:space="preserve">。</w:t>
      </w:r>
      <w:r/>
    </w:p>
    <w:p>
      <w:pPr>
        <w:pStyle w:val="1517"/>
        <w:ind w:firstLine="480"/>
        <w:rPr>
          <w:rFonts w:asciiTheme="minorEastAsia" w:hAnsiTheme="minorEastAsia" w:eastAsiaTheme="minorEastAsia"/>
          <w:sz w:val="20"/>
        </w:rPr>
      </w:pPr>
      <w:r>
        <w:rPr>
          <w:rFonts w:hint="eastAsia" w:cs="仿宋" w:asciiTheme="minorEastAsia" w:hAnsiTheme="minorEastAsia" w:eastAsiaTheme="minorEastAsia"/>
        </w:rPr>
        <w:t xml:space="preserve">6</w:t>
      </w:r>
      <w:r>
        <w:rPr>
          <w:rFonts w:hint="eastAsia" w:cs="仿宋" w:asciiTheme="minorEastAsia" w:hAnsiTheme="minorEastAsia" w:eastAsiaTheme="minorEastAsia"/>
        </w:rPr>
        <w:t xml:space="preserve">、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r>
        <w:rPr>
          <w:rFonts w:hint="eastAsia" w:asciiTheme="minorEastAsia" w:hAnsiTheme="minorEastAsia" w:eastAsiaTheme="minorEastAsia"/>
          <w:sz w:val="20"/>
        </w:rPr>
        <w:t xml:space="preserve">。</w:t>
      </w:r>
      <w:r/>
    </w:p>
    <w:p>
      <w:pPr>
        <w:pStyle w:val="1517"/>
        <w:ind w:firstLine="482"/>
        <w:rPr>
          <w:rFonts w:cs="仿宋" w:asciiTheme="minorEastAsia" w:hAnsiTheme="minorEastAsia" w:eastAsiaTheme="minorEastAsia"/>
          <w:b/>
        </w:rPr>
      </w:pPr>
      <w:r>
        <w:rPr>
          <w:rFonts w:hint="eastAsia" w:cs="仿宋" w:asciiTheme="minorEastAsia" w:hAnsiTheme="minorEastAsia" w:eastAsiaTheme="minorEastAsia"/>
          <w:b/>
        </w:rPr>
        <w:t xml:space="preserve">7、根据《关于推动解决政府采购异常低价问题的通知》（财库〔2026〕2号），政府采购评审中出现下列情形之一的，评审委员会应当启动异常低价投标（响应）审查程序：</w:t>
      </w:r>
      <w:r/>
    </w:p>
    <w:p>
      <w:pPr>
        <w:pStyle w:val="1517"/>
        <w:ind w:firstLine="482"/>
        <w:rPr>
          <w:rFonts w:cs="仿宋" w:asciiTheme="minorEastAsia" w:hAnsiTheme="minorEastAsia" w:eastAsiaTheme="minorEastAsia"/>
          <w:b/>
        </w:rPr>
      </w:pPr>
      <w:r>
        <w:rPr>
          <w:rFonts w:hint="eastAsia" w:cs="仿宋" w:asciiTheme="minorEastAsia" w:hAnsiTheme="minorEastAsia" w:eastAsiaTheme="minorEastAsia"/>
          <w:b/>
        </w:rPr>
        <w:t xml:space="preserve">1）投标（响应）报价低于全部通过符合性审查供应商投标（响应）报价平均值65%的，即投标（响应）报价&lt;全部通过符合性审查供应商投标（响应）报价平均值×65%；</w:t>
      </w:r>
      <w:r/>
    </w:p>
    <w:p>
      <w:pPr>
        <w:pStyle w:val="1517"/>
        <w:ind w:firstLine="482"/>
        <w:rPr>
          <w:rFonts w:cs="仿宋" w:asciiTheme="minorEastAsia" w:hAnsiTheme="minorEastAsia" w:eastAsiaTheme="minorEastAsia"/>
          <w:b/>
        </w:rPr>
      </w:pPr>
      <w:r>
        <w:rPr>
          <w:rFonts w:hint="eastAsia" w:cs="仿宋" w:asciiTheme="minorEastAsia" w:hAnsiTheme="minorEastAsia" w:eastAsiaTheme="minorEastAsia"/>
          <w:b/>
        </w:rPr>
        <w:t xml:space="preserve">2）投标（响应）报价低于通过符合性审查的次低报价供应商投标（响应）报价65%的，即投标（响应）报价&lt;通过符合性审查的次低报价供应商投标（响应）报价×65%；</w:t>
      </w:r>
      <w:r/>
    </w:p>
    <w:p>
      <w:pPr>
        <w:pStyle w:val="1517"/>
        <w:ind w:firstLine="482"/>
        <w:rPr>
          <w:rFonts w:cs="仿宋" w:asciiTheme="minorEastAsia" w:hAnsiTheme="minorEastAsia" w:eastAsiaTheme="minorEastAsia"/>
          <w:b/>
        </w:rPr>
      </w:pPr>
      <w:r>
        <w:rPr>
          <w:rFonts w:hint="eastAsia" w:cs="仿宋" w:asciiTheme="minorEastAsia" w:hAnsiTheme="minorEastAsia" w:eastAsiaTheme="minorEastAsia"/>
          <w:b/>
        </w:rPr>
        <w:t xml:space="preserve">3）投标（响应）报价低于采购项目最高限价65%的，即投标（响应）报价&lt;采购项目最高限价×65%；</w:t>
      </w:r>
      <w:r/>
    </w:p>
    <w:p>
      <w:pPr>
        <w:pStyle w:val="1517"/>
        <w:ind w:firstLine="482"/>
        <w:rPr>
          <w:rFonts w:cs="仿宋" w:asciiTheme="minorEastAsia" w:hAnsiTheme="minorEastAsia" w:eastAsiaTheme="minorEastAsia"/>
          <w:b/>
        </w:rPr>
      </w:pPr>
      <w:r>
        <w:rPr>
          <w:rFonts w:hint="eastAsia" w:cs="仿宋" w:asciiTheme="minorEastAsia" w:hAnsiTheme="minorEastAsia" w:eastAsiaTheme="minorEastAsia"/>
          <w:b/>
        </w:rPr>
        <w:t xml:space="preserve">4）评审委员会基于专业判断，认为供应商报价过低，有可能影响产品质量或者不能诚信履约的其他情形。</w:t>
      </w:r>
      <w:r/>
    </w:p>
    <w:p>
      <w:pPr>
        <w:pStyle w:val="1517"/>
        <w:ind w:firstLine="482"/>
        <w:rPr>
          <w:rFonts w:cs="仿宋" w:asciiTheme="minorEastAsia" w:hAnsiTheme="minorEastAsia" w:eastAsiaTheme="minorEastAsia"/>
          <w:b/>
        </w:rPr>
      </w:pPr>
      <w:r>
        <w:rPr>
          <w:rFonts w:hint="eastAsia" w:cs="仿宋" w:asciiTheme="minorEastAsia" w:hAnsiTheme="minorEastAsia" w:eastAsiaTheme="minorEastAsia"/>
          <w:b/>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517"/>
        <w:ind w:firstLine="482"/>
        <w:rPr>
          <w:rFonts w:cs="仿宋" w:asciiTheme="minorEastAsia" w:hAnsiTheme="minorEastAsia" w:eastAsiaTheme="minorEastAsia"/>
          <w:b/>
        </w:rPr>
      </w:pPr>
      <w:r>
        <w:rPr>
          <w:rFonts w:hint="eastAsia" w:cs="仿宋" w:asciiTheme="minorEastAsia" w:hAnsiTheme="minorEastAsia" w:eastAsiaTheme="minorEastAsia"/>
          <w:b/>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8"/>
      </w:pPr>
      <w:r/>
      <w:r/>
    </w:p>
    <w:p>
      <w:pPr>
        <w:pStyle w:val="1460"/>
        <w:ind w:right="-110" w:firstLine="0"/>
        <w:jc w:val="center"/>
        <w:spacing w:line="360" w:lineRule="auto"/>
        <w:rPr>
          <w:rFonts w:asciiTheme="minorEastAsia" w:hAnsiTheme="minorEastAsia" w:eastAsiaTheme="minorEastAsia"/>
          <w:b/>
          <w:sz w:val="32"/>
          <w:szCs w:val="32"/>
        </w:rPr>
        <w:sectPr>
          <w:headerReference w:type="default" r:id="rId9"/>
          <w:footerReference w:type="default" r:id="rId11"/>
          <w:footnotePr/>
          <w:endnotePr/>
          <w:type w:val="nextPage"/>
          <w:pgSz w:w="11906" w:h="16838" w:orient="portrait"/>
          <w:pgMar w:top="720" w:right="1383" w:bottom="720" w:left="1281" w:header="851" w:footer="992" w:gutter="0"/>
          <w:cols w:num="1" w:sep="0" w:space="720" w:equalWidth="1"/>
          <w:docGrid w:linePitch="360"/>
        </w:sectPr>
      </w:pPr>
      <w:r/>
      <w:bookmarkStart w:id="54" w:name="_Toc13932595"/>
      <w:r/>
      <w:bookmarkStart w:id="55" w:name="_Toc10045205"/>
      <w:r/>
      <w:bookmarkEnd w:id="54"/>
      <w:r/>
      <w:bookmarkEnd w:id="55"/>
      <w:r/>
      <w:r/>
    </w:p>
    <w:p>
      <w:pPr>
        <w:pStyle w:val="1099"/>
        <w:ind w:right="-110" w:firstLine="643"/>
        <w:jc w:val="center"/>
        <w:spacing w:before="0" w:after="0"/>
        <w:rPr>
          <w:rFonts w:cs="黑体" w:asciiTheme="minorEastAsia" w:hAnsiTheme="minorEastAsia" w:eastAsiaTheme="minorEastAsia"/>
          <w:sz w:val="32"/>
          <w:szCs w:val="32"/>
        </w:rPr>
      </w:pPr>
      <w:r>
        <w:rPr>
          <w:rFonts w:hint="eastAsia" w:cs="黑体" w:asciiTheme="minorEastAsia" w:hAnsiTheme="minorEastAsia" w:eastAsiaTheme="minorEastAsia"/>
          <w:sz w:val="32"/>
          <w:szCs w:val="32"/>
        </w:rPr>
        <w:t xml:space="preserve">第四章 项目</w:t>
      </w:r>
      <w:r>
        <w:rPr>
          <w:rFonts w:hint="eastAsia" w:cs="黑体" w:asciiTheme="minorEastAsia" w:hAnsiTheme="minorEastAsia" w:eastAsiaTheme="minorEastAsia"/>
          <w:sz w:val="32"/>
          <w:szCs w:val="32"/>
        </w:rPr>
        <w:t xml:space="preserve">需求</w:t>
      </w:r>
      <w:r/>
    </w:p>
    <w:p>
      <w:pPr>
        <w:pStyle w:val="1490"/>
        <w:rPr>
          <w:b/>
          <w:color w:val="auto"/>
          <w:sz w:val="28"/>
          <w:szCs w:val="28"/>
        </w:rPr>
      </w:pPr>
      <w:r/>
      <w:bookmarkStart w:id="56" w:name="_Toc3534286"/>
      <w:r/>
      <w:bookmarkStart w:id="57" w:name="_Toc86147038"/>
      <w:r>
        <w:rPr>
          <w:rFonts w:hint="eastAsia"/>
          <w:b/>
          <w:color w:val="auto"/>
          <w:sz w:val="28"/>
          <w:szCs w:val="28"/>
        </w:rPr>
        <w:t xml:space="preserve">1、</w:t>
      </w:r>
      <w:r>
        <w:rPr>
          <w:b/>
          <w:color w:val="auto"/>
          <w:sz w:val="28"/>
          <w:szCs w:val="28"/>
        </w:rPr>
        <w:t xml:space="preserve">项目概述</w:t>
      </w:r>
      <w:bookmarkEnd w:id="56"/>
      <w:r/>
      <w:bookmarkEnd w:id="57"/>
      <w:r/>
      <w:r/>
    </w:p>
    <w:p>
      <w:pPr>
        <w:contextualSpacing/>
        <w:ind w:firstLine="480"/>
        <w:spacing w:line="440" w:lineRule="exact"/>
        <w:tabs>
          <w:tab w:val="left" w:pos="2280" w:leader="none"/>
        </w:tabs>
        <w:rPr>
          <w:sz w:val="24"/>
        </w:rPr>
      </w:pPr>
      <w:r>
        <w:rPr>
          <w:rFonts w:hint="eastAsia" w:ascii="宋体" w:hAnsi="宋体" w:cs="宋体"/>
          <w:sz w:val="24"/>
        </w:rPr>
        <w:t xml:space="preserve">为保障溧水地表水环境质量监控系统正常安全运行，确保监测数据的有效性、准确性，强化自动监测监督管理工作，推进地表水环境质量监控系统社会化运营模式，拟对溧水地表水水质自动监测站运维服务进行招标。目前溧水在运行地表水水质自动监测站共计22个，根据“十五五”监测断面变动情况，对全区水质自动站点设置进行了优化调整，调整完毕后开展10个水站的运行维护与管理工作</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运行维护单位采取公开招投标的方式确定，运维服务期为</w:t>
      </w:r>
      <w:r>
        <w:rPr>
          <w:rFonts w:hint="eastAsia" w:cs="仿宋" w:asciiTheme="minorEastAsia" w:hAnsiTheme="minorEastAsia" w:eastAsiaTheme="minorEastAsia"/>
          <w:sz w:val="24"/>
          <w:szCs w:val="24"/>
        </w:rPr>
        <w:t xml:space="preserve">自合同签订之日起一年</w:t>
      </w:r>
      <w:r>
        <w:rPr>
          <w:rFonts w:hint="eastAsia"/>
          <w:sz w:val="24"/>
        </w:rPr>
        <w:t xml:space="preserve">。</w:t>
      </w:r>
      <w:r/>
    </w:p>
    <w:p>
      <w:pPr>
        <w:pStyle w:val="1490"/>
        <w:rPr>
          <w:b/>
          <w:color w:val="auto"/>
          <w:sz w:val="28"/>
          <w:szCs w:val="28"/>
        </w:rPr>
      </w:pPr>
      <w:r/>
      <w:bookmarkStart w:id="58" w:name="_Toc86147039"/>
      <w:r>
        <w:rPr>
          <w:rFonts w:hint="eastAsia"/>
          <w:b/>
          <w:color w:val="auto"/>
          <w:sz w:val="28"/>
          <w:szCs w:val="28"/>
        </w:rPr>
        <w:t xml:space="preserve">2、总体要求</w:t>
      </w:r>
      <w:bookmarkEnd w:id="58"/>
      <w:r/>
      <w:r/>
    </w:p>
    <w:p>
      <w:pPr>
        <w:contextualSpacing/>
        <w:ind w:firstLine="482"/>
        <w:spacing w:line="420" w:lineRule="exact"/>
        <w:tabs>
          <w:tab w:val="left" w:pos="2280" w:leader="none"/>
        </w:tabs>
        <w:rPr>
          <w:b/>
          <w:sz w:val="24"/>
        </w:rPr>
      </w:pPr>
      <w:r>
        <w:rPr>
          <w:b/>
          <w:sz w:val="24"/>
        </w:rPr>
        <w:t xml:space="preserve">2</w:t>
      </w:r>
      <w:r>
        <w:rPr>
          <w:rFonts w:hint="eastAsia"/>
          <w:b/>
          <w:sz w:val="24"/>
        </w:rPr>
        <w:t xml:space="preserve">.1</w:t>
      </w:r>
      <w:r>
        <w:rPr>
          <w:rFonts w:hint="eastAsia"/>
          <w:b/>
          <w:sz w:val="24"/>
        </w:rPr>
        <w:t xml:space="preserve">凡标有“▲”的内容均被视为重要的技术要求和性能指标。供应商要特别加以注意，必须对此回答，若为负偏离，则视为未实质性响应磋商文件，按照无效</w:t>
      </w:r>
      <w:r>
        <w:rPr>
          <w:rFonts w:hint="eastAsia"/>
          <w:b/>
          <w:sz w:val="24"/>
        </w:rPr>
        <w:t xml:space="preserve">响应</w:t>
      </w:r>
      <w:r>
        <w:rPr>
          <w:rFonts w:hint="eastAsia"/>
          <w:b/>
          <w:sz w:val="24"/>
        </w:rPr>
        <w:t xml:space="preserve">处理。</w:t>
      </w:r>
      <w:r/>
    </w:p>
    <w:p>
      <w:pPr>
        <w:contextualSpacing/>
        <w:ind w:firstLine="480"/>
        <w:spacing w:line="420" w:lineRule="exact"/>
        <w:tabs>
          <w:tab w:val="left" w:pos="2280" w:leader="none"/>
        </w:tabs>
        <w:rPr>
          <w:sz w:val="24"/>
        </w:rPr>
      </w:pPr>
      <w:r>
        <w:rPr>
          <w:rFonts w:hint="eastAsia"/>
          <w:sz w:val="24"/>
        </w:rPr>
        <w:t xml:space="preserve">2.2</w:t>
      </w:r>
      <w:r>
        <w:rPr>
          <w:rFonts w:hint="eastAsia"/>
          <w:sz w:val="24"/>
        </w:rPr>
        <w:t xml:space="preserve">供应商资金保证充足。</w:t>
      </w:r>
      <w:r/>
    </w:p>
    <w:p>
      <w:pPr>
        <w:contextualSpacing/>
        <w:ind w:firstLine="480"/>
        <w:spacing w:line="420" w:lineRule="exact"/>
        <w:tabs>
          <w:tab w:val="left" w:pos="2280" w:leader="none"/>
        </w:tabs>
        <w:rPr>
          <w:sz w:val="24"/>
        </w:rPr>
      </w:pPr>
      <w:r>
        <w:rPr>
          <w:rFonts w:hint="eastAsia"/>
          <w:sz w:val="24"/>
        </w:rPr>
        <w:t xml:space="preserve">2.3</w:t>
      </w:r>
      <w:r>
        <w:rPr>
          <w:rFonts w:hint="eastAsia"/>
          <w:sz w:val="24"/>
        </w:rPr>
        <w:t xml:space="preserve">供应商</w:t>
      </w:r>
      <w:r>
        <w:rPr>
          <w:rFonts w:hint="eastAsia"/>
          <w:sz w:val="24"/>
        </w:rPr>
        <w:t xml:space="preserve">应列明水质自动监测系统运营及管理期间的各项费用预算开支</w:t>
      </w:r>
      <w:r>
        <w:rPr>
          <w:rFonts w:hint="eastAsia"/>
          <w:sz w:val="24"/>
        </w:rPr>
        <w:t xml:space="preserve">。</w:t>
      </w:r>
      <w:r/>
    </w:p>
    <w:p>
      <w:pPr>
        <w:contextualSpacing/>
        <w:ind w:firstLine="480"/>
        <w:spacing w:line="420" w:lineRule="exact"/>
        <w:tabs>
          <w:tab w:val="left" w:pos="2280" w:leader="none"/>
        </w:tabs>
        <w:rPr>
          <w:sz w:val="24"/>
        </w:rPr>
      </w:pPr>
      <w:r>
        <w:rPr>
          <w:rFonts w:hint="eastAsia"/>
          <w:sz w:val="24"/>
        </w:rPr>
        <w:t xml:space="preserve">2.4</w:t>
      </w:r>
      <w:r>
        <w:rPr>
          <w:rFonts w:hint="eastAsia"/>
          <w:sz w:val="24"/>
        </w:rPr>
        <w:t xml:space="preserve">▲</w:t>
      </w:r>
      <w:r>
        <w:rPr>
          <w:rFonts w:hint="eastAsia"/>
          <w:sz w:val="24"/>
        </w:rPr>
        <w:t xml:space="preserve">在水质自动监测系统运维及管理期间，在合同约束范围内中标单位拥有管理自主权；</w:t>
      </w:r>
      <w:r/>
    </w:p>
    <w:p>
      <w:pPr>
        <w:contextualSpacing/>
        <w:ind w:firstLine="480"/>
        <w:spacing w:line="420" w:lineRule="exact"/>
        <w:tabs>
          <w:tab w:val="left" w:pos="2280" w:leader="none"/>
        </w:tabs>
        <w:rPr>
          <w:sz w:val="24"/>
        </w:rPr>
      </w:pPr>
      <w:r>
        <w:rPr>
          <w:rFonts w:hint="eastAsia"/>
          <w:sz w:val="24"/>
        </w:rPr>
        <w:t xml:space="preserve">2.5</w:t>
      </w:r>
      <w:r>
        <w:rPr>
          <w:rFonts w:hint="eastAsia"/>
          <w:sz w:val="24"/>
        </w:rPr>
        <w:t xml:space="preserve">▲</w:t>
      </w:r>
      <w:r>
        <w:rPr>
          <w:rFonts w:hint="eastAsia"/>
          <w:sz w:val="24"/>
        </w:rPr>
        <w:t xml:space="preserve">供应商</w:t>
      </w:r>
      <w:r>
        <w:rPr>
          <w:rFonts w:hint="eastAsia"/>
          <w:sz w:val="24"/>
        </w:rPr>
        <w:t xml:space="preserve">应提供完整的水质自动监测系统运维实施方案。提出解决目前存在问题的措施，明确维护方法、周期、内容及技术保障。</w:t>
      </w:r>
      <w:r/>
    </w:p>
    <w:p>
      <w:pPr>
        <w:contextualSpacing/>
        <w:ind w:firstLine="480"/>
        <w:spacing w:line="420" w:lineRule="exact"/>
        <w:tabs>
          <w:tab w:val="left" w:pos="2280" w:leader="none"/>
        </w:tabs>
        <w:rPr>
          <w:sz w:val="24"/>
        </w:rPr>
      </w:pPr>
      <w:r>
        <w:rPr>
          <w:rFonts w:hint="eastAsia"/>
          <w:sz w:val="24"/>
        </w:rPr>
        <w:t xml:space="preserve">2.6</w:t>
      </w:r>
      <w:r>
        <w:rPr>
          <w:rFonts w:hint="eastAsia"/>
          <w:sz w:val="24"/>
        </w:rPr>
        <w:t xml:space="preserve">▲</w:t>
      </w:r>
      <w:r>
        <w:rPr>
          <w:rFonts w:hint="eastAsia"/>
          <w:sz w:val="24"/>
        </w:rPr>
        <w:t xml:space="preserve">供应商</w:t>
      </w:r>
      <w:r>
        <w:rPr>
          <w:rFonts w:hint="eastAsia"/>
          <w:sz w:val="24"/>
        </w:rPr>
        <w:t xml:space="preserve">应提供完整的水质自动监测运维人员管理方案，提出解决稳定人员队伍的措施。</w:t>
      </w:r>
      <w:r/>
    </w:p>
    <w:p>
      <w:pPr>
        <w:contextualSpacing/>
        <w:ind w:firstLine="480"/>
        <w:spacing w:line="420" w:lineRule="exact"/>
        <w:tabs>
          <w:tab w:val="left" w:pos="2280" w:leader="none"/>
        </w:tabs>
        <w:rPr>
          <w:sz w:val="24"/>
        </w:rPr>
      </w:pPr>
      <w:r>
        <w:rPr>
          <w:rFonts w:hint="eastAsia"/>
          <w:sz w:val="24"/>
        </w:rPr>
        <w:t xml:space="preserve">2.7</w:t>
      </w:r>
      <w:r>
        <w:rPr>
          <w:rFonts w:hint="eastAsia"/>
          <w:sz w:val="24"/>
        </w:rPr>
        <w:t xml:space="preserve">在水质自动监测系统运维及管理期间，中标单位应严格按照业主制订的操作规范和规章制度，对所管理的系统及仪器设备进行规范操作和精心维护及必要维修，保证系统及仪器设备的正常运行，达到业主提出的系统及仪器设备考核指标要求。中标单位必须接受采购人的定期、不定期检查和考核。</w:t>
      </w:r>
      <w:r/>
    </w:p>
    <w:p>
      <w:pPr>
        <w:contextualSpacing/>
        <w:ind w:firstLine="480"/>
        <w:spacing w:line="420" w:lineRule="exact"/>
        <w:tabs>
          <w:tab w:val="left" w:pos="2280" w:leader="none"/>
        </w:tabs>
        <w:rPr>
          <w:sz w:val="24"/>
        </w:rPr>
      </w:pPr>
      <w:r>
        <w:rPr>
          <w:rFonts w:hint="eastAsia"/>
          <w:sz w:val="24"/>
        </w:rPr>
        <w:t xml:space="preserve">2.8</w:t>
      </w:r>
      <w:r>
        <w:rPr>
          <w:rFonts w:hint="eastAsia"/>
          <w:sz w:val="24"/>
        </w:rPr>
        <w:t xml:space="preserve">供应商</w:t>
      </w:r>
      <w:r>
        <w:rPr>
          <w:rFonts w:hint="eastAsia"/>
          <w:sz w:val="24"/>
        </w:rPr>
        <w:t xml:space="preserve">具备一定的监测数据分析能力，能配合采购人完成各类分析报告的编制工作，可为环境管理提供技术支撑。</w:t>
      </w:r>
      <w:r/>
    </w:p>
    <w:p>
      <w:pPr>
        <w:contextualSpacing/>
        <w:ind w:firstLine="480"/>
        <w:spacing w:line="420" w:lineRule="exact"/>
        <w:tabs>
          <w:tab w:val="left" w:pos="2280" w:leader="none"/>
        </w:tabs>
        <w:rPr>
          <w:sz w:val="24"/>
        </w:rPr>
      </w:pPr>
      <w:r>
        <w:rPr>
          <w:rFonts w:hint="eastAsia"/>
          <w:sz w:val="24"/>
        </w:rPr>
        <w:t xml:space="preserve">2.9 </w:t>
      </w:r>
      <w:r>
        <w:rPr>
          <w:rFonts w:hint="eastAsia"/>
          <w:sz w:val="24"/>
        </w:rPr>
        <w:t xml:space="preserve">本项目需要供应商自行进行现场勘察，各位潜在供应商应提前深入了解原水站系统运行情况，以确保中标后与原运维单位对接并承担相应责任。应于开标日期</w:t>
      </w:r>
      <w:r>
        <w:rPr>
          <w:rFonts w:hint="eastAsia"/>
          <w:sz w:val="24"/>
        </w:rPr>
        <w:t xml:space="preserve">5</w:t>
      </w:r>
      <w:r>
        <w:rPr>
          <w:rFonts w:hint="eastAsia"/>
          <w:sz w:val="24"/>
        </w:rPr>
        <w:t xml:space="preserve">日前完成现场勘查。现场勘查联系人及联系方式：（杨平</w:t>
      </w:r>
      <w:r>
        <w:rPr>
          <w:rFonts w:hint="eastAsia"/>
          <w:sz w:val="24"/>
        </w:rPr>
        <w:t xml:space="preserve"> 18052080756</w:t>
      </w:r>
      <w:r>
        <w:rPr>
          <w:rFonts w:hint="eastAsia"/>
          <w:sz w:val="24"/>
        </w:rPr>
        <w:t xml:space="preserve">；濮金祥</w:t>
      </w:r>
      <w:r>
        <w:rPr>
          <w:rFonts w:hint="eastAsia"/>
          <w:sz w:val="24"/>
        </w:rPr>
        <w:t xml:space="preserve">18052080761</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w:t>
      </w:r>
      <w:r>
        <w:rPr>
          <w:rFonts w:hint="eastAsia"/>
          <w:b/>
          <w:bCs/>
          <w:i/>
          <w:iCs/>
          <w:sz w:val="22"/>
          <w:szCs w:val="24"/>
          <w:u w:val="single"/>
        </w:rPr>
        <w:t xml:space="preserve">2.1</w:t>
      </w:r>
      <w:r>
        <w:rPr>
          <w:b/>
          <w:bCs/>
          <w:i/>
          <w:iCs/>
          <w:sz w:val="22"/>
          <w:szCs w:val="24"/>
          <w:u w:val="single"/>
        </w:rPr>
        <w:t xml:space="preserve">0 </w:t>
      </w:r>
      <w:r>
        <w:rPr>
          <w:b/>
          <w:bCs/>
          <w:i/>
          <w:iCs/>
          <w:sz w:val="22"/>
          <w:szCs w:val="24"/>
          <w:u w:val="single"/>
        </w:rPr>
        <w:t xml:space="preserve">供应商</w:t>
      </w:r>
      <w:r>
        <w:rPr>
          <w:rFonts w:hint="eastAsia"/>
          <w:b/>
          <w:bCs/>
          <w:i/>
          <w:iCs/>
          <w:sz w:val="22"/>
          <w:szCs w:val="24"/>
          <w:u w:val="single"/>
        </w:rPr>
        <w:t xml:space="preserve">自</w:t>
      </w:r>
      <w:r>
        <w:rPr>
          <w:rFonts w:hint="eastAsia"/>
          <w:b/>
          <w:bCs/>
          <w:i/>
          <w:iCs/>
          <w:sz w:val="22"/>
          <w:szCs w:val="24"/>
          <w:u w:val="single"/>
        </w:rPr>
        <w:t xml:space="preserve">20</w:t>
      </w:r>
      <w:r>
        <w:rPr>
          <w:b/>
          <w:bCs/>
          <w:i/>
          <w:iCs/>
          <w:sz w:val="22"/>
          <w:szCs w:val="24"/>
          <w:u w:val="single"/>
        </w:rPr>
        <w:t xml:space="preserve">2</w:t>
      </w:r>
      <w:r>
        <w:rPr>
          <w:rFonts w:hint="eastAsia"/>
          <w:b/>
          <w:bCs/>
          <w:i/>
          <w:iCs/>
          <w:sz w:val="22"/>
          <w:szCs w:val="24"/>
          <w:u w:val="single"/>
        </w:rPr>
        <w:t xml:space="preserve">1</w:t>
      </w:r>
      <w:r>
        <w:rPr>
          <w:rFonts w:hint="eastAsia"/>
          <w:b/>
          <w:bCs/>
          <w:i/>
          <w:iCs/>
          <w:sz w:val="22"/>
          <w:szCs w:val="24"/>
          <w:u w:val="single"/>
        </w:rPr>
        <w:t xml:space="preserve">年</w:t>
      </w:r>
      <w:r>
        <w:rPr>
          <w:rFonts w:hint="eastAsia"/>
          <w:b/>
          <w:bCs/>
          <w:i/>
          <w:iCs/>
          <w:sz w:val="22"/>
          <w:szCs w:val="24"/>
          <w:u w:val="single"/>
        </w:rPr>
        <w:t xml:space="preserve">1</w:t>
      </w:r>
      <w:r>
        <w:rPr>
          <w:rFonts w:hint="eastAsia"/>
          <w:b/>
          <w:bCs/>
          <w:i/>
          <w:iCs/>
          <w:sz w:val="22"/>
          <w:szCs w:val="24"/>
          <w:u w:val="single"/>
        </w:rPr>
        <w:t xml:space="preserve">月</w:t>
      </w:r>
      <w:r>
        <w:rPr>
          <w:rFonts w:hint="eastAsia"/>
          <w:b/>
          <w:bCs/>
          <w:i/>
          <w:iCs/>
          <w:sz w:val="22"/>
          <w:szCs w:val="24"/>
          <w:u w:val="single"/>
        </w:rPr>
        <w:t xml:space="preserve">1</w:t>
      </w:r>
      <w:r>
        <w:rPr>
          <w:rFonts w:hint="eastAsia"/>
          <w:b/>
          <w:bCs/>
          <w:i/>
          <w:iCs/>
          <w:sz w:val="22"/>
          <w:szCs w:val="24"/>
          <w:u w:val="single"/>
        </w:rPr>
        <w:t xml:space="preserve">日至今在全国范围内的环境监测服务活动中出现</w:t>
      </w:r>
      <w:r>
        <w:rPr>
          <w:b/>
          <w:bCs/>
          <w:i/>
          <w:iCs/>
          <w:sz w:val="22"/>
          <w:szCs w:val="24"/>
          <w:u w:val="single"/>
        </w:rPr>
        <w:t xml:space="preserve">供应商</w:t>
      </w:r>
      <w:r>
        <w:rPr>
          <w:rFonts w:hint="eastAsia"/>
          <w:b/>
          <w:bCs/>
          <w:i/>
          <w:iCs/>
          <w:sz w:val="22"/>
          <w:szCs w:val="24"/>
          <w:u w:val="single"/>
        </w:rPr>
        <w:t xml:space="preserve">或其法定代表人、员工（包括但不限于高管人员、项目负责人员、实施人员及其他员工等，员工的认定以违法行为发生当时劳动合同、聘任合同存续为准）曾在本项目类似业务实施过程中，因行贿受贿、数据造假、人为干扰监测等与业务活动相关的行为受到刑事处罚或被区县级（含）以上生态环境部门通报、行政处罚的不能参与此次投标。</w:t>
      </w:r>
      <w:r>
        <w:rPr>
          <w:rFonts w:hint="eastAsia"/>
          <w:sz w:val="24"/>
        </w:rPr>
        <w:t xml:space="preserve">供应商须承诺无上述行为，并提供</w:t>
      </w:r>
      <w:r>
        <w:rPr>
          <w:rFonts w:hint="eastAsia"/>
          <w:sz w:val="24"/>
        </w:rPr>
        <w:t xml:space="preserve">承诺函。如采购人发现供应商虚假承诺，将视为虚假应标，并承担相关法律后果。</w:t>
      </w:r>
      <w:r>
        <w:rPr>
          <w:sz w:val="24"/>
        </w:rPr>
        <w:t xml:space="preserve">（在响应文件中提供承诺书，格式自拟）</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2</w:t>
      </w:r>
      <w:r>
        <w:rPr>
          <w:sz w:val="24"/>
        </w:rPr>
        <w:t xml:space="preserve">.1</w:t>
      </w:r>
      <w:r>
        <w:rPr>
          <w:rFonts w:hint="eastAsia"/>
          <w:sz w:val="24"/>
        </w:rPr>
        <w:t xml:space="preserve">1</w:t>
      </w:r>
      <w:r>
        <w:rPr>
          <w:rFonts w:hint="eastAsia"/>
          <w:sz w:val="24"/>
        </w:rPr>
        <w:t xml:space="preserve">供应商需承诺，在运维服务期间，提供实时的质控数据查询和统计分析平台，供采购人质量管控使用。</w:t>
      </w:r>
      <w:r>
        <w:rPr>
          <w:sz w:val="24"/>
        </w:rPr>
        <w:t xml:space="preserve">（在响应文件中提供承诺书，格式自拟）</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2</w:t>
      </w:r>
      <w:r>
        <w:rPr>
          <w:sz w:val="24"/>
        </w:rPr>
        <w:t xml:space="preserve">.1</w:t>
      </w:r>
      <w:r>
        <w:rPr>
          <w:rFonts w:hint="eastAsia"/>
          <w:sz w:val="24"/>
        </w:rPr>
        <w:t xml:space="preserve">2</w:t>
      </w:r>
      <w:r>
        <w:rPr>
          <w:rFonts w:hint="eastAsia"/>
          <w:sz w:val="24"/>
        </w:rPr>
        <w:t xml:space="preserve">供应商承诺做好项目站点的参数补齐和仪器搬迁接入工作（</w:t>
      </w:r>
      <w:r>
        <w:rPr>
          <w:sz w:val="24"/>
        </w:rPr>
        <w:t xml:space="preserve">在</w:t>
      </w:r>
      <w:r>
        <w:rPr>
          <w:rFonts w:hint="eastAsia"/>
          <w:sz w:val="24"/>
        </w:rPr>
        <w:t xml:space="preserve">响应文件</w:t>
      </w:r>
      <w:r>
        <w:rPr>
          <w:sz w:val="24"/>
        </w:rPr>
        <w:t xml:space="preserve">中提供承诺书，格式自拟</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2</w:t>
      </w:r>
      <w:r>
        <w:rPr>
          <w:sz w:val="24"/>
        </w:rPr>
        <w:t xml:space="preserve">.1</w:t>
      </w:r>
      <w:r>
        <w:rPr>
          <w:rFonts w:hint="eastAsia"/>
          <w:sz w:val="24"/>
        </w:rPr>
        <w:t xml:space="preserve">3</w:t>
      </w:r>
      <w:r>
        <w:rPr>
          <w:rFonts w:hint="eastAsia"/>
          <w:sz w:val="24"/>
        </w:rPr>
        <w:t xml:space="preserve">供应商承诺为本项目做好已停用站点设备管理工作，每月至少开展一次现场巡查（</w:t>
      </w:r>
      <w:r>
        <w:rPr>
          <w:sz w:val="24"/>
        </w:rPr>
        <w:t xml:space="preserve">在响应文件中提供承诺书，格式自拟</w:t>
      </w:r>
      <w:r>
        <w:rPr>
          <w:rFonts w:hint="eastAsia"/>
          <w:sz w:val="24"/>
        </w:rPr>
        <w:t xml:space="preserve">）。</w:t>
      </w:r>
      <w:r/>
    </w:p>
    <w:p>
      <w:pPr>
        <w:pStyle w:val="1490"/>
        <w:spacing w:line="360" w:lineRule="auto"/>
        <w:rPr>
          <w:b/>
          <w:color w:val="auto"/>
          <w:sz w:val="32"/>
          <w:szCs w:val="32"/>
        </w:rPr>
      </w:pPr>
      <w:r/>
      <w:bookmarkStart w:id="59" w:name="_Toc86147040"/>
      <w:r>
        <w:rPr>
          <w:rFonts w:hint="eastAsia"/>
          <w:b/>
          <w:color w:val="auto"/>
          <w:sz w:val="32"/>
          <w:szCs w:val="32"/>
        </w:rPr>
        <w:t xml:space="preserve">3、水站运维管理采购内容和要求</w:t>
      </w:r>
      <w:bookmarkEnd w:id="59"/>
      <w:r/>
      <w:r/>
    </w:p>
    <w:p>
      <w:pPr>
        <w:pStyle w:val="1490"/>
        <w:rPr>
          <w:b/>
          <w:color w:val="auto"/>
          <w:sz w:val="28"/>
          <w:szCs w:val="28"/>
        </w:rPr>
      </w:pPr>
      <w:r/>
      <w:bookmarkStart w:id="60" w:name="_Toc86147041"/>
      <w:r>
        <w:rPr>
          <w:rFonts w:hint="eastAsia"/>
          <w:b/>
          <w:color w:val="auto"/>
          <w:sz w:val="28"/>
          <w:szCs w:val="28"/>
        </w:rPr>
        <w:t xml:space="preserve">3.1需求及采购内容</w:t>
      </w:r>
      <w:bookmarkEnd w:id="60"/>
      <w:r/>
      <w:r/>
    </w:p>
    <w:p>
      <w:pPr>
        <w:contextualSpacing/>
        <w:ind w:firstLine="240"/>
        <w:spacing w:line="560" w:lineRule="exact"/>
        <w:tabs>
          <w:tab w:val="left" w:pos="2280" w:leader="none"/>
        </w:tabs>
        <w:rPr>
          <w:rFonts w:ascii="黑体" w:hAnsi="黑体" w:eastAsia="黑体"/>
          <w:sz w:val="24"/>
        </w:rPr>
      </w:pPr>
      <w:r>
        <w:rPr>
          <w:rFonts w:hint="eastAsia" w:ascii="黑体" w:hAnsi="黑体" w:eastAsia="黑体"/>
          <w:sz w:val="24"/>
        </w:rPr>
        <w:t xml:space="preserve">3.1.1具体站点情况</w:t>
      </w:r>
      <w:r/>
    </w:p>
    <w:p>
      <w:pPr>
        <w:contextualSpacing/>
        <w:ind w:firstLine="480"/>
        <w:spacing w:line="440" w:lineRule="exact"/>
        <w:tabs>
          <w:tab w:val="left" w:pos="2280" w:leader="none"/>
        </w:tabs>
        <w:rPr>
          <w:sz w:val="24"/>
        </w:rPr>
      </w:pPr>
      <w:r>
        <w:rPr>
          <w:sz w:val="24"/>
        </w:rPr>
        <w:t xml:space="preserve">本次采购的项目</w:t>
      </w:r>
      <w:r>
        <w:rPr>
          <w:rFonts w:hint="eastAsia"/>
          <w:sz w:val="24"/>
        </w:rPr>
        <w:t xml:space="preserve">内容</w:t>
      </w:r>
      <w:r>
        <w:rPr>
          <w:sz w:val="24"/>
        </w:rPr>
        <w:t xml:space="preserve">为</w:t>
      </w:r>
      <w:r>
        <w:rPr>
          <w:rFonts w:hint="eastAsia"/>
          <w:sz w:val="24"/>
        </w:rPr>
        <w:t xml:space="preserve">溧水</w:t>
      </w:r>
      <w:r>
        <w:rPr>
          <w:rFonts w:hint="eastAsia"/>
          <w:sz w:val="24"/>
        </w:rPr>
        <w:t xml:space="preserve">10</w:t>
      </w:r>
      <w:r>
        <w:rPr>
          <w:rFonts w:hint="eastAsia"/>
          <w:sz w:val="24"/>
        </w:rPr>
        <w:t xml:space="preserve">个水站的运行维护</w:t>
      </w:r>
      <w:r>
        <w:rPr>
          <w:sz w:val="24"/>
        </w:rPr>
        <w:t xml:space="preserve">。要求</w:t>
      </w:r>
      <w:r>
        <w:rPr>
          <w:sz w:val="24"/>
        </w:rPr>
        <w:t xml:space="preserve">供应商</w:t>
      </w:r>
      <w:r>
        <w:rPr>
          <w:sz w:val="24"/>
        </w:rPr>
        <w:t xml:space="preserve">根据</w:t>
      </w:r>
      <w:r>
        <w:rPr>
          <w:sz w:val="24"/>
        </w:rPr>
        <w:t xml:space="preserve">磋商</w:t>
      </w:r>
      <w:r>
        <w:rPr>
          <w:sz w:val="24"/>
        </w:rPr>
        <w:t xml:space="preserve">文件的要求负责水质自动监测系统的运</w:t>
      </w:r>
      <w:r>
        <w:rPr>
          <w:rFonts w:hint="eastAsia"/>
          <w:sz w:val="24"/>
        </w:rPr>
        <w:t xml:space="preserve">行</w:t>
      </w:r>
      <w:r>
        <w:rPr>
          <w:sz w:val="24"/>
        </w:rPr>
        <w:t xml:space="preserve">维护及管理工作。具体情况见</w:t>
      </w:r>
      <w:r>
        <w:rPr>
          <w:rFonts w:hint="eastAsia"/>
          <w:sz w:val="24"/>
        </w:rPr>
        <w:t xml:space="preserve">下</w:t>
      </w:r>
      <w:r>
        <w:rPr>
          <w:sz w:val="24"/>
        </w:rPr>
        <w:t xml:space="preserve">表</w:t>
      </w:r>
      <w:r>
        <w:rPr>
          <w:rFonts w:hint="eastAsia"/>
          <w:sz w:val="24"/>
        </w:rPr>
        <w:t xml:space="preserve">：</w:t>
      </w:r>
      <w:r/>
    </w:p>
    <w:tbl>
      <w:tblPr>
        <w:tblW w:w="944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000" w:firstRow="0" w:lastRow="0" w:firstColumn="0" w:lastColumn="0" w:noHBand="0" w:noVBand="0"/>
      </w:tblPr>
      <w:tblGrid>
        <w:gridCol w:w="611"/>
        <w:gridCol w:w="833"/>
        <w:gridCol w:w="2464"/>
        <w:gridCol w:w="3081"/>
        <w:gridCol w:w="993"/>
        <w:gridCol w:w="1458"/>
      </w:tblGrid>
      <w:tr>
        <w:trPr>
          <w:jc w:val="center"/>
          <w:trHeight w:val="641"/>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sz w:val="24"/>
              </w:rPr>
              <w:t xml:space="preserve">序号</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833"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sz w:val="24"/>
              </w:rPr>
              <w:t xml:space="preserve">站点名称</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sz w:val="24"/>
              </w:rPr>
              <w:t xml:space="preserve">站点参数</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sz w:val="24"/>
              </w:rPr>
              <w:t xml:space="preserve">仪器型号</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993" w:type="dxa"/>
            <w:vAlign w:val="center"/>
            <w:textDirection w:val="lrTb"/>
            <w:noWrap/>
          </w:tcPr>
          <w:p>
            <w:pPr>
              <w:jc w:val="center"/>
              <w:spacing w:line="240" w:lineRule="exact"/>
              <w:rPr>
                <w:rFonts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sz w:val="24"/>
              </w:rPr>
              <w:t xml:space="preserve">建设</w:t>
            </w:r>
            <w:r/>
          </w:p>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sz w:val="24"/>
              </w:rPr>
              <w:t xml:space="preserve">时间</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1458" w:type="dxa"/>
            <w:vAlign w:val="center"/>
            <w:textDirection w:val="lrTb"/>
            <w:noWrap/>
          </w:tcPr>
          <w:p>
            <w:pPr>
              <w:jc w:val="center"/>
              <w:spacing w:line="240" w:lineRule="exact"/>
              <w:rPr>
                <w:rFonts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sz w:val="24"/>
              </w:rPr>
              <w:t xml:space="preserve">备注</w:t>
            </w:r>
            <w:r/>
          </w:p>
        </w:tc>
      </w:tr>
      <w:tr>
        <w:trPr>
          <w:jc w:val="center"/>
          <w:trHeight w:val="215"/>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1</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83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和尚桥站点</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五参数分析仪</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WTW IQ Sensor NET</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993" w:type="dxa"/>
            <w:vAlign w:val="center"/>
            <w:vMerge w:val="restart"/>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2021年3月</w:t>
            </w:r>
            <w:r/>
          </w:p>
        </w:tc>
        <w:tc>
          <w:tcPr>
            <w:tcBorders>
              <w:top w:val="single" w:color="000000" w:sz="4" w:space="0"/>
              <w:left w:val="single" w:color="000000" w:sz="4" w:space="0"/>
              <w:right w:val="single" w:color="000000" w:sz="4" w:space="0"/>
            </w:tcBorders>
            <w:tcMar>
              <w:top w:w="0" w:type="dxa"/>
              <w:bottom w:w="0" w:type="dxa"/>
            </w:tcMar>
            <w:tcW w:w="1458" w:type="dxa"/>
            <w:vAlign w:val="center"/>
            <w:vMerge w:val="restart"/>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采购后由运维方补齐总磷、总氮、高锰酸盐指数参数</w:t>
            </w:r>
            <w:r/>
          </w:p>
        </w:tc>
      </w:tr>
      <w:tr>
        <w:trPr>
          <w:jc w:val="center"/>
          <w:trHeight w:val="218"/>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氨氮水质分析仪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WTW TresCon A111</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516"/>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化学需氧量分析仪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哈希CODmax Ⅱ</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2</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83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双渡桥站点</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五参数分析仪</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赛莱默 IQ Sensor Net system 2020型</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99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2021年3月</w:t>
            </w:r>
            <w:r/>
          </w:p>
        </w:tc>
        <w:tc>
          <w:tcPr>
            <w:tcBorders>
              <w:top w:val="single" w:color="000000" w:sz="4" w:space="0"/>
              <w:left w:val="single" w:color="000000" w:sz="4" w:space="0"/>
              <w:right w:val="single" w:color="000000" w:sz="4" w:space="0"/>
            </w:tcBorders>
            <w:tcMar>
              <w:top w:w="0" w:type="dxa"/>
              <w:bottom w:w="0" w:type="dxa"/>
            </w:tcMar>
            <w:tcW w:w="1458"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高锰酸盐分析仪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深圳朗石photo Tek 6000型</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氨氮水质分析仪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赛莱默 TresCon UNO A111</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总磷水质分析仪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WQMS2000-TP</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化学需氧量分析仪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深圳朗石photo Tek 6000型</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3</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83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洪蓝河口站点</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五参数分析仪</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赛莱默 IQ Sensor Net system 2020型</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99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2021年3月</w:t>
            </w:r>
            <w:r/>
          </w:p>
        </w:tc>
        <w:tc>
          <w:tcPr>
            <w:tcBorders>
              <w:top w:val="single" w:color="000000" w:sz="4" w:space="0"/>
              <w:left w:val="single" w:color="000000" w:sz="4" w:space="0"/>
              <w:right w:val="single" w:color="000000" w:sz="4" w:space="0"/>
            </w:tcBorders>
            <w:tcMar>
              <w:top w:w="0" w:type="dxa"/>
              <w:bottom w:w="0" w:type="dxa"/>
            </w:tcMar>
            <w:tcW w:w="1458"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高锰酸盐分析仪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深圳朗石photo Tek 6000型</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氨氮水质分析仪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赛莱默 TresCon UNO A111</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总磷水质分析仪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WQMS2000-TP</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总氮水质分析仪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WQMS2000-TN</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化学需氧量分析仪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深圳朗石photo Tek 6000型</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4</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83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新河滚水坝站点</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五参数分析仪</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赛莱默 IQ Sensor Net system 2020型</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99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2021年3月</w:t>
            </w:r>
            <w:r/>
          </w:p>
        </w:tc>
        <w:tc>
          <w:tcPr>
            <w:tcBorders>
              <w:top w:val="single" w:color="000000" w:sz="4" w:space="0"/>
              <w:left w:val="single" w:color="000000" w:sz="4" w:space="0"/>
              <w:right w:val="single" w:color="000000" w:sz="4" w:space="0"/>
            </w:tcBorders>
            <w:tcMar>
              <w:top w:w="0" w:type="dxa"/>
              <w:bottom w:w="0" w:type="dxa"/>
            </w:tcMar>
            <w:tcW w:w="1458"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高锰酸盐分析仪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深圳朗石photo Tek 6000型</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氨氮水质分析仪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赛莱默 TresCon UNO A111</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总磷水质分析仪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WQMS2000-TP</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总氮水质分析仪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WQMS2000-TN</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化学需氧量分析仪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深圳朗石photo Tek 6000型</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5</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83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王家渡站点</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氨氮分析仪</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WQMS2000-NHN</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99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2022年6月</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1458"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总磷分析仪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WQMS2000-TP</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五参数分析仪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WQMS2000-MS5</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高锰酸盐指数分析仪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WQMS2000-CODMn</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总氮水质分析仪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WQMS2000-TN</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化学需氧量分析仪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深圳朗石photo Tek 6000型</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6</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83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农坎河站点</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氨氮分析仪</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WQMS2000-NHN</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99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2022年6月</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1458"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总磷分析仪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WQMS2000-TP</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五参数分析仪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WQMS2000-MS5</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高锰酸盐指数分析仪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WQMS2000-CODMn</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总氮水质分析仪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WQMS2000-TN</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化学需氧量分析仪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深圳朗石photo Tek 6000型</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195"/>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7</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83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溧水小西门闸站点</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氨氮分析仪</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德国WTW、TCL/A111</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993" w:type="dxa"/>
            <w:vAlign w:val="center"/>
            <w:vMerge w:val="restart"/>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2021年3月</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1458" w:type="dxa"/>
            <w:vAlign w:val="center"/>
            <w:vMerge w:val="restart"/>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tc>
      </w:tr>
      <w:tr>
        <w:trPr>
          <w:jc w:val="center"/>
          <w:trHeight w:val="195"/>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总磷分析仪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苏州科特、KT-08</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195"/>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五参数分析仪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国弘环保、MQPC-10</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195"/>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1"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8</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83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溧水中山河站点</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氨氮分析仪</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德国WTW、TCL/A111</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993" w:type="dxa"/>
            <w:vAlign w:val="center"/>
            <w:vMerge w:val="restart"/>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2021年3月</w:t>
            </w:r>
            <w:r/>
          </w:p>
        </w:tc>
        <w:tc>
          <w:tcPr>
            <w:tcBorders>
              <w:top w:val="single" w:color="000000" w:sz="4" w:space="0"/>
              <w:left w:val="single" w:color="000000" w:sz="4" w:space="0"/>
              <w:bottom w:val="single" w:color="000000" w:sz="4" w:space="0"/>
              <w:right w:val="single" w:color="000000" w:sz="4" w:space="0"/>
            </w:tcBorders>
            <w:tcMar>
              <w:top w:w="0" w:type="dxa"/>
              <w:bottom w:w="0" w:type="dxa"/>
            </w:tcMar>
            <w:tcW w:w="1458" w:type="dxa"/>
            <w:vAlign w:val="center"/>
            <w:vMerge w:val="restart"/>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tc>
      </w:tr>
      <w:tr>
        <w:trPr>
          <w:jc w:val="center"/>
          <w:trHeight w:val="195"/>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总磷分析仪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苏州科特、KT-08</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195"/>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五参数分析仪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国弘环保、MQPC-10</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9</w:t>
            </w:r>
            <w:r/>
          </w:p>
        </w:tc>
        <w:tc>
          <w:tcPr>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石岗桥</w:t>
            </w:r>
            <w:r>
              <w:rPr>
                <w:rFonts w:asciiTheme="minorEastAsia" w:hAnsiTheme="minorEastAsia" w:eastAsiaTheme="minorEastAsia"/>
                <w:sz w:val="24"/>
              </w:rPr>
              <w:t xml:space="preserve">站点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五参数分析仪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赛莱默 IQ Sensor Net system 2020型</w:t>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t xml:space="preserve">/</w:t>
            </w:r>
            <w:r/>
          </w:p>
        </w:tc>
        <w:tc>
          <w:tcPr>
            <w:tcBorders>
              <w:top w:val="single" w:color="000000" w:sz="4" w:space="0"/>
              <w:left w:val="single" w:color="000000" w:sz="4" w:space="0"/>
              <w:bottom w:val="single" w:color="000000" w:sz="4" w:space="0"/>
              <w:right w:val="single" w:color="000000" w:sz="4" w:space="0"/>
            </w:tcBorders>
            <w:tcW w:w="1458" w:type="dxa"/>
            <w:vAlign w:val="center"/>
            <w:vMerge w:val="restart"/>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高锰酸盐分析仪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深圳朗石photo Tek 6000型</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氨氮水质分析仪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赛莱默 TresCon UNO A111</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总磷水质分析仪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WQMS2000-TP</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总氮水质分析仪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WQMS2000-TN</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化学需氧量分析仪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深圳朗石photo Tek 6000型</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restart"/>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t xml:space="preserve">10</w:t>
            </w:r>
            <w:r/>
          </w:p>
        </w:tc>
        <w:tc>
          <w:tcPr>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群英桥站点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五参数分析仪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赛莱默 IQ Sensor Net system 2020型</w:t>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t xml:space="preserve">/</w:t>
            </w:r>
            <w:r/>
          </w:p>
        </w:tc>
        <w:tc>
          <w:tcPr>
            <w:tcBorders>
              <w:top w:val="single" w:color="000000" w:sz="4" w:space="0"/>
              <w:left w:val="single" w:color="000000" w:sz="4" w:space="0"/>
              <w:bottom w:val="single" w:color="000000" w:sz="4" w:space="0"/>
              <w:right w:val="single" w:color="000000" w:sz="4" w:space="0"/>
            </w:tcBorders>
            <w:tcW w:w="1458" w:type="dxa"/>
            <w:vAlign w:val="center"/>
            <w:vMerge w:val="restart"/>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t xml:space="preserve">由下思桥站点仪器搬迁</w:t>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高锰酸盐分析仪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深圳朗石photo Tek 6000型</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氨氮水质分析仪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赛莱默 TresCon UNO A111</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总磷水质分析仪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WQMS2000-TP</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3"/>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总氮水质分析仪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理工环科 WQMS2000-TN</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9"/>
          <w:tblHeader/>
        </w:trPr>
        <w:tc>
          <w:tcPr>
            <w:tcBorders>
              <w:top w:val="single" w:color="000000" w:sz="4" w:space="0"/>
              <w:left w:val="single" w:color="000000" w:sz="4" w:space="0"/>
              <w:bottom w:val="single" w:color="000000" w:sz="4" w:space="0"/>
              <w:right w:val="single" w:color="000000" w:sz="4" w:space="0"/>
            </w:tcBorders>
            <w:tcW w:w="611"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64" w:type="dxa"/>
            <w:vAlign w:val="center"/>
            <w:textDirection w:val="lrTb"/>
            <w:noWrap w:val="false"/>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化学需氧量分析仪</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jc w:val="center"/>
              <w:spacing w:line="240" w:lineRule="exac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t xml:space="preserve">深圳朗石photo Tek 6000型</w:t>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exact"/>
              <w:rPr>
                <w:rFonts w:asciiTheme="minorEastAsia" w:hAnsiTheme="minorEastAsia" w:eastAsiaTheme="minorEastAsia"/>
                <w:sz w:val="24"/>
              </w:rPr>
            </w:pPr>
            <w:r>
              <w:rPr>
                <w:rFonts w:asciiTheme="minorEastAsia" w:hAnsiTheme="minorEastAsia" w:eastAsiaTheme="minorEastAsia"/>
                <w:sz w:val="24"/>
              </w:rPr>
            </w:r>
            <w:r/>
          </w:p>
        </w:tc>
      </w:tr>
    </w:tbl>
    <w:p>
      <w:pPr>
        <w:contextualSpacing/>
        <w:ind w:firstLine="240"/>
        <w:spacing w:line="560" w:lineRule="exact"/>
        <w:tabs>
          <w:tab w:val="left" w:pos="2280" w:leader="none"/>
        </w:tabs>
        <w:rPr>
          <w:rFonts w:ascii="黑体" w:hAnsi="黑体" w:eastAsia="黑体"/>
          <w:sz w:val="24"/>
        </w:rPr>
      </w:pPr>
      <w:r>
        <w:rPr>
          <w:rFonts w:hint="eastAsia" w:ascii="黑体" w:hAnsi="黑体" w:eastAsia="黑体"/>
          <w:sz w:val="24"/>
        </w:rPr>
        <w:t xml:space="preserve">3.1.2</w:t>
      </w:r>
      <w:r>
        <w:rPr>
          <w:rFonts w:ascii="黑体" w:hAnsi="黑体" w:eastAsia="黑体"/>
          <w:sz w:val="24"/>
        </w:rPr>
        <w:t xml:space="preserve">设备和设施</w:t>
      </w:r>
      <w:r/>
    </w:p>
    <w:p>
      <w:pPr>
        <w:contextualSpacing/>
        <w:ind w:firstLine="480"/>
        <w:spacing w:line="440" w:lineRule="exact"/>
        <w:tabs>
          <w:tab w:val="left" w:pos="2280" w:leader="none"/>
        </w:tabs>
        <w:rPr>
          <w:sz w:val="24"/>
        </w:rPr>
      </w:pPr>
      <w:r>
        <w:rPr>
          <w:sz w:val="24"/>
        </w:rPr>
        <w:t xml:space="preserve">运维单位负责运维的设备主要包括监测仪器、</w:t>
      </w:r>
      <w:r>
        <w:rPr>
          <w:rFonts w:hint="eastAsia"/>
          <w:sz w:val="24"/>
        </w:rPr>
        <w:t xml:space="preserve">控制系统</w:t>
      </w:r>
      <w:r>
        <w:rPr>
          <w:sz w:val="24"/>
        </w:rPr>
        <w:t xml:space="preserve">和辅助设备设施等。</w:t>
      </w:r>
      <w:r/>
    </w:p>
    <w:p>
      <w:pPr>
        <w:pStyle w:val="1490"/>
        <w:rPr>
          <w:b/>
          <w:color w:val="auto"/>
          <w:sz w:val="28"/>
          <w:szCs w:val="28"/>
        </w:rPr>
      </w:pPr>
      <w:r/>
      <w:bookmarkStart w:id="61" w:name="_Toc86147042"/>
      <w:r/>
      <w:r/>
    </w:p>
    <w:p>
      <w:pPr>
        <w:pStyle w:val="1490"/>
        <w:rPr>
          <w:b/>
          <w:color w:val="auto"/>
          <w:sz w:val="28"/>
          <w:szCs w:val="28"/>
        </w:rPr>
      </w:pPr>
      <w:r>
        <w:rPr>
          <w:rFonts w:hint="eastAsia"/>
          <w:b/>
          <w:color w:val="auto"/>
          <w:sz w:val="28"/>
          <w:szCs w:val="28"/>
        </w:rPr>
        <w:t xml:space="preserve">3.2</w:t>
      </w:r>
      <w:r>
        <w:rPr>
          <w:b/>
          <w:color w:val="auto"/>
          <w:sz w:val="28"/>
          <w:szCs w:val="28"/>
        </w:rPr>
        <w:t xml:space="preserve"> 机构、人员、车辆、设备配备要求</w:t>
      </w:r>
      <w:bookmarkEnd w:id="61"/>
      <w:r/>
      <w:r/>
    </w:p>
    <w:p>
      <w:pPr>
        <w:contextualSpacing/>
        <w:ind w:firstLine="480"/>
        <w:spacing w:line="440" w:lineRule="exact"/>
        <w:tabs>
          <w:tab w:val="left" w:pos="2280" w:leader="none"/>
        </w:tabs>
        <w:rPr>
          <w:sz w:val="24"/>
        </w:rPr>
      </w:pPr>
      <w:r>
        <w:rPr>
          <w:sz w:val="24"/>
        </w:rPr>
        <w:t xml:space="preserve">配备的专业技术人员数量</w:t>
      </w:r>
      <w:r>
        <w:rPr>
          <w:rFonts w:hint="eastAsia"/>
          <w:sz w:val="24"/>
        </w:rPr>
        <w:t xml:space="preserve">、驻场人员</w:t>
      </w:r>
      <w:r>
        <w:rPr>
          <w:sz w:val="24"/>
        </w:rPr>
        <w:t xml:space="preserve">以及运维专用车辆数量</w:t>
      </w:r>
      <w:r>
        <w:rPr>
          <w:rFonts w:hint="eastAsia"/>
          <w:sz w:val="24"/>
        </w:rPr>
        <w:t xml:space="preserve">不少于下表的要求。</w:t>
      </w:r>
      <w:r/>
    </w:p>
    <w:p>
      <w:pPr>
        <w:jc w:val="center"/>
      </w:pPr>
      <w:r>
        <w:rPr>
          <w:rFonts w:hint="eastAsia"/>
        </w:rPr>
        <w:t xml:space="preserve">表：人员、车辆要求</w:t>
      </w:r>
      <w:r/>
    </w:p>
    <w:tbl>
      <w:tblPr>
        <w:tblW w:w="8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6"/>
        <w:gridCol w:w="1897"/>
        <w:gridCol w:w="1985"/>
        <w:gridCol w:w="1842"/>
        <w:gridCol w:w="1843"/>
      </w:tblGrid>
      <w:tr>
        <w:trPr>
          <w:jc w:val="center"/>
          <w:trHeight w:val="539"/>
        </w:trPr>
        <w:tc>
          <w:tcPr>
            <w:tcW w:w="726" w:type="dxa"/>
            <w:vAlign w:val="center"/>
            <w:textDirection w:val="lrTb"/>
            <w:noWrap w:val="false"/>
          </w:tcPr>
          <w:p>
            <w:pPr>
              <w:jc w:val="center"/>
            </w:pPr>
            <w:r>
              <w:rPr>
                <w:rFonts w:hint="eastAsia"/>
              </w:rPr>
              <w:t xml:space="preserve">序号</w:t>
            </w:r>
            <w:r/>
          </w:p>
        </w:tc>
        <w:tc>
          <w:tcPr>
            <w:tcW w:w="1897" w:type="dxa"/>
            <w:vAlign w:val="center"/>
            <w:textDirection w:val="lrTb"/>
            <w:noWrap w:val="false"/>
          </w:tcPr>
          <w:p>
            <w:pPr>
              <w:jc w:val="center"/>
            </w:pPr>
            <w:r>
              <w:t xml:space="preserve">站点数量（个）</w:t>
            </w:r>
            <w:r/>
          </w:p>
        </w:tc>
        <w:tc>
          <w:tcPr>
            <w:tcW w:w="1985" w:type="dxa"/>
            <w:vAlign w:val="center"/>
            <w:textDirection w:val="lrTb"/>
            <w:noWrap w:val="false"/>
          </w:tcPr>
          <w:p>
            <w:pPr>
              <w:jc w:val="center"/>
            </w:pPr>
            <w:r>
              <w:t xml:space="preserve">运维人员（人）</w:t>
            </w:r>
            <w:r/>
          </w:p>
        </w:tc>
        <w:tc>
          <w:tcPr>
            <w:tcW w:w="1842" w:type="dxa"/>
            <w:vAlign w:val="center"/>
            <w:textDirection w:val="lrTb"/>
            <w:noWrap w:val="false"/>
          </w:tcPr>
          <w:p>
            <w:pPr>
              <w:jc w:val="center"/>
            </w:pPr>
            <w:r>
              <w:rPr>
                <w:rFonts w:hint="eastAsia"/>
              </w:rPr>
              <w:t xml:space="preserve">驻场人员（人）</w:t>
            </w:r>
            <w:r/>
          </w:p>
        </w:tc>
        <w:tc>
          <w:tcPr>
            <w:tcW w:w="1843" w:type="dxa"/>
            <w:vAlign w:val="center"/>
            <w:textDirection w:val="lrTb"/>
            <w:noWrap w:val="false"/>
          </w:tcPr>
          <w:p>
            <w:pPr>
              <w:jc w:val="center"/>
            </w:pPr>
            <w:r>
              <w:t xml:space="preserve">运维车辆（辆）</w:t>
            </w:r>
            <w:r/>
          </w:p>
        </w:tc>
      </w:tr>
      <w:tr>
        <w:trPr>
          <w:jc w:val="center"/>
          <w:trHeight w:val="539"/>
        </w:trPr>
        <w:tc>
          <w:tcPr>
            <w:tcW w:w="726" w:type="dxa"/>
            <w:vAlign w:val="center"/>
            <w:textDirection w:val="lrTb"/>
            <w:noWrap w:val="false"/>
          </w:tcPr>
          <w:p>
            <w:pPr>
              <w:jc w:val="center"/>
            </w:pPr>
            <w:r>
              <w:t xml:space="preserve">1</w:t>
            </w:r>
            <w:r/>
          </w:p>
        </w:tc>
        <w:tc>
          <w:tcPr>
            <w:tcW w:w="1897" w:type="dxa"/>
            <w:vAlign w:val="center"/>
            <w:textDirection w:val="lrTb"/>
            <w:noWrap w:val="false"/>
          </w:tcPr>
          <w:p>
            <w:pPr>
              <w:jc w:val="center"/>
            </w:pPr>
            <w:r>
              <w:rPr>
                <w:rFonts w:hint="eastAsia"/>
              </w:rPr>
              <w:t xml:space="preserve">10</w:t>
            </w:r>
            <w:r/>
          </w:p>
        </w:tc>
        <w:tc>
          <w:tcPr>
            <w:tcW w:w="1985" w:type="dxa"/>
            <w:vAlign w:val="center"/>
            <w:textDirection w:val="lrTb"/>
            <w:noWrap w:val="false"/>
          </w:tcPr>
          <w:p>
            <w:pPr>
              <w:jc w:val="center"/>
            </w:pPr>
            <w:r>
              <w:rPr>
                <w:rFonts w:hint="eastAsia"/>
              </w:rPr>
              <w:t xml:space="preserve">2</w:t>
            </w:r>
            <w:r/>
          </w:p>
        </w:tc>
        <w:tc>
          <w:tcPr>
            <w:tcW w:w="1842" w:type="dxa"/>
            <w:vAlign w:val="center"/>
            <w:textDirection w:val="lrTb"/>
            <w:noWrap w:val="false"/>
          </w:tcPr>
          <w:p>
            <w:pPr>
              <w:jc w:val="center"/>
            </w:pPr>
            <w:r>
              <w:rPr>
                <w:rFonts w:hint="eastAsia"/>
              </w:rPr>
              <w:t xml:space="preserve">1</w:t>
            </w:r>
            <w:r/>
          </w:p>
        </w:tc>
        <w:tc>
          <w:tcPr>
            <w:tcW w:w="1843" w:type="dxa"/>
            <w:vAlign w:val="center"/>
            <w:textDirection w:val="lrTb"/>
            <w:noWrap w:val="false"/>
          </w:tcPr>
          <w:p>
            <w:pPr>
              <w:jc w:val="center"/>
            </w:pPr>
            <w:r>
              <w:rPr>
                <w:rFonts w:hint="eastAsia"/>
              </w:rPr>
              <w:t xml:space="preserve">1</w:t>
            </w:r>
            <w:r/>
          </w:p>
        </w:tc>
      </w:tr>
    </w:tbl>
    <w:p>
      <w:pPr>
        <w:contextualSpacing/>
        <w:ind w:firstLine="480"/>
        <w:spacing w:line="440" w:lineRule="exact"/>
        <w:tabs>
          <w:tab w:val="left" w:pos="2280" w:leader="none"/>
        </w:tabs>
        <w:rPr>
          <w:sz w:val="24"/>
        </w:rPr>
      </w:pPr>
      <w:r>
        <w:rPr>
          <w:rFonts w:hint="eastAsia"/>
          <w:sz w:val="24"/>
        </w:rPr>
        <w:t xml:space="preserve">3.2.1 </w:t>
      </w:r>
      <w:r>
        <w:rPr>
          <w:sz w:val="24"/>
        </w:rPr>
        <w:t xml:space="preserve">▲</w:t>
      </w:r>
      <w:r>
        <w:rPr>
          <w:sz w:val="24"/>
        </w:rPr>
        <w:t xml:space="preserve">供应商</w:t>
      </w:r>
      <w:r>
        <w:rPr>
          <w:rFonts w:hint="eastAsia"/>
          <w:sz w:val="24"/>
        </w:rPr>
        <w:t xml:space="preserve">应在项目地</w:t>
      </w:r>
      <w:r>
        <w:rPr>
          <w:sz w:val="24"/>
        </w:rPr>
        <w:t xml:space="preserve">设立</w:t>
      </w:r>
      <w:r>
        <w:rPr>
          <w:sz w:val="24"/>
        </w:rPr>
        <w:t xml:space="preserve">1</w:t>
      </w:r>
      <w:r>
        <w:rPr>
          <w:sz w:val="24"/>
        </w:rPr>
        <w:t xml:space="preserve">个运维技术</w:t>
      </w:r>
      <w:r>
        <w:rPr>
          <w:rFonts w:hint="eastAsia"/>
          <w:sz w:val="24"/>
        </w:rPr>
        <w:t xml:space="preserve">服务网点。若无，可在响应文件中承诺成交</w:t>
      </w:r>
      <w:r>
        <w:rPr>
          <w:sz w:val="24"/>
        </w:rPr>
        <w:t xml:space="preserve">后在</w:t>
      </w:r>
      <w:r>
        <w:rPr>
          <w:rFonts w:hint="eastAsia"/>
          <w:sz w:val="24"/>
        </w:rPr>
        <w:t xml:space="preserve">项目地</w:t>
      </w:r>
      <w:r>
        <w:rPr>
          <w:sz w:val="24"/>
        </w:rPr>
        <w:t xml:space="preserve">设立</w:t>
      </w:r>
      <w:r>
        <w:rPr>
          <w:sz w:val="24"/>
        </w:rPr>
        <w:t xml:space="preserve">1</w:t>
      </w:r>
      <w:r>
        <w:rPr>
          <w:sz w:val="24"/>
        </w:rPr>
        <w:t xml:space="preserve">个运维技术</w:t>
      </w:r>
      <w:r>
        <w:rPr>
          <w:rFonts w:hint="eastAsia"/>
          <w:sz w:val="24"/>
        </w:rPr>
        <w:t xml:space="preserve">服务网点，格式自拟（在签订合同时提供购房证明或房屋租赁合同、房租发票等证明材料）。</w:t>
      </w:r>
      <w:r/>
    </w:p>
    <w:p>
      <w:pPr>
        <w:contextualSpacing/>
        <w:ind w:firstLine="480"/>
        <w:spacing w:line="440" w:lineRule="exact"/>
        <w:tabs>
          <w:tab w:val="left" w:pos="2280" w:leader="none"/>
        </w:tabs>
        <w:rPr>
          <w:sz w:val="24"/>
        </w:rPr>
      </w:pPr>
      <w:r>
        <w:rPr>
          <w:rFonts w:hint="eastAsia"/>
          <w:sz w:val="24"/>
        </w:rPr>
        <w:t xml:space="preserve">3.2.2</w:t>
      </w:r>
      <w:r>
        <w:rPr>
          <w:sz w:val="24"/>
        </w:rPr>
        <w:t xml:space="preserve"> ▲</w:t>
      </w:r>
      <w:r>
        <w:rPr>
          <w:rFonts w:hint="eastAsia"/>
          <w:sz w:val="24"/>
        </w:rPr>
        <w:t xml:space="preserve">应配备经验丰富的运维人员，</w:t>
      </w:r>
      <w:r>
        <w:rPr>
          <w:sz w:val="24"/>
        </w:rPr>
        <w:t xml:space="preserve">为本项目配置的</w:t>
      </w:r>
      <w:r>
        <w:rPr>
          <w:rFonts w:hint="eastAsia"/>
          <w:sz w:val="24"/>
        </w:rPr>
        <w:t xml:space="preserve">运维人员应</w:t>
      </w:r>
      <w:r>
        <w:rPr>
          <w:color w:val="ff0000"/>
          <w:sz w:val="24"/>
        </w:rPr>
        <w:t xml:space="preserve">通过省级及以上环境管理部门或环境保护行业协会组织的地表水监控相关技术考核或培训</w:t>
      </w:r>
      <w:r>
        <w:rPr>
          <w:rFonts w:hint="eastAsia"/>
          <w:sz w:val="24"/>
        </w:rPr>
        <w:t xml:space="preserve">。（提供证书</w:t>
      </w:r>
      <w:r>
        <w:rPr>
          <w:rFonts w:hint="eastAsia"/>
          <w:sz w:val="24"/>
        </w:rPr>
        <w:t xml:space="preserve">扫描件</w:t>
      </w:r>
      <w:r>
        <w:rPr>
          <w:rFonts w:hint="eastAsia"/>
          <w:sz w:val="24"/>
        </w:rPr>
        <w:t xml:space="preserve">及</w:t>
      </w:r>
      <w:r>
        <w:rPr>
          <w:bCs/>
          <w:sz w:val="24"/>
          <w:szCs w:val="24"/>
        </w:rPr>
        <w:t xml:space="preserve">供应商为拟派的项目运维人员缴纳的</w:t>
      </w:r>
      <w:r>
        <w:rPr>
          <w:rFonts w:hint="eastAsia"/>
          <w:bCs/>
          <w:sz w:val="24"/>
          <w:szCs w:val="24"/>
        </w:rPr>
        <w:t xml:space="preserve">近六个月（</w:t>
      </w:r>
      <w:r>
        <w:rPr>
          <w:rFonts w:hint="eastAsia"/>
          <w:bCs/>
          <w:sz w:val="24"/>
          <w:szCs w:val="24"/>
        </w:rPr>
        <w:t xml:space="preserve">2025</w:t>
      </w:r>
      <w:r>
        <w:rPr>
          <w:rFonts w:hint="eastAsia"/>
          <w:bCs/>
          <w:sz w:val="24"/>
          <w:szCs w:val="24"/>
        </w:rPr>
        <w:t xml:space="preserve">年</w:t>
      </w:r>
      <w:r>
        <w:rPr>
          <w:rFonts w:hint="eastAsia"/>
          <w:bCs/>
          <w:sz w:val="24"/>
          <w:szCs w:val="24"/>
        </w:rPr>
        <w:t xml:space="preserve">12</w:t>
      </w:r>
      <w:r>
        <w:rPr>
          <w:rFonts w:hint="eastAsia"/>
          <w:bCs/>
          <w:sz w:val="24"/>
          <w:szCs w:val="24"/>
        </w:rPr>
        <w:t xml:space="preserve">月</w:t>
      </w:r>
      <w:r>
        <w:rPr>
          <w:rFonts w:hint="eastAsia"/>
          <w:bCs/>
          <w:sz w:val="24"/>
          <w:szCs w:val="24"/>
        </w:rPr>
        <w:t xml:space="preserve">-2026</w:t>
      </w:r>
      <w:r>
        <w:rPr>
          <w:rFonts w:hint="eastAsia"/>
          <w:bCs/>
          <w:sz w:val="24"/>
          <w:szCs w:val="24"/>
        </w:rPr>
        <w:t xml:space="preserve">年</w:t>
      </w:r>
      <w:r>
        <w:rPr>
          <w:rFonts w:hint="eastAsia"/>
          <w:bCs/>
          <w:sz w:val="24"/>
          <w:szCs w:val="24"/>
        </w:rPr>
        <w:t xml:space="preserve">5</w:t>
      </w:r>
      <w:r>
        <w:rPr>
          <w:rFonts w:hint="eastAsia"/>
          <w:bCs/>
          <w:sz w:val="24"/>
          <w:szCs w:val="24"/>
        </w:rPr>
        <w:t xml:space="preserve">月）</w:t>
      </w:r>
      <w:r>
        <w:rPr>
          <w:bCs/>
          <w:sz w:val="24"/>
          <w:szCs w:val="24"/>
        </w:rPr>
        <w:t xml:space="preserve">的社保缴费证明材料【加盖社保公章或具有可验证的二维码（或验证码）】</w:t>
      </w:r>
      <w:r>
        <w:rPr>
          <w:rFonts w:hint="eastAsia"/>
          <w:sz w:val="24"/>
        </w:rPr>
        <w:t xml:space="preserve">加盖公章）</w:t>
      </w:r>
      <w:r/>
    </w:p>
    <w:p>
      <w:pPr>
        <w:contextualSpacing/>
        <w:ind w:firstLine="480"/>
        <w:spacing w:line="440" w:lineRule="exact"/>
        <w:tabs>
          <w:tab w:val="left" w:pos="2280" w:leader="none"/>
        </w:tabs>
        <w:rPr>
          <w:sz w:val="24"/>
        </w:rPr>
      </w:pPr>
      <w:r>
        <w:rPr>
          <w:rFonts w:hint="eastAsia"/>
          <w:sz w:val="24"/>
        </w:rPr>
        <w:t xml:space="preserve">3.2.3 </w:t>
      </w:r>
      <w:r>
        <w:rPr>
          <w:rFonts w:hint="eastAsia"/>
          <w:sz w:val="24"/>
        </w:rPr>
        <w:t xml:space="preserve">▲中标单位需在合同签订后一周内在采购人单位常驻工作人员。</w:t>
      </w:r>
      <w:r/>
    </w:p>
    <w:p>
      <w:pPr>
        <w:contextualSpacing/>
        <w:ind w:firstLine="480"/>
        <w:spacing w:line="440" w:lineRule="exact"/>
        <w:tabs>
          <w:tab w:val="left" w:pos="2280" w:leader="none"/>
        </w:tabs>
        <w:rPr>
          <w:sz w:val="24"/>
        </w:rPr>
      </w:pPr>
      <w:r>
        <w:rPr>
          <w:rFonts w:hint="eastAsia"/>
          <w:sz w:val="24"/>
        </w:rPr>
        <w:t xml:space="preserve">3.2.</w:t>
      </w:r>
      <w:r>
        <w:rPr>
          <w:rFonts w:hint="eastAsia"/>
          <w:sz w:val="24"/>
        </w:rPr>
        <w:t xml:space="preserve">4</w:t>
      </w:r>
      <w:r>
        <w:rPr>
          <w:rFonts w:hint="eastAsia"/>
          <w:sz w:val="24"/>
        </w:rPr>
        <w:t xml:space="preserve"> </w:t>
      </w:r>
      <w:r>
        <w:rPr>
          <w:sz w:val="24"/>
        </w:rPr>
        <w:t xml:space="preserve">▲</w:t>
      </w:r>
      <w:r>
        <w:rPr>
          <w:sz w:val="24"/>
        </w:rPr>
        <w:t xml:space="preserve">运维单位须承诺中标后</w:t>
      </w:r>
      <w:r>
        <w:rPr>
          <w:sz w:val="24"/>
        </w:rPr>
        <w:t xml:space="preserve">1</w:t>
      </w:r>
      <w:r>
        <w:rPr>
          <w:sz w:val="24"/>
        </w:rPr>
        <w:t xml:space="preserve">个月（</w:t>
      </w:r>
      <w:r>
        <w:rPr>
          <w:sz w:val="24"/>
        </w:rPr>
        <w:t xml:space="preserve">30</w:t>
      </w:r>
      <w:r>
        <w:rPr>
          <w:sz w:val="24"/>
        </w:rPr>
        <w:t xml:space="preserve">日历日）内配齐本技术要求中所涉及的仪器设备、耗材和备件。耗材按照不少于半年的消耗量配置，备件按照至少</w:t>
      </w:r>
      <w:r>
        <w:rPr>
          <w:sz w:val="24"/>
        </w:rPr>
        <w:t xml:space="preserve">1</w:t>
      </w:r>
      <w:r>
        <w:rPr>
          <w:sz w:val="24"/>
        </w:rPr>
        <w:t xml:space="preserve">年使用量配置。必须使用原厂生产的备品备件和耗材（若无原厂生产的，则应使用经权威机构检定合格的），严禁使用未经权威机构检定合格或劣质备品备件和耗材。（在</w:t>
      </w:r>
      <w:r>
        <w:rPr>
          <w:sz w:val="24"/>
        </w:rPr>
        <w:t xml:space="preserve">响应</w:t>
      </w:r>
      <w:r>
        <w:rPr>
          <w:sz w:val="24"/>
        </w:rPr>
        <w:t xml:space="preserve">文件中提供承诺书，格式自拟）</w:t>
      </w:r>
      <w:r/>
    </w:p>
    <w:p>
      <w:pPr>
        <w:contextualSpacing/>
        <w:ind w:firstLine="480"/>
        <w:spacing w:line="440" w:lineRule="exact"/>
        <w:tabs>
          <w:tab w:val="left" w:pos="2280" w:leader="none"/>
        </w:tabs>
        <w:rPr>
          <w:sz w:val="24"/>
        </w:rPr>
      </w:pPr>
      <w:r>
        <w:rPr>
          <w:rFonts w:hint="eastAsia"/>
          <w:sz w:val="24"/>
        </w:rPr>
        <w:t xml:space="preserve">3.2.</w:t>
      </w:r>
      <w:r>
        <w:rPr>
          <w:rFonts w:hint="eastAsia"/>
          <w:sz w:val="24"/>
        </w:rPr>
        <w:t xml:space="preserve">5</w:t>
      </w:r>
      <w:r>
        <w:rPr>
          <w:rFonts w:hint="eastAsia"/>
          <w:sz w:val="24"/>
        </w:rPr>
        <w:t xml:space="preserve"> </w:t>
      </w:r>
      <w:r>
        <w:rPr>
          <w:sz w:val="24"/>
        </w:rPr>
        <w:t xml:space="preserve">运维单位应在江苏省内配备专业人员，巡检人员必须配备专用工具，包括便携式电脑、万用表、远程数据查询系统等；同时，还须配备通讯调试工具，包括各种硬件接口线、改线工具、接口调试软件及常用零部件等。</w:t>
      </w:r>
      <w:r/>
    </w:p>
    <w:p>
      <w:pPr>
        <w:pStyle w:val="1490"/>
        <w:rPr>
          <w:b/>
          <w:bCs/>
          <w:color w:val="auto"/>
          <w:sz w:val="28"/>
          <w:szCs w:val="28"/>
        </w:rPr>
      </w:pPr>
      <w:r/>
      <w:bookmarkStart w:id="62" w:name="_Toc86147043"/>
      <w:r>
        <w:rPr>
          <w:rFonts w:hint="eastAsia"/>
          <w:b/>
          <w:bCs/>
          <w:color w:val="auto"/>
          <w:sz w:val="28"/>
          <w:szCs w:val="28"/>
        </w:rPr>
        <w:t xml:space="preserve">3</w:t>
      </w:r>
      <w:r>
        <w:rPr>
          <w:b/>
          <w:bCs/>
          <w:color w:val="auto"/>
          <w:sz w:val="28"/>
          <w:szCs w:val="28"/>
        </w:rPr>
        <w:t xml:space="preserve">.</w:t>
      </w:r>
      <w:r>
        <w:rPr>
          <w:rFonts w:hint="eastAsia"/>
          <w:b/>
          <w:bCs/>
          <w:color w:val="auto"/>
          <w:sz w:val="28"/>
          <w:szCs w:val="28"/>
        </w:rPr>
        <w:t xml:space="preserve">3运行维护要求</w:t>
      </w:r>
      <w:bookmarkEnd w:id="62"/>
      <w:r/>
      <w:r/>
    </w:p>
    <w:p>
      <w:pPr>
        <w:contextualSpacing/>
        <w:ind w:firstLine="480"/>
        <w:spacing w:line="440" w:lineRule="exact"/>
        <w:tabs>
          <w:tab w:val="left" w:pos="2280" w:leader="none"/>
        </w:tabs>
        <w:rPr>
          <w:sz w:val="24"/>
        </w:rPr>
      </w:pPr>
      <w:r>
        <w:rPr>
          <w:rFonts w:hint="eastAsia"/>
          <w:sz w:val="24"/>
        </w:rPr>
        <w:t xml:space="preserve">3.3.1 </w:t>
      </w:r>
      <w:r>
        <w:rPr>
          <w:sz w:val="24"/>
        </w:rPr>
        <w:t xml:space="preserve">▲</w:t>
      </w:r>
      <w:r>
        <w:rPr>
          <w:rFonts w:hint="eastAsia"/>
          <w:sz w:val="24"/>
        </w:rPr>
        <w:t xml:space="preserve">水站运维工作的开展须严格按照《地表水水质自动监测站（常规五参数、</w:t>
      </w:r>
      <w:r>
        <w:rPr>
          <w:rFonts w:hint="eastAsia"/>
          <w:sz w:val="24"/>
        </w:rPr>
        <w:t xml:space="preserve"> CODMn</w:t>
      </w:r>
      <w:r>
        <w:rPr>
          <w:rFonts w:hint="eastAsia"/>
          <w:sz w:val="24"/>
        </w:rPr>
        <w:t xml:space="preserve">、</w:t>
      </w:r>
      <w:r>
        <w:rPr>
          <w:rFonts w:hint="eastAsia"/>
          <w:sz w:val="24"/>
        </w:rPr>
        <w:t xml:space="preserve">NH3</w:t>
      </w:r>
      <w:r>
        <w:rPr>
          <w:rFonts w:hint="eastAsia"/>
          <w:sz w:val="24"/>
        </w:rPr>
        <w:t xml:space="preserve">⁃</w:t>
      </w:r>
      <w:r>
        <w:rPr>
          <w:rFonts w:hint="eastAsia"/>
          <w:sz w:val="24"/>
        </w:rPr>
        <w:t xml:space="preserve">N</w:t>
      </w:r>
      <w:r>
        <w:rPr>
          <w:rFonts w:hint="eastAsia"/>
          <w:sz w:val="24"/>
        </w:rPr>
        <w:t xml:space="preserve">、</w:t>
      </w:r>
      <w:r>
        <w:rPr>
          <w:rFonts w:hint="eastAsia"/>
          <w:sz w:val="24"/>
        </w:rPr>
        <w:t xml:space="preserve">TP</w:t>
      </w:r>
      <w:r>
        <w:rPr>
          <w:rFonts w:hint="eastAsia"/>
          <w:sz w:val="24"/>
        </w:rPr>
        <w:t xml:space="preserve">、</w:t>
      </w:r>
      <w:r>
        <w:rPr>
          <w:rFonts w:hint="eastAsia"/>
          <w:sz w:val="24"/>
        </w:rPr>
        <w:t xml:space="preserve">TN</w:t>
      </w:r>
      <w:r>
        <w:rPr>
          <w:rFonts w:hint="eastAsia"/>
          <w:sz w:val="24"/>
        </w:rPr>
        <w:t xml:space="preserve">）运行维护技术规范》（</w:t>
      </w:r>
      <w:r>
        <w:rPr>
          <w:rFonts w:hint="eastAsia"/>
          <w:sz w:val="24"/>
        </w:rPr>
        <w:t xml:space="preserve">HJ 915.3</w:t>
      </w:r>
      <w:r>
        <w:rPr>
          <w:rFonts w:hint="eastAsia"/>
          <w:sz w:val="24"/>
        </w:rPr>
        <w:t xml:space="preserve">—</w:t>
      </w:r>
      <w:r>
        <w:rPr>
          <w:rFonts w:hint="eastAsia"/>
          <w:sz w:val="24"/>
        </w:rPr>
        <w:t xml:space="preserve">2024</w:t>
      </w:r>
      <w:r>
        <w:rPr>
          <w:rFonts w:hint="eastAsia"/>
          <w:sz w:val="24"/>
        </w:rPr>
        <w:t xml:space="preserve">）、《国家地表水水质自动监测站运行维护管理实施细则（试行）》（总站水字〔</w:t>
      </w:r>
      <w:r>
        <w:rPr>
          <w:rFonts w:hint="eastAsia"/>
          <w:sz w:val="24"/>
        </w:rPr>
        <w:t xml:space="preserve">2022</w:t>
      </w:r>
      <w:r>
        <w:rPr>
          <w:rFonts w:hint="eastAsia"/>
          <w:sz w:val="24"/>
        </w:rPr>
        <w:t xml:space="preserve">〕</w:t>
      </w:r>
      <w:r>
        <w:rPr>
          <w:rFonts w:hint="eastAsia"/>
          <w:sz w:val="24"/>
        </w:rPr>
        <w:t xml:space="preserve">494</w:t>
      </w:r>
      <w:r>
        <w:rPr>
          <w:rFonts w:hint="eastAsia"/>
          <w:sz w:val="24"/>
        </w:rPr>
        <w:t xml:space="preserve">号）、《环境水质（地表水）自动监测站运行维护技术规范》（</w:t>
      </w:r>
      <w:r>
        <w:rPr>
          <w:rFonts w:hint="eastAsia"/>
          <w:sz w:val="24"/>
        </w:rPr>
        <w:t xml:space="preserve">DB 32/T 4536</w:t>
      </w:r>
      <w:r>
        <w:rPr>
          <w:rFonts w:hint="eastAsia"/>
          <w:sz w:val="24"/>
        </w:rPr>
        <w:t xml:space="preserve">—</w:t>
      </w:r>
      <w:r>
        <w:rPr>
          <w:rFonts w:hint="eastAsia"/>
          <w:sz w:val="24"/>
        </w:rPr>
        <w:t xml:space="preserve">2023</w:t>
      </w:r>
      <w:r>
        <w:rPr>
          <w:rFonts w:hint="eastAsia"/>
          <w:sz w:val="24"/>
        </w:rPr>
        <w:t xml:space="preserve">）、《省生态环境厅</w:t>
      </w:r>
      <w:r>
        <w:rPr>
          <w:rFonts w:hint="eastAsia"/>
          <w:sz w:val="24"/>
        </w:rPr>
        <w:t xml:space="preserve">&lt;</w:t>
      </w:r>
      <w:r>
        <w:rPr>
          <w:rFonts w:hint="eastAsia"/>
          <w:sz w:val="24"/>
        </w:rPr>
        <w:t xml:space="preserve">关于印发江苏省地表水自动监测站运行管理办法（试行）</w:t>
      </w:r>
      <w:r>
        <w:rPr>
          <w:rFonts w:hint="eastAsia"/>
          <w:sz w:val="24"/>
        </w:rPr>
        <w:t xml:space="preserve">&gt;</w:t>
      </w:r>
      <w:r>
        <w:rPr>
          <w:rFonts w:hint="eastAsia"/>
          <w:sz w:val="24"/>
        </w:rPr>
        <w:t xml:space="preserve">的通知》（苏环办〔</w:t>
      </w:r>
      <w:r>
        <w:rPr>
          <w:rFonts w:hint="eastAsia"/>
          <w:sz w:val="24"/>
        </w:rPr>
        <w:t xml:space="preserve">2020</w:t>
      </w:r>
      <w:r>
        <w:rPr>
          <w:rFonts w:hint="eastAsia"/>
          <w:sz w:val="24"/>
        </w:rPr>
        <w:t xml:space="preserve">〕</w:t>
      </w:r>
      <w:r>
        <w:rPr>
          <w:rFonts w:hint="eastAsia"/>
          <w:sz w:val="24"/>
        </w:rPr>
        <w:t xml:space="preserve">174</w:t>
      </w:r>
      <w:r>
        <w:rPr>
          <w:rFonts w:hint="eastAsia"/>
          <w:sz w:val="24"/>
        </w:rPr>
        <w:t xml:space="preserve">号）、《省生态环境厅关于印发</w:t>
      </w:r>
      <w:r>
        <w:rPr>
          <w:rFonts w:hint="eastAsia"/>
          <w:sz w:val="24"/>
        </w:rPr>
        <w:t xml:space="preserve">&lt;</w:t>
      </w:r>
      <w:r>
        <w:rPr>
          <w:rFonts w:hint="eastAsia"/>
          <w:sz w:val="24"/>
        </w:rPr>
        <w:t xml:space="preserve">江苏省地表水水质自动监测站建设技术规范（试行）</w:t>
      </w:r>
      <w:r>
        <w:rPr>
          <w:rFonts w:hint="eastAsia"/>
          <w:sz w:val="24"/>
        </w:rPr>
        <w:t xml:space="preserve">&gt;</w:t>
      </w:r>
      <w:r>
        <w:rPr>
          <w:rFonts w:hint="eastAsia"/>
          <w:sz w:val="24"/>
        </w:rPr>
        <w:t xml:space="preserve">及</w:t>
      </w:r>
      <w:r>
        <w:rPr>
          <w:rFonts w:hint="eastAsia"/>
          <w:sz w:val="24"/>
        </w:rPr>
        <w:t xml:space="preserve">&lt;</w:t>
      </w:r>
      <w:r>
        <w:rPr>
          <w:rFonts w:hint="eastAsia"/>
          <w:sz w:val="24"/>
        </w:rPr>
        <w:t xml:space="preserve">江</w:t>
      </w:r>
      <w:r>
        <w:rPr>
          <w:rFonts w:hint="eastAsia"/>
          <w:sz w:val="24"/>
        </w:rPr>
        <w:t xml:space="preserve">苏省地表水水质自动监测站安装验收技术规范（试行）</w:t>
      </w:r>
      <w:r>
        <w:rPr>
          <w:rFonts w:hint="eastAsia"/>
          <w:sz w:val="24"/>
        </w:rPr>
        <w:t xml:space="preserve">&gt;</w:t>
      </w:r>
      <w:r>
        <w:rPr>
          <w:rFonts w:hint="eastAsia"/>
          <w:sz w:val="24"/>
        </w:rPr>
        <w:t xml:space="preserve">的通知》（苏环办〔</w:t>
      </w:r>
      <w:r>
        <w:rPr>
          <w:rFonts w:hint="eastAsia"/>
          <w:sz w:val="24"/>
        </w:rPr>
        <w:t xml:space="preserve">2024</w:t>
      </w:r>
      <w:r>
        <w:rPr>
          <w:rFonts w:hint="eastAsia"/>
          <w:sz w:val="24"/>
        </w:rPr>
        <w:t xml:space="preserve">〕</w:t>
      </w:r>
      <w:r>
        <w:rPr>
          <w:rFonts w:hint="eastAsia"/>
          <w:sz w:val="24"/>
        </w:rPr>
        <w:t xml:space="preserve">37</w:t>
      </w:r>
      <w:r>
        <w:rPr>
          <w:rFonts w:hint="eastAsia"/>
          <w:sz w:val="24"/>
        </w:rPr>
        <w:t xml:space="preserve">号）以及省生态环境厅印发的其它相关文件的要求执行。如文件中有矛盾</w:t>
      </w:r>
      <w:bookmarkStart w:id="63" w:name="_GoBack"/>
      <w:r/>
      <w:bookmarkEnd w:id="63"/>
      <w:r>
        <w:rPr>
          <w:rFonts w:hint="eastAsia"/>
          <w:sz w:val="24"/>
        </w:rPr>
        <w:t xml:space="preserve">之处，以后发布的文件为准，采购人保留对文件的解释权。</w:t>
      </w:r>
      <w:r>
        <w:rPr>
          <w:sz w:val="24"/>
        </w:rPr>
        <w:t xml:space="preserve">（在响应文件中提供承诺书，格式自拟）</w:t>
      </w:r>
      <w:r/>
    </w:p>
    <w:p>
      <w:pPr>
        <w:contextualSpacing/>
        <w:ind w:firstLine="480"/>
        <w:spacing w:line="440" w:lineRule="exact"/>
        <w:tabs>
          <w:tab w:val="left" w:pos="2280" w:leader="none"/>
        </w:tabs>
        <w:rPr>
          <w:sz w:val="24"/>
        </w:rPr>
      </w:pPr>
      <w:r/>
      <w:bookmarkStart w:id="64" w:name="_Toc86147044"/>
      <w:r>
        <w:rPr>
          <w:rFonts w:hint="eastAsia"/>
          <w:sz w:val="24"/>
        </w:rPr>
        <w:t xml:space="preserve">3.3.2 </w:t>
      </w:r>
      <w:r>
        <w:rPr>
          <w:rFonts w:hint="eastAsia"/>
          <w:sz w:val="24"/>
        </w:rPr>
        <w:t xml:space="preserve">签订合同后</w:t>
      </w:r>
      <w:r>
        <w:rPr>
          <w:rFonts w:hint="eastAsia"/>
          <w:sz w:val="24"/>
        </w:rPr>
        <w:t xml:space="preserve">15</w:t>
      </w:r>
      <w:r>
        <w:rPr>
          <w:rFonts w:hint="eastAsia"/>
          <w:sz w:val="24"/>
        </w:rPr>
        <w:t xml:space="preserve">天内，中标单位按照相关技术规范和运维合同要求，结合中标实际情况，有针对性的编制运维交接方案，方案内容包括但不限于时间及人员安排、职责分工、交接内容、交接流程。经采购人审核确认后，交接双方按照运维交接方案有序开展运维交接工作。</w:t>
      </w:r>
      <w:r/>
    </w:p>
    <w:p>
      <w:pPr>
        <w:contextualSpacing/>
        <w:ind w:firstLine="480"/>
        <w:spacing w:line="440" w:lineRule="exact"/>
        <w:tabs>
          <w:tab w:val="left" w:pos="2280" w:leader="none"/>
        </w:tabs>
        <w:rPr>
          <w:sz w:val="24"/>
        </w:rPr>
      </w:pPr>
      <w:r>
        <w:rPr>
          <w:rFonts w:hint="eastAsia"/>
          <w:sz w:val="24"/>
        </w:rPr>
        <w:t xml:space="preserve">3.3.3 </w:t>
      </w:r>
      <w:r>
        <w:rPr>
          <w:sz w:val="24"/>
        </w:rPr>
        <w:t xml:space="preserve">中标单位应根据</w:t>
      </w:r>
      <w:r>
        <w:rPr>
          <w:rFonts w:hint="eastAsia"/>
          <w:sz w:val="24"/>
        </w:rPr>
        <w:t xml:space="preserve">中标情况</w:t>
      </w:r>
      <w:r>
        <w:rPr>
          <w:sz w:val="24"/>
        </w:rPr>
        <w:t xml:space="preserve">，有针对性的制定运维计划，根据每个水站现场实际情况，合理安排水站日常运维工作，对运维保障存在不确定性的水站，提前制定补测计划，按相关要求完成水样补充监测工作。</w:t>
      </w:r>
      <w:r/>
    </w:p>
    <w:p>
      <w:pPr>
        <w:contextualSpacing/>
        <w:ind w:firstLine="480"/>
        <w:spacing w:line="440" w:lineRule="exact"/>
        <w:tabs>
          <w:tab w:val="left" w:pos="2280" w:leader="none"/>
        </w:tabs>
        <w:rPr>
          <w:sz w:val="24"/>
        </w:rPr>
      </w:pPr>
      <w:r>
        <w:rPr>
          <w:rFonts w:hint="eastAsia"/>
          <w:sz w:val="24"/>
        </w:rPr>
        <w:t xml:space="preserve">3.3.4 </w:t>
      </w:r>
      <w:r>
        <w:rPr>
          <w:sz w:val="24"/>
        </w:rPr>
        <w:t xml:space="preserve">中标单位每月编制运维报告并按时提交采购人，汇报运维计划执行情况以及运维工作开展情况。包含但不限于采水口清理，采配水管路清洗、仪器定期清洗和保养、试剂更换、耗材更换、仪器校准、关键参数及流程日志检查、废液收集和处理、站房和辅助设施维护，以及应急运维工作开展情况，预防人为干扰监测行为调查等水质自动站相关运行维护工作情况。</w:t>
      </w:r>
      <w:r/>
    </w:p>
    <w:p>
      <w:pPr>
        <w:contextualSpacing/>
        <w:ind w:firstLine="480"/>
        <w:spacing w:line="440" w:lineRule="exact"/>
        <w:tabs>
          <w:tab w:val="left" w:pos="2280" w:leader="none"/>
        </w:tabs>
        <w:rPr>
          <w:sz w:val="24"/>
        </w:rPr>
      </w:pPr>
      <w:r>
        <w:rPr>
          <w:rFonts w:hint="eastAsia"/>
          <w:sz w:val="24"/>
        </w:rPr>
        <w:t xml:space="preserve">3.3.5 </w:t>
      </w:r>
      <w:r>
        <w:rPr>
          <w:sz w:val="24"/>
        </w:rPr>
        <w:t xml:space="preserve">中标单位应制定质控计划，根据水站运行情况，制定质控工作内容，对停运补测水站，合理调整质控计划。按</w:t>
      </w:r>
      <w:r>
        <w:rPr>
          <w:rFonts w:hint="eastAsia"/>
          <w:sz w:val="24"/>
        </w:rPr>
        <w:t xml:space="preserve">相关</w:t>
      </w:r>
      <w:r>
        <w:rPr>
          <w:sz w:val="24"/>
        </w:rPr>
        <w:t xml:space="preserve">技术规范要求完成水站各项质控工作。</w:t>
      </w:r>
      <w:r/>
    </w:p>
    <w:p>
      <w:pPr>
        <w:contextualSpacing/>
        <w:ind w:firstLine="480"/>
        <w:spacing w:line="440" w:lineRule="exact"/>
        <w:tabs>
          <w:tab w:val="left" w:pos="2280" w:leader="none"/>
        </w:tabs>
        <w:rPr>
          <w:sz w:val="24"/>
        </w:rPr>
      </w:pPr>
      <w:r>
        <w:rPr>
          <w:rFonts w:hint="eastAsia"/>
          <w:sz w:val="24"/>
        </w:rPr>
        <w:t xml:space="preserve">3.3.6 </w:t>
      </w:r>
      <w:r>
        <w:rPr>
          <w:rFonts w:hint="eastAsia"/>
          <w:sz w:val="24"/>
        </w:rPr>
        <w:t xml:space="preserve">中标单位编写质控报告并按时提交采购人，包含但不限于日质控、周核查、多点线性核查、集成干预检查、加标回收测试、实际水样比对等质控措施开展情况，以及采购人安排的其他质控措施完成情况。</w:t>
      </w:r>
      <w:r/>
    </w:p>
    <w:p>
      <w:pPr>
        <w:contextualSpacing/>
        <w:ind w:firstLine="480"/>
        <w:spacing w:line="440" w:lineRule="exact"/>
        <w:tabs>
          <w:tab w:val="left" w:pos="2280" w:leader="none"/>
        </w:tabs>
        <w:rPr>
          <w:sz w:val="24"/>
        </w:rPr>
      </w:pPr>
      <w:r>
        <w:rPr>
          <w:rFonts w:hint="eastAsia"/>
          <w:sz w:val="24"/>
        </w:rPr>
        <w:t xml:space="preserve">3.3.7 </w:t>
      </w:r>
      <w:r>
        <w:rPr>
          <w:rFonts w:hint="eastAsia"/>
          <w:sz w:val="24"/>
        </w:rPr>
        <w:t xml:space="preserve">中标单位应制定水站应急维护方案。按时处理和修复水质自动站仪器、系统故障；及时响应、核实水质自动站异常数据，配合相关部门做好污染应急监测工作；配合采购人完成自然灾害等突发情况期间的应急维护工作；根据采购人安排，配合水站现场参观、调研、检查等工作。</w:t>
      </w:r>
      <w:r/>
    </w:p>
    <w:p>
      <w:pPr>
        <w:contextualSpacing/>
        <w:ind w:firstLine="480"/>
        <w:spacing w:line="440" w:lineRule="exact"/>
        <w:tabs>
          <w:tab w:val="left" w:pos="2280" w:leader="none"/>
        </w:tabs>
        <w:rPr>
          <w:sz w:val="24"/>
        </w:rPr>
      </w:pPr>
      <w:r>
        <w:rPr>
          <w:rFonts w:hint="eastAsia"/>
          <w:sz w:val="24"/>
        </w:rPr>
        <w:t xml:space="preserve">3.3.8</w:t>
      </w:r>
      <w:r>
        <w:rPr>
          <w:rFonts w:hint="eastAsia"/>
          <w:sz w:val="24"/>
        </w:rPr>
        <w:t xml:space="preserve">中标单位在中标后</w:t>
      </w:r>
      <w:r>
        <w:rPr>
          <w:rFonts w:hint="eastAsia"/>
          <w:sz w:val="24"/>
        </w:rPr>
        <w:t xml:space="preserve">3</w:t>
      </w:r>
      <w:r>
        <w:rPr>
          <w:rFonts w:hint="eastAsia"/>
          <w:sz w:val="24"/>
        </w:rPr>
        <w:t xml:space="preserve">个月内结合现场实际情况，制定并实施“一站一策”技术方案，选择合适的预处理条件，以及仪器、系统关键参数，确保监测数据的“准确性”和“代表性”。通过现场调查研究，不断完善水站运维档案。</w:t>
      </w:r>
      <w:r/>
    </w:p>
    <w:p>
      <w:pPr>
        <w:contextualSpacing/>
        <w:ind w:firstLine="480"/>
        <w:spacing w:line="440" w:lineRule="exact"/>
        <w:tabs>
          <w:tab w:val="left" w:pos="2280" w:leader="none"/>
        </w:tabs>
        <w:rPr>
          <w:sz w:val="24"/>
        </w:rPr>
      </w:pPr>
      <w:r>
        <w:rPr>
          <w:rFonts w:hint="eastAsia"/>
          <w:sz w:val="24"/>
        </w:rPr>
        <w:t xml:space="preserve">“一站一策”技术方案：根据水站现场气候、水文、水体特性，为消除环境干扰因素对自动监测的影响，选择合适的预处理措施，通过多次比对实验进行验证，验证预处理系统、分析仪器性能对当前水体的适用范围，并确定仪器、系统关键参数设置并进行备案，确保监测数据的“准确性”和“代表性”。</w:t>
      </w:r>
      <w:r/>
    </w:p>
    <w:p>
      <w:pPr>
        <w:contextualSpacing/>
        <w:ind w:firstLine="480"/>
        <w:spacing w:line="440" w:lineRule="exact"/>
        <w:tabs>
          <w:tab w:val="left" w:pos="2280" w:leader="none"/>
        </w:tabs>
        <w:rPr>
          <w:sz w:val="24"/>
        </w:rPr>
      </w:pPr>
      <w:r>
        <w:rPr>
          <w:rFonts w:hint="eastAsia"/>
          <w:sz w:val="24"/>
        </w:rPr>
        <w:t xml:space="preserve">3.3.9 </w:t>
      </w:r>
      <w:r>
        <w:rPr>
          <w:rFonts w:hint="eastAsia"/>
          <w:sz w:val="24"/>
        </w:rPr>
        <w:t xml:space="preserve">水站因故申请停运期间，或自动监测数据因高浊度、高盐度等其它外部因素干扰不具备代表性、不满足水质评价需求时，中标单位应根据相关规范要求进行补测，并保证补测流程的规范性、质控措施的完整性以及补测数据的可溯源性。</w:t>
      </w:r>
      <w:r/>
    </w:p>
    <w:p>
      <w:pPr>
        <w:contextualSpacing/>
        <w:ind w:firstLine="480"/>
        <w:spacing w:line="440" w:lineRule="exact"/>
        <w:tabs>
          <w:tab w:val="left" w:pos="2280" w:leader="none"/>
        </w:tabs>
        <w:rPr>
          <w:sz w:val="24"/>
        </w:rPr>
      </w:pPr>
      <w:r>
        <w:rPr>
          <w:rFonts w:hint="eastAsia"/>
          <w:sz w:val="24"/>
        </w:rPr>
        <w:t xml:space="preserve">3.3.10 </w:t>
      </w:r>
      <w:r>
        <w:rPr>
          <w:rFonts w:hint="eastAsia"/>
          <w:sz w:val="24"/>
        </w:rPr>
        <w:t xml:space="preserve">中标单位须做好站点</w:t>
      </w:r>
      <w:r>
        <w:rPr>
          <w:sz w:val="24"/>
        </w:rPr>
        <w:t xml:space="preserve">运维记录的规范上报。认真、及时做好水站运行维护记录，</w:t>
      </w:r>
      <w:r>
        <w:rPr>
          <w:rFonts w:hint="eastAsia"/>
          <w:sz w:val="24"/>
        </w:rPr>
        <w:t xml:space="preserve">并上传至采购人指定的水站自动综合监管平台，进行仪器、系统各项关键信息备案，以及运维过程中相关数据和佐证材料的上传，并根据数据审核有关要求按时完成水站数据审核、异常数据核实等工作。</w:t>
      </w:r>
      <w:r/>
    </w:p>
    <w:p>
      <w:pPr>
        <w:contextualSpacing/>
        <w:ind w:firstLine="480"/>
        <w:spacing w:line="440" w:lineRule="exact"/>
        <w:tabs>
          <w:tab w:val="left" w:pos="2280" w:leader="none"/>
        </w:tabs>
        <w:rPr>
          <w:sz w:val="24"/>
        </w:rPr>
      </w:pPr>
      <w:r>
        <w:rPr>
          <w:rFonts w:hint="eastAsia"/>
          <w:sz w:val="24"/>
        </w:rPr>
        <w:t xml:space="preserve">3.3.11 </w:t>
      </w:r>
      <w:r>
        <w:rPr>
          <w:sz w:val="24"/>
        </w:rPr>
        <w:t xml:space="preserve">▲</w:t>
      </w:r>
      <w:r>
        <w:rPr>
          <w:rFonts w:hint="eastAsia"/>
          <w:sz w:val="24"/>
        </w:rPr>
        <w:t xml:space="preserve">中标单位须做好站点</w:t>
      </w:r>
      <w:r>
        <w:rPr>
          <w:sz w:val="24"/>
        </w:rPr>
        <w:t xml:space="preserve">日常安全管理</w:t>
      </w:r>
      <w:r>
        <w:rPr>
          <w:rFonts w:hint="eastAsia"/>
          <w:sz w:val="24"/>
        </w:rPr>
        <w:t xml:space="preserve">，</w:t>
      </w:r>
      <w:r>
        <w:rPr>
          <w:sz w:val="24"/>
        </w:rPr>
        <w:t xml:space="preserve">运营维护期间所需水电、通讯费用由中标单位负责，委托运营维护及管理的全部资产（包括全部产权和建筑物、设备、软件、配套设施、水质自动站和配套监控系统产生的各类数据信息及相关文档资料）属业主方所有。中标人不得以任何方式对各类财产进行出售、抵押或转移；同时，在委托运营及管理期间，中标单位有责任保证上述全部资产的完整、安全并处于良好状态。未经业主允许，非水站运维人员不得擅自进入站房。（在响应文件中提供承诺书，格式自拟）</w:t>
      </w:r>
      <w:r/>
    </w:p>
    <w:p>
      <w:pPr>
        <w:contextualSpacing/>
        <w:ind w:firstLine="480"/>
        <w:spacing w:line="440" w:lineRule="exact"/>
        <w:tabs>
          <w:tab w:val="left" w:pos="2280" w:leader="none"/>
        </w:tabs>
        <w:rPr>
          <w:sz w:val="24"/>
        </w:rPr>
      </w:pPr>
      <w:r>
        <w:rPr>
          <w:rFonts w:hint="eastAsia"/>
          <w:sz w:val="24"/>
        </w:rPr>
        <w:t xml:space="preserve">3.3.12 </w:t>
      </w:r>
      <w:r>
        <w:rPr>
          <w:rFonts w:hint="eastAsia"/>
          <w:sz w:val="24"/>
        </w:rPr>
        <w:t xml:space="preserve">中标单位须负责站房的安全、整洁及相关附属设施的维修、维护工作。保证站房安全、墙面整洁；及时对取水设施进行修缮，确保水样取水的代表性；每年对防雷设施进行一次全面检测，并提供检测报告；对站房门禁、灭火器、标志牌、</w:t>
      </w:r>
      <w:r>
        <w:rPr>
          <w:rFonts w:hint="eastAsia"/>
          <w:sz w:val="24"/>
        </w:rPr>
        <w:t xml:space="preserve">LOGO</w:t>
      </w:r>
      <w:r>
        <w:rPr>
          <w:rFonts w:hint="eastAsia"/>
          <w:sz w:val="24"/>
        </w:rPr>
        <w:t xml:space="preserve">等附属设施进行安装和维护。</w:t>
      </w:r>
      <w:r/>
    </w:p>
    <w:p>
      <w:pPr>
        <w:pStyle w:val="1490"/>
        <w:spacing w:line="360" w:lineRule="auto"/>
        <w:rPr>
          <w:b/>
          <w:bCs/>
          <w:color w:val="auto"/>
          <w:sz w:val="28"/>
          <w:szCs w:val="28"/>
        </w:rPr>
      </w:pPr>
      <w:r>
        <w:rPr>
          <w:rFonts w:hint="eastAsia"/>
          <w:b/>
          <w:bCs/>
          <w:color w:val="auto"/>
          <w:sz w:val="28"/>
          <w:szCs w:val="28"/>
        </w:rPr>
        <w:t xml:space="preserve">3.4质量保证与质量控制</w:t>
      </w:r>
      <w:bookmarkEnd w:id="64"/>
      <w:r/>
      <w:r/>
    </w:p>
    <w:p>
      <w:pPr>
        <w:contextualSpacing/>
        <w:ind w:firstLine="480"/>
        <w:spacing w:line="440" w:lineRule="exact"/>
        <w:tabs>
          <w:tab w:val="left" w:pos="2280" w:leader="none"/>
        </w:tabs>
        <w:rPr>
          <w:sz w:val="24"/>
        </w:rPr>
      </w:pPr>
      <w:r>
        <w:rPr>
          <w:rFonts w:hint="eastAsia"/>
          <w:sz w:val="24"/>
        </w:rPr>
        <w:t xml:space="preserve">3.4.1</w:t>
      </w:r>
      <w:r>
        <w:rPr>
          <w:sz w:val="24"/>
        </w:rPr>
        <w:t xml:space="preserve"> </w:t>
      </w:r>
      <w:r>
        <w:rPr>
          <w:rFonts w:hint="eastAsia"/>
          <w:sz w:val="24"/>
        </w:rPr>
        <w:t xml:space="preserve">中标单位需建立质量保证体系，制定并完善运维管理制度、运维作业指导书及质控程序文件等，指导和规范运维人员现场操作流程。</w:t>
      </w:r>
      <w:r/>
    </w:p>
    <w:p>
      <w:pPr>
        <w:contextualSpacing/>
        <w:ind w:firstLine="480"/>
        <w:spacing w:line="440" w:lineRule="exact"/>
        <w:tabs>
          <w:tab w:val="left" w:pos="2280" w:leader="none"/>
        </w:tabs>
        <w:rPr>
          <w:sz w:val="24"/>
        </w:rPr>
      </w:pPr>
      <w:r>
        <w:rPr>
          <w:rFonts w:hint="eastAsia"/>
          <w:sz w:val="24"/>
        </w:rPr>
        <w:t xml:space="preserve">3.4.2</w:t>
      </w:r>
      <w:r>
        <w:rPr>
          <w:sz w:val="24"/>
        </w:rPr>
        <w:t xml:space="preserve"> </w:t>
      </w:r>
      <w:r>
        <w:rPr>
          <w:rFonts w:hint="eastAsia"/>
          <w:sz w:val="24"/>
        </w:rPr>
        <w:t xml:space="preserve">中标单位需建立备机和备品备件库。备机需通过验收并定期开展标准溶液核查；备品备件需达到或高于原厂备件的性能；更换备机或关键零部件后，需及时校准仪器，并完成多点线性核查。</w:t>
      </w:r>
      <w:r/>
    </w:p>
    <w:p>
      <w:pPr>
        <w:contextualSpacing/>
        <w:ind w:firstLine="480"/>
        <w:spacing w:line="440" w:lineRule="exact"/>
        <w:tabs>
          <w:tab w:val="left" w:pos="2280" w:leader="none"/>
        </w:tabs>
        <w:rPr>
          <w:sz w:val="24"/>
        </w:rPr>
      </w:pPr>
      <w:r>
        <w:rPr>
          <w:rFonts w:hint="eastAsia"/>
          <w:sz w:val="24"/>
        </w:rPr>
        <w:t xml:space="preserve">3.4.3</w:t>
      </w:r>
      <w:r>
        <w:rPr>
          <w:sz w:val="24"/>
        </w:rPr>
        <w:t xml:space="preserve"> </w:t>
      </w:r>
      <w:r>
        <w:rPr>
          <w:rFonts w:hint="eastAsia"/>
          <w:sz w:val="24"/>
        </w:rPr>
        <w:t xml:space="preserve">水站使用试剂的纯度需分析纯（</w:t>
      </w:r>
      <w:r>
        <w:rPr>
          <w:rFonts w:hint="eastAsia"/>
          <w:sz w:val="24"/>
        </w:rPr>
        <w:t xml:space="preserve">AR</w:t>
      </w:r>
      <w:r>
        <w:rPr>
          <w:rFonts w:hint="eastAsia"/>
          <w:sz w:val="24"/>
        </w:rPr>
        <w:t xml:space="preserve">）以上，标准溶液的试剂纯度应在优级纯（</w:t>
      </w:r>
      <w:r>
        <w:rPr>
          <w:rFonts w:hint="eastAsia"/>
          <w:sz w:val="24"/>
        </w:rPr>
        <w:t xml:space="preserve">GR</w:t>
      </w:r>
      <w:r>
        <w:rPr>
          <w:rFonts w:hint="eastAsia"/>
          <w:sz w:val="24"/>
        </w:rPr>
        <w:t xml:space="preserve">）以上。日常质控、核查工作应使用有证标准物质。中标单位应建立试剂管理制度和台账，水站运维试剂应由</w:t>
      </w:r>
      <w:r>
        <w:rPr>
          <w:rFonts w:hint="eastAsia"/>
          <w:sz w:val="24"/>
        </w:rPr>
        <w:t xml:space="preserve">CMA</w:t>
      </w:r>
      <w:r>
        <w:rPr>
          <w:rFonts w:hint="eastAsia"/>
          <w:sz w:val="24"/>
        </w:rPr>
        <w:t xml:space="preserve">检测机构配制，配制及配送过程可溯源，采用专用试剂瓶盛装，贴有明确标识（包括试剂名称、标液浓度、配置人、配制时间、有效期），对试剂配制记录、配送记录以及更换和使用记录进行动态管理，确保试剂、有证标准物质使用信息可溯源。</w:t>
      </w:r>
      <w:r/>
    </w:p>
    <w:p>
      <w:pPr>
        <w:contextualSpacing/>
        <w:ind w:firstLine="480"/>
        <w:spacing w:line="440" w:lineRule="exact"/>
        <w:tabs>
          <w:tab w:val="left" w:pos="2280" w:leader="none"/>
        </w:tabs>
        <w:rPr>
          <w:sz w:val="24"/>
        </w:rPr>
      </w:pPr>
      <w:r>
        <w:rPr>
          <w:rFonts w:hint="eastAsia"/>
          <w:sz w:val="24"/>
        </w:rPr>
        <w:t xml:space="preserve">3.4.4</w:t>
      </w:r>
      <w:r>
        <w:rPr>
          <w:sz w:val="24"/>
        </w:rPr>
        <w:t xml:space="preserve"> </w:t>
      </w:r>
      <w:r>
        <w:rPr>
          <w:rFonts w:hint="eastAsia"/>
          <w:sz w:val="24"/>
        </w:rPr>
        <w:t xml:space="preserve">监测仪器斜率</w:t>
      </w:r>
      <w:r>
        <w:rPr>
          <w:rFonts w:hint="eastAsia"/>
          <w:sz w:val="24"/>
        </w:rPr>
        <w:t xml:space="preserve">k</w:t>
      </w:r>
      <w:r>
        <w:rPr>
          <w:rFonts w:hint="eastAsia"/>
          <w:sz w:val="24"/>
        </w:rPr>
        <w:t xml:space="preserve">、截距</w:t>
      </w:r>
      <w:r>
        <w:rPr>
          <w:rFonts w:hint="eastAsia"/>
          <w:sz w:val="24"/>
        </w:rPr>
        <w:t xml:space="preserve">b</w:t>
      </w:r>
      <w:r>
        <w:rPr>
          <w:rFonts w:hint="eastAsia"/>
          <w:sz w:val="24"/>
        </w:rPr>
        <w:t xml:space="preserve">、消解温度、消解时间、显色时间、修正系数等关键参数信息需及时在平台备案，变更时需提交书面申请。</w:t>
      </w:r>
      <w:r/>
    </w:p>
    <w:p>
      <w:pPr>
        <w:contextualSpacing/>
        <w:ind w:firstLine="480"/>
        <w:spacing w:line="440" w:lineRule="exact"/>
        <w:tabs>
          <w:tab w:val="left" w:pos="2280" w:leader="none"/>
        </w:tabs>
        <w:rPr>
          <w:sz w:val="24"/>
        </w:rPr>
      </w:pPr>
      <w:r>
        <w:rPr>
          <w:rFonts w:hint="eastAsia"/>
          <w:sz w:val="24"/>
        </w:rPr>
        <w:t xml:space="preserve">3.4.5</w:t>
      </w:r>
      <w:r>
        <w:rPr>
          <w:sz w:val="24"/>
        </w:rPr>
        <w:t xml:space="preserve"> </w:t>
      </w:r>
      <w:r>
        <w:rPr>
          <w:rFonts w:hint="eastAsia"/>
          <w:sz w:val="24"/>
        </w:rPr>
        <w:t xml:space="preserve">水站常规五参数须完成周核查，氨氮、高锰酸盐指数、总磷、总氮须完成标准溶液核查、漂移测试、多点线性核查、集成干预检查、实际水样比对、加标回收试验、盲样考核等质控措施，总磷、总氮还须完成消解率测试。</w:t>
      </w:r>
      <w:r/>
    </w:p>
    <w:p>
      <w:pPr>
        <w:contextualSpacing/>
        <w:ind w:firstLine="480"/>
        <w:spacing w:line="440" w:lineRule="exact"/>
        <w:tabs>
          <w:tab w:val="left" w:pos="2280" w:leader="none"/>
        </w:tabs>
        <w:rPr>
          <w:sz w:val="24"/>
        </w:rPr>
      </w:pPr>
      <w:r>
        <w:rPr>
          <w:rFonts w:hint="eastAsia"/>
          <w:sz w:val="24"/>
        </w:rPr>
        <w:t xml:space="preserve">3.4.6</w:t>
      </w:r>
      <w:r>
        <w:rPr>
          <w:rFonts w:hint="eastAsia"/>
          <w:sz w:val="24"/>
        </w:rPr>
        <w:t xml:space="preserve">质控措施频次和技术要求须满足下表要求。</w:t>
      </w:r>
      <w:r/>
    </w:p>
    <w:p>
      <w:pPr>
        <w:jc w:val="center"/>
        <w:spacing w:line="360" w:lineRule="exact"/>
        <w:rPr>
          <w:rFonts w:eastAsia="黑体"/>
        </w:rPr>
      </w:pPr>
      <w:r>
        <w:rPr>
          <w:rFonts w:eastAsia="黑体"/>
        </w:rPr>
        <w:t xml:space="preserve">表</w:t>
      </w:r>
      <w:r>
        <w:rPr>
          <w:rFonts w:hint="eastAsia" w:eastAsia="黑体"/>
        </w:rPr>
        <w:t xml:space="preserve">：</w:t>
      </w:r>
      <w:r>
        <w:rPr>
          <w:rFonts w:eastAsia="黑体"/>
          <w:bCs/>
          <w:szCs w:val="19"/>
        </w:rPr>
        <w:t xml:space="preserve">常规五参数</w:t>
      </w:r>
      <w:r>
        <w:rPr>
          <w:rFonts w:eastAsia="黑体"/>
        </w:rPr>
        <w:t xml:space="preserve">质量控制措施实施频次和技术要求</w:t>
      </w:r>
      <w:r/>
    </w:p>
    <w:p>
      <w:pPr>
        <w:jc w:val="center"/>
        <w:rPr>
          <w:rFonts w:eastAsia="黑体"/>
        </w:rPr>
      </w:pPr>
      <w:r>
        <w:rPr>
          <w:rFonts w:eastAsia="黑体"/>
        </w:rPr>
      </w:r>
      <w:r>
        <w:rPr>
          <w:rFonts w:eastAsia="黑体"/>
        </w:rPr>
        <mc:AlternateContent>
          <mc:Choice Requires="wpg">
            <w:drawing>
              <wp:inline xmlns:wp="http://schemas.openxmlformats.org/drawingml/2006/wordprocessingDrawing" distT="0" distB="0" distL="0" distR="0">
                <wp:extent cx="5705475" cy="3305175"/>
                <wp:effectExtent l="19050" t="0" r="9525" b="0"/>
                <wp:docPr id="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074782" name="Picture 31"/>
                        <pic:cNvPicPr>
                          <a:picLocks noChangeAspect="1"/>
                        </pic:cNvPicPr>
                        <pic:nvPr/>
                      </pic:nvPicPr>
                      <pic:blipFill>
                        <a:blip r:embed="rId17"/>
                        <a:stretch/>
                      </pic:blipFill>
                      <pic:spPr bwMode="auto">
                        <a:xfrm>
                          <a:off x="0" y="0"/>
                          <a:ext cx="5705474" cy="3305174"/>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9.2pt;height:260.2pt;mso-wrap-distance-left:0.0pt;mso-wrap-distance-top:0.0pt;mso-wrap-distance-right:0.0pt;mso-wrap-distance-bottom:0.0pt;" stroked="f" strokeweight="0.75pt">
                <v:path textboxrect="0,0,0,0"/>
                <v:imagedata r:id="rId17" o:title=""/>
              </v:shape>
            </w:pict>
          </mc:Fallback>
        </mc:AlternateContent>
      </w:r>
      <w:r>
        <w:rPr>
          <w:rFonts w:eastAsia="黑体"/>
        </w:rPr>
      </w:r>
      <w:r/>
    </w:p>
    <w:p>
      <w:pPr>
        <w:jc w:val="center"/>
        <w:spacing w:line="360" w:lineRule="exact"/>
        <w:rPr>
          <w:rFonts w:eastAsia="黑体"/>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left"/>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bookmarkStart w:id="65" w:name="_Toc86147045"/>
      <w:r>
        <w:rPr>
          <w:rFonts w:eastAsia="黑体"/>
        </w:rPr>
        <w:t xml:space="preserve">表</w:t>
      </w:r>
      <w:r>
        <w:rPr>
          <w:rFonts w:hint="eastAsia" w:eastAsia="黑体"/>
        </w:rPr>
        <w:t xml:space="preserve">：</w:t>
      </w:r>
      <w:r>
        <w:rPr>
          <w:rFonts w:eastAsia="黑体"/>
          <w:bCs/>
          <w:szCs w:val="19"/>
        </w:rPr>
        <w:t xml:space="preserve">高锰酸盐指数、氨氮、总磷、总氮</w:t>
      </w:r>
      <w:r>
        <w:rPr>
          <w:rFonts w:eastAsia="黑体"/>
        </w:rPr>
        <w:t xml:space="preserve">质量控制措施实施频次和技术要求</w:t>
      </w:r>
      <w:r/>
    </w:p>
    <w:p>
      <w:pPr>
        <w:jc w:val="center"/>
        <w:rPr>
          <w:rFonts w:eastAsia="黑体"/>
        </w:rPr>
      </w:pPr>
      <w:r>
        <w:rPr>
          <w:rFonts w:eastAsia="黑体"/>
        </w:rPr>
        <mc:AlternateContent>
          <mc:Choice Requires="wpg">
            <w:drawing>
              <wp:inline xmlns:wp="http://schemas.openxmlformats.org/drawingml/2006/wordprocessingDrawing" distT="0" distB="0" distL="0" distR="0">
                <wp:extent cx="5759450" cy="3468448"/>
                <wp:effectExtent l="19050" t="0" r="0" b="0"/>
                <wp:docPr id="2"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pic:cNvPicPr>
                        <pic:nvPr/>
                      </pic:nvPicPr>
                      <pic:blipFill>
                        <a:blip r:embed="rId18"/>
                        <a:stretch/>
                      </pic:blipFill>
                      <pic:spPr bwMode="auto">
                        <a:xfrm>
                          <a:off x="0" y="0"/>
                          <a:ext cx="5759450" cy="3468448"/>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3.5pt;height:273.1pt;mso-wrap-distance-left:0.0pt;mso-wrap-distance-top:0.0pt;mso-wrap-distance-right:0.0pt;mso-wrap-distance-bottom:0.0pt;" stroked="f" strokeweight="0.75pt">
                <v:path textboxrect="0,0,0,0"/>
                <v:imagedata r:id="rId18" o:title=""/>
              </v:shape>
            </w:pict>
          </mc:Fallback>
        </mc:AlternateContent>
      </w:r>
      <w:r>
        <w:rPr>
          <w:rFonts w:eastAsia="黑体"/>
        </w:rPr>
        <mc:AlternateContent>
          <mc:Choice Requires="wpg">
            <w:drawing>
              <wp:inline xmlns:wp="http://schemas.openxmlformats.org/drawingml/2006/wordprocessingDrawing" distT="0" distB="0" distL="0" distR="0">
                <wp:extent cx="5734050" cy="2924175"/>
                <wp:effectExtent l="19050" t="0" r="0" b="0"/>
                <wp:docPr id="3"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pic:cNvPicPr>
                        <pic:nvPr/>
                      </pic:nvPicPr>
                      <pic:blipFill>
                        <a:blip r:embed="rId19"/>
                        <a:stretch/>
                      </pic:blipFill>
                      <pic:spPr bwMode="auto">
                        <a:xfrm>
                          <a:off x="0" y="0"/>
                          <a:ext cx="5734050" cy="29241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1.5pt;height:230.2pt;mso-wrap-distance-left:0.0pt;mso-wrap-distance-top:0.0pt;mso-wrap-distance-right:0.0pt;mso-wrap-distance-bottom:0.0pt;" stroked="f" strokeweight="0.75pt">
                <v:path textboxrect="0,0,0,0"/>
                <v:imagedata r:id="rId19" o:title=""/>
              </v:shape>
            </w:pict>
          </mc:Fallback>
        </mc:AlternateContent>
      </w:r>
      <w:r/>
    </w:p>
    <w:p>
      <w:pPr>
        <w:jc w:val="center"/>
        <w:spacing w:line="360" w:lineRule="exact"/>
        <w:rPr>
          <w:rFonts w:hint="eastAsia" w:eastAsia="黑体"/>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highlight w:val="none"/>
        </w:rPr>
      </w:r>
      <w:r>
        <w:rPr>
          <w:rFonts w:eastAsia="黑体"/>
          <w:highlight w:val="none"/>
        </w:rPr>
      </w:r>
      <w:r/>
    </w:p>
    <w:p>
      <w:pPr>
        <w:jc w:val="center"/>
        <w:spacing w:line="360" w:lineRule="exact"/>
        <w:rPr>
          <w:rFonts w:eastAsia="黑体"/>
          <w:highlight w:val="none"/>
        </w:rPr>
      </w:pPr>
      <w:r>
        <w:rPr>
          <w:rFonts w:eastAsia="黑体"/>
        </w:rPr>
        <w:t xml:space="preserve">表</w:t>
      </w:r>
      <w:r>
        <w:rPr>
          <w:rFonts w:hint="eastAsia" w:eastAsia="黑体"/>
        </w:rPr>
        <w:t xml:space="preserve">：</w:t>
      </w:r>
      <w:r>
        <w:rPr>
          <w:rFonts w:hint="eastAsia" w:eastAsia="黑体"/>
          <w:bCs/>
          <w:szCs w:val="19"/>
        </w:rPr>
        <w:t xml:space="preserve">化学需氧量</w:t>
      </w:r>
      <w:r>
        <w:rPr>
          <w:rFonts w:eastAsia="黑体"/>
        </w:rPr>
        <w:t xml:space="preserve">质量控制措施实施频次和技术要求</w:t>
      </w:r>
      <w:r/>
    </w:p>
    <w:p>
      <w:pPr>
        <w:pStyle w:val="1108"/>
      </w:pPr>
      <w:r>
        <mc:AlternateContent>
          <mc:Choice Requires="wpg">
            <w:drawing>
              <wp:inline xmlns:wp="http://schemas.openxmlformats.org/drawingml/2006/wordprocessingDrawing" distT="0" distB="0" distL="0" distR="0">
                <wp:extent cx="5759450" cy="2921460"/>
                <wp:effectExtent l="19050" t="0" r="0" b="0"/>
                <wp:docPr id="4"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pic:cNvPicPr>
                        <pic:nvPr/>
                      </pic:nvPicPr>
                      <pic:blipFill>
                        <a:blip r:embed="rId20"/>
                        <a:stretch/>
                      </pic:blipFill>
                      <pic:spPr bwMode="auto">
                        <a:xfrm>
                          <a:off x="0" y="0"/>
                          <a:ext cx="5759450" cy="292146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3.5pt;height:230.0pt;mso-wrap-distance-left:0.0pt;mso-wrap-distance-top:0.0pt;mso-wrap-distance-right:0.0pt;mso-wrap-distance-bottom:0.0pt;" stroked="f" strokeweight="0.75pt">
                <v:path textboxrect="0,0,0,0"/>
                <v:imagedata r:id="rId20" o:title=""/>
              </v:shape>
            </w:pict>
          </mc:Fallback>
        </mc:AlternateContent>
      </w:r>
      <w:r/>
    </w:p>
    <w:p>
      <w:pPr>
        <w:pStyle w:val="1490"/>
        <w:rPr>
          <w:b/>
          <w:bCs/>
          <w:color w:val="auto"/>
          <w:sz w:val="28"/>
          <w:szCs w:val="28"/>
        </w:rPr>
      </w:pPr>
      <w:r>
        <w:rPr>
          <w:rFonts w:hint="eastAsia"/>
          <w:b/>
          <w:bCs/>
          <w:color w:val="auto"/>
          <w:sz w:val="28"/>
          <w:szCs w:val="28"/>
        </w:rPr>
        <w:t xml:space="preserve">3.5其他相关要求</w:t>
      </w:r>
      <w:bookmarkEnd w:id="65"/>
      <w:r/>
      <w:r/>
    </w:p>
    <w:p>
      <w:pPr>
        <w:contextualSpacing/>
        <w:ind w:firstLine="480"/>
        <w:spacing w:line="440" w:lineRule="exact"/>
        <w:tabs>
          <w:tab w:val="left" w:pos="2280" w:leader="none"/>
        </w:tabs>
        <w:rPr>
          <w:sz w:val="24"/>
        </w:rPr>
      </w:pPr>
      <w:r>
        <w:rPr>
          <w:rFonts w:hint="eastAsia"/>
          <w:sz w:val="24"/>
        </w:rPr>
        <w:t xml:space="preserve">3.5.1</w:t>
      </w:r>
      <w:r>
        <w:rPr>
          <w:sz w:val="24"/>
        </w:rPr>
        <w:t xml:space="preserve">▲</w:t>
      </w:r>
      <w:r>
        <w:rPr>
          <w:rFonts w:hint="eastAsia"/>
          <w:sz w:val="24"/>
        </w:rPr>
        <w:t xml:space="preserve">中标单位须协助采购人在必要时</w:t>
      </w:r>
      <w:r>
        <w:rPr>
          <w:sz w:val="24"/>
        </w:rPr>
        <w:t xml:space="preserve">做好</w:t>
      </w:r>
      <w:r>
        <w:rPr>
          <w:rFonts w:hint="eastAsia"/>
          <w:sz w:val="24"/>
        </w:rPr>
        <w:t xml:space="preserve">水站周边水系情况调查及污染溯源排查工作。</w:t>
      </w:r>
      <w:r>
        <w:rPr>
          <w:sz w:val="24"/>
        </w:rPr>
        <w:t xml:space="preserve">（在响应文件中提供承诺书，格式自拟）</w:t>
      </w:r>
      <w:r/>
    </w:p>
    <w:p>
      <w:pPr>
        <w:contextualSpacing/>
        <w:ind w:firstLine="480"/>
        <w:spacing w:line="440" w:lineRule="exact"/>
        <w:tabs>
          <w:tab w:val="left" w:pos="2280" w:leader="none"/>
        </w:tabs>
        <w:rPr>
          <w:sz w:val="24"/>
        </w:rPr>
      </w:pPr>
      <w:r>
        <w:rPr>
          <w:rFonts w:hint="eastAsia"/>
          <w:sz w:val="24"/>
        </w:rPr>
        <w:t xml:space="preserve">3.5.2</w:t>
      </w:r>
      <w:r>
        <w:rPr>
          <w:sz w:val="24"/>
        </w:rPr>
        <w:t xml:space="preserve">中标单位</w:t>
      </w:r>
      <w:r>
        <w:rPr>
          <w:rFonts w:hint="eastAsia"/>
          <w:sz w:val="24"/>
        </w:rPr>
        <w:t xml:space="preserve">须</w:t>
      </w:r>
      <w:r>
        <w:rPr>
          <w:sz w:val="24"/>
        </w:rPr>
        <w:t xml:space="preserve">协助</w:t>
      </w:r>
      <w:r>
        <w:rPr>
          <w:rFonts w:hint="eastAsia"/>
          <w:sz w:val="24"/>
        </w:rPr>
        <w:t xml:space="preserve">采购人</w:t>
      </w:r>
      <w:r>
        <w:rPr>
          <w:sz w:val="24"/>
        </w:rPr>
        <w:t xml:space="preserve">做好水站固定资产、备品备件的管理及登记等工作。</w:t>
      </w:r>
      <w:r/>
    </w:p>
    <w:p>
      <w:pPr>
        <w:contextualSpacing/>
        <w:ind w:firstLine="480"/>
        <w:spacing w:line="440" w:lineRule="exact"/>
        <w:tabs>
          <w:tab w:val="left" w:pos="2280" w:leader="none"/>
        </w:tabs>
        <w:rPr>
          <w:sz w:val="24"/>
        </w:rPr>
      </w:pPr>
      <w:r>
        <w:rPr>
          <w:rFonts w:hint="eastAsia"/>
          <w:sz w:val="24"/>
        </w:rPr>
        <w:t xml:space="preserve">3.5.3</w:t>
      </w:r>
      <w:r>
        <w:rPr>
          <w:rFonts w:hint="eastAsia"/>
          <w:sz w:val="24"/>
        </w:rPr>
        <w:t xml:space="preserve">中标</w:t>
      </w:r>
      <w:r>
        <w:rPr>
          <w:sz w:val="24"/>
        </w:rPr>
        <w:t xml:space="preserve">单位应根据国家与</w:t>
      </w:r>
      <w:r>
        <w:rPr>
          <w:rFonts w:hint="eastAsia"/>
          <w:sz w:val="24"/>
        </w:rPr>
        <w:t xml:space="preserve">江苏</w:t>
      </w:r>
      <w:r>
        <w:rPr>
          <w:sz w:val="24"/>
        </w:rPr>
        <w:t xml:space="preserve">省有关要求做好废液的处理工作。</w:t>
      </w:r>
      <w:r/>
    </w:p>
    <w:p>
      <w:pPr>
        <w:contextualSpacing/>
        <w:ind w:firstLine="480"/>
        <w:spacing w:line="440" w:lineRule="exact"/>
        <w:tabs>
          <w:tab w:val="left" w:pos="2280" w:leader="none"/>
        </w:tabs>
        <w:rPr>
          <w:sz w:val="24"/>
        </w:rPr>
      </w:pPr>
      <w:r>
        <w:rPr>
          <w:rFonts w:hint="eastAsia"/>
          <w:sz w:val="24"/>
        </w:rPr>
        <w:t xml:space="preserve">3.5.4</w:t>
      </w:r>
      <w:r>
        <w:rPr>
          <w:rFonts w:hint="eastAsia"/>
          <w:sz w:val="24"/>
        </w:rPr>
        <w:t xml:space="preserve">中标</w:t>
      </w:r>
      <w:r>
        <w:rPr>
          <w:sz w:val="24"/>
        </w:rPr>
        <w:t xml:space="preserve">单位</w:t>
      </w:r>
      <w:r>
        <w:rPr>
          <w:rFonts w:hint="eastAsia"/>
          <w:sz w:val="24"/>
        </w:rPr>
        <w:t xml:space="preserve">须</w:t>
      </w:r>
      <w:r>
        <w:rPr>
          <w:sz w:val="24"/>
        </w:rPr>
        <w:t xml:space="preserve">保证满足生态环境部门对</w:t>
      </w:r>
      <w:r>
        <w:rPr>
          <w:rFonts w:hint="eastAsia"/>
          <w:sz w:val="24"/>
        </w:rPr>
        <w:t xml:space="preserve">水</w:t>
      </w:r>
      <w:r>
        <w:rPr>
          <w:sz w:val="24"/>
        </w:rPr>
        <w:t xml:space="preserve">站仪器设备故障的响应时间要求，当仪器设备每日</w:t>
      </w:r>
      <w:r>
        <w:rPr>
          <w:sz w:val="24"/>
        </w:rPr>
        <w:t xml:space="preserve">5</w:t>
      </w:r>
      <w:r>
        <w:rPr>
          <w:sz w:val="24"/>
        </w:rPr>
        <w:t xml:space="preserve">时～</w:t>
      </w:r>
      <w:r>
        <w:rPr>
          <w:sz w:val="24"/>
        </w:rPr>
        <w:t xml:space="preserve">23</w:t>
      </w:r>
      <w:r>
        <w:rPr>
          <w:sz w:val="24"/>
        </w:rPr>
        <w:t xml:space="preserve">时出现故障，应在</w:t>
      </w:r>
      <w:r>
        <w:rPr>
          <w:sz w:val="24"/>
        </w:rPr>
        <w:t xml:space="preserve">1</w:t>
      </w:r>
      <w:r>
        <w:rPr>
          <w:sz w:val="24"/>
        </w:rPr>
        <w:t xml:space="preserve">小时之内响应，</w:t>
      </w:r>
      <w:r>
        <w:rPr>
          <w:sz w:val="24"/>
        </w:rPr>
        <w:t xml:space="preserve">4</w:t>
      </w:r>
      <w:r>
        <w:rPr>
          <w:sz w:val="24"/>
        </w:rPr>
        <w:t xml:space="preserve">小时内到达现场解决（通信线路、电力线路故障除外，但应及时与相关部门联系积极解决）。若仪器故障无法排除，运维单位必须在</w:t>
      </w:r>
      <w:r>
        <w:rPr>
          <w:sz w:val="24"/>
        </w:rPr>
        <w:t xml:space="preserve">24</w:t>
      </w:r>
      <w:r>
        <w:rPr>
          <w:sz w:val="24"/>
        </w:rPr>
        <w:t xml:space="preserve">小时内提供并更换相应的备机，保证自动站正常运行。</w:t>
      </w:r>
      <w:r/>
    </w:p>
    <w:p>
      <w:pPr>
        <w:contextualSpacing/>
        <w:ind w:firstLine="480"/>
        <w:spacing w:line="440" w:lineRule="exact"/>
        <w:tabs>
          <w:tab w:val="left" w:pos="2280" w:leader="none"/>
        </w:tabs>
        <w:rPr>
          <w:sz w:val="24"/>
        </w:rPr>
      </w:pPr>
      <w:r>
        <w:rPr>
          <w:rFonts w:hint="eastAsia"/>
          <w:sz w:val="24"/>
        </w:rPr>
        <w:t xml:space="preserve">3.5.5</w:t>
      </w:r>
      <w:r>
        <w:rPr>
          <w:sz w:val="24"/>
        </w:rPr>
        <w:t xml:space="preserve">当仪器损坏不能修复时，应在</w:t>
      </w:r>
      <w:r>
        <w:rPr>
          <w:sz w:val="24"/>
        </w:rPr>
        <w:t xml:space="preserve">24</w:t>
      </w:r>
      <w:r>
        <w:rPr>
          <w:sz w:val="24"/>
        </w:rPr>
        <w:t xml:space="preserve">小时之内使用备机开展监测，并同时报告</w:t>
      </w:r>
      <w:r>
        <w:rPr>
          <w:rFonts w:hint="eastAsia"/>
          <w:sz w:val="24"/>
        </w:rPr>
        <w:t xml:space="preserve">采购人</w:t>
      </w:r>
      <w:r>
        <w:rPr>
          <w:sz w:val="24"/>
        </w:rPr>
        <w:t xml:space="preserve">，</w:t>
      </w:r>
      <w:r>
        <w:rPr>
          <w:rFonts w:hint="eastAsia"/>
          <w:sz w:val="24"/>
        </w:rPr>
        <w:t xml:space="preserve">采购人</w:t>
      </w:r>
      <w:r>
        <w:rPr>
          <w:sz w:val="24"/>
        </w:rPr>
        <w:t xml:space="preserve">组织确认仪器损坏情况及原因，酌情处理。</w:t>
      </w:r>
      <w:r/>
    </w:p>
    <w:p>
      <w:pPr>
        <w:contextualSpacing/>
        <w:ind w:firstLine="480"/>
        <w:spacing w:line="440" w:lineRule="exact"/>
        <w:tabs>
          <w:tab w:val="left" w:pos="2280" w:leader="none"/>
        </w:tabs>
        <w:rPr>
          <w:sz w:val="24"/>
        </w:rPr>
      </w:pPr>
      <w:r>
        <w:rPr>
          <w:rFonts w:hint="eastAsia"/>
          <w:sz w:val="24"/>
        </w:rPr>
        <w:t xml:space="preserve">3.5.6</w:t>
      </w:r>
      <w:r>
        <w:rPr>
          <w:sz w:val="24"/>
        </w:rPr>
        <w:t xml:space="preserve">仪器报废后（包括使用超过</w:t>
      </w:r>
      <w:r>
        <w:rPr>
          <w:sz w:val="24"/>
        </w:rPr>
        <w:t xml:space="preserve">8</w:t>
      </w:r>
      <w:r>
        <w:rPr>
          <w:sz w:val="24"/>
        </w:rPr>
        <w:t xml:space="preserve">年导致，或因</w:t>
      </w:r>
      <w:r>
        <w:rPr>
          <w:rFonts w:hint="eastAsia"/>
          <w:sz w:val="24"/>
        </w:rPr>
        <w:t xml:space="preserve">特别重大、重大水旱、气象、地震、地质等自然灾害</w:t>
      </w:r>
      <w:r>
        <w:rPr>
          <w:sz w:val="24"/>
        </w:rPr>
        <w:t xml:space="preserve">、站房外部火灾、爆炸、恐怖袭击、武装冲突、蓄意破坏等不可抗力导致），运维单位须先行及时使用备机开展监测，同时报告</w:t>
      </w:r>
      <w:r>
        <w:rPr>
          <w:rFonts w:hint="eastAsia"/>
          <w:sz w:val="24"/>
        </w:rPr>
        <w:t xml:space="preserve">采购人</w:t>
      </w:r>
      <w:r>
        <w:rPr>
          <w:sz w:val="24"/>
        </w:rPr>
        <w:t xml:space="preserve">。</w:t>
      </w:r>
      <w:r/>
    </w:p>
    <w:p>
      <w:pPr>
        <w:contextualSpacing/>
        <w:ind w:firstLine="480"/>
        <w:spacing w:line="440" w:lineRule="exact"/>
        <w:tabs>
          <w:tab w:val="left" w:pos="2280" w:leader="none"/>
        </w:tabs>
        <w:rPr>
          <w:sz w:val="24"/>
        </w:rPr>
      </w:pPr>
      <w:r>
        <w:rPr>
          <w:rFonts w:hint="eastAsia"/>
          <w:sz w:val="24"/>
        </w:rPr>
        <w:t xml:space="preserve">3.5.7</w:t>
      </w:r>
      <w:r>
        <w:rPr>
          <w:sz w:val="24"/>
        </w:rPr>
        <w:t xml:space="preserve">严禁擅自更改仪器参数设置。</w:t>
      </w:r>
      <w:r/>
    </w:p>
    <w:p>
      <w:pPr>
        <w:rPr>
          <w:rFonts w:ascii="黑体" w:hAnsi="黑体" w:eastAsia="黑体"/>
          <w:sz w:val="32"/>
          <w:szCs w:val="32"/>
        </w:rPr>
      </w:pPr>
      <w:r/>
      <w:bookmarkStart w:id="66" w:name="_Toc86147071"/>
      <w:r>
        <w:rPr>
          <w:rFonts w:ascii="黑体" w:hAnsi="黑体" w:eastAsia="黑体"/>
          <w:sz w:val="32"/>
          <w:szCs w:val="32"/>
        </w:rPr>
        <w:t xml:space="preserve">4</w:t>
      </w:r>
      <w:r>
        <w:rPr>
          <w:rFonts w:hint="eastAsia" w:ascii="黑体" w:hAnsi="黑体" w:eastAsia="黑体"/>
          <w:sz w:val="32"/>
          <w:szCs w:val="32"/>
        </w:rPr>
        <w:t xml:space="preserve">、监督考核与惩罚办法</w:t>
      </w:r>
      <w:bookmarkEnd w:id="66"/>
      <w:r/>
      <w:r/>
    </w:p>
    <w:p>
      <w:pPr>
        <w:pStyle w:val="1490"/>
        <w:rPr>
          <w:b/>
          <w:bCs/>
          <w:color w:val="auto"/>
          <w:sz w:val="28"/>
          <w:szCs w:val="28"/>
        </w:rPr>
      </w:pPr>
      <w:r/>
      <w:bookmarkStart w:id="67" w:name="_Toc86147072"/>
      <w:r>
        <w:rPr>
          <w:b/>
          <w:bCs/>
          <w:color w:val="auto"/>
          <w:sz w:val="28"/>
          <w:szCs w:val="28"/>
        </w:rPr>
        <w:t xml:space="preserve">4</w:t>
      </w:r>
      <w:r>
        <w:rPr>
          <w:rFonts w:hint="eastAsia"/>
          <w:b/>
          <w:bCs/>
          <w:color w:val="auto"/>
          <w:sz w:val="28"/>
          <w:szCs w:val="28"/>
        </w:rPr>
        <w:t xml:space="preserve">.1监督管理</w:t>
      </w:r>
      <w:bookmarkEnd w:id="67"/>
      <w:r/>
      <w:r/>
    </w:p>
    <w:p>
      <w:pPr>
        <w:contextualSpacing/>
        <w:ind w:firstLine="480"/>
        <w:spacing w:line="440" w:lineRule="exact"/>
        <w:tabs>
          <w:tab w:val="left" w:pos="2280" w:leader="none"/>
        </w:tabs>
        <w:rPr>
          <w:sz w:val="24"/>
        </w:rPr>
      </w:pPr>
      <w:r>
        <w:rPr>
          <w:sz w:val="24"/>
        </w:rPr>
        <w:t xml:space="preserve">4</w:t>
      </w:r>
      <w:r>
        <w:rPr>
          <w:rFonts w:hint="eastAsia"/>
          <w:sz w:val="24"/>
        </w:rPr>
        <w:t xml:space="preserve">.1.1</w:t>
      </w:r>
      <w:r>
        <w:rPr>
          <w:rFonts w:hint="eastAsia"/>
          <w:sz w:val="24"/>
        </w:rPr>
        <w:t xml:space="preserve">供应商应承担监测数据的保密责任，不得利用本项目的数据、档案或有关资料对外开展技术交流、业务联系、数据交换等。否则，采购人有权终止合同。</w:t>
      </w:r>
      <w:r/>
    </w:p>
    <w:p>
      <w:pPr>
        <w:contextualSpacing/>
        <w:ind w:firstLine="480"/>
        <w:spacing w:line="440" w:lineRule="exact"/>
        <w:tabs>
          <w:tab w:val="left" w:pos="2280" w:leader="none"/>
        </w:tabs>
        <w:rPr>
          <w:sz w:val="24"/>
        </w:rPr>
      </w:pPr>
      <w:r>
        <w:rPr>
          <w:sz w:val="24"/>
        </w:rPr>
        <w:t xml:space="preserve">4</w:t>
      </w:r>
      <w:r>
        <w:rPr>
          <w:rFonts w:hint="eastAsia"/>
          <w:sz w:val="24"/>
        </w:rPr>
        <w:t xml:space="preserve">.1.2</w:t>
      </w:r>
      <w:r>
        <w:rPr>
          <w:sz w:val="24"/>
        </w:rPr>
        <w:t xml:space="preserve"> </w:t>
      </w:r>
      <w:r>
        <w:rPr>
          <w:rFonts w:hint="eastAsia"/>
          <w:sz w:val="24"/>
        </w:rPr>
        <w:t xml:space="preserve">运维期间出现调整数据、修改参数、改动设备、质控结果与平台采集结果不一致、弄虚作假等违规行为的，一经查实采购人有权终止运维合同。</w:t>
      </w:r>
      <w:r/>
    </w:p>
    <w:p>
      <w:pPr>
        <w:contextualSpacing/>
        <w:ind w:firstLine="480"/>
        <w:spacing w:line="440" w:lineRule="exact"/>
        <w:tabs>
          <w:tab w:val="left" w:pos="2280" w:leader="none"/>
        </w:tabs>
        <w:rPr>
          <w:sz w:val="24"/>
        </w:rPr>
      </w:pPr>
      <w:r>
        <w:rPr>
          <w:sz w:val="24"/>
        </w:rPr>
        <w:t xml:space="preserve">4</w:t>
      </w:r>
      <w:r>
        <w:rPr>
          <w:rFonts w:hint="eastAsia"/>
          <w:sz w:val="24"/>
        </w:rPr>
        <w:t xml:space="preserve">.1.3</w:t>
      </w:r>
      <w:r>
        <w:rPr>
          <w:sz w:val="24"/>
        </w:rPr>
        <w:t xml:space="preserve"> </w:t>
      </w:r>
      <w:r>
        <w:rPr>
          <w:rFonts w:hint="eastAsia"/>
          <w:sz w:val="24"/>
        </w:rPr>
        <w:t xml:space="preserve">采购人组织开展运维管理和质控考核，对达不到运维要求或违规操作的，可以扣减相应的运维经费，并有权终止运维合同。</w:t>
      </w:r>
      <w:r/>
    </w:p>
    <w:p>
      <w:pPr>
        <w:contextualSpacing/>
        <w:ind w:firstLine="480"/>
        <w:spacing w:line="440" w:lineRule="exact"/>
        <w:tabs>
          <w:tab w:val="left" w:pos="2280" w:leader="none"/>
        </w:tabs>
        <w:rPr>
          <w:sz w:val="24"/>
        </w:rPr>
      </w:pPr>
      <w:r>
        <w:rPr>
          <w:sz w:val="24"/>
        </w:rPr>
        <w:t xml:space="preserve">4</w:t>
      </w:r>
      <w:r>
        <w:rPr>
          <w:rFonts w:hint="eastAsia"/>
          <w:sz w:val="24"/>
        </w:rPr>
        <w:t xml:space="preserve">.1.4</w:t>
      </w:r>
      <w:r>
        <w:rPr>
          <w:sz w:val="24"/>
        </w:rPr>
        <w:t xml:space="preserve"> </w:t>
      </w:r>
      <w:r>
        <w:rPr>
          <w:rFonts w:hint="eastAsia"/>
          <w:sz w:val="24"/>
        </w:rPr>
        <w:t xml:space="preserve">违反相关水质自动站管理办法等违规行为的，一经查实采购人有权终止运维合同。</w:t>
      </w:r>
      <w:r/>
    </w:p>
    <w:p>
      <w:pPr>
        <w:pStyle w:val="1490"/>
        <w:rPr>
          <w:b/>
          <w:bCs/>
          <w:color w:val="auto"/>
          <w:sz w:val="28"/>
          <w:szCs w:val="28"/>
        </w:rPr>
      </w:pPr>
      <w:r/>
      <w:bookmarkStart w:id="68" w:name="_Toc86147073"/>
      <w:r>
        <w:rPr>
          <w:b/>
          <w:bCs/>
          <w:color w:val="auto"/>
          <w:sz w:val="28"/>
          <w:szCs w:val="28"/>
        </w:rPr>
        <w:t xml:space="preserve">4</w:t>
      </w:r>
      <w:r>
        <w:rPr>
          <w:rFonts w:hint="eastAsia"/>
          <w:b/>
          <w:bCs/>
          <w:color w:val="auto"/>
          <w:sz w:val="28"/>
          <w:szCs w:val="28"/>
        </w:rPr>
        <w:t xml:space="preserve">.2考核办法</w:t>
      </w:r>
      <w:bookmarkEnd w:id="68"/>
      <w:r/>
      <w:r/>
    </w:p>
    <w:p>
      <w:pPr>
        <w:contextualSpacing/>
        <w:ind w:firstLine="480"/>
        <w:spacing w:line="440" w:lineRule="exact"/>
        <w:tabs>
          <w:tab w:val="left" w:pos="2280" w:leader="none"/>
        </w:tabs>
        <w:rPr>
          <w:sz w:val="24"/>
        </w:rPr>
      </w:pPr>
      <w:r>
        <w:rPr>
          <w:rFonts w:hint="eastAsia"/>
          <w:sz w:val="24"/>
        </w:rPr>
        <w:t xml:space="preserve">甲方每季度对乙方运维水站的运行情况进行考核。采取单站考核的方式，考核内容以站点数据有效率为主，兼顾盲样考核、驻场人员管理、固定资产管理以及运行维护规范性等。</w:t>
      </w:r>
      <w:r/>
    </w:p>
    <w:p>
      <w:pPr>
        <w:contextualSpacing/>
        <w:ind w:firstLine="480"/>
        <w:spacing w:line="440" w:lineRule="exact"/>
        <w:tabs>
          <w:tab w:val="left" w:pos="2280" w:leader="none"/>
        </w:tabs>
        <w:rPr>
          <w:sz w:val="24"/>
        </w:rPr>
      </w:pPr>
      <w:r>
        <w:rPr>
          <w:sz w:val="24"/>
        </w:rPr>
        <w:t xml:space="preserve">4</w:t>
      </w:r>
      <w:r>
        <w:rPr>
          <w:rFonts w:hint="eastAsia"/>
          <w:sz w:val="24"/>
        </w:rPr>
        <w:t xml:space="preserve">.2.1</w:t>
      </w:r>
      <w:r>
        <w:rPr>
          <w:sz w:val="24"/>
        </w:rPr>
        <w:t xml:space="preserve"> </w:t>
      </w:r>
      <w:r>
        <w:rPr>
          <w:rFonts w:hint="eastAsia"/>
          <w:sz w:val="24"/>
        </w:rPr>
        <w:t xml:space="preserve">数据有效率</w:t>
      </w:r>
      <w:r/>
    </w:p>
    <w:p>
      <w:pPr>
        <w:contextualSpacing/>
        <w:ind w:firstLine="480"/>
        <w:spacing w:line="440" w:lineRule="exact"/>
        <w:tabs>
          <w:tab w:val="left" w:pos="2280" w:leader="none"/>
        </w:tabs>
        <w:rPr>
          <w:sz w:val="24"/>
        </w:rPr>
      </w:pPr>
      <w:r>
        <w:rPr>
          <w:rFonts w:hint="eastAsia"/>
          <w:sz w:val="24"/>
        </w:rPr>
        <w:t xml:space="preserve">1</w:t>
      </w:r>
      <w:r>
        <w:rPr>
          <w:rFonts w:hint="eastAsia"/>
          <w:sz w:val="24"/>
        </w:rPr>
        <w:t xml:space="preserve">、正常运行</w:t>
      </w:r>
      <w:r/>
    </w:p>
    <w:p>
      <w:pPr>
        <w:contextualSpacing/>
        <w:ind w:firstLine="480"/>
        <w:spacing w:line="440" w:lineRule="exact"/>
        <w:tabs>
          <w:tab w:val="left" w:pos="2280" w:leader="none"/>
        </w:tabs>
        <w:rPr>
          <w:sz w:val="24"/>
        </w:rPr>
      </w:pPr>
      <w:r>
        <w:rPr>
          <w:rFonts w:hint="eastAsia"/>
          <w:sz w:val="24"/>
        </w:rPr>
        <w:t xml:space="preserve">正常运行期间数据有效率</w:t>
      </w:r>
      <w:r>
        <w:rPr>
          <w:rFonts w:hint="eastAsia"/>
          <w:sz w:val="24"/>
        </w:rPr>
        <w:t xml:space="preserve">=</w:t>
      </w:r>
      <w:r>
        <w:rPr>
          <w:rFonts w:hint="eastAsia"/>
          <w:sz w:val="24"/>
        </w:rPr>
        <w:t xml:space="preserve">（应获取数据</w:t>
      </w:r>
      <w:r>
        <w:rPr>
          <w:rFonts w:hint="eastAsia"/>
          <w:sz w:val="24"/>
        </w:rPr>
        <w:t xml:space="preserve">-</w:t>
      </w:r>
      <w:r>
        <w:rPr>
          <w:rFonts w:hint="eastAsia"/>
          <w:sz w:val="24"/>
        </w:rPr>
        <w:t xml:space="preserve">无效数据）</w:t>
      </w:r>
      <w:r>
        <w:rPr>
          <w:rFonts w:hint="eastAsia"/>
          <w:sz w:val="24"/>
        </w:rPr>
        <w:t xml:space="preserve">/</w:t>
      </w:r>
      <w:r>
        <w:rPr>
          <w:rFonts w:hint="eastAsia"/>
          <w:sz w:val="24"/>
        </w:rPr>
        <w:t xml:space="preserve">应获取数据</w:t>
      </w:r>
      <w:r>
        <w:rPr>
          <w:rFonts w:hint="eastAsia"/>
          <w:sz w:val="24"/>
        </w:rPr>
        <w:t xml:space="preserve">*100%</w:t>
      </w:r>
      <w:r/>
    </w:p>
    <w:p>
      <w:pPr>
        <w:contextualSpacing/>
        <w:ind w:firstLine="480"/>
        <w:spacing w:line="440" w:lineRule="exact"/>
        <w:tabs>
          <w:tab w:val="left" w:pos="2280" w:leader="none"/>
        </w:tabs>
        <w:rPr>
          <w:sz w:val="24"/>
        </w:rPr>
      </w:pPr>
      <w:r>
        <w:rPr>
          <w:rFonts w:hint="eastAsia"/>
          <w:sz w:val="24"/>
        </w:rPr>
        <w:t xml:space="preserve">其中，“应获取数据”为按照监测频次要求扣除停运时段后理论应有的监测数据，以平台导出结果为准；“无效数据”为仪器故障、质控不合格期间产生的数据或经数据审核人员审核确认为无效的数据。</w:t>
      </w:r>
      <w:r/>
    </w:p>
    <w:p>
      <w:pPr>
        <w:contextualSpacing/>
        <w:ind w:firstLine="480"/>
        <w:spacing w:line="440" w:lineRule="exact"/>
        <w:tabs>
          <w:tab w:val="left" w:pos="2280" w:leader="none"/>
        </w:tabs>
        <w:rPr>
          <w:sz w:val="24"/>
        </w:rPr>
      </w:pPr>
      <w:r>
        <w:rPr>
          <w:rFonts w:hint="eastAsia"/>
          <w:sz w:val="24"/>
        </w:rPr>
        <w:t xml:space="preserve">2</w:t>
      </w:r>
      <w:r>
        <w:rPr>
          <w:rFonts w:hint="eastAsia"/>
          <w:sz w:val="24"/>
        </w:rPr>
        <w:t xml:space="preserve">、非正常运行</w:t>
      </w:r>
      <w:r/>
    </w:p>
    <w:p>
      <w:pPr>
        <w:contextualSpacing/>
        <w:ind w:firstLine="480"/>
        <w:spacing w:line="440" w:lineRule="exact"/>
        <w:tabs>
          <w:tab w:val="left" w:pos="2280" w:leader="none"/>
        </w:tabs>
        <w:rPr>
          <w:sz w:val="24"/>
        </w:rPr>
      </w:pPr>
      <w:r>
        <w:rPr>
          <w:rFonts w:hint="eastAsia"/>
          <w:sz w:val="24"/>
        </w:rPr>
        <w:t xml:space="preserve">水站运行过程中，因停电、停水（自来水）、采水设施损坏、高浊度或不可抗力因素（断流或水位过低、地震、封航、暴雨、台风等）等导致停站而数据缺失或数据无效时，乙方应及时告知甲方并根据实际情况判断是否开展补充监测。</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1</w:t>
      </w:r>
      <w:r>
        <w:rPr>
          <w:rFonts w:hint="eastAsia"/>
          <w:sz w:val="24"/>
        </w:rPr>
        <w:t xml:space="preserve">）甲方同意补充监测的，根据相关要求，乙方应对非正常运行水站开展补充监测。补测的数据应满足相关质控要求，并应在规定的时间内上传平台，否则按无效数据</w:t>
      </w:r>
      <w:r>
        <w:rPr>
          <w:rFonts w:hint="eastAsia"/>
          <w:sz w:val="24"/>
        </w:rPr>
        <w:t xml:space="preserve">处理。</w:t>
      </w:r>
      <w:r/>
    </w:p>
    <w:p>
      <w:pPr>
        <w:contextualSpacing/>
        <w:ind w:firstLine="480"/>
        <w:spacing w:line="440" w:lineRule="exact"/>
        <w:tabs>
          <w:tab w:val="left" w:pos="2280" w:leader="none"/>
        </w:tabs>
        <w:rPr>
          <w:sz w:val="24"/>
        </w:rPr>
      </w:pPr>
      <w:r>
        <w:rPr>
          <w:rFonts w:hint="eastAsia"/>
          <w:sz w:val="24"/>
        </w:rPr>
        <w:t xml:space="preserve">计算公式：</w:t>
      </w:r>
      <w:r/>
    </w:p>
    <w:p>
      <w:pPr>
        <w:contextualSpacing/>
        <w:ind w:firstLine="480"/>
        <w:spacing w:line="440" w:lineRule="exact"/>
        <w:tabs>
          <w:tab w:val="left" w:pos="2280" w:leader="none"/>
        </w:tabs>
        <w:rPr>
          <w:sz w:val="24"/>
        </w:rPr>
      </w:pPr>
      <w:r>
        <w:rPr>
          <w:rFonts w:hint="eastAsia"/>
          <w:sz w:val="24"/>
        </w:rPr>
        <w:t xml:space="preserve">非正常运行期间数据有效率</w:t>
      </w:r>
      <w:r>
        <w:rPr>
          <w:rFonts w:hint="eastAsia"/>
          <w:sz w:val="24"/>
        </w:rPr>
        <w:t xml:space="preserve">=</w:t>
      </w:r>
      <w:r>
        <w:rPr>
          <w:rFonts w:hint="eastAsia"/>
          <w:sz w:val="24"/>
        </w:rPr>
        <w:t xml:space="preserve">（实际补测数据</w:t>
      </w:r>
      <w:r>
        <w:rPr>
          <w:rFonts w:hint="eastAsia"/>
          <w:sz w:val="24"/>
        </w:rPr>
        <w:t xml:space="preserve">-</w:t>
      </w:r>
      <w:r>
        <w:rPr>
          <w:rFonts w:hint="eastAsia"/>
          <w:sz w:val="24"/>
        </w:rPr>
        <w:t xml:space="preserve">无效数据）</w:t>
      </w:r>
      <w:r>
        <w:rPr>
          <w:rFonts w:hint="eastAsia"/>
          <w:sz w:val="24"/>
        </w:rPr>
        <w:t xml:space="preserve">/</w:t>
      </w:r>
      <w:r>
        <w:rPr>
          <w:rFonts w:hint="eastAsia"/>
          <w:sz w:val="24"/>
        </w:rPr>
        <w:t xml:space="preserve">应补测数据</w:t>
      </w:r>
      <w:r>
        <w:rPr>
          <w:rFonts w:hint="eastAsia"/>
          <w:sz w:val="24"/>
        </w:rPr>
        <w:t xml:space="preserve">*100%</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2</w:t>
      </w:r>
      <w:r>
        <w:rPr>
          <w:rFonts w:hint="eastAsia"/>
          <w:sz w:val="24"/>
        </w:rPr>
        <w:t xml:space="preserve">）甲方不同意补充监测的，乙方有义务采取必要措施最大限度的减少国家财产的损失，包括仪器设备保管以及必要性维护工作。</w:t>
      </w:r>
      <w:r/>
    </w:p>
    <w:p>
      <w:pPr>
        <w:contextualSpacing/>
        <w:ind w:firstLine="480"/>
        <w:spacing w:line="440" w:lineRule="exact"/>
        <w:tabs>
          <w:tab w:val="left" w:pos="2280" w:leader="none"/>
        </w:tabs>
        <w:rPr>
          <w:sz w:val="24"/>
        </w:rPr>
      </w:pPr>
      <w:r>
        <w:rPr>
          <w:rFonts w:hint="eastAsia"/>
          <w:sz w:val="24"/>
        </w:rPr>
        <w:t xml:space="preserve">3</w:t>
      </w:r>
      <w:r>
        <w:rPr>
          <w:rFonts w:hint="eastAsia"/>
          <w:sz w:val="24"/>
        </w:rPr>
        <w:t xml:space="preserve">、不具备补充监测条件</w:t>
      </w:r>
      <w:r/>
    </w:p>
    <w:p>
      <w:pPr>
        <w:contextualSpacing/>
        <w:ind w:firstLine="480"/>
        <w:spacing w:line="440" w:lineRule="exact"/>
        <w:tabs>
          <w:tab w:val="left" w:pos="2280" w:leader="none"/>
        </w:tabs>
        <w:rPr>
          <w:sz w:val="24"/>
        </w:rPr>
      </w:pPr>
      <w:r>
        <w:rPr>
          <w:rFonts w:hint="eastAsia"/>
          <w:sz w:val="24"/>
        </w:rPr>
        <w:t xml:space="preserve"> </w:t>
      </w:r>
      <w:r>
        <w:rPr>
          <w:rFonts w:hint="eastAsia"/>
          <w:sz w:val="24"/>
        </w:rPr>
        <w:t xml:space="preserve">停运期间，乙方应保证仪器设备及环境设施设备的安全，并关注现场环境变化，具备条件后应及时恢复运行。</w:t>
      </w:r>
      <w:r/>
    </w:p>
    <w:p>
      <w:pPr>
        <w:contextualSpacing/>
        <w:ind w:firstLine="480"/>
        <w:spacing w:line="440" w:lineRule="exact"/>
        <w:tabs>
          <w:tab w:val="left" w:pos="2280" w:leader="none"/>
        </w:tabs>
        <w:rPr>
          <w:sz w:val="24"/>
        </w:rPr>
      </w:pPr>
      <w:r>
        <w:rPr>
          <w:sz w:val="24"/>
        </w:rPr>
        <w:t xml:space="preserve">4</w:t>
      </w:r>
      <w:r>
        <w:rPr>
          <w:rFonts w:hint="eastAsia"/>
          <w:sz w:val="24"/>
        </w:rPr>
        <w:t xml:space="preserve">.2.2</w:t>
      </w:r>
      <w:r>
        <w:rPr>
          <w:sz w:val="24"/>
        </w:rPr>
        <w:t xml:space="preserve"> </w:t>
      </w:r>
      <w:r>
        <w:rPr>
          <w:rFonts w:hint="eastAsia"/>
          <w:sz w:val="24"/>
        </w:rPr>
        <w:t xml:space="preserve">运维费支付</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1</w:t>
      </w:r>
      <w:r>
        <w:rPr>
          <w:rFonts w:hint="eastAsia"/>
          <w:sz w:val="24"/>
        </w:rPr>
        <w:t xml:space="preserve">）单站考核周期内监测数据有效率高于</w:t>
      </w:r>
      <w:r>
        <w:rPr>
          <w:rFonts w:hint="eastAsia"/>
          <w:sz w:val="24"/>
        </w:rPr>
        <w:t xml:space="preserve">90%</w:t>
      </w:r>
      <w:r>
        <w:rPr>
          <w:rFonts w:hint="eastAsia"/>
          <w:sz w:val="24"/>
        </w:rPr>
        <w:t xml:space="preserve">，不扣款。</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2</w:t>
      </w:r>
      <w:r>
        <w:rPr>
          <w:rFonts w:hint="eastAsia"/>
          <w:sz w:val="24"/>
        </w:rPr>
        <w:t xml:space="preserve">）单站考核周期内监测数据有效率在</w:t>
      </w:r>
      <w:r>
        <w:rPr>
          <w:rFonts w:hint="eastAsia"/>
          <w:sz w:val="24"/>
        </w:rPr>
        <w:t xml:space="preserve">80%</w:t>
      </w:r>
      <w:r>
        <w:rPr>
          <w:rFonts w:hint="eastAsia"/>
          <w:sz w:val="24"/>
        </w:rPr>
        <w:t xml:space="preserve">（不含）</w:t>
      </w:r>
      <w:r>
        <w:rPr>
          <w:rFonts w:hint="eastAsia"/>
          <w:sz w:val="24"/>
        </w:rPr>
        <w:t xml:space="preserve">-90%</w:t>
      </w:r>
      <w:r>
        <w:rPr>
          <w:rFonts w:hint="eastAsia"/>
          <w:sz w:val="24"/>
        </w:rPr>
        <w:t xml:space="preserve">（含），扣除该付款周期运维费</w:t>
      </w:r>
      <w:r>
        <w:rPr>
          <w:rFonts w:hint="eastAsia"/>
          <w:sz w:val="24"/>
        </w:rPr>
        <w:t xml:space="preserve">10%</w:t>
      </w:r>
      <w:r>
        <w:rPr>
          <w:rFonts w:hint="eastAsia"/>
          <w:sz w:val="24"/>
        </w:rPr>
        <w:t xml:space="preserve">，并责令整改。</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3</w:t>
      </w:r>
      <w:r>
        <w:rPr>
          <w:rFonts w:hint="eastAsia"/>
          <w:sz w:val="24"/>
        </w:rPr>
        <w:t xml:space="preserve">）单站考核周期内监测数据有效率在</w:t>
      </w:r>
      <w:r>
        <w:rPr>
          <w:rFonts w:hint="eastAsia"/>
          <w:sz w:val="24"/>
        </w:rPr>
        <w:t xml:space="preserve">70%</w:t>
      </w:r>
      <w:r>
        <w:rPr>
          <w:rFonts w:hint="eastAsia"/>
          <w:sz w:val="24"/>
        </w:rPr>
        <w:t xml:space="preserve">（含）</w:t>
      </w:r>
      <w:r>
        <w:rPr>
          <w:rFonts w:hint="eastAsia"/>
          <w:sz w:val="24"/>
        </w:rPr>
        <w:t xml:space="preserve">-80%</w:t>
      </w:r>
      <w:r>
        <w:rPr>
          <w:rFonts w:hint="eastAsia"/>
          <w:sz w:val="24"/>
        </w:rPr>
        <w:t xml:space="preserve">（含），扣除该付款周期运维费</w:t>
      </w:r>
      <w:r>
        <w:rPr>
          <w:rFonts w:hint="eastAsia"/>
          <w:sz w:val="24"/>
        </w:rPr>
        <w:t xml:space="preserve">20%</w:t>
      </w:r>
      <w:r>
        <w:rPr>
          <w:rFonts w:hint="eastAsia"/>
          <w:sz w:val="24"/>
        </w:rPr>
        <w:t xml:space="preserve">，并责令整改。</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4</w:t>
      </w:r>
      <w:r>
        <w:rPr>
          <w:rFonts w:hint="eastAsia"/>
          <w:sz w:val="24"/>
        </w:rPr>
        <w:t xml:space="preserve">）上述（</w:t>
      </w:r>
      <w:r>
        <w:rPr>
          <w:rFonts w:hint="eastAsia"/>
          <w:sz w:val="24"/>
        </w:rPr>
        <w:t xml:space="preserve">1</w:t>
      </w:r>
      <w:r>
        <w:rPr>
          <w:rFonts w:hint="eastAsia"/>
          <w:sz w:val="24"/>
        </w:rPr>
        <w:t xml:space="preserve">）</w:t>
      </w:r>
      <w:r>
        <w:rPr>
          <w:rFonts w:hint="eastAsia"/>
          <w:sz w:val="24"/>
        </w:rPr>
        <w:t xml:space="preserve">-</w:t>
      </w:r>
      <w:r>
        <w:rPr>
          <w:rFonts w:hint="eastAsia"/>
          <w:sz w:val="24"/>
        </w:rPr>
        <w:t xml:space="preserve">（</w:t>
      </w:r>
      <w:r>
        <w:rPr>
          <w:rFonts w:hint="eastAsia"/>
          <w:sz w:val="24"/>
        </w:rPr>
        <w:t xml:space="preserve">3</w:t>
      </w:r>
      <w:r>
        <w:rPr>
          <w:rFonts w:hint="eastAsia"/>
          <w:sz w:val="24"/>
        </w:rPr>
        <w:t xml:space="preserve">）所列条款中，当存在单参数考核周期内监测数据有效率低于</w:t>
      </w:r>
      <w:r>
        <w:rPr>
          <w:rFonts w:hint="eastAsia"/>
          <w:sz w:val="24"/>
        </w:rPr>
        <w:t xml:space="preserve">70%</w:t>
      </w:r>
      <w:r>
        <w:rPr>
          <w:rFonts w:hint="eastAsia"/>
          <w:sz w:val="24"/>
        </w:rPr>
        <w:t xml:space="preserve">的情形时，增扣该付款周期运维费</w:t>
      </w:r>
      <w:r>
        <w:rPr>
          <w:rFonts w:hint="eastAsia"/>
          <w:sz w:val="24"/>
        </w:rPr>
        <w:t xml:space="preserve">5%</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5</w:t>
      </w:r>
      <w:r>
        <w:rPr>
          <w:rFonts w:hint="eastAsia"/>
          <w:sz w:val="24"/>
        </w:rPr>
        <w:t xml:space="preserve">）单站考核周期内监测数据有效率低于</w:t>
      </w:r>
      <w:r>
        <w:rPr>
          <w:rFonts w:hint="eastAsia"/>
          <w:sz w:val="24"/>
        </w:rPr>
        <w:t xml:space="preserve">70%</w:t>
      </w:r>
      <w:r>
        <w:rPr>
          <w:rFonts w:hint="eastAsia"/>
          <w:sz w:val="24"/>
        </w:rPr>
        <w:t xml:space="preserve">，扣除该考核周期全部运维费。</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6</w:t>
      </w:r>
      <w:r>
        <w:rPr>
          <w:rFonts w:hint="eastAsia"/>
          <w:sz w:val="24"/>
        </w:rPr>
        <w:t xml:space="preserve">）全年平均数据有效率低于</w:t>
      </w:r>
      <w:r>
        <w:rPr>
          <w:rFonts w:hint="eastAsia"/>
          <w:sz w:val="24"/>
        </w:rPr>
        <w:t xml:space="preserve">60%</w:t>
      </w:r>
      <w:r>
        <w:rPr>
          <w:rFonts w:hint="eastAsia"/>
          <w:sz w:val="24"/>
        </w:rPr>
        <w:t xml:space="preserve">，取消运维合同。</w:t>
      </w:r>
      <w:r/>
    </w:p>
    <w:p>
      <w:pPr>
        <w:contextualSpacing/>
        <w:ind w:firstLine="480"/>
        <w:spacing w:line="440" w:lineRule="exact"/>
        <w:tabs>
          <w:tab w:val="left" w:pos="2280" w:leader="none"/>
        </w:tabs>
        <w:rPr>
          <w:sz w:val="24"/>
        </w:rPr>
      </w:pPr>
      <w:r>
        <w:rPr>
          <w:sz w:val="24"/>
        </w:rPr>
        <w:t xml:space="preserve">4</w:t>
      </w:r>
      <w:r>
        <w:rPr>
          <w:rFonts w:hint="eastAsia"/>
          <w:sz w:val="24"/>
        </w:rPr>
        <w:t xml:space="preserve">.2.3</w:t>
      </w:r>
      <w:r>
        <w:rPr>
          <w:sz w:val="24"/>
        </w:rPr>
        <w:t xml:space="preserve"> </w:t>
      </w:r>
      <w:r>
        <w:rPr>
          <w:rFonts w:hint="eastAsia"/>
          <w:sz w:val="24"/>
        </w:rPr>
        <w:t xml:space="preserve">盲样考核</w:t>
      </w:r>
      <w:r/>
    </w:p>
    <w:p>
      <w:pPr>
        <w:contextualSpacing/>
        <w:ind w:firstLine="480"/>
        <w:spacing w:line="440" w:lineRule="exact"/>
        <w:tabs>
          <w:tab w:val="left" w:pos="2280" w:leader="none"/>
        </w:tabs>
        <w:rPr>
          <w:sz w:val="24"/>
        </w:rPr>
      </w:pPr>
      <w:r>
        <w:rPr>
          <w:rFonts w:hint="eastAsia"/>
          <w:sz w:val="24"/>
        </w:rPr>
        <w:t xml:space="preserve">乙方应按照甲方相关要求配合开展盲样考核工作，每出现</w:t>
      </w:r>
      <w:r>
        <w:rPr>
          <w:rFonts w:hint="eastAsia"/>
          <w:sz w:val="24"/>
        </w:rPr>
        <w:t xml:space="preserve">1</w:t>
      </w:r>
      <w:r>
        <w:rPr>
          <w:rFonts w:hint="eastAsia"/>
          <w:sz w:val="24"/>
        </w:rPr>
        <w:t xml:space="preserve">个盲样考核不合格的参数扣除当月运维费的</w:t>
      </w:r>
      <w:r>
        <w:rPr>
          <w:rFonts w:hint="eastAsia"/>
          <w:sz w:val="24"/>
        </w:rPr>
        <w:t xml:space="preserve">20%</w:t>
      </w:r>
      <w:r>
        <w:rPr>
          <w:rFonts w:hint="eastAsia"/>
          <w:sz w:val="24"/>
        </w:rPr>
        <w:t xml:space="preserve">。</w:t>
      </w:r>
      <w:r/>
    </w:p>
    <w:p>
      <w:pPr>
        <w:contextualSpacing/>
        <w:ind w:firstLine="480"/>
        <w:spacing w:line="440" w:lineRule="exact"/>
        <w:tabs>
          <w:tab w:val="left" w:pos="2280" w:leader="none"/>
        </w:tabs>
        <w:rPr>
          <w:sz w:val="24"/>
        </w:rPr>
      </w:pPr>
      <w:r>
        <w:rPr>
          <w:sz w:val="24"/>
        </w:rPr>
        <w:t xml:space="preserve">4</w:t>
      </w:r>
      <w:r>
        <w:rPr>
          <w:rFonts w:hint="eastAsia"/>
          <w:sz w:val="24"/>
        </w:rPr>
        <w:t xml:space="preserve">.2.4</w:t>
      </w:r>
      <w:r>
        <w:rPr>
          <w:sz w:val="24"/>
        </w:rPr>
        <w:t xml:space="preserve"> </w:t>
      </w:r>
      <w:r>
        <w:rPr>
          <w:rFonts w:hint="eastAsia"/>
          <w:sz w:val="24"/>
        </w:rPr>
        <w:t xml:space="preserve">驻场人员管理</w:t>
      </w:r>
      <w:r/>
    </w:p>
    <w:p>
      <w:pPr>
        <w:contextualSpacing/>
        <w:ind w:firstLine="480"/>
        <w:spacing w:line="440" w:lineRule="exact"/>
        <w:tabs>
          <w:tab w:val="left" w:pos="2280" w:leader="none"/>
        </w:tabs>
        <w:rPr>
          <w:sz w:val="24"/>
        </w:rPr>
      </w:pPr>
      <w:r>
        <w:rPr>
          <w:rFonts w:hint="eastAsia"/>
          <w:sz w:val="24"/>
        </w:rPr>
        <w:t xml:space="preserve">在项目实施过程中，乙方应根据合同安排符合甲方要求的人员驻场工作，服务期内驻场人员应在甲方指定地点配合开展相关工作。乙方不得随意更换驻场人员。甲方定期对驻场人员进行考核，违反保密工作规定或出现重大工作失误的甲方有权要求更换，并根据情况扣减运维费。</w:t>
      </w:r>
      <w:r/>
    </w:p>
    <w:p>
      <w:pPr>
        <w:contextualSpacing/>
        <w:ind w:firstLine="480"/>
        <w:spacing w:line="440" w:lineRule="exact"/>
        <w:tabs>
          <w:tab w:val="left" w:pos="2280" w:leader="none"/>
        </w:tabs>
        <w:rPr>
          <w:sz w:val="24"/>
        </w:rPr>
      </w:pPr>
      <w:r>
        <w:rPr>
          <w:sz w:val="24"/>
        </w:rPr>
        <w:t xml:space="preserve">4</w:t>
      </w:r>
      <w:r>
        <w:rPr>
          <w:rFonts w:hint="eastAsia"/>
          <w:sz w:val="24"/>
        </w:rPr>
        <w:t xml:space="preserve">.2.5</w:t>
      </w:r>
      <w:r>
        <w:rPr>
          <w:sz w:val="24"/>
        </w:rPr>
        <w:t xml:space="preserve"> </w:t>
      </w:r>
      <w:r>
        <w:rPr>
          <w:rFonts w:hint="eastAsia"/>
          <w:sz w:val="24"/>
        </w:rPr>
        <w:t xml:space="preserve">固定资产管理</w:t>
      </w:r>
      <w:r/>
    </w:p>
    <w:p>
      <w:pPr>
        <w:contextualSpacing/>
        <w:ind w:firstLine="480"/>
        <w:spacing w:line="440" w:lineRule="exact"/>
        <w:tabs>
          <w:tab w:val="left" w:pos="2280" w:leader="none"/>
        </w:tabs>
        <w:rPr>
          <w:sz w:val="24"/>
        </w:rPr>
      </w:pPr>
      <w:r>
        <w:rPr>
          <w:rFonts w:hint="eastAsia"/>
          <w:sz w:val="24"/>
        </w:rPr>
        <w:t xml:space="preserve">乙方及人员蓄意破坏水站固定资产，或私自外借、出租、抵押的，将交由相关机构处理；出现国有资产损失或流失的，相关责任人要按原价赔偿，并追究法律责任。</w:t>
      </w:r>
      <w:r/>
    </w:p>
    <w:p>
      <w:pPr>
        <w:contextualSpacing/>
        <w:ind w:firstLine="480"/>
        <w:spacing w:line="440" w:lineRule="exact"/>
        <w:tabs>
          <w:tab w:val="left" w:pos="2280" w:leader="none"/>
        </w:tabs>
        <w:rPr>
          <w:sz w:val="24"/>
        </w:rPr>
      </w:pPr>
      <w:r>
        <w:rPr>
          <w:sz w:val="24"/>
        </w:rPr>
        <w:t xml:space="preserve">4</w:t>
      </w:r>
      <w:r>
        <w:rPr>
          <w:rFonts w:hint="eastAsia"/>
          <w:sz w:val="24"/>
        </w:rPr>
        <w:t xml:space="preserve">.2.6</w:t>
      </w:r>
      <w:r>
        <w:rPr>
          <w:sz w:val="24"/>
        </w:rPr>
        <w:t xml:space="preserve"> </w:t>
      </w:r>
      <w:r>
        <w:rPr>
          <w:rFonts w:hint="eastAsia"/>
          <w:sz w:val="24"/>
        </w:rPr>
        <w:t xml:space="preserve">运行维护规范性</w:t>
      </w:r>
      <w:r/>
    </w:p>
    <w:p>
      <w:pPr>
        <w:contextualSpacing/>
        <w:ind w:firstLine="480"/>
        <w:spacing w:line="440" w:lineRule="exact"/>
        <w:tabs>
          <w:tab w:val="left" w:pos="2280" w:leader="none"/>
        </w:tabs>
        <w:rPr>
          <w:sz w:val="24"/>
        </w:rPr>
      </w:pPr>
      <w:r>
        <w:rPr>
          <w:rFonts w:hint="eastAsia"/>
          <w:sz w:val="24"/>
        </w:rPr>
        <w:t xml:space="preserve">经甲方认定，乙方存在下列情形的，将根据相应规定进行扣款：</w:t>
      </w:r>
      <w:r/>
    </w:p>
    <w:p>
      <w:pPr>
        <w:contextualSpacing/>
        <w:ind w:firstLine="480"/>
        <w:spacing w:line="440" w:lineRule="exact"/>
        <w:tabs>
          <w:tab w:val="left" w:pos="2280" w:leader="none"/>
        </w:tabs>
        <w:rPr>
          <w:sz w:val="24"/>
        </w:rPr>
      </w:pPr>
      <w:r>
        <w:rPr>
          <w:rFonts w:hint="eastAsia"/>
          <w:sz w:val="24"/>
        </w:rPr>
        <w:t xml:space="preserve">1</w:t>
      </w:r>
      <w:r>
        <w:rPr>
          <w:rFonts w:hint="eastAsia"/>
          <w:sz w:val="24"/>
        </w:rPr>
        <w:t xml:space="preserve">、每月</w:t>
      </w:r>
      <w:r>
        <w:rPr>
          <w:rFonts w:hint="eastAsia"/>
          <w:sz w:val="24"/>
        </w:rPr>
        <w:t xml:space="preserve">3</w:t>
      </w:r>
      <w:r>
        <w:rPr>
          <w:rFonts w:hint="eastAsia"/>
          <w:sz w:val="24"/>
        </w:rPr>
        <w:t xml:space="preserve">次存在以下情形时，一经查实，扣除该站点当月</w:t>
      </w:r>
      <w:r>
        <w:rPr>
          <w:rFonts w:hint="eastAsia"/>
          <w:sz w:val="24"/>
        </w:rPr>
        <w:t xml:space="preserve">20%</w:t>
      </w:r>
      <w:r>
        <w:rPr>
          <w:rFonts w:hint="eastAsia"/>
          <w:sz w:val="24"/>
        </w:rPr>
        <w:t xml:space="preserve">的运维费；每月</w:t>
      </w:r>
      <w:r>
        <w:rPr>
          <w:rFonts w:hint="eastAsia"/>
          <w:sz w:val="24"/>
        </w:rPr>
        <w:t xml:space="preserve">6</w:t>
      </w:r>
      <w:r>
        <w:rPr>
          <w:rFonts w:hint="eastAsia"/>
          <w:sz w:val="24"/>
        </w:rPr>
        <w:t xml:space="preserve">次存在以下情形时，一经查实，扣除该站点当月</w:t>
      </w:r>
      <w:r>
        <w:rPr>
          <w:rFonts w:hint="eastAsia"/>
          <w:sz w:val="24"/>
        </w:rPr>
        <w:t xml:space="preserve">50%</w:t>
      </w:r>
      <w:r>
        <w:rPr>
          <w:rFonts w:hint="eastAsia"/>
          <w:sz w:val="24"/>
        </w:rPr>
        <w:t xml:space="preserve">的运维费。</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1</w:t>
      </w:r>
      <w:r>
        <w:rPr>
          <w:rFonts w:hint="eastAsia"/>
          <w:sz w:val="24"/>
        </w:rPr>
        <w:t xml:space="preserve">）乙方应在每天</w:t>
      </w:r>
      <w:r>
        <w:rPr>
          <w:rFonts w:hint="eastAsia"/>
          <w:sz w:val="24"/>
        </w:rPr>
        <w:t xml:space="preserve">12</w:t>
      </w:r>
      <w:r>
        <w:rPr>
          <w:rFonts w:hint="eastAsia"/>
          <w:sz w:val="24"/>
        </w:rPr>
        <w:t xml:space="preserve">时前，完成前一日数据审核工作。</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2</w:t>
      </w:r>
      <w:r>
        <w:rPr>
          <w:rFonts w:hint="eastAsia"/>
          <w:sz w:val="24"/>
        </w:rPr>
        <w:t xml:space="preserve">）乙方发现非运维人员进入站房后有干扰正常监测行为，未及时制止并上报甲方的。</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 </w:t>
      </w:r>
      <w:r>
        <w:rPr>
          <w:rFonts w:hint="eastAsia"/>
          <w:sz w:val="24"/>
        </w:rPr>
        <w:t xml:space="preserve">分析仪器监测结果出现异常，但乙方未及时响应并未采取有效措施的。</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4</w:t>
      </w:r>
      <w:r>
        <w:rPr>
          <w:rFonts w:hint="eastAsia"/>
          <w:sz w:val="24"/>
        </w:rPr>
        <w:t xml:space="preserve">）乙方未按要求进行例行维护，定期完成试剂更换、仪器校准、核查等维护工作的。</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5</w:t>
      </w:r>
      <w:r>
        <w:rPr>
          <w:rFonts w:hint="eastAsia"/>
          <w:sz w:val="24"/>
        </w:rPr>
        <w:t xml:space="preserve">）乙方未定期进行站房、采水口及采水构筑物、采水管路、辅助设施等清洁维护工作的。</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6</w:t>
      </w:r>
      <w:r>
        <w:rPr>
          <w:rFonts w:hint="eastAsia"/>
          <w:sz w:val="24"/>
        </w:rPr>
        <w:t xml:space="preserve">）乙方未按要求进行运维记录填写或填写不规范的。</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7</w:t>
      </w:r>
      <w:r>
        <w:rPr>
          <w:rFonts w:hint="eastAsia"/>
          <w:sz w:val="24"/>
        </w:rPr>
        <w:t xml:space="preserve">）乙方存在其他不符合相关管理技术规范等要求的情形。</w:t>
      </w:r>
      <w:r>
        <w:rPr>
          <w:rFonts w:hint="eastAsia"/>
          <w:sz w:val="24"/>
        </w:rPr>
        <w:t xml:space="preserve"> </w:t>
      </w:r>
      <w:r/>
    </w:p>
    <w:p>
      <w:pPr>
        <w:contextualSpacing/>
        <w:ind w:firstLine="480"/>
        <w:spacing w:line="440" w:lineRule="exact"/>
        <w:tabs>
          <w:tab w:val="left" w:pos="2280" w:leader="none"/>
        </w:tabs>
        <w:rPr>
          <w:sz w:val="24"/>
        </w:rPr>
      </w:pPr>
      <w:r>
        <w:rPr>
          <w:rFonts w:hint="eastAsia"/>
          <w:sz w:val="24"/>
        </w:rPr>
        <w:t xml:space="preserve">2</w:t>
      </w:r>
      <w:r>
        <w:rPr>
          <w:rFonts w:hint="eastAsia"/>
          <w:sz w:val="24"/>
        </w:rPr>
        <w:t xml:space="preserve">、发现监测点位出现未经批准的变更，未及时上报的，扣除该站点考核周期内</w:t>
      </w:r>
      <w:r>
        <w:rPr>
          <w:rFonts w:hint="eastAsia"/>
          <w:sz w:val="24"/>
        </w:rPr>
        <w:t xml:space="preserve">20%</w:t>
      </w:r>
      <w:r>
        <w:rPr>
          <w:rFonts w:hint="eastAsia"/>
          <w:sz w:val="24"/>
        </w:rPr>
        <w:t xml:space="preserve">运维费。</w:t>
      </w:r>
      <w:r/>
    </w:p>
    <w:p>
      <w:pPr>
        <w:contextualSpacing/>
        <w:ind w:firstLine="480"/>
        <w:spacing w:line="440" w:lineRule="exact"/>
        <w:tabs>
          <w:tab w:val="left" w:pos="2280" w:leader="none"/>
        </w:tabs>
        <w:rPr>
          <w:sz w:val="24"/>
        </w:rPr>
      </w:pPr>
      <w:r>
        <w:rPr>
          <w:rFonts w:hint="eastAsia"/>
          <w:sz w:val="24"/>
        </w:rPr>
        <w:t xml:space="preserve">3</w:t>
      </w:r>
      <w:r>
        <w:rPr>
          <w:rFonts w:hint="eastAsia"/>
          <w:sz w:val="24"/>
        </w:rPr>
        <w:t xml:space="preserve">、发现有人为干扰采样情形，未及时上报的，扣除该站点考核周期内</w:t>
      </w:r>
      <w:r>
        <w:rPr>
          <w:rFonts w:hint="eastAsia"/>
          <w:sz w:val="24"/>
        </w:rPr>
        <w:t xml:space="preserve">20%</w:t>
      </w:r>
      <w:r>
        <w:rPr>
          <w:rFonts w:hint="eastAsia"/>
          <w:sz w:val="24"/>
        </w:rPr>
        <w:t xml:space="preserve">运维费。</w:t>
      </w:r>
      <w:r/>
    </w:p>
    <w:p>
      <w:pPr>
        <w:contextualSpacing/>
        <w:ind w:firstLine="480"/>
        <w:spacing w:line="440" w:lineRule="exact"/>
        <w:tabs>
          <w:tab w:val="left" w:pos="2280" w:leader="none"/>
        </w:tabs>
        <w:rPr>
          <w:sz w:val="24"/>
        </w:rPr>
      </w:pPr>
      <w:r>
        <w:rPr>
          <w:rFonts w:hint="eastAsia"/>
          <w:sz w:val="24"/>
        </w:rPr>
        <w:t xml:space="preserve">4</w:t>
      </w:r>
      <w:r>
        <w:rPr>
          <w:rFonts w:hint="eastAsia"/>
          <w:sz w:val="24"/>
        </w:rPr>
        <w:t xml:space="preserve">、常规参数（</w:t>
      </w:r>
      <w:r>
        <w:rPr>
          <w:rFonts w:hint="eastAsia"/>
          <w:sz w:val="24"/>
        </w:rPr>
        <w:t xml:space="preserve">pH</w:t>
      </w:r>
      <w:r>
        <w:rPr>
          <w:rFonts w:hint="eastAsia"/>
          <w:sz w:val="24"/>
        </w:rPr>
        <w:t xml:space="preserve">、水温、溶解氧、电导率、浊度、氨氮、高锰酸盐指数、总磷、总氮、化学需氧量）设备故障，未在</w:t>
      </w:r>
      <w:r>
        <w:rPr>
          <w:rFonts w:hint="eastAsia"/>
          <w:sz w:val="24"/>
        </w:rPr>
        <w:t xml:space="preserve">48h</w:t>
      </w:r>
      <w:r>
        <w:rPr>
          <w:rFonts w:hint="eastAsia"/>
          <w:sz w:val="24"/>
        </w:rPr>
        <w:t xml:space="preserve">内修复或启用备机替换并将监测数据上传平台的，每出现</w:t>
      </w:r>
      <w:r>
        <w:rPr>
          <w:rFonts w:hint="eastAsia"/>
          <w:sz w:val="24"/>
        </w:rPr>
        <w:t xml:space="preserve">1</w:t>
      </w:r>
      <w:r>
        <w:rPr>
          <w:rFonts w:hint="eastAsia"/>
          <w:sz w:val="24"/>
        </w:rPr>
        <w:t xml:space="preserve">次超期未解决情况扣除当月运维费的</w:t>
      </w:r>
      <w:r>
        <w:rPr>
          <w:rFonts w:hint="eastAsia"/>
          <w:sz w:val="24"/>
        </w:rPr>
        <w:t xml:space="preserve">10%</w:t>
      </w:r>
      <w:r>
        <w:rPr>
          <w:rFonts w:hint="eastAsia"/>
          <w:sz w:val="24"/>
        </w:rPr>
        <w:t xml:space="preserve">，扣完为止。</w:t>
      </w:r>
      <w:r/>
    </w:p>
    <w:p>
      <w:pPr>
        <w:contextualSpacing/>
        <w:ind w:firstLine="480"/>
        <w:spacing w:line="440" w:lineRule="exact"/>
        <w:tabs>
          <w:tab w:val="left" w:pos="2280" w:leader="none"/>
        </w:tabs>
        <w:rPr>
          <w:sz w:val="24"/>
        </w:rPr>
      </w:pPr>
      <w:r>
        <w:rPr>
          <w:rFonts w:hint="eastAsia"/>
          <w:sz w:val="24"/>
        </w:rPr>
        <w:t xml:space="preserve">5</w:t>
      </w:r>
      <w:r>
        <w:rPr>
          <w:rFonts w:hint="eastAsia"/>
          <w:sz w:val="24"/>
        </w:rPr>
        <w:t xml:space="preserve">、经甲方认定，乙方使用虚假信息进行停运申请和操作的，扣除该站点当月全部运维费。</w:t>
      </w:r>
      <w:r/>
    </w:p>
    <w:p>
      <w:pPr>
        <w:contextualSpacing/>
        <w:ind w:firstLine="480"/>
        <w:spacing w:line="440" w:lineRule="exact"/>
        <w:tabs>
          <w:tab w:val="left" w:pos="2280" w:leader="none"/>
        </w:tabs>
        <w:rPr>
          <w:sz w:val="24"/>
        </w:rPr>
      </w:pPr>
      <w:r>
        <w:rPr>
          <w:rFonts w:hint="eastAsia"/>
          <w:sz w:val="24"/>
        </w:rPr>
        <w:t xml:space="preserve">6</w:t>
      </w:r>
      <w:r>
        <w:rPr>
          <w:rFonts w:hint="eastAsia"/>
          <w:sz w:val="24"/>
        </w:rPr>
        <w:t xml:space="preserve">、存在其他严重违反合同约定或相关规范要求的情形，甲方根据实际情况酌情扣款。</w:t>
      </w:r>
      <w:r/>
    </w:p>
    <w:p>
      <w:pPr>
        <w:pStyle w:val="1490"/>
        <w:rPr>
          <w:b/>
          <w:bCs/>
          <w:color w:val="auto"/>
          <w:sz w:val="28"/>
          <w:szCs w:val="28"/>
        </w:rPr>
      </w:pPr>
      <w:r/>
      <w:bookmarkStart w:id="69" w:name="_Toc86147074"/>
      <w:r>
        <w:rPr>
          <w:b/>
          <w:bCs/>
          <w:color w:val="auto"/>
          <w:sz w:val="28"/>
          <w:szCs w:val="28"/>
        </w:rPr>
        <w:t xml:space="preserve">4</w:t>
      </w:r>
      <w:r>
        <w:rPr>
          <w:rFonts w:hint="eastAsia"/>
          <w:b/>
          <w:bCs/>
          <w:color w:val="auto"/>
          <w:sz w:val="28"/>
          <w:szCs w:val="28"/>
        </w:rPr>
        <w:t xml:space="preserve">.3其他规定</w:t>
      </w:r>
      <w:bookmarkEnd w:id="69"/>
      <w:r/>
      <w:r/>
    </w:p>
    <w:p>
      <w:pPr>
        <w:contextualSpacing/>
        <w:ind w:firstLine="480"/>
        <w:spacing w:line="440" w:lineRule="exact"/>
        <w:tabs>
          <w:tab w:val="left" w:pos="2280" w:leader="none"/>
        </w:tabs>
        <w:rPr>
          <w:sz w:val="24"/>
        </w:rPr>
      </w:pPr>
      <w:r>
        <w:rPr>
          <w:sz w:val="24"/>
        </w:rPr>
        <w:t xml:space="preserve">4.3.1</w:t>
      </w:r>
      <w:r>
        <w:rPr>
          <w:sz w:val="24"/>
        </w:rPr>
        <w:t xml:space="preserve">运维交接</w:t>
      </w:r>
      <w:r/>
    </w:p>
    <w:p>
      <w:pPr>
        <w:contextualSpacing/>
        <w:ind w:firstLine="480"/>
        <w:spacing w:line="440" w:lineRule="exact"/>
        <w:tabs>
          <w:tab w:val="left" w:pos="2280" w:leader="none"/>
        </w:tabs>
        <w:rPr>
          <w:sz w:val="24"/>
        </w:rPr>
      </w:pPr>
      <w:r>
        <w:rPr>
          <w:sz w:val="24"/>
        </w:rPr>
        <w:t xml:space="preserve">乙方应在规定时间内严格按要求完成交接工作。按照交接方案和运维合同约定，确保交出</w:t>
      </w:r>
      <w:r>
        <w:rPr>
          <w:rFonts w:hint="eastAsia"/>
          <w:sz w:val="24"/>
        </w:rPr>
        <w:t xml:space="preserve">的</w:t>
      </w:r>
      <w:r>
        <w:rPr>
          <w:sz w:val="24"/>
        </w:rPr>
        <w:t xml:space="preserve">地表水水质自动监测站符合相关技术规范要求。运维交接过程中，出现资产遗失、损坏、仪器性能功能不符合相关技术要求，拖欠相关费用等情形的，甲方依法追究乙方的相关责任。</w:t>
      </w:r>
      <w:r/>
    </w:p>
    <w:p>
      <w:pPr>
        <w:contextualSpacing/>
        <w:ind w:firstLine="480"/>
        <w:spacing w:line="440" w:lineRule="exact"/>
        <w:tabs>
          <w:tab w:val="left" w:pos="2280" w:leader="none"/>
        </w:tabs>
        <w:rPr>
          <w:sz w:val="24"/>
        </w:rPr>
      </w:pPr>
      <w:r>
        <w:rPr>
          <w:sz w:val="24"/>
        </w:rPr>
        <w:t xml:space="preserve">4.3.2</w:t>
      </w:r>
      <w:r>
        <w:rPr>
          <w:sz w:val="24"/>
        </w:rPr>
        <w:t xml:space="preserve">弄虚作假</w:t>
      </w:r>
      <w:r/>
    </w:p>
    <w:p>
      <w:pPr>
        <w:contextualSpacing/>
        <w:ind w:firstLine="480"/>
        <w:spacing w:line="440" w:lineRule="exact"/>
        <w:tabs>
          <w:tab w:val="left" w:pos="2280" w:leader="none"/>
        </w:tabs>
        <w:rPr>
          <w:sz w:val="24"/>
        </w:rPr>
      </w:pPr>
      <w:r>
        <w:rPr>
          <w:sz w:val="24"/>
        </w:rPr>
        <w:t xml:space="preserve">乙方及其人员实施或参与以下情形的，按弄虚作假处理，一经查实，扣除该站当月运维费，同时采取约谈、通报批评、解除合同等处罚，违反法律法规的，将交由相关部</w:t>
      </w:r>
      <w:r>
        <w:rPr>
          <w:sz w:val="24"/>
        </w:rPr>
        <w:t xml:space="preserve">门依法处理。</w:t>
      </w:r>
      <w:r/>
    </w:p>
    <w:p>
      <w:pPr>
        <w:contextualSpacing/>
        <w:ind w:firstLine="480"/>
        <w:spacing w:line="440" w:lineRule="exact"/>
        <w:tabs>
          <w:tab w:val="left" w:pos="2280" w:leader="none"/>
        </w:tabs>
        <w:rPr>
          <w:sz w:val="24"/>
        </w:rPr>
      </w:pPr>
      <w:r>
        <w:rPr>
          <w:sz w:val="24"/>
        </w:rPr>
        <w:t xml:space="preserve">（</w:t>
      </w:r>
      <w:r>
        <w:rPr>
          <w:sz w:val="24"/>
        </w:rPr>
        <w:t xml:space="preserve">1</w:t>
      </w:r>
      <w:r>
        <w:rPr>
          <w:sz w:val="24"/>
        </w:rPr>
        <w:t xml:space="preserve">）存在《环境监测数据弄虚作假行为判定及处理办法》中认定的篡改、伪造或者指使篡改、伪造监测数据行为的</w:t>
      </w:r>
      <w:r>
        <w:rPr>
          <w:rFonts w:hint="eastAsia"/>
          <w:sz w:val="24"/>
        </w:rPr>
        <w:t xml:space="preserve">。</w:t>
      </w:r>
      <w:r/>
    </w:p>
    <w:p>
      <w:pPr>
        <w:contextualSpacing/>
        <w:ind w:firstLine="480"/>
        <w:spacing w:line="440" w:lineRule="exact"/>
        <w:tabs>
          <w:tab w:val="left" w:pos="2280" w:leader="none"/>
        </w:tabs>
        <w:rPr>
          <w:sz w:val="24"/>
        </w:rPr>
      </w:pPr>
      <w:r>
        <w:rPr>
          <w:sz w:val="24"/>
        </w:rPr>
        <w:t xml:space="preserve">（</w:t>
      </w:r>
      <w:r>
        <w:rPr>
          <w:sz w:val="24"/>
        </w:rPr>
        <w:t xml:space="preserve">2</w:t>
      </w:r>
      <w:r>
        <w:rPr>
          <w:sz w:val="24"/>
        </w:rPr>
        <w:t xml:space="preserve">）存在关键参数虚假报备，或实际关键参数超出备案范围，对数据造成严重影响的</w:t>
      </w:r>
      <w:r>
        <w:rPr>
          <w:rFonts w:hint="eastAsia"/>
          <w:sz w:val="24"/>
        </w:rPr>
        <w:t xml:space="preserve">。</w:t>
      </w:r>
      <w:r/>
    </w:p>
    <w:p>
      <w:pPr>
        <w:contextualSpacing/>
        <w:ind w:firstLine="480"/>
        <w:spacing w:line="440" w:lineRule="exact"/>
        <w:tabs>
          <w:tab w:val="left" w:pos="2280" w:leader="none"/>
        </w:tabs>
        <w:rPr>
          <w:sz w:val="24"/>
        </w:rPr>
      </w:pPr>
      <w:r>
        <w:rPr>
          <w:sz w:val="24"/>
        </w:rPr>
        <w:t xml:space="preserve">（</w:t>
      </w:r>
      <w:r>
        <w:rPr>
          <w:sz w:val="24"/>
        </w:rPr>
        <w:t xml:space="preserve">3</w:t>
      </w:r>
      <w:r>
        <w:rPr>
          <w:sz w:val="24"/>
        </w:rPr>
        <w:t xml:space="preserve">）随意更改预处理装置，实际预处理方式及其启用</w:t>
      </w:r>
      <w:r>
        <w:rPr>
          <w:sz w:val="24"/>
        </w:rPr>
        <w:t xml:space="preserve">/</w:t>
      </w:r>
      <w:r>
        <w:rPr>
          <w:sz w:val="24"/>
        </w:rPr>
        <w:t xml:space="preserve">停用与报备方式不一致的</w:t>
      </w:r>
      <w:r>
        <w:rPr>
          <w:rFonts w:hint="eastAsia"/>
          <w:sz w:val="24"/>
        </w:rPr>
        <w:t xml:space="preserve">。</w:t>
      </w:r>
      <w:r/>
    </w:p>
    <w:p>
      <w:pPr>
        <w:contextualSpacing/>
        <w:ind w:firstLine="480"/>
        <w:spacing w:line="440" w:lineRule="exact"/>
        <w:tabs>
          <w:tab w:val="left" w:pos="2280" w:leader="none"/>
        </w:tabs>
        <w:rPr>
          <w:sz w:val="24"/>
        </w:rPr>
      </w:pPr>
      <w:r>
        <w:rPr>
          <w:sz w:val="24"/>
        </w:rPr>
        <w:t xml:space="preserve">（</w:t>
      </w:r>
      <w:r>
        <w:rPr>
          <w:sz w:val="24"/>
        </w:rPr>
        <w:t xml:space="preserve">4</w:t>
      </w:r>
      <w:r>
        <w:rPr>
          <w:sz w:val="24"/>
        </w:rPr>
        <w:t xml:space="preserve">）实施或参与干扰采水设施和自动监测设施、破坏水质自动监测系统的</w:t>
      </w:r>
      <w:r>
        <w:rPr>
          <w:rFonts w:hint="eastAsia"/>
          <w:sz w:val="24"/>
        </w:rPr>
        <w:t xml:space="preserve">。</w:t>
      </w:r>
      <w:r/>
    </w:p>
    <w:p>
      <w:pPr>
        <w:contextualSpacing/>
        <w:ind w:firstLine="480"/>
        <w:spacing w:line="440" w:lineRule="exact"/>
        <w:tabs>
          <w:tab w:val="left" w:pos="2280" w:leader="none"/>
        </w:tabs>
        <w:rPr>
          <w:sz w:val="24"/>
        </w:rPr>
      </w:pPr>
      <w:r>
        <w:rPr>
          <w:sz w:val="24"/>
        </w:rPr>
        <w:t xml:space="preserve">（</w:t>
      </w:r>
      <w:r>
        <w:rPr>
          <w:sz w:val="24"/>
        </w:rPr>
        <w:t xml:space="preserve">5</w:t>
      </w:r>
      <w:r>
        <w:rPr>
          <w:sz w:val="24"/>
        </w:rPr>
        <w:t xml:space="preserve">）其他造成水质自动监测数据严重失真的情形。</w:t>
      </w:r>
      <w:r/>
    </w:p>
    <w:p>
      <w:pPr>
        <w:jc w:val="left"/>
        <w:widowControl/>
        <w:rPr>
          <w:b/>
          <w:bCs/>
          <w:sz w:val="32"/>
          <w:szCs w:val="32"/>
        </w:rPr>
      </w:pPr>
      <w:r/>
      <w:bookmarkStart w:id="70" w:name="_Toc86147075"/>
      <w:r>
        <w:rPr>
          <w:b/>
          <w:bCs/>
          <w:sz w:val="32"/>
          <w:szCs w:val="32"/>
        </w:rPr>
        <w:t xml:space="preserve">5</w:t>
      </w:r>
      <w:r>
        <w:rPr>
          <w:rFonts w:hint="eastAsia"/>
          <w:b/>
          <w:bCs/>
          <w:sz w:val="32"/>
          <w:szCs w:val="32"/>
        </w:rPr>
        <w:t xml:space="preserve">、技术规范和标准</w:t>
      </w:r>
      <w:bookmarkEnd w:id="70"/>
      <w:r/>
      <w:r/>
    </w:p>
    <w:p>
      <w:pPr>
        <w:contextualSpacing/>
        <w:ind w:firstLine="480"/>
        <w:spacing w:line="440" w:lineRule="exact"/>
        <w:tabs>
          <w:tab w:val="left" w:pos="2280" w:leader="none"/>
        </w:tabs>
        <w:rPr>
          <w:sz w:val="24"/>
        </w:rPr>
      </w:pPr>
      <w:r>
        <w:rPr>
          <w:sz w:val="24"/>
        </w:rPr>
        <w:t xml:space="preserve">5</w:t>
      </w:r>
      <w:r>
        <w:rPr>
          <w:rFonts w:hint="eastAsia"/>
          <w:sz w:val="24"/>
        </w:rPr>
        <w:t xml:space="preserve">.1 </w:t>
      </w:r>
      <w:r>
        <w:rPr>
          <w:rFonts w:hint="eastAsia"/>
          <w:sz w:val="24"/>
        </w:rPr>
        <w:t xml:space="preserve">《地表水环境质量监测技术规范》（</w:t>
      </w:r>
      <w:r>
        <w:rPr>
          <w:rFonts w:hint="eastAsia"/>
          <w:sz w:val="24"/>
        </w:rPr>
        <w:t xml:space="preserve">HJ 91.2</w:t>
      </w:r>
      <w:r>
        <w:rPr>
          <w:rFonts w:hint="eastAsia"/>
          <w:sz w:val="24"/>
        </w:rPr>
        <w:t xml:space="preserve">—</w:t>
      </w:r>
      <w:r>
        <w:rPr>
          <w:rFonts w:hint="eastAsia"/>
          <w:sz w:val="24"/>
        </w:rPr>
        <w:t xml:space="preserve">2022 </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5.2 </w:t>
      </w:r>
      <w:r>
        <w:rPr>
          <w:rFonts w:hint="eastAsia"/>
          <w:sz w:val="24"/>
        </w:rPr>
        <w:t xml:space="preserve">《水质</w:t>
      </w:r>
      <w:r>
        <w:rPr>
          <w:rFonts w:hint="eastAsia"/>
          <w:sz w:val="24"/>
        </w:rPr>
        <w:t xml:space="preserve"> </w:t>
      </w:r>
      <w:r>
        <w:rPr>
          <w:rFonts w:hint="eastAsia"/>
          <w:sz w:val="24"/>
        </w:rPr>
        <w:t xml:space="preserve">水温的测定</w:t>
      </w:r>
      <w:r>
        <w:rPr>
          <w:rFonts w:hint="eastAsia"/>
          <w:sz w:val="24"/>
        </w:rPr>
        <w:t xml:space="preserve"> </w:t>
      </w:r>
      <w:r>
        <w:rPr>
          <w:rFonts w:hint="eastAsia"/>
          <w:sz w:val="24"/>
        </w:rPr>
        <w:t xml:space="preserve">传感器法》（</w:t>
      </w:r>
      <w:r>
        <w:rPr>
          <w:rFonts w:hint="eastAsia"/>
          <w:sz w:val="24"/>
        </w:rPr>
        <w:t xml:space="preserve">HJ 1396</w:t>
      </w:r>
      <w:r>
        <w:rPr>
          <w:rFonts w:hint="eastAsia"/>
          <w:sz w:val="24"/>
        </w:rPr>
        <w:t xml:space="preserve">—</w:t>
      </w:r>
      <w:r>
        <w:rPr>
          <w:rFonts w:hint="eastAsia"/>
          <w:sz w:val="24"/>
        </w:rPr>
        <w:t xml:space="preserve">2024</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5.3 </w:t>
      </w:r>
      <w:r>
        <w:rPr>
          <w:rFonts w:hint="eastAsia"/>
          <w:sz w:val="24"/>
        </w:rPr>
        <w:t xml:space="preserve">《</w:t>
      </w:r>
      <w:r>
        <w:rPr>
          <w:rFonts w:hint="eastAsia"/>
          <w:sz w:val="24"/>
        </w:rPr>
        <w:t xml:space="preserve">pH</w:t>
      </w:r>
      <w:r>
        <w:rPr>
          <w:rFonts w:hint="eastAsia"/>
          <w:sz w:val="24"/>
        </w:rPr>
        <w:t xml:space="preserve">水质自动分析仪技术要求》（</w:t>
      </w:r>
      <w:r>
        <w:rPr>
          <w:rFonts w:hint="eastAsia"/>
          <w:sz w:val="24"/>
        </w:rPr>
        <w:t xml:space="preserve">HJ/T 96</w:t>
      </w:r>
      <w:r>
        <w:rPr>
          <w:rFonts w:hint="eastAsia"/>
          <w:sz w:val="24"/>
        </w:rPr>
        <w:t xml:space="preserve">—</w:t>
      </w:r>
      <w:r>
        <w:rPr>
          <w:rFonts w:hint="eastAsia"/>
          <w:sz w:val="24"/>
        </w:rPr>
        <w:t xml:space="preserve">2003</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5.4 </w:t>
      </w:r>
      <w:r>
        <w:rPr>
          <w:rFonts w:hint="eastAsia"/>
          <w:sz w:val="24"/>
        </w:rPr>
        <w:t xml:space="preserve">《电导率水质自动分析仪技术要求》（</w:t>
      </w:r>
      <w:r>
        <w:rPr>
          <w:rFonts w:hint="eastAsia"/>
          <w:sz w:val="24"/>
        </w:rPr>
        <w:t xml:space="preserve">HJ/T 97</w:t>
      </w:r>
      <w:r>
        <w:rPr>
          <w:rFonts w:hint="eastAsia"/>
          <w:sz w:val="24"/>
        </w:rPr>
        <w:t xml:space="preserve">—</w:t>
      </w:r>
      <w:r>
        <w:rPr>
          <w:rFonts w:hint="eastAsia"/>
          <w:sz w:val="24"/>
        </w:rPr>
        <w:t xml:space="preserve">2003</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5.5 </w:t>
      </w:r>
      <w:r>
        <w:rPr>
          <w:rFonts w:hint="eastAsia"/>
          <w:sz w:val="24"/>
        </w:rPr>
        <w:t xml:space="preserve">《浊度水质自动分析仪技术要求》（</w:t>
      </w:r>
      <w:r>
        <w:rPr>
          <w:rFonts w:hint="eastAsia"/>
          <w:sz w:val="24"/>
        </w:rPr>
        <w:t xml:space="preserve">HJ/T 98</w:t>
      </w:r>
      <w:r>
        <w:rPr>
          <w:rFonts w:hint="eastAsia"/>
          <w:sz w:val="24"/>
        </w:rPr>
        <w:t xml:space="preserve">—</w:t>
      </w:r>
      <w:r>
        <w:rPr>
          <w:rFonts w:hint="eastAsia"/>
          <w:sz w:val="24"/>
        </w:rPr>
        <w:t xml:space="preserve">2003</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5.6 </w:t>
      </w:r>
      <w:r>
        <w:rPr>
          <w:rFonts w:hint="eastAsia"/>
          <w:sz w:val="24"/>
        </w:rPr>
        <w:t xml:space="preserve">《溶解氧（</w:t>
      </w:r>
      <w:r>
        <w:rPr>
          <w:rFonts w:hint="eastAsia"/>
          <w:sz w:val="24"/>
        </w:rPr>
        <w:t xml:space="preserve">DO</w:t>
      </w:r>
      <w:r>
        <w:rPr>
          <w:rFonts w:hint="eastAsia"/>
          <w:sz w:val="24"/>
        </w:rPr>
        <w:t xml:space="preserve">）水质自动分析仪技术要求》（</w:t>
      </w:r>
      <w:r>
        <w:rPr>
          <w:rFonts w:hint="eastAsia"/>
          <w:sz w:val="24"/>
        </w:rPr>
        <w:t xml:space="preserve">HJ/T 99</w:t>
      </w:r>
      <w:r>
        <w:rPr>
          <w:rFonts w:hint="eastAsia"/>
          <w:sz w:val="24"/>
        </w:rPr>
        <w:t xml:space="preserve">—</w:t>
      </w:r>
      <w:r>
        <w:rPr>
          <w:rFonts w:hint="eastAsia"/>
          <w:sz w:val="24"/>
        </w:rPr>
        <w:t xml:space="preserve">2003</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5.7 </w:t>
      </w:r>
      <w:r>
        <w:rPr>
          <w:rFonts w:hint="eastAsia"/>
          <w:sz w:val="24"/>
        </w:rPr>
        <w:t xml:space="preserve">《高锰酸盐指数水质自动分析仪技术要求》（</w:t>
      </w:r>
      <w:r>
        <w:rPr>
          <w:rFonts w:hint="eastAsia"/>
          <w:sz w:val="24"/>
        </w:rPr>
        <w:t xml:space="preserve">HJ/T 100</w:t>
      </w:r>
      <w:r>
        <w:rPr>
          <w:rFonts w:hint="eastAsia"/>
          <w:sz w:val="24"/>
        </w:rPr>
        <w:t xml:space="preserve">—</w:t>
      </w:r>
      <w:r>
        <w:rPr>
          <w:rFonts w:hint="eastAsia"/>
          <w:sz w:val="24"/>
        </w:rPr>
        <w:t xml:space="preserve">2003</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5.8 </w:t>
      </w:r>
      <w:r>
        <w:rPr>
          <w:rFonts w:hint="eastAsia"/>
          <w:sz w:val="24"/>
        </w:rPr>
        <w:t xml:space="preserve">《氨氮水质在线自动监测仪技术要求及检测方法》（</w:t>
      </w:r>
      <w:r>
        <w:rPr>
          <w:rFonts w:hint="eastAsia"/>
          <w:sz w:val="24"/>
        </w:rPr>
        <w:t xml:space="preserve">HJ/T 101</w:t>
      </w:r>
      <w:r>
        <w:rPr>
          <w:rFonts w:hint="eastAsia"/>
          <w:sz w:val="24"/>
        </w:rPr>
        <w:t xml:space="preserve">—</w:t>
      </w:r>
      <w:r>
        <w:rPr>
          <w:rFonts w:hint="eastAsia"/>
          <w:sz w:val="24"/>
        </w:rPr>
        <w:t xml:space="preserve">2019</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5.9 </w:t>
      </w:r>
      <w:r>
        <w:rPr>
          <w:rFonts w:hint="eastAsia"/>
          <w:sz w:val="24"/>
        </w:rPr>
        <w:t xml:space="preserve">《总磷水质自动分析仪技术要求》（</w:t>
      </w:r>
      <w:r>
        <w:rPr>
          <w:rFonts w:hint="eastAsia"/>
          <w:sz w:val="24"/>
        </w:rPr>
        <w:t xml:space="preserve">HJ/T 103</w:t>
      </w:r>
      <w:r>
        <w:rPr>
          <w:rFonts w:hint="eastAsia"/>
          <w:sz w:val="24"/>
        </w:rPr>
        <w:t xml:space="preserve">—</w:t>
      </w:r>
      <w:r>
        <w:rPr>
          <w:rFonts w:hint="eastAsia"/>
          <w:sz w:val="24"/>
        </w:rPr>
        <w:t xml:space="preserve">2003</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5.10 </w:t>
      </w:r>
      <w:r>
        <w:rPr>
          <w:rFonts w:hint="eastAsia"/>
          <w:sz w:val="24"/>
        </w:rPr>
        <w:t xml:space="preserve">《总氮水质自动分析仪技术要求》（</w:t>
      </w:r>
      <w:r>
        <w:rPr>
          <w:rFonts w:hint="eastAsia"/>
          <w:sz w:val="24"/>
        </w:rPr>
        <w:t xml:space="preserve">HJ/T 102</w:t>
      </w:r>
      <w:r>
        <w:rPr>
          <w:rFonts w:hint="eastAsia"/>
          <w:sz w:val="24"/>
        </w:rPr>
        <w:t xml:space="preserve">—</w:t>
      </w:r>
      <w:r>
        <w:rPr>
          <w:rFonts w:hint="eastAsia"/>
          <w:sz w:val="24"/>
        </w:rPr>
        <w:t xml:space="preserve">2003</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5.11 </w:t>
      </w:r>
      <w:r>
        <w:rPr>
          <w:rFonts w:hint="eastAsia"/>
          <w:sz w:val="24"/>
        </w:rPr>
        <w:t xml:space="preserve">《地表水水质自动监测站（常规五参数、</w:t>
      </w:r>
      <w:r>
        <w:rPr>
          <w:rFonts w:hint="eastAsia"/>
          <w:sz w:val="24"/>
        </w:rPr>
        <w:t xml:space="preserve"> CODMn</w:t>
      </w:r>
      <w:r>
        <w:rPr>
          <w:rFonts w:hint="eastAsia"/>
          <w:sz w:val="24"/>
        </w:rPr>
        <w:t xml:space="preserve">、</w:t>
      </w:r>
      <w:r>
        <w:rPr>
          <w:rFonts w:hint="eastAsia"/>
          <w:sz w:val="24"/>
        </w:rPr>
        <w:t xml:space="preserve">NH3-N</w:t>
      </w:r>
      <w:r>
        <w:rPr>
          <w:rFonts w:hint="eastAsia"/>
          <w:sz w:val="24"/>
        </w:rPr>
        <w:t xml:space="preserve">、</w:t>
      </w:r>
      <w:r>
        <w:rPr>
          <w:rFonts w:hint="eastAsia"/>
          <w:sz w:val="24"/>
        </w:rPr>
        <w:t xml:space="preserve">TP</w:t>
      </w:r>
      <w:r>
        <w:rPr>
          <w:rFonts w:hint="eastAsia"/>
          <w:sz w:val="24"/>
        </w:rPr>
        <w:t xml:space="preserve">、</w:t>
      </w:r>
      <w:r>
        <w:rPr>
          <w:rFonts w:hint="eastAsia"/>
          <w:sz w:val="24"/>
        </w:rPr>
        <w:t xml:space="preserve">TN</w:t>
      </w:r>
      <w:r>
        <w:rPr>
          <w:rFonts w:hint="eastAsia"/>
          <w:sz w:val="24"/>
        </w:rPr>
        <w:t xml:space="preserve">）运行维护技术规范》（</w:t>
      </w:r>
      <w:r>
        <w:rPr>
          <w:rFonts w:hint="eastAsia"/>
          <w:sz w:val="24"/>
        </w:rPr>
        <w:t xml:space="preserve">HJ 915.3-2024</w:t>
      </w:r>
      <w:r>
        <w:rPr>
          <w:rFonts w:hint="eastAsia"/>
          <w:sz w:val="24"/>
        </w:rPr>
        <w:t xml:space="preserve">部分代替</w:t>
      </w:r>
      <w:r>
        <w:rPr>
          <w:rFonts w:hint="eastAsia"/>
          <w:sz w:val="24"/>
        </w:rPr>
        <w:t xml:space="preserve"> HJ 915-2017</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5.12 </w:t>
      </w:r>
      <w:r>
        <w:rPr>
          <w:rFonts w:hint="eastAsia"/>
          <w:sz w:val="24"/>
        </w:rPr>
        <w:t xml:space="preserve">《环境水质（地表水）自动监测站运行维护技术规范》（</w:t>
      </w:r>
      <w:r>
        <w:rPr>
          <w:rFonts w:hint="eastAsia"/>
          <w:sz w:val="24"/>
        </w:rPr>
        <w:t xml:space="preserve">DB 32/T 4536-2023</w:t>
      </w:r>
      <w:r>
        <w:rPr>
          <w:rFonts w:hint="eastAsia"/>
          <w:sz w:val="24"/>
        </w:rPr>
        <w:t xml:space="preserve">）</w:t>
      </w:r>
      <w:r/>
    </w:p>
    <w:p>
      <w:pPr>
        <w:contextualSpacing/>
        <w:ind w:firstLine="480"/>
        <w:spacing w:line="440" w:lineRule="exact"/>
        <w:tabs>
          <w:tab w:val="left" w:pos="2280" w:leader="none"/>
        </w:tabs>
        <w:rPr>
          <w:sz w:val="24"/>
        </w:rPr>
      </w:pPr>
      <w:r>
        <w:rPr>
          <w:rFonts w:hint="eastAsia"/>
          <w:sz w:val="24"/>
        </w:rPr>
        <w:t xml:space="preserve">5.13 </w:t>
      </w:r>
      <w:r>
        <w:rPr>
          <w:sz w:val="24"/>
        </w:rPr>
        <w:t xml:space="preserve">《国家地表水水质自动监测站运行维护管理实施细则（试行）》（总站水字〔</w:t>
      </w:r>
      <w:r>
        <w:rPr>
          <w:sz w:val="24"/>
        </w:rPr>
        <w:t xml:space="preserve">20</w:t>
      </w:r>
      <w:r>
        <w:rPr>
          <w:rFonts w:hint="eastAsia"/>
          <w:sz w:val="24"/>
        </w:rPr>
        <w:t xml:space="preserve">22</w:t>
      </w:r>
      <w:r>
        <w:rPr>
          <w:sz w:val="24"/>
        </w:rPr>
        <w:t xml:space="preserve">〕</w:t>
      </w:r>
      <w:r>
        <w:rPr>
          <w:rFonts w:hint="eastAsia"/>
          <w:sz w:val="24"/>
        </w:rPr>
        <w:t xml:space="preserve">494</w:t>
      </w:r>
      <w:r>
        <w:rPr>
          <w:sz w:val="24"/>
        </w:rPr>
        <w:t xml:space="preserve">号）</w:t>
      </w:r>
      <w:r/>
    </w:p>
    <w:p>
      <w:pPr>
        <w:contextualSpacing/>
        <w:ind w:firstLine="480"/>
        <w:spacing w:line="440" w:lineRule="exact"/>
        <w:tabs>
          <w:tab w:val="left" w:pos="2280" w:leader="none"/>
        </w:tabs>
        <w:rPr>
          <w:sz w:val="24"/>
        </w:rPr>
      </w:pPr>
      <w:r>
        <w:rPr>
          <w:rFonts w:hint="eastAsia"/>
          <w:sz w:val="24"/>
        </w:rPr>
        <w:t xml:space="preserve">5.14</w:t>
      </w:r>
      <w:r>
        <w:rPr>
          <w:rFonts w:hint="eastAsia"/>
          <w:sz w:val="24"/>
        </w:rPr>
        <w:t xml:space="preserve">《江苏省地表水自动监测站运行管理办法（试行）》（苏环办〔</w:t>
      </w:r>
      <w:r>
        <w:rPr>
          <w:rFonts w:hint="eastAsia"/>
          <w:sz w:val="24"/>
        </w:rPr>
        <w:t xml:space="preserve">2020</w:t>
      </w:r>
      <w:r>
        <w:rPr>
          <w:rFonts w:hint="eastAsia"/>
          <w:sz w:val="24"/>
        </w:rPr>
        <w:t xml:space="preserve">〕</w:t>
      </w:r>
      <w:r>
        <w:rPr>
          <w:rFonts w:hint="eastAsia"/>
          <w:sz w:val="24"/>
        </w:rPr>
        <w:t xml:space="preserve">174</w:t>
      </w:r>
      <w:r>
        <w:rPr>
          <w:rFonts w:hint="eastAsia"/>
          <w:sz w:val="24"/>
        </w:rPr>
        <w:t xml:space="preserve">号）</w:t>
      </w:r>
      <w:r/>
    </w:p>
    <w:p>
      <w:pPr>
        <w:contextualSpacing/>
        <w:ind w:firstLine="480"/>
        <w:spacing w:line="440" w:lineRule="exact"/>
        <w:tabs>
          <w:tab w:val="left" w:pos="2280" w:leader="none"/>
        </w:tabs>
        <w:rPr>
          <w:sz w:val="24"/>
        </w:rPr>
      </w:pPr>
      <w:r>
        <w:rPr>
          <w:rFonts w:hint="eastAsia"/>
          <w:sz w:val="24"/>
        </w:rPr>
        <w:t xml:space="preserve">5.15</w:t>
      </w:r>
      <w:r>
        <w:rPr>
          <w:sz w:val="24"/>
        </w:rPr>
        <w:t xml:space="preserve">《省生态环境厅关于印发</w:t>
      </w:r>
      <w:r>
        <w:rPr>
          <w:rFonts w:hint="eastAsia"/>
          <w:sz w:val="24"/>
        </w:rPr>
        <w:t xml:space="preserve">&lt;</w:t>
      </w:r>
      <w:r>
        <w:rPr>
          <w:sz w:val="24"/>
        </w:rPr>
        <w:t xml:space="preserve">江苏省地表水水质自动监测站建设技术规范（试行）</w:t>
      </w:r>
      <w:r>
        <w:rPr>
          <w:rFonts w:hint="eastAsia"/>
          <w:sz w:val="24"/>
        </w:rPr>
        <w:t xml:space="preserve">&gt;</w:t>
      </w:r>
      <w:r>
        <w:rPr>
          <w:sz w:val="24"/>
        </w:rPr>
        <w:t xml:space="preserve">及</w:t>
      </w:r>
      <w:r>
        <w:rPr>
          <w:rFonts w:hint="eastAsia"/>
          <w:sz w:val="24"/>
        </w:rPr>
        <w:t xml:space="preserve">&lt;</w:t>
      </w:r>
      <w:r>
        <w:rPr>
          <w:sz w:val="24"/>
        </w:rPr>
        <w:t xml:space="preserve">江苏省地表水水质自动监测站安装验收技术规范（试行）</w:t>
      </w:r>
      <w:r>
        <w:rPr>
          <w:rFonts w:hint="eastAsia"/>
          <w:sz w:val="24"/>
        </w:rPr>
        <w:t xml:space="preserve">&gt;</w:t>
      </w:r>
      <w:r>
        <w:rPr>
          <w:sz w:val="24"/>
        </w:rPr>
        <w:t xml:space="preserve">的通知》（苏环办〔</w:t>
      </w:r>
      <w:r>
        <w:rPr>
          <w:sz w:val="24"/>
        </w:rPr>
        <w:t xml:space="preserve">2024</w:t>
      </w:r>
      <w:r>
        <w:rPr>
          <w:sz w:val="24"/>
        </w:rPr>
        <w:t xml:space="preserve">〕</w:t>
      </w:r>
      <w:r>
        <w:rPr>
          <w:sz w:val="24"/>
        </w:rPr>
        <w:t xml:space="preserve">37</w:t>
      </w:r>
      <w:r>
        <w:rPr>
          <w:sz w:val="24"/>
        </w:rPr>
        <w:t xml:space="preserve">号）</w:t>
      </w:r>
      <w:r/>
    </w:p>
    <w:p>
      <w:pPr>
        <w:rPr>
          <w:rFonts w:ascii="黑体" w:hAnsi="黑体" w:eastAsia="黑体"/>
          <w:sz w:val="32"/>
          <w:szCs w:val="32"/>
        </w:rPr>
      </w:pPr>
      <w:r>
        <w:rPr>
          <w:rFonts w:hint="eastAsia" w:ascii="黑体" w:hAnsi="黑体" w:eastAsia="黑体"/>
          <w:sz w:val="32"/>
          <w:szCs w:val="32"/>
        </w:rPr>
        <w:t xml:space="preserve">6、报价要求</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1</w:t>
      </w:r>
      <w:r>
        <w:rPr>
          <w:rFonts w:hint="eastAsia"/>
          <w:sz w:val="24"/>
        </w:rPr>
        <w:t xml:space="preserve">）本项目报价为全包费用方式。供应商报价时应考虑包括人工、设备、材料、保险、通讯、交通、管理费、利润、政策风险、市场风险及相关税费等各类费用组成，</w:t>
      </w:r>
      <w:r>
        <w:rPr>
          <w:rFonts w:hint="eastAsia"/>
          <w:sz w:val="24"/>
        </w:rPr>
        <w:t xml:space="preserve">以及为完成采购文件规定的该项服务工作所涉及到的一切相关费用进行综合报价。中标后，供应商由于考虑不周，漏报、少报而要求追加报价将不会被采购单位所接受。</w:t>
      </w:r>
      <w:r/>
    </w:p>
    <w:p>
      <w:pPr>
        <w:contextualSpacing/>
        <w:ind w:firstLine="480"/>
        <w:spacing w:line="440" w:lineRule="exact"/>
        <w:tabs>
          <w:tab w:val="left" w:pos="2280" w:leader="none"/>
        </w:tabs>
        <w:rPr>
          <w:sz w:val="24"/>
        </w:rPr>
      </w:pPr>
      <w:r>
        <w:rPr>
          <w:rFonts w:hint="eastAsia"/>
          <w:sz w:val="24"/>
        </w:rPr>
        <w:t xml:space="preserve">（</w:t>
      </w:r>
      <w:r>
        <w:rPr>
          <w:rFonts w:hint="eastAsia"/>
          <w:sz w:val="24"/>
        </w:rPr>
        <w:t xml:space="preserve">2</w:t>
      </w:r>
      <w:r>
        <w:rPr>
          <w:rFonts w:hint="eastAsia"/>
          <w:sz w:val="24"/>
        </w:rPr>
        <w:t xml:space="preserve">）供应商的任何错漏、优惠、竞争性报价不得作为减轻责任、减少服务、增加收费、降低质量的理由。在验收过程中，如发现有漏项、缺件，供应商应无条件、无偿补齐，所发生的一切费用，视为已包含在供应商的最终投标报价中。</w:t>
      </w:r>
      <w:r/>
    </w:p>
    <w:p>
      <w:pPr>
        <w:contextualSpacing/>
        <w:ind w:firstLine="480"/>
        <w:jc w:val="center"/>
        <w:spacing w:line="440" w:lineRule="exact"/>
        <w:tabs>
          <w:tab w:val="left" w:pos="2280" w:leader="none"/>
        </w:tabs>
        <w:rPr>
          <w:rFonts w:cs="Arial" w:asciiTheme="minorEastAsia" w:hAnsiTheme="minorEastAsia" w:eastAsiaTheme="minorEastAsia"/>
          <w:b/>
          <w:sz w:val="32"/>
          <w:szCs w:val="32"/>
          <w:lang w:val="zh-CN"/>
        </w:rPr>
      </w:pPr>
      <w:r>
        <w:rPr>
          <w:sz w:val="24"/>
        </w:rPr>
        <w:br w:type="page" w:clear="all"/>
      </w:r>
      <w:r>
        <w:rPr>
          <w:rFonts w:hint="eastAsia" w:asciiTheme="minorEastAsia" w:hAnsiTheme="minorEastAsia" w:eastAsiaTheme="minorEastAsia"/>
          <w:b/>
          <w:sz w:val="32"/>
          <w:szCs w:val="32"/>
          <w:lang w:val="zh-CN"/>
        </w:rPr>
        <w:t xml:space="preserve">第五章 合同主要条款及格式</w:t>
      </w:r>
      <w:r/>
    </w:p>
    <w:p>
      <w:pPr>
        <w:ind w:right="-110" w:firstLine="723"/>
        <w:jc w:val="center"/>
        <w:rPr>
          <w:rFonts w:cs="Arial" w:asciiTheme="minorEastAsia" w:hAnsiTheme="minorEastAsia" w:eastAsiaTheme="minorEastAsia"/>
          <w:sz w:val="36"/>
          <w:szCs w:val="36"/>
          <w:lang w:val="zh-CN"/>
        </w:rPr>
      </w:pPr>
      <w:r>
        <w:rPr>
          <w:rFonts w:cs="Arial" w:asciiTheme="minorEastAsia" w:hAnsiTheme="minorEastAsia" w:eastAsiaTheme="minorEastAsia"/>
          <w:sz w:val="36"/>
          <w:szCs w:val="36"/>
          <w:lang w:val="zh-CN"/>
        </w:rPr>
      </w:r>
      <w:r/>
    </w:p>
    <w:p>
      <w:pPr>
        <w:ind w:right="-110" w:firstLine="723"/>
        <w:jc w:val="center"/>
        <w:rPr>
          <w:rFonts w:cs="Arial" w:asciiTheme="minorEastAsia" w:hAnsiTheme="minorEastAsia" w:eastAsiaTheme="minorEastAsia"/>
          <w:sz w:val="36"/>
          <w:szCs w:val="36"/>
          <w:lang w:val="zh-CN"/>
        </w:rPr>
      </w:pPr>
      <w:r>
        <w:rPr>
          <w:rFonts w:cs="Arial" w:asciiTheme="minorEastAsia" w:hAnsiTheme="minorEastAsia" w:eastAsiaTheme="minorEastAsia"/>
          <w:sz w:val="36"/>
          <w:szCs w:val="36"/>
          <w:lang w:val="zh-CN"/>
        </w:rPr>
      </w:r>
      <w:r/>
    </w:p>
    <w:p>
      <w:pPr>
        <w:ind w:right="-110" w:firstLine="1044"/>
        <w:jc w:val="center"/>
        <w:rPr>
          <w:rFonts w:asciiTheme="minorEastAsia" w:hAnsiTheme="minorEastAsia" w:eastAsiaTheme="minorEastAsia"/>
          <w:sz w:val="52"/>
        </w:rPr>
      </w:pPr>
      <w:r>
        <w:rPr>
          <w:rFonts w:hint="eastAsia" w:asciiTheme="minorEastAsia" w:hAnsiTheme="minorEastAsia" w:eastAsiaTheme="minorEastAsia"/>
          <w:sz w:val="52"/>
        </w:rPr>
        <w:t xml:space="preserve">南京市政府采购合同</w:t>
      </w:r>
      <w:r/>
    </w:p>
    <w:p>
      <w:pPr>
        <w:ind w:right="-110" w:firstLine="1807"/>
        <w:rPr>
          <w:rFonts w:asciiTheme="minorEastAsia" w:hAnsiTheme="minorEastAsia" w:eastAsiaTheme="minorEastAsia"/>
          <w:b/>
          <w:sz w:val="36"/>
        </w:rPr>
      </w:pPr>
      <w:r>
        <w:rPr>
          <w:rFonts w:asciiTheme="minorEastAsia" w:hAnsiTheme="minorEastAsia" w:eastAsiaTheme="minorEastAsia"/>
          <w:b/>
          <w:sz w:val="36"/>
        </w:rPr>
      </w:r>
      <w:r/>
    </w:p>
    <w:p>
      <w:pPr>
        <w:ind w:right="-110" w:firstLine="1807"/>
        <w:rPr>
          <w:rFonts w:asciiTheme="minorEastAsia" w:hAnsiTheme="minorEastAsia" w:eastAsiaTheme="minorEastAsia"/>
          <w:b/>
          <w:sz w:val="36"/>
        </w:rPr>
      </w:pPr>
      <w:r>
        <w:rPr>
          <w:rFonts w:asciiTheme="minorEastAsia" w:hAnsiTheme="minorEastAsia" w:eastAsiaTheme="minorEastAsia"/>
          <w:b/>
          <w:sz w:val="36"/>
        </w:rPr>
      </w:r>
      <w:r/>
    </w:p>
    <w:p>
      <w:pPr>
        <w:ind w:right="-110" w:firstLine="3614"/>
        <w:rPr>
          <w:rFonts w:asciiTheme="minorEastAsia" w:hAnsiTheme="minorEastAsia" w:eastAsiaTheme="minorEastAsia"/>
          <w:b/>
          <w:sz w:val="36"/>
        </w:rPr>
      </w:pPr>
      <w:r>
        <w:rPr>
          <w:rFonts w:hint="eastAsia" w:asciiTheme="minorEastAsia" w:hAnsiTheme="minorEastAsia" w:eastAsiaTheme="minorEastAsia"/>
          <w:b/>
          <w:sz w:val="36"/>
        </w:rPr>
        <w:t xml:space="preserve">（仅供参考）</w:t>
      </w:r>
      <w:r/>
    </w:p>
    <w:p>
      <w:pPr>
        <w:ind w:right="-110" w:firstLine="1807"/>
        <w:rPr>
          <w:rFonts w:asciiTheme="minorEastAsia" w:hAnsiTheme="minorEastAsia" w:eastAsiaTheme="minorEastAsia"/>
          <w:b/>
          <w:sz w:val="36"/>
        </w:rPr>
      </w:pPr>
      <w:r>
        <w:rPr>
          <w:rFonts w:asciiTheme="minorEastAsia" w:hAnsiTheme="minorEastAsia" w:eastAsiaTheme="minorEastAsia"/>
          <w:b/>
          <w:sz w:val="36"/>
        </w:rPr>
      </w:r>
      <w:r/>
    </w:p>
    <w:p>
      <w:pPr>
        <w:ind w:right="-110" w:firstLine="1807"/>
        <w:rPr>
          <w:rFonts w:asciiTheme="minorEastAsia" w:hAnsiTheme="minorEastAsia" w:eastAsiaTheme="minorEastAsia"/>
          <w:b/>
          <w:sz w:val="36"/>
        </w:rPr>
      </w:pPr>
      <w:r>
        <w:rPr>
          <w:rFonts w:asciiTheme="minorEastAsia" w:hAnsiTheme="minorEastAsia" w:eastAsiaTheme="minorEastAsia"/>
          <w:b/>
          <w:sz w:val="36"/>
        </w:rPr>
      </w:r>
      <w:r/>
    </w:p>
    <w:p>
      <w:pPr>
        <w:ind w:right="-110" w:firstLine="723"/>
        <w:rPr>
          <w:rFonts w:asciiTheme="minorEastAsia" w:hAnsiTheme="minorEastAsia" w:eastAsiaTheme="minorEastAsia"/>
          <w:b/>
          <w:sz w:val="36"/>
        </w:rPr>
      </w:pPr>
      <w:r>
        <w:rPr>
          <w:rFonts w:hint="eastAsia" w:asciiTheme="minorEastAsia" w:hAnsiTheme="minorEastAsia" w:eastAsiaTheme="minorEastAsia"/>
          <w:b/>
          <w:sz w:val="36"/>
        </w:rPr>
        <w:t xml:space="preserve">合同编号：</w:t>
      </w:r>
      <w:r/>
    </w:p>
    <w:p>
      <w:pPr>
        <w:ind w:right="-110" w:firstLine="723"/>
        <w:rPr>
          <w:rFonts w:asciiTheme="minorEastAsia" w:hAnsiTheme="minorEastAsia" w:eastAsiaTheme="minorEastAsia"/>
          <w:b/>
          <w:sz w:val="36"/>
          <w:u w:val="single"/>
        </w:rPr>
      </w:pPr>
      <w:r>
        <w:rPr>
          <w:rFonts w:hint="eastAsia" w:asciiTheme="minorEastAsia" w:hAnsiTheme="minorEastAsia" w:eastAsiaTheme="minorEastAsia"/>
          <w:b/>
          <w:sz w:val="36"/>
        </w:rPr>
        <w:t xml:space="preserve">项目名称：</w:t>
      </w:r>
      <w:r/>
    </w:p>
    <w:p>
      <w:pPr>
        <w:ind w:right="-110" w:firstLine="723"/>
        <w:rPr>
          <w:rFonts w:asciiTheme="minorEastAsia" w:hAnsiTheme="minorEastAsia" w:eastAsiaTheme="minorEastAsia"/>
          <w:b/>
          <w:sz w:val="36"/>
          <w:u w:val="single"/>
        </w:rPr>
      </w:pPr>
      <w:r>
        <w:rPr>
          <w:rFonts w:hint="eastAsia" w:asciiTheme="minorEastAsia" w:hAnsiTheme="minorEastAsia" w:eastAsiaTheme="minorEastAsia"/>
          <w:b/>
          <w:sz w:val="36"/>
        </w:rPr>
        <w:t xml:space="preserve">采购人：</w:t>
      </w:r>
      <w:r/>
    </w:p>
    <w:p>
      <w:pPr>
        <w:ind w:right="-110" w:firstLine="723"/>
        <w:rPr>
          <w:rFonts w:asciiTheme="minorEastAsia" w:hAnsiTheme="minorEastAsia" w:eastAsiaTheme="minorEastAsia"/>
          <w:b/>
          <w:sz w:val="36"/>
        </w:rPr>
      </w:pPr>
      <w:r>
        <w:rPr>
          <w:rFonts w:hint="eastAsia" w:asciiTheme="minorEastAsia" w:hAnsiTheme="minorEastAsia" w:eastAsiaTheme="minorEastAsia"/>
          <w:b/>
          <w:sz w:val="36"/>
        </w:rPr>
        <w:t xml:space="preserve">供应商：</w:t>
      </w:r>
      <w:r/>
    </w:p>
    <w:p>
      <w:pPr>
        <w:ind w:right="-110" w:firstLine="723"/>
        <w:rPr>
          <w:rFonts w:asciiTheme="minorEastAsia" w:hAnsiTheme="minorEastAsia" w:eastAsiaTheme="minorEastAsia"/>
          <w:b/>
          <w:sz w:val="36"/>
        </w:rPr>
      </w:pPr>
      <w:r>
        <w:rPr>
          <w:rFonts w:hint="eastAsia" w:asciiTheme="minorEastAsia" w:hAnsiTheme="minorEastAsia" w:eastAsiaTheme="minorEastAsia"/>
          <w:b/>
          <w:sz w:val="36"/>
        </w:rPr>
        <w:t xml:space="preserve">签订日期：</w:t>
      </w:r>
      <w:r/>
    </w:p>
    <w:p>
      <w:pPr>
        <w:ind w:right="-110" w:firstLine="762"/>
        <w:rPr>
          <w:rFonts w:asciiTheme="minorEastAsia" w:hAnsiTheme="minorEastAsia" w:eastAsiaTheme="minorEastAsia"/>
          <w:sz w:val="36"/>
        </w:rPr>
      </w:pPr>
      <w:r>
        <w:rPr>
          <w:rFonts w:asciiTheme="minorEastAsia" w:hAnsiTheme="minorEastAsia" w:eastAsiaTheme="minorEastAsia"/>
          <w:sz w:val="36"/>
        </w:rPr>
      </w:r>
      <w:r/>
    </w:p>
    <w:p>
      <w:pPr>
        <w:ind w:right="-110" w:firstLine="762"/>
        <w:rPr>
          <w:rFonts w:asciiTheme="minorEastAsia" w:hAnsiTheme="minorEastAsia" w:eastAsiaTheme="minorEastAsia"/>
          <w:sz w:val="36"/>
        </w:rPr>
      </w:pPr>
      <w:r>
        <w:rPr>
          <w:rFonts w:asciiTheme="minorEastAsia" w:hAnsiTheme="minorEastAsia" w:eastAsiaTheme="minorEastAsia"/>
          <w:sz w:val="36"/>
        </w:rPr>
      </w:r>
      <w:r/>
    </w:p>
    <w:p>
      <w:pPr>
        <w:ind w:right="-110" w:firstLine="762"/>
        <w:rPr>
          <w:rFonts w:asciiTheme="minorEastAsia" w:hAnsiTheme="minorEastAsia" w:eastAsiaTheme="minorEastAsia"/>
          <w:sz w:val="36"/>
        </w:rPr>
      </w:pPr>
      <w:r>
        <w:rPr>
          <w:rFonts w:asciiTheme="minorEastAsia" w:hAnsiTheme="minorEastAsia" w:eastAsiaTheme="minorEastAsia"/>
          <w:sz w:val="36"/>
        </w:rPr>
      </w:r>
      <w:r/>
    </w:p>
    <w:p>
      <w:pPr>
        <w:pStyle w:val="1121"/>
        <w:ind w:right="-110" w:firstLine="762"/>
        <w:rPr>
          <w:rFonts w:asciiTheme="minorEastAsia" w:hAnsiTheme="minorEastAsia" w:eastAsiaTheme="minorEastAsia"/>
          <w:sz w:val="36"/>
        </w:rPr>
      </w:pPr>
      <w:r>
        <w:rPr>
          <w:rFonts w:asciiTheme="minorEastAsia" w:hAnsiTheme="minorEastAsia" w:eastAsiaTheme="minorEastAsia"/>
          <w:sz w:val="36"/>
        </w:rPr>
      </w:r>
      <w:r/>
    </w:p>
    <w:p>
      <w:pPr>
        <w:pStyle w:val="1121"/>
        <w:ind w:right="-110" w:firstLine="762"/>
        <w:rPr>
          <w:rFonts w:asciiTheme="minorEastAsia" w:hAnsiTheme="minorEastAsia" w:eastAsiaTheme="minorEastAsia"/>
          <w:sz w:val="36"/>
        </w:rPr>
      </w:pPr>
      <w:r>
        <w:rPr>
          <w:rFonts w:asciiTheme="minorEastAsia" w:hAnsiTheme="minorEastAsia" w:eastAsiaTheme="minorEastAsia"/>
          <w:sz w:val="36"/>
        </w:rPr>
      </w:r>
      <w:r/>
    </w:p>
    <w:p>
      <w:pPr>
        <w:pStyle w:val="1121"/>
        <w:ind w:right="-110" w:firstLine="762"/>
        <w:rPr>
          <w:rFonts w:asciiTheme="minorEastAsia" w:hAnsiTheme="minorEastAsia" w:eastAsiaTheme="minorEastAsia"/>
          <w:sz w:val="36"/>
        </w:rPr>
      </w:pPr>
      <w:r>
        <w:rPr>
          <w:rFonts w:asciiTheme="minorEastAsia" w:hAnsiTheme="minorEastAsia" w:eastAsiaTheme="minorEastAsia"/>
          <w:sz w:val="36"/>
        </w:rPr>
      </w:r>
      <w:r/>
    </w:p>
    <w:p>
      <w:pPr>
        <w:ind w:right="-110" w:firstLine="762"/>
        <w:rPr>
          <w:rFonts w:asciiTheme="minorEastAsia" w:hAnsiTheme="minorEastAsia" w:eastAsiaTheme="minorEastAsia"/>
          <w:sz w:val="36"/>
        </w:rPr>
      </w:pPr>
      <w:r>
        <w:rPr>
          <w:rFonts w:asciiTheme="minorEastAsia" w:hAnsiTheme="minorEastAsia" w:eastAsiaTheme="minorEastAsia"/>
          <w:sz w:val="36"/>
        </w:rPr>
      </w:r>
      <w:r/>
    </w:p>
    <w:p>
      <w:pPr>
        <w:ind w:right="-110" w:firstLine="762"/>
        <w:jc w:val="center"/>
        <w:rPr>
          <w:rFonts w:asciiTheme="minorEastAsia" w:hAnsiTheme="minorEastAsia" w:eastAsiaTheme="minorEastAsia"/>
          <w:b/>
          <w:sz w:val="36"/>
        </w:rPr>
      </w:pPr>
      <w:r>
        <w:rPr>
          <w:rFonts w:hint="eastAsia" w:asciiTheme="minorEastAsia" w:hAnsiTheme="minorEastAsia" w:eastAsiaTheme="minorEastAsia"/>
          <w:b/>
          <w:sz w:val="36"/>
        </w:rPr>
        <w:t xml:space="preserve">南京市工商行政管理局</w:t>
      </w:r>
      <w:r/>
    </w:p>
    <w:p>
      <w:pPr>
        <w:ind w:right="-110" w:firstLine="762"/>
        <w:jc w:val="center"/>
        <w:rPr>
          <w:rFonts w:asciiTheme="minorEastAsia" w:hAnsiTheme="minorEastAsia" w:eastAsiaTheme="minorEastAsia"/>
          <w:b/>
          <w:sz w:val="36"/>
        </w:rPr>
      </w:pPr>
      <w:r>
        <w:rPr>
          <w:rFonts w:hint="eastAsia" w:asciiTheme="minorEastAsia" w:hAnsiTheme="minorEastAsia" w:eastAsiaTheme="minorEastAsia"/>
          <w:b/>
          <w:sz w:val="36"/>
        </w:rPr>
        <w:t xml:space="preserve">南京市财政局监制</w:t>
      </w:r>
      <w:r/>
    </w:p>
    <w:p>
      <w:pPr>
        <w:pStyle w:val="1099"/>
        <w:ind w:right="-110" w:firstLine="562"/>
        <w:rPr>
          <w:rFonts w:asciiTheme="minorEastAsia" w:hAnsiTheme="minorEastAsia" w:eastAsiaTheme="minorEastAsia"/>
        </w:rPr>
      </w:pPr>
      <w:r>
        <w:rPr>
          <w:rFonts w:asciiTheme="minorEastAsia" w:hAnsiTheme="minorEastAsia" w:eastAsiaTheme="minorEastAsia"/>
        </w:rPr>
      </w:r>
      <w:r/>
    </w:p>
    <w:p>
      <w:pPr>
        <w:ind w:right="-110" w:firstLine="422"/>
        <w:rPr>
          <w:rFonts w:asciiTheme="minorEastAsia" w:hAnsiTheme="minorEastAsia" w:eastAsiaTheme="minorEastAsia"/>
        </w:rPr>
      </w:pPr>
      <w:r>
        <w:rPr>
          <w:rFonts w:asciiTheme="minorEastAsia" w:hAnsiTheme="minorEastAsia" w:eastAsiaTheme="minorEastAsia"/>
        </w:rPr>
      </w:r>
      <w:r/>
    </w:p>
    <w:p>
      <w:pPr>
        <w:pStyle w:val="1121"/>
        <w:ind w:right="-110" w:firstLine="562"/>
        <w:rPr>
          <w:rFonts w:asciiTheme="minorEastAsia" w:hAnsiTheme="minorEastAsia" w:eastAsiaTheme="minorEastAsia"/>
        </w:rPr>
      </w:pPr>
      <w:r>
        <w:rPr>
          <w:rFonts w:asciiTheme="minorEastAsia" w:hAnsiTheme="minorEastAsia" w:eastAsiaTheme="minorEastAsia"/>
        </w:rPr>
      </w:r>
      <w:r/>
    </w:p>
    <w:p>
      <w:pPr>
        <w:pStyle w:val="1121"/>
        <w:ind w:right="-110" w:firstLine="562"/>
        <w:rPr>
          <w:rFonts w:asciiTheme="minorEastAsia" w:hAnsiTheme="minorEastAsia" w:eastAsiaTheme="minorEastAsia"/>
        </w:rPr>
      </w:pPr>
      <w:r>
        <w:rPr>
          <w:rFonts w:asciiTheme="minorEastAsia" w:hAnsiTheme="minorEastAsia" w:eastAsiaTheme="minorEastAsia"/>
        </w:rPr>
      </w:r>
      <w:r/>
    </w:p>
    <w:p>
      <w:pPr>
        <w:ind w:right="-110" w:firstLine="422"/>
        <w:rPr>
          <w:rFonts w:asciiTheme="minorEastAsia" w:hAnsiTheme="minorEastAsia" w:eastAsiaTheme="minorEastAsia"/>
          <w:szCs w:val="28"/>
        </w:rPr>
      </w:pPr>
      <w:r>
        <w:rPr>
          <w:rFonts w:asciiTheme="minorEastAsia" w:hAnsiTheme="minorEastAsia" w:eastAsiaTheme="minorEastAsia"/>
          <w:szCs w:val="28"/>
        </w:rPr>
      </w:r>
      <w:r/>
    </w:p>
    <w:p>
      <w:pPr>
        <w:ind w:right="-110" w:firstLine="422"/>
        <w:rPr>
          <w:rFonts w:asciiTheme="minorEastAsia" w:hAnsiTheme="minorEastAsia" w:eastAsiaTheme="minorEastAsia"/>
          <w:szCs w:val="28"/>
        </w:rPr>
      </w:pPr>
      <w:r>
        <w:rPr>
          <w:rFonts w:asciiTheme="minorEastAsia" w:hAnsiTheme="minorEastAsia" w:eastAsiaTheme="minorEastAsia"/>
          <w:szCs w:val="28"/>
        </w:rPr>
      </w:r>
      <w:r/>
    </w:p>
    <w:p>
      <w:pPr>
        <w:ind w:right="-110" w:firstLine="482"/>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right="-110" w:firstLine="482"/>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highlight w:val="none"/>
        </w:rPr>
      </w:r>
      <w:r>
        <w:rPr>
          <w:rFonts w:hint="eastAsia" w:cs="仿宋" w:asciiTheme="minorEastAsia" w:hAnsiTheme="minorEastAsia" w:eastAsiaTheme="minorEastAsia"/>
          <w:sz w:val="24"/>
          <w:szCs w:val="24"/>
          <w:highlight w:val="none"/>
        </w:rPr>
      </w:r>
      <w:r/>
    </w:p>
    <w:p>
      <w:pPr>
        <w:ind w:right="-110" w:firstLine="482"/>
        <w:spacing w:line="360" w:lineRule="auto"/>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r>
      <w:r>
        <w:rPr>
          <w:rFonts w:hint="eastAsia" w:cs="仿宋" w:asciiTheme="minorEastAsia" w:hAnsiTheme="minorEastAsia" w:eastAsiaTheme="minorEastAsia"/>
          <w:sz w:val="24"/>
          <w:szCs w:val="24"/>
          <w:highlight w:val="none"/>
        </w:rPr>
      </w:r>
      <w:r/>
    </w:p>
    <w:p>
      <w:pPr>
        <w:ind w:right="-110" w:firstLine="482"/>
        <w:spacing w:line="360" w:lineRule="auto"/>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r>
      <w:r>
        <w:rPr>
          <w:rFonts w:hint="eastAsia" w:cs="仿宋" w:asciiTheme="minorEastAsia" w:hAnsiTheme="minorEastAsia" w:eastAsiaTheme="minorEastAsia"/>
          <w:sz w:val="24"/>
          <w:szCs w:val="24"/>
          <w:highlight w:val="none"/>
        </w:rPr>
      </w:r>
      <w:r/>
    </w:p>
    <w:p>
      <w:pPr>
        <w:ind w:right="-110" w:firstLine="0"/>
        <w:spacing w:line="360" w:lineRule="auto"/>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rPr>
        <w:t xml:space="preserve">    项目编号：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项目名称：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采购人：（以下简称甲方）                供应商：（以下简称乙方）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住所地：                               住所地：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根据《中华人民共和国政府采购法》、《中华人民共和国民法典》等法律法规的规定，甲乙双方按照</w:t>
      </w:r>
      <w:r>
        <w:rPr>
          <w:rFonts w:hint="eastAsia" w:cs="仿宋" w:asciiTheme="minorEastAsia" w:hAnsiTheme="minorEastAsia" w:eastAsiaTheme="minorEastAsia"/>
          <w:sz w:val="24"/>
          <w:szCs w:val="24"/>
          <w:u w:val="single"/>
        </w:rPr>
        <w:t xml:space="preserve">溧水区重点断面水质自动站运行维护</w:t>
      </w:r>
      <w:r>
        <w:rPr>
          <w:rFonts w:hint="eastAsia" w:cs="仿宋" w:asciiTheme="minorEastAsia" w:hAnsiTheme="minorEastAsia" w:eastAsiaTheme="minorEastAsia"/>
          <w:sz w:val="24"/>
          <w:szCs w:val="24"/>
        </w:rPr>
        <w:t xml:space="preserve">的磋商结果签订本合同。 </w:t>
      </w:r>
      <w:r/>
    </w:p>
    <w:p>
      <w:pPr>
        <w:ind w:right="-110" w:firstLine="47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第一条 </w:t>
      </w:r>
      <w:r>
        <w:rPr>
          <w:rFonts w:hint="eastAsia" w:cs="仿宋" w:asciiTheme="minorEastAsia" w:hAnsiTheme="minorEastAsia" w:eastAsiaTheme="minorEastAsia"/>
          <w:b/>
          <w:bCs/>
          <w:sz w:val="24"/>
          <w:szCs w:val="24"/>
        </w:rPr>
        <w:t xml:space="preserve">合同标的 </w:t>
      </w:r>
      <w:r/>
    </w:p>
    <w:p>
      <w:pPr>
        <w:ind w:right="-110" w:firstLine="482"/>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乙方根据甲方需求提供下列服务： </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3"/>
        <w:gridCol w:w="3631"/>
        <w:gridCol w:w="1639"/>
        <w:gridCol w:w="1477"/>
        <w:gridCol w:w="1477"/>
      </w:tblGrid>
      <w:tr>
        <w:trPr>
          <w:trHeight w:val="373"/>
        </w:trPr>
        <w:tc>
          <w:tcPr>
            <w:tcW w:w="1013" w:type="dxa"/>
            <w:vAlign w:val="center"/>
            <w:textDirection w:val="lrTb"/>
            <w:noWrap w:val="false"/>
          </w:tcPr>
          <w:p>
            <w:pPr>
              <w:ind w:right="-110"/>
              <w:jc w:val="center"/>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序号</w:t>
            </w:r>
            <w:r/>
          </w:p>
        </w:tc>
        <w:tc>
          <w:tcPr>
            <w:tcW w:w="3631" w:type="dxa"/>
            <w:vAlign w:val="center"/>
            <w:textDirection w:val="lrTb"/>
            <w:noWrap w:val="false"/>
          </w:tcPr>
          <w:p>
            <w:pPr>
              <w:ind w:right="-110" w:firstLine="482"/>
              <w:jc w:val="center"/>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名称</w:t>
            </w:r>
            <w:r/>
          </w:p>
        </w:tc>
        <w:tc>
          <w:tcPr>
            <w:tcW w:w="1639" w:type="dxa"/>
            <w:vAlign w:val="center"/>
            <w:textDirection w:val="lrTb"/>
            <w:noWrap w:val="false"/>
          </w:tcPr>
          <w:p>
            <w:pPr>
              <w:ind w:right="-110"/>
              <w:jc w:val="center"/>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数量</w:t>
            </w:r>
            <w:r/>
          </w:p>
        </w:tc>
        <w:tc>
          <w:tcPr>
            <w:tcW w:w="1477" w:type="dxa"/>
            <w:vAlign w:val="center"/>
            <w:textDirection w:val="lrTb"/>
            <w:noWrap w:val="false"/>
          </w:tcPr>
          <w:p>
            <w:pPr>
              <w:ind w:right="-110"/>
              <w:jc w:val="center"/>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单位</w:t>
            </w:r>
            <w:r/>
          </w:p>
        </w:tc>
        <w:tc>
          <w:tcPr>
            <w:tcW w:w="1477" w:type="dxa"/>
            <w:vAlign w:val="center"/>
            <w:textDirection w:val="lrTb"/>
            <w:noWrap w:val="false"/>
          </w:tcPr>
          <w:p>
            <w:pPr>
              <w:ind w:right="-110"/>
              <w:jc w:val="center"/>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总价（元）</w:t>
            </w:r>
            <w:r/>
          </w:p>
        </w:tc>
      </w:tr>
      <w:tr>
        <w:trPr/>
        <w:tc>
          <w:tcPr>
            <w:tcW w:w="1013" w:type="dxa"/>
            <w:vAlign w:val="center"/>
            <w:textDirection w:val="lrTb"/>
            <w:noWrap w:val="false"/>
          </w:tcPr>
          <w:p>
            <w:pPr>
              <w:ind w:right="-110" w:firstLine="482"/>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w:t>
            </w:r>
            <w:r/>
          </w:p>
        </w:tc>
        <w:tc>
          <w:tcPr>
            <w:tcW w:w="3631" w:type="dxa"/>
            <w:vAlign w:val="center"/>
            <w:textDirection w:val="lrTb"/>
            <w:noWrap w:val="false"/>
          </w:tcPr>
          <w:p>
            <w:pPr>
              <w:ind w:right="-110"/>
              <w:jc w:val="center"/>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溧水区重点断面水质自动站运行维护</w:t>
            </w:r>
            <w:r/>
          </w:p>
        </w:tc>
        <w:tc>
          <w:tcPr>
            <w:tcW w:w="1639" w:type="dxa"/>
            <w:vAlign w:val="center"/>
            <w:textDirection w:val="lrTb"/>
            <w:noWrap w:val="false"/>
          </w:tcPr>
          <w:p>
            <w:pPr>
              <w:ind w:right="-110"/>
              <w:jc w:val="center"/>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w:t>
            </w:r>
            <w:r/>
          </w:p>
        </w:tc>
        <w:tc>
          <w:tcPr>
            <w:tcW w:w="1477" w:type="dxa"/>
            <w:vAlign w:val="center"/>
            <w:textDirection w:val="lrTb"/>
            <w:noWrap w:val="false"/>
          </w:tcPr>
          <w:p>
            <w:pPr>
              <w:ind w:right="-110"/>
              <w:jc w:val="center"/>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w:t>
            </w:r>
            <w:r/>
          </w:p>
        </w:tc>
        <w:tc>
          <w:tcPr>
            <w:tcW w:w="1477" w:type="dxa"/>
            <w:vAlign w:val="center"/>
            <w:textDirection w:val="lrTb"/>
            <w:noWrap w:val="false"/>
          </w:tcPr>
          <w:p>
            <w:pPr>
              <w:ind w:right="-110" w:firstLine="482"/>
              <w:jc w:val="center"/>
              <w:spacing w:line="40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bl>
    <w:p>
      <w:pPr>
        <w:ind w:right="-110" w:firstLine="482"/>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分项报价表（如有）：</w:t>
      </w:r>
      <w:r/>
    </w:p>
    <w:tbl>
      <w:tblPr>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23"/>
        <w:gridCol w:w="1857"/>
        <w:gridCol w:w="1857"/>
        <w:gridCol w:w="1857"/>
        <w:gridCol w:w="1858"/>
      </w:tblGrid>
      <w:tr>
        <w:trPr/>
        <w:tc>
          <w:tcPr>
            <w:tcW w:w="1323" w:type="dxa"/>
            <w:textDirection w:val="lrTb"/>
            <w:noWrap w:val="false"/>
          </w:tcPr>
          <w:p>
            <w:pPr>
              <w:ind w:right="-110"/>
              <w:jc w:val="center"/>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序号</w:t>
            </w:r>
            <w:r/>
          </w:p>
        </w:tc>
        <w:tc>
          <w:tcPr>
            <w:tcW w:w="1857" w:type="dxa"/>
            <w:textDirection w:val="lrTb"/>
            <w:noWrap w:val="false"/>
          </w:tcPr>
          <w:p>
            <w:pPr>
              <w:ind w:right="-110" w:firstLine="480"/>
              <w:spacing w:line="400" w:lineRule="exact"/>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tc>
        <w:tc>
          <w:tcPr>
            <w:tcW w:w="1857" w:type="dxa"/>
            <w:textDirection w:val="lrTb"/>
            <w:noWrap w:val="false"/>
          </w:tcPr>
          <w:p>
            <w:pPr>
              <w:ind w:right="-110" w:firstLine="480"/>
              <w:spacing w:line="400" w:lineRule="exact"/>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tc>
        <w:tc>
          <w:tcPr>
            <w:tcW w:w="1857" w:type="dxa"/>
            <w:textDirection w:val="lrTb"/>
            <w:noWrap w:val="false"/>
          </w:tcPr>
          <w:p>
            <w:pPr>
              <w:ind w:right="-110" w:firstLine="480"/>
              <w:spacing w:line="400" w:lineRule="exact"/>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tc>
        <w:tc>
          <w:tcPr>
            <w:tcW w:w="1858" w:type="dxa"/>
            <w:textDirection w:val="lrTb"/>
            <w:noWrap w:val="false"/>
          </w:tcPr>
          <w:p>
            <w:pPr>
              <w:ind w:right="-110" w:firstLine="480"/>
              <w:spacing w:line="400" w:lineRule="exact"/>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tc>
      </w:tr>
      <w:tr>
        <w:trPr/>
        <w:tc>
          <w:tcPr>
            <w:tcW w:w="1323" w:type="dxa"/>
            <w:textDirection w:val="lrTb"/>
            <w:noWrap w:val="false"/>
          </w:tcPr>
          <w:p>
            <w:pPr>
              <w:ind w:right="-110"/>
              <w:jc w:val="center"/>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w:t>
            </w:r>
            <w:r/>
          </w:p>
        </w:tc>
        <w:tc>
          <w:tcPr>
            <w:tcW w:w="1857" w:type="dxa"/>
            <w:textDirection w:val="lrTb"/>
            <w:noWrap w:val="false"/>
          </w:tcPr>
          <w:p>
            <w:pPr>
              <w:ind w:right="-110" w:firstLine="480"/>
              <w:spacing w:line="400" w:lineRule="exact"/>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tc>
        <w:tc>
          <w:tcPr>
            <w:tcW w:w="1857" w:type="dxa"/>
            <w:textDirection w:val="lrTb"/>
            <w:noWrap w:val="false"/>
          </w:tcPr>
          <w:p>
            <w:pPr>
              <w:ind w:right="-110" w:firstLine="480"/>
              <w:spacing w:line="400" w:lineRule="exact"/>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tc>
        <w:tc>
          <w:tcPr>
            <w:tcW w:w="1857" w:type="dxa"/>
            <w:textDirection w:val="lrTb"/>
            <w:noWrap w:val="false"/>
          </w:tcPr>
          <w:p>
            <w:pPr>
              <w:ind w:right="-110" w:firstLine="480"/>
              <w:spacing w:line="400" w:lineRule="exact"/>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tc>
        <w:tc>
          <w:tcPr>
            <w:tcW w:w="1858" w:type="dxa"/>
            <w:textDirection w:val="lrTb"/>
            <w:noWrap w:val="false"/>
          </w:tcPr>
          <w:p>
            <w:pPr>
              <w:ind w:right="-110" w:firstLine="480"/>
              <w:spacing w:line="400" w:lineRule="exact"/>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tc>
      </w:tr>
    </w:tbl>
    <w:p>
      <w:pPr>
        <w:ind w:right="-110" w:firstLine="480"/>
        <w:spacing w:line="360" w:lineRule="auto"/>
        <w:rPr>
          <w:rFonts w:cs="仿宋" w:asciiTheme="minorEastAsia" w:hAnsiTheme="minorEastAsia" w:eastAsiaTheme="minorEastAsia"/>
          <w:b/>
          <w:bCs/>
          <w:sz w:val="24"/>
          <w:szCs w:val="24"/>
        </w:rPr>
      </w:pPr>
      <w:r>
        <w:rPr>
          <w:rFonts w:hint="eastAsia" w:ascii="宋体" w:hAnsi="宋体" w:cs="宋体"/>
          <w:sz w:val="24"/>
        </w:rPr>
        <w:t xml:space="preserve">服务内容详见磋商文件及乙方响应文件等。</w:t>
      </w:r>
      <w:r/>
    </w:p>
    <w:p>
      <w:pPr>
        <w:ind w:right="-110" w:firstLine="47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第二条 </w:t>
      </w:r>
      <w:r>
        <w:rPr>
          <w:rFonts w:hint="eastAsia" w:cs="仿宋" w:asciiTheme="minorEastAsia" w:hAnsiTheme="minorEastAsia" w:eastAsiaTheme="minorEastAsia"/>
          <w:b/>
          <w:bCs/>
          <w:sz w:val="24"/>
          <w:szCs w:val="24"/>
        </w:rPr>
        <w:t xml:space="preserve">合同总价款 </w:t>
      </w:r>
      <w:r/>
    </w:p>
    <w:p>
      <w:pPr>
        <w:ind w:right="-110" w:firstLine="482"/>
        <w:jc w:val="left"/>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本合同项下服务总价款为</w:t>
      </w:r>
      <w:r>
        <w:rPr>
          <w:rFonts w:hint="eastAsia" w:cs="仿宋" w:asciiTheme="minorEastAsia" w:hAnsiTheme="minorEastAsia" w:eastAsiaTheme="minorEastAsia"/>
          <w:bCs/>
          <w:sz w:val="24"/>
          <w:szCs w:val="24"/>
          <w:u w:val="single"/>
        </w:rPr>
        <w:t xml:space="preserve">              （大写）</w:t>
      </w:r>
      <w:r>
        <w:rPr>
          <w:rFonts w:hint="eastAsia" w:cs="仿宋" w:asciiTheme="minorEastAsia" w:hAnsiTheme="minorEastAsia" w:eastAsiaTheme="minorEastAsia"/>
          <w:bCs/>
          <w:sz w:val="24"/>
          <w:szCs w:val="24"/>
        </w:rPr>
        <w:t xml:space="preserve">人民币。</w:t>
      </w:r>
      <w:r/>
    </w:p>
    <w:p>
      <w:pPr>
        <w:ind w:right="-110" w:firstLine="482"/>
        <w:jc w:val="lef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lang w:val="zh-CN"/>
        </w:rPr>
        <w:t xml:space="preserve">1</w:t>
      </w:r>
      <w:r>
        <w:rPr>
          <w:rFonts w:hint="eastAsia" w:cs="仿宋" w:asciiTheme="minorEastAsia" w:hAnsiTheme="minorEastAsia" w:eastAsiaTheme="minorEastAsia"/>
          <w:sz w:val="24"/>
          <w:szCs w:val="24"/>
          <w:lang w:val="zh-CN"/>
        </w:rPr>
        <w:t xml:space="preserve">.</w:t>
      </w:r>
      <w:r>
        <w:rPr>
          <w:rFonts w:hint="eastAsia" w:cs="仿宋" w:asciiTheme="minorEastAsia" w:hAnsiTheme="minorEastAsia" w:eastAsiaTheme="minorEastAsia"/>
          <w:sz w:val="24"/>
          <w:szCs w:val="24"/>
          <w:lang w:val="zh-CN"/>
        </w:rPr>
        <w:t xml:space="preserve">本合同价款是</w:t>
      </w:r>
      <w:r>
        <w:rPr>
          <w:rFonts w:hint="eastAsia" w:cs="仿宋" w:asciiTheme="minorEastAsia" w:hAnsiTheme="minorEastAsia" w:eastAsiaTheme="minorEastAsia"/>
          <w:sz w:val="24"/>
          <w:szCs w:val="24"/>
          <w:lang w:val="zh-CN"/>
        </w:rPr>
        <w:t xml:space="preserve">完成本项目所发生的所有含税费用、支付给员工的工资和国家强制缴</w:t>
      </w:r>
      <w:r>
        <w:rPr>
          <w:rFonts w:hint="eastAsia" w:cs="仿宋" w:asciiTheme="minorEastAsia" w:hAnsiTheme="minorEastAsia" w:eastAsiaTheme="minorEastAsia"/>
          <w:sz w:val="24"/>
          <w:szCs w:val="24"/>
        </w:rPr>
        <w:t xml:space="preserve">纳的各种社会保障资金，以及</w:t>
      </w:r>
      <w:r>
        <w:rPr>
          <w:rFonts w:hint="eastAsia" w:cs="仿宋" w:asciiTheme="minorEastAsia" w:hAnsiTheme="minorEastAsia" w:eastAsiaTheme="minorEastAsia"/>
          <w:sz w:val="24"/>
          <w:szCs w:val="24"/>
        </w:rPr>
        <w:t xml:space="preserve">供应商</w:t>
      </w:r>
      <w:r>
        <w:rPr>
          <w:rFonts w:hint="eastAsia" w:cs="仿宋" w:asciiTheme="minorEastAsia" w:hAnsiTheme="minorEastAsia" w:eastAsiaTheme="minorEastAsia"/>
          <w:sz w:val="24"/>
          <w:szCs w:val="24"/>
        </w:rPr>
        <w:t xml:space="preserve">认为需要的其他费用等。</w:t>
      </w:r>
      <w:r/>
    </w:p>
    <w:p>
      <w:pPr>
        <w:ind w:right="-110" w:firstLine="482"/>
        <w:jc w:val="lef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本合同价款还包含乙方应当提供的伴随服务/售后服务费用。</w:t>
      </w:r>
      <w:r/>
    </w:p>
    <w:p>
      <w:pPr>
        <w:ind w:right="-110" w:firstLine="482"/>
        <w:jc w:val="lef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lang w:val="zh-CN"/>
        </w:rPr>
        <w:t xml:space="preserve">本合同执行期间合同总价款不变。</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第三条 组成本合同的有关文件</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下列关于南京市政府采购</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（项目编号）的采购文件、响应文件或与本次采购活动方式相适应的文件及有关附件是本合同不可分割的组成部分，与本合同具有同等法律效力，这些文件包括但不限于：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（1）乙方提供的响应文件和报价表；   （2）服务一览表；</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（3）交付一览表；                   （4）技术条款偏离表；</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（5）乙方承诺；                     （6）服务承诺；</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（7）成交通知书；                   （8）甲乙双方商定的其他文件等。 </w:t>
      </w:r>
      <w:r/>
    </w:p>
    <w:p>
      <w:pPr>
        <w:ind w:right="-110"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第四条 履行合同期限、地点</w:t>
      </w:r>
      <w:r>
        <w:rPr>
          <w:rFonts w:hint="eastAsia" w:cs="仿宋" w:asciiTheme="minorEastAsia" w:hAnsiTheme="minorEastAsia" w:eastAsiaTheme="minorEastAsia"/>
          <w:b/>
          <w:bCs/>
          <w:sz w:val="24"/>
          <w:szCs w:val="24"/>
        </w:rPr>
        <w:t xml:space="preserve">、配备人员</w:t>
      </w:r>
      <w:r>
        <w:rPr>
          <w:rFonts w:hint="eastAsia" w:cs="仿宋" w:asciiTheme="minorEastAsia" w:hAnsiTheme="minorEastAsia" w:eastAsiaTheme="minorEastAsia"/>
          <w:b/>
          <w:bCs/>
          <w:sz w:val="24"/>
          <w:szCs w:val="24"/>
        </w:rPr>
        <w:t xml:space="preserve">和车辆</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1.履行合同期限：</w:t>
      </w:r>
      <w:r>
        <w:rPr>
          <w:rFonts w:hint="eastAsia" w:cs="仿宋" w:asciiTheme="minorEastAsia" w:hAnsiTheme="minorEastAsia" w:eastAsiaTheme="minorEastAsia"/>
          <w:sz w:val="24"/>
          <w:szCs w:val="24"/>
          <w:u w:val="single"/>
        </w:rPr>
        <w:t xml:space="preserve">           </w:t>
      </w:r>
      <w:r/>
    </w:p>
    <w:p>
      <w:pPr>
        <w:ind w:right="-110" w:firstLine="482"/>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2.履行合同地点：</w:t>
      </w:r>
      <w:r>
        <w:rPr>
          <w:rFonts w:hint="eastAsia" w:cs="仿宋" w:asciiTheme="minorEastAsia" w:hAnsiTheme="minorEastAsia" w:eastAsiaTheme="minorEastAsia"/>
          <w:sz w:val="24"/>
          <w:szCs w:val="24"/>
          <w:u w:val="single"/>
        </w:rPr>
        <w:t xml:space="preserve">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3.配备人员</w:t>
      </w:r>
      <w:r>
        <w:rPr>
          <w:rFonts w:hint="eastAsia" w:cs="仿宋" w:asciiTheme="minorEastAsia" w:hAnsiTheme="minorEastAsia" w:eastAsiaTheme="minorEastAsia"/>
          <w:sz w:val="24"/>
          <w:szCs w:val="24"/>
        </w:rPr>
        <w:t xml:space="preserve">和车辆</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 </w:t>
      </w:r>
      <w:r/>
    </w:p>
    <w:p>
      <w:pPr>
        <w:ind w:right="-110"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第五条 权利保证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乙方应保证向甲方提供的服务不受第三方提出侵犯其专利权、版权、商标权或其他权利的起诉。一旦出现侵权，乙方应承担全部责任。 </w:t>
      </w:r>
      <w:r/>
    </w:p>
    <w:p>
      <w:pPr>
        <w:ind w:right="-110"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第六条 质量保证</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1.乙方提供的服务质量应当符合采购文件的约定，以及乙方的承诺。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2.乙方所提供的服务的技术规格应与磋商文件规定的技术规格及所附的“技术条款偏离表”相一致；若技术性能无特殊说明，则按国家有关部门最新颁布的标准及规范为准。 </w:t>
      </w:r>
      <w:r/>
    </w:p>
    <w:p>
      <w:pPr>
        <w:ind w:right="-110" w:firstLine="482"/>
        <w:spacing w:line="360" w:lineRule="auto"/>
        <w:rPr>
          <w:rFonts w:cs="仿宋" w:asciiTheme="minorEastAsia" w:hAnsiTheme="minorEastAsia" w:eastAsiaTheme="minorEastAsia"/>
          <w:b/>
          <w:bCs/>
          <w:sz w:val="24"/>
          <w:szCs w:val="24"/>
          <w:lang w:val="zh-CN"/>
        </w:rPr>
      </w:pPr>
      <w:r>
        <w:rPr>
          <w:rFonts w:hint="eastAsia" w:cs="仿宋" w:asciiTheme="minorEastAsia" w:hAnsiTheme="minorEastAsia" w:eastAsiaTheme="minorEastAsia"/>
          <w:b/>
          <w:bCs/>
          <w:sz w:val="24"/>
          <w:szCs w:val="24"/>
        </w:rPr>
        <w:t xml:space="preserve">第七条</w:t>
      </w:r>
      <w:r>
        <w:rPr>
          <w:rFonts w:hint="eastAsia" w:cs="仿宋" w:asciiTheme="minorEastAsia" w:hAnsiTheme="minorEastAsia" w:eastAsiaTheme="minorEastAsia"/>
          <w:b/>
          <w:bCs/>
          <w:sz w:val="24"/>
          <w:szCs w:val="24"/>
        </w:rPr>
        <w:t xml:space="preserve"> 项目验收</w:t>
      </w:r>
      <w:r/>
    </w:p>
    <w:p>
      <w:pPr>
        <w:ind w:right="-110" w:firstLine="482"/>
        <w:spacing w:line="360" w:lineRule="auto"/>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1</w:t>
      </w:r>
      <w:r>
        <w:rPr>
          <w:rFonts w:hint="eastAsia" w:cs="仿宋" w:asciiTheme="minorEastAsia" w:hAnsiTheme="minorEastAsia" w:eastAsiaTheme="minorEastAsia"/>
          <w:sz w:val="24"/>
          <w:szCs w:val="24"/>
          <w:lang w:val="zh-CN"/>
        </w:rPr>
        <w:t xml:space="preserve">.</w:t>
      </w:r>
      <w:r>
        <w:rPr>
          <w:rFonts w:hint="eastAsia" w:cs="仿宋" w:asciiTheme="minorEastAsia" w:hAnsiTheme="minorEastAsia" w:eastAsiaTheme="minorEastAsia"/>
          <w:sz w:val="24"/>
          <w:szCs w:val="24"/>
          <w:lang w:val="zh-CN"/>
        </w:rPr>
        <w:t xml:space="preserve">甲方依法组织履约验收工作。乙方应当按照政府采购合同的约定，配合采购人做好项目验收，提供与验收相关的生产、技术、服务、数量、质量、安全等资料，根据实际需要做好技术说明、测试演示或场景应用情况分析等工作，并对所提供资料和材料的真实性负责。</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甲方在组织履约验收前，将根据项目特点制定验收方案，明确履约验收的时间、方式、程序等内容，并可根据项目特点、市场实际和履约风险控制等情况，采用一次性验收和分期（分段）验收等方式开展履约验收。</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对于实际使用人和甲方分离的项目，甲方邀请实际使用人参与验收。</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如有必要，甲方可以邀请相关领域专业技术人员等作为验收小组成员参与验收，相关意见将作为验收书的参考资料。</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甲方成立验收小组，按照采购合同的约定对乙方的履约情况进行验收。验收时</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cs="仿宋" w:asciiTheme="minorEastAsia" w:hAnsiTheme="minorEastAsia" w:eastAsiaTheme="minorEastAsia"/>
          <w:sz w:val="24"/>
          <w:szCs w:val="24"/>
        </w:rPr>
        <w:t xml:space="preserve"> </w:t>
      </w:r>
      <w:r/>
    </w:p>
    <w:p>
      <w:pPr>
        <w:ind w:right="-110"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第八条 履约保证金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履约保证金采用以下第</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种方式缴纳。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（1）乙方在签订本合同时，向采购人缴纳成交价的</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%作为履约保证金。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（2）无。</w:t>
      </w:r>
      <w:r/>
    </w:p>
    <w:p>
      <w:pPr>
        <w:ind w:right="-110" w:firstLine="482"/>
        <w:jc w:val="left"/>
        <w:spacing w:line="360" w:lineRule="auto"/>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2</w:t>
      </w:r>
      <w:r>
        <w:rPr>
          <w:rFonts w:hint="eastAsia" w:cs="仿宋" w:asciiTheme="minorEastAsia" w:hAnsiTheme="minorEastAsia" w:eastAsiaTheme="minorEastAsia"/>
          <w:sz w:val="24"/>
          <w:szCs w:val="24"/>
          <w:lang w:val="zh-CN"/>
        </w:rPr>
        <w:t xml:space="preserve">.</w:t>
      </w:r>
      <w:r>
        <w:rPr>
          <w:rFonts w:hint="eastAsia" w:cs="仿宋" w:asciiTheme="minorEastAsia" w:hAnsiTheme="minorEastAsia" w:eastAsiaTheme="minorEastAsia"/>
          <w:sz w:val="24"/>
          <w:szCs w:val="24"/>
          <w:lang w:val="zh-CN"/>
        </w:rPr>
        <w:t xml:space="preserve">履约保证金的有效期为该项目</w:t>
      </w:r>
      <w:r>
        <w:rPr>
          <w:rFonts w:hint="eastAsia" w:cs="仿宋" w:asciiTheme="minorEastAsia" w:hAnsiTheme="minorEastAsia" w:eastAsiaTheme="minorEastAsia"/>
          <w:sz w:val="24"/>
          <w:szCs w:val="24"/>
        </w:rPr>
        <w:t xml:space="preserve">服务</w:t>
      </w:r>
      <w:r>
        <w:rPr>
          <w:rFonts w:hint="eastAsia" w:cs="仿宋" w:asciiTheme="minorEastAsia" w:hAnsiTheme="minorEastAsia" w:eastAsiaTheme="minorEastAsia"/>
          <w:sz w:val="24"/>
          <w:szCs w:val="24"/>
          <w:lang w:val="zh-CN"/>
        </w:rPr>
        <w:t xml:space="preserve">期满时止。</w:t>
      </w:r>
      <w:r/>
    </w:p>
    <w:p>
      <w:pPr>
        <w:ind w:right="-110" w:firstLine="482"/>
        <w:jc w:val="left"/>
        <w:spacing w:line="360" w:lineRule="auto"/>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3</w:t>
      </w:r>
      <w:r>
        <w:rPr>
          <w:rFonts w:hint="eastAsia" w:cs="仿宋" w:asciiTheme="minorEastAsia" w:hAnsiTheme="minorEastAsia" w:eastAsiaTheme="minorEastAsia"/>
          <w:sz w:val="24"/>
          <w:szCs w:val="24"/>
          <w:lang w:val="zh-CN"/>
        </w:rPr>
        <w:t xml:space="preserve">.</w:t>
      </w:r>
      <w:r>
        <w:rPr>
          <w:rFonts w:hint="eastAsia" w:cs="仿宋" w:asciiTheme="minorEastAsia" w:hAnsiTheme="minorEastAsia" w:eastAsiaTheme="minorEastAsia"/>
          <w:sz w:val="24"/>
          <w:szCs w:val="24"/>
          <w:lang w:val="zh-CN"/>
        </w:rPr>
        <w:t xml:space="preserve">如乙方未能履行合同规定的义务，甲方有权从履约保证金中取得补偿。</w:t>
      </w:r>
      <w:r/>
    </w:p>
    <w:p>
      <w:pPr>
        <w:ind w:right="-110" w:firstLine="482"/>
        <w:jc w:val="lef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lang w:val="zh-CN"/>
        </w:rPr>
        <w:t xml:space="preserve">4</w:t>
      </w:r>
      <w:r>
        <w:rPr>
          <w:rFonts w:hint="eastAsia" w:cs="仿宋" w:asciiTheme="minorEastAsia" w:hAnsiTheme="minorEastAsia" w:eastAsiaTheme="minorEastAsia"/>
          <w:sz w:val="24"/>
          <w:szCs w:val="24"/>
          <w:lang w:val="zh-CN"/>
        </w:rPr>
        <w:t xml:space="preserve">.</w:t>
      </w:r>
      <w:r>
        <w:rPr>
          <w:rFonts w:hint="eastAsia" w:cs="仿宋" w:asciiTheme="minorEastAsia" w:hAnsiTheme="minorEastAsia" w:eastAsiaTheme="minorEastAsia"/>
          <w:sz w:val="24"/>
          <w:szCs w:val="24"/>
          <w:lang w:val="zh-CN"/>
        </w:rPr>
        <w:t xml:space="preserve">履约保证金扣除甲方应得的补偿后的余额在有效期满后七工作日内无息退还给乙方。</w:t>
      </w:r>
      <w:r/>
    </w:p>
    <w:p>
      <w:pPr>
        <w:ind w:right="-110"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第九条 合同款支付</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 本合同项下所有款项均以人民币支付。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 本合同项下的采购资金由甲方自行支付，甲方需凭乙方开具发票支付款项。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 付款条件：</w:t>
      </w:r>
      <w:r>
        <w:rPr>
          <w:rFonts w:hint="eastAsia" w:cs="仿宋" w:asciiTheme="minorEastAsia" w:hAnsiTheme="minorEastAsia" w:eastAsiaTheme="minorEastAsia"/>
          <w:sz w:val="24"/>
          <w:szCs w:val="24"/>
          <w:u w:val="single"/>
        </w:rPr>
        <w:t xml:space="preserve">项目运维期满经验收通过后，一次性付清款（实际付款根据考核结果进行相应扣减）。</w:t>
      </w:r>
      <w:r/>
    </w:p>
    <w:p>
      <w:pPr>
        <w:ind w:right="-110"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第十条 违约责任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1.甲方无正当理由拒收服务、拒付合同款项的，由甲方向乙方偿付合同总价的5%违约金。</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2.如乙方不能交付服务的，甲方有权扣留全部履约保证金；同时乙方应向甲方支付合同总价5%的违约金。</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3.乙方逾期交付的，每逾期1天，乙方向甲方偿付合同总额的5‰的滞纳金。如乙方逾期交付达10天，甲方有权解除合同，解除合同的通知自到达乙方时生效。</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4.乙方所交付的服务不符合合同规定的，甲方有权拒收。甲方拒收的，乙方应向甲方支付合同总款5%的违约金。</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5.在乙方承诺的或国家规定的质量保证期内（取两者中最长的期限），如经乙方两次整改仍不能达到合同约定的质量标准，乙方应退回全部合同价款，并按第3款处理，同时，乙方还须赔偿甲方因此遭受的损失。</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6.乙方未按本合同的规定和“服务承诺”提供伴随服务/售后服务的，应按合同总价款的5 %向甲方承担违约责任。</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right="-110" w:firstLine="482"/>
        <w:spacing w:line="360" w:lineRule="auto"/>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rPr>
        <w:t xml:space="preserve">8.乙方投标属虚假承诺，或经权威部门监测提供的服务不能满足磋商文件要求，或是由于乙方的过错造成合同无法继续履行的，乙方履约保证金不予退还外，还应向甲方支付不少于合同总价30%赔偿金。</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w:t>
      </w:r>
      <w:r>
        <w:rPr>
          <w:rFonts w:hint="eastAsia" w:cs="仿宋" w:asciiTheme="minorEastAsia" w:hAnsiTheme="minorEastAsia" w:eastAsiaTheme="minorEastAsia"/>
          <w:sz w:val="24"/>
          <w:szCs w:val="24"/>
          <w:lang w:val="zh-CN"/>
        </w:rPr>
        <w:t xml:space="preserve">.其他违约责任：</w:t>
      </w:r>
      <w:r>
        <w:rPr>
          <w:rFonts w:hint="eastAsia" w:cs="仿宋" w:asciiTheme="minorEastAsia" w:hAnsiTheme="minorEastAsia" w:eastAsiaTheme="minorEastAsia"/>
          <w:sz w:val="24"/>
          <w:szCs w:val="24"/>
          <w:u w:val="single"/>
        </w:rPr>
        <w:t xml:space="preserve">                                  </w:t>
      </w:r>
      <w:r/>
    </w:p>
    <w:p>
      <w:pPr>
        <w:ind w:right="-110"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第十一条 合同的变更和终止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 除《政府采购法》第50条第二款规定的情形外，本合同一经签订，甲乙双方不得擅自变更、中止或终止合同。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 除发生法律规定的不能预见、不能避免并不能克服的客观情况外，甲乙双方不得放弃或拒绝履行合同。乙方放弃或拒绝履行合同，保证金不予退还。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第十二条 合同的转让</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乙方不得擅自部分或全部转让其应履行的合同义务。 </w:t>
      </w:r>
      <w:r/>
    </w:p>
    <w:p>
      <w:pPr>
        <w:ind w:right="-110"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第十三条 争议的解决</w:t>
      </w:r>
      <w:r/>
    </w:p>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1.因服务的质量问题发生争议的，应当邀请国家认可的质量检测机构对服务质量进行鉴定。符合标准的，鉴定费由甲方承担；不符合质量标准的，鉴定费由乙方承担。</w:t>
      </w:r>
      <w:r/>
    </w:p>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2.因履行本合同引起的或与本合同有关的争议，甲、乙双方应首先通过友好协商解决，如果协商不能解决争议，则采取以下第</w:t>
      </w:r>
      <w:r>
        <w:rPr>
          <w:rFonts w:hint="eastAsia" w:cs="仿宋" w:asciiTheme="minorEastAsia" w:hAnsiTheme="minorEastAsia" w:eastAsiaTheme="minorEastAsia"/>
          <w:sz w:val="24"/>
          <w:szCs w:val="24"/>
          <w:u w:val="single"/>
          <w:lang w:val="zh-CN"/>
        </w:rPr>
        <w:t xml:space="preserve">（ ）</w:t>
      </w:r>
      <w:r>
        <w:rPr>
          <w:rFonts w:hint="eastAsia" w:cs="仿宋" w:asciiTheme="minorEastAsia" w:hAnsiTheme="minorEastAsia" w:eastAsiaTheme="minorEastAsia"/>
          <w:sz w:val="24"/>
          <w:szCs w:val="24"/>
          <w:lang w:val="zh-CN"/>
        </w:rPr>
        <w:t xml:space="preserve">种方式解决争议：</w:t>
      </w:r>
      <w:r/>
    </w:p>
    <w:p>
      <w:pPr>
        <w:ind w:right="-110" w:firstLine="480"/>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（1）向甲方所在地有管辖权的人民法院提起诉讼；</w:t>
      </w:r>
      <w:r/>
    </w:p>
    <w:p>
      <w:pPr>
        <w:ind w:right="-110" w:firstLine="480"/>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（2）向南京仲裁委员会按其仲裁规则申请仲裁。</w:t>
      </w:r>
      <w:r/>
    </w:p>
    <w:p>
      <w:pPr>
        <w:ind w:right="-110" w:firstLine="480"/>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如没有约定，默认采取第2种方式解决争议。</w:t>
      </w:r>
      <w:r/>
    </w:p>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3.在仲裁期间，本合同应继续履行。</w:t>
      </w:r>
      <w:r/>
    </w:p>
    <w:p>
      <w:pPr>
        <w:ind w:right="-110"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第十四条 诚实信用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乙方应诚实信用，严格按照磋商（采购）文件要求和投标（响应）承诺履行合同，不向甲方进行商业贿赂或者提供不正当利益。 </w:t>
      </w:r>
      <w:r/>
    </w:p>
    <w:p>
      <w:pPr>
        <w:ind w:right="-110"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第十五条 合同生效及其他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1.本合同自签订之日起生效。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2.本合同一式</w:t>
      </w:r>
      <w:r>
        <w:rPr>
          <w:rFonts w:hint="eastAsia" w:cs="仿宋" w:asciiTheme="minorEastAsia" w:hAnsiTheme="minorEastAsia" w:eastAsiaTheme="minorEastAsia"/>
          <w:sz w:val="24"/>
          <w:szCs w:val="24"/>
          <w:u w:val="single"/>
          <w:lang w:val="zh-CN"/>
        </w:rPr>
        <w:t xml:space="preserve">  </w:t>
      </w:r>
      <w:r>
        <w:rPr>
          <w:rFonts w:hint="eastAsia" w:cs="仿宋" w:asciiTheme="minorEastAsia" w:hAnsiTheme="minorEastAsia" w:eastAsiaTheme="minorEastAsia"/>
          <w:sz w:val="24"/>
          <w:szCs w:val="24"/>
        </w:rPr>
        <w:t xml:space="preserve">份，甲乙双方各执</w:t>
      </w:r>
      <w:r>
        <w:rPr>
          <w:rFonts w:hint="eastAsia" w:cs="仿宋" w:asciiTheme="minorEastAsia" w:hAnsiTheme="minorEastAsia" w:eastAsiaTheme="minorEastAsia"/>
          <w:sz w:val="24"/>
          <w:szCs w:val="24"/>
          <w:u w:val="single"/>
          <w:lang w:val="zh-CN"/>
        </w:rPr>
        <w:t xml:space="preserve">  </w:t>
      </w:r>
      <w:r>
        <w:rPr>
          <w:rFonts w:hint="eastAsia" w:cs="仿宋" w:asciiTheme="minorEastAsia" w:hAnsiTheme="minorEastAsia" w:eastAsiaTheme="minorEastAsia"/>
          <w:sz w:val="24"/>
          <w:szCs w:val="24"/>
        </w:rPr>
        <w:t xml:space="preserve">份。 </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3.本合同应按照中华人民共和国的现行法律进行解释。</w:t>
      </w:r>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帐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帐    号：</w:t>
            </w:r>
            <w:r/>
          </w:p>
          <w:p>
            <w:pPr>
              <w:ind w:right="-110" w:firstLine="482"/>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bl>
    <w:p>
      <w:pPr>
        <w:ind w:right="-110" w:firstLine="482"/>
        <w:jc w:val="center"/>
        <w:spacing w:line="360" w:lineRule="auto"/>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t xml:space="preserve">签订日期：</w:t>
      </w:r>
      <w:r>
        <w:rPr>
          <w:rFonts w:hint="eastAsia" w:cs="仿宋" w:asciiTheme="minorEastAsia" w:hAnsiTheme="minorEastAsia" w:eastAsiaTheme="minorEastAsia"/>
          <w:sz w:val="24"/>
          <w:szCs w:val="24"/>
          <w:lang w:val="zh-CN"/>
        </w:rPr>
        <w:t xml:space="preserve">    年    月    日</w:t>
      </w:r>
      <w:r/>
    </w:p>
    <w:p>
      <w:pPr>
        <w:ind w:right="-110" w:firstLine="482"/>
        <w:jc w:val="center"/>
        <w:spacing w:line="360" w:lineRule="auto"/>
        <w:rPr>
          <w:rFonts w:cs="仿宋" w:asciiTheme="minorEastAsia" w:hAnsiTheme="minorEastAsia" w:eastAsiaTheme="minorEastAsia"/>
          <w:b/>
          <w:bCs/>
          <w:sz w:val="32"/>
          <w:szCs w:val="32"/>
          <w:lang w:val="zh-CN"/>
        </w:rPr>
      </w:pPr>
      <w:r>
        <w:rPr>
          <w:rFonts w:hint="eastAsia" w:cs="仿宋" w:asciiTheme="minorEastAsia" w:hAnsiTheme="minorEastAsia" w:eastAsiaTheme="minorEastAsia"/>
          <w:sz w:val="24"/>
          <w:szCs w:val="24"/>
        </w:rPr>
        <w:br w:type="page" w:clear="all"/>
      </w:r>
      <w:bookmarkStart w:id="71" w:name="_Toc13932596"/>
      <w:r/>
      <w:bookmarkStart w:id="72" w:name="_Toc10045206"/>
      <w:r>
        <w:rPr>
          <w:rFonts w:hint="eastAsia" w:cs="仿宋" w:asciiTheme="minorEastAsia" w:hAnsiTheme="minorEastAsia" w:eastAsiaTheme="minorEastAsia"/>
          <w:b/>
          <w:bCs/>
          <w:sz w:val="32"/>
          <w:szCs w:val="32"/>
          <w:lang w:val="zh-CN"/>
        </w:rPr>
        <w:t xml:space="preserve">第六章 </w:t>
      </w:r>
      <w:r>
        <w:rPr>
          <w:rFonts w:hint="eastAsia" w:cs="仿宋" w:asciiTheme="minorEastAsia" w:hAnsiTheme="minorEastAsia" w:eastAsiaTheme="minorEastAsia"/>
          <w:b/>
          <w:bCs/>
          <w:sz w:val="32"/>
          <w:szCs w:val="32"/>
          <w:lang w:val="zh-CN"/>
        </w:rPr>
        <w:t xml:space="preserve">响应</w:t>
      </w:r>
      <w:r>
        <w:rPr>
          <w:rFonts w:hint="eastAsia" w:cs="仿宋" w:asciiTheme="minorEastAsia" w:hAnsiTheme="minorEastAsia" w:eastAsiaTheme="minorEastAsia"/>
          <w:b/>
          <w:bCs/>
          <w:sz w:val="32"/>
          <w:szCs w:val="32"/>
          <w:lang w:val="zh-CN"/>
        </w:rPr>
        <w:t xml:space="preserve">文件</w:t>
      </w:r>
      <w:r>
        <w:rPr>
          <w:rFonts w:hint="eastAsia" w:cs="仿宋" w:asciiTheme="minorEastAsia" w:hAnsiTheme="minorEastAsia" w:eastAsiaTheme="minorEastAsia"/>
          <w:b/>
          <w:bCs/>
          <w:sz w:val="32"/>
          <w:szCs w:val="32"/>
          <w:lang w:val="zh-CN"/>
        </w:rPr>
        <w:t xml:space="preserve">参考</w:t>
      </w:r>
      <w:r>
        <w:rPr>
          <w:rFonts w:hint="eastAsia" w:cs="仿宋" w:asciiTheme="minorEastAsia" w:hAnsiTheme="minorEastAsia" w:eastAsiaTheme="minorEastAsia"/>
          <w:b/>
          <w:bCs/>
          <w:sz w:val="32"/>
          <w:szCs w:val="32"/>
          <w:lang w:val="zh-CN"/>
        </w:rPr>
        <w:t xml:space="preserve">格式及附件</w:t>
      </w:r>
      <w:r/>
    </w:p>
    <w:p>
      <w:pPr>
        <w:ind w:left="560" w:right="-110" w:firstLine="560"/>
        <w:jc w:val="center"/>
        <w:spacing w:line="240" w:lineRule="atLeast"/>
        <w:rPr>
          <w:rFonts w:cs="仿宋" w:asciiTheme="minorEastAsia" w:hAnsiTheme="minorEastAsia" w:eastAsiaTheme="minorEastAsia"/>
          <w:b/>
          <w:bCs/>
          <w:sz w:val="28"/>
          <w:szCs w:val="28"/>
          <w:lang w:val="zh-CN"/>
        </w:rPr>
        <w:outlineLvl w:val="0"/>
      </w:pPr>
      <w:r>
        <w:rPr>
          <w:rFonts w:cs="仿宋" w:asciiTheme="minorEastAsia" w:hAnsiTheme="minorEastAsia" w:eastAsiaTheme="minorEastAsia"/>
          <w:b/>
          <w:bCs/>
          <w:sz w:val="28"/>
          <w:szCs w:val="28"/>
          <w:lang w:val="zh-CN"/>
        </w:rPr>
      </w:r>
      <w:r/>
    </w:p>
    <w:p>
      <w:pPr>
        <w:ind w:right="-110" w:firstLine="560"/>
        <w:jc w:val="center"/>
        <w:rPr>
          <w:rFonts w:cs="仿宋" w:asciiTheme="minorEastAsia" w:hAnsiTheme="minorEastAsia" w:eastAsiaTheme="minorEastAsia"/>
          <w:b/>
          <w:sz w:val="28"/>
          <w:szCs w:val="28"/>
        </w:rPr>
      </w:pPr>
      <w:r>
        <w:rPr>
          <w:rFonts w:cs="仿宋" w:asciiTheme="minorEastAsia" w:hAnsiTheme="minorEastAsia" w:eastAsiaTheme="minorEastAsia"/>
          <w:b/>
          <w:sz w:val="28"/>
          <w:szCs w:val="28"/>
        </w:rPr>
      </w:r>
      <w:r/>
    </w:p>
    <w:p>
      <w:pPr>
        <w:ind w:right="-110" w:firstLine="723"/>
        <w:jc w:val="center"/>
        <w:rPr>
          <w:rFonts w:cs="仿宋" w:asciiTheme="minorEastAsia" w:hAnsiTheme="minorEastAsia" w:eastAsiaTheme="minorEastAsia"/>
          <w:b/>
          <w:sz w:val="36"/>
          <w:szCs w:val="28"/>
        </w:rPr>
      </w:pPr>
      <w:r>
        <w:rPr>
          <w:rFonts w:hint="eastAsia" w:cs="仿宋" w:asciiTheme="minorEastAsia" w:hAnsiTheme="minorEastAsia" w:eastAsiaTheme="minorEastAsia"/>
          <w:b/>
          <w:sz w:val="36"/>
          <w:szCs w:val="28"/>
        </w:rPr>
        <w:t xml:space="preserve">响  应</w:t>
      </w:r>
      <w:r>
        <w:rPr>
          <w:rFonts w:hint="eastAsia" w:cs="仿宋" w:asciiTheme="minorEastAsia" w:hAnsiTheme="minorEastAsia" w:eastAsiaTheme="minorEastAsia"/>
          <w:b/>
          <w:sz w:val="36"/>
          <w:szCs w:val="28"/>
        </w:rPr>
        <w:t xml:space="preserve">  文  件</w:t>
      </w:r>
      <w:r/>
    </w:p>
    <w:p>
      <w:pPr>
        <w:ind w:right="-110" w:firstLine="3708"/>
        <w:rPr>
          <w:rFonts w:cs="仿宋" w:asciiTheme="minorEastAsia" w:hAnsiTheme="minorEastAsia" w:eastAsiaTheme="minorEastAsia"/>
          <w:b/>
          <w:sz w:val="36"/>
          <w:szCs w:val="28"/>
        </w:rPr>
      </w:pPr>
      <w:r>
        <w:rPr>
          <w:rFonts w:cs="仿宋" w:asciiTheme="minorEastAsia" w:hAnsiTheme="minorEastAsia" w:eastAsiaTheme="minorEastAsia"/>
          <w:b/>
          <w:sz w:val="36"/>
          <w:szCs w:val="28"/>
        </w:rPr>
      </w:r>
      <w:r/>
    </w:p>
    <w:p>
      <w:pPr>
        <w:ind w:right="-110" w:firstLine="720"/>
        <w:jc w:val="center"/>
        <w:rPr>
          <w:rFonts w:cs="仿宋" w:asciiTheme="minorEastAsia" w:hAnsiTheme="minorEastAsia" w:eastAsiaTheme="minorEastAsia"/>
          <w:b/>
          <w:sz w:val="36"/>
          <w:szCs w:val="28"/>
        </w:rPr>
      </w:pPr>
      <w:r>
        <w:rPr>
          <w:rFonts w:cs="仿宋" w:asciiTheme="minorEastAsia" w:hAnsiTheme="minorEastAsia" w:eastAsiaTheme="minorEastAsia"/>
          <w:b/>
          <w:sz w:val="36"/>
          <w:szCs w:val="28"/>
        </w:rPr>
      </w:r>
      <w:r/>
    </w:p>
    <w:p>
      <w:pPr>
        <w:ind w:right="-110" w:firstLine="720"/>
        <w:jc w:val="center"/>
        <w:rPr>
          <w:rFonts w:cs="仿宋" w:asciiTheme="minorEastAsia" w:hAnsiTheme="minorEastAsia" w:eastAsiaTheme="minorEastAsia"/>
          <w:b/>
          <w:sz w:val="36"/>
          <w:szCs w:val="28"/>
        </w:rPr>
      </w:pPr>
      <w:r>
        <w:rPr>
          <w:rFonts w:cs="仿宋" w:asciiTheme="minorEastAsia" w:hAnsiTheme="minorEastAsia" w:eastAsiaTheme="minorEastAsia"/>
          <w:b/>
          <w:sz w:val="36"/>
          <w:szCs w:val="28"/>
        </w:rPr>
      </w:r>
      <w:r/>
    </w:p>
    <w:p>
      <w:pPr>
        <w:ind w:right="-110" w:firstLine="720"/>
        <w:jc w:val="center"/>
        <w:rPr>
          <w:rFonts w:cs="仿宋" w:asciiTheme="minorEastAsia" w:hAnsiTheme="minorEastAsia" w:eastAsiaTheme="minorEastAsia"/>
          <w:b/>
          <w:sz w:val="36"/>
          <w:szCs w:val="28"/>
        </w:rPr>
      </w:pPr>
      <w:r>
        <w:rPr>
          <w:rFonts w:cs="仿宋" w:asciiTheme="minorEastAsia" w:hAnsiTheme="minorEastAsia" w:eastAsiaTheme="minorEastAsia"/>
          <w:b/>
          <w:sz w:val="36"/>
          <w:szCs w:val="28"/>
        </w:rPr>
      </w:r>
      <w:r/>
    </w:p>
    <w:p>
      <w:pPr>
        <w:ind w:right="-110" w:firstLine="720"/>
        <w:jc w:val="center"/>
        <w:rPr>
          <w:rFonts w:cs="仿宋" w:asciiTheme="minorEastAsia" w:hAnsiTheme="minorEastAsia" w:eastAsiaTheme="minorEastAsia"/>
          <w:b/>
          <w:sz w:val="36"/>
          <w:szCs w:val="28"/>
        </w:rPr>
      </w:pPr>
      <w:r>
        <w:rPr>
          <w:rFonts w:cs="仿宋" w:asciiTheme="minorEastAsia" w:hAnsiTheme="minorEastAsia" w:eastAsiaTheme="minorEastAsia"/>
          <w:b/>
          <w:sz w:val="36"/>
          <w:szCs w:val="28"/>
        </w:rPr>
      </w:r>
      <w:r/>
    </w:p>
    <w:p>
      <w:pPr>
        <w:ind w:right="-110" w:firstLine="2711"/>
        <w:rPr>
          <w:rFonts w:cs="仿宋" w:asciiTheme="minorEastAsia" w:hAnsiTheme="minorEastAsia" w:eastAsiaTheme="minorEastAsia"/>
          <w:b/>
          <w:sz w:val="36"/>
          <w:szCs w:val="28"/>
        </w:rPr>
      </w:pPr>
      <w:r>
        <w:rPr>
          <w:rFonts w:hint="eastAsia" w:cs="仿宋" w:asciiTheme="minorEastAsia" w:hAnsiTheme="minorEastAsia" w:eastAsiaTheme="minorEastAsia"/>
          <w:b/>
          <w:sz w:val="36"/>
          <w:szCs w:val="28"/>
        </w:rPr>
        <w:t xml:space="preserve">项 目 名 称：</w:t>
      </w:r>
      <w:r/>
    </w:p>
    <w:p>
      <w:pPr>
        <w:ind w:right="-110" w:firstLine="2711"/>
        <w:rPr>
          <w:rFonts w:cs="仿宋" w:asciiTheme="minorEastAsia" w:hAnsiTheme="minorEastAsia" w:eastAsiaTheme="minorEastAsia"/>
          <w:b/>
          <w:sz w:val="36"/>
          <w:szCs w:val="28"/>
          <w:u w:val="single"/>
        </w:rPr>
      </w:pPr>
      <w:r>
        <w:rPr>
          <w:rFonts w:hint="eastAsia" w:cs="仿宋" w:asciiTheme="minorEastAsia" w:hAnsiTheme="minorEastAsia" w:eastAsiaTheme="minorEastAsia"/>
          <w:b/>
          <w:sz w:val="36"/>
          <w:szCs w:val="28"/>
        </w:rPr>
        <w:t xml:space="preserve">项 目 编 号：</w:t>
      </w:r>
      <w:r>
        <w:rPr>
          <w:rFonts w:hint="eastAsia" w:cs="仿宋" w:asciiTheme="minorEastAsia" w:hAnsiTheme="minorEastAsia" w:eastAsiaTheme="minorEastAsia"/>
          <w:b/>
          <w:sz w:val="36"/>
          <w:szCs w:val="28"/>
        </w:rPr>
        <w:t xml:space="preserve"> </w:t>
      </w:r>
      <w:r/>
    </w:p>
    <w:p>
      <w:pPr>
        <w:ind w:right="-110" w:firstLine="723"/>
        <w:rPr>
          <w:rFonts w:cs="仿宋" w:asciiTheme="minorEastAsia" w:hAnsiTheme="minorEastAsia" w:eastAsiaTheme="minorEastAsia"/>
          <w:b/>
          <w:sz w:val="36"/>
          <w:szCs w:val="28"/>
          <w:u w:val="single"/>
        </w:rPr>
      </w:pPr>
      <w:r>
        <w:rPr>
          <w:rFonts w:hint="eastAsia" w:cs="仿宋" w:asciiTheme="minorEastAsia" w:hAnsiTheme="minorEastAsia" w:eastAsiaTheme="minorEastAsia"/>
          <w:b/>
          <w:sz w:val="36"/>
          <w:szCs w:val="28"/>
        </w:rPr>
        <w:t xml:space="preserve">          </w:t>
      </w:r>
      <w:r>
        <w:rPr>
          <w:rFonts w:hint="eastAsia" w:cs="仿宋" w:asciiTheme="minorEastAsia" w:hAnsiTheme="minorEastAsia" w:eastAsiaTheme="minorEastAsia"/>
          <w:b/>
          <w:sz w:val="36"/>
          <w:szCs w:val="28"/>
        </w:rPr>
        <w:t xml:space="preserve"> 供应商</w:t>
      </w:r>
      <w:r>
        <w:rPr>
          <w:rFonts w:hint="eastAsia" w:cs="仿宋" w:asciiTheme="minorEastAsia" w:hAnsiTheme="minorEastAsia" w:eastAsiaTheme="minorEastAsia"/>
          <w:b/>
          <w:sz w:val="36"/>
          <w:szCs w:val="28"/>
        </w:rPr>
        <w:t xml:space="preserve">名称 ：</w:t>
      </w:r>
      <w:r/>
    </w:p>
    <w:p>
      <w:pPr>
        <w:ind w:right="-110" w:firstLine="723"/>
        <w:rPr>
          <w:rFonts w:cs="仿宋" w:asciiTheme="minorEastAsia" w:hAnsiTheme="minorEastAsia" w:eastAsiaTheme="minorEastAsia"/>
          <w:b/>
          <w:sz w:val="28"/>
          <w:szCs w:val="28"/>
        </w:rPr>
      </w:pPr>
      <w:r>
        <w:rPr>
          <w:rFonts w:hint="eastAsia" w:cs="仿宋" w:asciiTheme="minorEastAsia" w:hAnsiTheme="minorEastAsia" w:eastAsiaTheme="minorEastAsia"/>
          <w:b/>
          <w:sz w:val="36"/>
          <w:szCs w:val="28"/>
        </w:rPr>
        <w:t xml:space="preserve">           日      期 ：</w:t>
      </w:r>
      <w:r/>
    </w:p>
    <w:p>
      <w:pPr>
        <w:ind w:right="-110" w:firstLine="560"/>
        <w:jc w:val="center"/>
        <w:rPr>
          <w:rFonts w:cs="仿宋" w:asciiTheme="minorEastAsia" w:hAnsiTheme="minorEastAsia" w:eastAsiaTheme="minorEastAsia"/>
          <w:b/>
          <w:bCs/>
          <w:sz w:val="28"/>
          <w:szCs w:val="28"/>
        </w:rPr>
        <w:outlineLvl w:val="0"/>
      </w:pPr>
      <w:r>
        <w:rPr>
          <w:rFonts w:cs="仿宋" w:asciiTheme="minorEastAsia" w:hAnsiTheme="minorEastAsia" w:eastAsiaTheme="minorEastAsia"/>
          <w:b/>
          <w:bCs/>
          <w:sz w:val="28"/>
          <w:szCs w:val="28"/>
        </w:rPr>
      </w:r>
      <w:r/>
    </w:p>
    <w:p>
      <w:pPr>
        <w:ind w:right="-110" w:firstLine="480"/>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0"/>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0"/>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0"/>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0"/>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0"/>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0"/>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jc w:val="left"/>
        <w:widowControl/>
        <w:rPr>
          <w:rFonts w:ascii="SimSun" w:hAnsi="SimSun" w:eastAsia="SimSun" w:cs="SimSun"/>
          <w:b/>
          <w:bCs/>
          <w:color w:val="000000"/>
          <w:sz w:val="24"/>
          <w:szCs w:val="24"/>
        </w:rPr>
      </w:pPr>
      <w:r>
        <w:rPr>
          <w:rFonts w:hint="eastAsia" w:cs="仿宋" w:asciiTheme="minorEastAsia" w:hAnsiTheme="minorEastAsia" w:eastAsiaTheme="minorEastAsia"/>
          <w:b/>
          <w:sz w:val="24"/>
          <w:szCs w:val="24"/>
        </w:rPr>
        <w:t xml:space="preserve">如标书制作工具中格式和内容与“南京公共采购信息网”发布的采购文件不一致，请以“南京公共采购信息网”发布的采购文件为准。</w:t>
      </w:r>
      <w:r>
        <w:rPr>
          <w:rFonts w:cs="仿宋" w:asciiTheme="minorEastAsia" w:hAnsiTheme="minorEastAsia" w:eastAsiaTheme="minorEastAsia"/>
          <w:b/>
          <w:sz w:val="24"/>
          <w:szCs w:val="24"/>
        </w:rPr>
      </w:r>
      <w:r/>
    </w:p>
    <w:p>
      <w:pPr>
        <w:ind w:right="-110"/>
        <w:jc w:val="left"/>
        <w:widowControl/>
        <w:rPr>
          <w:rFonts w:cs="仿宋" w:asciiTheme="minorEastAsia" w:hAnsiTheme="minorEastAsia" w:eastAsiaTheme="minorEastAsia"/>
          <w:b/>
          <w:bCs/>
          <w:sz w:val="24"/>
          <w:szCs w:val="24"/>
        </w:rPr>
      </w:pPr>
      <w:r>
        <w:rPr>
          <w:rFonts w:ascii="SimSun" w:hAnsi="SimSun" w:eastAsia="SimSun" w:cs="SimSun"/>
          <w:b/>
          <w:color w:val="000000"/>
          <w:sz w:val="24"/>
        </w:rPr>
        <w:t xml:space="preserve">注：本项目无需提供《关于符合本国产品标准的声明函》，标书制作工具中格式模板可上传空白文件。</w:t>
      </w:r>
      <w:r/>
    </w:p>
    <w:p>
      <w:pPr>
        <w:jc w:val="left"/>
        <w:widowControl/>
        <w:rPr>
          <w:rFonts w:cs="仿宋" w:asciiTheme="minorEastAsia" w:hAnsiTheme="minorEastAsia" w:eastAsiaTheme="minorEastAsia"/>
          <w:b/>
          <w:bCs/>
          <w:sz w:val="24"/>
          <w:szCs w:val="32"/>
        </w:rPr>
      </w:pPr>
      <w:r/>
      <w:bookmarkStart w:id="73" w:name="_Toc10045207"/>
      <w:r/>
      <w:bookmarkStart w:id="74" w:name="_Toc13932597"/>
      <w:r>
        <w:rPr>
          <w:rFonts w:cs="仿宋" w:asciiTheme="minorEastAsia" w:hAnsiTheme="minorEastAsia" w:eastAsiaTheme="minorEastAsia"/>
          <w:sz w:val="24"/>
        </w:rPr>
        <w:br w:type="page" w:clear="all"/>
      </w:r>
      <w:r/>
    </w:p>
    <w:p>
      <w:pPr>
        <w:pStyle w:val="1097"/>
        <w:ind w:right="-110"/>
        <w:rPr>
          <w:rFonts w:cs="仿宋" w:asciiTheme="minorEastAsia" w:hAnsiTheme="minorEastAsia" w:eastAsiaTheme="minorEastAsia"/>
          <w:sz w:val="24"/>
        </w:rPr>
      </w:pPr>
      <w:r>
        <w:rPr>
          <w:rFonts w:hint="eastAsia" w:cs="仿宋" w:asciiTheme="minorEastAsia" w:hAnsiTheme="minorEastAsia" w:eastAsiaTheme="minorEastAsia"/>
          <w:sz w:val="24"/>
        </w:rPr>
        <w:t xml:space="preserve">目录一、投标申请及声明格式</w:t>
      </w:r>
      <w:bookmarkEnd w:id="73"/>
      <w:r/>
      <w:bookmarkEnd w:id="74"/>
      <w:r/>
      <w:r/>
    </w:p>
    <w:p>
      <w:pPr>
        <w:pStyle w:val="1517"/>
        <w:jc w:val="center"/>
        <w:rPr>
          <w:rFonts w:asciiTheme="minorEastAsia" w:hAnsiTheme="minorEastAsia" w:eastAsiaTheme="minorEastAsia"/>
          <w:szCs w:val="24"/>
        </w:rPr>
      </w:pPr>
      <w:r/>
      <w:bookmarkStart w:id="75" w:name="_Toc13932598"/>
      <w:r/>
      <w:bookmarkStart w:id="76" w:name="_Toc10045208"/>
      <w:r>
        <w:rPr>
          <w:rFonts w:hint="eastAsia" w:asciiTheme="minorEastAsia" w:hAnsiTheme="minorEastAsia" w:eastAsiaTheme="minorEastAsia"/>
          <w:szCs w:val="24"/>
        </w:rPr>
        <w:t xml:space="preserve">投标申请及声明</w:t>
      </w:r>
      <w:r/>
    </w:p>
    <w:p>
      <w:pPr>
        <w:pStyle w:val="1517"/>
        <w:rPr>
          <w:rFonts w:asciiTheme="minorEastAsia" w:hAnsiTheme="minorEastAsia" w:eastAsiaTheme="minorEastAsia"/>
          <w:szCs w:val="24"/>
        </w:rPr>
      </w:pPr>
      <w:r>
        <w:rPr>
          <w:rFonts w:hint="eastAsia" w:asciiTheme="minorEastAsia" w:hAnsiTheme="minorEastAsia" w:eastAsiaTheme="minorEastAsia"/>
          <w:szCs w:val="24"/>
        </w:rPr>
        <w:t xml:space="preserve">致：</w:t>
      </w:r>
      <w:r>
        <w:rPr>
          <w:rFonts w:hint="eastAsia" w:asciiTheme="minorEastAsia" w:hAnsiTheme="minorEastAsia" w:eastAsiaTheme="minorEastAsia"/>
          <w:szCs w:val="24"/>
        </w:rPr>
        <w:t xml:space="preserve">南京市溧水生态环境局</w:t>
      </w:r>
      <w:r/>
    </w:p>
    <w:p>
      <w:pPr>
        <w:pStyle w:val="1517"/>
        <w:ind w:firstLine="480"/>
        <w:rPr>
          <w:rFonts w:asciiTheme="minorEastAsia" w:hAnsiTheme="minorEastAsia" w:eastAsiaTheme="minorEastAsia"/>
          <w:szCs w:val="24"/>
        </w:rPr>
      </w:pPr>
      <w:r>
        <w:rPr>
          <w:rFonts w:hint="eastAsia" w:asciiTheme="minorEastAsia" w:hAnsiTheme="minorEastAsia" w:eastAsiaTheme="minorEastAsia"/>
          <w:szCs w:val="24"/>
        </w:rPr>
        <w:t xml:space="preserve">根据贵方</w:t>
      </w:r>
      <w:r>
        <w:rPr>
          <w:rFonts w:hint="eastAsia" w:asciiTheme="minorEastAsia" w:hAnsiTheme="minorEastAsia" w:eastAsiaTheme="minorEastAsia"/>
          <w:szCs w:val="24"/>
          <w:u w:val="single"/>
        </w:rPr>
        <w:t xml:space="preserve">（项目名称）（项目编号）</w:t>
      </w:r>
      <w:r>
        <w:rPr>
          <w:rFonts w:hint="eastAsia" w:asciiTheme="minorEastAsia" w:hAnsiTheme="minorEastAsia" w:eastAsiaTheme="minorEastAsia"/>
          <w:szCs w:val="24"/>
        </w:rPr>
        <w:t xml:space="preserve">磋商的投标邀请，正式授权下述签字人</w:t>
      </w:r>
      <w:r>
        <w:rPr>
          <w:rFonts w:asciiTheme="minorEastAsia" w:hAnsiTheme="minorEastAsia" w:eastAsiaTheme="minorEastAsia"/>
          <w:szCs w:val="24"/>
          <w:u w:val="single"/>
        </w:rPr>
        <w:t xml:space="preserve">(</w:t>
      </w:r>
      <w:r>
        <w:rPr>
          <w:rFonts w:hint="eastAsia" w:asciiTheme="minorEastAsia" w:hAnsiTheme="minorEastAsia" w:eastAsiaTheme="minorEastAsia"/>
          <w:szCs w:val="24"/>
          <w:u w:val="single"/>
        </w:rPr>
        <w:t xml:space="preserve">姓名和职务</w:t>
      </w:r>
      <w:r>
        <w:rPr>
          <w:rFonts w:asciiTheme="minorEastAsia" w:hAnsiTheme="minorEastAsia" w:eastAsiaTheme="minorEastAsia"/>
          <w:szCs w:val="24"/>
          <w:u w:val="single"/>
        </w:rPr>
        <w:t xml:space="preserve">)</w:t>
      </w:r>
      <w:r>
        <w:rPr>
          <w:rFonts w:hint="eastAsia" w:asciiTheme="minorEastAsia" w:hAnsiTheme="minorEastAsia" w:eastAsiaTheme="minorEastAsia"/>
          <w:szCs w:val="24"/>
        </w:rPr>
        <w:t xml:space="preserve">代表</w:t>
      </w:r>
      <w:r>
        <w:rPr>
          <w:rFonts w:hint="eastAsia" w:asciiTheme="minorEastAsia" w:hAnsiTheme="minorEastAsia" w:eastAsiaTheme="minorEastAsia"/>
          <w:szCs w:val="24"/>
        </w:rPr>
        <w:t xml:space="preserve">供应商</w:t>
      </w:r>
      <w:r>
        <w:rPr>
          <w:rFonts w:hint="eastAsia" w:asciiTheme="minorEastAsia" w:hAnsiTheme="minorEastAsia" w:eastAsiaTheme="minorEastAsia"/>
          <w:szCs w:val="24"/>
          <w:u w:val="single"/>
        </w:rPr>
        <w:t xml:space="preserve">（</w:t>
      </w:r>
      <w:r>
        <w:rPr>
          <w:rFonts w:hint="eastAsia" w:asciiTheme="minorEastAsia" w:hAnsiTheme="minorEastAsia" w:eastAsiaTheme="minorEastAsia"/>
          <w:szCs w:val="24"/>
          <w:u w:val="single"/>
        </w:rPr>
        <w:t xml:space="preserve">供应商</w:t>
      </w:r>
      <w:r>
        <w:rPr>
          <w:rFonts w:hint="eastAsia" w:asciiTheme="minorEastAsia" w:hAnsiTheme="minorEastAsia" w:eastAsiaTheme="minorEastAsia"/>
          <w:szCs w:val="24"/>
          <w:u w:val="single"/>
        </w:rPr>
        <w:t xml:space="preserve">名称）</w:t>
      </w:r>
      <w:r>
        <w:rPr>
          <w:rFonts w:hint="eastAsia" w:asciiTheme="minorEastAsia" w:hAnsiTheme="minorEastAsia" w:eastAsiaTheme="minorEastAsia"/>
          <w:szCs w:val="24"/>
        </w:rPr>
        <w:t xml:space="preserve">提交</w:t>
      </w:r>
      <w:r>
        <w:rPr>
          <w:rFonts w:hint="eastAsia" w:asciiTheme="minorEastAsia" w:hAnsiTheme="minorEastAsia" w:eastAsiaTheme="minorEastAsia"/>
          <w:szCs w:val="24"/>
        </w:rPr>
        <w:t xml:space="preserve">响应文件</w:t>
      </w:r>
      <w:r>
        <w:rPr>
          <w:rFonts w:hint="eastAsia" w:asciiTheme="minorEastAsia" w:hAnsiTheme="minorEastAsia" w:eastAsiaTheme="minorEastAsia"/>
          <w:szCs w:val="24"/>
        </w:rPr>
        <w:t xml:space="preserve">。</w:t>
      </w:r>
      <w:r/>
    </w:p>
    <w:p>
      <w:pPr>
        <w:pStyle w:val="1517"/>
        <w:ind w:firstLine="480"/>
        <w:rPr>
          <w:rFonts w:asciiTheme="minorEastAsia" w:hAnsiTheme="minorEastAsia" w:eastAsiaTheme="minorEastAsia"/>
          <w:szCs w:val="24"/>
        </w:rPr>
      </w:pPr>
      <w:r>
        <w:rPr>
          <w:rFonts w:hint="eastAsia" w:asciiTheme="minorEastAsia" w:hAnsiTheme="minorEastAsia" w:eastAsiaTheme="minorEastAsia"/>
          <w:szCs w:val="24"/>
        </w:rPr>
        <w:t xml:space="preserve">据此函，签字人兹宣布声明和承诺如下：</w:t>
      </w:r>
      <w:r/>
    </w:p>
    <w:p>
      <w:pPr>
        <w:pStyle w:val="1517"/>
        <w:numPr>
          <w:ilvl w:val="0"/>
          <w:numId w:val="8"/>
        </w:numPr>
        <w:rPr>
          <w:rFonts w:asciiTheme="minorEastAsia" w:hAnsiTheme="minorEastAsia" w:eastAsiaTheme="minorEastAsia"/>
          <w:szCs w:val="24"/>
        </w:rPr>
      </w:pPr>
      <w:r>
        <w:rPr>
          <w:rFonts w:hint="eastAsia" w:asciiTheme="minorEastAsia" w:hAnsiTheme="minorEastAsia" w:eastAsiaTheme="minorEastAsia"/>
          <w:szCs w:val="24"/>
        </w:rPr>
        <w:t xml:space="preserve">我方的资格条件完全符合政府采购法和本次磋商要求。</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我方参加政府采购活动前三年内，在经营活动中没有重大违法记录。</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参加本次采购活动前，我方没有被信用中国网站、中国政府采购网站列入失信被执行人名单、重大税收违法案件当事人名单、政府采购严重违法失信行为记录名单。</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我方在全国范围内未受过财政部门禁止参加政府采购活动的处罚期限，或在全国范围内受过财政部门禁止参加政府采购活动的处罚期限已满。</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我方没有为本采购项目提供整体设计、规范编制，以及项目管理、监理、检测等服务。</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我方与参与本次采购活动的其他供应商的授权代理人(或法定代表人、项目经理、项目总监、项目负责人等)在采购文件发布日上月至投标截止日当月未在同一单位缴纳社会保险的。</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我方与参与本次采购活动的其他供应商的法定代表人或委托代理人无夫妻、直系血亲关系的；</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我方与参与本次采购活动的其他供应商的负责人不是同一人，也不存在直接控股、管理关系。</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我方已详细审核全部磋商文件及其有效补充文件，我们放弃对磋商文件任何误解的权利，提交</w:t>
      </w:r>
      <w:r>
        <w:rPr>
          <w:rFonts w:hint="eastAsia" w:cs="Times New Roman" w:asciiTheme="minorEastAsia" w:hAnsiTheme="minorEastAsia" w:eastAsiaTheme="minorEastAsia"/>
          <w:szCs w:val="24"/>
        </w:rPr>
        <w:t xml:space="preserve">响应文件</w:t>
      </w:r>
      <w:r>
        <w:rPr>
          <w:rFonts w:hint="eastAsia" w:cs="Times New Roman" w:asciiTheme="minorEastAsia" w:hAnsiTheme="minorEastAsia" w:eastAsiaTheme="minorEastAsia"/>
          <w:szCs w:val="24"/>
        </w:rPr>
        <w:t xml:space="preserve">后，不对磋商文件本身提出质疑。</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我方同意并向贵方提供了与投标有关的所有证据和资料。</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我方同意从规定的开标日期起遵循本</w:t>
      </w:r>
      <w:r>
        <w:rPr>
          <w:rFonts w:hint="eastAsia" w:cs="Times New Roman" w:asciiTheme="minorEastAsia" w:hAnsiTheme="minorEastAsia" w:eastAsiaTheme="minorEastAsia"/>
          <w:szCs w:val="24"/>
        </w:rPr>
        <w:t xml:space="preserve">响应文件</w:t>
      </w:r>
      <w:r>
        <w:rPr>
          <w:rFonts w:hint="eastAsia" w:cs="Times New Roman" w:asciiTheme="minorEastAsia" w:hAnsiTheme="minorEastAsia" w:eastAsiaTheme="minorEastAsia"/>
          <w:szCs w:val="24"/>
        </w:rPr>
        <w:t xml:space="preserve">，并在规定的投标有效期 期满之前均具有约束力。</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本公司郑重声明，根据《政府采购促进中小企业发展管理办法》（财库[2020]46号）的规定，本公司为</w:t>
      </w:r>
      <w:r>
        <w:rPr>
          <w:rFonts w:hint="eastAsia" w:cs="Times New Roman" w:asciiTheme="minorEastAsia" w:hAnsiTheme="minorEastAsia" w:eastAsiaTheme="minorEastAsia"/>
          <w:szCs w:val="24"/>
          <w:u w:val="single"/>
        </w:rPr>
        <w:t xml:space="preserve">______________</w:t>
      </w:r>
      <w:r>
        <w:rPr>
          <w:rFonts w:hint="eastAsia" w:cs="Times New Roman" w:asciiTheme="minorEastAsia" w:hAnsiTheme="minorEastAsia" w:eastAsiaTheme="minorEastAsia"/>
          <w:szCs w:val="24"/>
        </w:rPr>
        <w:t xml:space="preserve">企业。</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一旦我方成交，我方将根据磋商文件的规定严格履行合同。</w:t>
      </w:r>
      <w:r/>
    </w:p>
    <w:p>
      <w:pPr>
        <w:pStyle w:val="1517"/>
        <w:numPr>
          <w:ilvl w:val="0"/>
          <w:numId w:val="8"/>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决不提供虚假材料谋取成交、决不采取不正当手段诋毁、排挤其他供应商、决不与采购人、其它供应商或者采购代理恶意串通、决不向采购人、代理机构工作人员和评委进行商业贿赂、决不在采购过程中与采购人进行协商谈判、决不拒绝有关部门监督检查或提供虚假情况。如有违反或者虚假陈述，无条件接受贵方及监督管理部门的处罚。</w:t>
      </w:r>
      <w:r/>
    </w:p>
    <w:p>
      <w:pPr>
        <w:pStyle w:val="1517"/>
        <w:numPr>
          <w:ilvl w:val="0"/>
          <w:numId w:val="8"/>
        </w:numPr>
        <w:rPr>
          <w:rFonts w:asciiTheme="minorEastAsia" w:hAnsiTheme="minorEastAsia" w:eastAsiaTheme="minorEastAsia"/>
          <w:szCs w:val="24"/>
        </w:rPr>
      </w:pPr>
      <w:r>
        <w:rPr>
          <w:rFonts w:hint="eastAsia" w:asciiTheme="minorEastAsia" w:hAnsiTheme="minorEastAsia" w:eastAsiaTheme="minorEastAsia"/>
          <w:szCs w:val="24"/>
        </w:rPr>
        <w:t xml:space="preserve">与本磋商有关的正式联系方式为：</w:t>
      </w:r>
      <w:r/>
    </w:p>
    <w:p>
      <w:pPr>
        <w:pStyle w:val="1517"/>
        <w:rPr>
          <w:rFonts w:asciiTheme="minorEastAsia" w:hAnsiTheme="minorEastAsia" w:eastAsiaTheme="minorEastAsia"/>
          <w:szCs w:val="24"/>
          <w:u w:val="single"/>
        </w:rPr>
      </w:pPr>
      <w:r>
        <w:rPr>
          <w:rFonts w:hint="eastAsia" w:asciiTheme="minorEastAsia" w:hAnsiTheme="minorEastAsia" w:eastAsiaTheme="minorEastAsia"/>
          <w:szCs w:val="24"/>
        </w:rPr>
        <w:t xml:space="preserve">地址：</w:t>
      </w:r>
      <w:r/>
    </w:p>
    <w:p>
      <w:pPr>
        <w:pStyle w:val="1517"/>
        <w:rPr>
          <w:rFonts w:asciiTheme="minorEastAsia" w:hAnsiTheme="minorEastAsia" w:eastAsiaTheme="minorEastAsia"/>
          <w:szCs w:val="24"/>
          <w:u w:val="single"/>
        </w:rPr>
      </w:pPr>
      <w:r>
        <w:rPr>
          <w:rFonts w:hint="eastAsia" w:asciiTheme="minorEastAsia" w:hAnsiTheme="minorEastAsia" w:eastAsiaTheme="minorEastAsia"/>
          <w:szCs w:val="24"/>
        </w:rPr>
        <w:t xml:space="preserve">联系方式</w:t>
      </w:r>
      <w:r>
        <w:rPr>
          <w:rFonts w:hint="eastAsia" w:asciiTheme="minorEastAsia" w:hAnsiTheme="minorEastAsia" w:eastAsiaTheme="minorEastAsia"/>
          <w:szCs w:val="24"/>
        </w:rPr>
        <w:t xml:space="preserve">：</w:t>
      </w:r>
      <w:r/>
    </w:p>
    <w:p>
      <w:pPr>
        <w:pStyle w:val="1517"/>
        <w:rPr>
          <w:rFonts w:asciiTheme="minorEastAsia" w:hAnsiTheme="minorEastAsia" w:eastAsiaTheme="minorEastAsia"/>
          <w:szCs w:val="24"/>
        </w:rPr>
      </w:pPr>
      <w:r>
        <w:rPr>
          <w:rFonts w:hint="eastAsia" w:asciiTheme="minorEastAsia" w:hAnsiTheme="minorEastAsia" w:eastAsiaTheme="minorEastAsia"/>
          <w:szCs w:val="24"/>
        </w:rPr>
        <w:t xml:space="preserve">开户银行：</w:t>
      </w:r>
      <w:r/>
    </w:p>
    <w:p>
      <w:pPr>
        <w:pStyle w:val="1517"/>
        <w:rPr>
          <w:rFonts w:asciiTheme="minorEastAsia" w:hAnsiTheme="minorEastAsia" w:eastAsiaTheme="minorEastAsia"/>
          <w:szCs w:val="24"/>
        </w:rPr>
      </w:pPr>
      <w:r>
        <w:rPr>
          <w:rFonts w:hint="eastAsia" w:asciiTheme="minorEastAsia" w:hAnsiTheme="minorEastAsia" w:eastAsiaTheme="minorEastAsia"/>
          <w:szCs w:val="24"/>
        </w:rPr>
        <w:t xml:space="preserve">银行账号：</w:t>
      </w:r>
      <w:r/>
    </w:p>
    <w:p>
      <w:pPr>
        <w:pStyle w:val="1517"/>
        <w:rPr>
          <w:rFonts w:asciiTheme="minorEastAsia" w:hAnsiTheme="minorEastAsia" w:eastAsiaTheme="minorEastAsia"/>
          <w:szCs w:val="24"/>
          <w:u w:val="single"/>
        </w:rPr>
      </w:pPr>
      <w:r>
        <w:rPr>
          <w:rFonts w:hint="eastAsia" w:asciiTheme="minorEastAsia" w:hAnsiTheme="minorEastAsia" w:eastAsiaTheme="minorEastAsia"/>
          <w:szCs w:val="24"/>
        </w:rPr>
        <w:t xml:space="preserve">供应商授权代表姓名（签字）：</w:t>
      </w:r>
      <w:r/>
    </w:p>
    <w:p>
      <w:pPr>
        <w:pStyle w:val="1517"/>
        <w:rPr>
          <w:rFonts w:asciiTheme="minorEastAsia" w:hAnsiTheme="minorEastAsia" w:eastAsiaTheme="minorEastAsia"/>
          <w:szCs w:val="24"/>
        </w:rPr>
      </w:pPr>
      <w:r>
        <w:rPr>
          <w:rFonts w:hint="eastAsia" w:asciiTheme="minorEastAsia" w:hAnsiTheme="minorEastAsia" w:eastAsiaTheme="minorEastAsia"/>
          <w:szCs w:val="24"/>
        </w:rPr>
        <w:t xml:space="preserve">供应商名称（盖章）：</w:t>
      </w:r>
      <w:r/>
    </w:p>
    <w:p>
      <w:pPr>
        <w:pStyle w:val="1517"/>
        <w:rPr>
          <w:rFonts w:asciiTheme="minorEastAsia" w:hAnsiTheme="minorEastAsia" w:eastAsiaTheme="minorEastAsia"/>
          <w:szCs w:val="24"/>
        </w:rPr>
      </w:pPr>
      <w:r>
        <w:rPr>
          <w:rFonts w:hint="eastAsia" w:asciiTheme="minorEastAsia" w:hAnsiTheme="minorEastAsia" w:eastAsiaTheme="minorEastAsia"/>
          <w:szCs w:val="24"/>
        </w:rPr>
        <w:t xml:space="preserve">日期： 年 月 日</w:t>
      </w:r>
      <w:bookmarkEnd w:id="75"/>
      <w:r/>
      <w:bookmarkEnd w:id="76"/>
      <w:r/>
      <w:r/>
    </w:p>
    <w:p>
      <w:pPr>
        <w:pStyle w:val="1517"/>
        <w:jc w:val="center"/>
        <w:rPr>
          <w:rFonts w:cs="仿宋" w:asciiTheme="minorEastAsia" w:hAnsiTheme="minorEastAsia" w:eastAsiaTheme="minorEastAsia"/>
          <w:szCs w:val="24"/>
        </w:rPr>
      </w:pPr>
      <w:r>
        <w:rPr>
          <w:rFonts w:cs="仿宋" w:asciiTheme="minorEastAsia" w:hAnsiTheme="minorEastAsia" w:eastAsiaTheme="minorEastAsia"/>
          <w:szCs w:val="24"/>
        </w:rPr>
      </w:r>
      <w:r/>
    </w:p>
    <w:p>
      <w:pPr>
        <w:pStyle w:val="1517"/>
        <w:rPr>
          <w:rFonts w:cs="仿宋" w:asciiTheme="minorEastAsia" w:hAnsiTheme="minorEastAsia" w:eastAsiaTheme="minorEastAsia"/>
          <w:b/>
          <w:bCs/>
        </w:rPr>
      </w:pPr>
      <w:r>
        <w:rPr>
          <w:rFonts w:cs="仿宋" w:asciiTheme="minorEastAsia" w:hAnsiTheme="minorEastAsia" w:eastAsiaTheme="minorEastAsia"/>
          <w:b/>
          <w:bCs/>
        </w:rPr>
      </w:r>
      <w:r/>
    </w:p>
    <w:p>
      <w:pPr>
        <w:pStyle w:val="1517"/>
        <w:rPr>
          <w:rFonts w:cs="仿宋" w:asciiTheme="minorEastAsia" w:hAnsiTheme="minorEastAsia" w:eastAsiaTheme="minorEastAsia"/>
          <w:b/>
          <w:bCs/>
        </w:rPr>
      </w:pPr>
      <w:r>
        <w:rPr>
          <w:rFonts w:hint="eastAsia" w:cs="仿宋" w:asciiTheme="minorEastAsia" w:hAnsiTheme="minorEastAsia" w:eastAsiaTheme="minorEastAsia"/>
          <w:b/>
          <w:bCs/>
          <w:highlight w:val="none"/>
        </w:rPr>
      </w:r>
      <w:r>
        <w:rPr>
          <w:rFonts w:hint="eastAsia" w:cs="仿宋" w:asciiTheme="minorEastAsia" w:hAnsiTheme="minorEastAsia" w:eastAsiaTheme="minorEastAsia"/>
          <w:b/>
          <w:bCs/>
          <w:highlight w:val="none"/>
        </w:rPr>
      </w:r>
      <w:r/>
    </w:p>
    <w:p>
      <w:pPr>
        <w:pStyle w:val="1517"/>
        <w:rPr>
          <w:rFonts w:hint="eastAsia" w:cs="仿宋" w:asciiTheme="minorEastAsia" w:hAnsiTheme="minorEastAsia" w:eastAsiaTheme="minorEastAsia"/>
          <w:b/>
          <w:bCs/>
          <w:highlight w:val="none"/>
        </w:rPr>
      </w:pPr>
      <w:r>
        <w:rPr>
          <w:rFonts w:hint="eastAsia" w:cs="仿宋" w:asciiTheme="minorEastAsia" w:hAnsiTheme="minorEastAsia" w:eastAsiaTheme="minorEastAsia"/>
          <w:b/>
          <w:bCs/>
          <w:highlight w:val="none"/>
        </w:rPr>
      </w:r>
      <w:r>
        <w:rPr>
          <w:rFonts w:hint="eastAsia" w:cs="仿宋" w:asciiTheme="minorEastAsia" w:hAnsiTheme="minorEastAsia" w:eastAsiaTheme="minorEastAsia"/>
          <w:b/>
          <w:bCs/>
          <w:highlight w:val="none"/>
        </w:rPr>
      </w:r>
      <w:r/>
    </w:p>
    <w:p>
      <w:pPr>
        <w:pStyle w:val="1517"/>
        <w:rPr>
          <w:rFonts w:hint="eastAsia" w:cs="仿宋" w:asciiTheme="minorEastAsia" w:hAnsiTheme="minorEastAsia" w:eastAsiaTheme="minorEastAsia"/>
          <w:b/>
          <w:bCs/>
          <w:highlight w:val="none"/>
        </w:rPr>
      </w:pPr>
      <w:r>
        <w:rPr>
          <w:rFonts w:hint="eastAsia" w:cs="仿宋" w:asciiTheme="minorEastAsia" w:hAnsiTheme="minorEastAsia" w:eastAsiaTheme="minorEastAsia"/>
          <w:b/>
          <w:bCs/>
          <w:highlight w:val="none"/>
        </w:rPr>
      </w:r>
      <w:r>
        <w:rPr>
          <w:rFonts w:hint="eastAsia" w:cs="仿宋" w:asciiTheme="minorEastAsia" w:hAnsiTheme="minorEastAsia" w:eastAsiaTheme="minorEastAsia"/>
          <w:b/>
          <w:bCs/>
          <w:highlight w:val="none"/>
        </w:rPr>
      </w:r>
      <w:r/>
    </w:p>
    <w:p>
      <w:pPr>
        <w:pStyle w:val="1517"/>
        <w:rPr>
          <w:rFonts w:hint="eastAsia" w:cs="仿宋" w:asciiTheme="minorEastAsia" w:hAnsiTheme="minorEastAsia" w:eastAsiaTheme="minorEastAsia"/>
          <w:b/>
          <w:bCs/>
          <w:highlight w:val="none"/>
        </w:rPr>
      </w:pPr>
      <w:r>
        <w:rPr>
          <w:rFonts w:hint="eastAsia" w:cs="仿宋" w:asciiTheme="minorEastAsia" w:hAnsiTheme="minorEastAsia" w:eastAsiaTheme="minorEastAsia"/>
          <w:b/>
          <w:bCs/>
          <w:highlight w:val="none"/>
        </w:rPr>
      </w:r>
      <w:r>
        <w:rPr>
          <w:rFonts w:hint="eastAsia" w:cs="仿宋" w:asciiTheme="minorEastAsia" w:hAnsiTheme="minorEastAsia" w:eastAsiaTheme="minorEastAsia"/>
          <w:b/>
          <w:bCs/>
          <w:highlight w:val="none"/>
        </w:rPr>
      </w:r>
      <w:r/>
    </w:p>
    <w:p>
      <w:pPr>
        <w:pStyle w:val="1517"/>
        <w:rPr>
          <w:rFonts w:hint="eastAsia" w:cs="仿宋" w:asciiTheme="minorEastAsia" w:hAnsiTheme="minorEastAsia" w:eastAsiaTheme="minorEastAsia"/>
          <w:b/>
          <w:bCs/>
          <w:highlight w:val="none"/>
        </w:rPr>
      </w:pPr>
      <w:r>
        <w:rPr>
          <w:rFonts w:hint="eastAsia" w:cs="仿宋" w:asciiTheme="minorEastAsia" w:hAnsiTheme="minorEastAsia" w:eastAsiaTheme="minorEastAsia"/>
          <w:b/>
          <w:bCs/>
          <w:highlight w:val="none"/>
        </w:rPr>
      </w:r>
      <w:r>
        <w:rPr>
          <w:rFonts w:hint="eastAsia" w:cs="仿宋" w:asciiTheme="minorEastAsia" w:hAnsiTheme="minorEastAsia" w:eastAsiaTheme="minorEastAsia"/>
          <w:b/>
          <w:bCs/>
          <w:highlight w:val="none"/>
        </w:rPr>
      </w:r>
      <w:r/>
    </w:p>
    <w:p>
      <w:pPr>
        <w:pStyle w:val="1517"/>
        <w:rPr>
          <w:rFonts w:hint="eastAsia" w:cs="仿宋" w:asciiTheme="minorEastAsia" w:hAnsiTheme="minorEastAsia" w:eastAsiaTheme="minorEastAsia"/>
          <w:b/>
          <w:bCs/>
          <w:highlight w:val="none"/>
        </w:rPr>
      </w:pPr>
      <w:r>
        <w:rPr>
          <w:rFonts w:hint="eastAsia" w:cs="仿宋" w:asciiTheme="minorEastAsia" w:hAnsiTheme="minorEastAsia" w:eastAsiaTheme="minorEastAsia"/>
          <w:b/>
          <w:bCs/>
          <w:highlight w:val="none"/>
        </w:rPr>
      </w:r>
      <w:r>
        <w:rPr>
          <w:rFonts w:hint="eastAsia" w:cs="仿宋" w:asciiTheme="minorEastAsia" w:hAnsiTheme="minorEastAsia" w:eastAsiaTheme="minorEastAsia"/>
          <w:b/>
          <w:bCs/>
          <w:highlight w:val="none"/>
        </w:rPr>
      </w:r>
      <w:r/>
    </w:p>
    <w:p>
      <w:pPr>
        <w:pStyle w:val="1517"/>
        <w:rPr>
          <w:rFonts w:hint="eastAsia" w:cs="仿宋" w:asciiTheme="minorEastAsia" w:hAnsiTheme="minorEastAsia" w:eastAsiaTheme="minorEastAsia"/>
          <w:b/>
          <w:bCs/>
          <w:highlight w:val="none"/>
        </w:rPr>
      </w:pPr>
      <w:r>
        <w:rPr>
          <w:rFonts w:hint="eastAsia" w:cs="仿宋" w:asciiTheme="minorEastAsia" w:hAnsiTheme="minorEastAsia" w:eastAsiaTheme="minorEastAsia"/>
          <w:b/>
          <w:bCs/>
        </w:rPr>
        <w:t xml:space="preserve">目录二、法定代表人授权书格式</w:t>
      </w:r>
      <w:r/>
    </w:p>
    <w:p>
      <w:pPr>
        <w:pStyle w:val="1517"/>
        <w:jc w:val="center"/>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法定代表人授权委托书</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南京市溧水生态环境局</w:t>
      </w:r>
      <w:r>
        <w:rPr>
          <w:rFonts w:hint="eastAsia" w:cs="仿宋" w:asciiTheme="minorEastAsia" w:hAnsiTheme="minorEastAsia" w:eastAsiaTheme="minorEastAsia"/>
          <w:szCs w:val="24"/>
        </w:rPr>
        <w:t xml:space="preserve">：</w:t>
      </w:r>
      <w:r/>
    </w:p>
    <w:p>
      <w:pPr>
        <w:pStyle w:val="1517"/>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本授权书声明：注册于</w:t>
      </w:r>
      <w:r>
        <w:rPr>
          <w:rFonts w:hint="eastAsia" w:cs="仿宋" w:asciiTheme="minorEastAsia" w:hAnsiTheme="minorEastAsia" w:eastAsiaTheme="minorEastAsia"/>
          <w:szCs w:val="24"/>
          <w:u w:val="single"/>
        </w:rPr>
        <w:t xml:space="preserve">              </w:t>
      </w:r>
      <w:r>
        <w:rPr>
          <w:rFonts w:hint="eastAsia" w:cs="仿宋" w:asciiTheme="minorEastAsia" w:hAnsiTheme="minorEastAsia" w:eastAsiaTheme="minorEastAsia"/>
          <w:szCs w:val="24"/>
        </w:rPr>
        <w:t xml:space="preserve">（</w:t>
      </w:r>
      <w:r>
        <w:rPr>
          <w:rFonts w:hint="eastAsia" w:asciiTheme="minorEastAsia" w:hAnsiTheme="minorEastAsia" w:eastAsiaTheme="minorEastAsia"/>
          <w:szCs w:val="24"/>
        </w:rPr>
        <w:t xml:space="preserve">供应商</w:t>
      </w:r>
      <w:r>
        <w:rPr>
          <w:rFonts w:hint="eastAsia" w:cs="仿宋" w:asciiTheme="minorEastAsia" w:hAnsiTheme="minorEastAsia" w:eastAsiaTheme="minorEastAsia"/>
          <w:szCs w:val="24"/>
        </w:rPr>
        <w:t xml:space="preserve">住址）的</w:t>
      </w:r>
      <w:r>
        <w:rPr>
          <w:rFonts w:hint="eastAsia" w:cs="仿宋" w:asciiTheme="minorEastAsia" w:hAnsiTheme="minorEastAsia" w:eastAsiaTheme="minorEastAsia"/>
          <w:szCs w:val="24"/>
          <w:u w:val="single"/>
        </w:rPr>
        <w:t xml:space="preserve">              </w:t>
      </w:r>
      <w:r>
        <w:rPr>
          <w:rFonts w:hint="eastAsia" w:cs="仿宋" w:asciiTheme="minorEastAsia" w:hAnsiTheme="minorEastAsia" w:eastAsiaTheme="minorEastAsia"/>
          <w:szCs w:val="24"/>
        </w:rPr>
        <w:t xml:space="preserve">（</w:t>
      </w:r>
      <w:r>
        <w:rPr>
          <w:rFonts w:hint="eastAsia" w:asciiTheme="minorEastAsia" w:hAnsiTheme="minorEastAsia" w:eastAsiaTheme="minorEastAsia"/>
          <w:szCs w:val="24"/>
        </w:rPr>
        <w:t xml:space="preserve">供应商</w:t>
      </w:r>
      <w:r>
        <w:rPr>
          <w:rFonts w:hint="eastAsia" w:cs="仿宋" w:asciiTheme="minorEastAsia" w:hAnsiTheme="minorEastAsia" w:eastAsiaTheme="minorEastAsia"/>
          <w:szCs w:val="24"/>
        </w:rPr>
        <w:t xml:space="preserve">名称）法定代表人</w:t>
      </w:r>
      <w:r>
        <w:rPr>
          <w:rFonts w:hint="eastAsia" w:cs="仿宋" w:asciiTheme="minorEastAsia" w:hAnsiTheme="minorEastAsia" w:eastAsiaTheme="minorEastAsia"/>
          <w:szCs w:val="24"/>
          <w:u w:val="single"/>
        </w:rPr>
        <w:t xml:space="preserve">              </w:t>
      </w:r>
      <w:r>
        <w:rPr>
          <w:rFonts w:hint="eastAsia" w:cs="仿宋" w:asciiTheme="minorEastAsia" w:hAnsiTheme="minorEastAsia" w:eastAsiaTheme="minorEastAsia"/>
          <w:szCs w:val="24"/>
        </w:rPr>
        <w:t xml:space="preserve">（法定代表人姓名、职务）代表本公司授权在下面签字的</w:t>
      </w:r>
      <w:r>
        <w:rPr>
          <w:rFonts w:hint="eastAsia" w:cs="仿宋" w:asciiTheme="minorEastAsia" w:hAnsiTheme="minorEastAsia" w:eastAsiaTheme="minorEastAsia"/>
          <w:szCs w:val="24"/>
          <w:u w:val="single"/>
        </w:rPr>
        <w:t xml:space="preserve">              </w:t>
      </w:r>
      <w:r>
        <w:rPr>
          <w:rFonts w:hint="eastAsia" w:cs="仿宋" w:asciiTheme="minorEastAsia" w:hAnsiTheme="minorEastAsia" w:eastAsiaTheme="minorEastAsia"/>
          <w:szCs w:val="24"/>
        </w:rPr>
        <w:t xml:space="preserve">（</w:t>
      </w:r>
      <w:r>
        <w:rPr>
          <w:rFonts w:hint="eastAsia" w:asciiTheme="minorEastAsia" w:hAnsiTheme="minorEastAsia" w:eastAsiaTheme="minorEastAsia"/>
          <w:szCs w:val="24"/>
        </w:rPr>
        <w:t xml:space="preserve">供应商</w:t>
      </w:r>
      <w:r>
        <w:rPr>
          <w:rFonts w:hint="eastAsia" w:cs="仿宋" w:asciiTheme="minorEastAsia" w:hAnsiTheme="minorEastAsia" w:eastAsiaTheme="minorEastAsia"/>
          <w:szCs w:val="24"/>
        </w:rPr>
        <w:t xml:space="preserve">代表姓名、职务）为本公司的合法代理人，就贵方组织的</w:t>
      </w:r>
      <w:r>
        <w:rPr>
          <w:rFonts w:hint="eastAsia" w:cs="仿宋" w:asciiTheme="minorEastAsia" w:hAnsiTheme="minorEastAsia" w:eastAsiaTheme="minorEastAsia"/>
          <w:szCs w:val="24"/>
          <w:u w:val="single"/>
        </w:rPr>
        <w:t xml:space="preserve">              </w:t>
      </w:r>
      <w:r>
        <w:rPr>
          <w:rFonts w:hint="eastAsia" w:cs="仿宋" w:asciiTheme="minorEastAsia" w:hAnsiTheme="minorEastAsia" w:eastAsiaTheme="minorEastAsia"/>
          <w:szCs w:val="24"/>
        </w:rPr>
        <w:t xml:space="preserve">（项目名称），</w:t>
      </w:r>
      <w:r>
        <w:rPr>
          <w:rFonts w:hint="eastAsia" w:cs="仿宋" w:asciiTheme="minorEastAsia" w:hAnsiTheme="minorEastAsia" w:eastAsiaTheme="minorEastAsia"/>
          <w:szCs w:val="24"/>
          <w:u w:val="single"/>
        </w:rPr>
        <w:t xml:space="preserve">              </w:t>
      </w:r>
      <w:r>
        <w:rPr>
          <w:rFonts w:hint="eastAsia" w:cs="仿宋" w:asciiTheme="minorEastAsia" w:hAnsiTheme="minorEastAsia" w:eastAsiaTheme="minorEastAsia"/>
          <w:szCs w:val="24"/>
        </w:rPr>
        <w:t xml:space="preserve">（项目编号）投标，以本公司名义处理一切与之有关的事务。</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本授权书于</w:t>
      </w:r>
      <w:r>
        <w:rPr>
          <w:rFonts w:hint="eastAsia" w:cs="仿宋" w:asciiTheme="minorEastAsia" w:hAnsiTheme="minorEastAsia" w:eastAsiaTheme="minorEastAsia"/>
          <w:szCs w:val="24"/>
          <w:u w:val="single"/>
        </w:rPr>
        <w:t xml:space="preserve">    年  月  日</w:t>
      </w:r>
      <w:r>
        <w:rPr>
          <w:rFonts w:hint="eastAsia" w:cs="仿宋" w:asciiTheme="minorEastAsia" w:hAnsiTheme="minorEastAsia" w:eastAsiaTheme="minorEastAsia"/>
          <w:szCs w:val="24"/>
        </w:rPr>
        <w:t xml:space="preserve">生效，特此声明。</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法定代表人（签字或签章）：</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授权委托人（签字）：</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供应商名称（盖章）：                    </w:t>
      </w:r>
      <w:r/>
    </w:p>
    <w:p>
      <w:pPr>
        <w:pStyle w:val="1517"/>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日期：  年  月  日</w:t>
      </w:r>
      <w:r/>
    </w:p>
    <w:p>
      <w:pPr>
        <w:pStyle w:val="1517"/>
        <w:rPr>
          <w:rFonts w:cs="仿宋" w:asciiTheme="minorEastAsia" w:hAnsiTheme="minorEastAsia" w:eastAsiaTheme="minorEastAsia"/>
          <w:b/>
          <w:szCs w:val="24"/>
        </w:rPr>
      </w:pPr>
      <w:r/>
      <w:bookmarkStart w:id="77" w:name="_Toc10045209"/>
      <w:r/>
      <w:bookmarkStart w:id="78" w:name="_Toc10045687"/>
      <w:r/>
      <w:bookmarkStart w:id="79" w:name="_Toc10045210"/>
      <w:r/>
      <w:bookmarkStart w:id="80" w:name="_Toc13932600"/>
      <w:r>
        <w:rPr>
          <w:rFonts w:hint="eastAsia" w:cs="仿宋" w:asciiTheme="minorEastAsia" w:hAnsiTheme="minorEastAsia" w:eastAsiaTheme="minorEastAsia"/>
          <w:b/>
          <w:szCs w:val="24"/>
        </w:rPr>
        <w:t xml:space="preserve">备注：提供</w:t>
      </w:r>
      <w:r>
        <w:rPr>
          <w:rFonts w:hint="eastAsia" w:cs="仿宋" w:asciiTheme="minorEastAsia" w:hAnsiTheme="minorEastAsia" w:eastAsiaTheme="minorEastAsia"/>
          <w:b/>
          <w:szCs w:val="24"/>
          <w:lang w:val="en-US"/>
        </w:rPr>
        <w:t xml:space="preserve">授权委托人身份证</w:t>
      </w:r>
      <w:r>
        <w:rPr>
          <w:rFonts w:hint="eastAsia" w:cs="仿宋" w:asciiTheme="minorEastAsia" w:hAnsiTheme="minorEastAsia" w:eastAsiaTheme="minorEastAsia"/>
          <w:b/>
          <w:szCs w:val="24"/>
          <w:lang w:val="en-US"/>
        </w:rPr>
        <w:t xml:space="preserve">正反面</w:t>
      </w:r>
      <w:r>
        <w:rPr>
          <w:rFonts w:hint="eastAsia" w:cs="仿宋" w:asciiTheme="minorEastAsia" w:hAnsiTheme="minorEastAsia" w:eastAsiaTheme="minorEastAsia"/>
          <w:b/>
          <w:szCs w:val="24"/>
          <w:lang w:val="en-US"/>
        </w:rPr>
        <w:t xml:space="preserve">扫描件</w:t>
      </w:r>
      <w:r/>
    </w:p>
    <w:p>
      <w:pPr>
        <w:pStyle w:val="1097"/>
        <w:ind w:right="-110" w:firstLine="482"/>
        <w:rPr>
          <w:rFonts w:cs="仿宋" w:asciiTheme="minorEastAsia" w:hAnsiTheme="minorEastAsia" w:eastAsiaTheme="minorEastAsia"/>
          <w:sz w:val="24"/>
          <w:lang w:val="zh-CN"/>
        </w:rPr>
      </w:pPr>
      <w:r>
        <w:rPr>
          <w:rFonts w:cs="仿宋" w:asciiTheme="minorEastAsia" w:hAnsiTheme="minorEastAsia" w:eastAsiaTheme="minorEastAsia"/>
          <w:sz w:val="24"/>
          <w:lang w:val="zh-CN"/>
        </w:rPr>
      </w:r>
      <w:r/>
    </w:p>
    <w:p>
      <w:pPr>
        <w:pStyle w:val="1097"/>
        <w:ind w:right="-110"/>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目录三、</w:t>
      </w:r>
      <w:bookmarkEnd w:id="77"/>
      <w:r/>
      <w:bookmarkEnd w:id="78"/>
      <w:r>
        <w:rPr>
          <w:rFonts w:hint="eastAsia" w:cs="仿宋" w:asciiTheme="minorEastAsia" w:hAnsiTheme="minorEastAsia" w:eastAsiaTheme="minorEastAsia"/>
          <w:sz w:val="24"/>
        </w:rPr>
        <w:t xml:space="preserve">磋商报价表</w:t>
      </w:r>
      <w:r>
        <w:rPr>
          <w:rFonts w:hint="eastAsia" w:cs="仿宋" w:asciiTheme="minorEastAsia" w:hAnsiTheme="minorEastAsia" w:eastAsiaTheme="minorEastAsia"/>
          <w:sz w:val="24"/>
        </w:rPr>
        <w:t xml:space="preserve">（按苏采云系统中统一格式填报）</w:t>
      </w:r>
      <w:r/>
    </w:p>
    <w:p>
      <w:pPr>
        <w:jc w:val="center"/>
        <w:spacing w:line="113" w:lineRule="atLeast"/>
        <w:pBdr>
          <w:top w:val="none" w:color="000000" w:sz="4" w:space="0"/>
          <w:left w:val="none" w:color="000000" w:sz="4" w:space="0"/>
          <w:bottom w:val="none" w:color="000000" w:sz="4" w:space="0"/>
          <w:right w:val="none" w:color="000000" w:sz="4" w:space="0"/>
        </w:pBdr>
      </w:pPr>
      <w:r>
        <w:rPr>
          <w:rFonts w:ascii="Arial" w:hAnsi="Arial" w:eastAsia="Arial" w:cs="Arial"/>
          <w:sz w:val="32"/>
        </w:rPr>
        <w:t xml:space="preserve">磋商报价表</w:t>
      </w:r>
      <w:r/>
    </w:p>
    <w:p>
      <w:pPr>
        <w:rPr>
          <w:rFonts w:eastAsiaTheme="minorEastAsia"/>
        </w:rPr>
        <w:pBdr>
          <w:top w:val="none" w:color="000000" w:sz="4" w:space="0"/>
          <w:left w:val="none" w:color="000000" w:sz="4" w:space="0"/>
          <w:bottom w:val="none" w:color="000000" w:sz="4" w:space="0"/>
          <w:right w:val="none" w:color="000000" w:sz="4" w:space="0"/>
        </w:pBdr>
      </w:pPr>
      <w:r>
        <w:rPr>
          <w:rFonts w:hint="eastAsia" w:ascii="SimSun" w:hAnsi="SimSun" w:eastAsia="SimSun" w:cs="SimSun"/>
          <w:sz w:val="24"/>
        </w:rPr>
        <w:t xml:space="preserve">本次为首次报价</w:t>
      </w:r>
      <w:r>
        <w:rPr>
          <w:rFonts w:hint="eastAsia" w:ascii="SimSun" w:hAnsi="SimSun" w:cs="SimSun" w:eastAsiaTheme="minorEastAsia"/>
          <w:sz w:val="24"/>
        </w:rPr>
        <w:t xml:space="preserve">                                       </w:t>
      </w:r>
      <w:r>
        <w:rPr>
          <w:rFonts w:hint="eastAsia" w:ascii="SimSun" w:hAnsi="SimSun" w:cs="SimSun" w:eastAsiaTheme="minorEastAsia"/>
          <w:sz w:val="24"/>
        </w:rPr>
        <w:t xml:space="preserve">货币单位：人民币元</w:t>
      </w:r>
      <w:r/>
    </w:p>
    <w:p>
      <w:pPr>
        <w:spacing w:line="113" w:lineRule="atLeast"/>
        <w:pBdr>
          <w:top w:val="none" w:color="000000" w:sz="4" w:space="0"/>
          <w:left w:val="none" w:color="000000" w:sz="4" w:space="0"/>
          <w:bottom w:val="none" w:color="000000" w:sz="4" w:space="0"/>
          <w:right w:val="none" w:color="000000" w:sz="4" w:space="0"/>
        </w:pBdr>
      </w:pPr>
      <w:r>
        <w:rPr>
          <w:rFonts w:ascii="SimSun" w:hAnsi="SimSun" w:eastAsia="SimSun" w:cs="SimSun"/>
          <w:sz w:val="24"/>
        </w:rPr>
        <w:t xml:space="preserve">项目编号：</w:t>
      </w:r>
      <w:r>
        <w:rPr>
          <w:rFonts w:hint="eastAsia" w:ascii="SimSun" w:hAnsi="SimSun" w:cs="SimSun" w:eastAsiaTheme="minorEastAsia"/>
          <w:sz w:val="24"/>
        </w:rPr>
        <w:t xml:space="preserve">                                            </w:t>
      </w:r>
      <w:r/>
    </w:p>
    <w:tbl>
      <w:tblPr>
        <w:tblStyle w:val="1157"/>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561"/>
        <w:gridCol w:w="2562"/>
        <w:gridCol w:w="4011"/>
      </w:tblGrid>
      <w:tr>
        <w:trPr>
          <w:trHeight w:val="6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rPr>
                <w:szCs w:val="22"/>
              </w:rPr>
              <w:pBdr>
                <w:top w:val="none" w:color="000000" w:sz="4" w:space="0"/>
                <w:left w:val="none" w:color="000000" w:sz="4" w:space="0"/>
                <w:bottom w:val="none" w:color="000000" w:sz="4" w:space="0"/>
                <w:right w:val="none" w:color="000000" w:sz="4" w:space="0"/>
              </w:pBdr>
            </w:pPr>
            <w:r>
              <w:rPr>
                <w:rFonts w:ascii="SimSun" w:hAnsi="SimSun" w:eastAsia="SimSun" w:cs="SimSun"/>
                <w:sz w:val="24"/>
                <w:szCs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2" w:type="dxa"/>
            <w:vAlign w:val="center"/>
            <w:textDirection w:val="lrTb"/>
            <w:noWrap w:val="false"/>
          </w:tcPr>
          <w:p>
            <w:pPr>
              <w:rPr>
                <w:szCs w:val="22"/>
              </w:rPr>
              <w:pBdr>
                <w:top w:val="none" w:color="000000" w:sz="4" w:space="0"/>
                <w:left w:val="none" w:color="000000" w:sz="4" w:space="0"/>
                <w:bottom w:val="none" w:color="000000" w:sz="4" w:space="0"/>
                <w:right w:val="none" w:color="000000" w:sz="4" w:space="0"/>
              </w:pBdr>
            </w:pPr>
            <w:r>
              <w:rPr>
                <w:rFonts w:ascii="SimSun" w:hAnsi="SimSun" w:eastAsia="SimSun" w:cs="SimSun"/>
                <w:sz w:val="24"/>
                <w:szCs w:val="22"/>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11" w:type="dxa"/>
            <w:vAlign w:val="center"/>
            <w:textDirection w:val="lrTb"/>
            <w:noWrap w:val="false"/>
          </w:tcPr>
          <w:p>
            <w:pPr>
              <w:rPr>
                <w:szCs w:val="22"/>
              </w:rPr>
              <w:pBdr>
                <w:top w:val="none" w:color="000000" w:sz="4" w:space="0"/>
                <w:left w:val="none" w:color="000000" w:sz="4" w:space="0"/>
                <w:bottom w:val="none" w:color="000000" w:sz="4" w:space="0"/>
                <w:right w:val="none" w:color="000000" w:sz="4" w:space="0"/>
              </w:pBdr>
            </w:pPr>
            <w:r>
              <w:rPr>
                <w:rFonts w:hint="eastAsia" w:ascii="SimSun" w:hAnsi="SimSun" w:eastAsia="SimSun" w:cs="SimSun"/>
                <w:sz w:val="24"/>
                <w:szCs w:val="22"/>
              </w:rPr>
              <w:t xml:space="preserve">总价（小写）</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rPr>
                <w:szCs w:val="22"/>
              </w:rPr>
              <w:pBdr>
                <w:top w:val="none" w:color="000000" w:sz="4" w:space="0"/>
                <w:left w:val="none" w:color="000000" w:sz="4" w:space="0"/>
                <w:bottom w:val="none" w:color="000000" w:sz="4" w:space="0"/>
                <w:right w:val="none" w:color="000000" w:sz="4" w:space="0"/>
              </w:pBdr>
            </w:pPr>
            <w:r>
              <w:rPr>
                <w:rFonts w:ascii="SimSun" w:hAnsi="SimSun" w:eastAsia="SimSun" w:cs="SimSun"/>
                <w:sz w:val="24"/>
                <w:szCs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2" w:type="dxa"/>
            <w:vAlign w:val="center"/>
            <w:textDirection w:val="lrTb"/>
            <w:noWrap w:val="false"/>
          </w:tcPr>
          <w:p>
            <w:pPr>
              <w:rPr>
                <w:szCs w:val="22"/>
              </w:rPr>
              <w:pBdr>
                <w:top w:val="none" w:color="000000" w:sz="4" w:space="0"/>
                <w:left w:val="none" w:color="000000" w:sz="4" w:space="0"/>
                <w:bottom w:val="none" w:color="000000" w:sz="4" w:space="0"/>
                <w:right w:val="none" w:color="000000" w:sz="4" w:space="0"/>
              </w:pBdr>
            </w:pPr>
            <w:r>
              <w:rPr>
                <w:rFonts w:ascii="SimSun" w:hAnsi="SimSun" w:eastAsia="SimSun" w:cs="SimSun"/>
                <w:sz w:val="24"/>
                <w:szCs w:val="22"/>
              </w:rPr>
              <w:t xml:space="preserve">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1" w:type="dxa"/>
            <w:vAlign w:val="center"/>
            <w:textDirection w:val="lrTb"/>
            <w:noWrap w:val="false"/>
          </w:tcPr>
          <w:p>
            <w:pPr>
              <w:rPr>
                <w:szCs w:val="22"/>
              </w:rPr>
              <w:pBdr>
                <w:top w:val="none" w:color="000000" w:sz="4" w:space="0"/>
                <w:left w:val="none" w:color="000000" w:sz="4" w:space="0"/>
                <w:bottom w:val="none" w:color="000000" w:sz="4" w:space="0"/>
                <w:right w:val="none" w:color="000000" w:sz="4" w:space="0"/>
              </w:pBdr>
            </w:pPr>
            <w:r>
              <w:rPr>
                <w:rFonts w:ascii="SimSun" w:hAnsi="SimSun" w:eastAsia="SimSun" w:cs="SimSun"/>
                <w:sz w:val="24"/>
                <w:szCs w:val="22"/>
              </w:rPr>
              <w:t xml:space="preserve"> </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rPr>
                <w:szCs w:val="22"/>
              </w:rPr>
              <w:pBdr>
                <w:top w:val="none" w:color="000000" w:sz="4" w:space="0"/>
                <w:left w:val="none" w:color="000000" w:sz="4" w:space="0"/>
                <w:bottom w:val="none" w:color="000000" w:sz="4" w:space="0"/>
                <w:right w:val="none" w:color="000000" w:sz="4" w:space="0"/>
              </w:pBdr>
            </w:pPr>
            <w:r>
              <w:rPr>
                <w:rFonts w:ascii="SimSun" w:hAnsi="SimSun" w:eastAsia="SimSun" w:cs="SimSun"/>
                <w:sz w:val="24"/>
                <w:szCs w:val="22"/>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2" w:type="dxa"/>
            <w:vAlign w:val="center"/>
            <w:textDirection w:val="lrTb"/>
            <w:noWrap w:val="false"/>
          </w:tcPr>
          <w:p>
            <w:pPr>
              <w:rPr>
                <w:szCs w:val="22"/>
              </w:rPr>
              <w:pBdr>
                <w:top w:val="none" w:color="000000" w:sz="4" w:space="0"/>
                <w:left w:val="none" w:color="000000" w:sz="4" w:space="0"/>
                <w:bottom w:val="none" w:color="000000" w:sz="4" w:space="0"/>
                <w:right w:val="none" w:color="000000" w:sz="4" w:space="0"/>
              </w:pBdr>
            </w:pPr>
            <w:r>
              <w:rPr>
                <w:rFonts w:ascii="SimSun" w:hAnsi="SimSun" w:eastAsia="SimSun" w:cs="SimSun"/>
                <w:sz w:val="24"/>
                <w:szCs w:val="22"/>
              </w:rPr>
              <w:t xml:space="preserve"> </w:t>
            </w:r>
            <w:r>
              <w:rPr>
                <w:rFonts w:hint="eastAsia" w:ascii="SimSun" w:hAnsi="SimSun" w:eastAsia="SimSun" w:cs="SimSun"/>
                <w:sz w:val="24"/>
                <w:szCs w:val="22"/>
              </w:rPr>
              <w:t xml:space="preserve">金额大写</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rPr>
        <w:t xml:space="preserve"> </w:t>
      </w:r>
      <w:r>
        <w:rPr>
          <w:rFonts w:ascii="SimSun" w:hAnsi="SimSun" w:eastAsia="SimSun" w:cs="SimSun"/>
          <w:color w:val="000000"/>
          <w:sz w:val="24"/>
        </w:rPr>
        <w:t xml:space="preserve">报价说明：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517"/>
        <w:rPr>
          <w:rFonts w:cs="仿宋" w:asciiTheme="minorEastAsia" w:hAnsiTheme="minorEastAsia" w:eastAsiaTheme="minorEastAsia"/>
          <w:b/>
          <w:bCs/>
        </w:rPr>
      </w:pPr>
      <w:r>
        <w:rPr>
          <w:rFonts w:ascii="SimSun" w:hAnsi="SimSun" w:eastAsia="SimSun" w:cs="SimSun"/>
          <w:color w:val="000000"/>
          <w:sz w:val="21"/>
        </w:rPr>
        <w:t xml:space="preserve"> 供应商（电子签章）：</w:t>
      </w:r>
      <w:r>
        <w:rPr>
          <w:rFonts w:ascii="SimSun" w:hAnsi="SimSun" w:eastAsia="SimSun" w:cs="SimSun"/>
        </w:rPr>
      </w:r>
      <w:r/>
    </w:p>
    <w:p>
      <w:pPr>
        <w:ind w:right="-110" w:firstLine="482"/>
        <w:jc w:val="center"/>
        <w:rPr>
          <w:rFonts w:cs="仿宋" w:asciiTheme="minorEastAsia" w:hAnsiTheme="minorEastAsia" w:eastAsiaTheme="minorEastAsia"/>
          <w:sz w:val="24"/>
          <w:szCs w:val="24"/>
          <w:lang w:val="zh-CN"/>
        </w:rPr>
      </w:pPr>
      <w:r/>
      <w:bookmarkStart w:id="81" w:name="_Toc13932601"/>
      <w:r/>
      <w:bookmarkStart w:id="82" w:name="_Toc10045211"/>
      <w:r/>
      <w:bookmarkStart w:id="83" w:name="_Toc13932604"/>
      <w:r/>
      <w:bookmarkEnd w:id="79"/>
      <w:r/>
      <w:bookmarkEnd w:id="80"/>
      <w:r/>
      <w:r/>
    </w:p>
    <w:p>
      <w:pPr>
        <w:pStyle w:val="1097"/>
        <w:ind w:right="-110" w:firstLine="482"/>
        <w:rPr>
          <w:rFonts w:cs="仿宋" w:asciiTheme="minorEastAsia" w:hAnsiTheme="minorEastAsia" w:eastAsiaTheme="minorEastAsia"/>
          <w:sz w:val="24"/>
        </w:rPr>
      </w:pPr>
      <w:r>
        <w:rPr>
          <w:rFonts w:cs="仿宋" w:asciiTheme="minorEastAsia" w:hAnsiTheme="minorEastAsia" w:eastAsiaTheme="minorEastAsia"/>
          <w:sz w:val="24"/>
        </w:rPr>
      </w:r>
      <w:r/>
    </w:p>
    <w:p>
      <w:pPr>
        <w:jc w:val="left"/>
        <w:widowControl/>
        <w:rPr>
          <w:rFonts w:cs="仿宋" w:asciiTheme="minorEastAsia" w:hAnsiTheme="minorEastAsia" w:eastAsiaTheme="minorEastAsia"/>
          <w:b/>
          <w:sz w:val="24"/>
          <w:szCs w:val="32"/>
          <w:lang w:val="zh-CN"/>
        </w:rPr>
      </w:pPr>
      <w:r>
        <w:rPr>
          <w:rFonts w:cs="仿宋" w:asciiTheme="minorEastAsia" w:hAnsiTheme="minorEastAsia" w:eastAsiaTheme="minorEastAsia"/>
          <w:b/>
          <w:szCs w:val="32"/>
        </w:rPr>
        <w:br w:type="page" w:clear="all"/>
      </w:r>
      <w:r/>
    </w:p>
    <w:p>
      <w:pPr>
        <w:pStyle w:val="1517"/>
        <w:rPr>
          <w:rFonts w:cs="仿宋" w:asciiTheme="minorEastAsia" w:hAnsiTheme="minorEastAsia" w:eastAsiaTheme="minorEastAsia"/>
          <w:b/>
          <w:bCs/>
          <w:szCs w:val="24"/>
        </w:rPr>
      </w:pPr>
      <w:r>
        <w:rPr>
          <w:rFonts w:hint="eastAsia" w:cs="仿宋" w:asciiTheme="minorEastAsia" w:hAnsiTheme="minorEastAsia" w:eastAsiaTheme="minorEastAsia"/>
          <w:b/>
          <w:bCs/>
          <w:lang w:val="en-US"/>
        </w:rPr>
        <w:t xml:space="preserve">目录四、</w:t>
      </w:r>
      <w:r>
        <w:rPr>
          <w:rFonts w:hint="eastAsia" w:cs="仿宋" w:asciiTheme="minorEastAsia" w:hAnsiTheme="minorEastAsia" w:eastAsiaTheme="minorEastAsia"/>
          <w:b/>
          <w:bCs/>
        </w:rPr>
        <w:t xml:space="preserve">分项报价表（</w:t>
      </w:r>
      <w:r>
        <w:rPr>
          <w:rFonts w:hint="eastAsia" w:cs="仿宋" w:asciiTheme="minorEastAsia" w:hAnsiTheme="minorEastAsia" w:eastAsiaTheme="minorEastAsia"/>
          <w:b/>
          <w:bCs/>
        </w:rPr>
        <w:t xml:space="preserve">如有，</w:t>
      </w:r>
      <w:r>
        <w:rPr>
          <w:rFonts w:hint="eastAsia" w:cs="仿宋" w:asciiTheme="minorEastAsia" w:hAnsiTheme="minorEastAsia" w:eastAsiaTheme="minorEastAsia"/>
          <w:b/>
          <w:bCs/>
          <w:lang w:val="en-US"/>
        </w:rPr>
        <w:t xml:space="preserve">以下为参考格式，供应商可根据自身报价需求调整</w:t>
      </w:r>
      <w:r>
        <w:rPr>
          <w:rFonts w:hint="eastAsia" w:cs="仿宋" w:asciiTheme="minorEastAsia" w:hAnsiTheme="minorEastAsia" w:eastAsiaTheme="minorEastAsia"/>
          <w:b/>
          <w:bCs/>
        </w:rPr>
        <w:t xml:space="preserve">）</w:t>
      </w:r>
      <w:r/>
    </w:p>
    <w:p>
      <w:pPr>
        <w:pStyle w:val="1517"/>
        <w:jc w:val="center"/>
        <w:rPr>
          <w:rFonts w:cs="仿宋" w:asciiTheme="minorEastAsia" w:hAnsiTheme="minorEastAsia" w:eastAsiaTheme="minorEastAsia"/>
          <w:bCs/>
          <w:szCs w:val="24"/>
        </w:rPr>
      </w:pPr>
      <w:r>
        <w:rPr>
          <w:rFonts w:cs="仿宋" w:asciiTheme="minorEastAsia" w:hAnsiTheme="minorEastAsia" w:eastAsiaTheme="minorEastAsia"/>
          <w:bCs/>
          <w:szCs w:val="24"/>
        </w:rPr>
      </w:r>
      <w:r/>
    </w:p>
    <w:p>
      <w:pPr>
        <w:pStyle w:val="1517"/>
        <w:jc w:val="center"/>
        <w:rPr>
          <w:rFonts w:cs="仿宋" w:asciiTheme="minorEastAsia" w:hAnsiTheme="minorEastAsia" w:eastAsiaTheme="minorEastAsia"/>
          <w:bCs/>
          <w:szCs w:val="24"/>
        </w:rPr>
      </w:pPr>
      <w:r>
        <w:rPr>
          <w:rFonts w:hint="eastAsia" w:cs="仿宋" w:asciiTheme="minorEastAsia" w:hAnsiTheme="minorEastAsia" w:eastAsiaTheme="minorEastAsia"/>
          <w:bCs/>
          <w:szCs w:val="24"/>
        </w:rPr>
        <w:t xml:space="preserve">分项报价表</w:t>
      </w:r>
      <w:r/>
    </w:p>
    <w:tbl>
      <w:tblPr>
        <w:tblW w:w="97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0"/>
        <w:gridCol w:w="3641"/>
        <w:gridCol w:w="2109"/>
        <w:gridCol w:w="1554"/>
        <w:gridCol w:w="1554"/>
      </w:tblGrid>
      <w:tr>
        <w:trPr>
          <w:trHeight w:val="806"/>
        </w:trPr>
        <w:tc>
          <w:tcPr>
            <w:tcW w:w="900" w:type="dxa"/>
            <w:vAlign w:val="center"/>
            <w:textDirection w:val="lrTb"/>
            <w:noWrap w:val="false"/>
          </w:tcPr>
          <w:p>
            <w:pPr>
              <w:pStyle w:val="1517"/>
              <w:jc w:val="center"/>
              <w:rPr>
                <w:rFonts w:cs="仿宋" w:asciiTheme="minorEastAsia" w:hAnsiTheme="minorEastAsia" w:eastAsiaTheme="minorEastAsia"/>
                <w:bCs/>
                <w:szCs w:val="24"/>
              </w:rPr>
            </w:pPr>
            <w:r>
              <w:rPr>
                <w:rFonts w:hint="eastAsia" w:cs="仿宋" w:asciiTheme="minorEastAsia" w:hAnsiTheme="minorEastAsia" w:eastAsiaTheme="minorEastAsia"/>
                <w:bCs/>
                <w:szCs w:val="24"/>
              </w:rPr>
              <w:t xml:space="preserve">序号</w:t>
            </w:r>
            <w:r/>
          </w:p>
        </w:tc>
        <w:tc>
          <w:tcPr>
            <w:tcW w:w="3641" w:type="dxa"/>
            <w:vAlign w:val="center"/>
            <w:textDirection w:val="lrTb"/>
            <w:noWrap w:val="false"/>
          </w:tcPr>
          <w:p>
            <w:pPr>
              <w:pStyle w:val="1099"/>
              <w:jc w:val="center"/>
              <w:rPr>
                <w:rFonts w:cs="仿宋" w:asciiTheme="minorEastAsia" w:hAnsiTheme="minorEastAsia" w:eastAsiaTheme="minorEastAsia"/>
                <w:b w:val="0"/>
                <w:sz w:val="24"/>
              </w:rPr>
            </w:pPr>
            <w:r>
              <w:rPr>
                <w:rFonts w:hint="eastAsia" w:cs="仿宋" w:asciiTheme="minorEastAsia" w:hAnsiTheme="minorEastAsia" w:eastAsiaTheme="minorEastAsia"/>
                <w:b w:val="0"/>
                <w:sz w:val="24"/>
              </w:rPr>
              <w:t xml:space="preserve">内容</w:t>
            </w:r>
            <w:r/>
          </w:p>
        </w:tc>
        <w:tc>
          <w:tcPr>
            <w:tcW w:w="2109" w:type="dxa"/>
            <w:vAlign w:val="center"/>
            <w:textDirection w:val="lrTb"/>
            <w:noWrap w:val="false"/>
          </w:tcPr>
          <w:p>
            <w:pPr>
              <w:pStyle w:val="1099"/>
              <w:jc w:val="center"/>
              <w:rPr>
                <w:rFonts w:cs="仿宋" w:asciiTheme="minorEastAsia" w:hAnsiTheme="minorEastAsia" w:eastAsiaTheme="minorEastAsia"/>
                <w:b w:val="0"/>
                <w:sz w:val="24"/>
              </w:rPr>
            </w:pPr>
            <w:r>
              <w:rPr>
                <w:rFonts w:hint="eastAsia" w:cs="仿宋" w:asciiTheme="minorEastAsia" w:hAnsiTheme="minorEastAsia" w:eastAsiaTheme="minorEastAsia"/>
                <w:b w:val="0"/>
                <w:sz w:val="24"/>
              </w:rPr>
              <w:t xml:space="preserve">数量</w:t>
            </w:r>
            <w:r/>
          </w:p>
        </w:tc>
        <w:tc>
          <w:tcPr>
            <w:tcW w:w="1554" w:type="dxa"/>
            <w:vAlign w:val="center"/>
            <w:textDirection w:val="lrTb"/>
            <w:noWrap w:val="false"/>
          </w:tcPr>
          <w:p>
            <w:pPr>
              <w:pStyle w:val="1099"/>
              <w:jc w:val="center"/>
              <w:rPr>
                <w:rFonts w:cs="仿宋" w:asciiTheme="minorEastAsia" w:hAnsiTheme="minorEastAsia" w:eastAsiaTheme="minorEastAsia"/>
                <w:b w:val="0"/>
                <w:sz w:val="24"/>
              </w:rPr>
            </w:pPr>
            <w:r>
              <w:rPr>
                <w:rFonts w:hint="eastAsia" w:cs="仿宋" w:asciiTheme="minorEastAsia" w:hAnsiTheme="minorEastAsia" w:eastAsiaTheme="minorEastAsia"/>
                <w:b w:val="0"/>
                <w:sz w:val="24"/>
              </w:rPr>
              <w:t xml:space="preserve">单价（元）</w:t>
            </w:r>
            <w:r/>
          </w:p>
        </w:tc>
        <w:tc>
          <w:tcPr>
            <w:tcW w:w="1554" w:type="dxa"/>
            <w:vAlign w:val="center"/>
            <w:textDirection w:val="lrTb"/>
            <w:noWrap w:val="false"/>
          </w:tcPr>
          <w:p>
            <w:pPr>
              <w:pStyle w:val="1099"/>
              <w:jc w:val="center"/>
              <w:rPr>
                <w:rFonts w:cs="仿宋" w:asciiTheme="minorEastAsia" w:hAnsiTheme="minorEastAsia" w:eastAsiaTheme="minorEastAsia"/>
                <w:b w:val="0"/>
                <w:sz w:val="24"/>
              </w:rPr>
            </w:pPr>
            <w:r>
              <w:rPr>
                <w:rFonts w:hint="eastAsia" w:cs="仿宋" w:asciiTheme="minorEastAsia" w:hAnsiTheme="minorEastAsia" w:eastAsiaTheme="minorEastAsia"/>
                <w:b w:val="0"/>
                <w:sz w:val="24"/>
              </w:rPr>
              <w:t xml:space="preserve">合价（元）</w:t>
            </w:r>
            <w:r/>
          </w:p>
        </w:tc>
      </w:tr>
      <w:tr>
        <w:trPr>
          <w:trHeight w:val="765"/>
        </w:trPr>
        <w:tc>
          <w:tcPr>
            <w:tcW w:w="900" w:type="dxa"/>
            <w:vAlign w:val="center"/>
            <w:textDirection w:val="lrTb"/>
            <w:noWrap w:val="false"/>
          </w:tcPr>
          <w:p>
            <w:pPr>
              <w:pStyle w:val="1517"/>
              <w:jc w:val="center"/>
              <w:rPr>
                <w:rFonts w:cs="仿宋" w:asciiTheme="minorEastAsia" w:hAnsiTheme="minorEastAsia" w:eastAsiaTheme="minorEastAsia"/>
                <w:bCs/>
                <w:szCs w:val="24"/>
              </w:rPr>
            </w:pPr>
            <w:r>
              <w:rPr>
                <w:rFonts w:hint="eastAsia" w:cs="仿宋" w:asciiTheme="minorEastAsia" w:hAnsiTheme="minorEastAsia" w:eastAsiaTheme="minorEastAsia"/>
                <w:bCs/>
                <w:szCs w:val="24"/>
              </w:rPr>
              <w:t xml:space="preserve">1</w:t>
            </w:r>
            <w:r/>
          </w:p>
        </w:tc>
        <w:tc>
          <w:tcPr>
            <w:tcW w:w="3641"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2109"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1554"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1554"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r>
      <w:tr>
        <w:trPr>
          <w:trHeight w:val="774"/>
        </w:trPr>
        <w:tc>
          <w:tcPr>
            <w:tcW w:w="900" w:type="dxa"/>
            <w:vAlign w:val="center"/>
            <w:textDirection w:val="lrTb"/>
            <w:noWrap w:val="false"/>
          </w:tcPr>
          <w:p>
            <w:pPr>
              <w:pStyle w:val="1517"/>
              <w:jc w:val="center"/>
              <w:rPr>
                <w:rFonts w:cs="仿宋" w:asciiTheme="minorEastAsia" w:hAnsiTheme="minorEastAsia" w:eastAsiaTheme="minorEastAsia"/>
                <w:bCs/>
                <w:szCs w:val="24"/>
              </w:rPr>
            </w:pPr>
            <w:r>
              <w:rPr>
                <w:rFonts w:hint="eastAsia" w:cs="仿宋" w:asciiTheme="minorEastAsia" w:hAnsiTheme="minorEastAsia" w:eastAsiaTheme="minorEastAsia"/>
                <w:bCs/>
                <w:szCs w:val="24"/>
              </w:rPr>
              <w:t xml:space="preserve">2</w:t>
            </w:r>
            <w:r/>
          </w:p>
        </w:tc>
        <w:tc>
          <w:tcPr>
            <w:tcW w:w="3641"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2109"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1554"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1554"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r>
      <w:tr>
        <w:trPr>
          <w:trHeight w:val="774"/>
        </w:trPr>
        <w:tc>
          <w:tcPr>
            <w:tcW w:w="900" w:type="dxa"/>
            <w:vAlign w:val="center"/>
            <w:textDirection w:val="lrTb"/>
            <w:noWrap w:val="false"/>
          </w:tcPr>
          <w:p>
            <w:pPr>
              <w:pStyle w:val="1517"/>
              <w:jc w:val="center"/>
              <w:rPr>
                <w:rFonts w:cs="仿宋" w:asciiTheme="minorEastAsia" w:hAnsiTheme="minorEastAsia" w:eastAsiaTheme="minorEastAsia"/>
                <w:bCs/>
                <w:szCs w:val="24"/>
              </w:rPr>
            </w:pPr>
            <w:r>
              <w:rPr>
                <w:rFonts w:hint="eastAsia" w:cs="仿宋" w:asciiTheme="minorEastAsia" w:hAnsiTheme="minorEastAsia" w:eastAsiaTheme="minorEastAsia"/>
                <w:bCs/>
                <w:szCs w:val="24"/>
              </w:rPr>
              <w:t xml:space="preserve">3</w:t>
            </w:r>
            <w:r/>
          </w:p>
        </w:tc>
        <w:tc>
          <w:tcPr>
            <w:tcW w:w="3641"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2109"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1554"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1554"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r>
      <w:tr>
        <w:trPr>
          <w:trHeight w:val="774"/>
        </w:trPr>
        <w:tc>
          <w:tcPr>
            <w:tcW w:w="900" w:type="dxa"/>
            <w:vAlign w:val="center"/>
            <w:textDirection w:val="lrTb"/>
            <w:noWrap w:val="false"/>
          </w:tcPr>
          <w:p>
            <w:pPr>
              <w:pStyle w:val="1517"/>
              <w:jc w:val="center"/>
              <w:rPr>
                <w:rFonts w:cs="仿宋" w:asciiTheme="minorEastAsia" w:hAnsiTheme="minorEastAsia" w:eastAsiaTheme="minorEastAsia"/>
                <w:bCs/>
                <w:szCs w:val="24"/>
              </w:rPr>
            </w:pPr>
            <w:r>
              <w:rPr>
                <w:rFonts w:hint="eastAsia" w:cs="仿宋" w:asciiTheme="minorEastAsia" w:hAnsiTheme="minorEastAsia" w:eastAsiaTheme="minorEastAsia"/>
                <w:bCs/>
                <w:szCs w:val="24"/>
              </w:rPr>
              <w:t xml:space="preserve">4</w:t>
            </w:r>
            <w:r/>
          </w:p>
        </w:tc>
        <w:tc>
          <w:tcPr>
            <w:tcW w:w="3641"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2109"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1554"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1554"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r>
      <w:tr>
        <w:trPr>
          <w:trHeight w:val="774"/>
        </w:trPr>
        <w:tc>
          <w:tcPr>
            <w:tcW w:w="900" w:type="dxa"/>
            <w:vAlign w:val="center"/>
            <w:textDirection w:val="lrTb"/>
            <w:noWrap w:val="false"/>
          </w:tcPr>
          <w:p>
            <w:pPr>
              <w:pStyle w:val="1517"/>
              <w:jc w:val="center"/>
              <w:rPr>
                <w:rFonts w:cs="仿宋" w:asciiTheme="minorEastAsia" w:hAnsiTheme="minorEastAsia" w:eastAsiaTheme="minorEastAsia"/>
                <w:bCs/>
                <w:szCs w:val="24"/>
              </w:rPr>
            </w:pPr>
            <w:r>
              <w:rPr>
                <w:rFonts w:hint="eastAsia" w:cs="仿宋" w:asciiTheme="minorEastAsia" w:hAnsiTheme="minorEastAsia" w:eastAsiaTheme="minorEastAsia"/>
                <w:bCs/>
                <w:szCs w:val="24"/>
              </w:rPr>
              <w:t xml:space="preserve">5</w:t>
            </w:r>
            <w:r/>
          </w:p>
        </w:tc>
        <w:tc>
          <w:tcPr>
            <w:tcW w:w="3641"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2109"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1554"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c>
          <w:tcPr>
            <w:tcW w:w="1554" w:type="dxa"/>
            <w:vAlign w:val="center"/>
            <w:textDirection w:val="lrTb"/>
            <w:noWrap w:val="false"/>
          </w:tcPr>
          <w:p>
            <w:pPr>
              <w:pStyle w:val="1099"/>
              <w:jc w:val="center"/>
              <w:rPr>
                <w:rFonts w:cs="仿宋" w:asciiTheme="minorEastAsia" w:hAnsiTheme="minorEastAsia" w:eastAsiaTheme="minorEastAsia"/>
                <w:b w:val="0"/>
                <w:sz w:val="24"/>
              </w:rPr>
            </w:pPr>
            <w:r>
              <w:rPr>
                <w:rFonts w:cs="仿宋" w:asciiTheme="minorEastAsia" w:hAnsiTheme="minorEastAsia" w:eastAsiaTheme="minorEastAsia"/>
                <w:b w:val="0"/>
                <w:sz w:val="24"/>
              </w:rPr>
            </w:r>
            <w:r/>
          </w:p>
        </w:tc>
      </w:tr>
      <w:tr>
        <w:trPr>
          <w:trHeight w:val="774"/>
        </w:trPr>
        <w:tc>
          <w:tcPr>
            <w:tcW w:w="900" w:type="dxa"/>
            <w:vAlign w:val="center"/>
            <w:textDirection w:val="lrTb"/>
            <w:noWrap w:val="false"/>
          </w:tcPr>
          <w:p>
            <w:pPr>
              <w:pStyle w:val="1517"/>
              <w:jc w:val="center"/>
              <w:rPr>
                <w:rFonts w:cs="仿宋" w:asciiTheme="minorEastAsia" w:hAnsiTheme="minorEastAsia" w:eastAsiaTheme="minorEastAsia"/>
                <w:bCs/>
                <w:szCs w:val="24"/>
              </w:rPr>
            </w:pPr>
            <w:r>
              <w:rPr>
                <w:rFonts w:hint="eastAsia" w:cs="仿宋" w:asciiTheme="minorEastAsia" w:hAnsiTheme="minorEastAsia" w:eastAsiaTheme="minorEastAsia"/>
                <w:bCs/>
                <w:szCs w:val="24"/>
              </w:rPr>
              <w:t xml:space="preserve">6</w:t>
            </w:r>
            <w:r/>
          </w:p>
        </w:tc>
        <w:tc>
          <w:tcPr>
            <w:tcW w:w="3641" w:type="dxa"/>
            <w:vAlign w:val="center"/>
            <w:textDirection w:val="lrTb"/>
            <w:noWrap w:val="false"/>
          </w:tcPr>
          <w:p>
            <w:pPr>
              <w:pStyle w:val="1099"/>
              <w:jc w:val="center"/>
              <w:rPr>
                <w:rFonts w:cs="仿宋" w:asciiTheme="minorEastAsia" w:hAnsiTheme="minorEastAsia" w:eastAsiaTheme="minorEastAsia"/>
                <w:b w:val="0"/>
                <w:sz w:val="24"/>
              </w:rPr>
            </w:pPr>
            <w:r>
              <w:rPr>
                <w:rFonts w:hint="eastAsia" w:cs="仿宋" w:asciiTheme="minorEastAsia" w:hAnsiTheme="minorEastAsia" w:eastAsiaTheme="minorEastAsia"/>
                <w:b w:val="0"/>
                <w:sz w:val="24"/>
              </w:rPr>
              <w:t xml:space="preserve">合计</w:t>
            </w:r>
            <w:r/>
          </w:p>
        </w:tc>
        <w:tc>
          <w:tcPr>
            <w:gridSpan w:val="3"/>
            <w:tcW w:w="5217" w:type="dxa"/>
            <w:vAlign w:val="center"/>
            <w:textDirection w:val="lrTb"/>
            <w:noWrap w:val="false"/>
          </w:tcPr>
          <w:p>
            <w:pPr>
              <w:pStyle w:val="1099"/>
              <w:rPr>
                <w:rFonts w:cs="仿宋" w:asciiTheme="minorEastAsia" w:hAnsiTheme="minorEastAsia" w:eastAsiaTheme="minorEastAsia"/>
                <w:b w:val="0"/>
                <w:sz w:val="24"/>
              </w:rPr>
            </w:pPr>
            <w:r>
              <w:rPr>
                <w:rFonts w:hint="eastAsia" w:cs="仿宋" w:asciiTheme="minorEastAsia" w:hAnsiTheme="minorEastAsia" w:eastAsiaTheme="minorEastAsia"/>
                <w:b w:val="0"/>
                <w:sz w:val="24"/>
              </w:rPr>
              <w:t xml:space="preserve">小写</w:t>
            </w:r>
            <w:r>
              <w:rPr>
                <w:rFonts w:hint="eastAsia" w:cs="仿宋" w:asciiTheme="minorEastAsia" w:hAnsiTheme="minorEastAsia" w:eastAsiaTheme="minorEastAsia"/>
                <w:b w:val="0"/>
                <w:sz w:val="24"/>
                <w:u w:val="single"/>
              </w:rPr>
              <w:t xml:space="preserve">：            </w:t>
            </w:r>
            <w:r>
              <w:rPr>
                <w:rFonts w:hint="eastAsia" w:cs="仿宋" w:asciiTheme="minorEastAsia" w:hAnsiTheme="minorEastAsia" w:eastAsiaTheme="minorEastAsia"/>
                <w:b w:val="0"/>
                <w:sz w:val="24"/>
              </w:rPr>
              <w:t xml:space="preserve">；大写</w:t>
            </w:r>
            <w:r>
              <w:rPr>
                <w:rFonts w:hint="eastAsia" w:cs="仿宋" w:asciiTheme="minorEastAsia" w:hAnsiTheme="minorEastAsia" w:eastAsiaTheme="minorEastAsia"/>
                <w:b w:val="0"/>
                <w:sz w:val="24"/>
                <w:u w:val="single"/>
              </w:rPr>
              <w:t xml:space="preserve">：             </w:t>
            </w:r>
            <w:r/>
          </w:p>
        </w:tc>
      </w:tr>
    </w:tbl>
    <w:p>
      <w:pPr>
        <w:pStyle w:val="1517"/>
        <w:rPr>
          <w:rFonts w:cs="仿宋" w:asciiTheme="minorEastAsia" w:hAnsiTheme="minorEastAsia" w:eastAsiaTheme="minorEastAsia"/>
          <w:bCs/>
          <w:szCs w:val="24"/>
        </w:rPr>
      </w:pPr>
      <w:r>
        <w:rPr>
          <w:rFonts w:cs="仿宋" w:asciiTheme="minorEastAsia" w:hAnsiTheme="minorEastAsia" w:eastAsiaTheme="minorEastAsia"/>
          <w:bCs/>
          <w:szCs w:val="24"/>
        </w:rPr>
      </w:r>
      <w:r/>
    </w:p>
    <w:p>
      <w:pPr>
        <w:pStyle w:val="1517"/>
        <w:rPr>
          <w:rFonts w:cs="仿宋" w:asciiTheme="minorEastAsia" w:hAnsiTheme="minorEastAsia" w:eastAsiaTheme="minorEastAsia"/>
          <w:bCs/>
          <w:szCs w:val="24"/>
          <w:u w:val="single"/>
          <w:lang w:val="en-US"/>
        </w:rPr>
      </w:pPr>
      <w:r>
        <w:rPr>
          <w:rFonts w:hint="eastAsia" w:cs="仿宋" w:asciiTheme="minorEastAsia" w:hAnsiTheme="minorEastAsia" w:eastAsiaTheme="minorEastAsia"/>
          <w:bCs/>
          <w:szCs w:val="24"/>
        </w:rPr>
        <w:t xml:space="preserve">供应商名称：</w:t>
      </w:r>
      <w:r>
        <w:rPr>
          <w:rFonts w:hint="eastAsia" w:cs="仿宋" w:asciiTheme="minorEastAsia" w:hAnsiTheme="minorEastAsia" w:eastAsiaTheme="minorEastAsia"/>
          <w:bCs/>
          <w:szCs w:val="24"/>
          <w:u w:val="single"/>
        </w:rPr>
        <w:t xml:space="preserve">            </w:t>
      </w:r>
      <w:r>
        <w:rPr>
          <w:rFonts w:hint="eastAsia" w:cs="仿宋" w:asciiTheme="minorEastAsia" w:hAnsiTheme="minorEastAsia" w:eastAsiaTheme="minorEastAsia"/>
          <w:bCs/>
          <w:szCs w:val="24"/>
        </w:rPr>
        <w:t xml:space="preserve">（盖章）</w:t>
      </w:r>
      <w:r/>
    </w:p>
    <w:p>
      <w:pPr>
        <w:pStyle w:val="1097"/>
        <w:ind w:right="-110" w:firstLine="482"/>
        <w:rPr>
          <w:rFonts w:cs="仿宋" w:asciiTheme="minorEastAsia" w:hAnsiTheme="minorEastAsia" w:eastAsiaTheme="minorEastAsia"/>
          <w:bCs w:val="0"/>
          <w:sz w:val="24"/>
          <w:lang w:val="zh-CN"/>
        </w:rPr>
      </w:pPr>
      <w:r>
        <w:rPr>
          <w:rFonts w:cs="仿宋" w:asciiTheme="minorEastAsia" w:hAnsiTheme="minorEastAsia" w:eastAsiaTheme="minorEastAsia"/>
          <w:bCs w:val="0"/>
          <w:sz w:val="24"/>
          <w:lang w:val="zh-CN"/>
        </w:rPr>
      </w:r>
      <w:r/>
    </w:p>
    <w:p>
      <w:pPr>
        <w:jc w:val="left"/>
        <w:widowControl/>
        <w:rPr>
          <w:rFonts w:cs="仿宋" w:asciiTheme="minorEastAsia" w:hAnsiTheme="minorEastAsia" w:eastAsiaTheme="minorEastAsia"/>
          <w:b/>
          <w:bCs/>
          <w:sz w:val="24"/>
          <w:szCs w:val="22"/>
        </w:rPr>
      </w:pPr>
      <w:r>
        <w:rPr>
          <w:rFonts w:cs="仿宋" w:asciiTheme="minorEastAsia" w:hAnsiTheme="minorEastAsia" w:eastAsiaTheme="minorEastAsia"/>
          <w:b/>
          <w:bCs/>
        </w:rPr>
        <w:br w:type="page" w:clear="all"/>
      </w:r>
      <w:r/>
    </w:p>
    <w:p>
      <w:pPr>
        <w:pStyle w:val="1517"/>
        <w:rPr>
          <w:rFonts w:cs="仿宋" w:asciiTheme="minorEastAsia" w:hAnsiTheme="minorEastAsia" w:eastAsiaTheme="minorEastAsia"/>
          <w:b/>
          <w:bCs/>
          <w:lang w:val="en-US"/>
        </w:rPr>
      </w:pPr>
      <w:r>
        <w:rPr>
          <w:rFonts w:hint="eastAsia" w:cs="仿宋" w:asciiTheme="minorEastAsia" w:hAnsiTheme="minorEastAsia" w:eastAsiaTheme="minorEastAsia"/>
          <w:b/>
          <w:bCs/>
          <w:lang w:val="en-US"/>
        </w:rPr>
        <w:t xml:space="preserve">目录五、资格证明文件</w:t>
      </w:r>
      <w:bookmarkEnd w:id="81"/>
      <w:r/>
      <w:bookmarkEnd w:id="82"/>
      <w:r>
        <w:rPr>
          <w:rFonts w:hint="eastAsia" w:cs="仿宋" w:asciiTheme="minorEastAsia" w:hAnsiTheme="minorEastAsia" w:eastAsiaTheme="minorEastAsia"/>
          <w:b/>
          <w:bCs/>
          <w:lang w:val="en-US"/>
        </w:rPr>
        <w:t xml:space="preserve">（扫描件加盖公章）</w:t>
      </w:r>
      <w:r/>
    </w:p>
    <w:p>
      <w:pPr>
        <w:ind w:right="-110"/>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1、具有独立承担民事责任的能力（提供法人或者其他组织营业执照或法人证书或组织机构代码证，自然人的身份证明）；</w:t>
      </w:r>
      <w:r/>
    </w:p>
    <w:p>
      <w:pPr>
        <w:ind w:right="-110"/>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具有良好的商业信誉和健全的财务会计制度（提供参加本次政府采购活动前12个月（至少一个月）会计报表）（成立不满一个月的无需提供）【提供《南京市政府采购供应商信用记录表暨信用承诺书》，格式见响应文件格式模板】；</w:t>
      </w:r>
      <w:r/>
    </w:p>
    <w:p>
      <w:pPr>
        <w:ind w:right="-110"/>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具有履行合同所必需的设备和专业技术能力（根据项目需求提供履行合同所必需的设备和专业技术能力的声明函）【证明材料提供《南京市政府采购供应商信用记录表暨信用承诺书》，格式见响应文件格式模板】；</w:t>
      </w:r>
      <w:r/>
    </w:p>
    <w:p>
      <w:pPr>
        <w:ind w:right="-110"/>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有依法缴纳税收和社会保障资金的良好记录（提供参加本次采购活动前近12个月内任一月份依法缴纳税收及社会保障资金的相关材料。依法免缴、迟缴的应提供相应文件证明）（成立不满一个月的无需提供）【提供《南京市政府采购供应商信用记录表暨信用承诺书》，格式见响应文件格式模板】；</w:t>
      </w:r>
      <w:r/>
    </w:p>
    <w:p>
      <w:pPr>
        <w:ind w:right="-110"/>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参加政府采购活动前三年内，在经营活动中没有重大违法记录（提供参加本次采购活动前3年内在经营活动中没有重大违法记录的书面声明）【证明材料提供《南京市政府采购供应商信用记录表暨信用承诺书》，格式见响应文件格式模板】；</w:t>
      </w:r>
      <w:r/>
    </w:p>
    <w:p>
      <w:pPr>
        <w:ind w:right="-110"/>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6、法律、行政法规规定的其他条件，提供相关证明材料：无。</w:t>
      </w:r>
      <w:r/>
    </w:p>
    <w:p>
      <w:pPr>
        <w:ind w:left="1920" w:right="-110" w:hanging="1920"/>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本项目专门面向中小企业采购：提供《中小企业声明函》加盖公章；</w:t>
      </w:r>
      <w:r/>
    </w:p>
    <w:p>
      <w:pPr>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8、供应商未被“信用中国”网站（www.creditchina.gov.cn）、“中国政府采购网”(www.ccgp.gov.cn)等渠道列入失信被执行人、重大税收违法案件当事人名单、政府采购严重违法失信行为记录名单截图加盖公章；</w:t>
      </w:r>
      <w:r/>
    </w:p>
    <w:p>
      <w:pPr>
        <w:ind w:right="-110"/>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9、《南京市政府采购供应商信用记录表暨信用承诺书》格式（见下表）：</w:t>
      </w:r>
      <w:r/>
    </w:p>
    <w:p>
      <w:pPr>
        <w:ind w:right="-110"/>
        <w:jc w:val="lef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right="-110"/>
        <w:jc w:val="left"/>
        <w:widowControl/>
        <w:rPr>
          <w:rFonts w:cs="仿宋" w:asciiTheme="minorEastAsia" w:hAnsiTheme="minorEastAsia" w:eastAsiaTheme="minorEastAsia"/>
          <w:b/>
          <w:sz w:val="22"/>
          <w:szCs w:val="24"/>
        </w:rPr>
      </w:pPr>
      <w:r>
        <w:rPr>
          <w:rFonts w:hint="eastAsia" w:cs="仿宋" w:asciiTheme="minorEastAsia" w:hAnsiTheme="minorEastAsia" w:eastAsiaTheme="minorEastAsia"/>
          <w:b/>
          <w:sz w:val="22"/>
          <w:szCs w:val="24"/>
        </w:rPr>
        <w:t xml:space="preserve">备注：1、根据《关于在政府采购活动中推行信用承诺制的通知》（宁财购通[2021]5号）的规定，本项目</w:t>
      </w:r>
      <w:r>
        <w:rPr>
          <w:rFonts w:hint="eastAsia" w:cs="仿宋" w:asciiTheme="minorEastAsia" w:hAnsiTheme="minorEastAsia" w:eastAsiaTheme="minorEastAsia"/>
          <w:b/>
          <w:sz w:val="22"/>
          <w:szCs w:val="24"/>
        </w:rPr>
        <w:t xml:space="preserve">上述资格证明文件中</w:t>
      </w:r>
      <w:r>
        <w:rPr>
          <w:rFonts w:hint="eastAsia" w:cs="仿宋" w:asciiTheme="minorEastAsia" w:hAnsiTheme="minorEastAsia" w:eastAsiaTheme="minorEastAsia"/>
          <w:b/>
          <w:sz w:val="22"/>
          <w:szCs w:val="24"/>
          <w:u w:val="single"/>
        </w:rPr>
        <w:t xml:space="preserve">第2-6条及第8条</w:t>
      </w:r>
      <w:r>
        <w:rPr>
          <w:rFonts w:hint="eastAsia" w:cs="仿宋" w:asciiTheme="minorEastAsia" w:hAnsiTheme="minorEastAsia" w:eastAsiaTheme="minorEastAsia"/>
          <w:b/>
          <w:sz w:val="22"/>
          <w:szCs w:val="24"/>
        </w:rPr>
        <w:t xml:space="preserve">涉及的证明材料，供应商可以在</w:t>
      </w:r>
      <w:r>
        <w:rPr>
          <w:rFonts w:hint="eastAsia" w:cs="仿宋" w:asciiTheme="minorEastAsia" w:hAnsiTheme="minorEastAsia" w:eastAsiaTheme="minorEastAsia"/>
          <w:b/>
          <w:sz w:val="22"/>
          <w:szCs w:val="24"/>
        </w:rPr>
        <w:t xml:space="preserve">响应文件</w:t>
      </w:r>
      <w:r>
        <w:rPr>
          <w:rFonts w:hint="eastAsia" w:cs="仿宋" w:asciiTheme="minorEastAsia" w:hAnsiTheme="minorEastAsia" w:eastAsiaTheme="minorEastAsia"/>
          <w:b/>
          <w:sz w:val="22"/>
          <w:szCs w:val="24"/>
        </w:rPr>
        <w:t xml:space="preserve">中递交相应证明材料，也可以仅在</w:t>
      </w:r>
      <w:r>
        <w:rPr>
          <w:rFonts w:hint="eastAsia" w:cs="仿宋" w:asciiTheme="minorEastAsia" w:hAnsiTheme="minorEastAsia" w:eastAsiaTheme="minorEastAsia"/>
          <w:b/>
          <w:sz w:val="22"/>
          <w:szCs w:val="24"/>
        </w:rPr>
        <w:t xml:space="preserve">响应文件</w:t>
      </w:r>
      <w:r>
        <w:rPr>
          <w:rFonts w:hint="eastAsia" w:cs="仿宋" w:asciiTheme="minorEastAsia" w:hAnsiTheme="minorEastAsia" w:eastAsiaTheme="minorEastAsia"/>
          <w:b/>
          <w:sz w:val="22"/>
          <w:szCs w:val="24"/>
        </w:rPr>
        <w:t xml:space="preserve">中提供“南京市政府采购供应商信用记录表暨信用承诺书”替代上述相应证明材料。</w:t>
      </w:r>
      <w:r/>
    </w:p>
    <w:p>
      <w:pPr>
        <w:ind w:right="-110"/>
        <w:jc w:val="left"/>
        <w:widowControl/>
        <w:rPr>
          <w:rFonts w:cs="仿宋" w:asciiTheme="minorEastAsia" w:hAnsiTheme="minorEastAsia" w:eastAsiaTheme="minorEastAsia"/>
          <w:b/>
          <w:sz w:val="22"/>
          <w:szCs w:val="24"/>
        </w:rPr>
      </w:pPr>
      <w:r>
        <w:rPr>
          <w:rFonts w:hint="eastAsia" w:cs="仿宋" w:asciiTheme="minorEastAsia" w:hAnsiTheme="minorEastAsia" w:eastAsiaTheme="minorEastAsia"/>
          <w:b/>
          <w:sz w:val="22"/>
          <w:szCs w:val="24"/>
        </w:rPr>
        <w:t xml:space="preserve">2、供应商仅提供信用承诺书而未提供相应证明材料的，须在成交后另行提供上述由信用承诺书替代的证明材料（一式</w:t>
      </w:r>
      <w:r>
        <w:rPr>
          <w:rFonts w:hint="eastAsia" w:cs="仿宋" w:asciiTheme="minorEastAsia" w:hAnsiTheme="minorEastAsia" w:eastAsiaTheme="minorEastAsia"/>
          <w:b/>
          <w:sz w:val="22"/>
          <w:szCs w:val="24"/>
        </w:rPr>
        <w:t xml:space="preserve">二</w:t>
      </w:r>
      <w:r>
        <w:rPr>
          <w:rFonts w:hint="eastAsia" w:cs="仿宋" w:asciiTheme="minorEastAsia" w:hAnsiTheme="minorEastAsia" w:eastAsiaTheme="minorEastAsia"/>
          <w:b/>
          <w:sz w:val="22"/>
          <w:szCs w:val="24"/>
        </w:rPr>
        <w:t xml:space="preserve">份并装订），材料须加盖公章提交采购人或采购代理机构核验。经核验无误后，由采购人或采购代理机构发出成交通知书。</w:t>
      </w:r>
      <w:r/>
    </w:p>
    <w:p>
      <w:pPr>
        <w:ind w:right="-110"/>
        <w:jc w:val="left"/>
        <w:widowControl/>
        <w:rPr>
          <w:rFonts w:cs="仿宋" w:asciiTheme="minorEastAsia" w:hAnsiTheme="minorEastAsia" w:eastAsiaTheme="minorEastAsia"/>
          <w:b/>
          <w:sz w:val="22"/>
          <w:szCs w:val="24"/>
        </w:rPr>
      </w:pPr>
      <w:r>
        <w:rPr>
          <w:rFonts w:hint="eastAsia" w:cs="仿宋" w:asciiTheme="minorEastAsia" w:hAnsiTheme="minorEastAsia" w:eastAsiaTheme="minorEastAsia"/>
          <w:b/>
          <w:sz w:val="22"/>
          <w:szCs w:val="24"/>
        </w:rPr>
        <w:t xml:space="preserve">3、供应商涉及以下情形的，不适用信用承诺，仍须提供上述证明材料：</w:t>
      </w:r>
      <w:r/>
    </w:p>
    <w:p>
      <w:pPr>
        <w:ind w:right="-110"/>
        <w:jc w:val="left"/>
        <w:widowControl/>
        <w:rPr>
          <w:rFonts w:cs="仿宋" w:asciiTheme="minorEastAsia" w:hAnsiTheme="minorEastAsia" w:eastAsiaTheme="minorEastAsia"/>
          <w:b/>
          <w:sz w:val="22"/>
          <w:szCs w:val="24"/>
        </w:rPr>
      </w:pPr>
      <w:r>
        <w:rPr>
          <w:rFonts w:hint="eastAsia" w:cs="仿宋" w:asciiTheme="minorEastAsia" w:hAnsiTheme="minorEastAsia" w:eastAsiaTheme="minorEastAsia"/>
          <w:b/>
          <w:sz w:val="22"/>
          <w:szCs w:val="24"/>
        </w:rPr>
        <w:t xml:space="preserve">（1）供应商被列入严重失信主体名单；</w:t>
      </w:r>
      <w:r/>
    </w:p>
    <w:p>
      <w:pPr>
        <w:ind w:right="-110"/>
        <w:jc w:val="left"/>
        <w:widowControl/>
        <w:rPr>
          <w:rFonts w:cs="仿宋" w:asciiTheme="minorEastAsia" w:hAnsiTheme="minorEastAsia" w:eastAsiaTheme="minorEastAsia"/>
          <w:b/>
          <w:sz w:val="22"/>
          <w:szCs w:val="24"/>
        </w:rPr>
      </w:pPr>
      <w:r>
        <w:rPr>
          <w:rFonts w:hint="eastAsia" w:cs="仿宋" w:asciiTheme="minorEastAsia" w:hAnsiTheme="minorEastAsia" w:eastAsiaTheme="minorEastAsia"/>
          <w:b/>
          <w:sz w:val="22"/>
          <w:szCs w:val="24"/>
        </w:rPr>
        <w:t xml:space="preserve">（2）被相关监管部门作出行政处罚且尚在处罚有效期内；</w:t>
      </w:r>
      <w:r/>
    </w:p>
    <w:p>
      <w:pPr>
        <w:ind w:right="-110"/>
        <w:jc w:val="left"/>
        <w:widowControl/>
        <w:rPr>
          <w:rFonts w:cs="仿宋" w:asciiTheme="minorEastAsia" w:hAnsiTheme="minorEastAsia" w:eastAsiaTheme="minorEastAsia"/>
          <w:b/>
          <w:sz w:val="22"/>
          <w:szCs w:val="24"/>
        </w:rPr>
      </w:pPr>
      <w:r>
        <w:rPr>
          <w:rFonts w:hint="eastAsia" w:cs="仿宋" w:asciiTheme="minorEastAsia" w:hAnsiTheme="minorEastAsia" w:eastAsiaTheme="minorEastAsia"/>
          <w:b/>
          <w:sz w:val="22"/>
          <w:szCs w:val="24"/>
        </w:rPr>
        <w:t xml:space="preserve">（3）其他法律、行政法规规定的不适用信用承诺的情形。</w:t>
      </w:r>
      <w:r/>
    </w:p>
    <w:p>
      <w:pPr>
        <w:ind w:right="-110"/>
        <w:jc w:val="left"/>
        <w:widowControl/>
        <w:rPr>
          <w:rFonts w:cs="仿宋" w:asciiTheme="minorEastAsia" w:hAnsiTheme="minorEastAsia" w:eastAsiaTheme="minorEastAsia"/>
          <w:b/>
          <w:sz w:val="22"/>
          <w:szCs w:val="24"/>
        </w:rPr>
      </w:pPr>
      <w:r>
        <w:rPr>
          <w:rFonts w:hint="eastAsia" w:cs="仿宋" w:asciiTheme="minorEastAsia" w:hAnsiTheme="minorEastAsia" w:eastAsiaTheme="minorEastAsia"/>
          <w:b/>
          <w:sz w:val="22"/>
          <w:szCs w:val="24"/>
        </w:rPr>
        <w:t xml:space="preserve">4、供应商对信用承诺内容的真实性、合法性、有效性负责。如作出虚假信用承诺，视同为“提供虚假材料谋取中标、成交”的违法行为。</w:t>
      </w:r>
      <w:r/>
    </w:p>
    <w:p>
      <w:pPr>
        <w:ind w:right="-110" w:firstLine="482"/>
        <w:jc w:val="lef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br w:type="page" w:clear="all"/>
      </w:r>
      <w:r/>
    </w:p>
    <w:p>
      <w:pPr>
        <w:ind w:right="-110" w:firstLine="482"/>
        <w:jc w:val="center"/>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《南京市政府采购供应商信用记录表暨信用承诺书》</w:t>
      </w:r>
      <w:r>
        <w:rPr>
          <w:rFonts w:hint="eastAsia" w:cs="仿宋" w:asciiTheme="minorEastAsia" w:hAnsiTheme="minorEastAsia" w:eastAsiaTheme="minorEastAsia"/>
          <w:b/>
          <w:sz w:val="24"/>
          <w:szCs w:val="24"/>
        </w:rPr>
        <w:t xml:space="preserve">（此格式仅为示范，须登录 “南京公共采购信息网”在线打印；经法定代表人签名并加盖公章；《南京市政府采购供应商信用记录表暨信用承诺书》法定代表人电子签名或手写签名方有效，法定代表人电子印章视为无效；打印日期为采购文件发布之日起至递交响应文件截止日前）</w:t>
      </w:r>
      <w:r/>
    </w:p>
    <w:p>
      <w:pPr>
        <w:pStyle w:val="1099"/>
        <w:ind w:right="-110" w:firstLine="480"/>
        <w:jc w:val="right"/>
        <w:rPr>
          <w:rFonts w:cs="仿宋" w:asciiTheme="minorEastAsia" w:hAnsiTheme="minorEastAsia" w:eastAsiaTheme="minorEastAsia"/>
          <w:sz w:val="24"/>
          <w:szCs w:val="24"/>
        </w:rPr>
      </w:pPr>
      <w:r>
        <w:rPr>
          <w:rFonts w:hint="eastAsia" w:cs="仿宋" w:asciiTheme="minorEastAsia" w:hAnsiTheme="minorEastAsia" w:eastAsiaTheme="minorEastAsia"/>
          <w:b w:val="0"/>
          <w:sz w:val="24"/>
          <w:szCs w:val="24"/>
        </w:rPr>
        <w:t xml:space="preserve">20  年  月  日</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092"/>
        <w:gridCol w:w="2090"/>
        <w:gridCol w:w="2092"/>
        <w:gridCol w:w="3012"/>
      </w:tblGrid>
      <w:tr>
        <w:trPr>
          <w:trHeight w:val="567"/>
        </w:trPr>
        <w:tc>
          <w:tcPr>
            <w:tcW w:w="2130" w:type="dxa"/>
            <w:vAlign w:val="center"/>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t xml:space="preserve">单位名称</w:t>
            </w:r>
            <w:r/>
          </w:p>
        </w:tc>
        <w:tc>
          <w:tcPr>
            <w:tcW w:w="2130" w:type="dxa"/>
            <w:vAlign w:val="center"/>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r>
            <w:r/>
          </w:p>
        </w:tc>
        <w:tc>
          <w:tcPr>
            <w:tcW w:w="2131" w:type="dxa"/>
            <w:vAlign w:val="center"/>
            <w:textDirection w:val="lrTb"/>
            <w:noWrap w:val="false"/>
          </w:tcPr>
          <w:p>
            <w:pPr>
              <w:ind w:right="-110"/>
              <w:jc w:val="center"/>
              <w:rPr>
                <w:rFonts w:asciiTheme="minorEastAsia" w:hAnsiTheme="minorEastAsia" w:eastAsiaTheme="minorEastAsia"/>
                <w:szCs w:val="22"/>
              </w:rPr>
            </w:pPr>
            <w:r>
              <w:rPr>
                <w:rFonts w:asciiTheme="minorEastAsia" w:hAnsiTheme="minorEastAsia" w:eastAsiaTheme="minorEastAsia"/>
                <w:szCs w:val="22"/>
              </w:rPr>
              <w:t xml:space="preserve">统一社会信用代码</w:t>
            </w:r>
            <w:r/>
          </w:p>
        </w:tc>
        <w:tc>
          <w:tcPr>
            <w:tcW w:w="3073" w:type="dxa"/>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r>
            <w:r/>
          </w:p>
        </w:tc>
      </w:tr>
      <w:tr>
        <w:trPr>
          <w:trHeight w:val="567"/>
        </w:trPr>
        <w:tc>
          <w:tcPr>
            <w:tcW w:w="2130" w:type="dxa"/>
            <w:vAlign w:val="center"/>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t xml:space="preserve">法定代表人</w:t>
            </w:r>
            <w:r/>
          </w:p>
        </w:tc>
        <w:tc>
          <w:tcPr>
            <w:tcW w:w="2130" w:type="dxa"/>
            <w:vAlign w:val="center"/>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r>
            <w:r/>
          </w:p>
        </w:tc>
        <w:tc>
          <w:tcPr>
            <w:tcW w:w="2131" w:type="dxa"/>
            <w:vAlign w:val="center"/>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t xml:space="preserve">联系人</w:t>
            </w:r>
            <w:r/>
          </w:p>
        </w:tc>
        <w:tc>
          <w:tcPr>
            <w:tcW w:w="3073" w:type="dxa"/>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r>
            <w:r/>
          </w:p>
        </w:tc>
      </w:tr>
      <w:tr>
        <w:trPr>
          <w:trHeight w:val="567"/>
        </w:trPr>
        <w:tc>
          <w:tcPr>
            <w:tcW w:w="2130" w:type="dxa"/>
            <w:vAlign w:val="center"/>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t xml:space="preserve">联系地址</w:t>
            </w:r>
            <w:r/>
          </w:p>
        </w:tc>
        <w:tc>
          <w:tcPr>
            <w:tcW w:w="2130" w:type="dxa"/>
            <w:vAlign w:val="center"/>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r>
            <w:r/>
          </w:p>
        </w:tc>
        <w:tc>
          <w:tcPr>
            <w:tcW w:w="2131" w:type="dxa"/>
            <w:vAlign w:val="center"/>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t xml:space="preserve">联系电话</w:t>
            </w:r>
            <w:r/>
          </w:p>
        </w:tc>
        <w:tc>
          <w:tcPr>
            <w:tcW w:w="3073" w:type="dxa"/>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r>
            <w:r/>
          </w:p>
        </w:tc>
      </w:tr>
      <w:tr>
        <w:trPr>
          <w:trHeight w:val="1473"/>
        </w:trPr>
        <w:tc>
          <w:tcPr>
            <w:tcW w:w="2130" w:type="dxa"/>
            <w:vAlign w:val="center"/>
            <w:textDirection w:val="lrTb"/>
            <w:noWrap w:val="false"/>
          </w:tcPr>
          <w:p>
            <w:pPr>
              <w:ind w:right="-110"/>
              <w:rPr>
                <w:rFonts w:asciiTheme="minorEastAsia" w:hAnsiTheme="minorEastAsia" w:eastAsiaTheme="minorEastAsia"/>
                <w:szCs w:val="22"/>
              </w:rPr>
            </w:pPr>
            <w:r>
              <w:rPr>
                <w:rFonts w:asciiTheme="minorEastAsia" w:hAnsiTheme="minorEastAsia" w:eastAsiaTheme="minorEastAsia"/>
                <w:szCs w:val="22"/>
              </w:rPr>
              <w:t xml:space="preserve">诚信档案记录情况</w:t>
            </w:r>
            <w:r/>
          </w:p>
        </w:tc>
        <w:tc>
          <w:tcPr>
            <w:gridSpan w:val="3"/>
            <w:tcW w:w="7334" w:type="dxa"/>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r>
            <w:r/>
          </w:p>
        </w:tc>
      </w:tr>
      <w:tr>
        <w:trPr>
          <w:trHeight w:val="5671"/>
        </w:trPr>
        <w:tc>
          <w:tcPr>
            <w:tcW w:w="2130" w:type="dxa"/>
            <w:vAlign w:val="center"/>
            <w:textDirection w:val="lrTb"/>
            <w:noWrap w:val="false"/>
          </w:tcPr>
          <w:p>
            <w:pPr>
              <w:ind w:right="-110" w:firstLine="422"/>
              <w:rPr>
                <w:rFonts w:asciiTheme="minorEastAsia" w:hAnsiTheme="minorEastAsia" w:eastAsiaTheme="minorEastAsia"/>
                <w:szCs w:val="22"/>
              </w:rPr>
            </w:pPr>
            <w:r>
              <w:rPr>
                <w:rFonts w:asciiTheme="minorEastAsia" w:hAnsiTheme="minorEastAsia" w:eastAsiaTheme="minorEastAsia"/>
                <w:szCs w:val="22"/>
              </w:rPr>
              <w:t xml:space="preserve">信用承诺</w:t>
            </w:r>
            <w:r/>
          </w:p>
        </w:tc>
        <w:tc>
          <w:tcPr>
            <w:gridSpan w:val="3"/>
            <w:tcW w:w="7334" w:type="dxa"/>
            <w:textDirection w:val="lrTb"/>
            <w:noWrap w:val="false"/>
          </w:tcPr>
          <w:p>
            <w:pPr>
              <w:ind w:right="-110" w:firstLine="420"/>
              <w:spacing w:line="360" w:lineRule="auto"/>
              <w:rPr>
                <w:rFonts w:asciiTheme="minorEastAsia" w:hAnsiTheme="minorEastAsia" w:eastAsiaTheme="minorEastAsia"/>
                <w:szCs w:val="22"/>
              </w:rPr>
            </w:pPr>
            <w:r>
              <w:rPr>
                <w:rFonts w:hint="eastAsia" w:asciiTheme="minorEastAsia" w:hAnsiTheme="minorEastAsia" w:eastAsiaTheme="minorEastAsia"/>
                <w:szCs w:val="22"/>
              </w:rPr>
              <w:t xml:space="preserve">我公司自愿参加贵中心（公司）组织的本次采购活动，严格遵守《中华人民政府采购法》及相关</w:t>
            </w:r>
            <w:r>
              <w:rPr>
                <w:rFonts w:hint="eastAsia" w:asciiTheme="minorEastAsia" w:hAnsiTheme="minorEastAsia" w:eastAsiaTheme="minorEastAsia"/>
                <w:szCs w:val="22"/>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right="-110" w:firstLine="422"/>
              <w:spacing w:line="360" w:lineRule="auto"/>
              <w:rPr>
                <w:rFonts w:asciiTheme="minorEastAsia" w:hAnsiTheme="minorEastAsia" w:eastAsiaTheme="minorEastAsia"/>
                <w:szCs w:val="22"/>
              </w:rPr>
            </w:pPr>
            <w:r>
              <w:rPr>
                <w:rFonts w:asciiTheme="minorEastAsia" w:hAnsiTheme="minorEastAsia" w:eastAsiaTheme="minorEastAsia"/>
                <w:szCs w:val="22"/>
              </w:rPr>
            </w:r>
            <w:r/>
          </w:p>
          <w:p>
            <w:pPr>
              <w:ind w:right="-110" w:firstLine="420"/>
              <w:jc w:val="right"/>
              <w:spacing w:line="360" w:lineRule="auto"/>
              <w:rPr>
                <w:rFonts w:asciiTheme="minorEastAsia" w:hAnsiTheme="minorEastAsia" w:eastAsiaTheme="minorEastAsia"/>
                <w:szCs w:val="22"/>
              </w:rPr>
            </w:pPr>
            <w:r>
              <w:rPr>
                <w:rFonts w:hint="eastAsia" w:asciiTheme="minorEastAsia" w:hAnsiTheme="minorEastAsia" w:eastAsiaTheme="minorEastAsia"/>
                <w:szCs w:val="22"/>
              </w:rPr>
              <w:t xml:space="preserve">供应商名称（盖章）：</w:t>
            </w:r>
            <w:r/>
          </w:p>
          <w:p>
            <w:pPr>
              <w:ind w:right="-110" w:firstLine="420"/>
              <w:jc w:val="right"/>
              <w:spacing w:line="360" w:lineRule="auto"/>
              <w:rPr>
                <w:rFonts w:asciiTheme="minorEastAsia" w:hAnsiTheme="minorEastAsia" w:eastAsiaTheme="minorEastAsia"/>
                <w:szCs w:val="22"/>
              </w:rPr>
            </w:pPr>
            <w:r>
              <w:rPr>
                <w:rFonts w:hint="eastAsia" w:asciiTheme="minorEastAsia" w:hAnsiTheme="minorEastAsia" w:eastAsiaTheme="minorEastAsia"/>
                <w:szCs w:val="22"/>
              </w:rPr>
              <w:t xml:space="preserve">法定代表人（签字）：</w:t>
            </w:r>
            <w:r/>
          </w:p>
          <w:p>
            <w:pPr>
              <w:ind w:right="-110" w:firstLine="420"/>
              <w:jc w:val="right"/>
              <w:spacing w:line="360" w:lineRule="auto"/>
              <w:rPr>
                <w:rFonts w:asciiTheme="minorEastAsia" w:hAnsiTheme="minorEastAsia" w:eastAsiaTheme="minorEastAsia"/>
                <w:szCs w:val="22"/>
              </w:rPr>
            </w:pPr>
            <w:r>
              <w:rPr>
                <w:rFonts w:hint="eastAsia" w:asciiTheme="minorEastAsia" w:hAnsiTheme="minorEastAsia" w:eastAsiaTheme="minorEastAsia"/>
                <w:szCs w:val="22"/>
              </w:rPr>
              <w:t xml:space="preserve">二0    年   月   日</w:t>
            </w:r>
            <w:r/>
          </w:p>
        </w:tc>
      </w:tr>
    </w:tbl>
    <w:p>
      <w:pPr>
        <w:pStyle w:val="1099"/>
        <w:ind w:right="-110" w:firstLine="482"/>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right="-110" w:firstLine="482"/>
        <w:jc w:val="left"/>
        <w:widowControl/>
        <w:rPr>
          <w:rFonts w:cs="仿宋" w:asciiTheme="minorEastAsia" w:hAnsiTheme="minorEastAsia" w:eastAsiaTheme="minorEastAsia"/>
          <w:b/>
          <w:sz w:val="24"/>
          <w:szCs w:val="24"/>
          <w:lang w:val="zh-CN"/>
        </w:rPr>
      </w:pPr>
      <w:r>
        <w:rPr>
          <w:rFonts w:cs="仿宋" w:asciiTheme="minorEastAsia" w:hAnsiTheme="minorEastAsia" w:eastAsiaTheme="minorEastAsia"/>
          <w:b/>
          <w:sz w:val="24"/>
          <w:szCs w:val="24"/>
          <w:lang w:val="zh-CN"/>
        </w:rPr>
        <w:br w:type="page" w:clear="all"/>
      </w:r>
      <w:r/>
    </w:p>
    <w:p>
      <w:pPr>
        <w:ind w:right="-110"/>
        <w:jc w:val="left"/>
        <w:spacing w:line="360" w:lineRule="auto"/>
        <w:widowControl/>
        <w:rPr>
          <w:rFonts w:cs="仿宋" w:asciiTheme="minorEastAsia" w:hAnsiTheme="minorEastAsia" w:eastAsiaTheme="minorEastAsia"/>
          <w:b/>
          <w:sz w:val="24"/>
          <w:szCs w:val="24"/>
          <w:lang w:val="zh-CN"/>
        </w:rPr>
      </w:pPr>
      <w:r>
        <w:rPr>
          <w:rFonts w:hint="eastAsia" w:cs="仿宋" w:asciiTheme="minorEastAsia" w:hAnsiTheme="minorEastAsia" w:eastAsiaTheme="minorEastAsia"/>
          <w:b/>
          <w:sz w:val="24"/>
          <w:szCs w:val="24"/>
          <w:lang w:val="zh-CN"/>
        </w:rPr>
        <w:t xml:space="preserve">目录六、技术条款偏离表格式</w:t>
      </w:r>
      <w:r/>
    </w:p>
    <w:p>
      <w:pPr>
        <w:ind w:left="420" w:right="-110" w:firstLine="482"/>
        <w:jc w:val="center"/>
        <w:spacing w:line="360" w:lineRule="auto"/>
        <w:widowControl/>
        <w:rPr>
          <w:rFonts w:cs="仿宋" w:asciiTheme="minorEastAsia" w:hAnsiTheme="minorEastAsia" w:eastAsiaTheme="minorEastAsia"/>
          <w:sz w:val="24"/>
          <w:szCs w:val="24"/>
          <w:lang w:val="zh-CN"/>
        </w:rPr>
        <w:outlineLvl w:val="0"/>
      </w:pPr>
      <w:r>
        <w:rPr>
          <w:rFonts w:hint="eastAsia" w:cs="仿宋" w:asciiTheme="minorEastAsia" w:hAnsiTheme="minorEastAsia" w:eastAsiaTheme="minorEastAsia"/>
          <w:sz w:val="24"/>
          <w:szCs w:val="24"/>
          <w:lang w:val="zh-CN"/>
        </w:rPr>
        <w:t xml:space="preserve">技术条款偏离表</w:t>
      </w:r>
      <w:r/>
    </w:p>
    <w:tbl>
      <w:tblPr>
        <w:tblW w:w="9435" w:type="dxa"/>
        <w:jc w:val="center"/>
        <w:tblLayout w:type="fixed"/>
        <w:tblCellMar>
          <w:left w:w="0" w:type="dxa"/>
          <w:right w:w="0" w:type="dxa"/>
        </w:tblCellMar>
        <w:tblLook w:val="04A0" w:firstRow="1" w:lastRow="0" w:firstColumn="1" w:lastColumn="0" w:noHBand="0" w:noVBand="1"/>
      </w:tblPr>
      <w:tblGrid>
        <w:gridCol w:w="765"/>
        <w:gridCol w:w="2395"/>
        <w:gridCol w:w="2835"/>
        <w:gridCol w:w="501"/>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right="-110"/>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2395" w:type="dxa"/>
            <w:vAlign w:val="center"/>
            <w:textDirection w:val="lrTb"/>
            <w:noWrap w:val="false"/>
          </w:tcPr>
          <w:p>
            <w:pPr>
              <w:ind w:right="-110"/>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ind w:right="-110"/>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磋商文件要求的技术条款</w:t>
            </w:r>
            <w:r/>
          </w:p>
        </w:tc>
        <w:tc>
          <w:tcPr>
            <w:gridSpan w:val="2"/>
            <w:tcBorders>
              <w:top w:val="single" w:color="auto" w:sz="6" w:space="0"/>
              <w:left w:val="single" w:color="auto" w:sz="6" w:space="0"/>
              <w:bottom w:val="single" w:color="auto" w:sz="6" w:space="0"/>
              <w:right w:val="single" w:color="auto" w:sz="6" w:space="0"/>
            </w:tcBorders>
            <w:tcW w:w="2330" w:type="dxa"/>
            <w:vAlign w:val="center"/>
            <w:textDirection w:val="lrTb"/>
            <w:noWrap w:val="false"/>
          </w:tcPr>
          <w:p>
            <w:pPr>
              <w:ind w:right="-110"/>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right="-110"/>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right="-110" w:firstLine="482"/>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395"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330"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right="-110" w:firstLine="482"/>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395"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330"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right="-110" w:firstLine="482"/>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395"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330"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right="-110" w:firstLine="482"/>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395"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330"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right="-110" w:firstLine="482"/>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395"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330"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ind w:right="-110" w:firstLine="482"/>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395"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330"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ind w:right="-110" w:firstLine="482"/>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bl>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供应商名称：</w:t>
      </w:r>
      <w:r>
        <w:rPr>
          <w:rFonts w:hint="eastAsia" w:ascii="宋体" w:hAnsi="宋体" w:cs="宋体"/>
          <w:sz w:val="24"/>
          <w:szCs w:val="24"/>
          <w:u w:val="single"/>
        </w:rPr>
        <w:t xml:space="preserve">           </w:t>
      </w:r>
      <w:r>
        <w:rPr>
          <w:rFonts w:hint="eastAsia" w:cs="仿宋" w:asciiTheme="minorEastAsia" w:hAnsiTheme="minorEastAsia" w:eastAsiaTheme="minorEastAsia"/>
          <w:sz w:val="24"/>
          <w:szCs w:val="24"/>
          <w:lang w:val="zh-CN"/>
        </w:rPr>
        <w:t xml:space="preserve">（盖章）</w:t>
      </w:r>
      <w:r/>
    </w:p>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说明：</w:t>
      </w: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lang w:val="zh-CN"/>
        </w:rPr>
        <w:t xml:space="preserve">、如果行数不够，请自行增加。</w:t>
      </w:r>
      <w:r/>
    </w:p>
    <w:p>
      <w:pPr>
        <w:ind w:right="-110" w:firstLine="723"/>
        <w:jc w:val="left"/>
        <w:spacing w:line="360" w:lineRule="auto"/>
        <w:widowControl/>
        <w:rPr>
          <w:rFonts w:cs="仿宋" w:asciiTheme="minorEastAsia" w:hAnsiTheme="minorEastAsia" w:eastAsiaTheme="minorEastAsia"/>
          <w:b/>
          <w:sz w:val="24"/>
          <w:szCs w:val="24"/>
          <w:lang w:val="zh-CN"/>
        </w:rPr>
      </w:pPr>
      <w:r>
        <w:rPr>
          <w:rFonts w:hint="eastAsia" w:cs="仿宋" w:asciiTheme="minorEastAsia" w:hAnsiTheme="minorEastAsia" w:eastAsiaTheme="minorEastAsia"/>
          <w:b/>
          <w:sz w:val="24"/>
          <w:szCs w:val="24"/>
        </w:rPr>
        <w:t xml:space="preserve">2</w:t>
      </w:r>
      <w:r>
        <w:rPr>
          <w:rFonts w:hint="eastAsia" w:cs="仿宋" w:asciiTheme="minorEastAsia" w:hAnsiTheme="minorEastAsia" w:eastAsiaTheme="minorEastAsia"/>
          <w:b/>
          <w:sz w:val="24"/>
          <w:szCs w:val="24"/>
          <w:lang w:val="zh-CN"/>
        </w:rPr>
        <w:t xml:space="preserve">、供应商应逐一说明投标服务响应。</w:t>
      </w:r>
      <w:r/>
    </w:p>
    <w:p>
      <w:pPr>
        <w:ind w:right="-110" w:firstLine="480"/>
        <w:jc w:val="left"/>
        <w:spacing w:line="360" w:lineRule="auto"/>
        <w:widowControl/>
        <w:rPr>
          <w:rFonts w:cs="仿宋" w:asciiTheme="minorEastAsia" w:hAnsiTheme="minorEastAsia" w:eastAsiaTheme="minorEastAsia"/>
          <w:b/>
          <w:sz w:val="24"/>
          <w:szCs w:val="24"/>
          <w:lang w:val="zh-CN"/>
        </w:rPr>
      </w:pPr>
      <w:r>
        <w:rPr>
          <w:rFonts w:cs="仿宋" w:asciiTheme="minorEastAsia" w:hAnsiTheme="minorEastAsia" w:eastAsiaTheme="minorEastAsia"/>
          <w:b/>
          <w:sz w:val="24"/>
          <w:szCs w:val="24"/>
          <w:lang w:val="zh-CN"/>
        </w:rPr>
      </w:r>
      <w:r/>
    </w:p>
    <w:p>
      <w:pPr>
        <w:ind w:right="-110" w:firstLine="480"/>
        <w:jc w:val="left"/>
        <w:spacing w:line="360" w:lineRule="auto"/>
        <w:widowControl/>
        <w:rPr>
          <w:rFonts w:cs="仿宋" w:asciiTheme="minorEastAsia" w:hAnsiTheme="minorEastAsia" w:eastAsiaTheme="minorEastAsia"/>
          <w:b/>
          <w:sz w:val="24"/>
          <w:szCs w:val="24"/>
          <w:lang w:val="zh-CN"/>
        </w:rPr>
      </w:pPr>
      <w:r>
        <w:rPr>
          <w:rFonts w:cs="仿宋" w:asciiTheme="minorEastAsia" w:hAnsiTheme="minorEastAsia" w:eastAsiaTheme="minorEastAsia"/>
          <w:b/>
          <w:sz w:val="24"/>
          <w:szCs w:val="24"/>
          <w:lang w:val="zh-CN"/>
        </w:rPr>
      </w:r>
      <w:r/>
    </w:p>
    <w:p>
      <w:pPr>
        <w:ind w:right="-110" w:firstLine="480"/>
        <w:jc w:val="left"/>
        <w:spacing w:line="360" w:lineRule="auto"/>
        <w:widowControl/>
        <w:rPr>
          <w:rFonts w:cs="仿宋" w:asciiTheme="minorEastAsia" w:hAnsiTheme="minorEastAsia" w:eastAsiaTheme="minorEastAsia"/>
          <w:b/>
          <w:sz w:val="24"/>
          <w:szCs w:val="24"/>
          <w:lang w:val="zh-CN"/>
        </w:rPr>
      </w:pPr>
      <w:r>
        <w:rPr>
          <w:rFonts w:cs="仿宋" w:asciiTheme="minorEastAsia" w:hAnsiTheme="minorEastAsia" w:eastAsiaTheme="minorEastAsia"/>
          <w:b/>
          <w:sz w:val="24"/>
          <w:szCs w:val="24"/>
          <w:lang w:val="zh-CN"/>
        </w:rPr>
      </w:r>
      <w:r/>
    </w:p>
    <w:p>
      <w:pPr>
        <w:ind w:right="-110"/>
        <w:jc w:val="left"/>
        <w:spacing w:line="360" w:lineRule="auto"/>
        <w:widowControl/>
        <w:rPr>
          <w:rFonts w:cs="仿宋" w:asciiTheme="minorEastAsia" w:hAnsiTheme="minorEastAsia" w:eastAsiaTheme="minorEastAsia"/>
          <w:b/>
          <w:sz w:val="24"/>
          <w:szCs w:val="24"/>
          <w:lang w:val="zh-CN"/>
        </w:rPr>
      </w:pPr>
      <w:r>
        <w:rPr>
          <w:rFonts w:hint="eastAsia" w:cs="仿宋" w:asciiTheme="minorEastAsia" w:hAnsiTheme="minorEastAsia" w:eastAsiaTheme="minorEastAsia"/>
          <w:b/>
          <w:sz w:val="24"/>
          <w:szCs w:val="24"/>
          <w:lang w:val="zh-CN"/>
        </w:rPr>
        <w:t xml:space="preserve">目录七、商务条款偏离表格式</w:t>
      </w:r>
      <w:r/>
    </w:p>
    <w:p>
      <w:pPr>
        <w:ind w:left="420" w:right="-110" w:firstLine="482"/>
        <w:jc w:val="center"/>
        <w:spacing w:line="360" w:lineRule="auto"/>
        <w:widowControl/>
        <w:rPr>
          <w:rFonts w:cs="仿宋" w:asciiTheme="minorEastAsia" w:hAnsiTheme="minorEastAsia" w:eastAsiaTheme="minorEastAsia"/>
          <w:sz w:val="24"/>
          <w:szCs w:val="24"/>
          <w:lang w:val="zh-CN"/>
        </w:rPr>
        <w:outlineLvl w:val="0"/>
      </w:pPr>
      <w:r>
        <w:rPr>
          <w:rFonts w:hint="eastAsia" w:cs="仿宋" w:asciiTheme="minorEastAsia" w:hAnsiTheme="minorEastAsia" w:eastAsiaTheme="minorEastAsia"/>
          <w:sz w:val="24"/>
          <w:szCs w:val="24"/>
          <w:lang w:val="zh-CN"/>
        </w:rPr>
        <w:t xml:space="preserve">商务条款偏离表</w:t>
      </w:r>
      <w:r/>
    </w:p>
    <w:tbl>
      <w:tblPr>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51"/>
        <w:gridCol w:w="2257"/>
        <w:gridCol w:w="2977"/>
        <w:gridCol w:w="501"/>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项目编号：</w:t>
            </w:r>
            <w:r/>
          </w:p>
        </w:tc>
      </w:tr>
      <w:tr>
        <w:trPr>
          <w:jc w:val="center"/>
          <w:trHeight w:val="284"/>
        </w:trPr>
        <w:tc>
          <w:tcPr>
            <w:tcW w:w="651" w:type="dxa"/>
            <w:vAlign w:val="center"/>
            <w:textDirection w:val="lrTb"/>
            <w:noWrap w:val="false"/>
          </w:tcPr>
          <w:p>
            <w:pPr>
              <w:ind w:right="-110"/>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序号</w:t>
            </w:r>
            <w:r/>
          </w:p>
        </w:tc>
        <w:tc>
          <w:tcPr>
            <w:tcW w:w="2257" w:type="dxa"/>
            <w:vAlign w:val="center"/>
            <w:textDirection w:val="lrTb"/>
            <w:noWrap w:val="false"/>
          </w:tcPr>
          <w:p>
            <w:pPr>
              <w:ind w:right="-110"/>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磋商文件条目号</w:t>
            </w:r>
            <w:r/>
          </w:p>
        </w:tc>
        <w:tc>
          <w:tcPr>
            <w:tcW w:w="2977" w:type="dxa"/>
            <w:vAlign w:val="center"/>
            <w:textDirection w:val="lrTb"/>
            <w:noWrap w:val="false"/>
          </w:tcPr>
          <w:p>
            <w:pPr>
              <w:ind w:right="-110"/>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磋商文件要求的商务条款</w:t>
            </w:r>
            <w:r/>
          </w:p>
        </w:tc>
        <w:tc>
          <w:tcPr>
            <w:gridSpan w:val="2"/>
            <w:tcW w:w="1959" w:type="dxa"/>
            <w:vAlign w:val="center"/>
            <w:textDirection w:val="lrTb"/>
            <w:noWrap w:val="false"/>
          </w:tcPr>
          <w:p>
            <w:pPr>
              <w:ind w:right="-110"/>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投标响应</w:t>
            </w:r>
            <w:r/>
          </w:p>
        </w:tc>
        <w:tc>
          <w:tcPr>
            <w:tcW w:w="1372" w:type="dxa"/>
            <w:vAlign w:val="center"/>
            <w:textDirection w:val="lrTb"/>
            <w:noWrap w:val="false"/>
          </w:tcPr>
          <w:p>
            <w:pPr>
              <w:ind w:right="-110"/>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偏离</w:t>
            </w:r>
            <w:r/>
          </w:p>
        </w:tc>
      </w:tr>
      <w:tr>
        <w:trPr>
          <w:jc w:val="center"/>
          <w:trHeight w:val="284"/>
        </w:trPr>
        <w:tc>
          <w:tcPr>
            <w:tcW w:w="651" w:type="dxa"/>
            <w:vAlign w:val="center"/>
            <w:textDirection w:val="lrTb"/>
            <w:noWrap w:val="false"/>
          </w:tcPr>
          <w:p>
            <w:pPr>
              <w:ind w:right="-110" w:firstLine="482"/>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257"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977"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W w:w="1959"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1372"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W w:w="651" w:type="dxa"/>
            <w:vAlign w:val="center"/>
            <w:textDirection w:val="lrTb"/>
            <w:noWrap w:val="false"/>
          </w:tcPr>
          <w:p>
            <w:pPr>
              <w:ind w:right="-110" w:firstLine="482"/>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257"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977"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W w:w="1959"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1372"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W w:w="651" w:type="dxa"/>
            <w:vAlign w:val="center"/>
            <w:textDirection w:val="lrTb"/>
            <w:noWrap w:val="false"/>
          </w:tcPr>
          <w:p>
            <w:pPr>
              <w:ind w:right="-110" w:firstLine="482"/>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257"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977"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W w:w="1959"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1372"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W w:w="651" w:type="dxa"/>
            <w:vAlign w:val="center"/>
            <w:textDirection w:val="lrTb"/>
            <w:noWrap w:val="false"/>
          </w:tcPr>
          <w:p>
            <w:pPr>
              <w:ind w:right="-110" w:firstLine="482"/>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257"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977"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W w:w="1959"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1372" w:type="dxa"/>
            <w:vAlign w:val="center"/>
            <w:textDirection w:val="lrTb"/>
            <w:noWrap w:val="false"/>
          </w:tcPr>
          <w:p>
            <w:pPr>
              <w:ind w:right="-110" w:firstLine="482"/>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Pr>
        <w:tc>
          <w:tcPr>
            <w:tcW w:w="651" w:type="dxa"/>
            <w:vAlign w:val="center"/>
            <w:textDirection w:val="lrTb"/>
            <w:noWrap w:val="false"/>
          </w:tcPr>
          <w:p>
            <w:pPr>
              <w:ind w:right="-110" w:firstLine="482"/>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257" w:type="dxa"/>
            <w:vAlign w:val="center"/>
            <w:textDirection w:val="lrTb"/>
            <w:noWrap w:val="false"/>
          </w:tcPr>
          <w:p>
            <w:pPr>
              <w:ind w:right="-110" w:firstLine="482"/>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977" w:type="dxa"/>
            <w:vAlign w:val="center"/>
            <w:textDirection w:val="lrTb"/>
            <w:noWrap w:val="false"/>
          </w:tcPr>
          <w:p>
            <w:pPr>
              <w:ind w:right="-110" w:firstLine="482"/>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gridSpan w:val="2"/>
            <w:tcW w:w="1959" w:type="dxa"/>
            <w:vAlign w:val="center"/>
            <w:textDirection w:val="lrTb"/>
            <w:noWrap w:val="false"/>
          </w:tcPr>
          <w:p>
            <w:pPr>
              <w:ind w:right="-110" w:firstLine="482"/>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372" w:type="dxa"/>
            <w:vAlign w:val="center"/>
            <w:textDirection w:val="lrTb"/>
            <w:noWrap w:val="false"/>
          </w:tcPr>
          <w:p>
            <w:pPr>
              <w:ind w:right="-110" w:firstLine="482"/>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bl>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供应商名称：</w:t>
      </w:r>
      <w:r>
        <w:rPr>
          <w:rFonts w:hint="eastAsia" w:ascii="宋体" w:hAnsi="宋体" w:cs="宋体"/>
          <w:sz w:val="24"/>
          <w:szCs w:val="24"/>
          <w:u w:val="single"/>
        </w:rPr>
        <w:t xml:space="preserve">           </w:t>
      </w:r>
      <w:r>
        <w:rPr>
          <w:rFonts w:hint="eastAsia" w:cs="仿宋" w:asciiTheme="minorEastAsia" w:hAnsiTheme="minorEastAsia" w:eastAsiaTheme="minorEastAsia"/>
          <w:sz w:val="24"/>
          <w:szCs w:val="24"/>
          <w:lang w:val="zh-CN"/>
        </w:rPr>
        <w:t xml:space="preserve">（盖章）</w:t>
      </w:r>
      <w:r/>
    </w:p>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说明：如果行数不够，请自行增加。</w:t>
      </w:r>
      <w:bookmarkEnd w:id="83"/>
      <w:r/>
      <w:r/>
    </w:p>
    <w:p>
      <w:pPr>
        <w:ind w:right="-110" w:firstLine="48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r/>
    </w:p>
    <w:p>
      <w:pPr>
        <w:ind w:right="-110"/>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目录八、服务与承诺</w:t>
      </w:r>
      <w:r/>
    </w:p>
    <w:p>
      <w:pPr>
        <w:ind w:right="-110"/>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w:t>
      </w:r>
      <w:r>
        <w:rPr>
          <w:rFonts w:hint="eastAsia" w:cs="仿宋" w:asciiTheme="minorEastAsia" w:hAnsiTheme="minorEastAsia" w:eastAsiaTheme="minorEastAsia"/>
          <w:b/>
          <w:sz w:val="24"/>
          <w:szCs w:val="24"/>
        </w:rPr>
        <w:t xml:space="preserve">根据</w:t>
      </w:r>
      <w:r>
        <w:rPr>
          <w:rFonts w:hint="eastAsia" w:cs="仿宋" w:asciiTheme="minorEastAsia" w:hAnsiTheme="minorEastAsia" w:eastAsiaTheme="minorEastAsia"/>
          <w:b/>
          <w:sz w:val="24"/>
          <w:szCs w:val="24"/>
        </w:rPr>
        <w:t xml:space="preserve">第四章 项目</w:t>
      </w:r>
      <w:r>
        <w:rPr>
          <w:rFonts w:hint="eastAsia" w:cs="仿宋" w:asciiTheme="minorEastAsia" w:hAnsiTheme="minorEastAsia" w:eastAsiaTheme="minorEastAsia"/>
          <w:b/>
          <w:sz w:val="24"/>
          <w:szCs w:val="24"/>
        </w:rPr>
        <w:t xml:space="preserve">需求</w:t>
      </w:r>
      <w:r>
        <w:rPr>
          <w:rFonts w:hint="eastAsia" w:cs="仿宋" w:asciiTheme="minorEastAsia" w:hAnsiTheme="minorEastAsia" w:eastAsiaTheme="minorEastAsia"/>
          <w:b/>
          <w:sz w:val="24"/>
          <w:szCs w:val="24"/>
        </w:rPr>
        <w:t xml:space="preserve">中的</w:t>
      </w:r>
      <w:r>
        <w:rPr>
          <w:rFonts w:hint="eastAsia" w:cs="仿宋" w:asciiTheme="minorEastAsia" w:hAnsiTheme="minorEastAsia" w:eastAsiaTheme="minorEastAsia"/>
          <w:b/>
          <w:sz w:val="24"/>
          <w:szCs w:val="24"/>
        </w:rPr>
        <w:t xml:space="preserve">要求填写，格式自拟；对磋商文件中</w:t>
      </w:r>
      <w:r>
        <w:rPr>
          <w:rFonts w:hint="eastAsia"/>
          <w:b/>
          <w:sz w:val="24"/>
        </w:rPr>
        <w:t xml:space="preserve">标有“▲”的内容</w:t>
      </w:r>
      <w:r>
        <w:rPr>
          <w:rFonts w:hint="eastAsia" w:cs="仿宋" w:asciiTheme="minorEastAsia" w:hAnsiTheme="minorEastAsia" w:eastAsiaTheme="minorEastAsia"/>
          <w:b/>
          <w:sz w:val="24"/>
          <w:szCs w:val="24"/>
        </w:rPr>
        <w:t xml:space="preserve">做出明确响应（</w:t>
      </w:r>
      <w:r>
        <w:rPr>
          <w:rFonts w:hint="eastAsia" w:cs="仿宋" w:asciiTheme="minorEastAsia" w:hAnsiTheme="minorEastAsia" w:eastAsiaTheme="minorEastAsia"/>
          <w:b/>
          <w:sz w:val="24"/>
          <w:szCs w:val="24"/>
        </w:rPr>
        <w:t xml:space="preserve">要求提供证明材料的</w:t>
      </w:r>
      <w:r>
        <w:rPr>
          <w:rFonts w:hint="eastAsia" w:cs="仿宋" w:asciiTheme="minorEastAsia" w:hAnsiTheme="minorEastAsia" w:eastAsiaTheme="minorEastAsia"/>
          <w:b/>
          <w:sz w:val="24"/>
          <w:szCs w:val="24"/>
        </w:rPr>
        <w:t xml:space="preserve">需</w:t>
      </w:r>
      <w:r>
        <w:rPr>
          <w:rFonts w:hint="eastAsia" w:cs="仿宋" w:asciiTheme="minorEastAsia" w:hAnsiTheme="minorEastAsia" w:eastAsiaTheme="minorEastAsia"/>
          <w:b/>
          <w:sz w:val="24"/>
          <w:szCs w:val="24"/>
        </w:rPr>
        <w:t xml:space="preserve">后附相关证明材料）</w:t>
      </w:r>
      <w:r>
        <w:rPr>
          <w:rFonts w:hint="eastAsia" w:cs="仿宋" w:asciiTheme="minorEastAsia" w:hAnsiTheme="minorEastAsia" w:eastAsiaTheme="minorEastAsia"/>
          <w:b/>
          <w:sz w:val="24"/>
          <w:szCs w:val="24"/>
        </w:rPr>
        <w:t xml:space="preserve">；若为负偏离，则视为未实质性响应</w:t>
      </w:r>
      <w:r>
        <w:rPr>
          <w:rFonts w:hint="eastAsia" w:cs="仿宋" w:asciiTheme="minorEastAsia" w:hAnsiTheme="minorEastAsia" w:eastAsiaTheme="minorEastAsia"/>
          <w:b/>
          <w:sz w:val="24"/>
          <w:szCs w:val="24"/>
        </w:rPr>
        <w:t xml:space="preserve">磋商</w:t>
      </w:r>
      <w:r>
        <w:rPr>
          <w:rFonts w:hint="eastAsia" w:cs="仿宋" w:asciiTheme="minorEastAsia" w:hAnsiTheme="minorEastAsia" w:eastAsiaTheme="minorEastAsia"/>
          <w:b/>
          <w:sz w:val="24"/>
          <w:szCs w:val="24"/>
        </w:rPr>
        <w:t xml:space="preserve">文件，按照无效</w:t>
      </w:r>
      <w:r>
        <w:rPr>
          <w:rFonts w:hint="eastAsia" w:cs="仿宋" w:asciiTheme="minorEastAsia" w:hAnsiTheme="minorEastAsia" w:eastAsiaTheme="minorEastAsia"/>
          <w:b/>
          <w:sz w:val="24"/>
          <w:szCs w:val="24"/>
        </w:rPr>
        <w:t xml:space="preserve">响应</w:t>
      </w:r>
      <w:r>
        <w:rPr>
          <w:rFonts w:hint="eastAsia" w:cs="仿宋" w:asciiTheme="minorEastAsia" w:hAnsiTheme="minorEastAsia" w:eastAsiaTheme="minorEastAsia"/>
          <w:b/>
          <w:sz w:val="24"/>
          <w:szCs w:val="24"/>
        </w:rPr>
        <w:t xml:space="preserve">处理</w:t>
      </w:r>
      <w:r>
        <w:rPr>
          <w:rFonts w:hint="eastAsia" w:cs="仿宋" w:asciiTheme="minorEastAsia" w:hAnsiTheme="minorEastAsia" w:eastAsiaTheme="minorEastAsia"/>
          <w:b/>
          <w:sz w:val="24"/>
          <w:szCs w:val="24"/>
        </w:rPr>
        <w:t xml:space="preserve">）</w:t>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w:t>
      </w:r>
      <w:r>
        <w:rPr>
          <w:rFonts w:hint="eastAsia" w:cs="仿宋" w:asciiTheme="minorEastAsia" w:hAnsiTheme="minorEastAsia" w:eastAsiaTheme="minorEastAsia"/>
          <w:b/>
          <w:sz w:val="24"/>
          <w:szCs w:val="24"/>
        </w:rPr>
        <w:t xml:space="preserve">九</w:t>
      </w:r>
      <w:r>
        <w:rPr>
          <w:rFonts w:hint="eastAsia" w:cs="仿宋" w:asciiTheme="minorEastAsia" w:hAnsiTheme="minorEastAsia" w:eastAsiaTheme="minorEastAsia"/>
          <w:b/>
          <w:sz w:val="24"/>
          <w:szCs w:val="24"/>
        </w:rPr>
        <w:t xml:space="preserve">、</w:t>
      </w:r>
      <w:r>
        <w:rPr>
          <w:rFonts w:hint="eastAsia" w:cs="仿宋" w:asciiTheme="minorEastAsia" w:hAnsiTheme="minorEastAsia" w:eastAsiaTheme="minorEastAsia"/>
          <w:b/>
          <w:sz w:val="24"/>
          <w:szCs w:val="24"/>
        </w:rPr>
        <w:t xml:space="preserve">服务</w:t>
      </w:r>
      <w:r>
        <w:rPr>
          <w:rFonts w:hint="eastAsia" w:cs="仿宋" w:asciiTheme="minorEastAsia" w:hAnsiTheme="minorEastAsia" w:eastAsiaTheme="minorEastAsia"/>
          <w:b/>
          <w:sz w:val="24"/>
          <w:szCs w:val="24"/>
        </w:rPr>
        <w:t xml:space="preserve">人员一览表</w:t>
      </w:r>
      <w:r/>
    </w:p>
    <w:p>
      <w:pPr>
        <w:jc w:val="center"/>
        <w:rPr>
          <w:rFonts w:ascii="宋体" w:hAnsi="宋体" w:cs="宋体"/>
          <w:b/>
          <w:sz w:val="24"/>
          <w:szCs w:val="24"/>
        </w:rPr>
      </w:pPr>
      <w:r>
        <w:rPr>
          <w:rFonts w:hint="eastAsia" w:cs="仿宋" w:asciiTheme="minorEastAsia" w:hAnsiTheme="minorEastAsia" w:eastAsiaTheme="minorEastAsia"/>
          <w:b/>
          <w:sz w:val="24"/>
          <w:szCs w:val="24"/>
        </w:rPr>
        <w:t xml:space="preserve">服务</w:t>
      </w:r>
      <w:r>
        <w:rPr>
          <w:rFonts w:hint="eastAsia" w:cs="仿宋" w:asciiTheme="minorEastAsia" w:hAnsiTheme="minorEastAsia" w:eastAsiaTheme="minorEastAsia"/>
          <w:b/>
          <w:sz w:val="24"/>
          <w:szCs w:val="24"/>
        </w:rPr>
        <w:t xml:space="preserve">人员一览表</w:t>
      </w:r>
      <w:r/>
    </w:p>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项目名称：                                            项目编号：</w:t>
      </w:r>
      <w:r/>
    </w:p>
    <w:tbl>
      <w:tblPr>
        <w:tblW w:w="95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1"/>
        <w:gridCol w:w="912"/>
        <w:gridCol w:w="911"/>
        <w:gridCol w:w="912"/>
        <w:gridCol w:w="911"/>
        <w:gridCol w:w="912"/>
        <w:gridCol w:w="911"/>
        <w:gridCol w:w="912"/>
        <w:gridCol w:w="1439"/>
        <w:gridCol w:w="790"/>
      </w:tblGrid>
      <w:tr>
        <w:trPr>
          <w:jc w:val="center"/>
          <w:trHeight w:val="1166"/>
        </w:trPr>
        <w:tc>
          <w:tcPr>
            <w:tcBorders>
              <w:top w:val="single" w:color="000000" w:sz="4" w:space="0"/>
              <w:left w:val="single" w:color="000000" w:sz="4" w:space="0"/>
              <w:bottom w:val="single" w:color="000000" w:sz="4" w:space="0"/>
              <w:right w:val="single" w:color="000000" w:sz="4" w:space="0"/>
            </w:tcBorders>
            <w:tcW w:w="911"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序号</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姓名</w:t>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性别</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年龄</w:t>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专业</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学历</w:t>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相关证书</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技术职称</w:t>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jc w:val="center"/>
              <w:rPr>
                <w:rFonts w:ascii="宋体" w:hAnsi="宋体" w:cs="宋体"/>
                <w:sz w:val="24"/>
                <w:szCs w:val="24"/>
                <w:lang w:val="zh-CN"/>
              </w:rPr>
            </w:pPr>
            <w:r>
              <w:rPr>
                <w:rFonts w:ascii="宋体" w:hAnsi="宋体" w:cs="宋体"/>
                <w:sz w:val="24"/>
                <w:szCs w:val="24"/>
                <w:lang w:val="zh-CN"/>
              </w:rPr>
              <w:t xml:space="preserve">拟任职务</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tcPr>
          <w:p>
            <w:pPr>
              <w:jc w:val="center"/>
              <w:rPr>
                <w:rFonts w:ascii="宋体" w:hAnsi="宋体" w:cs="宋体"/>
                <w:sz w:val="24"/>
                <w:szCs w:val="24"/>
                <w:lang w:val="zh-CN"/>
              </w:rPr>
            </w:pPr>
            <w:r>
              <w:rPr>
                <w:rFonts w:ascii="宋体" w:hAnsi="宋体" w:cs="宋体"/>
                <w:sz w:val="24"/>
                <w:szCs w:val="24"/>
                <w:lang w:val="zh-CN"/>
              </w:rPr>
              <w:t xml:space="preserve">备注</w:t>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39" w:type="dxa"/>
            <w:textDirection w:val="lrTb"/>
            <w:noWrap/>
          </w:tcPr>
          <w:p>
            <w:pPr>
              <w:rPr>
                <w:rFonts w:ascii="宋体" w:hAnsi="宋体" w:cs="宋体"/>
                <w:sz w:val="24"/>
                <w:szCs w:val="24"/>
                <w:lang w:val="zh-CN"/>
              </w:rPr>
            </w:pPr>
            <w:r>
              <w:rPr>
                <w:rFonts w:ascii="宋体" w:hAnsi="宋体" w:cs="宋体"/>
                <w:sz w:val="24"/>
                <w:szCs w:val="24"/>
                <w:lang w:val="zh-CN"/>
              </w:rPr>
              <w:t xml:space="preserve">项目负责人</w:t>
            </w:r>
            <w:r/>
          </w:p>
        </w:tc>
        <w:tc>
          <w:tcPr>
            <w:tcBorders>
              <w:top w:val="single" w:color="000000" w:sz="4" w:space="0"/>
              <w:left w:val="single" w:color="000000" w:sz="4" w:space="0"/>
              <w:bottom w:val="single" w:color="000000" w:sz="4" w:space="0"/>
              <w:right w:val="single" w:color="000000" w:sz="4" w:space="0"/>
            </w:tcBorders>
            <w:tcW w:w="790" w:type="dxa"/>
            <w:textDirection w:val="lrTb"/>
            <w:noWrap/>
          </w:tcPr>
          <w:p>
            <w:pPr>
              <w:rPr>
                <w:rFonts w:ascii="宋体" w:hAnsi="宋体" w:cs="宋体"/>
                <w:sz w:val="24"/>
                <w:szCs w:val="24"/>
                <w:lang w:val="zh-CN"/>
              </w:rPr>
            </w:pPr>
            <w:r>
              <w:rPr>
                <w:rFonts w:ascii="宋体" w:hAnsi="宋体" w:cs="宋体"/>
                <w:sz w:val="24"/>
                <w:szCs w:val="24"/>
                <w:lang w:val="zh-CN"/>
              </w:rPr>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39" w:type="dxa"/>
            <w:textDirection w:val="lrTb"/>
            <w:noWrap/>
          </w:tcPr>
          <w:p>
            <w:pPr>
              <w:rPr>
                <w:rFonts w:ascii="宋体" w:hAnsi="宋体" w:cs="宋体"/>
                <w:sz w:val="24"/>
                <w:szCs w:val="24"/>
                <w:lang w:val="zh-CN"/>
              </w:rPr>
            </w:pPr>
            <w:r>
              <w:rPr>
                <w:rFonts w:ascii="宋体" w:hAnsi="宋体" w:cs="宋体"/>
                <w:sz w:val="24"/>
                <w:szCs w:val="24"/>
                <w:lang w:val="zh-CN"/>
              </w:rPr>
              <w:t xml:space="preserve">运维人员</w:t>
            </w:r>
            <w:r/>
          </w:p>
        </w:tc>
        <w:tc>
          <w:tcPr>
            <w:tcBorders>
              <w:top w:val="single" w:color="000000" w:sz="4" w:space="0"/>
              <w:left w:val="single" w:color="000000" w:sz="4" w:space="0"/>
              <w:bottom w:val="single" w:color="000000" w:sz="4" w:space="0"/>
              <w:right w:val="single" w:color="000000" w:sz="4" w:space="0"/>
            </w:tcBorders>
            <w:tcW w:w="790" w:type="dxa"/>
            <w:textDirection w:val="lrTb"/>
            <w:noWrap/>
          </w:tcPr>
          <w:p>
            <w:pPr>
              <w:rPr>
                <w:rFonts w:ascii="宋体" w:hAnsi="宋体" w:cs="宋体"/>
                <w:sz w:val="24"/>
                <w:szCs w:val="24"/>
                <w:lang w:val="zh-CN"/>
              </w:rPr>
            </w:pPr>
            <w:r>
              <w:rPr>
                <w:rFonts w:ascii="宋体" w:hAnsi="宋体" w:cs="宋体"/>
                <w:sz w:val="24"/>
                <w:szCs w:val="24"/>
                <w:lang w:val="zh-CN"/>
              </w:rPr>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39"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90" w:type="dxa"/>
            <w:textDirection w:val="lrTb"/>
            <w:noWrap/>
          </w:tcPr>
          <w:p>
            <w:pPr>
              <w:rPr>
                <w:rFonts w:ascii="宋体" w:hAnsi="宋体" w:cs="宋体"/>
                <w:sz w:val="24"/>
                <w:szCs w:val="24"/>
                <w:lang w:val="zh-CN"/>
              </w:rPr>
            </w:pPr>
            <w:r>
              <w:rPr>
                <w:rFonts w:ascii="宋体" w:hAnsi="宋体" w:cs="宋体"/>
                <w:sz w:val="24"/>
                <w:szCs w:val="24"/>
                <w:lang w:val="zh-CN"/>
              </w:rPr>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39" w:type="dxa"/>
            <w:textDirection w:val="lrTb"/>
            <w:noWrap/>
          </w:tcPr>
          <w:p>
            <w:pPr>
              <w:rPr>
                <w:rFonts w:ascii="宋体" w:hAnsi="宋体" w:cs="宋体"/>
                <w:sz w:val="24"/>
                <w:szCs w:val="24"/>
                <w:lang w:val="zh-CN"/>
              </w:rPr>
            </w:pPr>
            <w:r>
              <w:rPr>
                <w:rFonts w:ascii="宋体" w:hAnsi="宋体" w:cs="宋体"/>
                <w:sz w:val="24"/>
                <w:szCs w:val="24"/>
                <w:lang w:val="zh-CN"/>
              </w:rPr>
              <w:t xml:space="preserve">驻场人员</w:t>
            </w:r>
            <w:r/>
          </w:p>
        </w:tc>
        <w:tc>
          <w:tcPr>
            <w:tcBorders>
              <w:top w:val="single" w:color="000000" w:sz="4" w:space="0"/>
              <w:left w:val="single" w:color="000000" w:sz="4" w:space="0"/>
              <w:bottom w:val="single" w:color="000000" w:sz="4" w:space="0"/>
              <w:right w:val="single" w:color="000000" w:sz="4" w:space="0"/>
            </w:tcBorders>
            <w:tcW w:w="790" w:type="dxa"/>
            <w:textDirection w:val="lrTb"/>
            <w:noWrap/>
          </w:tcPr>
          <w:p>
            <w:pPr>
              <w:rPr>
                <w:rFonts w:ascii="宋体" w:hAnsi="宋体" w:cs="宋体"/>
                <w:sz w:val="24"/>
                <w:szCs w:val="24"/>
                <w:lang w:val="zh-CN"/>
              </w:rPr>
            </w:pPr>
            <w:r>
              <w:rPr>
                <w:rFonts w:ascii="宋体" w:hAnsi="宋体" w:cs="宋体"/>
                <w:sz w:val="24"/>
                <w:szCs w:val="24"/>
                <w:lang w:val="zh-CN"/>
              </w:rPr>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39"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790" w:type="dxa"/>
            <w:textDirection w:val="lrTb"/>
            <w:noWrap/>
          </w:tcPr>
          <w:p>
            <w:pPr>
              <w:rPr>
                <w:rFonts w:ascii="宋体" w:hAnsi="宋体" w:cs="宋体"/>
                <w:sz w:val="24"/>
                <w:szCs w:val="24"/>
                <w:lang w:val="zh-CN"/>
              </w:rPr>
            </w:pPr>
            <w:r>
              <w:rPr>
                <w:rFonts w:ascii="宋体" w:hAnsi="宋体" w:cs="宋体"/>
                <w:sz w:val="24"/>
                <w:szCs w:val="24"/>
                <w:lang w:val="zh-CN"/>
              </w:rPr>
            </w:r>
            <w:r/>
          </w:p>
        </w:tc>
      </w:tr>
    </w:tbl>
    <w:p>
      <w:pPr>
        <w:ind w:right="-110"/>
        <w:spacing w:line="240" w:lineRule="atLeast"/>
        <w:rPr>
          <w:rFonts w:cs="仿宋" w:asciiTheme="minorEastAsia" w:hAnsiTheme="minorEastAsia" w:eastAsiaTheme="minorEastAsia"/>
          <w:b/>
          <w:sz w:val="24"/>
          <w:szCs w:val="24"/>
        </w:rPr>
      </w:pPr>
      <w:r>
        <w:rPr>
          <w:rFonts w:hint="eastAsia" w:ascii="宋体" w:hAnsi="宋体" w:cs="宋体"/>
          <w:sz w:val="24"/>
          <w:szCs w:val="24"/>
        </w:rPr>
        <w:t xml:space="preserve">供应商名称：</w:t>
      </w:r>
      <w:r>
        <w:rPr>
          <w:rFonts w:hint="eastAsia" w:ascii="宋体" w:hAnsi="宋体" w:cs="宋体"/>
          <w:sz w:val="24"/>
          <w:szCs w:val="24"/>
          <w:u w:val="single"/>
        </w:rPr>
        <w:t xml:space="preserve">           </w:t>
      </w:r>
      <w:r>
        <w:rPr>
          <w:rFonts w:hint="eastAsia" w:ascii="宋体" w:hAnsi="宋体" w:cs="宋体"/>
          <w:sz w:val="24"/>
          <w:szCs w:val="24"/>
        </w:rPr>
        <w:t xml:space="preserve">（盖章）</w:t>
      </w:r>
      <w:r/>
    </w:p>
    <w:p>
      <w:pPr>
        <w:rPr>
          <w:rFonts w:ascii="宋体" w:hAnsi="宋体" w:cs="宋体"/>
          <w:sz w:val="24"/>
          <w:szCs w:val="24"/>
        </w:rPr>
      </w:pPr>
      <w:r>
        <w:rPr>
          <w:rFonts w:hint="eastAsia" w:ascii="宋体" w:hAnsi="宋体" w:cs="宋体"/>
          <w:sz w:val="24"/>
          <w:szCs w:val="24"/>
        </w:rPr>
        <w:t xml:space="preserve">说明：</w:t>
      </w:r>
      <w:r/>
    </w:p>
    <w:p>
      <w:p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1、如果行数不够，请自行增加。</w:t>
      </w:r>
      <w:r/>
    </w:p>
    <w:p>
      <w:p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后附相关证明材料扫描件加盖公章。</w:t>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pStyle w:val="1108"/>
      </w:p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r/>
    </w:p>
    <w:p>
      <w:pPr>
        <w:ind w:right="-110"/>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w:t>
      </w:r>
      <w:r>
        <w:rPr>
          <w:rFonts w:hint="eastAsia" w:cs="仿宋" w:asciiTheme="minorEastAsia" w:hAnsiTheme="minorEastAsia" w:eastAsiaTheme="minorEastAsia"/>
          <w:b/>
          <w:sz w:val="24"/>
          <w:szCs w:val="24"/>
        </w:rPr>
        <w:t xml:space="preserve">十</w:t>
      </w:r>
      <w:r>
        <w:rPr>
          <w:rFonts w:hint="eastAsia" w:cs="仿宋" w:asciiTheme="minorEastAsia" w:hAnsiTheme="minorEastAsia" w:eastAsiaTheme="minorEastAsia"/>
          <w:b/>
          <w:sz w:val="24"/>
          <w:szCs w:val="24"/>
        </w:rPr>
        <w:t xml:space="preserve">、类似业绩一览表</w:t>
      </w:r>
      <w:r/>
    </w:p>
    <w:p>
      <w:pPr>
        <w:jc w:val="center"/>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类似业绩一览表</w:t>
      </w:r>
      <w:r/>
    </w:p>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项目名称：                                            项目编号：</w:t>
      </w:r>
      <w:r/>
    </w:p>
    <w:tbl>
      <w:tblPr>
        <w:tblW w:w="9356"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1701"/>
        <w:gridCol w:w="1701"/>
        <w:gridCol w:w="1701"/>
        <w:gridCol w:w="1701"/>
        <w:gridCol w:w="1701"/>
      </w:tblGrid>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序号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项目名称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业主单位</w:t>
            </w:r>
            <w:r/>
          </w:p>
        </w:tc>
        <w:tc>
          <w:tcPr>
            <w:tcBorders>
              <w:top w:val="single" w:color="000000" w:sz="4" w:space="0"/>
              <w:left w:val="single" w:color="000000" w:sz="4" w:space="0"/>
              <w:bottom w:val="single" w:color="000000" w:sz="4" w:space="0"/>
              <w:right w:val="single" w:color="auto" w:sz="4" w:space="0"/>
            </w:tcBorders>
            <w:tcW w:w="170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主要工作内容</w:t>
            </w:r>
            <w:r/>
          </w:p>
        </w:tc>
        <w:tc>
          <w:tcPr>
            <w:tcBorders>
              <w:top w:val="single" w:color="000000" w:sz="4" w:space="0"/>
              <w:left w:val="single" w:color="auto"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bCs/>
                <w:sz w:val="24"/>
              </w:rPr>
            </w:pPr>
            <w:r>
              <w:rPr>
                <w:rFonts w:ascii="宋体" w:hAnsi="宋体" w:cs="宋体"/>
                <w:bCs/>
                <w:sz w:val="24"/>
              </w:rPr>
              <w:t xml:space="preserve">合同签订时间</w:t>
            </w:r>
            <w:r/>
          </w:p>
        </w:tc>
        <w:tc>
          <w:tcPr>
            <w:tcBorders>
              <w:top w:val="single" w:color="000000" w:sz="4" w:space="0"/>
              <w:left w:val="single" w:color="auto"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备注</w:t>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1</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auto"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2</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auto"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3</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auto"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ascii="宋体" w:hAnsi="宋体" w:cs="宋体"/>
                <w:bCs/>
                <w:sz w:val="24"/>
              </w:rPr>
              <w:t xml:space="preserve">…</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auto"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701" w:type="dxa"/>
            <w:textDirection w:val="lrTb"/>
            <w:noWrap w:val="false"/>
          </w:tcPr>
          <w:p>
            <w:pPr>
              <w:spacing w:line="360" w:lineRule="auto"/>
              <w:widowControl/>
              <w:rPr>
                <w:rFonts w:ascii="宋体" w:hAnsi="宋体" w:cs="宋体"/>
                <w:bCs/>
                <w:sz w:val="24"/>
              </w:rPr>
            </w:pPr>
            <w:r>
              <w:rPr>
                <w:rFonts w:ascii="宋体" w:hAnsi="宋体" w:cs="宋体"/>
                <w:bCs/>
                <w:sz w:val="24"/>
              </w:rPr>
            </w:r>
            <w:r/>
          </w:p>
        </w:tc>
      </w:tr>
    </w:tbl>
    <w:p>
      <w:pPr>
        <w:ind w:right="-110"/>
        <w:spacing w:line="240" w:lineRule="atLeast"/>
        <w:rPr>
          <w:rFonts w:cs="仿宋" w:asciiTheme="minorEastAsia" w:hAnsiTheme="minorEastAsia" w:eastAsiaTheme="minorEastAsia"/>
          <w:b/>
          <w:sz w:val="24"/>
          <w:szCs w:val="24"/>
        </w:rPr>
      </w:pPr>
      <w:r>
        <w:rPr>
          <w:rFonts w:hint="eastAsia" w:ascii="宋体" w:hAnsi="宋体" w:cs="宋体"/>
          <w:sz w:val="24"/>
          <w:szCs w:val="24"/>
        </w:rPr>
        <w:t xml:space="preserve">供应商名称：</w:t>
      </w:r>
      <w:r>
        <w:rPr>
          <w:rFonts w:hint="eastAsia" w:ascii="宋体" w:hAnsi="宋体" w:cs="宋体"/>
          <w:sz w:val="24"/>
          <w:szCs w:val="24"/>
          <w:u w:val="single"/>
        </w:rPr>
        <w:t xml:space="preserve">           </w:t>
      </w:r>
      <w:r>
        <w:rPr>
          <w:rFonts w:hint="eastAsia" w:ascii="宋体" w:hAnsi="宋体" w:cs="宋体"/>
          <w:sz w:val="24"/>
          <w:szCs w:val="24"/>
        </w:rPr>
        <w:t xml:space="preserve">（盖章）</w:t>
      </w:r>
      <w:r/>
    </w:p>
    <w:p>
      <w:pPr>
        <w:rPr>
          <w:rFonts w:ascii="宋体" w:hAnsi="宋体" w:cs="宋体"/>
          <w:sz w:val="24"/>
          <w:szCs w:val="24"/>
        </w:rPr>
      </w:pPr>
      <w:r>
        <w:rPr>
          <w:rFonts w:hint="eastAsia" w:ascii="宋体" w:hAnsi="宋体" w:cs="宋体"/>
          <w:sz w:val="24"/>
          <w:szCs w:val="24"/>
        </w:rPr>
        <w:t xml:space="preserve">说明：</w:t>
      </w:r>
      <w:r/>
    </w:p>
    <w:p>
      <w:p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1、如果行数不够，请自行增加。</w:t>
      </w:r>
      <w:r/>
    </w:p>
    <w:p>
      <w:pPr>
        <w:ind w:right="-110"/>
        <w:spacing w:line="240" w:lineRule="atLeast"/>
        <w:rPr>
          <w:rFonts w:cs="仿宋" w:asciiTheme="minorEastAsia" w:hAnsiTheme="minorEastAsia" w:eastAsiaTheme="minorEastAsia"/>
          <w:b/>
          <w:sz w:val="24"/>
          <w:szCs w:val="24"/>
        </w:rPr>
      </w:pPr>
      <w:r>
        <w:rPr>
          <w:rFonts w:hint="eastAsia" w:ascii="宋体" w:hAnsi="宋体" w:cs="宋体"/>
          <w:sz w:val="24"/>
          <w:szCs w:val="24"/>
        </w:rPr>
        <w:t xml:space="preserve">2、后附相关证明材料扫描件加盖公章。</w:t>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w:t>
      </w:r>
      <w:r>
        <w:rPr>
          <w:rFonts w:hint="eastAsia" w:cs="仿宋" w:asciiTheme="minorEastAsia" w:hAnsiTheme="minorEastAsia" w:eastAsiaTheme="minorEastAsia"/>
          <w:b/>
          <w:sz w:val="24"/>
          <w:szCs w:val="24"/>
        </w:rPr>
        <w:t xml:space="preserve">十</w:t>
      </w:r>
      <w:r>
        <w:rPr>
          <w:rFonts w:hint="eastAsia" w:cs="仿宋" w:asciiTheme="minorEastAsia" w:hAnsiTheme="minorEastAsia" w:eastAsiaTheme="minorEastAsia"/>
          <w:b/>
          <w:sz w:val="24"/>
          <w:szCs w:val="24"/>
        </w:rPr>
        <w:t xml:space="preserve">一</w:t>
      </w:r>
      <w:r>
        <w:rPr>
          <w:rFonts w:hint="eastAsia" w:cs="仿宋" w:asciiTheme="minorEastAsia" w:hAnsiTheme="minorEastAsia" w:eastAsiaTheme="minorEastAsia"/>
          <w:b/>
          <w:sz w:val="24"/>
          <w:szCs w:val="24"/>
        </w:rPr>
        <w:t xml:space="preserve">、</w:t>
      </w:r>
      <w:r>
        <w:rPr>
          <w:rFonts w:hint="eastAsia" w:cs="仿宋" w:asciiTheme="minorEastAsia" w:hAnsiTheme="minorEastAsia" w:eastAsiaTheme="minorEastAsia"/>
          <w:b/>
          <w:sz w:val="24"/>
          <w:szCs w:val="24"/>
        </w:rPr>
        <w:t xml:space="preserve">项目技术方案（格式自拟）</w:t>
      </w:r>
      <w:r/>
    </w:p>
    <w:p>
      <w:pPr>
        <w:ind w:right="-110" w:firstLine="48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pStyle w:val="1204"/>
        <w:ind w:right="-110" w:firstLine="480"/>
        <w:rPr>
          <w:rFonts w:asciiTheme="minorEastAsia" w:hAnsiTheme="minorEastAsia" w:eastAsiaTheme="minorEastAsia"/>
        </w:rPr>
      </w:pPr>
      <w:r>
        <w:rPr>
          <w:rFonts w:asciiTheme="minorEastAsia" w:hAnsiTheme="minorEastAsia" w:eastAsiaTheme="minorEastAsia"/>
        </w:rPr>
      </w:r>
      <w:r/>
    </w:p>
    <w:p>
      <w:pPr>
        <w:ind w:right="-110" w:firstLine="48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目录十</w:t>
      </w:r>
      <w:r>
        <w:rPr>
          <w:rFonts w:hint="eastAsia" w:cs="仿宋" w:asciiTheme="minorEastAsia" w:hAnsiTheme="minorEastAsia" w:eastAsiaTheme="minorEastAsia"/>
          <w:b/>
          <w:sz w:val="24"/>
          <w:szCs w:val="24"/>
        </w:rPr>
        <w:t xml:space="preserve">二</w:t>
      </w:r>
      <w:r>
        <w:rPr>
          <w:rFonts w:hint="eastAsia" w:cs="仿宋" w:asciiTheme="minorEastAsia" w:hAnsiTheme="minorEastAsia" w:eastAsiaTheme="minorEastAsia"/>
          <w:b/>
          <w:sz w:val="24"/>
          <w:szCs w:val="24"/>
        </w:rPr>
        <w:t xml:space="preserve">、投标需要的其他证明文件、列表及材料</w:t>
      </w:r>
      <w:r>
        <w:rPr>
          <w:rFonts w:hint="eastAsia" w:cs="仿宋" w:asciiTheme="minorEastAsia" w:hAnsiTheme="minorEastAsia" w:eastAsiaTheme="minorEastAsia"/>
          <w:b/>
          <w:sz w:val="24"/>
          <w:szCs w:val="24"/>
          <w:lang w:val="zh-CN"/>
        </w:rPr>
        <w:t xml:space="preserve">（格式自拟）</w:t>
      </w:r>
      <w:r/>
    </w:p>
    <w:p>
      <w:pPr>
        <w:ind w:right="-110" w:firstLine="48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2"/>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r/>
    </w:p>
    <w:p>
      <w:pPr>
        <w:ind w:right="-110"/>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附件一、中小企业声明函格式（或残疾人福利性单位声明函）</w:t>
      </w:r>
      <w:r/>
    </w:p>
    <w:p>
      <w:pPr>
        <w:pStyle w:val="1109"/>
        <w:ind w:right="-110" w:firstLine="482"/>
        <w:jc w:val="cente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中小企业声明函</w:t>
      </w:r>
      <w:r/>
    </w:p>
    <w:p>
      <w:pPr>
        <w:pStyle w:val="1109"/>
        <w:ind w:right="-110"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本公司（联合体）郑重声明，根据《政府采购促进中小企业发展管理办法》（财库﹝2020﹞46号）的规定，本公司（联合体）参加</w:t>
      </w:r>
      <w:r>
        <w:rPr>
          <w:rFonts w:hint="eastAsia" w:cs="仿宋" w:asciiTheme="minorEastAsia" w:hAnsiTheme="minorEastAsia" w:eastAsiaTheme="minorEastAsia"/>
          <w:sz w:val="24"/>
          <w:szCs w:val="24"/>
          <w:u w:val="single"/>
        </w:rPr>
        <w:t xml:space="preserve">（单位名称）</w:t>
      </w:r>
      <w:r>
        <w:rPr>
          <w:rFonts w:hint="eastAsia" w:cs="仿宋" w:asciiTheme="minorEastAsia" w:hAnsiTheme="minorEastAsia" w:eastAsiaTheme="minorEastAsia"/>
          <w:sz w:val="24"/>
          <w:szCs w:val="24"/>
        </w:rPr>
        <w:t xml:space="preserve">的</w:t>
      </w:r>
      <w:r>
        <w:rPr>
          <w:rFonts w:hint="eastAsia" w:cs="仿宋" w:asciiTheme="minorEastAsia" w:hAnsiTheme="minorEastAsia" w:eastAsiaTheme="minorEastAsia"/>
          <w:sz w:val="24"/>
          <w:szCs w:val="24"/>
          <w:u w:val="single"/>
        </w:rPr>
        <w:t xml:space="preserve">（项目名称）</w:t>
      </w:r>
      <w:r>
        <w:rPr>
          <w:rFonts w:hint="eastAsia" w:cs="仿宋" w:asciiTheme="minorEastAsia" w:hAnsiTheme="minorEastAsia" w:eastAsiaTheme="minorEastAsia"/>
          <w:sz w:val="24"/>
          <w:szCs w:val="24"/>
        </w:rPr>
        <w:t xml:space="preserve">采购活动，服务全部由符合政策要求的中小企业承接。相关企业（含联合体中的中小企业、签订分包意向协议的中小企业）的具体情况如下：</w:t>
      </w:r>
      <w:r/>
    </w:p>
    <w:p>
      <w:pPr>
        <w:pStyle w:val="1109"/>
        <w:ind w:right="-110"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 </w:t>
      </w:r>
      <w:r>
        <w:rPr>
          <w:rFonts w:hint="eastAsia" w:cs="仿宋" w:asciiTheme="minorEastAsia" w:hAnsiTheme="minorEastAsia" w:eastAsiaTheme="minorEastAsia"/>
          <w:sz w:val="24"/>
          <w:szCs w:val="24"/>
          <w:u w:val="single"/>
        </w:rPr>
        <w:t xml:space="preserve">（标的名称）</w:t>
      </w:r>
      <w:r>
        <w:rPr>
          <w:rFonts w:hint="eastAsia" w:cs="仿宋" w:asciiTheme="minorEastAsia" w:hAnsiTheme="minorEastAsia" w:eastAsiaTheme="minorEastAsia"/>
          <w:sz w:val="24"/>
          <w:szCs w:val="24"/>
        </w:rPr>
        <w:t xml:space="preserve">，属于</w:t>
      </w:r>
      <w:r>
        <w:rPr>
          <w:rFonts w:hint="eastAsia" w:cs="仿宋" w:asciiTheme="minorEastAsia" w:hAnsiTheme="minorEastAsia" w:eastAsiaTheme="minorEastAsia"/>
          <w:sz w:val="24"/>
          <w:szCs w:val="24"/>
          <w:u w:val="single"/>
        </w:rPr>
        <w:t xml:space="preserve">（采购文件中明确的所属行业）</w:t>
      </w:r>
      <w:r>
        <w:rPr>
          <w:rFonts w:hint="eastAsia" w:cs="仿宋" w:asciiTheme="minorEastAsia" w:hAnsiTheme="minorEastAsia" w:eastAsiaTheme="minorEastAsia"/>
          <w:sz w:val="24"/>
          <w:szCs w:val="24"/>
        </w:rPr>
        <w:t xml:space="preserve">；承接企业为</w:t>
      </w:r>
      <w:r>
        <w:rPr>
          <w:rFonts w:hint="eastAsia" w:cs="仿宋" w:asciiTheme="minorEastAsia" w:hAnsiTheme="minorEastAsia" w:eastAsiaTheme="minorEastAsia"/>
          <w:sz w:val="24"/>
          <w:szCs w:val="24"/>
          <w:u w:val="single"/>
        </w:rPr>
        <w:t xml:space="preserve">（企业名称）</w:t>
      </w:r>
      <w:r>
        <w:rPr>
          <w:rFonts w:hint="eastAsia" w:cs="仿宋" w:asciiTheme="minorEastAsia" w:hAnsiTheme="minorEastAsia" w:eastAsiaTheme="minorEastAsia"/>
          <w:sz w:val="24"/>
          <w:szCs w:val="24"/>
        </w:rPr>
        <w:t xml:space="preserve">，从业人员</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人，营业收入为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万元，资产总额为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万元，属于</w:t>
      </w:r>
      <w:r>
        <w:rPr>
          <w:rFonts w:hint="eastAsia" w:cs="仿宋" w:asciiTheme="minorEastAsia" w:hAnsiTheme="minorEastAsia" w:eastAsiaTheme="minorEastAsia"/>
          <w:sz w:val="24"/>
          <w:szCs w:val="24"/>
          <w:u w:val="single"/>
        </w:rPr>
        <w:t xml:space="preserve">       （选填：中型企业、小型企业、微型企业）</w:t>
      </w:r>
      <w:r>
        <w:rPr>
          <w:rFonts w:hint="eastAsia" w:cs="仿宋" w:asciiTheme="minorEastAsia" w:hAnsiTheme="minorEastAsia" w:eastAsiaTheme="minorEastAsia"/>
          <w:sz w:val="24"/>
          <w:szCs w:val="24"/>
        </w:rPr>
        <w:t xml:space="preserve">； </w:t>
      </w:r>
      <w:r/>
    </w:p>
    <w:p>
      <w:pPr>
        <w:pStyle w:val="1109"/>
        <w:ind w:right="-110"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 </w:t>
      </w:r>
      <w:r>
        <w:rPr>
          <w:rFonts w:hint="eastAsia" w:cs="仿宋" w:asciiTheme="minorEastAsia" w:hAnsiTheme="minorEastAsia" w:eastAsiaTheme="minorEastAsia"/>
          <w:sz w:val="24"/>
          <w:szCs w:val="24"/>
          <w:u w:val="single"/>
        </w:rPr>
        <w:t xml:space="preserve">（标的名称）</w:t>
      </w:r>
      <w:r>
        <w:rPr>
          <w:rFonts w:hint="eastAsia" w:cs="仿宋" w:asciiTheme="minorEastAsia" w:hAnsiTheme="minorEastAsia" w:eastAsiaTheme="minorEastAsia"/>
          <w:sz w:val="24"/>
          <w:szCs w:val="24"/>
        </w:rPr>
        <w:t xml:space="preserve">，属于</w:t>
      </w:r>
      <w:r>
        <w:rPr>
          <w:rFonts w:hint="eastAsia" w:cs="仿宋" w:asciiTheme="minorEastAsia" w:hAnsiTheme="minorEastAsia" w:eastAsiaTheme="minorEastAsia"/>
          <w:sz w:val="24"/>
          <w:szCs w:val="24"/>
          <w:u w:val="single"/>
        </w:rPr>
        <w:t xml:space="preserve">（采购文件中明确的所属行业）；</w:t>
      </w:r>
      <w:r>
        <w:rPr>
          <w:rFonts w:hint="eastAsia" w:cs="仿宋" w:asciiTheme="minorEastAsia" w:hAnsiTheme="minorEastAsia" w:eastAsiaTheme="minorEastAsia"/>
          <w:sz w:val="24"/>
          <w:szCs w:val="24"/>
        </w:rPr>
        <w:t xml:space="preserve">承接企业为（</w:t>
      </w:r>
      <w:r>
        <w:rPr>
          <w:rFonts w:hint="eastAsia" w:cs="仿宋" w:asciiTheme="minorEastAsia" w:hAnsiTheme="minorEastAsia" w:eastAsiaTheme="minorEastAsia"/>
          <w:sz w:val="24"/>
          <w:szCs w:val="24"/>
          <w:u w:val="single"/>
        </w:rPr>
        <w:t xml:space="preserve">企业名称）</w:t>
      </w:r>
      <w:r>
        <w:rPr>
          <w:rFonts w:hint="eastAsia" w:cs="仿宋" w:asciiTheme="minorEastAsia" w:hAnsiTheme="minorEastAsia" w:eastAsiaTheme="minorEastAsia"/>
          <w:sz w:val="24"/>
          <w:szCs w:val="24"/>
        </w:rPr>
        <w:t xml:space="preserve">，从业人员</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人，营业收入为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万元，资产总额为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万元，属于</w:t>
      </w:r>
      <w:r>
        <w:rPr>
          <w:rFonts w:hint="eastAsia" w:cs="仿宋" w:asciiTheme="minorEastAsia" w:hAnsiTheme="minorEastAsia" w:eastAsiaTheme="minorEastAsia"/>
          <w:sz w:val="24"/>
          <w:szCs w:val="24"/>
          <w:u w:val="single"/>
        </w:rPr>
        <w:t xml:space="preserve">      （选填：中型企业、小型企业、微型企业）</w:t>
      </w:r>
      <w:r>
        <w:rPr>
          <w:rFonts w:hint="eastAsia" w:cs="仿宋" w:asciiTheme="minorEastAsia" w:hAnsiTheme="minorEastAsia" w:eastAsiaTheme="minorEastAsia"/>
          <w:sz w:val="24"/>
          <w:szCs w:val="24"/>
        </w:rPr>
        <w:t xml:space="preserve">； </w:t>
      </w:r>
      <w:r/>
    </w:p>
    <w:p>
      <w:pPr>
        <w:pStyle w:val="1109"/>
        <w:ind w:right="-110" w:firstLine="9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w:t>
      </w:r>
      <w:r/>
    </w:p>
    <w:p>
      <w:pPr>
        <w:pStyle w:val="1109"/>
        <w:ind w:right="-110"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以上企业，不属于大企业的分支机构，不存在控股股东为大企业的情形，也不存在与大企业的负责人为同一人的情形。</w:t>
      </w:r>
      <w:r/>
    </w:p>
    <w:p>
      <w:pPr>
        <w:pStyle w:val="1109"/>
        <w:ind w:right="-110"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本企业对上述声明内容的真实性负责。如有虚假，将依法承担相应责任。 </w:t>
      </w:r>
      <w:r/>
    </w:p>
    <w:p>
      <w:pPr>
        <w:pStyle w:val="1109"/>
        <w:ind w:right="-110" w:firstLine="960"/>
        <w:jc w:val="righ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企业名称（盖章）： </w:t>
      </w:r>
      <w:r/>
    </w:p>
    <w:p>
      <w:pPr>
        <w:pStyle w:val="1109"/>
        <w:ind w:right="-110" w:firstLine="960"/>
        <w:jc w:val="righ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 期： </w:t>
      </w:r>
      <w:r/>
    </w:p>
    <w:p>
      <w:pPr>
        <w:numPr>
          <w:ilvl w:val="0"/>
          <w:numId w:val="9"/>
        </w:numPr>
        <w:ind w:right="-110" w:firstLine="480"/>
        <w:jc w:val="lef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从业人员、营业收入、资产总额填报上一年度数据，无上一年度数据的新成立企业可不填报。</w:t>
      </w:r>
      <w:r/>
    </w:p>
    <w:p>
      <w:pPr>
        <w:numPr>
          <w:ilvl w:val="0"/>
          <w:numId w:val="9"/>
        </w:numPr>
        <w:ind w:right="-110" w:firstLine="482"/>
        <w:jc w:val="left"/>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本项目采购标的对应的中小企业划分标准所属行业为</w:t>
      </w:r>
      <w:r>
        <w:rPr>
          <w:rFonts w:hint="eastAsia" w:cs="仿宋" w:asciiTheme="minorEastAsia" w:hAnsiTheme="minorEastAsia" w:eastAsiaTheme="minorEastAsia"/>
          <w:b/>
          <w:bCs/>
          <w:sz w:val="24"/>
          <w:szCs w:val="24"/>
          <w:u w:val="single"/>
        </w:rPr>
        <w:t xml:space="preserve">其他未列明行业</w:t>
      </w:r>
      <w:r>
        <w:rPr>
          <w:rFonts w:hint="eastAsia" w:cs="仿宋" w:asciiTheme="minorEastAsia" w:hAnsiTheme="minorEastAsia" w:eastAsiaTheme="minorEastAsia"/>
          <w:b/>
          <w:bCs/>
          <w:sz w:val="24"/>
          <w:szCs w:val="24"/>
        </w:rPr>
        <w:t xml:space="preserve">。供应商填报此声明时请对照《关于印发中小企业划型标准规定的通知》（工信部联企业〔2011〕300号）。</w:t>
      </w:r>
      <w:r/>
    </w:p>
    <w:p>
      <w:pPr>
        <w:ind w:right="-110" w:firstLine="482"/>
        <w:jc w:val="center"/>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ind w:right="-110" w:firstLine="482"/>
        <w:jc w:val="center"/>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ind w:right="-110" w:firstLine="482"/>
        <w:jc w:val="lef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br w:type="page" w:clear="all"/>
      </w:r>
      <w:r/>
    </w:p>
    <w:p>
      <w:pPr>
        <w:ind w:right="-110" w:firstLine="482"/>
        <w:jc w:val="center"/>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ind w:right="-110" w:firstLine="482"/>
        <w:jc w:val="center"/>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残疾人福利性单位声明函 </w:t>
      </w:r>
      <w:r>
        <w:rPr>
          <w:rFonts w:hint="eastAsia" w:cs="仿宋" w:asciiTheme="minorEastAsia" w:hAnsiTheme="minorEastAsia" w:eastAsiaTheme="minorEastAsia"/>
          <w:sz w:val="24"/>
          <w:szCs w:val="24"/>
        </w:rPr>
        <w:t xml:space="preserve">（非必须提供）</w:t>
      </w:r>
      <w:r/>
    </w:p>
    <w:p>
      <w:pPr>
        <w:ind w:right="-110" w:firstLine="504"/>
        <w:spacing w:line="588" w:lineRule="exact"/>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本单位郑重声明，根据《财政部民政部中国残疾人联合会关于促进残疾人就业政府采购政策的通知》（财库</w:t>
      </w:r>
      <w:r>
        <w:rPr>
          <w:rFonts w:hint="eastAsia" w:cs="仿宋" w:asciiTheme="minorEastAsia" w:hAnsiTheme="minorEastAsia" w:eastAsiaTheme="minorEastAsia"/>
          <w:sz w:val="24"/>
          <w:szCs w:val="24"/>
        </w:rPr>
        <w:t xml:space="preserve">〔2017〕141</w:t>
      </w:r>
      <w:r>
        <w:rPr>
          <w:rFonts w:hint="eastAsia" w:cs="仿宋" w:asciiTheme="minorEastAsia" w:hAnsiTheme="minorEastAsia" w:eastAsiaTheme="minorEastAsia"/>
          <w:spacing w:val="6"/>
          <w:sz w:val="24"/>
          <w:szCs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right="-110" w:firstLine="504"/>
        <w:spacing w:line="588" w:lineRule="exact"/>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本单位对上述声明的真实性负责。如有虚假，将依法承担相应责任。</w:t>
      </w:r>
      <w:r/>
    </w:p>
    <w:p>
      <w:pPr>
        <w:ind w:right="-110" w:firstLine="504"/>
        <w:spacing w:line="588" w:lineRule="exact"/>
        <w:rPr>
          <w:rFonts w:cs="仿宋" w:asciiTheme="minorEastAsia" w:hAnsiTheme="minorEastAsia" w:eastAsiaTheme="minorEastAsia"/>
          <w:spacing w:val="6"/>
          <w:sz w:val="24"/>
          <w:szCs w:val="24"/>
        </w:rPr>
      </w:pPr>
      <w:r>
        <w:rPr>
          <w:rFonts w:cs="仿宋" w:asciiTheme="minorEastAsia" w:hAnsiTheme="minorEastAsia" w:eastAsiaTheme="minorEastAsia"/>
          <w:spacing w:val="6"/>
          <w:sz w:val="24"/>
          <w:szCs w:val="24"/>
        </w:rPr>
      </w:r>
      <w:r/>
    </w:p>
    <w:p>
      <w:pPr>
        <w:ind w:right="-110" w:firstLine="504"/>
        <w:jc w:val="center"/>
        <w:spacing w:line="588" w:lineRule="exact"/>
        <w:tabs>
          <w:tab w:val="left" w:pos="4860" w:leader="none"/>
        </w:tabs>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               单位名称（盖章）：</w:t>
      </w:r>
      <w:r/>
    </w:p>
    <w:p>
      <w:pPr>
        <w:ind w:right="-110" w:firstLine="504"/>
        <w:jc w:val="center"/>
        <w:spacing w:line="588" w:lineRule="exact"/>
        <w:tabs>
          <w:tab w:val="left" w:pos="4860" w:leader="none"/>
        </w:tabs>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       日  期：</w:t>
      </w:r>
      <w:r/>
    </w:p>
    <w:p>
      <w:pPr>
        <w:ind w:right="-110" w:firstLine="480"/>
        <w:spacing w:line="240" w:lineRule="atLeas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widowControl/>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附件二、无重大违法记录声明格式</w:t>
      </w:r>
      <w:r/>
    </w:p>
    <w:p>
      <w:pPr>
        <w:ind w:right="-110" w:firstLine="480"/>
        <w:spacing w:line="240" w:lineRule="atLeas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firstLine="482"/>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无重大违法记录声明</w:t>
      </w:r>
      <w:r/>
    </w:p>
    <w:p>
      <w:pPr>
        <w:ind w:right="-110" w:firstLine="482"/>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right="-110" w:firstLine="482"/>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南京市溧水生态环境局</w:t>
      </w:r>
      <w:r>
        <w:rPr>
          <w:rFonts w:hint="eastAsia" w:cs="仿宋" w:asciiTheme="minorEastAsia" w:hAnsiTheme="minorEastAsia" w:eastAsiaTheme="minorEastAsia"/>
          <w:sz w:val="24"/>
          <w:szCs w:val="24"/>
        </w:rPr>
        <w:t xml:space="preserve">：</w:t>
      </w:r>
      <w:r/>
    </w:p>
    <w:p>
      <w:pPr>
        <w:ind w:right="-110"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我单位</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u w:val="single"/>
        </w:rPr>
        <w:t xml:space="preserve">（供应商名称）</w:t>
      </w:r>
      <w:r>
        <w:rPr>
          <w:rFonts w:hint="eastAsia" w:cs="仿宋" w:asciiTheme="minorEastAsia" w:hAnsiTheme="minorEastAsia" w:eastAsiaTheme="minorEastAsia"/>
          <w:sz w:val="24"/>
          <w:szCs w:val="24"/>
        </w:rPr>
        <w:t xml:space="preserve">郑重声明：</w:t>
      </w:r>
      <w:r/>
    </w:p>
    <w:p>
      <w:pPr>
        <w:ind w:right="-110"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参加政府采购活动前3年内在经营活动中</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（在下划线上如实填写：有或没有）重大违法记录。</w:t>
      </w:r>
      <w:r/>
    </w:p>
    <w:p>
      <w:pPr>
        <w:ind w:right="-110"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ind w:right="-110" w:firstLine="482"/>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right="-110" w:firstLine="60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声明人（公章）：</w:t>
      </w:r>
      <w:r/>
    </w:p>
    <w:p>
      <w:pPr>
        <w:ind w:right="-110" w:firstLine="60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日期：     年     月    日</w:t>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r/>
    </w:p>
    <w:p>
      <w:pPr>
        <w:jc w:val="left"/>
        <w:widowControl/>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附件三、具备履行合同所必需的设备和专业技术能力的声明格式及证明材料</w:t>
      </w:r>
      <w:r/>
    </w:p>
    <w:p>
      <w:pPr>
        <w:ind w:right="-110" w:firstLine="482"/>
        <w:jc w:val="cente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具备履行合同所必需的设备和专业技术能力的声明格式</w:t>
      </w:r>
      <w:r/>
    </w:p>
    <w:p>
      <w:pPr>
        <w:ind w:right="-110"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南京市溧水生态环境局</w:t>
      </w:r>
      <w:r>
        <w:rPr>
          <w:rFonts w:hint="eastAsia" w:cs="仿宋" w:asciiTheme="minorEastAsia" w:hAnsiTheme="minorEastAsia" w:eastAsiaTheme="minorEastAsia"/>
          <w:sz w:val="24"/>
          <w:szCs w:val="24"/>
        </w:rPr>
        <w:t xml:space="preserve">：</w:t>
      </w:r>
      <w:r/>
    </w:p>
    <w:p>
      <w:pPr>
        <w:ind w:right="-110" w:firstLine="482"/>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我单位</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u w:val="single"/>
        </w:rPr>
        <w:t xml:space="preserve">（供应商名称）</w:t>
      </w:r>
      <w:r>
        <w:rPr>
          <w:rFonts w:hint="eastAsia" w:cs="仿宋" w:asciiTheme="minorEastAsia" w:hAnsiTheme="minorEastAsia" w:eastAsiaTheme="minorEastAsia"/>
          <w:sz w:val="24"/>
          <w:szCs w:val="24"/>
        </w:rPr>
        <w:t xml:space="preserve">郑重声明：我公司具备履行本项采购合同所必需的设备和专业技术能力，为履行本项采购合同我单位具备如下主要设备和主要专业技术能力：</w:t>
      </w:r>
      <w:r/>
    </w:p>
    <w:p>
      <w:pPr>
        <w:ind w:right="-110" w:firstLine="482"/>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主要设备有：</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。(若有)</w:t>
      </w:r>
      <w:r/>
    </w:p>
    <w:p>
      <w:pPr>
        <w:ind w:right="-110" w:firstLine="482"/>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主要专业技术能力有：</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。(若有)</w:t>
      </w:r>
      <w:r/>
    </w:p>
    <w:p>
      <w:pPr>
        <w:ind w:right="-110" w:firstLine="482"/>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right="-110" w:firstLine="60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声明人（公章）：</w:t>
      </w:r>
      <w:r/>
    </w:p>
    <w:p>
      <w:pPr>
        <w:ind w:right="-110" w:firstLine="482"/>
        <w:jc w:val="righ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　期：   年     月    日</w:t>
      </w:r>
      <w:r/>
    </w:p>
    <w:p>
      <w:pPr>
        <w:ind w:right="-110" w:firstLine="482"/>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bookmarkEnd w:id="71"/>
      <w:r/>
      <w:bookmarkEnd w:id="72"/>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sectPr>
      <w:headerReference w:type="default" r:id="rId10"/>
      <w:footerReference w:type="default" r:id="rId12"/>
      <w:footerReference w:type="even" r:id="rId13"/>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right="-110"/>
      </w:pPr>
      <w:r>
        <w:separator/>
      </w:r>
      <w:r/>
    </w:p>
    <w:p>
      <w:pPr>
        <w:ind w:right="-110"/>
      </w:pPr>
      <w:r/>
      <w:r/>
    </w:p>
    <w:p>
      <w:pPr>
        <w:ind w:right="-110"/>
      </w:pPr>
      <w:r/>
      <w:r/>
    </w:p>
    <w:p>
      <w:r/>
      <w:r/>
    </w:p>
    <w:p>
      <w:r/>
      <w:r/>
    </w:p>
    <w:p>
      <w:r/>
      <w:r/>
    </w:p>
    <w:p>
      <w:r/>
      <w:r/>
    </w:p>
    <w:p>
      <w:r/>
      <w:r/>
    </w:p>
    <w:p>
      <w:r/>
      <w:r/>
    </w:p>
    <w:p>
      <w:r/>
      <w:r/>
    </w:p>
    <w:p>
      <w:r/>
      <w:r/>
    </w:p>
    <w:p>
      <w:r/>
      <w:r/>
    </w:p>
  </w:endnote>
  <w:endnote w:type="continuationSeparator" w:id="0">
    <w:p>
      <w:pPr>
        <w:ind w:right="-110"/>
      </w:pPr>
      <w:r>
        <w:continuationSeparator/>
      </w:r>
      <w:r/>
    </w:p>
    <w:p>
      <w:pPr>
        <w:ind w:right="-110"/>
      </w:pPr>
      <w:r/>
      <w:r/>
    </w:p>
    <w:p>
      <w:pPr>
        <w:ind w:right="-110"/>
      </w:pPr>
      <w:r/>
      <w:r/>
    </w:p>
    <w:p>
      <w:r/>
      <w:r/>
    </w:p>
    <w:p>
      <w:r/>
      <w:r/>
    </w:p>
    <w:p>
      <w:r/>
      <w:r/>
    </w:p>
    <w:p>
      <w:r/>
      <w:r/>
    </w:p>
    <w:p>
      <w:r/>
      <w:r/>
    </w:p>
    <w:p>
      <w:r/>
      <w:r/>
    </w:p>
    <w:p>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方正小标宋_GBK">
    <w:panose1 w:val="020B0503020202020204"/>
  </w:font>
  <w:font w:name="Garamond">
    <w:panose1 w:val="02020404030301010803"/>
  </w:font>
  <w:font w:name="Wingdings">
    <w:panose1 w:val="05000000000000000000"/>
  </w:font>
  <w:font w:name="华文楷体">
    <w:panose1 w:val="02010600040101010101"/>
  </w:font>
  <w:font w:name="等线">
    <w:panose1 w:val="02010600030101010101"/>
  </w:font>
  <w:font w:name="仿宋">
    <w:panose1 w:val="02010609060101010101"/>
  </w:font>
  <w:font w:name="等线 Light">
    <w:panose1 w:val="02010600030101010101"/>
  </w:font>
  <w:font w:name="华文细黑">
    <w:panose1 w:val="02010600040101010101"/>
  </w:font>
  <w:font w:name="PMingLiU">
    <w:panose1 w:val="02020500000000000000"/>
  </w:font>
  <w:font w:name="Book Antiqua">
    <w:panose1 w:val="02040602050305030304"/>
  </w:font>
  <w:font w:name="Tahoma">
    <w:panose1 w:val="020B0604030504040204"/>
  </w:font>
  <w:font w:name="方正仿宋简体">
    <w:panose1 w:val="020B0503020202020204"/>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幼圆">
    <w:panose1 w:val="02010509060101010101"/>
  </w:font>
  <w:font w:name="SimSun">
    <w:panose1 w:val="02010600030101010101"/>
  </w:font>
  <w:font w:name="Georgia">
    <w:panose1 w:val="02040502050405020303"/>
  </w:font>
  <w:font w:name="Helvetica">
    <w:panose1 w:val="020B0604020202020204"/>
  </w:font>
  <w:font w:name="宋体">
    <w:panose1 w:val="02010600030101010101"/>
  </w:font>
  <w:font w:name="Times New Roman">
    <w:panose1 w:val="02020603050405020304"/>
  </w:font>
  <w:font w:name="Microsoft YaHei UI">
    <w:panose1 w:val="020B0503020204020204"/>
  </w:font>
  <w:font w:name="Arial Unicode MS">
    <w:panose1 w:val="020B0604020202020204"/>
  </w:font>
  <w:font w:name="Arial">
    <w:panose1 w:val="020B0604020202020204"/>
  </w:font>
  <w:font w:name="HYDaHeiJ">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center"/>
    </w:pPr>
    <w:r>
      <w:fldChar w:fldCharType="begin"/>
    </w:r>
    <w:r>
      <w:instrText xml:space="preserve"> PAGE   \* MERGEFORMAT </w:instrText>
    </w:r>
    <w:r>
      <w:fldChar w:fldCharType="separate"/>
    </w:r>
    <w:r>
      <w:rPr>
        <w:lang w:val="zh-CN"/>
      </w:rPr>
      <w:t xml:space="preserve">17</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ind w:right="-110" w:firstLine="361"/>
      <w:jc w:val="center"/>
    </w:pPr>
    <w:r>
      <w:fldChar w:fldCharType="begin"/>
    </w:r>
    <w:r>
      <w:instrText xml:space="preserve"> PAGE   \* MERGEFORMAT </w:instrText>
    </w:r>
    <w:r>
      <w:fldChar w:fldCharType="separate"/>
    </w:r>
    <w:r>
      <w:rPr>
        <w:lang w:val="zh-CN"/>
      </w:rPr>
      <w:t xml:space="preserve">48</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ind w:right="-110" w:firstLine="361"/>
      <w:rPr>
        <w:rStyle w:val="1160"/>
      </w:rPr>
      <w:framePr w:wrap="around" w:vAnchor="text" w:hAnchor="margin" w:xAlign="center" w:y="1"/>
    </w:pPr>
    <w:r>
      <w:fldChar w:fldCharType="begin"/>
    </w:r>
    <w:r>
      <w:rPr>
        <w:rStyle w:val="1160"/>
      </w:rPr>
      <w:instrText xml:space="preserve">PAGE  </w:instrText>
    </w:r>
    <w:r>
      <w:fldChar w:fldCharType="separate"/>
    </w:r>
    <w:r>
      <w:rPr>
        <w:rStyle w:val="1160"/>
      </w:rPr>
      <w:t xml:space="preserve">1</w:t>
    </w:r>
    <w:r>
      <w:fldChar w:fldCharType="end"/>
    </w:r>
    <w:r/>
  </w:p>
  <w:p>
    <w:pPr>
      <w:pStyle w:val="1134"/>
      <w:ind w:right="-110" w:firstLine="361"/>
    </w:pPr>
    <w:r/>
    <w:r/>
  </w:p>
  <w:p>
    <w:pPr>
      <w:ind w:right="-110"/>
    </w:pPr>
    <w:r/>
    <w:r/>
  </w:p>
  <w:p>
    <w:pPr>
      <w:ind w:right="-110"/>
    </w:pPr>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right="-110"/>
      </w:pPr>
      <w:r>
        <w:separator/>
      </w:r>
      <w:r/>
    </w:p>
    <w:p>
      <w:pPr>
        <w:ind w:right="-110"/>
      </w:pPr>
      <w:r/>
      <w:r/>
    </w:p>
    <w:p>
      <w:pPr>
        <w:ind w:right="-110"/>
      </w:pPr>
      <w:r/>
      <w:r/>
    </w:p>
    <w:p>
      <w:r/>
      <w:r/>
    </w:p>
    <w:p>
      <w:r/>
      <w:r/>
    </w:p>
    <w:p>
      <w:r/>
      <w:r/>
    </w:p>
    <w:p>
      <w:r/>
      <w:r/>
    </w:p>
    <w:p>
      <w:r/>
      <w:r/>
    </w:p>
    <w:p>
      <w:r/>
      <w:r/>
    </w:p>
    <w:p>
      <w:r/>
      <w:r/>
    </w:p>
    <w:p>
      <w:r/>
      <w:r/>
    </w:p>
    <w:p>
      <w:r/>
      <w:r/>
    </w:p>
  </w:footnote>
  <w:footnote w:type="continuationSeparator" w:id="0">
    <w:p>
      <w:pPr>
        <w:ind w:right="-110"/>
      </w:pPr>
      <w:r>
        <w:continuationSeparator/>
      </w:r>
      <w:r/>
    </w:p>
    <w:p>
      <w:pPr>
        <w:ind w:right="-110"/>
      </w:pPr>
      <w:r/>
      <w:r/>
    </w:p>
    <w:p>
      <w:pPr>
        <w:ind w:right="-110"/>
      </w:pPr>
      <w:r/>
      <w:r/>
    </w:p>
    <w:p>
      <w:r/>
      <w:r/>
    </w:p>
    <w:p>
      <w:r/>
      <w:r/>
    </w:p>
    <w:p>
      <w:r/>
      <w:r/>
    </w:p>
    <w:p>
      <w:r/>
      <w:r/>
    </w:p>
    <w:p>
      <w:r/>
      <w:r/>
    </w:p>
    <w:p>
      <w:r/>
      <w:r/>
    </w:p>
    <w:p>
      <w:r/>
      <w:r/>
    </w:p>
    <w:p>
      <w:r/>
      <w:r/>
    </w:p>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780" w:hanging="360"/>
        <w:tabs>
          <w:tab w:val="num"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360" w:hanging="360"/>
        <w:tabs>
          <w:tab w:val="num"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upperLetter"/>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14">
    <w:multiLevelType w:val="hybridMultilevel"/>
    <w:lvl w:ilvl="0">
      <w:start w:val="1"/>
      <w:numFmt w:val="japaneseCounting"/>
      <w:isLgl w:val="false"/>
      <w:suff w:val="tab"/>
      <w:lvlText w:val="第%1条"/>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12"/>
  </w:num>
  <w:num w:numId="4">
    <w:abstractNumId w:val="8"/>
  </w:num>
  <w:num w:numId="5">
    <w:abstractNumId w:val="5"/>
  </w:num>
  <w:num w:numId="6">
    <w:abstractNumId w:val="4"/>
  </w:num>
  <w:num w:numId="7">
    <w:abstractNumId w:val="14"/>
  </w:num>
  <w:num w:numId="8">
    <w:abstractNumId w:val="15"/>
  </w:num>
  <w:num w:numId="9">
    <w:abstractNumId w:val="3"/>
  </w:num>
  <w:num w:numId="10">
    <w:abstractNumId w:val="11"/>
    <w:lvlOverride w:ilvl="0">
      <w:startOverride w:val="1"/>
    </w:lvlOverride>
  </w:num>
  <w:num w:numId="11">
    <w:abstractNumId w:val="9"/>
  </w:num>
  <w:num w:numId="12">
    <w:abstractNumId w:val="2"/>
  </w:num>
  <w:num w:numId="13">
    <w:abstractNumId w:val="7"/>
  </w:num>
  <w:num w:numId="14">
    <w:abstractNumId w:val="6"/>
  </w:num>
  <w:num w:numId="15">
    <w:abstractNumId w:val="1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2">
    <w:name w:val="Heading 1 Char"/>
    <w:basedOn w:val="1105"/>
    <w:link w:val="1096"/>
    <w:uiPriority w:val="9"/>
    <w:rPr>
      <w:rFonts w:ascii="Arial" w:hAnsi="Arial" w:eastAsia="Arial" w:cs="Arial"/>
      <w:sz w:val="40"/>
      <w:szCs w:val="40"/>
    </w:rPr>
  </w:style>
  <w:style w:type="character" w:styleId="953">
    <w:name w:val="Heading 2 Char"/>
    <w:basedOn w:val="1105"/>
    <w:link w:val="1097"/>
    <w:uiPriority w:val="9"/>
    <w:rPr>
      <w:rFonts w:ascii="Arial" w:hAnsi="Arial" w:eastAsia="Arial" w:cs="Arial"/>
      <w:sz w:val="34"/>
    </w:rPr>
  </w:style>
  <w:style w:type="character" w:styleId="954">
    <w:name w:val="Heading 3 Char"/>
    <w:basedOn w:val="1105"/>
    <w:link w:val="1098"/>
    <w:uiPriority w:val="9"/>
    <w:rPr>
      <w:rFonts w:ascii="Arial" w:hAnsi="Arial" w:eastAsia="Arial" w:cs="Arial"/>
      <w:sz w:val="30"/>
      <w:szCs w:val="30"/>
    </w:rPr>
  </w:style>
  <w:style w:type="character" w:styleId="955">
    <w:name w:val="Heading 4 Char"/>
    <w:basedOn w:val="1105"/>
    <w:link w:val="1099"/>
    <w:uiPriority w:val="9"/>
    <w:rPr>
      <w:rFonts w:ascii="Arial" w:hAnsi="Arial" w:eastAsia="Arial" w:cs="Arial"/>
      <w:b/>
      <w:bCs/>
      <w:sz w:val="26"/>
      <w:szCs w:val="26"/>
    </w:rPr>
  </w:style>
  <w:style w:type="character" w:styleId="956">
    <w:name w:val="Heading 5 Char"/>
    <w:basedOn w:val="1105"/>
    <w:link w:val="1100"/>
    <w:uiPriority w:val="9"/>
    <w:rPr>
      <w:rFonts w:ascii="Arial" w:hAnsi="Arial" w:eastAsia="Arial" w:cs="Arial"/>
      <w:b/>
      <w:bCs/>
      <w:sz w:val="24"/>
      <w:szCs w:val="24"/>
    </w:rPr>
  </w:style>
  <w:style w:type="character" w:styleId="957">
    <w:name w:val="Heading 6 Char"/>
    <w:basedOn w:val="1105"/>
    <w:link w:val="1101"/>
    <w:uiPriority w:val="9"/>
    <w:rPr>
      <w:rFonts w:ascii="Arial" w:hAnsi="Arial" w:eastAsia="Arial" w:cs="Arial"/>
      <w:b/>
      <w:bCs/>
      <w:sz w:val="22"/>
      <w:szCs w:val="22"/>
    </w:rPr>
  </w:style>
  <w:style w:type="character" w:styleId="958">
    <w:name w:val="Heading 7 Char"/>
    <w:basedOn w:val="1105"/>
    <w:link w:val="1102"/>
    <w:uiPriority w:val="9"/>
    <w:rPr>
      <w:rFonts w:ascii="Arial" w:hAnsi="Arial" w:eastAsia="Arial" w:cs="Arial"/>
      <w:b/>
      <w:bCs/>
      <w:i/>
      <w:iCs/>
      <w:sz w:val="22"/>
      <w:szCs w:val="22"/>
    </w:rPr>
  </w:style>
  <w:style w:type="character" w:styleId="959">
    <w:name w:val="Heading 8 Char"/>
    <w:basedOn w:val="1105"/>
    <w:link w:val="1103"/>
    <w:uiPriority w:val="9"/>
    <w:rPr>
      <w:rFonts w:ascii="Arial" w:hAnsi="Arial" w:eastAsia="Arial" w:cs="Arial"/>
      <w:i/>
      <w:iCs/>
      <w:sz w:val="22"/>
      <w:szCs w:val="22"/>
    </w:rPr>
  </w:style>
  <w:style w:type="character" w:styleId="960">
    <w:name w:val="Heading 9 Char"/>
    <w:basedOn w:val="1105"/>
    <w:link w:val="1104"/>
    <w:uiPriority w:val="9"/>
    <w:rPr>
      <w:rFonts w:ascii="Arial" w:hAnsi="Arial" w:eastAsia="Arial" w:cs="Arial"/>
      <w:i/>
      <w:iCs/>
      <w:sz w:val="21"/>
      <w:szCs w:val="21"/>
    </w:rPr>
  </w:style>
  <w:style w:type="character" w:styleId="961">
    <w:name w:val="Title Char"/>
    <w:basedOn w:val="1105"/>
    <w:link w:val="1153"/>
    <w:uiPriority w:val="10"/>
    <w:rPr>
      <w:sz w:val="48"/>
      <w:szCs w:val="48"/>
    </w:rPr>
  </w:style>
  <w:style w:type="character" w:styleId="962">
    <w:name w:val="Subtitle Char"/>
    <w:basedOn w:val="1105"/>
    <w:link w:val="1141"/>
    <w:uiPriority w:val="11"/>
    <w:rPr>
      <w:sz w:val="24"/>
      <w:szCs w:val="24"/>
    </w:rPr>
  </w:style>
  <w:style w:type="character" w:styleId="963">
    <w:name w:val="Quote Char"/>
    <w:link w:val="1238"/>
    <w:uiPriority w:val="29"/>
    <w:rPr>
      <w:i/>
    </w:rPr>
  </w:style>
  <w:style w:type="character" w:styleId="964">
    <w:name w:val="Intense Quote Char"/>
    <w:link w:val="1282"/>
    <w:uiPriority w:val="30"/>
    <w:rPr>
      <w:i/>
    </w:rPr>
  </w:style>
  <w:style w:type="character" w:styleId="965">
    <w:name w:val="Header Char"/>
    <w:basedOn w:val="1105"/>
    <w:link w:val="1135"/>
    <w:uiPriority w:val="99"/>
  </w:style>
  <w:style w:type="character" w:styleId="966">
    <w:name w:val="Footer Char"/>
    <w:basedOn w:val="1105"/>
    <w:link w:val="1134"/>
    <w:uiPriority w:val="99"/>
  </w:style>
  <w:style w:type="character" w:styleId="967">
    <w:name w:val="Caption Char"/>
    <w:basedOn w:val="1544"/>
    <w:link w:val="1134"/>
    <w:uiPriority w:val="99"/>
  </w:style>
  <w:style w:type="table" w:styleId="968">
    <w:name w:val="Table Grid Light"/>
    <w:basedOn w:val="11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9">
    <w:name w:val="Plain Table 1"/>
    <w:basedOn w:val="11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name w:val="Plain Table 2"/>
    <w:basedOn w:val="11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name w:val="Plain Table 3"/>
    <w:basedOn w:val="11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name w:val="Plain Table 4"/>
    <w:basedOn w:val="11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name w:val="Plain Table 5"/>
    <w:basedOn w:val="11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4">
    <w:name w:val="Grid Table 1 Light"/>
    <w:basedOn w:val="11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5">
    <w:name w:val="Grid Table 1 Light - Accent 1"/>
    <w:basedOn w:val="11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6">
    <w:name w:val="Grid Table 1 Light - Accent 2"/>
    <w:basedOn w:val="11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7">
    <w:name w:val="Grid Table 1 Light - Accent 3"/>
    <w:basedOn w:val="11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8">
    <w:name w:val="Grid Table 1 Light - Accent 4"/>
    <w:basedOn w:val="11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9">
    <w:name w:val="Grid Table 1 Light - Accent 5"/>
    <w:basedOn w:val="11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0">
    <w:name w:val="Grid Table 1 Light - Accent 6"/>
    <w:basedOn w:val="11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1">
    <w:name w:val="Grid Table 2"/>
    <w:basedOn w:val="11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2">
    <w:name w:val="Grid Table 2 - Accent 1"/>
    <w:basedOn w:val="11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3">
    <w:name w:val="Grid Table 2 - Accent 2"/>
    <w:basedOn w:val="11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4">
    <w:name w:val="Grid Table 2 - Accent 3"/>
    <w:basedOn w:val="11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5">
    <w:name w:val="Grid Table 2 - Accent 4"/>
    <w:basedOn w:val="11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6">
    <w:name w:val="Grid Table 2 - Accent 5"/>
    <w:basedOn w:val="11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7">
    <w:name w:val="Grid Table 2 - Accent 6"/>
    <w:basedOn w:val="11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8">
    <w:name w:val="Grid Table 3"/>
    <w:basedOn w:val="11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1"/>
    <w:basedOn w:val="11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2"/>
    <w:basedOn w:val="11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3"/>
    <w:basedOn w:val="11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4"/>
    <w:basedOn w:val="11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3 - Accent 5"/>
    <w:basedOn w:val="11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3 - Accent 6"/>
    <w:basedOn w:val="11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4"/>
    <w:basedOn w:val="11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name w:val="Grid Table 4 - Accent 1"/>
    <w:basedOn w:val="11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7">
    <w:name w:val="Grid Table 4 - Accent 2"/>
    <w:basedOn w:val="11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8">
    <w:name w:val="Grid Table 4 - Accent 3"/>
    <w:basedOn w:val="11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9">
    <w:name w:val="Grid Table 4 - Accent 4"/>
    <w:basedOn w:val="11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0">
    <w:name w:val="Grid Table 4 - Accent 5"/>
    <w:basedOn w:val="11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1">
    <w:name w:val="Grid Table 4 - Accent 6"/>
    <w:basedOn w:val="11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2">
    <w:name w:val="Grid Table 5 Dark"/>
    <w:basedOn w:val="11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3">
    <w:name w:val="Grid Table 5 Dark- Accent 1"/>
    <w:basedOn w:val="11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4">
    <w:name w:val="Grid Table 5 Dark - Accent 2"/>
    <w:basedOn w:val="11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5">
    <w:name w:val="Grid Table 5 Dark - Accent 3"/>
    <w:basedOn w:val="11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6">
    <w:name w:val="Grid Table 5 Dark- Accent 4"/>
    <w:basedOn w:val="11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7">
    <w:name w:val="Grid Table 5 Dark - Accent 5"/>
    <w:basedOn w:val="11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8">
    <w:name w:val="Grid Table 5 Dark - Accent 6"/>
    <w:basedOn w:val="11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9">
    <w:name w:val="Grid Table 6 Colorful"/>
    <w:basedOn w:val="11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0">
    <w:name w:val="Grid Table 6 Colorful - Accent 1"/>
    <w:basedOn w:val="11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1">
    <w:name w:val="Grid Table 6 Colorful - Accent 2"/>
    <w:basedOn w:val="11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2">
    <w:name w:val="Grid Table 6 Colorful - Accent 3"/>
    <w:basedOn w:val="11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3">
    <w:name w:val="Grid Table 6 Colorful - Accent 4"/>
    <w:basedOn w:val="11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4">
    <w:name w:val="Grid Table 6 Colorful - Accent 5"/>
    <w:basedOn w:val="11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5">
    <w:name w:val="Grid Table 6 Colorful - Accent 6"/>
    <w:basedOn w:val="11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6">
    <w:name w:val="Grid Table 7 Colorful"/>
    <w:basedOn w:val="11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7">
    <w:name w:val="Grid Table 7 Colorful - Accent 1"/>
    <w:basedOn w:val="11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8">
    <w:name w:val="Grid Table 7 Colorful - Accent 2"/>
    <w:basedOn w:val="11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9">
    <w:name w:val="Grid Table 7 Colorful - Accent 3"/>
    <w:basedOn w:val="11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0">
    <w:name w:val="Grid Table 7 Colorful - Accent 4"/>
    <w:basedOn w:val="11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1">
    <w:name w:val="Grid Table 7 Colorful - Accent 5"/>
    <w:basedOn w:val="11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2">
    <w:name w:val="Grid Table 7 Colorful - Accent 6"/>
    <w:basedOn w:val="11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3">
    <w:name w:val="List Table 1 Light"/>
    <w:basedOn w:val="11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4">
    <w:name w:val="List Table 1 Light - Accent 1"/>
    <w:basedOn w:val="110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5">
    <w:name w:val="List Table 1 Light - Accent 2"/>
    <w:basedOn w:val="110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6">
    <w:name w:val="List Table 1 Light - Accent 3"/>
    <w:basedOn w:val="110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7">
    <w:name w:val="List Table 1 Light - Accent 4"/>
    <w:basedOn w:val="110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8">
    <w:name w:val="List Table 1 Light - Accent 5"/>
    <w:basedOn w:val="110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9">
    <w:name w:val="List Table 1 Light - Accent 6"/>
    <w:basedOn w:val="110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0">
    <w:name w:val="List Table 2"/>
    <w:basedOn w:val="11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1">
    <w:name w:val="List Table 2 - Accent 1"/>
    <w:basedOn w:val="11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2">
    <w:name w:val="List Table 2 - Accent 2"/>
    <w:basedOn w:val="11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3">
    <w:name w:val="List Table 2 - Accent 3"/>
    <w:basedOn w:val="11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4">
    <w:name w:val="List Table 2 - Accent 4"/>
    <w:basedOn w:val="11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5">
    <w:name w:val="List Table 2 - Accent 5"/>
    <w:basedOn w:val="11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6">
    <w:name w:val="List Table 2 - Accent 6"/>
    <w:basedOn w:val="11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7">
    <w:name w:val="List Table 3"/>
    <w:basedOn w:val="11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8">
    <w:name w:val="List Table 3 - Accent 1"/>
    <w:basedOn w:val="11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9">
    <w:name w:val="List Table 3 - Accent 2"/>
    <w:basedOn w:val="11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0">
    <w:name w:val="List Table 3 - Accent 3"/>
    <w:basedOn w:val="11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1">
    <w:name w:val="List Table 3 - Accent 4"/>
    <w:basedOn w:val="11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2">
    <w:name w:val="List Table 3 - Accent 5"/>
    <w:basedOn w:val="11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3">
    <w:name w:val="List Table 3 - Accent 6"/>
    <w:basedOn w:val="11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4">
    <w:name w:val="List Table 4"/>
    <w:basedOn w:val="11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5">
    <w:name w:val="List Table 4 - Accent 1"/>
    <w:basedOn w:val="11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6">
    <w:name w:val="List Table 4 - Accent 2"/>
    <w:basedOn w:val="11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7">
    <w:name w:val="List Table 4 - Accent 3"/>
    <w:basedOn w:val="11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8">
    <w:name w:val="List Table 4 - Accent 4"/>
    <w:basedOn w:val="11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9">
    <w:name w:val="List Table 4 - Accent 5"/>
    <w:basedOn w:val="11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0">
    <w:name w:val="List Table 4 - Accent 6"/>
    <w:basedOn w:val="11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1">
    <w:name w:val="List Table 5 Dark"/>
    <w:basedOn w:val="11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1"/>
    <w:basedOn w:val="11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2"/>
    <w:basedOn w:val="11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3"/>
    <w:basedOn w:val="11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4"/>
    <w:basedOn w:val="11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5 Dark - Accent 5"/>
    <w:basedOn w:val="11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5 Dark - Accent 6"/>
    <w:basedOn w:val="11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6 Colorful"/>
    <w:basedOn w:val="11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9">
    <w:name w:val="List Table 6 Colorful - Accent 1"/>
    <w:basedOn w:val="11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0">
    <w:name w:val="List Table 6 Colorful - Accent 2"/>
    <w:basedOn w:val="11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1">
    <w:name w:val="List Table 6 Colorful - Accent 3"/>
    <w:basedOn w:val="11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2">
    <w:name w:val="List Table 6 Colorful - Accent 4"/>
    <w:basedOn w:val="11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3">
    <w:name w:val="List Table 6 Colorful - Accent 5"/>
    <w:basedOn w:val="11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4">
    <w:name w:val="List Table 6 Colorful - Accent 6"/>
    <w:basedOn w:val="11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5">
    <w:name w:val="List Table 7 Colorful"/>
    <w:basedOn w:val="11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6">
    <w:name w:val="List Table 7 Colorful - Accent 1"/>
    <w:basedOn w:val="11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7">
    <w:name w:val="List Table 7 Colorful - Accent 2"/>
    <w:basedOn w:val="11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8">
    <w:name w:val="List Table 7 Colorful - Accent 3"/>
    <w:basedOn w:val="11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9">
    <w:name w:val="List Table 7 Colorful - Accent 4"/>
    <w:basedOn w:val="11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0">
    <w:name w:val="List Table 7 Colorful - Accent 5"/>
    <w:basedOn w:val="11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1">
    <w:name w:val="List Table 7 Colorful - Accent 6"/>
    <w:basedOn w:val="11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2">
    <w:name w:val="Lined - Accent"/>
    <w:basedOn w:val="11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3">
    <w:name w:val="Lined - Accent 1"/>
    <w:basedOn w:val="11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4">
    <w:name w:val="Lined - Accent 2"/>
    <w:basedOn w:val="11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5">
    <w:name w:val="Lined - Accent 3"/>
    <w:basedOn w:val="11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6">
    <w:name w:val="Lined - Accent 4"/>
    <w:basedOn w:val="11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7">
    <w:name w:val="Lined - Accent 5"/>
    <w:basedOn w:val="11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8">
    <w:name w:val="Lined - Accent 6"/>
    <w:basedOn w:val="11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9">
    <w:name w:val="Bordered &amp; Lined - Accent"/>
    <w:basedOn w:val="11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0">
    <w:name w:val="Bordered &amp; Lined - Accent 1"/>
    <w:basedOn w:val="11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1">
    <w:name w:val="Bordered &amp; Lined - Accent 2"/>
    <w:basedOn w:val="11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2">
    <w:name w:val="Bordered &amp; Lined - Accent 3"/>
    <w:basedOn w:val="11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3">
    <w:name w:val="Bordered &amp; Lined - Accent 4"/>
    <w:basedOn w:val="11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4">
    <w:name w:val="Bordered &amp; Lined - Accent 5"/>
    <w:basedOn w:val="11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5">
    <w:name w:val="Bordered &amp; Lined - Accent 6"/>
    <w:basedOn w:val="11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6">
    <w:name w:val="Bordered"/>
    <w:basedOn w:val="11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7">
    <w:name w:val="Bordered - Accent 1"/>
    <w:basedOn w:val="11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8">
    <w:name w:val="Bordered - Accent 2"/>
    <w:basedOn w:val="11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9">
    <w:name w:val="Bordered - Accent 3"/>
    <w:basedOn w:val="11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0">
    <w:name w:val="Bordered - Accent 4"/>
    <w:basedOn w:val="11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1">
    <w:name w:val="Bordered - Accent 5"/>
    <w:basedOn w:val="11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2">
    <w:name w:val="Bordered - Accent 6"/>
    <w:basedOn w:val="11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3">
    <w:name w:val="Footnote Text Char"/>
    <w:link w:val="1142"/>
    <w:uiPriority w:val="99"/>
    <w:rPr>
      <w:sz w:val="18"/>
    </w:rPr>
  </w:style>
  <w:style w:type="character" w:styleId="1094">
    <w:name w:val="Endnote Text Char"/>
    <w:link w:val="1132"/>
    <w:uiPriority w:val="99"/>
    <w:rPr>
      <w:sz w:val="20"/>
    </w:rPr>
  </w:style>
  <w:style w:type="paragraph" w:styleId="1095" w:default="1">
    <w:name w:val="Normal"/>
    <w:next w:val="1108"/>
    <w:qFormat/>
    <w:pPr>
      <w:jc w:val="both"/>
      <w:widowControl w:val="off"/>
    </w:pPr>
    <w:rPr>
      <w:rFonts w:ascii="Times New Roman" w:hAnsi="Times New Roman" w:eastAsia="宋体" w:cs="Times New Roman"/>
      <w:sz w:val="21"/>
    </w:rPr>
  </w:style>
  <w:style w:type="paragraph" w:styleId="1096">
    <w:name w:val="Heading 1"/>
    <w:basedOn w:val="1095"/>
    <w:next w:val="1095"/>
    <w:link w:val="1171"/>
    <w:uiPriority w:val="9"/>
    <w:qFormat/>
    <w:pPr>
      <w:jc w:val="left"/>
      <w:keepNext/>
      <w:tabs>
        <w:tab w:val="left" w:pos="1440" w:leader="none"/>
        <w:tab w:val="left" w:pos="5670" w:leader="none"/>
      </w:tabs>
      <w:outlineLvl w:val="0"/>
    </w:pPr>
    <w:rPr>
      <w:rFonts w:ascii="黑体" w:eastAsia="黑体"/>
      <w:b/>
      <w:sz w:val="24"/>
      <w:szCs w:val="28"/>
    </w:rPr>
  </w:style>
  <w:style w:type="paragraph" w:styleId="1097">
    <w:name w:val="Heading 2"/>
    <w:basedOn w:val="1095"/>
    <w:next w:val="1095"/>
    <w:link w:val="1172"/>
    <w:uiPriority w:val="9"/>
    <w:qFormat/>
    <w:pPr>
      <w:jc w:val="left"/>
      <w:keepLines/>
      <w:keepNext/>
      <w:spacing w:before="120" w:after="120"/>
      <w:outlineLvl w:val="1"/>
    </w:pPr>
    <w:rPr>
      <w:rFonts w:ascii="Arial" w:hAnsi="Arial" w:eastAsia="黑体"/>
      <w:b/>
      <w:bCs/>
      <w:sz w:val="32"/>
      <w:szCs w:val="32"/>
    </w:rPr>
  </w:style>
  <w:style w:type="paragraph" w:styleId="1098">
    <w:name w:val="Heading 3"/>
    <w:basedOn w:val="1095"/>
    <w:next w:val="1095"/>
    <w:link w:val="1180"/>
    <w:uiPriority w:val="9"/>
    <w:qFormat/>
    <w:pPr>
      <w:keepLines/>
      <w:keepNext/>
      <w:spacing w:line="390" w:lineRule="atLeast"/>
      <w:shd w:val="clear" w:color="auto" w:fill="ffffff"/>
      <w:outlineLvl w:val="2"/>
    </w:pPr>
    <w:rPr>
      <w:rFonts w:ascii="宋体" w:hAnsi="宋体"/>
      <w:b/>
      <w:szCs w:val="21"/>
    </w:rPr>
  </w:style>
  <w:style w:type="paragraph" w:styleId="1099">
    <w:name w:val="Heading 4"/>
    <w:basedOn w:val="1095"/>
    <w:next w:val="1095"/>
    <w:link w:val="1174"/>
    <w:uiPriority w:val="9"/>
    <w:qFormat/>
    <w:pPr>
      <w:keepLines/>
      <w:keepNext/>
      <w:spacing w:before="120" w:after="120"/>
      <w:outlineLvl w:val="3"/>
    </w:pPr>
    <w:rPr>
      <w:rFonts w:ascii="Arial" w:hAnsi="Arial" w:eastAsia="黑体"/>
      <w:b/>
      <w:sz w:val="28"/>
    </w:rPr>
  </w:style>
  <w:style w:type="paragraph" w:styleId="1100">
    <w:name w:val="Heading 5"/>
    <w:basedOn w:val="1095"/>
    <w:next w:val="1109"/>
    <w:link w:val="1175"/>
    <w:uiPriority w:val="9"/>
    <w:qFormat/>
    <w:pPr>
      <w:keepNext/>
      <w:outlineLvl w:val="4"/>
    </w:pPr>
    <w:rPr>
      <w:rFonts w:ascii="黑体" w:eastAsia="黑体"/>
      <w:b/>
      <w:color w:val="000000"/>
      <w:sz w:val="28"/>
    </w:rPr>
  </w:style>
  <w:style w:type="paragraph" w:styleId="1101">
    <w:name w:val="Heading 6"/>
    <w:basedOn w:val="1095"/>
    <w:next w:val="1095"/>
    <w:link w:val="1176"/>
    <w:uiPriority w:val="9"/>
    <w:qFormat/>
    <w:pPr>
      <w:keepLines/>
      <w:keepNext/>
      <w:spacing w:before="240" w:after="64" w:line="320" w:lineRule="auto"/>
      <w:outlineLvl w:val="5"/>
    </w:pPr>
    <w:rPr>
      <w:rFonts w:ascii="Arial" w:hAnsi="Arial" w:eastAsia="黑体"/>
      <w:b/>
      <w:bCs/>
      <w:sz w:val="24"/>
      <w:szCs w:val="24"/>
    </w:rPr>
  </w:style>
  <w:style w:type="paragraph" w:styleId="1102">
    <w:name w:val="Heading 7"/>
    <w:basedOn w:val="1095"/>
    <w:next w:val="1095"/>
    <w:link w:val="1177"/>
    <w:uiPriority w:val="9"/>
    <w:qFormat/>
    <w:pPr>
      <w:keepLines/>
      <w:keepNext/>
      <w:spacing w:before="240" w:after="64" w:line="320" w:lineRule="auto"/>
      <w:outlineLvl w:val="6"/>
    </w:pPr>
    <w:rPr>
      <w:b/>
      <w:bCs/>
      <w:sz w:val="24"/>
      <w:szCs w:val="24"/>
    </w:rPr>
  </w:style>
  <w:style w:type="paragraph" w:styleId="1103">
    <w:name w:val="Heading 8"/>
    <w:basedOn w:val="1095"/>
    <w:next w:val="1095"/>
    <w:link w:val="1178"/>
    <w:uiPriority w:val="9"/>
    <w:qFormat/>
    <w:pPr>
      <w:keepLines/>
      <w:keepNext/>
      <w:spacing w:before="240" w:after="64" w:line="320" w:lineRule="auto"/>
      <w:outlineLvl w:val="7"/>
    </w:pPr>
    <w:rPr>
      <w:rFonts w:ascii="Arial" w:hAnsi="Arial" w:eastAsia="黑体"/>
      <w:sz w:val="24"/>
      <w:szCs w:val="24"/>
    </w:rPr>
  </w:style>
  <w:style w:type="paragraph" w:styleId="1104">
    <w:name w:val="Heading 9"/>
    <w:basedOn w:val="1095"/>
    <w:next w:val="1095"/>
    <w:link w:val="1179"/>
    <w:uiPriority w:val="9"/>
    <w:qFormat/>
    <w:pPr>
      <w:keepLines/>
      <w:keepNext/>
      <w:spacing w:before="240" w:after="64" w:line="320" w:lineRule="auto"/>
      <w:outlineLvl w:val="8"/>
    </w:pPr>
    <w:rPr>
      <w:rFonts w:ascii="Arial" w:hAnsi="Arial" w:eastAsia="黑体"/>
      <w:szCs w:val="21"/>
    </w:rPr>
  </w:style>
  <w:style w:type="character" w:styleId="1105" w:default="1">
    <w:name w:val="Default Paragraph Font"/>
    <w:uiPriority w:val="1"/>
    <w:semiHidden/>
    <w:unhideWhenUsed/>
  </w:style>
  <w:style w:type="table" w:styleId="1106" w:default="1">
    <w:name w:val="Normal Table"/>
    <w:uiPriority w:val="99"/>
    <w:semiHidden/>
    <w:unhideWhenUsed/>
    <w:qFormat/>
    <w:tblPr>
      <w:tblInd w:w="0" w:type="dxa"/>
      <w:tblCellMar>
        <w:left w:w="108" w:type="dxa"/>
        <w:top w:w="0" w:type="dxa"/>
        <w:right w:w="108" w:type="dxa"/>
        <w:bottom w:w="0" w:type="dxa"/>
      </w:tblCellMar>
    </w:tblPr>
  </w:style>
  <w:style w:type="numbering" w:styleId="1107" w:default="1">
    <w:name w:val="No List"/>
    <w:uiPriority w:val="99"/>
    <w:semiHidden/>
    <w:unhideWhenUsed/>
  </w:style>
  <w:style w:type="paragraph" w:styleId="1108">
    <w:name w:val="Body Text 2"/>
    <w:basedOn w:val="1095"/>
    <w:link w:val="1197"/>
    <w:qFormat/>
    <w:pPr>
      <w:jc w:val="center"/>
      <w:widowControl/>
    </w:pPr>
    <w:rPr>
      <w:rFonts w:ascii="楷体_GB2312" w:eastAsia="楷体_GB2312"/>
      <w:sz w:val="28"/>
    </w:rPr>
  </w:style>
  <w:style w:type="paragraph" w:styleId="1109">
    <w:name w:val="Normal Indent"/>
    <w:basedOn w:val="1095"/>
    <w:link w:val="1543"/>
    <w:pPr>
      <w:ind w:firstLine="420"/>
    </w:pPr>
  </w:style>
  <w:style w:type="paragraph" w:styleId="1110">
    <w:name w:val="List 3"/>
    <w:basedOn w:val="1095"/>
    <w:pPr>
      <w:ind w:left="1260" w:hanging="420"/>
    </w:pPr>
  </w:style>
  <w:style w:type="paragraph" w:styleId="1111">
    <w:name w:val="toc 7"/>
    <w:basedOn w:val="1095"/>
    <w:next w:val="1095"/>
    <w:pPr>
      <w:ind w:left="1260"/>
      <w:jc w:val="left"/>
    </w:pPr>
    <w:rPr>
      <w:sz w:val="18"/>
    </w:rPr>
  </w:style>
  <w:style w:type="paragraph" w:styleId="1112">
    <w:name w:val="List Number 2"/>
    <w:basedOn w:val="1095"/>
    <w:pPr>
      <w:ind w:left="1440" w:hanging="1440"/>
      <w:spacing w:line="360" w:lineRule="auto"/>
      <w:tabs>
        <w:tab w:val="left" w:pos="1440" w:leader="none"/>
      </w:tabs>
    </w:pPr>
    <w:rPr>
      <w:sz w:val="24"/>
      <w:szCs w:val="24"/>
    </w:rPr>
  </w:style>
  <w:style w:type="paragraph" w:styleId="1113">
    <w:name w:val="index 8"/>
    <w:basedOn w:val="1095"/>
    <w:next w:val="1095"/>
    <w:pPr>
      <w:ind w:left="2940"/>
    </w:pPr>
  </w:style>
  <w:style w:type="paragraph" w:styleId="1114">
    <w:name w:val="List Number"/>
    <w:basedOn w:val="1095"/>
    <w:pPr>
      <w:ind w:left="2952" w:hanging="432"/>
      <w:tabs>
        <w:tab w:val="left" w:pos="2952" w:leader="none"/>
      </w:tabs>
    </w:pPr>
    <w:rPr>
      <w:szCs w:val="24"/>
    </w:rPr>
  </w:style>
  <w:style w:type="paragraph" w:styleId="1115">
    <w:name w:val="index 5"/>
    <w:basedOn w:val="1095"/>
    <w:next w:val="1095"/>
    <w:pPr>
      <w:ind w:left="1680"/>
    </w:pPr>
  </w:style>
  <w:style w:type="paragraph" w:styleId="1116">
    <w:name w:val="Document Map"/>
    <w:basedOn w:val="1095"/>
    <w:link w:val="1181"/>
    <w:uiPriority w:val="99"/>
    <w:pPr>
      <w:shd w:val="clear" w:color="auto" w:fill="000080"/>
    </w:pPr>
  </w:style>
  <w:style w:type="paragraph" w:styleId="1117">
    <w:name w:val="annotation text"/>
    <w:basedOn w:val="1095"/>
    <w:link w:val="1182"/>
    <w:qFormat/>
    <w:pPr>
      <w:jc w:val="left"/>
    </w:pPr>
  </w:style>
  <w:style w:type="paragraph" w:styleId="1118">
    <w:name w:val="index 6"/>
    <w:basedOn w:val="1095"/>
    <w:next w:val="1095"/>
    <w:pPr>
      <w:ind w:left="2100"/>
    </w:pPr>
  </w:style>
  <w:style w:type="paragraph" w:styleId="1119">
    <w:name w:val="Salutation"/>
    <w:basedOn w:val="1095"/>
    <w:next w:val="1095"/>
    <w:link w:val="1183"/>
    <w:rPr>
      <w:rFonts w:ascii="仿宋_GB2312" w:eastAsia="仿宋_GB2312"/>
      <w:sz w:val="28"/>
    </w:rPr>
  </w:style>
  <w:style w:type="paragraph" w:styleId="1120">
    <w:name w:val="Body Text 3"/>
    <w:basedOn w:val="1095"/>
    <w:link w:val="1184"/>
    <w:rPr>
      <w:rFonts w:ascii="仿宋_GB2312" w:hAnsi="Arial" w:eastAsia="仿宋_GB2312"/>
      <w:sz w:val="32"/>
    </w:rPr>
  </w:style>
  <w:style w:type="paragraph" w:styleId="1121">
    <w:name w:val="Body Text"/>
    <w:basedOn w:val="1095"/>
    <w:next w:val="1095"/>
    <w:link w:val="1186"/>
    <w:rPr>
      <w:rFonts w:ascii="楷体_GB2312" w:hAnsi="Arial" w:eastAsia="楷体_GB2312"/>
      <w:sz w:val="28"/>
    </w:rPr>
  </w:style>
  <w:style w:type="paragraph" w:styleId="1122">
    <w:name w:val="Body Text Indent"/>
    <w:basedOn w:val="1095"/>
    <w:link w:val="1187"/>
    <w:qFormat/>
    <w:pPr>
      <w:ind w:firstLine="645"/>
    </w:pPr>
    <w:rPr>
      <w:rFonts w:ascii="楷体_GB2312" w:eastAsia="楷体_GB2312"/>
      <w:sz w:val="32"/>
    </w:rPr>
  </w:style>
  <w:style w:type="paragraph" w:styleId="1123">
    <w:name w:val="Block Text"/>
    <w:basedOn w:val="1095"/>
    <w:next w:val="1121"/>
    <w:pPr>
      <w:ind w:left="256" w:right="6" w:firstLine="624"/>
    </w:pPr>
    <w:rPr>
      <w:rFonts w:eastAsia="仿宋_GB2312"/>
      <w:sz w:val="28"/>
    </w:rPr>
  </w:style>
  <w:style w:type="paragraph" w:styleId="1124">
    <w:name w:val="index 4"/>
    <w:basedOn w:val="1095"/>
    <w:next w:val="1095"/>
    <w:pPr>
      <w:ind w:left="1260"/>
    </w:pPr>
  </w:style>
  <w:style w:type="paragraph" w:styleId="1125">
    <w:name w:val="toc 5"/>
    <w:basedOn w:val="1095"/>
    <w:next w:val="1095"/>
    <w:pPr>
      <w:ind w:left="840"/>
      <w:jc w:val="left"/>
    </w:pPr>
    <w:rPr>
      <w:sz w:val="18"/>
    </w:rPr>
  </w:style>
  <w:style w:type="paragraph" w:styleId="1126">
    <w:name w:val="toc 3"/>
    <w:basedOn w:val="1095"/>
    <w:next w:val="1095"/>
    <w:pPr>
      <w:ind w:left="420"/>
      <w:jc w:val="left"/>
    </w:pPr>
    <w:rPr>
      <w:i/>
      <w:sz w:val="20"/>
    </w:rPr>
  </w:style>
  <w:style w:type="paragraph" w:styleId="1127">
    <w:name w:val="Plain Text"/>
    <w:basedOn w:val="1095"/>
    <w:link w:val="1188"/>
    <w:rPr>
      <w:rFonts w:ascii="宋体" w:hAnsi="Courier New"/>
    </w:rPr>
  </w:style>
  <w:style w:type="paragraph" w:styleId="1128">
    <w:name w:val="toc 8"/>
    <w:basedOn w:val="1095"/>
    <w:next w:val="1095"/>
    <w:pPr>
      <w:ind w:left="1470"/>
      <w:jc w:val="left"/>
    </w:pPr>
    <w:rPr>
      <w:sz w:val="18"/>
    </w:rPr>
  </w:style>
  <w:style w:type="paragraph" w:styleId="1129">
    <w:name w:val="index 3"/>
    <w:basedOn w:val="1095"/>
    <w:next w:val="1095"/>
    <w:pPr>
      <w:ind w:left="840"/>
    </w:pPr>
  </w:style>
  <w:style w:type="paragraph" w:styleId="1130">
    <w:name w:val="Date"/>
    <w:basedOn w:val="1095"/>
    <w:next w:val="1095"/>
    <w:link w:val="1189"/>
    <w:pPr>
      <w:ind w:left="100"/>
    </w:pPr>
    <w:rPr>
      <w:sz w:val="28"/>
    </w:rPr>
  </w:style>
  <w:style w:type="paragraph" w:styleId="1131">
    <w:name w:val="Body Text Indent 2"/>
    <w:basedOn w:val="1095"/>
    <w:link w:val="1190"/>
    <w:pPr>
      <w:ind w:left="630" w:firstLine="645"/>
    </w:pPr>
    <w:rPr>
      <w:rFonts w:ascii="Arial" w:hAnsi="Arial" w:eastAsia="仿宋_GB2312"/>
      <w:sz w:val="32"/>
    </w:rPr>
  </w:style>
  <w:style w:type="paragraph" w:styleId="1132">
    <w:name w:val="endnote text"/>
    <w:basedOn w:val="1095"/>
    <w:link w:val="1191"/>
    <w:pPr>
      <w:jc w:val="left"/>
    </w:pPr>
    <w:rPr>
      <w:sz w:val="20"/>
      <w:szCs w:val="24"/>
    </w:rPr>
  </w:style>
  <w:style w:type="paragraph" w:styleId="1133">
    <w:name w:val="Balloon Text"/>
    <w:basedOn w:val="1095"/>
    <w:link w:val="1192"/>
    <w:rPr>
      <w:sz w:val="18"/>
      <w:szCs w:val="18"/>
    </w:rPr>
  </w:style>
  <w:style w:type="paragraph" w:styleId="1134">
    <w:name w:val="Footer"/>
    <w:basedOn w:val="1095"/>
    <w:link w:val="1170"/>
    <w:uiPriority w:val="99"/>
    <w:unhideWhenUsed/>
    <w:qFormat/>
    <w:pPr>
      <w:jc w:val="left"/>
      <w:tabs>
        <w:tab w:val="center" w:pos="4153" w:leader="none"/>
        <w:tab w:val="right" w:pos="8306" w:leader="none"/>
      </w:tabs>
    </w:pPr>
    <w:rPr>
      <w:sz w:val="18"/>
      <w:szCs w:val="18"/>
    </w:rPr>
  </w:style>
  <w:style w:type="paragraph" w:styleId="1135">
    <w:name w:val="Header"/>
    <w:basedOn w:val="1095"/>
    <w:link w:val="116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136">
    <w:name w:val="Signature"/>
    <w:basedOn w:val="1095"/>
    <w:link w:val="1193"/>
    <w:pPr>
      <w:jc w:val="center"/>
      <w:spacing w:after="600" w:line="312" w:lineRule="atLeast"/>
    </w:pPr>
    <w:rPr>
      <w:rFonts w:eastAsia="仿宋_GB2312"/>
      <w:sz w:val="24"/>
    </w:rPr>
  </w:style>
  <w:style w:type="paragraph" w:styleId="1137">
    <w:name w:val="toc 1"/>
    <w:basedOn w:val="1095"/>
    <w:next w:val="1095"/>
    <w:uiPriority w:val="39"/>
    <w:pPr>
      <w:jc w:val="left"/>
      <w:spacing w:before="120" w:after="120"/>
    </w:pPr>
    <w:rPr>
      <w:b/>
      <w:caps/>
      <w:sz w:val="20"/>
    </w:rPr>
  </w:style>
  <w:style w:type="paragraph" w:styleId="1138">
    <w:name w:val="toc 4"/>
    <w:basedOn w:val="1095"/>
    <w:next w:val="1095"/>
    <w:pPr>
      <w:ind w:left="630"/>
      <w:jc w:val="left"/>
    </w:pPr>
    <w:rPr>
      <w:sz w:val="18"/>
    </w:rPr>
  </w:style>
  <w:style w:type="paragraph" w:styleId="1139">
    <w:name w:val="index heading"/>
    <w:basedOn w:val="1095"/>
    <w:next w:val="1140"/>
  </w:style>
  <w:style w:type="paragraph" w:styleId="1140">
    <w:name w:val="index 1"/>
    <w:basedOn w:val="1095"/>
    <w:next w:val="1095"/>
    <w:unhideWhenUsed/>
  </w:style>
  <w:style w:type="paragraph" w:styleId="1141">
    <w:name w:val="Subtitle"/>
    <w:basedOn w:val="1095"/>
    <w:next w:val="1095"/>
    <w:link w:val="1194"/>
    <w:uiPriority w:val="11"/>
    <w:qFormat/>
    <w:pPr>
      <w:jc w:val="left"/>
      <w:spacing w:after="600" w:line="276" w:lineRule="auto"/>
      <w:widowControl/>
    </w:pPr>
    <w:rPr>
      <w:rFonts w:ascii="Cambria" w:hAnsi="Cambria"/>
      <w:i/>
      <w:iCs/>
      <w:spacing w:val="13"/>
      <w:sz w:val="24"/>
      <w:szCs w:val="24"/>
      <w:lang w:eastAsia="en-US" w:bidi="en-US"/>
    </w:rPr>
  </w:style>
  <w:style w:type="paragraph" w:styleId="1142">
    <w:name w:val="footnote text"/>
    <w:basedOn w:val="1095"/>
    <w:link w:val="1195"/>
    <w:pPr>
      <w:jc w:val="left"/>
    </w:pPr>
    <w:rPr>
      <w:sz w:val="18"/>
      <w:szCs w:val="18"/>
    </w:rPr>
  </w:style>
  <w:style w:type="paragraph" w:styleId="1143">
    <w:name w:val="toc 6"/>
    <w:basedOn w:val="1095"/>
    <w:next w:val="1095"/>
    <w:pPr>
      <w:ind w:left="1050"/>
      <w:jc w:val="left"/>
    </w:pPr>
    <w:rPr>
      <w:sz w:val="18"/>
    </w:rPr>
  </w:style>
  <w:style w:type="paragraph" w:styleId="1144">
    <w:name w:val="Body Text Indent 3"/>
    <w:basedOn w:val="1095"/>
    <w:link w:val="1196"/>
    <w:qFormat/>
    <w:pPr>
      <w:ind w:left="645" w:firstLine="645"/>
    </w:pPr>
    <w:rPr>
      <w:rFonts w:ascii="Arial" w:hAnsi="Arial" w:eastAsia="仿宋_GB2312"/>
      <w:color w:val="ffff00"/>
      <w:sz w:val="32"/>
    </w:rPr>
  </w:style>
  <w:style w:type="paragraph" w:styleId="1145">
    <w:name w:val="index 7"/>
    <w:basedOn w:val="1095"/>
    <w:next w:val="1095"/>
    <w:pPr>
      <w:ind w:left="2520"/>
    </w:pPr>
  </w:style>
  <w:style w:type="paragraph" w:styleId="1146">
    <w:name w:val="index 9"/>
    <w:basedOn w:val="1095"/>
    <w:next w:val="1095"/>
    <w:pPr>
      <w:ind w:left="3360"/>
    </w:pPr>
  </w:style>
  <w:style w:type="paragraph" w:styleId="1147">
    <w:name w:val="table of figures"/>
    <w:basedOn w:val="1095"/>
    <w:next w:val="1095"/>
    <w:pPr>
      <w:ind w:left="840" w:hanging="420"/>
    </w:pPr>
  </w:style>
  <w:style w:type="paragraph" w:styleId="1148">
    <w:name w:val="toc 2"/>
    <w:basedOn w:val="1095"/>
    <w:next w:val="1095"/>
    <w:uiPriority w:val="39"/>
    <w:pPr>
      <w:ind w:left="210"/>
      <w:jc w:val="left"/>
    </w:pPr>
    <w:rPr>
      <w:smallCaps/>
      <w:sz w:val="20"/>
    </w:rPr>
  </w:style>
  <w:style w:type="paragraph" w:styleId="1149">
    <w:name w:val="toc 9"/>
    <w:basedOn w:val="1095"/>
    <w:next w:val="1095"/>
    <w:pPr>
      <w:ind w:left="1680"/>
      <w:jc w:val="left"/>
    </w:pPr>
    <w:rPr>
      <w:sz w:val="18"/>
    </w:rPr>
  </w:style>
  <w:style w:type="paragraph" w:styleId="1150">
    <w:name w:val="HTML Preformatted"/>
    <w:basedOn w:val="1095"/>
    <w:link w:val="119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51">
    <w:name w:val="Normal (Web)"/>
    <w:basedOn w:val="1095"/>
    <w:pPr>
      <w:jc w:val="left"/>
      <w:spacing w:before="100" w:beforeAutospacing="1" w:after="100" w:afterAutospacing="1"/>
      <w:widowControl/>
    </w:pPr>
    <w:rPr>
      <w:rFonts w:ascii="Arial" w:hAnsi="Arial" w:eastAsia="Arial Unicode MS" w:cs="Arial"/>
      <w:sz w:val="24"/>
      <w:szCs w:val="24"/>
    </w:rPr>
  </w:style>
  <w:style w:type="paragraph" w:styleId="1152">
    <w:name w:val="index 2"/>
    <w:basedOn w:val="1095"/>
    <w:next w:val="1095"/>
    <w:pPr>
      <w:ind w:left="420"/>
    </w:pPr>
  </w:style>
  <w:style w:type="paragraph" w:styleId="1153">
    <w:name w:val="Title"/>
    <w:basedOn w:val="1095"/>
    <w:link w:val="1199"/>
    <w:uiPriority w:val="10"/>
    <w:qFormat/>
    <w:pPr>
      <w:jc w:val="center"/>
      <w:spacing w:line="420" w:lineRule="exact"/>
      <w:widowControl/>
    </w:pPr>
    <w:rPr>
      <w:rFonts w:eastAsia="黑体"/>
      <w:b/>
      <w:sz w:val="28"/>
      <w:lang w:val="en-GB"/>
    </w:rPr>
  </w:style>
  <w:style w:type="paragraph" w:styleId="1154">
    <w:name w:val="annotation subject"/>
    <w:basedOn w:val="1117"/>
    <w:next w:val="1117"/>
    <w:link w:val="1200"/>
    <w:rPr>
      <w:b/>
      <w:bCs/>
    </w:rPr>
  </w:style>
  <w:style w:type="paragraph" w:styleId="1155">
    <w:name w:val="Body Text First Indent"/>
    <w:basedOn w:val="1121"/>
    <w:link w:val="1201"/>
    <w:uiPriority w:val="99"/>
    <w:pPr>
      <w:ind w:firstLine="420"/>
      <w:spacing w:after="120"/>
    </w:pPr>
    <w:rPr>
      <w:rFonts w:ascii="Times New Roman" w:hAnsi="Times New Roman" w:eastAsia="宋体"/>
      <w:sz w:val="21"/>
      <w:szCs w:val="24"/>
    </w:rPr>
  </w:style>
  <w:style w:type="paragraph" w:styleId="1156">
    <w:name w:val="Body Text First Indent 2"/>
    <w:basedOn w:val="1122"/>
    <w:link w:val="1202"/>
    <w:uiPriority w:val="99"/>
    <w:pPr>
      <w:ind w:left="420" w:firstLine="420"/>
      <w:spacing w:after="120"/>
    </w:pPr>
    <w:rPr>
      <w:sz w:val="21"/>
    </w:rPr>
  </w:style>
  <w:style w:type="table" w:styleId="1157">
    <w:name w:val="Table Grid"/>
    <w:basedOn w:val="1106"/>
    <w:qFormat/>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58">
    <w:name w:val="Strong"/>
    <w:uiPriority w:val="22"/>
    <w:qFormat/>
    <w:rPr>
      <w:rFonts w:ascii="Times New Roman" w:hAnsi="Times New Roman" w:eastAsia="宋体" w:cs="Times New Roman"/>
      <w:b/>
      <w:bCs/>
    </w:rPr>
  </w:style>
  <w:style w:type="character" w:styleId="1159">
    <w:name w:val="endnote reference"/>
    <w:rPr>
      <w:rFonts w:ascii="Times New Roman" w:hAnsi="Times New Roman" w:eastAsia="宋体" w:cs="Times New Roman"/>
      <w:vertAlign w:val="superscript"/>
    </w:rPr>
  </w:style>
  <w:style w:type="character" w:styleId="1160">
    <w:name w:val="page number"/>
    <w:rPr>
      <w:rFonts w:ascii="Times New Roman" w:hAnsi="Times New Roman" w:eastAsia="宋体" w:cs="Times New Roman"/>
    </w:rPr>
  </w:style>
  <w:style w:type="character" w:styleId="1161">
    <w:name w:val="FollowedHyperlink"/>
    <w:uiPriority w:val="99"/>
    <w:rPr>
      <w:rFonts w:ascii="Times New Roman" w:hAnsi="Times New Roman" w:eastAsia="宋体" w:cs="Times New Roman"/>
      <w:color w:val="800080"/>
      <w:u w:val="single"/>
    </w:rPr>
  </w:style>
  <w:style w:type="character" w:styleId="1162">
    <w:name w:val="Emphasis"/>
    <w:qFormat/>
    <w:rPr>
      <w:rFonts w:ascii="Times New Roman" w:hAnsi="Times New Roman" w:eastAsia="宋体" w:cs="Times New Roman"/>
      <w:b/>
      <w:bCs/>
      <w:i/>
      <w:iCs/>
      <w:spacing w:val="10"/>
      <w:shd w:val="clear" w:color="auto" w:fill="auto"/>
    </w:rPr>
  </w:style>
  <w:style w:type="character" w:styleId="1163">
    <w:name w:val="line number"/>
    <w:rPr>
      <w:rFonts w:ascii="Times New Roman" w:hAnsi="Times New Roman" w:eastAsia="宋体" w:cs="Times New Roman"/>
    </w:rPr>
  </w:style>
  <w:style w:type="character" w:styleId="1164">
    <w:name w:val="HTML Typewriter"/>
    <w:rPr>
      <w:rFonts w:ascii="宋体" w:hAnsi="宋体" w:eastAsia="宋体" w:cs="宋体"/>
      <w:sz w:val="24"/>
      <w:szCs w:val="24"/>
    </w:rPr>
  </w:style>
  <w:style w:type="character" w:styleId="1165">
    <w:name w:val="Hyperlink"/>
    <w:qFormat/>
    <w:rPr>
      <w:rFonts w:ascii="Times New Roman" w:hAnsi="Times New Roman" w:eastAsia="宋体" w:cs="Times New Roman"/>
      <w:color w:val="0000ff"/>
      <w:u w:val="single"/>
    </w:rPr>
  </w:style>
  <w:style w:type="character" w:styleId="1166">
    <w:name w:val="annotation reference"/>
    <w:qFormat/>
    <w:rPr>
      <w:rFonts w:ascii="Times New Roman" w:hAnsi="Times New Roman" w:eastAsia="宋体" w:cs="Times New Roman"/>
      <w:sz w:val="21"/>
    </w:rPr>
  </w:style>
  <w:style w:type="character" w:styleId="1167">
    <w:name w:val="footnote reference"/>
    <w:rPr>
      <w:rFonts w:ascii="Times New Roman" w:hAnsi="Times New Roman" w:eastAsia="宋体" w:cs="Times New Roman"/>
      <w:vertAlign w:val="superscript"/>
    </w:rPr>
  </w:style>
  <w:style w:type="character" w:styleId="1168">
    <w:name w:val="HTML Sample"/>
    <w:rPr>
      <w:rFonts w:ascii="Courier New" w:hAnsi="宋体" w:eastAsia="宋体" w:cs="Courier New"/>
    </w:rPr>
  </w:style>
  <w:style w:type="character" w:styleId="1169" w:customStyle="1">
    <w:name w:val="页眉 Char"/>
    <w:basedOn w:val="1105"/>
    <w:link w:val="1135"/>
    <w:uiPriority w:val="99"/>
    <w:qFormat/>
    <w:rPr>
      <w:sz w:val="18"/>
      <w:szCs w:val="18"/>
    </w:rPr>
  </w:style>
  <w:style w:type="character" w:styleId="1170" w:customStyle="1">
    <w:name w:val="页脚 Char"/>
    <w:basedOn w:val="1105"/>
    <w:link w:val="1134"/>
    <w:uiPriority w:val="99"/>
    <w:qFormat/>
    <w:rPr>
      <w:sz w:val="18"/>
      <w:szCs w:val="18"/>
    </w:rPr>
  </w:style>
  <w:style w:type="character" w:styleId="1171" w:customStyle="1">
    <w:name w:val="标题 1 Char"/>
    <w:basedOn w:val="1105"/>
    <w:link w:val="1096"/>
    <w:uiPriority w:val="9"/>
    <w:qFormat/>
    <w:rPr>
      <w:rFonts w:ascii="黑体" w:hAnsi="Times New Roman" w:eastAsia="黑体" w:cs="Times New Roman"/>
      <w:b/>
      <w:sz w:val="24"/>
      <w:szCs w:val="28"/>
    </w:rPr>
  </w:style>
  <w:style w:type="character" w:styleId="1172" w:customStyle="1">
    <w:name w:val="标题 2 Char"/>
    <w:basedOn w:val="1105"/>
    <w:link w:val="1097"/>
    <w:uiPriority w:val="9"/>
    <w:qFormat/>
    <w:rPr>
      <w:rFonts w:ascii="Arial" w:hAnsi="Arial" w:eastAsia="黑体" w:cs="Times New Roman"/>
      <w:b/>
      <w:bCs/>
      <w:sz w:val="32"/>
      <w:szCs w:val="32"/>
    </w:rPr>
  </w:style>
  <w:style w:type="character" w:styleId="1173" w:customStyle="1">
    <w:name w:val="标题 3 Char"/>
    <w:basedOn w:val="1105"/>
    <w:link w:val="1098"/>
    <w:uiPriority w:val="9"/>
    <w:rPr>
      <w:rFonts w:ascii="Times New Roman" w:hAnsi="Times New Roman" w:eastAsia="宋体" w:cs="Times New Roman"/>
      <w:b/>
      <w:bCs/>
      <w:sz w:val="32"/>
      <w:szCs w:val="32"/>
    </w:rPr>
  </w:style>
  <w:style w:type="character" w:styleId="1174" w:customStyle="1">
    <w:name w:val="标题 4 Char"/>
    <w:basedOn w:val="1105"/>
    <w:link w:val="1099"/>
    <w:uiPriority w:val="9"/>
    <w:rPr>
      <w:rFonts w:ascii="Arial" w:hAnsi="Arial" w:eastAsia="黑体" w:cs="Times New Roman"/>
      <w:b/>
      <w:sz w:val="28"/>
      <w:szCs w:val="20"/>
    </w:rPr>
  </w:style>
  <w:style w:type="character" w:styleId="1175" w:customStyle="1">
    <w:name w:val="标题 5 Char"/>
    <w:basedOn w:val="1105"/>
    <w:link w:val="1100"/>
    <w:uiPriority w:val="9"/>
    <w:rPr>
      <w:rFonts w:ascii="黑体" w:hAnsi="Times New Roman" w:eastAsia="黑体" w:cs="Times New Roman"/>
      <w:b/>
      <w:color w:val="000000"/>
      <w:sz w:val="28"/>
      <w:szCs w:val="20"/>
    </w:rPr>
  </w:style>
  <w:style w:type="character" w:styleId="1176" w:customStyle="1">
    <w:name w:val="标题 6 Char"/>
    <w:basedOn w:val="1105"/>
    <w:link w:val="1101"/>
    <w:uiPriority w:val="9"/>
    <w:rPr>
      <w:rFonts w:ascii="Arial" w:hAnsi="Arial" w:eastAsia="黑体" w:cs="Times New Roman"/>
      <w:b/>
      <w:bCs/>
      <w:sz w:val="24"/>
      <w:szCs w:val="24"/>
    </w:rPr>
  </w:style>
  <w:style w:type="character" w:styleId="1177" w:customStyle="1">
    <w:name w:val="标题 7 Char"/>
    <w:basedOn w:val="1105"/>
    <w:link w:val="1102"/>
    <w:uiPriority w:val="9"/>
    <w:rPr>
      <w:rFonts w:ascii="Times New Roman" w:hAnsi="Times New Roman" w:eastAsia="宋体" w:cs="Times New Roman"/>
      <w:b/>
      <w:bCs/>
      <w:sz w:val="24"/>
      <w:szCs w:val="24"/>
    </w:rPr>
  </w:style>
  <w:style w:type="character" w:styleId="1178" w:customStyle="1">
    <w:name w:val="标题 8 Char"/>
    <w:basedOn w:val="1105"/>
    <w:link w:val="1103"/>
    <w:uiPriority w:val="9"/>
    <w:rPr>
      <w:rFonts w:ascii="Arial" w:hAnsi="Arial" w:eastAsia="黑体" w:cs="Times New Roman"/>
      <w:sz w:val="24"/>
      <w:szCs w:val="24"/>
    </w:rPr>
  </w:style>
  <w:style w:type="character" w:styleId="1179" w:customStyle="1">
    <w:name w:val="标题 9 Char"/>
    <w:basedOn w:val="1105"/>
    <w:link w:val="1104"/>
    <w:uiPriority w:val="9"/>
    <w:rPr>
      <w:rFonts w:ascii="Arial" w:hAnsi="Arial" w:eastAsia="黑体" w:cs="Times New Roman"/>
      <w:szCs w:val="21"/>
    </w:rPr>
  </w:style>
  <w:style w:type="character" w:styleId="1180" w:customStyle="1">
    <w:name w:val="标题 3 Char1"/>
    <w:link w:val="1098"/>
    <w:uiPriority w:val="9"/>
    <w:rPr>
      <w:rFonts w:ascii="宋体" w:hAnsi="宋体" w:eastAsia="宋体" w:cs="Times New Roman"/>
      <w:b/>
      <w:szCs w:val="21"/>
      <w:shd w:val="clear" w:color="auto" w:fill="ffffff"/>
    </w:rPr>
  </w:style>
  <w:style w:type="character" w:styleId="1181" w:customStyle="1">
    <w:name w:val="文档结构图 Char"/>
    <w:basedOn w:val="1105"/>
    <w:link w:val="1116"/>
    <w:uiPriority w:val="99"/>
    <w:rPr>
      <w:rFonts w:ascii="Times New Roman" w:hAnsi="Times New Roman" w:eastAsia="宋体" w:cs="Times New Roman"/>
      <w:szCs w:val="20"/>
      <w:shd w:val="clear" w:color="auto" w:fill="000080"/>
    </w:rPr>
  </w:style>
  <w:style w:type="character" w:styleId="1182" w:customStyle="1">
    <w:name w:val="批注文字 Char"/>
    <w:basedOn w:val="1105"/>
    <w:link w:val="1117"/>
    <w:qFormat/>
    <w:rPr>
      <w:rFonts w:ascii="Times New Roman" w:hAnsi="Times New Roman" w:eastAsia="宋体" w:cs="Times New Roman"/>
      <w:szCs w:val="20"/>
    </w:rPr>
  </w:style>
  <w:style w:type="character" w:styleId="1183" w:customStyle="1">
    <w:name w:val="称呼 Char"/>
    <w:basedOn w:val="1105"/>
    <w:link w:val="1119"/>
    <w:rPr>
      <w:rFonts w:ascii="仿宋_GB2312" w:hAnsi="Times New Roman" w:eastAsia="仿宋_GB2312" w:cs="Times New Roman"/>
      <w:sz w:val="28"/>
      <w:szCs w:val="20"/>
    </w:rPr>
  </w:style>
  <w:style w:type="character" w:styleId="1184" w:customStyle="1">
    <w:name w:val="正文文本 3 Char"/>
    <w:basedOn w:val="1105"/>
    <w:link w:val="1120"/>
    <w:rPr>
      <w:rFonts w:ascii="仿宋_GB2312" w:hAnsi="Arial" w:eastAsia="仿宋_GB2312" w:cs="Times New Roman"/>
      <w:sz w:val="32"/>
      <w:szCs w:val="20"/>
    </w:rPr>
  </w:style>
  <w:style w:type="character" w:styleId="1185" w:customStyle="1">
    <w:name w:val="正文文本 Char"/>
    <w:basedOn w:val="1105"/>
    <w:link w:val="1121"/>
    <w:rPr>
      <w:rFonts w:ascii="Times New Roman" w:hAnsi="Times New Roman" w:eastAsia="宋体" w:cs="Times New Roman"/>
      <w:szCs w:val="20"/>
    </w:rPr>
  </w:style>
  <w:style w:type="character" w:styleId="1186" w:customStyle="1">
    <w:name w:val="正文文本 Char1"/>
    <w:link w:val="1121"/>
    <w:rPr>
      <w:rFonts w:ascii="楷体_GB2312" w:hAnsi="Arial" w:eastAsia="楷体_GB2312" w:cs="Times New Roman"/>
      <w:sz w:val="28"/>
      <w:szCs w:val="20"/>
    </w:rPr>
  </w:style>
  <w:style w:type="character" w:styleId="1187" w:customStyle="1">
    <w:name w:val="正文文本缩进 Char"/>
    <w:basedOn w:val="1105"/>
    <w:link w:val="1122"/>
    <w:uiPriority w:val="99"/>
    <w:rPr>
      <w:rFonts w:ascii="楷体_GB2312" w:hAnsi="Times New Roman" w:eastAsia="楷体_GB2312" w:cs="Times New Roman"/>
      <w:sz w:val="32"/>
      <w:szCs w:val="20"/>
    </w:rPr>
  </w:style>
  <w:style w:type="character" w:styleId="1188" w:customStyle="1">
    <w:name w:val="纯文本 Char"/>
    <w:basedOn w:val="1105"/>
    <w:link w:val="1127"/>
    <w:uiPriority w:val="99"/>
    <w:rPr>
      <w:rFonts w:ascii="宋体" w:hAnsi="Courier New" w:eastAsia="宋体" w:cs="Times New Roman"/>
      <w:szCs w:val="20"/>
    </w:rPr>
  </w:style>
  <w:style w:type="character" w:styleId="1189" w:customStyle="1">
    <w:name w:val="日期 Char"/>
    <w:basedOn w:val="1105"/>
    <w:link w:val="1130"/>
    <w:rPr>
      <w:rFonts w:ascii="Times New Roman" w:hAnsi="Times New Roman" w:eastAsia="宋体" w:cs="Times New Roman"/>
      <w:sz w:val="28"/>
      <w:szCs w:val="20"/>
    </w:rPr>
  </w:style>
  <w:style w:type="character" w:styleId="1190" w:customStyle="1">
    <w:name w:val="正文文本缩进 2 Char"/>
    <w:basedOn w:val="1105"/>
    <w:link w:val="1131"/>
    <w:qFormat/>
    <w:rPr>
      <w:rFonts w:ascii="Arial" w:hAnsi="Arial" w:eastAsia="仿宋_GB2312" w:cs="Times New Roman"/>
      <w:sz w:val="32"/>
      <w:szCs w:val="20"/>
    </w:rPr>
  </w:style>
  <w:style w:type="character" w:styleId="1191" w:customStyle="1">
    <w:name w:val="尾注文本 Char"/>
    <w:basedOn w:val="1105"/>
    <w:link w:val="1132"/>
    <w:rPr>
      <w:rFonts w:ascii="Times New Roman" w:hAnsi="Times New Roman" w:eastAsia="宋体" w:cs="Times New Roman"/>
      <w:sz w:val="20"/>
      <w:szCs w:val="24"/>
    </w:rPr>
  </w:style>
  <w:style w:type="character" w:styleId="1192" w:customStyle="1">
    <w:name w:val="批注框文本 Char"/>
    <w:basedOn w:val="1105"/>
    <w:link w:val="1133"/>
    <w:rPr>
      <w:rFonts w:ascii="Times New Roman" w:hAnsi="Times New Roman" w:eastAsia="宋体" w:cs="Times New Roman"/>
      <w:sz w:val="18"/>
      <w:szCs w:val="18"/>
    </w:rPr>
  </w:style>
  <w:style w:type="character" w:styleId="1193" w:customStyle="1">
    <w:name w:val="签名 Char"/>
    <w:basedOn w:val="1105"/>
    <w:link w:val="1136"/>
    <w:rPr>
      <w:rFonts w:ascii="Times New Roman" w:hAnsi="Times New Roman" w:eastAsia="仿宋_GB2312" w:cs="Times New Roman"/>
      <w:sz w:val="24"/>
      <w:szCs w:val="20"/>
    </w:rPr>
  </w:style>
  <w:style w:type="character" w:styleId="1194" w:customStyle="1">
    <w:name w:val="副标题 Char"/>
    <w:basedOn w:val="1105"/>
    <w:link w:val="1141"/>
    <w:uiPriority w:val="11"/>
    <w:rPr>
      <w:rFonts w:ascii="Cambria" w:hAnsi="Cambria" w:eastAsia="宋体" w:cs="Times New Roman"/>
      <w:i/>
      <w:iCs/>
      <w:spacing w:val="13"/>
      <w:sz w:val="24"/>
      <w:szCs w:val="24"/>
      <w:lang w:eastAsia="en-US" w:bidi="en-US"/>
    </w:rPr>
  </w:style>
  <w:style w:type="character" w:styleId="1195" w:customStyle="1">
    <w:name w:val="脚注文本 Char"/>
    <w:basedOn w:val="1105"/>
    <w:link w:val="1142"/>
    <w:rPr>
      <w:rFonts w:ascii="Times New Roman" w:hAnsi="Times New Roman" w:eastAsia="宋体" w:cs="Times New Roman"/>
      <w:sz w:val="18"/>
      <w:szCs w:val="18"/>
    </w:rPr>
  </w:style>
  <w:style w:type="character" w:styleId="1196" w:customStyle="1">
    <w:name w:val="正文文本缩进 3 Char"/>
    <w:basedOn w:val="1105"/>
    <w:link w:val="1144"/>
    <w:uiPriority w:val="99"/>
    <w:rPr>
      <w:rFonts w:ascii="Arial" w:hAnsi="Arial" w:eastAsia="仿宋_GB2312" w:cs="Times New Roman"/>
      <w:color w:val="ffff00"/>
      <w:sz w:val="32"/>
      <w:szCs w:val="20"/>
    </w:rPr>
  </w:style>
  <w:style w:type="character" w:styleId="1197" w:customStyle="1">
    <w:name w:val="正文文本 2 Char"/>
    <w:basedOn w:val="1105"/>
    <w:link w:val="1108"/>
    <w:rPr>
      <w:rFonts w:ascii="楷体_GB2312" w:hAnsi="Times New Roman" w:eastAsia="楷体_GB2312" w:cs="Times New Roman"/>
      <w:sz w:val="28"/>
      <w:szCs w:val="20"/>
    </w:rPr>
  </w:style>
  <w:style w:type="character" w:styleId="1198" w:customStyle="1">
    <w:name w:val="HTML 预设格式 Char"/>
    <w:basedOn w:val="1105"/>
    <w:link w:val="1150"/>
    <w:rPr>
      <w:rFonts w:ascii="黑体" w:hAnsi="Courier New" w:eastAsia="黑体" w:cs="Courier New"/>
      <w:sz w:val="20"/>
      <w:szCs w:val="20"/>
    </w:rPr>
  </w:style>
  <w:style w:type="character" w:styleId="1199" w:customStyle="1">
    <w:name w:val="标题 Char"/>
    <w:basedOn w:val="1105"/>
    <w:link w:val="1153"/>
    <w:uiPriority w:val="10"/>
    <w:rPr>
      <w:rFonts w:ascii="Times New Roman" w:hAnsi="Times New Roman" w:eastAsia="黑体" w:cs="Times New Roman"/>
      <w:b/>
      <w:sz w:val="28"/>
      <w:szCs w:val="20"/>
      <w:lang w:val="en-GB"/>
    </w:rPr>
  </w:style>
  <w:style w:type="character" w:styleId="1200" w:customStyle="1">
    <w:name w:val="批注主题 Char"/>
    <w:basedOn w:val="1182"/>
    <w:link w:val="1154"/>
    <w:rPr>
      <w:b/>
      <w:bCs/>
    </w:rPr>
  </w:style>
  <w:style w:type="character" w:styleId="1201" w:customStyle="1">
    <w:name w:val="正文首行缩进 Char"/>
    <w:basedOn w:val="1185"/>
    <w:link w:val="1155"/>
    <w:rPr>
      <w:szCs w:val="24"/>
    </w:rPr>
  </w:style>
  <w:style w:type="character" w:styleId="1202" w:customStyle="1">
    <w:name w:val="正文首行缩进 2 Char"/>
    <w:basedOn w:val="1187"/>
    <w:link w:val="1156"/>
  </w:style>
  <w:style w:type="character" w:styleId="1203" w:customStyle="1">
    <w:name w:val="标题 2 字符"/>
    <w:uiPriority w:val="9"/>
    <w:rPr>
      <w:rFonts w:ascii="宋体" w:hAnsi="宋体" w:eastAsia="宋体" w:cs="Times New Roman"/>
      <w:b/>
      <w:sz w:val="21"/>
      <w:szCs w:val="24"/>
      <w:lang w:val="en-US" w:eastAsia="zh-CN" w:bidi="ar-SA"/>
    </w:rPr>
  </w:style>
  <w:style w:type="paragraph" w:styleId="1204" w:customStyle="1">
    <w:name w:val="正文1"/>
    <w:basedOn w:val="1095"/>
    <w:next w:val="1095"/>
    <w:pPr>
      <w:ind w:firstLine="510"/>
      <w:spacing w:before="156" w:line="360" w:lineRule="auto"/>
    </w:pPr>
    <w:rPr>
      <w:sz w:val="24"/>
    </w:rPr>
  </w:style>
  <w:style w:type="character" w:styleId="1205" w:customStyle="1">
    <w:name w:val="content"/>
    <w:rPr>
      <w:rFonts w:ascii="Times New Roman" w:hAnsi="Times New Roman" w:eastAsia="宋体" w:cs="Times New Roman"/>
    </w:rPr>
  </w:style>
  <w:style w:type="character" w:styleId="1206" w:customStyle="1">
    <w:name w:val="normalfont1"/>
    <w:rPr>
      <w:rFonts w:hint="default" w:ascii="ˎ̥" w:hAnsi="ˎ̥" w:eastAsia="宋体" w:cs="Times New Roman"/>
      <w:sz w:val="18"/>
      <w:szCs w:val="18"/>
      <w:u w:val="none"/>
    </w:rPr>
  </w:style>
  <w:style w:type="character" w:styleId="1207" w:customStyle="1">
    <w:name w:val="font51"/>
    <w:qFormat/>
    <w:rPr>
      <w:rFonts w:hint="eastAsia" w:ascii="宋体" w:hAnsi="宋体" w:eastAsia="宋体" w:cs="宋体"/>
      <w:color w:val="000000"/>
      <w:sz w:val="18"/>
      <w:szCs w:val="18"/>
      <w:u w:val="none"/>
    </w:rPr>
  </w:style>
  <w:style w:type="character" w:styleId="1208" w:customStyle="1">
    <w:name w:val="3zw"/>
    <w:rPr>
      <w:rFonts w:ascii="Times New Roman" w:hAnsi="Times New Roman" w:eastAsia="宋体" w:cs="Times New Roman"/>
    </w:rPr>
  </w:style>
  <w:style w:type="character" w:styleId="1209" w:customStyle="1">
    <w:name w:val="正文 + 宋体 Char"/>
    <w:rPr>
      <w:rFonts w:ascii="Times New Roman" w:hAnsi="Times New Roman" w:eastAsia="宋体" w:cs="Times New Roman"/>
      <w:sz w:val="21"/>
      <w:szCs w:val="24"/>
      <w:lang w:val="en-US" w:eastAsia="zh-CN" w:bidi="ar-SA"/>
    </w:rPr>
  </w:style>
  <w:style w:type="character" w:styleId="1210" w:customStyle="1">
    <w:name w:val="无间隔 Char"/>
    <w:link w:val="1211"/>
    <w:uiPriority w:val="1"/>
    <w:qFormat/>
    <w:rPr>
      <w:rFonts w:eastAsia="微软雅黑"/>
      <w:sz w:val="24"/>
    </w:rPr>
  </w:style>
  <w:style w:type="paragraph" w:styleId="1211">
    <w:name w:val="No Spacing"/>
    <w:link w:val="1210"/>
    <w:uiPriority w:val="1"/>
    <w:qFormat/>
    <w:pPr>
      <w:jc w:val="both"/>
      <w:widowControl w:val="off"/>
    </w:pPr>
    <w:rPr>
      <w:rFonts w:eastAsia="微软雅黑"/>
      <w:sz w:val="24"/>
      <w:szCs w:val="22"/>
    </w:rPr>
  </w:style>
  <w:style w:type="character" w:styleId="1212" w:customStyle="1">
    <w:name w:val="小四 段落 宋体 Char Char Char Char Char"/>
    <w:rPr>
      <w:rFonts w:ascii="Times New Roman" w:hAnsi="Times New Roman" w:eastAsia="宋体" w:cs="Times New Roman"/>
      <w:sz w:val="24"/>
      <w:szCs w:val="24"/>
      <w:lang w:val="en-US" w:eastAsia="zh-CN" w:bidi="ar-SA"/>
    </w:rPr>
  </w:style>
  <w:style w:type="character" w:styleId="1213" w:customStyle="1">
    <w:name w:val="textcontents"/>
    <w:rPr>
      <w:rFonts w:ascii="Times New Roman" w:hAnsi="Times New Roman" w:eastAsia="宋体" w:cs="Times New Roman"/>
    </w:rPr>
  </w:style>
  <w:style w:type="character" w:styleId="1214" w:customStyle="1">
    <w:name w:val="普通文字1 Char"/>
    <w:rPr>
      <w:rFonts w:ascii="宋体" w:hAnsi="Times New Roman" w:eastAsia="宋体" w:cs="Times New Roman"/>
      <w:sz w:val="21"/>
      <w:szCs w:val="21"/>
      <w:lang w:val="en-US" w:eastAsia="zh-CN" w:bidi="ar-SA"/>
    </w:rPr>
  </w:style>
  <w:style w:type="character" w:styleId="1215" w:customStyle="1">
    <w:name w:val="content_lineheight1"/>
    <w:rPr>
      <w:rFonts w:ascii="Times New Roman" w:hAnsi="Times New Roman" w:eastAsia="宋体" w:cs="Times New Roman"/>
    </w:rPr>
  </w:style>
  <w:style w:type="character" w:styleId="1216" w:customStyle="1">
    <w:name w:val="Title1 Char"/>
    <w:rPr>
      <w:rFonts w:ascii="Times New Roman" w:hAnsi="Times New Roman" w:eastAsia="宋体" w:cs="Times New Roman"/>
      <w:b/>
      <w:bCs/>
      <w:sz w:val="44"/>
      <w:szCs w:val="44"/>
      <w:lang w:val="en-US" w:eastAsia="zh-CN" w:bidi="ar-SA"/>
    </w:rPr>
  </w:style>
  <w:style w:type="character" w:styleId="1217" w:customStyle="1">
    <w:name w:val="Char Char21"/>
    <w:rPr>
      <w:rFonts w:ascii="Arial" w:hAnsi="Arial" w:eastAsia="黑体" w:cs="Times New Roman"/>
      <w:sz w:val="24"/>
      <w:szCs w:val="24"/>
    </w:rPr>
  </w:style>
  <w:style w:type="character" w:styleId="1218" w:customStyle="1">
    <w:name w:val="小四 段落 宋体 Char Char Char Char1"/>
    <w:rPr>
      <w:rFonts w:ascii="Times New Roman" w:hAnsi="Times New Roman" w:eastAsia="宋体" w:cs="Times New Roman"/>
      <w:sz w:val="24"/>
      <w:szCs w:val="24"/>
      <w:lang w:val="en-US" w:eastAsia="zh-CN" w:bidi="ar-SA"/>
    </w:rPr>
  </w:style>
  <w:style w:type="character" w:styleId="1219" w:customStyle="1">
    <w:name w:val="表格抬头 Char"/>
    <w:link w:val="1220"/>
    <w:rPr>
      <w:rFonts w:ascii="黑体" w:hAnsi="Times New Roman" w:eastAsia="黑体" w:cs="Times New Roman"/>
      <w:b/>
    </w:rPr>
  </w:style>
  <w:style w:type="paragraph" w:styleId="1220" w:customStyle="1">
    <w:name w:val="表格抬头"/>
    <w:basedOn w:val="1095"/>
    <w:link w:val="1219"/>
    <w:pPr>
      <w:jc w:val="center"/>
    </w:pPr>
    <w:rPr>
      <w:rFonts w:ascii="黑体" w:eastAsia="黑体"/>
      <w:b/>
      <w:szCs w:val="22"/>
    </w:rPr>
  </w:style>
  <w:style w:type="character" w:styleId="1221" w:customStyle="1">
    <w:name w:val="2nd level Char"/>
    <w:rPr>
      <w:rFonts w:ascii="Arial" w:hAnsi="Arial" w:eastAsia="黑体" w:cs="Times New Roman"/>
      <w:b/>
      <w:bCs/>
      <w:sz w:val="32"/>
      <w:szCs w:val="32"/>
      <w:lang w:val="en-US" w:eastAsia="zh-CN" w:bidi="ar-SA"/>
    </w:rPr>
  </w:style>
  <w:style w:type="character" w:styleId="1222" w:customStyle="1">
    <w:name w:val="纯文本 Char1"/>
    <w:rPr>
      <w:rFonts w:ascii="宋体" w:hAnsi="Courier New" w:eastAsia="宋体" w:cs="Courier New"/>
      <w:sz w:val="21"/>
      <w:szCs w:val="21"/>
    </w:rPr>
  </w:style>
  <w:style w:type="character" w:styleId="1223" w:customStyle="1">
    <w:name w:val="Char Char2"/>
    <w:rPr>
      <w:rFonts w:ascii="宋体" w:hAnsi="Courier New" w:eastAsia="宋体" w:cs="Times New Roman"/>
      <w:sz w:val="21"/>
      <w:szCs w:val="21"/>
      <w:lang w:val="en-US" w:eastAsia="zh-CN" w:bidi="ar-SA"/>
    </w:rPr>
  </w:style>
  <w:style w:type="character" w:styleId="1224" w:customStyle="1">
    <w:name w:val="明显参考1"/>
    <w:qFormat/>
    <w:rPr>
      <w:rFonts w:ascii="Times New Roman" w:hAnsi="Times New Roman" w:eastAsia="宋体" w:cs="Times New Roman"/>
      <w:smallCaps/>
      <w:spacing w:val="5"/>
      <w:u w:val="single"/>
    </w:rPr>
  </w:style>
  <w:style w:type="character" w:styleId="1225" w:customStyle="1">
    <w:name w:val="A2"/>
    <w:rPr>
      <w:rFonts w:ascii="Times New Roman" w:hAnsi="Times New Roman" w:eastAsia="宋体" w:cs="Helvetica"/>
      <w:color w:val="000000"/>
      <w:sz w:val="18"/>
      <w:szCs w:val="18"/>
    </w:rPr>
  </w:style>
  <w:style w:type="character" w:styleId="1226" w:customStyle="1">
    <w:name w:val="二级目录 Char Char"/>
    <w:link w:val="1227"/>
    <w:rPr>
      <w:b/>
      <w:sz w:val="30"/>
      <w:szCs w:val="28"/>
    </w:rPr>
  </w:style>
  <w:style w:type="paragraph" w:styleId="1227" w:customStyle="1">
    <w:name w:val="二级目录"/>
    <w:next w:val="1095"/>
    <w:link w:val="1226"/>
    <w:qFormat/>
    <w:pPr>
      <w:tabs>
        <w:tab w:val="left" w:pos="360" w:leader="none"/>
        <w:tab w:val="left" w:pos="720" w:leader="none"/>
      </w:tabs>
      <w:outlineLvl w:val="1"/>
    </w:pPr>
    <w:rPr>
      <w:b/>
      <w:sz w:val="30"/>
      <w:szCs w:val="28"/>
    </w:rPr>
  </w:style>
  <w:style w:type="character" w:styleId="1228" w:customStyle="1">
    <w:name w:val="已访问的超链接1"/>
    <w:rPr>
      <w:rFonts w:ascii="Times New Roman" w:hAnsi="Times New Roman" w:eastAsia="宋体" w:cs="Times New Roman"/>
      <w:color w:val="auto"/>
      <w:u w:val="none"/>
    </w:rPr>
  </w:style>
  <w:style w:type="character" w:styleId="1229" w:customStyle="1">
    <w:name w:val="font81"/>
    <w:rPr>
      <w:rFonts w:hint="default" w:ascii="Times New Roman" w:hAnsi="Times New Roman" w:eastAsia="宋体" w:cs="Times New Roman"/>
      <w:color w:val="000000"/>
      <w:sz w:val="22"/>
      <w:szCs w:val="22"/>
      <w:u w:val="none"/>
    </w:rPr>
  </w:style>
  <w:style w:type="character" w:styleId="1230" w:customStyle="1">
    <w:name w:val="纯文本 Char Char"/>
    <w:rPr>
      <w:rFonts w:ascii="宋体" w:hAnsi="Courier New" w:eastAsia="宋体" w:cs="Times New Roman"/>
      <w:sz w:val="21"/>
      <w:szCs w:val="21"/>
      <w:lang w:val="en-US" w:eastAsia="zh-CN" w:bidi="ar-SA"/>
    </w:rPr>
  </w:style>
  <w:style w:type="character" w:styleId="1231" w:customStyle="1">
    <w:name w:val="Char Char24"/>
    <w:rPr>
      <w:rFonts w:ascii="Times New Roman" w:hAnsi="Times New Roman" w:eastAsia="宋体" w:cs="Times New Roman"/>
      <w:b/>
      <w:bCs/>
      <w:sz w:val="28"/>
      <w:szCs w:val="28"/>
    </w:rPr>
  </w:style>
  <w:style w:type="character" w:styleId="1232" w:customStyle="1">
    <w:name w:val="列出段落 Char"/>
    <w:link w:val="1233"/>
    <w:rPr>
      <w:rFonts w:ascii="Arial" w:hAnsi="Arial" w:eastAsia="黑体" w:cs="Times New Roman"/>
      <w:sz w:val="24"/>
      <w:szCs w:val="24"/>
      <w:lang w:eastAsia="en-US"/>
    </w:rPr>
  </w:style>
  <w:style w:type="paragraph" w:styleId="1233" w:customStyle="1">
    <w:name w:val="列出段落1"/>
    <w:basedOn w:val="1095"/>
    <w:link w:val="1232"/>
    <w:qFormat/>
    <w:pPr>
      <w:contextualSpacing/>
      <w:ind w:left="720"/>
      <w:jc w:val="left"/>
      <w:widowControl/>
    </w:pPr>
    <w:rPr>
      <w:rFonts w:ascii="Arial" w:hAnsi="Arial" w:eastAsia="黑体"/>
      <w:sz w:val="24"/>
      <w:szCs w:val="24"/>
      <w:lang w:eastAsia="en-US"/>
    </w:rPr>
  </w:style>
  <w:style w:type="character" w:styleId="1234" w:customStyle="1">
    <w:name w:val="ih151"/>
    <w:rPr>
      <w:rFonts w:ascii="Times New Roman" w:hAnsi="Times New Roman" w:eastAsia="宋体" w:cs="Times New Roman"/>
      <w:color w:val="666666"/>
      <w:sz w:val="18"/>
      <w:szCs w:val="18"/>
      <w:u w:val="none"/>
    </w:rPr>
  </w:style>
  <w:style w:type="character" w:styleId="1235" w:customStyle="1">
    <w:name w:val="apple-converted-space"/>
    <w:rPr>
      <w:rFonts w:ascii="Times New Roman" w:hAnsi="Times New Roman" w:eastAsia="宋体" w:cs="Times New Roman"/>
    </w:rPr>
  </w:style>
  <w:style w:type="character" w:styleId="1236" w:customStyle="1">
    <w:name w:val="标准小四 Char"/>
    <w:rPr>
      <w:rFonts w:ascii="Arial" w:hAnsi="Arial" w:eastAsia="宋体" w:cs="Times New Roman"/>
      <w:sz w:val="24"/>
      <w:szCs w:val="21"/>
      <w:lang w:val="en-US" w:eastAsia="zh-CN" w:bidi="ar-SA"/>
    </w:rPr>
  </w:style>
  <w:style w:type="character" w:styleId="1237" w:customStyle="1">
    <w:name w:val="引用 Char"/>
    <w:uiPriority w:val="29"/>
    <w:rPr>
      <w:rFonts w:ascii="Calibri" w:hAnsi="Calibri" w:eastAsia="宋体" w:cs="Times New Roman"/>
      <w:i/>
      <w:iCs/>
      <w:sz w:val="22"/>
      <w:lang w:eastAsia="en-US" w:bidi="en-US"/>
    </w:rPr>
  </w:style>
  <w:style w:type="paragraph" w:styleId="1238">
    <w:name w:val="Quote"/>
    <w:basedOn w:val="1095"/>
    <w:next w:val="1095"/>
    <w:link w:val="1239"/>
    <w:uiPriority w:val="29"/>
    <w:qFormat/>
    <w:pPr>
      <w:ind w:left="360" w:right="360"/>
      <w:jc w:val="left"/>
      <w:spacing w:before="200" w:line="276" w:lineRule="auto"/>
      <w:widowControl/>
    </w:pPr>
    <w:rPr>
      <w:rFonts w:ascii="Calibri" w:hAnsi="Calibri"/>
      <w:i/>
      <w:iCs/>
      <w:sz w:val="22"/>
      <w:szCs w:val="22"/>
      <w:lang w:eastAsia="en-US" w:bidi="en-US"/>
    </w:rPr>
  </w:style>
  <w:style w:type="character" w:styleId="1239" w:customStyle="1">
    <w:name w:val="引用 Char1"/>
    <w:basedOn w:val="1105"/>
    <w:link w:val="1238"/>
    <w:uiPriority w:val="29"/>
    <w:rPr>
      <w:rFonts w:ascii="Times New Roman" w:hAnsi="Times New Roman" w:eastAsia="宋体" w:cs="Times New Roman"/>
      <w:i/>
      <w:iCs/>
      <w:color w:val="000000" w:themeColor="text1"/>
      <w:szCs w:val="20"/>
    </w:rPr>
  </w:style>
  <w:style w:type="character" w:styleId="1240" w:customStyle="1">
    <w:name w:val="样式 首行缩进:  2 字符 Char Char"/>
    <w:link w:val="1241"/>
    <w:rPr>
      <w:rFonts w:ascii="Times New Roman" w:hAnsi="Times New Roman" w:eastAsia="宋体" w:cs="宋体"/>
      <w:sz w:val="24"/>
    </w:rPr>
  </w:style>
  <w:style w:type="paragraph" w:styleId="1241" w:customStyle="1">
    <w:name w:val="样式 首行缩进:  2 字符"/>
    <w:basedOn w:val="1095"/>
    <w:link w:val="1240"/>
    <w:pPr>
      <w:ind w:firstLine="480"/>
      <w:spacing w:line="360" w:lineRule="auto"/>
    </w:pPr>
    <w:rPr>
      <w:rFonts w:cs="宋体"/>
      <w:sz w:val="24"/>
      <w:szCs w:val="22"/>
    </w:rPr>
  </w:style>
  <w:style w:type="character" w:styleId="1242" w:customStyle="1">
    <w:name w:val="书籍标题1"/>
    <w:qFormat/>
    <w:rPr>
      <w:rFonts w:ascii="Times New Roman" w:hAnsi="Times New Roman" w:eastAsia="宋体" w:cs="Times New Roman"/>
      <w:i/>
      <w:iCs/>
      <w:smallCaps/>
      <w:spacing w:val="5"/>
    </w:rPr>
  </w:style>
  <w:style w:type="character" w:styleId="1243" w:customStyle="1">
    <w:name w:val="特点 Char1"/>
    <w:rPr>
      <w:rFonts w:ascii="Times New Roman" w:hAnsi="Times New Roman" w:eastAsia="宋体" w:cs="Times New Roman"/>
      <w:sz w:val="21"/>
      <w:lang w:val="en-US" w:eastAsia="zh-CN" w:bidi="ar-SA"/>
    </w:rPr>
  </w:style>
  <w:style w:type="character" w:styleId="1244" w:customStyle="1">
    <w:name w:val="font201"/>
    <w:rPr>
      <w:rFonts w:hint="eastAsia" w:ascii="宋体" w:hAnsi="宋体" w:eastAsia="宋体" w:cs="宋体"/>
      <w:color w:val="000000"/>
      <w:sz w:val="18"/>
      <w:szCs w:val="18"/>
      <w:u w:val="none"/>
    </w:rPr>
  </w:style>
  <w:style w:type="character" w:styleId="1245" w:customStyle="1">
    <w:name w:val="Char Char20"/>
    <w:rPr>
      <w:rFonts w:ascii="Arial" w:hAnsi="Arial" w:eastAsia="黑体" w:cs="Times New Roman"/>
      <w:sz w:val="21"/>
      <w:szCs w:val="21"/>
    </w:rPr>
  </w:style>
  <w:style w:type="character" w:styleId="1246" w:customStyle="1">
    <w:name w:val="纯文本 Char Char Char1"/>
    <w:rPr>
      <w:rFonts w:ascii="宋体" w:hAnsi="Courier New" w:eastAsia="宋体" w:cs="Times New Roman"/>
      <w:sz w:val="21"/>
      <w:szCs w:val="21"/>
      <w:lang w:val="en-US" w:eastAsia="zh-CN" w:bidi="ar-SA"/>
    </w:rPr>
  </w:style>
  <w:style w:type="character" w:styleId="1247" w:customStyle="1">
    <w:name w:val="param-value"/>
    <w:rPr>
      <w:rFonts w:ascii="Times New Roman" w:hAnsi="Times New Roman" w:eastAsia="宋体" w:cs="Times New Roman"/>
    </w:rPr>
  </w:style>
  <w:style w:type="character" w:styleId="1248" w:customStyle="1">
    <w:name w:val="font91"/>
    <w:rPr>
      <w:rFonts w:hint="eastAsia" w:ascii="宋体" w:hAnsi="宋体" w:eastAsia="宋体" w:cs="宋体"/>
      <w:b/>
      <w:color w:val="000000"/>
      <w:sz w:val="22"/>
      <w:szCs w:val="22"/>
      <w:u w:val="none"/>
    </w:rPr>
  </w:style>
  <w:style w:type="character" w:styleId="1249" w:customStyle="1">
    <w:name w:val="标准文本 Char"/>
    <w:rPr>
      <w:rFonts w:ascii="Times New Roman" w:hAnsi="Times New Roman" w:eastAsia="宋体" w:cs="宋体"/>
      <w:sz w:val="24"/>
      <w:szCs w:val="24"/>
      <w:lang w:val="en-US" w:eastAsia="zh-CN" w:bidi="ar-SA"/>
    </w:rPr>
  </w:style>
  <w:style w:type="character" w:styleId="1250" w:customStyle="1">
    <w:name w:val="style131"/>
    <w:rPr>
      <w:rFonts w:ascii="Times New Roman" w:hAnsi="Times New Roman" w:eastAsia="宋体" w:cs="Times New Roman"/>
      <w:sz w:val="18"/>
      <w:szCs w:val="18"/>
    </w:rPr>
  </w:style>
  <w:style w:type="character" w:styleId="1251" w:customStyle="1">
    <w:name w:val="样式 宋体 小四"/>
    <w:rPr>
      <w:rFonts w:ascii="宋体" w:hAnsi="宋体" w:eastAsia="宋体" w:cs="Times New Roman"/>
      <w:sz w:val="24"/>
    </w:rPr>
  </w:style>
  <w:style w:type="character" w:styleId="1252" w:customStyle="1">
    <w:name w:val="样式 首行缩进:  2 字符 Char"/>
    <w:rPr>
      <w:rFonts w:ascii="Times New Roman" w:hAnsi="Times New Roman" w:eastAsia="宋体" w:cs="宋体"/>
      <w:sz w:val="24"/>
      <w:lang w:val="en-US" w:eastAsia="zh-CN" w:bidi="ar-SA"/>
    </w:rPr>
  </w:style>
  <w:style w:type="character" w:styleId="1253" w:customStyle="1">
    <w:name w:val="标准文本 Char Char"/>
    <w:rPr>
      <w:rFonts w:ascii="Times New Roman" w:hAnsi="Times New Roman" w:eastAsia="宋体" w:cs="宋体"/>
      <w:sz w:val="24"/>
      <w:szCs w:val="24"/>
      <w:lang w:val="en-US" w:eastAsia="zh-CN" w:bidi="ar-SA"/>
    </w:rPr>
  </w:style>
  <w:style w:type="character" w:styleId="1254" w:customStyle="1">
    <w:name w:val="Char Char17"/>
    <w:rPr>
      <w:rFonts w:ascii="宋体" w:hAnsi="Courier New" w:eastAsia="宋体" w:cs="Times New Roman"/>
      <w:sz w:val="21"/>
      <w:szCs w:val="21"/>
    </w:rPr>
  </w:style>
  <w:style w:type="character" w:styleId="1255" w:customStyle="1">
    <w:name w:val="小四 段落 宋体 Char Char Char Char Char Char Char Char"/>
    <w:rPr>
      <w:rFonts w:ascii="Times New Roman" w:hAnsi="Times New Roman" w:eastAsia="宋体" w:cs="Times New Roman"/>
      <w:sz w:val="24"/>
      <w:szCs w:val="24"/>
      <w:lang w:val="en-US" w:eastAsia="zh-CN" w:bidi="ar-SA"/>
    </w:rPr>
  </w:style>
  <w:style w:type="character" w:styleId="1256" w:customStyle="1">
    <w:name w:val="Char Char27"/>
    <w:rPr>
      <w:rFonts w:ascii="Times New Roman" w:hAnsi="Times New Roman" w:eastAsia="宋体" w:cs="Times New Roman"/>
      <w:b/>
      <w:bCs/>
      <w:sz w:val="44"/>
      <w:szCs w:val="44"/>
    </w:rPr>
  </w:style>
  <w:style w:type="character" w:styleId="1257" w:customStyle="1">
    <w:name w:val="style13"/>
    <w:rPr>
      <w:rFonts w:ascii="Times New Roman" w:hAnsi="Times New Roman" w:eastAsia="宋体" w:cs="Times New Roman"/>
      <w:sz w:val="18"/>
      <w:szCs w:val="18"/>
    </w:rPr>
  </w:style>
  <w:style w:type="character" w:styleId="1258" w:customStyle="1">
    <w:name w:val="华宇段落1 Char Char Char"/>
    <w:qFormat/>
    <w:rPr>
      <w:rFonts w:ascii="Times New Roman" w:hAnsi="Times New Roman" w:eastAsia="宋体" w:cs="Times New Roman"/>
      <w:bCs/>
      <w:sz w:val="24"/>
      <w:szCs w:val="24"/>
      <w:lang w:val="en-US" w:eastAsia="zh-CN" w:bidi="ar-SA"/>
    </w:rPr>
  </w:style>
  <w:style w:type="character" w:styleId="1259" w:customStyle="1">
    <w:name w:val="subtitle1"/>
    <w:rPr>
      <w:rFonts w:hint="default" w:ascii="Georgia" w:hAnsi="Georgia" w:eastAsia="宋体" w:cs="Times New Roman"/>
      <w:b/>
      <w:bCs/>
      <w:color w:val="666666"/>
      <w:sz w:val="18"/>
      <w:szCs w:val="18"/>
    </w:rPr>
  </w:style>
  <w:style w:type="character" w:styleId="1260" w:customStyle="1">
    <w:name w:val="小四 段落 宋体 Char Char Char1"/>
    <w:rPr>
      <w:rFonts w:ascii="宋体" w:hAnsi="宋体" w:eastAsia="宋体" w:cs="Times New Roman"/>
      <w:sz w:val="24"/>
      <w:szCs w:val="24"/>
      <w:lang w:val="en-US" w:eastAsia="zh-CN" w:bidi="ar-SA"/>
    </w:rPr>
  </w:style>
  <w:style w:type="character" w:styleId="1261" w:customStyle="1">
    <w:name w:val="标准小四 Char Char"/>
    <w:rPr>
      <w:rFonts w:ascii="Arial" w:hAnsi="Arial" w:eastAsia="宋体" w:cs="Times New Roman"/>
      <w:sz w:val="24"/>
      <w:szCs w:val="21"/>
      <w:lang w:val="en-US" w:eastAsia="zh-CN" w:bidi="ar-SA"/>
    </w:rPr>
  </w:style>
  <w:style w:type="character" w:styleId="1262" w:customStyle="1">
    <w:name w:val="新图表正文 Char Char"/>
    <w:link w:val="1263"/>
    <w:rPr>
      <w:rFonts w:ascii="宋体" w:hAnsi="宋体"/>
      <w:sz w:val="18"/>
      <w:szCs w:val="21"/>
    </w:rPr>
  </w:style>
  <w:style w:type="paragraph" w:styleId="1263" w:customStyle="1">
    <w:name w:val="新图表正文"/>
    <w:link w:val="1262"/>
    <w:pPr>
      <w:jc w:val="both"/>
    </w:pPr>
    <w:rPr>
      <w:rFonts w:ascii="宋体" w:hAnsi="宋体"/>
      <w:sz w:val="18"/>
      <w:szCs w:val="21"/>
    </w:rPr>
  </w:style>
  <w:style w:type="character" w:styleId="1264" w:customStyle="1">
    <w:name w:val="para_small"/>
    <w:rPr>
      <w:rFonts w:ascii="Times New Roman" w:hAnsi="Times New Roman" w:eastAsia="宋体" w:cs="Times New Roman"/>
    </w:rPr>
  </w:style>
  <w:style w:type="character" w:styleId="1265" w:customStyle="1">
    <w:name w:val="不明显强调1"/>
    <w:qFormat/>
    <w:rPr>
      <w:rFonts w:ascii="Times New Roman" w:hAnsi="Times New Roman" w:eastAsia="宋体" w:cs="Times New Roman"/>
      <w:i/>
      <w:iCs/>
    </w:rPr>
  </w:style>
  <w:style w:type="character" w:styleId="1266" w:customStyle="1">
    <w:name w:val="111111 Char"/>
    <w:link w:val="1267"/>
    <w:rPr>
      <w:rFonts w:ascii="宋体" w:hAnsi="宋体" w:eastAsia="黑体" w:cs="宋体"/>
      <w:b/>
      <w:bCs/>
      <w:szCs w:val="21"/>
    </w:rPr>
  </w:style>
  <w:style w:type="paragraph" w:styleId="1267" w:customStyle="1">
    <w:name w:val="111111"/>
    <w:basedOn w:val="1095"/>
    <w:link w:val="1266"/>
    <w:pPr>
      <w:jc w:val="center"/>
      <w:spacing w:before="120" w:after="120"/>
    </w:pPr>
    <w:rPr>
      <w:rFonts w:ascii="宋体" w:hAnsi="宋体" w:eastAsia="黑体" w:cs="宋体"/>
      <w:b/>
      <w:bCs/>
      <w:szCs w:val="21"/>
    </w:rPr>
  </w:style>
  <w:style w:type="character" w:styleId="1268" w:customStyle="1">
    <w:name w:val="正文缩进 Char1"/>
    <w:link w:val="1269"/>
    <w:rPr>
      <w:rFonts w:ascii="Times New Roman" w:hAnsi="Times New Roman" w:eastAsia="宋体" w:cs="Times New Roman"/>
    </w:rPr>
  </w:style>
  <w:style w:type="paragraph" w:styleId="1269" w:customStyle="1">
    <w:name w:val="正文缩进1"/>
    <w:basedOn w:val="1095"/>
    <w:link w:val="1268"/>
    <w:pPr>
      <w:ind w:firstLine="420"/>
    </w:pPr>
    <w:rPr>
      <w:szCs w:val="22"/>
    </w:rPr>
  </w:style>
  <w:style w:type="character" w:styleId="1270" w:customStyle="1">
    <w:name w:val="小四 段落 宋体 Char Char Char Char Char Char"/>
    <w:rPr>
      <w:rFonts w:ascii="Times New Roman" w:hAnsi="Times New Roman" w:eastAsia="宋体" w:cs="Times New Roman"/>
      <w:sz w:val="24"/>
      <w:szCs w:val="24"/>
      <w:lang w:val="en-US" w:eastAsia="zh-CN" w:bidi="ar-SA"/>
    </w:rPr>
  </w:style>
  <w:style w:type="character" w:styleId="1271" w:customStyle="1">
    <w:name w:val="Char Char26"/>
    <w:rPr>
      <w:rFonts w:ascii="Times New Roman" w:hAnsi="Times New Roman" w:eastAsia="宋体" w:cs="Times New Roman"/>
      <w:b/>
      <w:bCs/>
      <w:sz w:val="32"/>
      <w:szCs w:val="32"/>
    </w:rPr>
  </w:style>
  <w:style w:type="character" w:styleId="1272" w:customStyle="1">
    <w:name w:val="不明显参考1"/>
    <w:qFormat/>
    <w:rPr>
      <w:rFonts w:ascii="Times New Roman" w:hAnsi="Times New Roman" w:eastAsia="宋体" w:cs="Times New Roman"/>
      <w:smallCaps/>
    </w:rPr>
  </w:style>
  <w:style w:type="character" w:styleId="1273" w:customStyle="1">
    <w:name w:val="Char Char25"/>
    <w:rPr>
      <w:rFonts w:ascii="Arial" w:hAnsi="Arial" w:eastAsia="黑体" w:cs="Times New Roman"/>
      <w:b/>
      <w:sz w:val="28"/>
    </w:rPr>
  </w:style>
  <w:style w:type="character" w:styleId="1274" w:customStyle="1">
    <w:name w:val="listbenefit"/>
    <w:rPr>
      <w:rFonts w:ascii="Times New Roman" w:hAnsi="Times New Roman" w:eastAsia="宋体" w:cs="Times New Roman"/>
    </w:rPr>
  </w:style>
  <w:style w:type="character" w:styleId="1275" w:customStyle="1">
    <w:name w:val="font71"/>
    <w:rPr>
      <w:rFonts w:hint="eastAsia" w:ascii="宋体" w:hAnsi="宋体" w:eastAsia="宋体" w:cs="宋体"/>
      <w:color w:val="000000"/>
      <w:sz w:val="22"/>
      <w:szCs w:val="22"/>
      <w:u w:val="none"/>
    </w:rPr>
  </w:style>
  <w:style w:type="character" w:styleId="1276" w:customStyle="1">
    <w:name w:val="小四 段落 宋体 Char1"/>
    <w:rPr>
      <w:rFonts w:ascii="Times New Roman" w:hAnsi="Times New Roman" w:eastAsia="宋体" w:cs="Times New Roman"/>
      <w:sz w:val="24"/>
      <w:szCs w:val="24"/>
      <w:lang w:val="en-US" w:eastAsia="zh-CN" w:bidi="ar-SA"/>
    </w:rPr>
  </w:style>
  <w:style w:type="character" w:styleId="1277" w:customStyle="1">
    <w:name w:val="t1"/>
    <w:rPr>
      <w:rFonts w:ascii="Times New Roman" w:hAnsi="Times New Roman" w:eastAsia="宋体" w:cs="Times New Roman"/>
    </w:rPr>
  </w:style>
  <w:style w:type="character" w:styleId="1278" w:customStyle="1">
    <w:name w:val="表蕊 Char1"/>
    <w:link w:val="1279"/>
    <w:rPr>
      <w:rFonts w:ascii="Times New Roman" w:hAnsi="Times New Roman" w:eastAsia="楷体_GB2312" w:cs="Times New Roman"/>
      <w:spacing w:val="-10"/>
    </w:rPr>
  </w:style>
  <w:style w:type="paragraph" w:styleId="1279" w:customStyle="1">
    <w:name w:val="表蕊"/>
    <w:basedOn w:val="1095"/>
    <w:link w:val="1278"/>
    <w:pPr>
      <w:jc w:val="left"/>
      <w:spacing w:line="320" w:lineRule="atLeast"/>
    </w:pPr>
    <w:rPr>
      <w:rFonts w:eastAsia="楷体_GB2312"/>
      <w:spacing w:val="-10"/>
      <w:szCs w:val="22"/>
    </w:rPr>
  </w:style>
  <w:style w:type="character" w:styleId="1280" w:customStyle="1">
    <w:name w:val="fontstyle01"/>
    <w:rPr>
      <w:rFonts w:hint="eastAsia" w:ascii="宋体" w:hAnsi="宋体" w:eastAsia="宋体" w:cs="Times New Roman"/>
      <w:color w:val="000000"/>
      <w:sz w:val="18"/>
      <w:szCs w:val="18"/>
    </w:rPr>
  </w:style>
  <w:style w:type="character" w:styleId="1281" w:customStyle="1">
    <w:name w:val="明显引用 Char"/>
    <w:uiPriority w:val="30"/>
    <w:rPr>
      <w:rFonts w:ascii="Calibri" w:hAnsi="Calibri" w:eastAsia="宋体" w:cs="Times New Roman"/>
      <w:b/>
      <w:bCs/>
      <w:i/>
      <w:iCs/>
      <w:sz w:val="22"/>
      <w:lang w:eastAsia="en-US" w:bidi="en-US"/>
    </w:rPr>
  </w:style>
  <w:style w:type="paragraph" w:styleId="1282">
    <w:name w:val="Intense Quote"/>
    <w:basedOn w:val="1095"/>
    <w:next w:val="1095"/>
    <w:link w:val="1283"/>
    <w:uiPriority w:val="3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283" w:customStyle="1">
    <w:name w:val="明显引用 Char1"/>
    <w:basedOn w:val="1105"/>
    <w:link w:val="1282"/>
    <w:uiPriority w:val="30"/>
    <w:rPr>
      <w:rFonts w:ascii="Times New Roman" w:hAnsi="Times New Roman" w:eastAsia="宋体" w:cs="Times New Roman"/>
      <w:b/>
      <w:bCs/>
      <w:i/>
      <w:iCs/>
      <w:color w:val="4f81bd" w:themeColor="accent1"/>
      <w:szCs w:val="20"/>
    </w:rPr>
  </w:style>
  <w:style w:type="character" w:styleId="1284" w:customStyle="1">
    <w:name w:val="concon"/>
    <w:rPr>
      <w:rFonts w:ascii="Times New Roman" w:hAnsi="Times New Roman" w:eastAsia="宋体" w:cs="Times New Roman"/>
    </w:rPr>
  </w:style>
  <w:style w:type="character" w:styleId="1285" w:customStyle="1">
    <w:name w:val="华宇段落1 Char Char"/>
    <w:rPr>
      <w:rFonts w:ascii="Times New Roman" w:hAnsi="Times New Roman" w:eastAsia="宋体" w:cs="Times New Roman"/>
      <w:bCs/>
      <w:sz w:val="24"/>
      <w:szCs w:val="24"/>
      <w:lang w:val="en-US" w:eastAsia="zh-CN" w:bidi="ar-SA"/>
    </w:rPr>
  </w:style>
  <w:style w:type="character" w:styleId="1286" w:customStyle="1">
    <w:name w:val="case31"/>
    <w:rPr>
      <w:rFonts w:ascii="Times New Roman" w:hAnsi="Times New Roman" w:eastAsia="宋体" w:cs="Times New Roman"/>
      <w:sz w:val="21"/>
      <w:szCs w:val="21"/>
    </w:rPr>
  </w:style>
  <w:style w:type="character" w:styleId="1287" w:customStyle="1">
    <w:name w:val="font01"/>
    <w:qFormat/>
    <w:rPr>
      <w:rFonts w:hint="eastAsia" w:ascii="宋体" w:hAnsi="宋体" w:eastAsia="宋体" w:cs="Times New Roman"/>
      <w:color w:val="000000"/>
      <w:sz w:val="22"/>
      <w:szCs w:val="22"/>
      <w:u w:val="none"/>
      <w:vertAlign w:val="superscript"/>
    </w:rPr>
  </w:style>
  <w:style w:type="character" w:styleId="1288" w:customStyle="1">
    <w:name w:val="样式 非加粗"/>
    <w:rPr>
      <w:rFonts w:ascii="Times New Roman" w:hAnsi="Times New Roman" w:eastAsia="宋体" w:cs="Times New Roman"/>
      <w:sz w:val="28"/>
    </w:rPr>
  </w:style>
  <w:style w:type="character" w:styleId="1289" w:customStyle="1">
    <w:name w:val="Char Char22"/>
    <w:rPr>
      <w:rFonts w:ascii="Times New Roman" w:hAnsi="Times New Roman" w:eastAsia="宋体" w:cs="Times New Roman"/>
      <w:b/>
      <w:bCs/>
      <w:sz w:val="24"/>
      <w:szCs w:val="24"/>
    </w:rPr>
  </w:style>
  <w:style w:type="character" w:styleId="1290" w:customStyle="1">
    <w:name w:val="纯文本 Char Char Char"/>
    <w:rPr>
      <w:rFonts w:ascii="宋体" w:hAnsi="Courier New" w:eastAsia="宋体" w:cs="Times New Roman"/>
      <w:sz w:val="21"/>
      <w:szCs w:val="21"/>
      <w:lang w:val="en-US" w:eastAsia="zh-CN" w:bidi="ar-SA"/>
    </w:rPr>
  </w:style>
  <w:style w:type="character" w:styleId="1291" w:customStyle="1">
    <w:name w:val="Char Char23"/>
    <w:rPr>
      <w:rFonts w:ascii="Arial" w:hAnsi="Arial" w:eastAsia="黑体" w:cs="Times New Roman"/>
      <w:b/>
      <w:bCs/>
      <w:sz w:val="24"/>
      <w:szCs w:val="24"/>
    </w:rPr>
  </w:style>
  <w:style w:type="character" w:styleId="129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rPr>
      <w:rFonts w:ascii="Times New Roman" w:hAnsi="Times New Roman" w:eastAsia="宋体" w:cs="Times New Roman"/>
      <w:b/>
      <w:bCs/>
      <w:sz w:val="32"/>
      <w:szCs w:val="32"/>
      <w:lang w:val="en-US" w:eastAsia="zh-CN" w:bidi="ar-SA"/>
    </w:rPr>
  </w:style>
  <w:style w:type="character" w:styleId="1293" w:customStyle="1">
    <w:name w:val="font21"/>
    <w:qFormat/>
    <w:rPr>
      <w:rFonts w:hint="eastAsia" w:ascii="微软雅黑" w:hAnsi="微软雅黑" w:eastAsia="微软雅黑" w:cs="微软雅黑"/>
      <w:color w:val="000000"/>
      <w:sz w:val="16"/>
      <w:szCs w:val="16"/>
      <w:u w:val="none"/>
    </w:rPr>
  </w:style>
  <w:style w:type="character" w:styleId="1294" w:customStyle="1">
    <w:name w:val="h Char Char"/>
    <w:rPr>
      <w:rFonts w:ascii="Times New Roman" w:hAnsi="Times New Roman" w:eastAsia="宋体" w:cs="Times New Roman"/>
      <w:sz w:val="18"/>
      <w:szCs w:val="18"/>
      <w:lang w:val="en-US" w:eastAsia="zh-CN" w:bidi="ar-SA"/>
    </w:rPr>
  </w:style>
  <w:style w:type="character" w:styleId="1295" w:customStyle="1">
    <w:name w:val="Char Char29"/>
    <w:rPr>
      <w:rFonts w:ascii="Times New Roman" w:hAnsi="Times New Roman" w:eastAsia="宋体" w:cs="Times New Roman"/>
      <w:b/>
      <w:bCs/>
      <w:sz w:val="44"/>
      <w:szCs w:val="44"/>
    </w:rPr>
  </w:style>
  <w:style w:type="character" w:styleId="1296" w:customStyle="1">
    <w:name w:val="明显强调1"/>
    <w:qFormat/>
    <w:rPr>
      <w:rFonts w:ascii="Times New Roman" w:hAnsi="Times New Roman" w:eastAsia="宋体" w:cs="Times New Roman"/>
      <w:b/>
      <w:bCs/>
    </w:rPr>
  </w:style>
  <w:style w:type="character" w:styleId="1297" w:customStyle="1">
    <w:name w:val="标题 Char1"/>
    <w:uiPriority w:val="10"/>
    <w:rPr>
      <w:rFonts w:ascii="Cambria" w:hAnsi="Times New Roman" w:eastAsia="宋体" w:cs="Times New Roman"/>
      <w:b/>
      <w:bCs/>
      <w:sz w:val="32"/>
      <w:szCs w:val="32"/>
    </w:rPr>
  </w:style>
  <w:style w:type="character" w:styleId="1298" w:customStyle="1">
    <w:name w:val="标题 3 Char Char"/>
    <w:rPr>
      <w:rFonts w:ascii="Times New Roman" w:hAnsi="Times New Roman" w:eastAsia="仿宋_GB2312" w:cs="Times New Roman"/>
      <w:b/>
      <w:bCs/>
      <w:sz w:val="28"/>
      <w:szCs w:val="32"/>
      <w:lang w:val="en-US" w:eastAsia="zh-CN" w:bidi="ar-SA"/>
    </w:rPr>
  </w:style>
  <w:style w:type="character" w:styleId="1299" w:customStyle="1">
    <w:name w:val="title_emph1"/>
    <w:rPr>
      <w:rFonts w:ascii="Arial" w:hAnsi="Times New Roman" w:eastAsia="宋体" w:cs="Arial"/>
      <w:b/>
      <w:bCs/>
      <w:sz w:val="18"/>
      <w:szCs w:val="18"/>
    </w:rPr>
  </w:style>
  <w:style w:type="character" w:styleId="1300" w:customStyle="1">
    <w:name w:val="point_normal1"/>
    <w:rPr>
      <w:rFonts w:hint="default" w:ascii="Arial" w:hAnsi="Arial" w:eastAsia="宋体" w:cs="Arial"/>
      <w:sz w:val="18"/>
      <w:szCs w:val="18"/>
    </w:rPr>
  </w:style>
  <w:style w:type="character" w:styleId="1301" w:customStyle="1">
    <w:name w:val="Char Char28"/>
    <w:rPr>
      <w:rFonts w:ascii="Arial" w:hAnsi="Arial" w:eastAsia="黑体" w:cs="Arial"/>
      <w:b/>
      <w:bCs/>
      <w:sz w:val="32"/>
      <w:szCs w:val="32"/>
    </w:rPr>
  </w:style>
  <w:style w:type="paragraph" w:styleId="1302" w:customStyle="1">
    <w:name w:val="丁华标题2"/>
    <w:basedOn w:val="1097"/>
    <w:next w:val="1303"/>
    <w:pPr>
      <w:ind w:left="567" w:hanging="283"/>
      <w:spacing w:line="415" w:lineRule="auto"/>
      <w:tabs>
        <w:tab w:val="left" w:pos="1004" w:leader="none"/>
      </w:tabs>
    </w:pPr>
    <w:rPr>
      <w:b w:val="0"/>
      <w:sz w:val="28"/>
      <w:szCs w:val="20"/>
    </w:rPr>
  </w:style>
  <w:style w:type="paragraph" w:styleId="1303" w:customStyle="1">
    <w:name w:val="丁华正文"/>
    <w:basedOn w:val="1144"/>
    <w:pPr>
      <w:ind w:left="0" w:firstLine="510"/>
      <w:spacing w:line="360" w:lineRule="auto"/>
    </w:pPr>
    <w:rPr>
      <w:rFonts w:ascii="Times New Roman" w:hAnsi="Times New Roman" w:eastAsia="宋体"/>
      <w:color w:val="auto"/>
      <w:sz w:val="24"/>
      <w:szCs w:val="16"/>
    </w:rPr>
  </w:style>
  <w:style w:type="paragraph" w:styleId="1304" w:customStyle="1">
    <w:name w:val="标题3"/>
    <w:basedOn w:val="1098"/>
    <w:qFormat/>
    <w:pPr>
      <w:keepLines w:val="0"/>
      <w:keepNext w:val="0"/>
      <w:spacing w:line="360" w:lineRule="auto"/>
    </w:pPr>
    <w:rPr>
      <w:rFonts w:ascii="Times New Roman" w:hAnsi="Times New Roman" w:eastAsia="仿宋_GB2312"/>
      <w:b w:val="0"/>
      <w:bCs/>
      <w:sz w:val="30"/>
      <w:szCs w:val="32"/>
    </w:rPr>
  </w:style>
  <w:style w:type="paragraph" w:styleId="1305" w:customStyle="1">
    <w:name w:val="xl49"/>
    <w:basedOn w:val="1095"/>
    <w:pPr>
      <w:jc w:val="center"/>
      <w:spacing w:before="100" w:beforeAutospacing="1" w:after="100" w:afterAutospacing="1"/>
      <w:widowControl/>
      <w:pBdr>
        <w:left w:val="single" w:color="auto" w:sz="4" w:space="0"/>
        <w:right w:val="single" w:color="auto" w:sz="4" w:space="0"/>
      </w:pBdr>
    </w:pPr>
    <w:rPr>
      <w:b/>
      <w:bCs/>
      <w:sz w:val="20"/>
    </w:rPr>
  </w:style>
  <w:style w:type="paragraph" w:styleId="1306" w:customStyle="1">
    <w:name w:val="xl28"/>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07" w:customStyle="1">
    <w:name w:val="样式 段后: 0.25 行"/>
    <w:basedOn w:val="1095"/>
    <w:pPr>
      <w:ind w:firstLine="420"/>
      <w:jc w:val="left"/>
      <w:spacing w:line="300" w:lineRule="auto"/>
      <w:widowControl/>
    </w:pPr>
    <w:rPr>
      <w:rFonts w:ascii="Arial" w:hAnsi="Arial" w:cs="宋体"/>
      <w:sz w:val="22"/>
      <w:lang w:eastAsia="en-US" w:bidi="en-US"/>
    </w:rPr>
  </w:style>
  <w:style w:type="paragraph" w:styleId="1308" w:customStyle="1">
    <w:name w:val="马刚标题1"/>
    <w:basedOn w:val="1096"/>
    <w:next w:val="1095"/>
    <w:pPr>
      <w:ind w:left="567" w:hanging="567"/>
      <w:keepLines/>
      <w:spacing w:line="576" w:lineRule="auto"/>
      <w:tabs>
        <w:tab w:val="left" w:pos="315" w:leader="none"/>
        <w:tab w:val="left" w:pos="567" w:leader="none"/>
        <w:tab w:val="clear" w:pos="1440" w:leader="none"/>
        <w:tab w:val="clear" w:pos="5670" w:leader="none"/>
      </w:tabs>
    </w:pPr>
    <w:rPr>
      <w:rFonts w:ascii="Times New Roman" w:eastAsia="宋体"/>
      <w:b w:val="0"/>
      <w:sz w:val="32"/>
      <w:szCs w:val="20"/>
    </w:rPr>
  </w:style>
  <w:style w:type="paragraph" w:styleId="1309" w:customStyle="1">
    <w:name w:val="xl45"/>
    <w:basedOn w:val="1095"/>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310" w:customStyle="1">
    <w:name w:val="xl42"/>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1" w:customStyle="1">
    <w:name w:val="xl63"/>
    <w:basedOn w:val="1095"/>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312" w:customStyle="1">
    <w:name w:val="Char1"/>
    <w:basedOn w:val="1095"/>
    <w:pPr>
      <w:jc w:val="left"/>
      <w:spacing w:after="160" w:line="240" w:lineRule="exact"/>
      <w:widowControl/>
    </w:pPr>
    <w:rPr>
      <w:rFonts w:ascii="Verdana" w:hAnsi="Verdana" w:eastAsia="仿宋_GB2312"/>
      <w:sz w:val="24"/>
      <w:lang w:eastAsia="en-US"/>
    </w:rPr>
  </w:style>
  <w:style w:type="paragraph" w:styleId="1313" w:customStyle="1">
    <w:name w:val="样式 首行缩进:  2.25 字符"/>
    <w:basedOn w:val="1095"/>
    <w:pPr>
      <w:ind w:firstLine="540"/>
      <w:spacing w:line="360" w:lineRule="auto"/>
    </w:pPr>
    <w:rPr>
      <w:rFonts w:ascii="Arial" w:hAnsi="Arial"/>
      <w:sz w:val="24"/>
    </w:rPr>
  </w:style>
  <w:style w:type="paragraph" w:styleId="1314" w:customStyle="1">
    <w:name w:val="样式"/>
    <w:basedOn w:val="1095"/>
    <w:pPr>
      <w:spacing w:before="120" w:after="120" w:line="360" w:lineRule="auto"/>
    </w:pPr>
    <w:rPr>
      <w:rFonts w:ascii="宋体"/>
      <w:sz w:val="24"/>
    </w:rPr>
  </w:style>
  <w:style w:type="paragraph" w:styleId="1315" w:customStyle="1">
    <w:name w:val="Char Char Char Char Char Char Char Char"/>
    <w:basedOn w:val="1095"/>
    <w:rPr>
      <w:rFonts w:ascii="Tahoma" w:hAnsi="Tahoma" w:cs="Tahoma"/>
      <w:sz w:val="24"/>
    </w:rPr>
  </w:style>
  <w:style w:type="paragraph" w:styleId="1316" w:customStyle="1">
    <w:name w:val="段落"/>
    <w:basedOn w:val="1095"/>
    <w:pPr>
      <w:ind w:firstLine="480"/>
      <w:spacing w:line="460" w:lineRule="exact"/>
    </w:pPr>
    <w:rPr>
      <w:sz w:val="24"/>
    </w:rPr>
  </w:style>
  <w:style w:type="paragraph" w:styleId="1317" w:customStyle="1">
    <w:name w:val="ewb-con-p"/>
    <w:basedOn w:val="1095"/>
    <w:pPr>
      <w:jc w:val="left"/>
      <w:spacing w:before="100" w:beforeAutospacing="1" w:after="100" w:afterAutospacing="1"/>
      <w:widowControl/>
    </w:pPr>
    <w:rPr>
      <w:rFonts w:ascii="宋体" w:hAnsi="宋体" w:cs="宋体"/>
      <w:sz w:val="24"/>
      <w:szCs w:val="24"/>
    </w:rPr>
  </w:style>
  <w:style w:type="paragraph" w:styleId="1318" w:customStyle="1">
    <w:name w:val="Normal1"/>
    <w:basedOn w:val="1095"/>
    <w:rPr>
      <w:rFonts w:ascii="Calibri" w:hAnsi="Calibri" w:eastAsia="Calibri" w:cs="宋体"/>
      <w:lang w:val="zh-CN"/>
    </w:rPr>
  </w:style>
  <w:style w:type="paragraph" w:styleId="1319" w:customStyle="1">
    <w:name w:val="xl31"/>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320" w:customStyle="1">
    <w:name w:val="Char Char Char Char Char Char Char Char Char Char Char Char Char Char Char Char Char Char Char Char Char"/>
    <w:basedOn w:val="1095"/>
    <w:rPr>
      <w:rFonts w:ascii="Tahoma" w:hAnsi="Tahoma" w:cs="Tahoma"/>
      <w:sz w:val="24"/>
    </w:rPr>
  </w:style>
  <w:style w:type="paragraph" w:styleId="1321" w:customStyle="1">
    <w:name w:val="Char Char Char Char Char Char Char Char Char Char Char"/>
    <w:basedOn w:val="1095"/>
    <w:rPr>
      <w:rFonts w:ascii="Tahoma" w:hAnsi="Tahoma"/>
      <w:sz w:val="24"/>
    </w:rPr>
  </w:style>
  <w:style w:type="paragraph" w:styleId="1322" w:customStyle="1">
    <w:name w:val="xl60"/>
    <w:basedOn w:val="1095"/>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323" w:customStyle="1">
    <w:name w:val="标题5，章节第五层"/>
    <w:basedOn w:val="1095"/>
    <w:next w:val="1095"/>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24" w:customStyle="1">
    <w:name w:val="Char Char Char"/>
    <w:basedOn w:val="1095"/>
    <w:rPr>
      <w:rFonts w:ascii="Tahoma" w:hAnsi="Tahoma"/>
      <w:sz w:val="24"/>
    </w:rPr>
  </w:style>
  <w:style w:type="paragraph" w:styleId="1325" w:customStyle="1">
    <w:name w:val="Char2 Char Char Char Char Char Char1"/>
    <w:basedOn w:val="1095"/>
    <w:pPr>
      <w:ind w:hanging="425"/>
      <w:keepNext/>
      <w:spacing w:before="80" w:after="80"/>
      <w:widowControl/>
      <w:tabs>
        <w:tab w:val="left" w:pos="425" w:leader="none"/>
      </w:tabs>
    </w:pPr>
    <w:rPr>
      <w:rFonts w:ascii="Arial" w:hAnsi="Arial" w:cs="Arial"/>
      <w:sz w:val="20"/>
    </w:rPr>
  </w:style>
  <w:style w:type="paragraph" w:styleId="1326" w:customStyle="1">
    <w:name w:val="标题3，章节第三层"/>
    <w:basedOn w:val="1095"/>
    <w:next w:val="1327"/>
    <w:pPr>
      <w:spacing w:before="78" w:line="300" w:lineRule="auto"/>
      <w:outlineLvl w:val="2"/>
    </w:pPr>
    <w:rPr>
      <w:rFonts w:ascii="Arial" w:hAnsi="Arial" w:eastAsia="华文细黑"/>
      <w:sz w:val="30"/>
      <w:szCs w:val="24"/>
    </w:rPr>
  </w:style>
  <w:style w:type="paragraph" w:styleId="1327" w:customStyle="1">
    <w:name w:val="正文格式"/>
    <w:basedOn w:val="1095"/>
    <w:link w:val="1630"/>
    <w:pPr>
      <w:ind w:left="178" w:right="44" w:hanging="178"/>
      <w:jc w:val="left"/>
      <w:spacing w:line="360" w:lineRule="auto"/>
      <w:widowControl/>
    </w:pPr>
    <w:rPr>
      <w:rFonts w:ascii="宋体" w:hAnsi="宋体"/>
      <w:bCs/>
      <w:szCs w:val="21"/>
    </w:rPr>
  </w:style>
  <w:style w:type="paragraph" w:styleId="1328" w:customStyle="1">
    <w:name w:val="xl33"/>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29" w:customStyle="1">
    <w:name w:val="普通文字"/>
    <w:basedOn w:val="1095"/>
    <w:next w:val="1095"/>
    <w:rPr>
      <w:rFonts w:ascii="宋体" w:hAnsi="宋体" w:cs="宋体"/>
      <w:sz w:val="24"/>
    </w:rPr>
  </w:style>
  <w:style w:type="paragraph" w:styleId="1330" w:customStyle="1">
    <w:name w:val="公文标题 2"/>
    <w:basedOn w:val="1095"/>
    <w:next w:val="1331"/>
    <w:pPr>
      <w:outlineLvl w:val="1"/>
    </w:pPr>
    <w:rPr>
      <w:rFonts w:ascii="仿宋_GB2312" w:hAnsi="宋体" w:eastAsia="仿宋_GB2312"/>
      <w:sz w:val="28"/>
      <w:szCs w:val="24"/>
    </w:rPr>
  </w:style>
  <w:style w:type="paragraph" w:styleId="1331" w:customStyle="1">
    <w:name w:val="公文正文"/>
    <w:basedOn w:val="1122"/>
    <w:pPr>
      <w:ind w:firstLine="200"/>
    </w:pPr>
    <w:rPr>
      <w:rFonts w:ascii="仿宋_GB2312" w:hAnsi="宋体" w:eastAsia="仿宋_GB2312"/>
      <w:sz w:val="28"/>
      <w:szCs w:val="24"/>
    </w:rPr>
  </w:style>
  <w:style w:type="paragraph" w:styleId="1332" w:customStyle="1">
    <w:name w:val="方案正文"/>
    <w:basedOn w:val="1095"/>
    <w:pPr>
      <w:ind w:firstLine="359"/>
      <w:jc w:val="left"/>
      <w:spacing w:before="156" w:line="360" w:lineRule="auto"/>
    </w:pPr>
    <w:rPr>
      <w:rFonts w:ascii="Arial" w:hAnsi="Arial" w:cs="宋体"/>
      <w:sz w:val="24"/>
      <w:szCs w:val="21"/>
    </w:rPr>
  </w:style>
  <w:style w:type="paragraph" w:styleId="1333" w:customStyle="1">
    <w:name w:val="表格"/>
    <w:basedOn w:val="1095"/>
    <w:pPr>
      <w:ind w:firstLine="21"/>
    </w:pPr>
    <w:rPr>
      <w:rFonts w:ascii="宋体" w:hAnsi="宋体" w:cs="宋体"/>
      <w:sz w:val="20"/>
    </w:rPr>
  </w:style>
  <w:style w:type="paragraph" w:styleId="1334" w:customStyle="1">
    <w:name w:val="Body Text 21"/>
    <w:basedOn w:val="1095"/>
    <w:pPr>
      <w:ind w:left="720" w:hanging="720"/>
      <w:widowControl/>
    </w:pPr>
    <w:rPr>
      <w:sz w:val="24"/>
      <w:lang w:val="en-GB"/>
    </w:rPr>
  </w:style>
  <w:style w:type="paragraph" w:styleId="1335" w:customStyle="1">
    <w:name w:val="正文 + Arial Char"/>
    <w:basedOn w:val="1095"/>
    <w:pPr>
      <w:ind w:left="315" w:hanging="315"/>
      <w:spacing w:line="300" w:lineRule="auto"/>
      <w:widowControl/>
      <w:tabs>
        <w:tab w:val="left" w:pos="315" w:leader="none"/>
      </w:tabs>
    </w:pPr>
    <w:rPr>
      <w:rFonts w:ascii="Arial" w:hAnsi="Arial" w:cs="Arial"/>
      <w:b/>
      <w:color w:val="000000"/>
    </w:rPr>
  </w:style>
  <w:style w:type="paragraph" w:styleId="1336" w:customStyle="1">
    <w:name w:val="Pa6"/>
    <w:basedOn w:val="1095"/>
    <w:next w:val="1095"/>
    <w:pPr>
      <w:jc w:val="left"/>
      <w:spacing w:line="241" w:lineRule="atLeast"/>
    </w:pPr>
    <w:rPr>
      <w:rFonts w:ascii="HYDaHeiJ" w:eastAsia="HYDaHeiJ"/>
      <w:sz w:val="24"/>
      <w:szCs w:val="24"/>
    </w:rPr>
  </w:style>
  <w:style w:type="paragraph" w:styleId="1337" w:customStyle="1">
    <w:name w:val="Char Char1"/>
    <w:basedOn w:val="1095"/>
    <w:rPr>
      <w:rFonts w:ascii="Tahoma" w:hAnsi="Tahoma"/>
      <w:sz w:val="24"/>
    </w:rPr>
  </w:style>
  <w:style w:type="paragraph" w:styleId="1338" w:customStyle="1">
    <w:name w:val="HLegal 2"/>
    <w:basedOn w:val="1095"/>
    <w:pPr>
      <w:ind w:left="720" w:hanging="720"/>
      <w:spacing w:after="240"/>
      <w:widowControl/>
      <w:tabs>
        <w:tab w:val="left" w:pos="0" w:leader="none"/>
        <w:tab w:val="left" w:pos="648" w:leader="none"/>
        <w:tab w:val="left" w:pos="720" w:leader="none"/>
        <w:tab w:val="left" w:pos="926" w:leader="none"/>
        <w:tab w:val="left" w:pos="1209" w:leader="none"/>
        <w:tab w:val="left" w:pos="1440" w:leader="none"/>
      </w:tabs>
    </w:pPr>
    <w:rPr>
      <w:rFonts w:ascii="Arial" w:hAnsi="Arial" w:eastAsia="PMingLiU"/>
      <w:sz w:val="22"/>
      <w:szCs w:val="22"/>
    </w:rPr>
  </w:style>
  <w:style w:type="paragraph" w:styleId="1339" w:customStyle="1">
    <w:name w:val="flNote"/>
    <w:basedOn w:val="1095"/>
    <w:pPr>
      <w:jc w:val="center"/>
      <w:spacing w:before="567" w:line="360" w:lineRule="atLeast"/>
    </w:pPr>
    <w:rPr>
      <w:rFonts w:eastAsia="黑体"/>
      <w:b/>
      <w:sz w:val="24"/>
    </w:rPr>
  </w:style>
  <w:style w:type="paragraph" w:styleId="1340" w:customStyle="1">
    <w:name w:val="列出段落2"/>
    <w:basedOn w:val="1095"/>
    <w:qFormat/>
    <w:pPr>
      <w:ind w:left="720"/>
      <w:jc w:val="left"/>
      <w:widowControl/>
    </w:pPr>
    <w:rPr>
      <w:rFonts w:ascii="Arial" w:hAnsi="Arial" w:eastAsia="黑体" w:cs="Arial"/>
      <w:sz w:val="24"/>
      <w:szCs w:val="24"/>
      <w:lang w:eastAsia="en-US"/>
    </w:rPr>
  </w:style>
  <w:style w:type="paragraph" w:styleId="1341" w:customStyle="1">
    <w:name w:val="xl54"/>
    <w:basedOn w:val="1095"/>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342" w:customStyle="1">
    <w:name w:val="font12"/>
    <w:basedOn w:val="1095"/>
    <w:pPr>
      <w:jc w:val="left"/>
      <w:spacing w:before="100" w:beforeAutospacing="1" w:after="100" w:afterAutospacing="1"/>
      <w:widowControl/>
    </w:pPr>
    <w:rPr>
      <w:rFonts w:ascii="宋体" w:hAnsi="宋体" w:cs="宋体"/>
      <w:sz w:val="36"/>
      <w:szCs w:val="36"/>
    </w:rPr>
  </w:style>
  <w:style w:type="paragraph" w:styleId="1343" w:customStyle="1">
    <w:name w:val="xl30"/>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44" w:customStyle="1">
    <w:name w:val="表格内文字"/>
    <w:basedOn w:val="1095"/>
    <w:pPr>
      <w:spacing w:line="300" w:lineRule="atLeast"/>
    </w:pPr>
    <w:rPr>
      <w:sz w:val="18"/>
      <w:szCs w:val="24"/>
    </w:rPr>
  </w:style>
  <w:style w:type="paragraph" w:styleId="1345" w:customStyle="1">
    <w:name w:val="Char Char Char Char Char Char Char"/>
    <w:basedOn w:val="1095"/>
    <w:rPr>
      <w:rFonts w:ascii="Tahoma" w:hAnsi="Tahoma"/>
      <w:sz w:val="24"/>
    </w:rPr>
  </w:style>
  <w:style w:type="paragraph" w:styleId="1346" w:customStyle="1">
    <w:name w:val="Item List Char Char"/>
    <w:pPr>
      <w:jc w:val="both"/>
      <w:spacing w:line="288" w:lineRule="auto"/>
    </w:pPr>
    <w:rPr>
      <w:rFonts w:ascii="Arial" w:hAnsi="Arial" w:eastAsia="宋体" w:cs="Arial"/>
      <w:b/>
      <w:bCs/>
      <w:sz w:val="21"/>
      <w:szCs w:val="28"/>
    </w:rPr>
  </w:style>
  <w:style w:type="paragraph" w:styleId="1347" w:customStyle="1">
    <w:name w:val="Char Char1 Char"/>
    <w:basedOn w:val="1095"/>
    <w:pPr>
      <w:jc w:val="left"/>
      <w:spacing w:after="160" w:line="240" w:lineRule="exact"/>
      <w:widowControl/>
    </w:pPr>
    <w:rPr>
      <w:rFonts w:ascii="Verdana" w:hAnsi="Verdana"/>
      <w:sz w:val="20"/>
      <w:lang w:eastAsia="en-US"/>
    </w:rPr>
  </w:style>
  <w:style w:type="paragraph" w:styleId="1348" w:customStyle="1">
    <w:name w:val="正文2"/>
    <w:basedOn w:val="1095"/>
    <w:pPr>
      <w:ind w:firstLine="510"/>
      <w:spacing w:before="156" w:line="360" w:lineRule="auto"/>
    </w:pPr>
    <w:rPr>
      <w:sz w:val="24"/>
    </w:rPr>
  </w:style>
  <w:style w:type="paragraph" w:styleId="1349" w:customStyle="1">
    <w:name w:val="样式 WG标题2 + 行距: 固定值 18 磅"/>
    <w:basedOn w:val="1095"/>
    <w:pPr>
      <w:spacing w:line="360" w:lineRule="exact"/>
      <w:outlineLvl w:val="1"/>
    </w:pPr>
    <w:rPr>
      <w:rFonts w:ascii="仿宋_GB2312" w:hAnsi="宋体" w:cs="宋体"/>
      <w:b/>
      <w:bCs/>
      <w:color w:val="000000"/>
      <w:sz w:val="24"/>
    </w:rPr>
  </w:style>
  <w:style w:type="paragraph" w:styleId="1350" w:customStyle="1">
    <w:name w:val="样式 加点正文 + 段前: 0.5 行 段后: 0.5 行1"/>
    <w:basedOn w:val="1095"/>
    <w:pPr>
      <w:ind w:left="1268" w:hanging="420"/>
      <w:spacing w:line="300" w:lineRule="auto"/>
      <w:tabs>
        <w:tab w:val="left" w:pos="420" w:leader="none"/>
        <w:tab w:val="left" w:pos="1268" w:leader="none"/>
      </w:tabs>
    </w:pPr>
    <w:rPr>
      <w:sz w:val="24"/>
    </w:rPr>
  </w:style>
  <w:style w:type="paragraph" w:styleId="1351" w:customStyle="1">
    <w:name w:val="zhengwen3"/>
    <w:basedOn w:val="1348"/>
    <w:pPr>
      <w:ind w:left="851" w:firstLine="0"/>
      <w:spacing w:before="0"/>
      <w:tabs>
        <w:tab w:val="left" w:pos="0" w:leader="none"/>
      </w:tabs>
    </w:pPr>
    <w:rPr>
      <w:szCs w:val="28"/>
    </w:rPr>
  </w:style>
  <w:style w:type="paragraph" w:styleId="1352" w:customStyle="1">
    <w:name w:val="Char Char Char1"/>
    <w:basedOn w:val="1116"/>
    <w:pPr>
      <w:spacing w:line="436" w:lineRule="exact"/>
    </w:pPr>
    <w:rPr>
      <w:szCs w:val="24"/>
    </w:rPr>
  </w:style>
  <w:style w:type="paragraph" w:styleId="1353" w:customStyle="1">
    <w:name w:val="列表内容"/>
    <w:basedOn w:val="1095"/>
    <w:next w:val="1095"/>
    <w:pPr>
      <w:ind w:left="840" w:hanging="420"/>
      <w:jc w:val="left"/>
      <w:widowControl/>
      <w:tabs>
        <w:tab w:val="left" w:pos="840" w:leader="none"/>
      </w:tabs>
    </w:pPr>
    <w:rPr>
      <w:sz w:val="18"/>
      <w:szCs w:val="24"/>
    </w:rPr>
  </w:style>
  <w:style w:type="paragraph" w:styleId="1354" w:customStyle="1">
    <w:name w:val="正文文本 21"/>
    <w:basedOn w:val="1095"/>
    <w:pPr>
      <w:ind w:left="720" w:hanging="720"/>
      <w:widowControl/>
    </w:pPr>
    <w:rPr>
      <w:sz w:val="24"/>
      <w:lang w:val="en-GB"/>
    </w:rPr>
  </w:style>
  <w:style w:type="paragraph" w:styleId="1355" w:customStyle="1">
    <w:name w:val="qw"/>
    <w:pPr>
      <w:jc w:val="both"/>
      <w:spacing w:line="312" w:lineRule="atLeast"/>
      <w:widowControl w:val="off"/>
    </w:pPr>
    <w:rPr>
      <w:rFonts w:ascii="宋体" w:hAnsi="Times New Roman" w:eastAsia="宋体" w:cs="Times New Roman"/>
      <w:sz w:val="24"/>
    </w:rPr>
  </w:style>
  <w:style w:type="paragraph" w:styleId="1356" w:customStyle="1">
    <w:name w:val="Bullets L1"/>
    <w:basedOn w:val="1095"/>
    <w:pPr>
      <w:ind w:left="360" w:hanging="360"/>
      <w:jc w:val="left"/>
      <w:spacing w:before="60" w:after="60"/>
      <w:widowControl/>
      <w:tabs>
        <w:tab w:val="left" w:pos="360" w:leader="none"/>
      </w:tabs>
    </w:pPr>
    <w:rPr>
      <w:rFonts w:ascii="Arial" w:hAnsi="Arial"/>
      <w:sz w:val="20"/>
    </w:rPr>
  </w:style>
  <w:style w:type="paragraph" w:styleId="1357" w:customStyle="1">
    <w:name w:val="Char11"/>
    <w:basedOn w:val="1095"/>
    <w:rPr>
      <w:rFonts w:ascii="仿宋_GB2312" w:hAnsi="宋体" w:eastAsia="仿宋_GB2312" w:cs="宋体"/>
      <w:b/>
      <w:sz w:val="32"/>
      <w:szCs w:val="32"/>
    </w:rPr>
  </w:style>
  <w:style w:type="paragraph" w:styleId="1358" w:customStyle="1">
    <w:name w:val="正文lzq"/>
    <w:basedOn w:val="1095"/>
    <w:pPr>
      <w:ind w:firstLine="480"/>
      <w:spacing w:line="360" w:lineRule="auto"/>
    </w:pPr>
    <w:rPr>
      <w:sz w:val="24"/>
    </w:rPr>
  </w:style>
  <w:style w:type="paragraph" w:styleId="1359" w:customStyle="1">
    <w:name w:val="小四 段落 宋体 Char"/>
    <w:basedOn w:val="1114"/>
    <w:pPr>
      <w:ind w:left="0" w:right="-33" w:firstLine="600"/>
      <w:jc w:val="left"/>
      <w:tabs>
        <w:tab w:val="clear" w:pos="2952" w:leader="none"/>
      </w:tabs>
    </w:pPr>
    <w:rPr>
      <w:rFonts w:ascii="仿宋_GB2312" w:eastAsia="仿宋_GB2312"/>
      <w:sz w:val="30"/>
      <w:szCs w:val="30"/>
    </w:rPr>
  </w:style>
  <w:style w:type="paragraph" w:styleId="1360" w:customStyle="1">
    <w:name w:val="xl32"/>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61" w:customStyle="1">
    <w:name w:val="Pa5"/>
    <w:basedOn w:val="1095"/>
    <w:next w:val="1095"/>
    <w:pPr>
      <w:jc w:val="left"/>
      <w:spacing w:line="241" w:lineRule="atLeast"/>
    </w:pPr>
    <w:rPr>
      <w:rFonts w:ascii="HYDaHeiJ" w:eastAsia="HYDaHeiJ"/>
      <w:sz w:val="24"/>
      <w:szCs w:val="24"/>
    </w:rPr>
  </w:style>
  <w:style w:type="paragraph" w:styleId="1362" w:customStyle="1">
    <w:name w:val="Char Char Char Char"/>
    <w:basedOn w:val="1116"/>
    <w:pPr>
      <w:spacing w:line="360" w:lineRule="auto"/>
    </w:pPr>
    <w:rPr>
      <w:rFonts w:ascii="Tahoma" w:hAnsi="Tahoma"/>
      <w:sz w:val="24"/>
      <w:szCs w:val="24"/>
    </w:rPr>
  </w:style>
  <w:style w:type="paragraph" w:styleId="1363" w:customStyle="1">
    <w:name w:val="二级条标题"/>
    <w:basedOn w:val="1095"/>
    <w:next w:val="1364"/>
    <w:pPr>
      <w:ind w:hanging="420"/>
      <w:widowControl/>
      <w:tabs>
        <w:tab w:val="left" w:pos="2240" w:leader="none"/>
      </w:tabs>
      <w:outlineLvl w:val="3"/>
    </w:pPr>
    <w:rPr>
      <w:rFonts w:eastAsia="黑体"/>
    </w:rPr>
  </w:style>
  <w:style w:type="paragraph" w:styleId="1364" w:customStyle="1">
    <w:name w:val="段"/>
    <w:pPr>
      <w:ind w:firstLine="200"/>
      <w:jc w:val="both"/>
    </w:pPr>
    <w:rPr>
      <w:rFonts w:ascii="宋体" w:hAnsi="Times New Roman" w:eastAsia="宋体" w:cs="Times New Roman"/>
      <w:sz w:val="21"/>
    </w:rPr>
  </w:style>
  <w:style w:type="paragraph" w:styleId="1365" w:customStyle="1">
    <w:name w:val="xl36"/>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66" w:customStyle="1">
    <w:name w:val="小四 段落 宋体 Char Char Char"/>
    <w:basedOn w:val="1114"/>
    <w:pPr>
      <w:ind w:left="0" w:right="-33" w:firstLine="545"/>
      <w:jc w:val="left"/>
      <w:spacing w:line="360" w:lineRule="auto"/>
      <w:tabs>
        <w:tab w:val="clear" w:pos="2952" w:leader="none"/>
      </w:tabs>
    </w:pPr>
    <w:rPr>
      <w:sz w:val="24"/>
    </w:rPr>
  </w:style>
  <w:style w:type="paragraph" w:styleId="1367" w:customStyle="1">
    <w:name w:val="xl38"/>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68" w:customStyle="1">
    <w:name w:val="xl53"/>
    <w:basedOn w:val="1095"/>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69" w:customStyle="1">
    <w:name w:val="正文3"/>
    <w:basedOn w:val="1095"/>
    <w:rPr>
      <w:rFonts w:ascii="Calibri" w:hAnsi="Calibri" w:eastAsia="Calibri" w:cs="宋体"/>
      <w:lang w:val="zh-CN"/>
    </w:rPr>
  </w:style>
  <w:style w:type="paragraph" w:styleId="1370" w:customStyle="1">
    <w:name w:val="TOC 标题1"/>
    <w:basedOn w:val="1096"/>
    <w:next w:val="1095"/>
    <w:qFormat/>
    <w:pPr>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371" w:customStyle="1">
    <w:name w:val="正文文本 211"/>
    <w:basedOn w:val="1095"/>
    <w:pPr>
      <w:ind w:left="720" w:hanging="720"/>
      <w:widowControl/>
    </w:pPr>
    <w:rPr>
      <w:sz w:val="24"/>
      <w:lang w:val="en-GB"/>
    </w:rPr>
  </w:style>
  <w:style w:type="paragraph" w:styleId="1372" w:customStyle="1">
    <w:name w:val="标题1，章节第一层"/>
    <w:basedOn w:val="1327"/>
    <w:next w:val="1327"/>
    <w:pPr>
      <w:ind w:left="482"/>
      <w:tabs>
        <w:tab w:val="left" w:pos="693" w:leader="none"/>
      </w:tabs>
      <w:outlineLvl w:val="0"/>
    </w:pPr>
    <w:rPr>
      <w:rFonts w:ascii="Times New Roman" w:hAnsi="Times New Roman"/>
      <w:color w:val="000000"/>
      <w:sz w:val="24"/>
      <w:szCs w:val="24"/>
    </w:rPr>
  </w:style>
  <w:style w:type="paragraph" w:styleId="1373" w:customStyle="1">
    <w:name w:val="正文 居中"/>
    <w:basedOn w:val="1095"/>
    <w:pPr>
      <w:jc w:val="center"/>
      <w:spacing w:line="360" w:lineRule="auto"/>
    </w:pPr>
    <w:rPr>
      <w:sz w:val="24"/>
    </w:rPr>
  </w:style>
  <w:style w:type="paragraph" w:styleId="1374" w:customStyle="1">
    <w:name w:val="Default Text"/>
    <w:basedOn w:val="1095"/>
    <w:pPr>
      <w:jc w:val="left"/>
      <w:widowControl/>
    </w:pPr>
    <w:rPr>
      <w:sz w:val="24"/>
      <w:lang w:eastAsia="en-US"/>
    </w:rPr>
  </w:style>
  <w:style w:type="paragraph" w:styleId="1375" w:customStyle="1">
    <w:name w:val="p0"/>
    <w:basedOn w:val="1095"/>
    <w:pPr>
      <w:jc w:val="left"/>
      <w:spacing w:before="100" w:beforeAutospacing="1" w:after="100" w:afterAutospacing="1"/>
      <w:widowControl/>
    </w:pPr>
    <w:rPr>
      <w:rFonts w:ascii="宋体" w:hAnsi="宋体" w:cs="宋体"/>
      <w:sz w:val="24"/>
      <w:szCs w:val="24"/>
    </w:rPr>
  </w:style>
  <w:style w:type="paragraph" w:styleId="1376" w:customStyle="1">
    <w:name w:val="Char Char11"/>
    <w:basedOn w:val="1095"/>
    <w:rPr>
      <w:rFonts w:ascii="Tahoma" w:hAnsi="Tahoma" w:cs="Tahoma"/>
      <w:sz w:val="24"/>
    </w:rPr>
  </w:style>
  <w:style w:type="paragraph" w:styleId="1377" w:customStyle="1">
    <w:name w:val="Char Char1 Char1"/>
    <w:basedOn w:val="1095"/>
    <w:pPr>
      <w:jc w:val="left"/>
      <w:spacing w:after="160" w:line="240" w:lineRule="exact"/>
      <w:widowControl/>
    </w:pPr>
    <w:rPr>
      <w:rFonts w:ascii="Verdana" w:hAnsi="Verdana"/>
      <w:sz w:val="20"/>
      <w:lang w:eastAsia="en-US"/>
    </w:rPr>
  </w:style>
  <w:style w:type="paragraph" w:styleId="1378" w:customStyle="1">
    <w:name w:val="Char Char1 Char Char Char Char"/>
    <w:basedOn w:val="1116"/>
    <w:pPr>
      <w:ind w:left="357"/>
      <w:jc w:val="left"/>
      <w:spacing w:line="436" w:lineRule="exact"/>
      <w:outlineLvl w:val="3"/>
    </w:pPr>
    <w:rPr>
      <w:rFonts w:ascii="Tahoma" w:hAnsi="Tahoma" w:cs="Tahoma"/>
      <w:b/>
      <w:sz w:val="24"/>
      <w:szCs w:val="24"/>
    </w:rPr>
  </w:style>
  <w:style w:type="paragraph" w:styleId="1379" w:customStyle="1">
    <w:name w:val="样式1"/>
    <w:basedOn w:val="1095"/>
    <w:pPr>
      <w:ind w:firstLine="480"/>
      <w:spacing w:line="300" w:lineRule="auto"/>
    </w:pPr>
    <w:rPr>
      <w:sz w:val="24"/>
      <w:szCs w:val="24"/>
    </w:rPr>
  </w:style>
  <w:style w:type="paragraph" w:styleId="1380" w:customStyle="1">
    <w:name w:val="xl62"/>
    <w:basedOn w:val="1095"/>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81" w:customStyle="1">
    <w:name w:val="xl56"/>
    <w:basedOn w:val="1095"/>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382" w:customStyle="1">
    <w:name w:val="font6"/>
    <w:basedOn w:val="1095"/>
    <w:pPr>
      <w:jc w:val="left"/>
      <w:spacing w:before="100" w:beforeAutospacing="1" w:after="100" w:afterAutospacing="1"/>
      <w:widowControl/>
    </w:pPr>
    <w:rPr>
      <w:rFonts w:ascii="宋体" w:hAnsi="宋体" w:cs="宋体"/>
      <w:b/>
      <w:bCs/>
      <w:sz w:val="20"/>
    </w:rPr>
  </w:style>
  <w:style w:type="paragraph" w:styleId="1383" w:customStyle="1">
    <w:name w:val="马刚标题4"/>
    <w:basedOn w:val="1384"/>
    <w:next w:val="1095"/>
    <w:pPr>
      <w:spacing w:before="100" w:after="40"/>
      <w:tabs>
        <w:tab w:val="left" w:pos="1050" w:leader="none"/>
      </w:tabs>
      <w:outlineLvl w:val="3"/>
    </w:pPr>
    <w:rPr>
      <w:rFonts w:ascii="Times New Roman" w:hAnsi="Times New Roman" w:eastAsia="宋体"/>
      <w:b w:val="0"/>
    </w:rPr>
  </w:style>
  <w:style w:type="paragraph" w:styleId="1384" w:customStyle="1">
    <w:name w:val="马刚标题3"/>
    <w:basedOn w:val="1095"/>
    <w:next w:val="1095"/>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85" w:customStyle="1">
    <w:name w:val="Char Char Char Char Char Char Char Char Char Char Char Char Char"/>
    <w:basedOn w:val="1095"/>
    <w:pPr>
      <w:jc w:val="left"/>
      <w:spacing w:after="160" w:line="240" w:lineRule="exact"/>
      <w:widowControl/>
    </w:pPr>
    <w:rPr>
      <w:szCs w:val="24"/>
    </w:rPr>
  </w:style>
  <w:style w:type="paragraph" w:styleId="1386" w:customStyle="1">
    <w:name w:val="默认段落字体 Para Char Char Char Char Char Char Char"/>
    <w:basedOn w:val="1095"/>
  </w:style>
  <w:style w:type="paragraph" w:styleId="1387" w:customStyle="1">
    <w:name w:val="Char Char Char Char Char Char Char Char Char Char Char Char Char Char Char Char Char Char Char Char Char Char Char"/>
    <w:basedOn w:val="1095"/>
    <w:rPr>
      <w:rFonts w:ascii="Tahoma" w:hAnsi="Tahoma" w:cs="Tahoma"/>
      <w:sz w:val="24"/>
    </w:rPr>
  </w:style>
  <w:style w:type="paragraph" w:styleId="1388" w:customStyle="1">
    <w:name w:val="正文 + 宋体"/>
    <w:basedOn w:val="1095"/>
    <w:pPr>
      <w:ind w:firstLine="420"/>
      <w:spacing w:line="360" w:lineRule="auto"/>
    </w:pPr>
    <w:rPr>
      <w:szCs w:val="24"/>
    </w:rPr>
  </w:style>
  <w:style w:type="paragraph" w:styleId="1389" w:customStyle="1">
    <w:name w:val="zw"/>
    <w:basedOn w:val="1095"/>
    <w:pPr>
      <w:ind w:firstLine="480"/>
      <w:jc w:val="left"/>
      <w:spacing w:line="360" w:lineRule="auto"/>
      <w:widowControl/>
    </w:pPr>
    <w:rPr>
      <w:rFonts w:ascii="宋体" w:hAnsi="宋体"/>
      <w:bCs/>
      <w:sz w:val="24"/>
    </w:rPr>
  </w:style>
  <w:style w:type="paragraph" w:styleId="1390" w:customStyle="1">
    <w:name w:val="我的正文"/>
    <w:basedOn w:val="1095"/>
    <w:pPr>
      <w:ind w:firstLine="420"/>
      <w:jc w:val="left"/>
      <w:spacing w:line="360" w:lineRule="auto"/>
      <w:widowControl/>
    </w:pPr>
    <w:rPr>
      <w:rFonts w:ascii="宋体" w:hAnsi="宋体" w:cs="宋体"/>
      <w:szCs w:val="21"/>
    </w:rPr>
  </w:style>
  <w:style w:type="paragraph" w:styleId="1391" w:customStyle="1">
    <w:name w:val="无间隔1"/>
    <w:pPr>
      <w:jc w:val="both"/>
      <w:widowControl w:val="off"/>
    </w:pPr>
    <w:rPr>
      <w:rFonts w:ascii="Times New Roman" w:hAnsi="Times New Roman" w:eastAsia="微软雅黑" w:cs="Times New Roman"/>
      <w:sz w:val="24"/>
      <w:szCs w:val="22"/>
    </w:rPr>
  </w:style>
  <w:style w:type="paragraph" w:styleId="1392" w:customStyle="1">
    <w:name w:val="xl26"/>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93" w:customStyle="1">
    <w:name w:val="样式 段后: 0.5 行 左  0.75 字符"/>
    <w:basedOn w:val="1095"/>
    <w:pPr>
      <w:ind w:firstLine="420"/>
      <w:spacing w:line="360" w:lineRule="auto"/>
      <w:widowControl/>
    </w:pPr>
    <w:rPr>
      <w:rFonts w:hAnsi="Arial" w:cs="Arial"/>
      <w:szCs w:val="21"/>
    </w:rPr>
  </w:style>
  <w:style w:type="paragraph" w:styleId="1394" w:customStyle="1">
    <w:name w:val="丁华标题3"/>
    <w:basedOn w:val="1302"/>
    <w:next w:val="1303"/>
    <w:pPr>
      <w:ind w:left="1980" w:hanging="420"/>
      <w:spacing w:after="0"/>
      <w:tabs>
        <w:tab w:val="left" w:pos="1470" w:leader="none"/>
        <w:tab w:val="left" w:pos="1980" w:leader="none"/>
      </w:tabs>
      <w:outlineLvl w:val="2"/>
    </w:pPr>
    <w:rPr>
      <w:rFonts w:ascii="Times New Roman" w:hAnsi="Times New Roman" w:eastAsia="宋体"/>
      <w:sz w:val="24"/>
    </w:rPr>
  </w:style>
  <w:style w:type="paragraph" w:styleId="1395" w:customStyle="1">
    <w:name w:val="Char"/>
    <w:basedOn w:val="1095"/>
    <w:rPr>
      <w:rFonts w:ascii="Tahoma" w:hAnsi="Tahoma" w:cs="仿宋_GB2312"/>
      <w:sz w:val="24"/>
      <w:szCs w:val="28"/>
    </w:rPr>
  </w:style>
  <w:style w:type="paragraph" w:styleId="1396" w:customStyle="1">
    <w:name w:val="符号与编号 Char Char"/>
    <w:basedOn w:val="1095"/>
    <w:pPr>
      <w:ind w:left="839" w:hanging="419"/>
      <w:spacing w:line="400" w:lineRule="atLeast"/>
      <w:tabs>
        <w:tab w:val="left" w:pos="840" w:leader="none"/>
      </w:tabs>
    </w:pPr>
    <w:rPr>
      <w:sz w:val="24"/>
      <w:szCs w:val="24"/>
    </w:rPr>
  </w:style>
  <w:style w:type="paragraph" w:styleId="1397" w:customStyle="1">
    <w:name w:val="Char Char Char Char Char Char Char Char Char Char Char Char Char Char"/>
    <w:basedOn w:val="1095"/>
    <w:rPr>
      <w:rFonts w:ascii="Tahoma" w:hAnsi="Tahoma"/>
      <w:sz w:val="24"/>
    </w:rPr>
  </w:style>
  <w:style w:type="paragraph" w:styleId="1398" w:customStyle="1">
    <w:name w:val="中等深浅网格 1 - 强调文字颜色 21"/>
    <w:basedOn w:val="1095"/>
    <w:qFormat/>
    <w:pPr>
      <w:ind w:firstLine="420"/>
    </w:pPr>
    <w:rPr>
      <w:rFonts w:ascii="Calibri" w:hAnsi="Calibri"/>
      <w:szCs w:val="22"/>
    </w:rPr>
  </w:style>
  <w:style w:type="paragraph" w:styleId="1399" w:customStyle="1">
    <w:name w:val="样式4 Char"/>
    <w:basedOn w:val="1095"/>
    <w:pPr>
      <w:ind w:firstLine="480"/>
      <w:jc w:val="left"/>
      <w:spacing w:line="360" w:lineRule="auto"/>
      <w:widowControl/>
    </w:pPr>
    <w:rPr>
      <w:rFonts w:cs="宋体"/>
      <w:color w:val="000000"/>
      <w:sz w:val="24"/>
      <w:szCs w:val="24"/>
    </w:rPr>
  </w:style>
  <w:style w:type="paragraph" w:styleId="1400" w:customStyle="1">
    <w:name w:val="部分1"/>
    <w:basedOn w:val="1095"/>
    <w:pPr>
      <w:jc w:val="center"/>
      <w:keepNext/>
      <w:pageBreakBefore/>
      <w:spacing w:line="360" w:lineRule="auto"/>
      <w:tabs>
        <w:tab w:val="left" w:pos="360" w:leader="none"/>
      </w:tabs>
      <w:outlineLvl w:val="0"/>
    </w:pPr>
    <w:rPr>
      <w:rFonts w:eastAsia="黑体"/>
      <w:b/>
      <w:sz w:val="36"/>
    </w:rPr>
  </w:style>
  <w:style w:type="paragraph" w:styleId="1401" w:customStyle="1">
    <w:name w:val="样式 样式 首行缩进:  2 字符 + 行距: 1.5 倍行距"/>
    <w:basedOn w:val="1095"/>
    <w:pPr>
      <w:ind w:firstLine="470"/>
      <w:spacing w:line="360" w:lineRule="auto"/>
    </w:pPr>
    <w:rPr>
      <w:sz w:val="24"/>
    </w:rPr>
  </w:style>
  <w:style w:type="paragraph" w:styleId="1402" w:customStyle="1">
    <w:name w:val="正文缩进2字符"/>
    <w:basedOn w:val="1095"/>
    <w:pPr>
      <w:ind w:firstLine="200"/>
      <w:spacing w:line="300" w:lineRule="auto"/>
    </w:pPr>
    <w:rPr>
      <w:rFonts w:ascii="仿宋_GB2312" w:eastAsia="仿宋_GB2312"/>
      <w:sz w:val="32"/>
      <w:szCs w:val="32"/>
    </w:rPr>
  </w:style>
  <w:style w:type="paragraph" w:styleId="1403" w:customStyle="1">
    <w:name w:val="font8"/>
    <w:basedOn w:val="1095"/>
    <w:pPr>
      <w:jc w:val="left"/>
      <w:spacing w:before="100" w:beforeAutospacing="1" w:after="100" w:afterAutospacing="1"/>
      <w:widowControl/>
    </w:pPr>
    <w:rPr>
      <w:rFonts w:ascii="宋体" w:hAnsi="宋体" w:cs="宋体"/>
      <w:b/>
      <w:bCs/>
      <w:i/>
      <w:iCs/>
      <w:sz w:val="20"/>
    </w:rPr>
  </w:style>
  <w:style w:type="paragraph" w:styleId="1404" w:customStyle="1">
    <w:name w:val="List Paragraph1"/>
    <w:basedOn w:val="1095"/>
    <w:pPr>
      <w:ind w:firstLine="420"/>
      <w:jc w:val="left"/>
    </w:pPr>
    <w:rPr>
      <w:rFonts w:eastAsia="仿宋"/>
      <w:sz w:val="28"/>
      <w:szCs w:val="22"/>
    </w:rPr>
  </w:style>
  <w:style w:type="paragraph" w:styleId="1405" w:customStyle="1">
    <w:name w:val="标准小四"/>
    <w:basedOn w:val="1095"/>
    <w:pPr>
      <w:ind w:firstLine="480"/>
      <w:spacing w:line="360" w:lineRule="auto"/>
    </w:pPr>
    <w:rPr>
      <w:rFonts w:ascii="Arial" w:hAnsi="Arial"/>
      <w:sz w:val="24"/>
      <w:szCs w:val="21"/>
    </w:rPr>
  </w:style>
  <w:style w:type="paragraph" w:styleId="1406" w:customStyle="1">
    <w:name w:val="样式 样式 标题 3H3sect1.2.3BOD 0Heading 3 - oldh3l3CTLevel 3 Head... +..."/>
    <w:basedOn w:val="1095"/>
    <w:pPr>
      <w:jc w:val="left"/>
      <w:keepLines/>
      <w:keepNext/>
      <w:outlineLvl w:val="2"/>
    </w:pPr>
    <w:rPr>
      <w:rFonts w:cs="宋体"/>
      <w:b/>
      <w:bCs/>
      <w:sz w:val="24"/>
    </w:rPr>
  </w:style>
  <w:style w:type="paragraph" w:styleId="1407" w:customStyle="1">
    <w:name w:val="标题 4宋体"/>
    <w:basedOn w:val="1099"/>
    <w:pPr>
      <w:jc w:val="left"/>
      <w:keepLines w:val="0"/>
      <w:spacing w:before="0" w:after="0" w:line="360" w:lineRule="auto"/>
    </w:pPr>
    <w:rPr>
      <w:rFonts w:ascii="宋体" w:hAnsi="宋体" w:eastAsia="宋体"/>
      <w:bCs/>
      <w:color w:val="000000"/>
      <w:sz w:val="24"/>
    </w:rPr>
  </w:style>
  <w:style w:type="paragraph" w:styleId="1408" w:customStyle="1">
    <w:name w:val="样式 标题 3H3sect1.2.3BOD 0Heading 3 - oldh3l3CTLevel 3 Head..."/>
    <w:basedOn w:val="1098"/>
    <w:pPr>
      <w:jc w:val="left"/>
    </w:pPr>
    <w:rPr>
      <w:rFonts w:ascii="Times New Roman" w:hAnsi="Times New Roman" w:cs="宋体"/>
      <w:bCs/>
      <w:sz w:val="30"/>
    </w:rPr>
  </w:style>
  <w:style w:type="paragraph" w:styleId="1409" w:customStyle="1">
    <w:name w:val="符号与编号 Char"/>
    <w:basedOn w:val="1095"/>
    <w:pPr>
      <w:ind w:left="720"/>
      <w:spacing w:line="400" w:lineRule="atLeast"/>
      <w:tabs>
        <w:tab w:val="left" w:pos="720" w:leader="none"/>
      </w:tabs>
    </w:pPr>
    <w:rPr>
      <w:sz w:val="24"/>
      <w:szCs w:val="24"/>
    </w:rPr>
  </w:style>
  <w:style w:type="paragraph" w:styleId="1410" w:customStyle="1">
    <w:name w:val="华宇段落1 Char"/>
    <w:basedOn w:val="1095"/>
    <w:pPr>
      <w:ind w:firstLine="200"/>
      <w:spacing w:line="360" w:lineRule="auto"/>
    </w:pPr>
    <w:rPr>
      <w:bCs/>
      <w:sz w:val="24"/>
      <w:szCs w:val="24"/>
    </w:rPr>
  </w:style>
  <w:style w:type="paragraph" w:styleId="1411" w:customStyle="1">
    <w:name w:val="Test2"/>
    <w:basedOn w:val="1097"/>
    <w:pPr>
      <w:jc w:val="center"/>
      <w:spacing w:line="480" w:lineRule="exact"/>
      <w:widowControl/>
    </w:pPr>
    <w:rPr>
      <w:rFonts w:ascii="黑体"/>
      <w:sz w:val="24"/>
    </w:rPr>
  </w:style>
  <w:style w:type="paragraph" w:styleId="1412" w:customStyle="1">
    <w:name w:val="章标题"/>
    <w:next w:val="1364"/>
    <w:pPr>
      <w:jc w:val="both"/>
      <w:outlineLvl w:val="1"/>
    </w:pPr>
    <w:rPr>
      <w:rFonts w:ascii="Times New Roman" w:hAnsi="Times New Roman" w:eastAsia="黑体" w:cs="Times New Roman"/>
      <w:sz w:val="21"/>
    </w:rPr>
  </w:style>
  <w:style w:type="paragraph" w:styleId="1413" w:customStyle="1">
    <w:name w:val="标题2，章节第二层"/>
    <w:basedOn w:val="1095"/>
    <w:next w:val="1327"/>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414" w:customStyle="1">
    <w:name w:val="小四 段落 宋体 Char Char Char Char"/>
    <w:basedOn w:val="1095"/>
    <w:pPr>
      <w:ind w:right="-33" w:firstLine="480"/>
      <w:jc w:val="left"/>
      <w:spacing w:line="360" w:lineRule="auto"/>
    </w:pPr>
    <w:rPr>
      <w:sz w:val="24"/>
      <w:szCs w:val="24"/>
    </w:rPr>
  </w:style>
  <w:style w:type="paragraph" w:styleId="1415" w:customStyle="1">
    <w:name w:val="1"/>
    <w:basedOn w:val="1095"/>
    <w:next w:val="1108"/>
    <w:pPr>
      <w:spacing w:line="360" w:lineRule="auto"/>
    </w:pPr>
    <w:rPr>
      <w:rFonts w:eastAsia="仿宋_GB2312"/>
      <w:sz w:val="24"/>
      <w:szCs w:val="24"/>
    </w:rPr>
  </w:style>
  <w:style w:type="paragraph" w:styleId="1416" w:customStyle="1">
    <w:name w:val="tableau"/>
    <w:basedOn w:val="1095"/>
    <w:pPr>
      <w:jc w:val="center"/>
      <w:spacing w:before="20" w:after="20"/>
      <w:widowControl/>
    </w:pPr>
    <w:rPr>
      <w:rFonts w:ascii="Arial" w:hAnsi="Arial"/>
      <w:sz w:val="16"/>
      <w:lang w:val="en-GB" w:eastAsia="en-US"/>
    </w:rPr>
  </w:style>
  <w:style w:type="paragraph" w:styleId="1417" w:customStyle="1">
    <w:name w:val="小四 段落 宋体 Char Char"/>
    <w:basedOn w:val="1095"/>
    <w:pPr>
      <w:ind w:firstLine="480"/>
      <w:spacing w:line="360" w:lineRule="auto"/>
    </w:pPr>
    <w:rPr>
      <w:rFonts w:ascii="宋体" w:hAnsi="宋体"/>
      <w:sz w:val="24"/>
      <w:szCs w:val="24"/>
    </w:rPr>
  </w:style>
  <w:style w:type="paragraph" w:styleId="1418" w:customStyle="1">
    <w:name w:val="xl57"/>
    <w:basedOn w:val="1095"/>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419" w:customStyle="1">
    <w:name w:val="标准文本"/>
    <w:basedOn w:val="1095"/>
    <w:pPr>
      <w:ind w:firstLine="480"/>
      <w:spacing w:line="360" w:lineRule="auto"/>
    </w:pPr>
    <w:rPr>
      <w:rFonts w:cs="宋体"/>
      <w:sz w:val="24"/>
      <w:szCs w:val="24"/>
    </w:rPr>
  </w:style>
  <w:style w:type="paragraph" w:styleId="1420" w:customStyle="1">
    <w:name w:val="xl58"/>
    <w:basedOn w:val="1095"/>
    <w:pPr>
      <w:jc w:val="center"/>
      <w:spacing w:before="100" w:beforeAutospacing="1" w:after="100" w:afterAutospacing="1"/>
      <w:widowControl/>
      <w:pBdr>
        <w:left w:val="single" w:color="auto" w:sz="4" w:space="0"/>
        <w:right w:val="single" w:color="auto" w:sz="4" w:space="0"/>
      </w:pBdr>
    </w:pPr>
    <w:rPr>
      <w:b/>
      <w:bCs/>
      <w:i/>
      <w:iCs/>
      <w:sz w:val="20"/>
    </w:rPr>
  </w:style>
  <w:style w:type="paragraph" w:styleId="1421" w:customStyle="1">
    <w:name w:val="xl41"/>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22" w:customStyle="1">
    <w:name w:val="小四 段落 宋体"/>
    <w:basedOn w:val="1114"/>
    <w:pPr>
      <w:ind w:left="113" w:right="113" w:firstLine="425"/>
      <w:jc w:val="left"/>
      <w:spacing w:line="360" w:lineRule="auto"/>
      <w:tabs>
        <w:tab w:val="clear" w:pos="2952" w:leader="none"/>
      </w:tabs>
    </w:pPr>
    <w:rPr>
      <w:sz w:val="24"/>
    </w:rPr>
  </w:style>
  <w:style w:type="paragraph" w:styleId="1423" w:customStyle="1">
    <w:name w:val="xl27"/>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424" w:customStyle="1">
    <w:name w:val="项目符号，二级"/>
    <w:basedOn w:val="1327"/>
    <w:next w:val="1327"/>
    <w:pPr>
      <w:ind w:left="1337" w:right="-27" w:firstLine="480"/>
      <w:tabs>
        <w:tab w:val="left" w:pos="567" w:leader="none"/>
        <w:tab w:val="left" w:pos="1211" w:leader="none"/>
        <w:tab w:val="left" w:pos="1337" w:leader="none"/>
      </w:tabs>
    </w:pPr>
    <w:rPr>
      <w:rFonts w:ascii="Times New Roman" w:hAnsi="Times New Roman"/>
      <w:bCs w:val="0"/>
      <w:color w:val="000000"/>
      <w:sz w:val="24"/>
      <w:szCs w:val="24"/>
    </w:rPr>
  </w:style>
  <w:style w:type="paragraph" w:styleId="1425" w:customStyle="1">
    <w:name w:val="Char Char1 Char Char Char Char Char Char Char"/>
    <w:basedOn w:val="1095"/>
    <w:rPr>
      <w:rFonts w:ascii="Tahoma" w:hAnsi="Tahoma" w:cs="Tahoma"/>
      <w:sz w:val="24"/>
    </w:rPr>
  </w:style>
  <w:style w:type="paragraph" w:styleId="1426" w:customStyle="1">
    <w:name w:val="a"/>
    <w:basedOn w:val="1095"/>
    <w:pPr>
      <w:spacing w:before="100" w:beforeAutospacing="1" w:after="100" w:afterAutospacing="1"/>
      <w:widowControl/>
    </w:pPr>
    <w:rPr>
      <w:rFonts w:ascii="宋体" w:hAnsi="宋体" w:cs="宋体"/>
      <w:sz w:val="24"/>
      <w:szCs w:val="24"/>
    </w:rPr>
  </w:style>
  <w:style w:type="paragraph" w:styleId="1427" w:customStyle="1">
    <w:name w:val="符号与编号"/>
    <w:basedOn w:val="1095"/>
    <w:pPr>
      <w:ind w:left="900" w:hanging="420"/>
      <w:spacing w:line="400" w:lineRule="atLeast"/>
      <w:tabs>
        <w:tab w:val="left" w:pos="900" w:leader="none"/>
      </w:tabs>
    </w:pPr>
    <w:rPr>
      <w:sz w:val="24"/>
      <w:szCs w:val="24"/>
    </w:rPr>
  </w:style>
  <w:style w:type="paragraph" w:styleId="1428" w:customStyle="1">
    <w:name w:val="论文正文"/>
    <w:basedOn w:val="1131"/>
    <w:pPr>
      <w:ind w:left="0" w:firstLine="200"/>
      <w:jc w:val="left"/>
      <w:spacing w:line="360" w:lineRule="auto"/>
    </w:pPr>
    <w:rPr>
      <w:rFonts w:ascii="Times New Roman" w:hAnsi="Times New Roman" w:eastAsia="宋体"/>
      <w:sz w:val="28"/>
      <w:szCs w:val="24"/>
    </w:rPr>
  </w:style>
  <w:style w:type="paragraph" w:styleId="1429" w:customStyle="1">
    <w:name w:val="font9"/>
    <w:basedOn w:val="1095"/>
    <w:pPr>
      <w:jc w:val="left"/>
      <w:spacing w:before="100" w:beforeAutospacing="1" w:after="100" w:afterAutospacing="1"/>
      <w:widowControl/>
    </w:pPr>
    <w:rPr>
      <w:b/>
      <w:bCs/>
      <w:sz w:val="20"/>
    </w:rPr>
  </w:style>
  <w:style w:type="paragraph" w:styleId="1430" w:customStyle="1">
    <w:name w:val="标题3-1"/>
    <w:basedOn w:val="1098"/>
    <w:pPr>
      <w:ind w:left="425" w:hanging="425"/>
      <w:spacing w:before="260" w:after="260" w:line="416" w:lineRule="auto"/>
      <w:shd w:val="clear" w:color="auto" w:fill="auto"/>
      <w:tabs>
        <w:tab w:val="left" w:pos="425" w:leader="none"/>
      </w:tabs>
    </w:pPr>
    <w:rPr>
      <w:rFonts w:ascii="Times New Roman" w:hAnsi="Times New Roman"/>
      <w:bCs/>
      <w:sz w:val="24"/>
      <w:szCs w:val="32"/>
    </w:rPr>
  </w:style>
  <w:style w:type="paragraph" w:styleId="1431" w:customStyle="1">
    <w:name w:val="font10"/>
    <w:basedOn w:val="1095"/>
    <w:pPr>
      <w:jc w:val="left"/>
      <w:spacing w:before="100" w:beforeAutospacing="1" w:after="100" w:afterAutospacing="1"/>
      <w:widowControl/>
    </w:pPr>
    <w:rPr>
      <w:rFonts w:ascii="楷体_GB2312" w:hAnsi="宋体" w:eastAsia="楷体_GB2312" w:cs="宋体"/>
      <w:b/>
      <w:bCs/>
      <w:sz w:val="18"/>
      <w:szCs w:val="18"/>
    </w:rPr>
  </w:style>
  <w:style w:type="paragraph" w:styleId="1432" w:customStyle="1">
    <w:name w:val="Char Char Char Char Char Char Char Char1"/>
    <w:basedOn w:val="1095"/>
    <w:rPr>
      <w:rFonts w:ascii="Tahoma" w:hAnsi="Tahoma"/>
      <w:sz w:val="24"/>
    </w:rPr>
  </w:style>
  <w:style w:type="paragraph" w:styleId="1433" w:customStyle="1">
    <w:name w:val="xl44"/>
    <w:basedOn w:val="1095"/>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434" w:customStyle="1">
    <w:name w:val="正文 A"/>
    <w:pPr>
      <w:jc w:val="both"/>
      <w:widowControl w:val="off"/>
      <w:framePr w:wrap="around" w:hAnchor="text" w:yAlign="top"/>
    </w:pPr>
    <w:rPr>
      <w:rFonts w:ascii="Times New Roman" w:hAnsi="Times New Roman" w:eastAsia="Calibri" w:cs="Calibri"/>
      <w:color w:val="000000"/>
      <w:sz w:val="21"/>
      <w:szCs w:val="21"/>
    </w:rPr>
  </w:style>
  <w:style w:type="paragraph" w:styleId="1435" w:customStyle="1">
    <w:name w:val="样式 标题 2第一章 标题 2Heading 2 HiddenHeading 2 CCBSheading 2H2h2..."/>
    <w:basedOn w:val="1097"/>
    <w:pPr>
      <w:ind w:left="360" w:hanging="360"/>
      <w:jc w:val="center"/>
      <w:keepLines w:val="0"/>
      <w:tabs>
        <w:tab w:val="left" w:pos="360" w:leader="none"/>
      </w:tabs>
    </w:pPr>
    <w:rPr>
      <w:rFonts w:ascii="黑体" w:hAnsi="Times New Roman" w:cs="宋体"/>
      <w:b w:val="0"/>
      <w:szCs w:val="20"/>
    </w:rPr>
  </w:style>
  <w:style w:type="paragraph" w:styleId="1436" w:customStyle="1">
    <w:name w:val="文档正文"/>
    <w:basedOn w:val="1095"/>
    <w:pPr>
      <w:spacing w:line="360" w:lineRule="auto"/>
    </w:pPr>
    <w:rPr>
      <w:rFonts w:ascii="宋体" w:hAnsi="宋体"/>
      <w:b/>
      <w:bCs/>
      <w:szCs w:val="24"/>
    </w:rPr>
  </w:style>
  <w:style w:type="paragraph" w:styleId="1437" w:customStyle="1">
    <w:name w:val="xl50"/>
    <w:basedOn w:val="1095"/>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438" w:customStyle="1">
    <w:name w:val="正文文本缩进1"/>
    <w:basedOn w:val="1095"/>
    <w:pPr>
      <w:ind w:left="420"/>
      <w:spacing w:after="120"/>
    </w:pPr>
    <w:rPr>
      <w:szCs w:val="24"/>
    </w:rPr>
  </w:style>
  <w:style w:type="paragraph" w:styleId="1439" w:customStyle="1">
    <w:name w:val="font7"/>
    <w:basedOn w:val="1095"/>
    <w:pPr>
      <w:jc w:val="left"/>
      <w:spacing w:before="100" w:beforeAutospacing="1" w:after="100" w:afterAutospacing="1"/>
      <w:widowControl/>
    </w:pPr>
    <w:rPr>
      <w:rFonts w:hint="eastAsia" w:ascii="宋体" w:hAnsi="宋体"/>
      <w:b/>
      <w:bCs/>
      <w:sz w:val="24"/>
      <w:szCs w:val="24"/>
    </w:rPr>
  </w:style>
  <w:style w:type="paragraph" w:styleId="1440" w:customStyle="1">
    <w:name w:val="正文表标题"/>
    <w:next w:val="1364"/>
    <w:pPr>
      <w:ind w:left="900" w:hanging="420"/>
      <w:jc w:val="center"/>
      <w:tabs>
        <w:tab w:val="left" w:pos="900" w:leader="none"/>
      </w:tabs>
    </w:pPr>
    <w:rPr>
      <w:rFonts w:ascii="黑体" w:hAnsi="Times New Roman" w:eastAsia="黑体" w:cs="Times New Roman"/>
      <w:sz w:val="21"/>
    </w:rPr>
  </w:style>
  <w:style w:type="paragraph" w:styleId="1441" w:customStyle="1">
    <w:name w:val="大标题"/>
    <w:basedOn w:val="1095"/>
    <w:next w:val="1095"/>
    <w:pPr>
      <w:ind w:hanging="420"/>
      <w:pageBreakBefore/>
      <w:spacing w:line="360" w:lineRule="auto"/>
      <w:tabs>
        <w:tab w:val="left" w:pos="420" w:leader="none"/>
      </w:tabs>
      <w:outlineLvl w:val="0"/>
    </w:pPr>
    <w:rPr>
      <w:b/>
      <w:iCs/>
      <w:sz w:val="44"/>
      <w:szCs w:val="24"/>
    </w:rPr>
  </w:style>
  <w:style w:type="paragraph" w:styleId="1442" w:customStyle="1">
    <w:name w:val="font11"/>
    <w:basedOn w:val="1095"/>
    <w:pPr>
      <w:jc w:val="left"/>
      <w:spacing w:before="100" w:beforeAutospacing="1" w:after="100" w:afterAutospacing="1"/>
      <w:widowControl/>
    </w:pPr>
    <w:rPr>
      <w:b/>
      <w:bCs/>
      <w:sz w:val="18"/>
      <w:szCs w:val="18"/>
    </w:rPr>
  </w:style>
  <w:style w:type="paragraph" w:styleId="1443" w:customStyle="1">
    <w:name w:val="xl48"/>
    <w:basedOn w:val="1095"/>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444" w:customStyle="1">
    <w:name w:val="Char Char Char Char Char Char"/>
    <w:basedOn w:val="1095"/>
    <w:rPr>
      <w:rFonts w:ascii="Tahoma" w:hAnsi="Tahoma" w:cs="Tahoma"/>
      <w:sz w:val="24"/>
    </w:rPr>
  </w:style>
  <w:style w:type="paragraph" w:styleId="1445" w:customStyle="1">
    <w:name w:val="正文 New New New New New New New New New New New New New New"/>
    <w:pPr>
      <w:jc w:val="both"/>
      <w:widowControl w:val="off"/>
    </w:pPr>
    <w:rPr>
      <w:rFonts w:hint="eastAsia" w:ascii="Times New Roman" w:hAnsi="Times New Roman" w:eastAsia="宋体" w:cs="Times New Roman"/>
      <w:sz w:val="21"/>
    </w:rPr>
  </w:style>
  <w:style w:type="paragraph" w:styleId="1446" w:customStyle="1">
    <w:name w:val="Table Text Char"/>
    <w:pPr>
      <w:spacing w:before="80" w:after="80"/>
    </w:pPr>
    <w:rPr>
      <w:rFonts w:ascii="Arial" w:hAnsi="Arial" w:eastAsia="宋体" w:cs="Arial"/>
      <w:sz w:val="18"/>
      <w:szCs w:val="28"/>
    </w:rPr>
  </w:style>
  <w:style w:type="paragraph" w:styleId="1447" w:customStyle="1">
    <w:name w:val="项目符号，一级"/>
    <w:basedOn w:val="1327"/>
    <w:next w:val="1327"/>
    <w:pPr>
      <w:ind w:left="376" w:firstLine="0"/>
      <w:spacing w:line="240" w:lineRule="atLeast"/>
      <w:tabs>
        <w:tab w:val="left" w:pos="1320" w:leader="none"/>
      </w:tabs>
    </w:pPr>
    <w:rPr>
      <w:rFonts w:ascii="Times New Roman" w:hAnsi="Times New Roman"/>
      <w:bCs w:val="0"/>
      <w:color w:val="000000"/>
      <w:szCs w:val="24"/>
    </w:rPr>
  </w:style>
  <w:style w:type="paragraph" w:styleId="1448" w:customStyle="1">
    <w:name w:val="xl52"/>
    <w:basedOn w:val="1095"/>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449" w:customStyle="1">
    <w:name w:val="Char Char Char Char Char Char Char Char Char"/>
    <w:basedOn w:val="1095"/>
    <w:pPr>
      <w:ind w:left="360" w:hanging="360"/>
      <w:tabs>
        <w:tab w:val="left" w:pos="360" w:leader="none"/>
      </w:tabs>
    </w:pPr>
    <w:rPr>
      <w:sz w:val="24"/>
      <w:szCs w:val="24"/>
    </w:rPr>
  </w:style>
  <w:style w:type="paragraph" w:styleId="1450" w:customStyle="1">
    <w:name w:val="HLegal 3"/>
    <w:basedOn w:val="1095"/>
    <w:pPr>
      <w:spacing w:after="240"/>
      <w:widowControl/>
      <w:tabs>
        <w:tab w:val="left" w:pos="648" w:leader="none"/>
        <w:tab w:val="left" w:pos="926" w:leader="none"/>
      </w:tabs>
    </w:pPr>
    <w:rPr>
      <w:rFonts w:ascii="Arial" w:hAnsi="Arial" w:eastAsia="PMingLiU"/>
      <w:sz w:val="22"/>
      <w:szCs w:val="22"/>
    </w:rPr>
  </w:style>
  <w:style w:type="paragraph" w:styleId="1451" w:customStyle="1">
    <w:name w:val="flName"/>
    <w:basedOn w:val="1339"/>
    <w:pPr>
      <w:spacing w:before="0" w:line="113" w:lineRule="atLeast"/>
    </w:pPr>
    <w:rPr>
      <w:rFonts w:eastAsia="宋体"/>
    </w:rPr>
  </w:style>
  <w:style w:type="paragraph" w:styleId="1452" w:customStyle="1">
    <w:name w:val="font14"/>
    <w:basedOn w:val="1095"/>
    <w:pPr>
      <w:jc w:val="left"/>
      <w:spacing w:before="100" w:beforeAutospacing="1" w:after="100" w:afterAutospacing="1"/>
      <w:widowControl/>
    </w:pPr>
    <w:rPr>
      <w:sz w:val="36"/>
      <w:szCs w:val="36"/>
    </w:rPr>
  </w:style>
  <w:style w:type="paragraph" w:styleId="1453" w:customStyle="1">
    <w:name w:val="修订1"/>
    <w:uiPriority w:val="99"/>
    <w:rPr>
      <w:rFonts w:ascii="Times New Roman" w:hAnsi="Times New Roman" w:eastAsia="宋体" w:cs="Times New Roman"/>
      <w:sz w:val="21"/>
      <w:szCs w:val="24"/>
    </w:rPr>
  </w:style>
  <w:style w:type="paragraph" w:styleId="1454" w:customStyle="1">
    <w:name w:val="表格内容"/>
    <w:basedOn w:val="1095"/>
    <w:pPr>
      <w:jc w:val="center"/>
      <w:spacing w:before="60" w:line="300" w:lineRule="auto"/>
      <w:widowControl/>
    </w:pPr>
  </w:style>
  <w:style w:type="paragraph" w:styleId="1455" w:customStyle="1">
    <w:name w:val="Char Char Char Char Char Char Char Char Char Char Char1 Char Char Char1"/>
    <w:basedOn w:val="1095"/>
    <w:pPr>
      <w:ind w:firstLine="200"/>
      <w:jc w:val="left"/>
    </w:pPr>
    <w:rPr>
      <w:rFonts w:ascii="Tahoma" w:hAnsi="Tahoma"/>
      <w:sz w:val="24"/>
      <w:szCs w:val="24"/>
    </w:rPr>
  </w:style>
  <w:style w:type="paragraph" w:styleId="1456" w:customStyle="1">
    <w:name w:val="Char Char Char Char Char"/>
    <w:basedOn w:val="1095"/>
    <w:rPr>
      <w:rFonts w:ascii="Tahoma" w:hAnsi="Tahoma" w:cs="Tahoma"/>
      <w:sz w:val="24"/>
    </w:rPr>
  </w:style>
  <w:style w:type="paragraph" w:styleId="1457" w:customStyle="1">
    <w:name w:val="font5"/>
    <w:basedOn w:val="1095"/>
    <w:pPr>
      <w:jc w:val="left"/>
      <w:spacing w:before="100" w:beforeAutospacing="1" w:after="100" w:afterAutospacing="1"/>
      <w:widowControl/>
    </w:pPr>
    <w:rPr>
      <w:rFonts w:ascii="宋体" w:hAnsi="宋体" w:cs="宋体"/>
      <w:sz w:val="18"/>
      <w:szCs w:val="18"/>
    </w:rPr>
  </w:style>
  <w:style w:type="paragraph" w:styleId="1458" w:customStyle="1">
    <w:name w:val="表格文字"/>
    <w:basedOn w:val="1095"/>
    <w:pPr>
      <w:ind w:firstLine="200"/>
      <w:jc w:val="left"/>
      <w:spacing w:line="360" w:lineRule="auto"/>
    </w:pPr>
    <w:rPr>
      <w:rFonts w:ascii="Arial" w:hAnsi="Arial"/>
      <w:sz w:val="24"/>
    </w:rPr>
  </w:style>
  <w:style w:type="paragraph" w:styleId="1459" w:customStyle="1">
    <w:name w:val="段 Char"/>
    <w:pPr>
      <w:ind w:firstLine="200"/>
      <w:jc w:val="both"/>
    </w:pPr>
    <w:rPr>
      <w:rFonts w:ascii="宋体" w:hAnsi="Times New Roman" w:eastAsia="宋体" w:cs="Times New Roman"/>
      <w:sz w:val="21"/>
    </w:rPr>
  </w:style>
  <w:style w:type="paragraph" w:styleId="1460" w:customStyle="1">
    <w:name w:val="首行缩进"/>
    <w:basedOn w:val="1095"/>
    <w:qFormat/>
    <w:pPr>
      <w:ind w:firstLine="480"/>
    </w:pPr>
    <w:rPr>
      <w:rFonts w:ascii="Calibri" w:hAnsi="Calibri" w:eastAsia="楷体_GB2312"/>
      <w:sz w:val="26"/>
      <w:lang w:val="zh-CN"/>
    </w:rPr>
  </w:style>
  <w:style w:type="paragraph" w:styleId="1461" w:customStyle="1">
    <w:name w:val="纯文本1"/>
    <w:basedOn w:val="1095"/>
    <w:rPr>
      <w:rFonts w:ascii="宋体" w:hAnsi="宋体" w:eastAsia="楷体_GB2312" w:cs="宋体"/>
      <w:sz w:val="28"/>
    </w:rPr>
  </w:style>
  <w:style w:type="paragraph" w:styleId="1462" w:customStyle="1">
    <w:name w:val="xl25"/>
    <w:basedOn w:val="1095"/>
    <w:pPr>
      <w:jc w:val="center"/>
      <w:spacing w:before="100" w:beforeAutospacing="1" w:after="100" w:afterAutospacing="1"/>
      <w:widowControl/>
      <w:pBdr>
        <w:right w:val="single" w:color="auto" w:sz="4" w:space="0"/>
      </w:pBdr>
    </w:pPr>
    <w:rPr>
      <w:szCs w:val="21"/>
    </w:rPr>
  </w:style>
  <w:style w:type="paragraph" w:styleId="1463" w:customStyle="1">
    <w:name w:val="样式3"/>
    <w:basedOn w:val="1095"/>
    <w:next w:val="1095"/>
    <w:pPr>
      <w:spacing w:line="360" w:lineRule="auto"/>
    </w:pPr>
  </w:style>
  <w:style w:type="paragraph" w:styleId="1464">
    <w:name w:val="List Paragraph"/>
    <w:basedOn w:val="1095"/>
    <w:uiPriority w:val="34"/>
    <w:qFormat/>
    <w:pPr>
      <w:ind w:firstLine="420"/>
    </w:pPr>
    <w:rPr>
      <w:szCs w:val="24"/>
    </w:rPr>
  </w:style>
  <w:style w:type="paragraph" w:styleId="1465" w:customStyle="1">
    <w:name w:val="font13"/>
    <w:basedOn w:val="1095"/>
    <w:pPr>
      <w:jc w:val="left"/>
      <w:spacing w:before="100" w:beforeAutospacing="1" w:after="100" w:afterAutospacing="1"/>
      <w:widowControl/>
    </w:pPr>
    <w:rPr>
      <w:i/>
      <w:iCs/>
      <w:sz w:val="36"/>
      <w:szCs w:val="36"/>
    </w:rPr>
  </w:style>
  <w:style w:type="paragraph" w:styleId="1466" w:customStyle="1">
    <w:name w:val="标题6"/>
    <w:basedOn w:val="1100"/>
    <w:pPr>
      <w:ind w:left="420" w:hanging="420"/>
      <w:keepLines/>
      <w:tabs>
        <w:tab w:val="left" w:pos="420" w:leader="none"/>
      </w:tabs>
    </w:pPr>
    <w:rPr>
      <w:rFonts w:ascii="Times New Roman" w:eastAsia="宋体"/>
      <w:b w:val="0"/>
      <w:bCs/>
      <w:color w:val="auto"/>
      <w:sz w:val="24"/>
      <w:szCs w:val="28"/>
    </w:rPr>
  </w:style>
  <w:style w:type="paragraph" w:styleId="1467" w:customStyle="1">
    <w:name w:val="Char Char Char Char Char Char Char1 Char"/>
    <w:basedOn w:val="1095"/>
    <w:rPr>
      <w:rFonts w:ascii="Tahoma" w:hAnsi="Tahoma" w:cs="Tahoma"/>
      <w:sz w:val="24"/>
    </w:rPr>
  </w:style>
  <w:style w:type="paragraph" w:styleId="1468" w:customStyle="1">
    <w:name w:val="xl46"/>
    <w:basedOn w:val="1095"/>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469" w:customStyle="1">
    <w:name w:val="表头_5"/>
    <w:basedOn w:val="1095"/>
    <w:pPr>
      <w:spacing w:line="360" w:lineRule="auto"/>
    </w:pPr>
    <w:rPr>
      <w:b/>
      <w:bCs/>
      <w:sz w:val="28"/>
      <w:szCs w:val="21"/>
    </w:rPr>
  </w:style>
  <w:style w:type="paragraph" w:styleId="1470" w:customStyle="1">
    <w:name w:val="一级标题"/>
    <w:basedOn w:val="1095"/>
    <w:pPr>
      <w:ind w:left="900" w:hanging="420"/>
      <w:spacing w:line="360" w:lineRule="auto"/>
      <w:tabs>
        <w:tab w:val="left" w:pos="903" w:leader="none"/>
      </w:tabs>
    </w:pPr>
    <w:rPr>
      <w:rFonts w:ascii="Arial" w:hAnsi="Arial" w:cs="Arial"/>
      <w:sz w:val="24"/>
    </w:rPr>
  </w:style>
  <w:style w:type="paragraph" w:styleId="1471" w:customStyle="1">
    <w:name w:val="Char Char Char Char Char Char Char Char Char Char Char Char Char Char Char Char Char Char Char Char Char1"/>
    <w:basedOn w:val="1095"/>
    <w:rPr>
      <w:rFonts w:ascii="Tahoma" w:hAnsi="Tahoma"/>
      <w:sz w:val="24"/>
    </w:rPr>
  </w:style>
  <w:style w:type="paragraph" w:styleId="1472" w:customStyle="1">
    <w:name w:val="标题4，章节第四层"/>
    <w:basedOn w:val="1095"/>
    <w:next w:val="1095"/>
    <w:pPr>
      <w:spacing w:line="360" w:lineRule="auto"/>
      <w:tabs>
        <w:tab w:val="left" w:pos="0" w:leader="none"/>
      </w:tabs>
      <w:outlineLvl w:val="3"/>
    </w:pPr>
    <w:rPr>
      <w:rFonts w:ascii="宋体" w:hAnsi="宋体"/>
      <w:b/>
      <w:sz w:val="24"/>
      <w:szCs w:val="24"/>
    </w:rPr>
  </w:style>
  <w:style w:type="paragraph" w:styleId="1473" w:customStyle="1">
    <w:name w:val="xl37"/>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474" w:customStyle="1">
    <w:name w:val="Char Char Char Char Char Char Char Char Char Char Char Char Char Char Char Char Char Char Char Char Char Char Char1"/>
    <w:basedOn w:val="1095"/>
    <w:rPr>
      <w:rFonts w:ascii="Tahoma" w:hAnsi="Tahoma"/>
      <w:sz w:val="24"/>
    </w:rPr>
  </w:style>
  <w:style w:type="paragraph" w:styleId="1475" w:customStyle="1">
    <w:name w:val="a0"/>
    <w:basedOn w:val="1095"/>
    <w:pPr>
      <w:spacing w:before="100" w:beforeAutospacing="1" w:after="100" w:afterAutospacing="1"/>
      <w:widowControl/>
    </w:pPr>
    <w:rPr>
      <w:rFonts w:ascii="宋体" w:hAnsi="宋体" w:cs="宋体"/>
      <w:sz w:val="24"/>
      <w:szCs w:val="24"/>
    </w:rPr>
  </w:style>
  <w:style w:type="paragraph" w:styleId="1476" w:customStyle="1">
    <w:name w:val="_Style 42"/>
    <w:basedOn w:val="1095"/>
    <w:next w:val="1121"/>
    <w:rPr>
      <w:rFonts w:ascii="楷体_GB2312" w:hAnsi="Arial" w:eastAsia="楷体_GB2312"/>
      <w:sz w:val="28"/>
    </w:rPr>
  </w:style>
  <w:style w:type="paragraph" w:styleId="1477" w:customStyle="1">
    <w:name w:val="Item Step in Table"/>
    <w:pPr>
      <w:ind w:left="397" w:hanging="397"/>
      <w:jc w:val="both"/>
      <w:spacing w:before="40" w:after="40"/>
      <w:tabs>
        <w:tab w:val="left" w:pos="397" w:leader="none"/>
      </w:tabs>
    </w:pPr>
    <w:rPr>
      <w:rFonts w:ascii="Arial" w:hAnsi="Arial" w:eastAsia="宋体" w:cs="Arial"/>
      <w:sz w:val="18"/>
      <w:szCs w:val="18"/>
    </w:rPr>
  </w:style>
  <w:style w:type="paragraph" w:styleId="1478" w:customStyle="1">
    <w:name w:val="默认段落字体 Para Char Char Char Char Char Char Char Char Char1 Char Char Char Char Char Char Char"/>
    <w:basedOn w:val="1116"/>
  </w:style>
  <w:style w:type="paragraph" w:styleId="1479" w:customStyle="1">
    <w:name w:val="xl59"/>
    <w:basedOn w:val="1095"/>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480" w:customStyle="1">
    <w:name w:val="greytypebeni"/>
    <w:basedOn w:val="1095"/>
    <w:pPr>
      <w:jc w:val="left"/>
      <w:widowControl/>
    </w:pPr>
    <w:rPr>
      <w:rFonts w:ascii="宋体" w:hAnsi="宋体" w:cs="宋体"/>
      <w:sz w:val="24"/>
      <w:szCs w:val="24"/>
    </w:rPr>
  </w:style>
  <w:style w:type="paragraph" w:styleId="1481" w:customStyle="1">
    <w:name w:val="样式 样式 首行缩进:  0.74 厘米 行距: 1.5 倍行距 + 段后: 0.5 行"/>
    <w:basedOn w:val="1095"/>
    <w:pPr>
      <w:ind w:firstLine="420"/>
      <w:spacing w:line="360" w:lineRule="auto"/>
    </w:pPr>
    <w:rPr>
      <w:rFonts w:ascii="楷体_GB2312" w:eastAsia="楷体_GB2312"/>
      <w:bCs/>
      <w:sz w:val="24"/>
    </w:rPr>
  </w:style>
  <w:style w:type="paragraph" w:styleId="1482" w:customStyle="1">
    <w:name w:val="xl35"/>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483" w:customStyle="1">
    <w:name w:val="丁华标题1"/>
    <w:basedOn w:val="1096"/>
    <w:next w:val="1303"/>
    <w:pPr>
      <w:ind w:left="567" w:hanging="567"/>
      <w:keepLines/>
      <w:spacing w:line="578" w:lineRule="auto"/>
      <w:tabs>
        <w:tab w:val="left" w:pos="567" w:leader="none"/>
        <w:tab w:val="clear" w:pos="5670" w:leader="none"/>
      </w:tabs>
    </w:pPr>
    <w:rPr>
      <w:rFonts w:ascii="Times New Roman" w:eastAsia="宋体"/>
      <w:b w:val="0"/>
      <w:sz w:val="32"/>
      <w:szCs w:val="20"/>
    </w:rPr>
  </w:style>
  <w:style w:type="paragraph" w:styleId="1484" w:customStyle="1">
    <w:name w:val="标题5"/>
    <w:basedOn w:val="1095"/>
    <w:pPr>
      <w:ind w:left="280" w:hanging="20"/>
      <w:jc w:val="left"/>
      <w:spacing w:line="360" w:lineRule="auto"/>
      <w:tabs>
        <w:tab w:val="left" w:pos="40" w:leader="none"/>
        <w:tab w:val="left" w:pos="360" w:leader="none"/>
        <w:tab w:val="left" w:pos="900" w:leader="none"/>
        <w:tab w:val="left" w:pos="948" w:leader="none"/>
      </w:tabs>
      <w:outlineLvl w:val="3"/>
    </w:pPr>
    <w:rPr>
      <w:sz w:val="24"/>
      <w:szCs w:val="28"/>
    </w:rPr>
  </w:style>
  <w:style w:type="paragraph" w:styleId="1485" w:customStyle="1">
    <w:name w:val="Char Char"/>
    <w:basedOn w:val="1095"/>
    <w:rPr>
      <w:rFonts w:ascii="Tahoma" w:hAnsi="Tahoma" w:cs="Tahoma"/>
      <w:sz w:val="24"/>
    </w:rPr>
  </w:style>
  <w:style w:type="paragraph" w:styleId="1486" w:customStyle="1">
    <w:name w:val="af17cgridlangnp1033langf"/>
    <w:pPr>
      <w:ind w:left="567" w:firstLine="510"/>
      <w:jc w:val="both"/>
      <w:spacing w:before="156" w:line="360" w:lineRule="atLeast"/>
      <w:widowControl w:val="off"/>
    </w:pPr>
    <w:rPr>
      <w:rFonts w:ascii="Times New Roman" w:hAnsi="Times New Roman" w:eastAsia="宋体" w:cs="Times New Roman"/>
    </w:rPr>
  </w:style>
  <w:style w:type="paragraph" w:styleId="1487" w:customStyle="1">
    <w:name w:val="样式 宋体 五号"/>
    <w:basedOn w:val="1095"/>
    <w:pPr>
      <w:spacing w:line="360" w:lineRule="auto"/>
      <w:tabs>
        <w:tab w:val="left" w:pos="560" w:leader="none"/>
        <w:tab w:val="left" w:pos="1120" w:leader="none"/>
      </w:tabs>
    </w:pPr>
    <w:rPr>
      <w:rFonts w:ascii="宋体" w:hAnsi="宋体"/>
      <w:szCs w:val="28"/>
    </w:rPr>
  </w:style>
  <w:style w:type="paragraph" w:styleId="1488" w:customStyle="1">
    <w:name w:val="正文--表格内正文"/>
    <w:basedOn w:val="1095"/>
    <w:pPr>
      <w:jc w:val="center"/>
      <w:spacing w:line="0" w:lineRule="atLeast"/>
    </w:pPr>
    <w:rPr>
      <w:rFonts w:ascii="宋体" w:hAnsi="宋体"/>
      <w:color w:val="000000"/>
      <w:sz w:val="24"/>
      <w:szCs w:val="24"/>
    </w:rPr>
  </w:style>
  <w:style w:type="paragraph" w:styleId="1489" w:customStyle="1">
    <w:name w:val="xl55"/>
    <w:basedOn w:val="1095"/>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490" w:customStyle="1">
    <w:name w:val="Default"/>
    <w:qFormat/>
    <w:pPr>
      <w:widowControl w:val="off"/>
    </w:pPr>
    <w:rPr>
      <w:rFonts w:ascii="宋体" w:hAnsi="Times New Roman" w:eastAsia="宋体" w:cs="宋体"/>
      <w:color w:val="000000"/>
      <w:sz w:val="24"/>
      <w:szCs w:val="24"/>
    </w:rPr>
  </w:style>
  <w:style w:type="paragraph" w:styleId="1491" w:customStyle="1">
    <w:name w:val="条1"/>
    <w:basedOn w:val="1095"/>
    <w:pPr>
      <w:ind w:left="780" w:hanging="360"/>
      <w:spacing w:before="156" w:line="360" w:lineRule="auto"/>
      <w:tabs>
        <w:tab w:val="left" w:pos="780" w:leader="none"/>
      </w:tabs>
    </w:pPr>
    <w:rPr>
      <w:rFonts w:eastAsia="黑体"/>
      <w:sz w:val="24"/>
    </w:rPr>
  </w:style>
  <w:style w:type="paragraph" w:styleId="1492" w:customStyle="1">
    <w:name w:val="xl43"/>
    <w:basedOn w:val="1095"/>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493" w:customStyle="1">
    <w:name w:val="正文 首行缩进:  2 字符 Char Char"/>
    <w:basedOn w:val="1095"/>
    <w:pPr>
      <w:ind w:firstLine="480"/>
      <w:spacing w:line="360" w:lineRule="auto"/>
    </w:pPr>
    <w:rPr>
      <w:rFonts w:ascii="楷体_GB2312" w:eastAsia="楷体_GB2312"/>
      <w:bCs/>
      <w:sz w:val="24"/>
      <w:szCs w:val="24"/>
    </w:rPr>
  </w:style>
  <w:style w:type="paragraph" w:styleId="1494" w:customStyle="1">
    <w:name w:val="正文 首行缩进:  2 字符 Char"/>
    <w:basedOn w:val="1095"/>
    <w:pPr>
      <w:ind w:firstLine="480"/>
      <w:spacing w:line="360" w:lineRule="auto"/>
    </w:pPr>
    <w:rPr>
      <w:rFonts w:cs="宋体"/>
      <w:sz w:val="24"/>
    </w:rPr>
  </w:style>
  <w:style w:type="paragraph" w:styleId="1495" w:customStyle="1">
    <w:name w:val="7"/>
    <w:basedOn w:val="1095"/>
    <w:next w:val="1151"/>
    <w:pPr>
      <w:jc w:val="left"/>
      <w:spacing w:before="100" w:beforeAutospacing="1" w:after="100" w:afterAutospacing="1"/>
      <w:widowControl/>
    </w:pPr>
    <w:rPr>
      <w:rFonts w:ascii="宋体" w:hAnsi="宋体"/>
      <w:sz w:val="24"/>
    </w:rPr>
  </w:style>
  <w:style w:type="paragraph" w:styleId="1496" w:customStyle="1">
    <w:name w:val="表格1"/>
    <w:basedOn w:val="1095"/>
    <w:rPr>
      <w:rFonts w:ascii="宋体"/>
      <w:szCs w:val="21"/>
    </w:rPr>
  </w:style>
  <w:style w:type="paragraph" w:styleId="1497" w:customStyle="1">
    <w:name w:val="Char Char Char Char Char1"/>
    <w:basedOn w:val="1095"/>
    <w:rPr>
      <w:rFonts w:ascii="Tahoma" w:hAnsi="Tahoma"/>
      <w:sz w:val="24"/>
    </w:rPr>
  </w:style>
  <w:style w:type="paragraph" w:styleId="1498" w:customStyle="1">
    <w:name w:val="xl29"/>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99" w:customStyle="1">
    <w:name w:val="retrait3"/>
    <w:basedOn w:val="1095"/>
    <w:pPr>
      <w:ind w:left="851"/>
      <w:jc w:val="left"/>
      <w:spacing w:before="20" w:after="20"/>
      <w:widowControl/>
    </w:pPr>
    <w:rPr>
      <w:rFonts w:ascii="Arial" w:hAnsi="Arial"/>
      <w:sz w:val="24"/>
      <w:lang w:val="en-GB"/>
    </w:rPr>
  </w:style>
  <w:style w:type="paragraph" w:styleId="1500" w:customStyle="1">
    <w:name w:val="插图"/>
    <w:basedOn w:val="1095"/>
    <w:pPr>
      <w:jc w:val="center"/>
      <w:tabs>
        <w:tab w:val="left" w:pos="1620" w:leader="none"/>
      </w:tabs>
    </w:pPr>
    <w:rPr>
      <w:bCs/>
      <w:color w:val="000000"/>
      <w:szCs w:val="22"/>
    </w:rPr>
  </w:style>
  <w:style w:type="paragraph" w:styleId="1501" w:customStyle="1">
    <w:name w:val="xl61"/>
    <w:basedOn w:val="1095"/>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502" w:customStyle="1">
    <w:name w:val="默认段落字体 Para Char"/>
    <w:basedOn w:val="1095"/>
    <w:rPr>
      <w:sz w:val="24"/>
      <w:szCs w:val="24"/>
    </w:rPr>
  </w:style>
  <w:style w:type="paragraph" w:styleId="1503" w:customStyle="1">
    <w:name w:val="Char2"/>
    <w:basedOn w:val="1095"/>
    <w:pPr>
      <w:spacing w:line="360" w:lineRule="auto"/>
    </w:pPr>
    <w:rPr>
      <w:rFonts w:ascii="Tahoma" w:hAnsi="Tahoma"/>
      <w:sz w:val="24"/>
    </w:rPr>
  </w:style>
  <w:style w:type="paragraph" w:styleId="1504" w:customStyle="1">
    <w:name w:val="Char Char Char Char Char Char Char Char Char Char Char Char Char1"/>
    <w:basedOn w:val="1116"/>
    <w:rPr>
      <w:rFonts w:ascii="Tahoma" w:hAnsi="Tahoma"/>
      <w:sz w:val="24"/>
      <w:szCs w:val="24"/>
    </w:rPr>
  </w:style>
  <w:style w:type="paragraph" w:styleId="1505" w:customStyle="1">
    <w:name w:val="Char Char Char Char Char Char Char Char Char Char Char1"/>
    <w:basedOn w:val="1095"/>
    <w:rPr>
      <w:rFonts w:ascii="Tahoma" w:hAnsi="Tahoma" w:cs="Tahoma"/>
      <w:sz w:val="24"/>
    </w:rPr>
  </w:style>
  <w:style w:type="paragraph" w:styleId="1506" w:customStyle="1">
    <w:name w:val="Char Char3"/>
    <w:basedOn w:val="1095"/>
    <w:rPr>
      <w:rFonts w:ascii="Tahoma" w:hAnsi="Tahoma"/>
      <w:sz w:val="24"/>
    </w:rPr>
  </w:style>
  <w:style w:type="paragraph" w:styleId="1507" w:customStyle="1">
    <w:name w:val="Char Char Char Char Char Char Char1"/>
    <w:basedOn w:val="1095"/>
    <w:pPr>
      <w:jc w:val="left"/>
    </w:pPr>
    <w:rPr>
      <w:rFonts w:ascii="Tahoma" w:hAnsi="Tahoma"/>
      <w:sz w:val="24"/>
    </w:rPr>
  </w:style>
  <w:style w:type="paragraph" w:styleId="1508" w:customStyle="1">
    <w:name w:val="xl40"/>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509" w:customStyle="1">
    <w:name w:val="Char Char1 Char Char Char Char1 Char Char Char Char Char Char"/>
    <w:basedOn w:val="1095"/>
    <w:rPr>
      <w:rFonts w:ascii="Tahoma" w:hAnsi="Tahoma"/>
      <w:sz w:val="24"/>
    </w:rPr>
  </w:style>
  <w:style w:type="paragraph" w:styleId="1510" w:customStyle="1">
    <w:name w:val="xl34"/>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511" w:customStyle="1">
    <w:name w:val="ewb-con-p2"/>
    <w:basedOn w:val="1095"/>
    <w:pPr>
      <w:jc w:val="left"/>
      <w:spacing w:before="100" w:beforeAutospacing="1" w:after="100" w:afterAutospacing="1"/>
      <w:widowControl/>
    </w:pPr>
    <w:rPr>
      <w:rFonts w:ascii="宋体" w:hAnsi="宋体" w:cs="宋体"/>
      <w:sz w:val="24"/>
      <w:szCs w:val="24"/>
    </w:rPr>
  </w:style>
  <w:style w:type="paragraph" w:styleId="1512" w:customStyle="1">
    <w:name w:val="xl47"/>
    <w:basedOn w:val="1095"/>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513" w:customStyle="1">
    <w:name w:val="xl39"/>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14" w:customStyle="1">
    <w:name w:val="项目符号：一级"/>
    <w:basedOn w:val="1327"/>
    <w:next w:val="1327"/>
    <w:pPr>
      <w:ind w:right="-134"/>
    </w:pPr>
    <w:rPr>
      <w:rFonts w:ascii="Times New Roman" w:hAnsi="Times New Roman"/>
      <w:bCs w:val="0"/>
    </w:rPr>
  </w:style>
  <w:style w:type="paragraph" w:styleId="1515" w:customStyle="1">
    <w:name w:val="Body 2"/>
    <w:basedOn w:val="1095"/>
    <w:pPr>
      <w:ind w:left="720"/>
      <w:spacing w:after="240"/>
      <w:widowControl/>
    </w:pPr>
    <w:rPr>
      <w:rFonts w:eastAsia="PMingLiU"/>
      <w:sz w:val="22"/>
      <w:szCs w:val="22"/>
    </w:rPr>
  </w:style>
  <w:style w:type="paragraph" w:styleId="1516" w:customStyle="1">
    <w:name w:val="xl51"/>
    <w:basedOn w:val="1095"/>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517" w:customStyle="1">
    <w:name w:val="[Normal]"/>
    <w:qFormat/>
    <w:rPr>
      <w:rFonts w:ascii="方正仿宋简体" w:hAnsi="方正仿宋简体" w:eastAsia="方正仿宋简体" w:cs="Courier New"/>
      <w:sz w:val="24"/>
      <w:szCs w:val="22"/>
      <w:lang w:val="zh-CN"/>
    </w:rPr>
  </w:style>
  <w:style w:type="paragraph" w:styleId="1518" w:customStyle="1">
    <w:name w:val="Char1 Char Char Char"/>
    <w:basedOn w:val="1095"/>
    <w:rPr>
      <w:rFonts w:ascii="Tahoma" w:hAnsi="Tahoma"/>
      <w:sz w:val="24"/>
    </w:rPr>
  </w:style>
  <w:style w:type="paragraph" w:styleId="1519" w:customStyle="1">
    <w:name w:val="正文文本 New New"/>
    <w:basedOn w:val="1095"/>
    <w:pPr>
      <w:ind w:firstLine="200"/>
      <w:spacing w:before="60" w:after="60" w:line="360" w:lineRule="auto"/>
      <w:widowControl/>
    </w:pPr>
    <w:rPr>
      <w:rFonts w:eastAsia="华文楷体"/>
      <w:sz w:val="24"/>
      <w:szCs w:val="24"/>
    </w:rPr>
  </w:style>
  <w:style w:type="paragraph" w:styleId="1520" w:customStyle="1">
    <w:name w:val="Char1 Char Char Char1"/>
    <w:basedOn w:val="1095"/>
    <w:rPr>
      <w:rFonts w:ascii="Tahoma" w:hAnsi="Tahoma" w:cs="Tahoma"/>
      <w:sz w:val="24"/>
    </w:rPr>
  </w:style>
  <w:style w:type="paragraph" w:styleId="1521" w:customStyle="1">
    <w:name w:val="content_lineheight"/>
    <w:basedOn w:val="1095"/>
    <w:pPr>
      <w:jc w:val="left"/>
      <w:spacing w:before="100" w:beforeAutospacing="1" w:after="100" w:afterAutospacing="1"/>
      <w:widowControl/>
    </w:pPr>
    <w:rPr>
      <w:rFonts w:ascii="宋体" w:hAnsi="宋体"/>
      <w:sz w:val="24"/>
      <w:szCs w:val="24"/>
    </w:rPr>
  </w:style>
  <w:style w:type="paragraph" w:styleId="1522" w:customStyle="1">
    <w:name w:val="flType"/>
    <w:basedOn w:val="1451"/>
    <w:pPr>
      <w:spacing w:after="284"/>
    </w:pPr>
  </w:style>
  <w:style w:type="paragraph" w:styleId="1523" w:customStyle="1">
    <w:name w:val="样式2"/>
    <w:basedOn w:val="1095"/>
    <w:pPr>
      <w:ind w:left="200"/>
      <w:spacing w:line="360" w:lineRule="auto"/>
    </w:pPr>
    <w:rPr>
      <w:rFonts w:ascii="宋体" w:hAnsi="宋体"/>
      <w:b/>
      <w:sz w:val="24"/>
      <w:szCs w:val="24"/>
    </w:rPr>
  </w:style>
  <w:style w:type="paragraph" w:styleId="1524" w:customStyle="1">
    <w:name w:val="Char Char Char Char Char Char Char Char Char1"/>
    <w:basedOn w:val="1095"/>
    <w:pPr>
      <w:ind w:left="200" w:hanging="200"/>
      <w:tabs>
        <w:tab w:val="left" w:pos="360" w:leader="none"/>
      </w:tabs>
    </w:pPr>
    <w:rPr>
      <w:sz w:val="24"/>
      <w:szCs w:val="24"/>
    </w:rPr>
  </w:style>
  <w:style w:type="paragraph" w:styleId="1525" w:customStyle="1">
    <w:name w:val="列出段落3"/>
    <w:basedOn w:val="1095"/>
    <w:uiPriority w:val="34"/>
    <w:qFormat/>
    <w:pPr>
      <w:contextualSpacing/>
      <w:ind w:left="720"/>
      <w:jc w:val="left"/>
      <w:widowControl/>
    </w:pPr>
    <w:rPr>
      <w:rFonts w:ascii="Arial" w:hAnsi="Arial" w:eastAsia="黑体"/>
      <w:sz w:val="24"/>
      <w:szCs w:val="24"/>
      <w:lang w:eastAsia="en-US"/>
    </w:rPr>
  </w:style>
  <w:style w:type="paragraph" w:styleId="1526" w:customStyle="1">
    <w:name w:val="Char Char Char Char Char Char Char Char Char Char Char Char Char Char1"/>
    <w:basedOn w:val="1095"/>
    <w:rPr>
      <w:rFonts w:ascii="Tahoma" w:hAnsi="Tahoma" w:cs="Tahoma"/>
      <w:sz w:val="24"/>
    </w:rPr>
  </w:style>
  <w:style w:type="paragraph" w:styleId="1527" w:customStyle="1">
    <w:name w:val="Char Char Char Char1"/>
    <w:basedOn w:val="1095"/>
    <w:pPr>
      <w:jc w:val="center"/>
      <w:spacing w:after="160" w:line="240" w:lineRule="exact"/>
      <w:widowControl/>
    </w:pPr>
    <w:rPr>
      <w:rFonts w:ascii="黑体" w:hAnsi="Verdana" w:eastAsia="黑体"/>
      <w:sz w:val="32"/>
      <w:szCs w:val="32"/>
      <w:lang w:eastAsia="en-US"/>
    </w:rPr>
  </w:style>
  <w:style w:type="paragraph" w:styleId="1528" w:customStyle="1">
    <w:name w:val="xl24"/>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29" w:customStyle="1">
    <w:name w:val="Table Paragraph"/>
    <w:basedOn w:val="1095"/>
    <w:uiPriority w:val="1"/>
    <w:qFormat/>
    <w:rPr>
      <w:rFonts w:ascii="宋体" w:hAnsi="宋体" w:cs="宋体"/>
      <w:lang w:val="zh-CN" w:bidi="zh-CN"/>
    </w:rPr>
  </w:style>
  <w:style w:type="paragraph" w:styleId="1530" w:customStyle="1">
    <w:name w:val="TableOfAuthoring"/>
    <w:basedOn w:val="1095"/>
    <w:next w:val="1095"/>
    <w:qFormat/>
    <w:pPr>
      <w:ind w:left="420"/>
    </w:pPr>
  </w:style>
  <w:style w:type="paragraph" w:styleId="1531" w:customStyle="1">
    <w:name w:val="样式 (西文) 宋体 行距: 固定值 20 磅 首行缩进:  2 字符 右  -0.52 字符"/>
    <w:basedOn w:val="1095"/>
    <w:pPr>
      <w:ind w:right="-109" w:firstLine="420"/>
      <w:spacing w:line="400" w:lineRule="exact"/>
    </w:pPr>
    <w:rPr>
      <w:rFonts w:ascii="宋体" w:hAnsi="宋体" w:cs="宋体"/>
    </w:rPr>
  </w:style>
  <w:style w:type="table" w:styleId="1532" w:customStyle="1">
    <w:name w:val="网格型1"/>
    <w:basedOn w:val="1106"/>
    <w:uiPriority w:val="9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533" w:customStyle="1">
    <w:name w:val="索引 41"/>
    <w:basedOn w:val="1095"/>
    <w:next w:val="1095"/>
    <w:semiHidden/>
    <w:qFormat/>
    <w:pPr>
      <w:ind w:left="1260"/>
    </w:pPr>
    <w:rPr>
      <w:rFonts w:ascii="Calibri" w:hAnsi="Calibri" w:eastAsia="Calibri" w:cs="宋体"/>
      <w:sz w:val="20"/>
      <w:szCs w:val="22"/>
      <w:lang w:val="zh-CN"/>
    </w:rPr>
  </w:style>
  <w:style w:type="character" w:styleId="1534" w:customStyle="1">
    <w:name w:val="标题 4 Char1"/>
    <w:uiPriority w:val="9"/>
    <w:semiHidden/>
    <w:rPr>
      <w:rFonts w:ascii="Arial" w:hAnsi="Arial" w:eastAsia="黑体" w:cs="Arial"/>
      <w:b/>
      <w:bCs/>
      <w:sz w:val="28"/>
      <w:szCs w:val="28"/>
    </w:rPr>
  </w:style>
  <w:style w:type="character" w:styleId="1535" w:customStyle="1">
    <w:name w:val="标题 1 Char1"/>
    <w:uiPriority w:val="9"/>
    <w:rPr>
      <w:rFonts w:ascii="楷体_GB2312" w:hAnsi="宋体" w:eastAsia="楷体_GB2312" w:cs="宋体"/>
      <w:sz w:val="28"/>
      <w:szCs w:val="28"/>
    </w:rPr>
  </w:style>
  <w:style w:type="character" w:styleId="1536" w:customStyle="1">
    <w:name w:val="标题 2 Char1"/>
    <w:uiPriority w:val="9"/>
    <w:semiHidden/>
    <w:rPr>
      <w:rFonts w:ascii="Calibri" w:hAnsi="Calibri" w:eastAsia="幼圆" w:cs="Times New Roman"/>
      <w:b/>
      <w:bCs/>
      <w:sz w:val="44"/>
      <w:szCs w:val="44"/>
    </w:rPr>
  </w:style>
  <w:style w:type="character" w:styleId="1537" w:customStyle="1">
    <w:name w:val="标题 5 Char1"/>
    <w:uiPriority w:val="9"/>
    <w:semiHidden/>
    <w:rPr>
      <w:rFonts w:ascii="等线 Light" w:hAnsi="等线 Light" w:eastAsia="等线 Light" w:cs="宋体"/>
      <w:color w:val="2e74b5"/>
      <w:sz w:val="22"/>
    </w:rPr>
  </w:style>
  <w:style w:type="character" w:styleId="1538" w:customStyle="1">
    <w:name w:val="标题 6 Char1"/>
    <w:uiPriority w:val="9"/>
    <w:semiHidden/>
    <w:rPr>
      <w:rFonts w:ascii="等线 Light" w:hAnsi="等线 Light" w:eastAsia="等线 Light" w:cs="宋体"/>
      <w:color w:val="1f4e79"/>
      <w:sz w:val="22"/>
    </w:rPr>
  </w:style>
  <w:style w:type="character" w:styleId="1539" w:customStyle="1">
    <w:name w:val="标题 7 Char1"/>
    <w:uiPriority w:val="9"/>
    <w:semiHidden/>
    <w:rPr>
      <w:rFonts w:ascii="等线 Light" w:hAnsi="等线 Light" w:eastAsia="等线 Light" w:cs="Times New Roman"/>
      <w:i/>
      <w:iCs/>
      <w:color w:val="1f4e79"/>
      <w:sz w:val="22"/>
    </w:rPr>
  </w:style>
  <w:style w:type="character" w:styleId="1540" w:customStyle="1">
    <w:name w:val="标题 8 Char1"/>
    <w:uiPriority w:val="9"/>
    <w:semiHidden/>
    <w:rPr>
      <w:rFonts w:ascii="等线 Light" w:hAnsi="等线 Light" w:eastAsia="等线 Light" w:cs="Times New Roman"/>
      <w:color w:val="262626"/>
      <w:szCs w:val="21"/>
    </w:rPr>
  </w:style>
  <w:style w:type="character" w:styleId="1541" w:customStyle="1">
    <w:name w:val="标题 9 Char1"/>
    <w:uiPriority w:val="9"/>
    <w:semiHidden/>
    <w:rPr>
      <w:rFonts w:ascii="等线 Light" w:hAnsi="等线 Light" w:eastAsia="等线 Light" w:cs="Times New Roman"/>
      <w:i/>
      <w:iCs/>
      <w:color w:val="262626"/>
      <w:szCs w:val="21"/>
    </w:rPr>
  </w:style>
  <w:style w:type="paragraph" w:styleId="1542">
    <w:name w:val="List"/>
    <w:basedOn w:val="1095"/>
    <w:pPr>
      <w:ind w:left="200" w:hanging="200"/>
    </w:pPr>
    <w:rPr>
      <w:szCs w:val="21"/>
    </w:rPr>
  </w:style>
  <w:style w:type="character" w:styleId="1543" w:customStyle="1">
    <w:name w:val="正文缩进 Char"/>
    <w:link w:val="1109"/>
    <w:rPr>
      <w:rFonts w:ascii="Times New Roman" w:hAnsi="Times New Roman" w:eastAsia="宋体" w:cs="Times New Roman"/>
      <w:sz w:val="21"/>
    </w:rPr>
  </w:style>
  <w:style w:type="paragraph" w:styleId="1544">
    <w:name w:val="Caption"/>
    <w:basedOn w:val="1095"/>
    <w:next w:val="1095"/>
    <w:link w:val="1545"/>
    <w:qFormat/>
    <w:pPr>
      <w:jc w:val="left"/>
      <w:spacing w:after="200"/>
      <w:widowControl/>
    </w:pPr>
    <w:rPr>
      <w:rFonts w:ascii="等线" w:hAnsi="等线" w:eastAsia="等线"/>
      <w:i/>
      <w:iCs/>
      <w:color w:val="44546a"/>
      <w:sz w:val="18"/>
      <w:szCs w:val="18"/>
    </w:rPr>
  </w:style>
  <w:style w:type="character" w:styleId="1545" w:customStyle="1">
    <w:name w:val="题注 Char"/>
    <w:link w:val="1544"/>
    <w:rPr>
      <w:rFonts w:ascii="等线" w:hAnsi="等线" w:eastAsia="等线" w:cs="Times New Roman"/>
      <w:i/>
      <w:iCs/>
      <w:color w:val="44546a"/>
      <w:sz w:val="18"/>
      <w:szCs w:val="18"/>
    </w:rPr>
  </w:style>
  <w:style w:type="paragraph" w:styleId="1546">
    <w:name w:val="List Bullet"/>
    <w:basedOn w:val="1095"/>
    <w:pPr>
      <w:tabs>
        <w:tab w:val="left" w:pos="360" w:leader="none"/>
      </w:tabs>
    </w:pPr>
    <w:rPr>
      <w:rFonts w:hAnsi="宋体"/>
    </w:rPr>
  </w:style>
  <w:style w:type="paragraph" w:styleId="1547">
    <w:name w:val="List Bullet 3"/>
    <w:basedOn w:val="1095"/>
    <w:pPr>
      <w:spacing w:before="340" w:after="330" w:line="480" w:lineRule="exact"/>
      <w:outlineLvl w:val="0"/>
    </w:pPr>
    <w:rPr>
      <w:rFonts w:ascii="宋体" w:hAnsi="宋体"/>
      <w:color w:val="0000ff"/>
    </w:rPr>
  </w:style>
  <w:style w:type="character" w:styleId="1548" w:customStyle="1">
    <w:name w:val="正文文本缩进 Char1"/>
    <w:semiHidden/>
    <w:rPr>
      <w:rFonts w:ascii="Times New Roman" w:hAnsi="Times New Roman" w:eastAsia="宋体" w:cs="Times New Roman"/>
      <w:szCs w:val="21"/>
    </w:rPr>
  </w:style>
  <w:style w:type="paragraph" w:styleId="1549">
    <w:name w:val="List 2"/>
    <w:basedOn w:val="1095"/>
    <w:pPr>
      <w:ind w:left="100" w:hanging="200"/>
    </w:pPr>
    <w:rPr>
      <w:szCs w:val="21"/>
    </w:rPr>
  </w:style>
  <w:style w:type="paragraph" w:styleId="1550">
    <w:name w:val="List Continue"/>
    <w:basedOn w:val="1095"/>
    <w:pPr>
      <w:ind w:left="420"/>
      <w:spacing w:after="120"/>
    </w:pPr>
    <w:rPr>
      <w:rFonts w:hAnsi="宋体"/>
    </w:rPr>
  </w:style>
  <w:style w:type="paragraph" w:styleId="1551">
    <w:name w:val="List Bullet 2"/>
    <w:basedOn w:val="1095"/>
    <w:pPr>
      <w:tabs>
        <w:tab w:val="left" w:pos="780" w:leader="none"/>
      </w:tabs>
    </w:pPr>
    <w:rPr>
      <w:rFonts w:hAnsi="宋体"/>
    </w:rPr>
  </w:style>
  <w:style w:type="character" w:styleId="1552" w:customStyle="1">
    <w:name w:val="批注框文本 Char1"/>
    <w:uiPriority w:val="99"/>
    <w:semiHidden/>
    <w:rPr>
      <w:rFonts w:ascii="Calibri" w:hAnsi="Calibri" w:eastAsia="宋体" w:cs="Times New Roman"/>
      <w:sz w:val="18"/>
      <w:szCs w:val="18"/>
    </w:rPr>
  </w:style>
  <w:style w:type="character" w:styleId="1553" w:customStyle="1">
    <w:name w:val="页脚 Char1"/>
    <w:uiPriority w:val="99"/>
    <w:semiHidden/>
    <w:rPr>
      <w:rFonts w:ascii="Calibri" w:hAnsi="Calibri" w:eastAsia="宋体" w:cs="Times New Roman"/>
      <w:sz w:val="18"/>
      <w:szCs w:val="18"/>
    </w:rPr>
  </w:style>
  <w:style w:type="character" w:styleId="1554" w:customStyle="1">
    <w:name w:val="页眉 Char1"/>
    <w:uiPriority w:val="99"/>
    <w:semiHidden/>
    <w:rPr>
      <w:rFonts w:ascii="Calibri" w:hAnsi="Calibri" w:eastAsia="宋体" w:cs="Times New Roman"/>
      <w:sz w:val="18"/>
      <w:szCs w:val="18"/>
    </w:rPr>
  </w:style>
  <w:style w:type="character" w:styleId="1555" w:customStyle="1">
    <w:name w:val="副标题 Char1"/>
    <w:uiPriority w:val="11"/>
    <w:rPr>
      <w:rFonts w:ascii="等线" w:hAnsi="等线" w:eastAsia="等线" w:cs="Times New Roman"/>
      <w:color w:val="5a5a5a"/>
      <w:spacing w:val="15"/>
      <w:sz w:val="22"/>
    </w:rPr>
  </w:style>
  <w:style w:type="paragraph" w:styleId="1556">
    <w:name w:val="List 5"/>
    <w:basedOn w:val="1095"/>
    <w:pPr>
      <w:ind w:left="2100" w:hanging="420"/>
    </w:pPr>
    <w:rPr>
      <w:rFonts w:hAnsi="宋体"/>
    </w:rPr>
  </w:style>
  <w:style w:type="character" w:styleId="1557" w:customStyle="1">
    <w:name w:val="正文文本缩进 3 Char1"/>
    <w:semiHidden/>
    <w:qFormat/>
    <w:rPr>
      <w:rFonts w:ascii="Times New Roman" w:hAnsi="Times New Roman" w:eastAsia="宋体" w:cs="Times New Roman"/>
      <w:sz w:val="16"/>
      <w:szCs w:val="20"/>
    </w:rPr>
  </w:style>
  <w:style w:type="paragraph" w:styleId="1558">
    <w:name w:val="List 4"/>
    <w:basedOn w:val="1095"/>
    <w:pPr>
      <w:ind w:left="1680" w:hanging="420"/>
    </w:pPr>
    <w:rPr>
      <w:rFonts w:hAnsi="宋体"/>
    </w:rPr>
  </w:style>
  <w:style w:type="paragraph" w:styleId="1559">
    <w:name w:val="List Continue 2"/>
    <w:basedOn w:val="1095"/>
    <w:pPr>
      <w:ind w:left="840"/>
      <w:spacing w:after="120"/>
    </w:pPr>
    <w:rPr>
      <w:rFonts w:hAnsi="宋体"/>
    </w:rPr>
  </w:style>
  <w:style w:type="paragraph" w:styleId="1560">
    <w:name w:val="Message Header"/>
    <w:basedOn w:val="1121"/>
    <w:link w:val="1561"/>
    <w:pPr>
      <w:ind w:left="360"/>
      <w:jc w:val="left"/>
      <w:keepLines/>
      <w:spacing w:after="40" w:line="140" w:lineRule="atLeast"/>
      <w:widowControl/>
    </w:pPr>
    <w:rPr>
      <w:rFonts w:ascii="Garamond" w:hAnsi="Garamond" w:eastAsia="宋体"/>
      <w:sz w:val="18"/>
      <w:lang w:val="zh-CN" w:bidi="he-IL"/>
    </w:rPr>
  </w:style>
  <w:style w:type="character" w:styleId="1561" w:customStyle="1">
    <w:name w:val="信息标题 Char"/>
    <w:basedOn w:val="1105"/>
    <w:link w:val="1560"/>
    <w:rPr>
      <w:rFonts w:ascii="Garamond" w:hAnsi="Garamond" w:eastAsia="宋体" w:cs="Times New Roman"/>
      <w:sz w:val="18"/>
      <w:lang w:val="zh-CN" w:bidi="he-IL"/>
    </w:rPr>
  </w:style>
  <w:style w:type="paragraph" w:styleId="1562">
    <w:name w:val="List Continue 3"/>
    <w:basedOn w:val="1095"/>
    <w:pPr>
      <w:ind w:left="1260"/>
      <w:spacing w:after="120"/>
    </w:pPr>
    <w:rPr>
      <w:rFonts w:hAnsi="宋体"/>
    </w:rPr>
  </w:style>
  <w:style w:type="character" w:styleId="1563" w:customStyle="1">
    <w:name w:val="正文首行缩进 Char1"/>
    <w:uiPriority w:val="99"/>
    <w:semiHidden/>
    <w:rPr>
      <w:rFonts w:ascii="Times New Roman" w:hAnsi="Times New Roman" w:eastAsia="楷体_GB2312" w:cs="Times New Roman"/>
      <w:sz w:val="21"/>
      <w:szCs w:val="21"/>
    </w:rPr>
  </w:style>
  <w:style w:type="character" w:styleId="1564" w:customStyle="1">
    <w:name w:val="正文首行缩进 2 Char1"/>
    <w:uiPriority w:val="99"/>
    <w:semiHidden/>
    <w:rPr>
      <w:rFonts w:ascii="Times New Roman" w:hAnsi="Times New Roman" w:eastAsia="宋体" w:cs="Times New Roman"/>
      <w:sz w:val="21"/>
      <w:szCs w:val="21"/>
    </w:rPr>
  </w:style>
  <w:style w:type="paragraph" w:styleId="1565">
    <w:name w:val="TOC Heading"/>
    <w:basedOn w:val="1096"/>
    <w:next w:val="1095"/>
    <w:uiPriority w:val="39"/>
    <w:qFormat/>
    <w:pPr>
      <w:keepLines/>
      <w:spacing w:line="256" w:lineRule="auto"/>
      <w:widowControl/>
      <w:tabs>
        <w:tab w:val="clear" w:pos="1440" w:leader="none"/>
        <w:tab w:val="clear" w:pos="5670" w:leader="none"/>
      </w:tabs>
      <w:outlineLvl w:val="9"/>
    </w:pPr>
    <w:rPr>
      <w:rFonts w:ascii="等线 Light" w:hAnsi="等线 Light" w:eastAsia="等线 Light"/>
      <w:b w:val="0"/>
      <w:color w:val="2e74b5"/>
      <w:sz w:val="32"/>
      <w:szCs w:val="32"/>
    </w:rPr>
  </w:style>
  <w:style w:type="character" w:styleId="1566" w:customStyle="1">
    <w:name w:val="普通正文 Char"/>
    <w:link w:val="1567"/>
    <w:rPr>
      <w:sz w:val="24"/>
      <w:szCs w:val="24"/>
    </w:rPr>
  </w:style>
  <w:style w:type="paragraph" w:styleId="1567" w:customStyle="1">
    <w:name w:val="普通正文"/>
    <w:basedOn w:val="1095"/>
    <w:link w:val="1566"/>
    <w:qFormat/>
    <w:pPr>
      <w:ind w:firstLine="480"/>
      <w:jc w:val="left"/>
      <w:spacing w:before="120" w:after="120" w:line="360" w:lineRule="auto"/>
    </w:pPr>
    <w:rPr>
      <w:rFonts w:asciiTheme="minorHAnsi" w:hAnsiTheme="minorHAnsi" w:eastAsiaTheme="minorEastAsia" w:cstheme="minorBidi"/>
      <w:sz w:val="24"/>
      <w:szCs w:val="24"/>
    </w:rPr>
  </w:style>
  <w:style w:type="paragraph" w:styleId="1568" w:customStyle="1">
    <w:name w:val="msonospacing"/>
    <w:basedOn w:val="1095"/>
    <w:rPr>
      <w:rFonts w:ascii="宋体" w:hAnsi="宋体"/>
      <w:sz w:val="24"/>
      <w:szCs w:val="24"/>
    </w:rPr>
  </w:style>
  <w:style w:type="character" w:styleId="1569">
    <w:name w:val="Subtle Emphasis"/>
    <w:uiPriority w:val="19"/>
    <w:qFormat/>
    <w:rPr>
      <w:i/>
      <w:iCs/>
      <w:color w:val="404040"/>
    </w:rPr>
  </w:style>
  <w:style w:type="character" w:styleId="1570">
    <w:name w:val="Intense Emphasis"/>
    <w:uiPriority w:val="21"/>
    <w:qFormat/>
    <w:rPr>
      <w:i/>
      <w:iCs/>
      <w:color w:val="5b9bd5"/>
    </w:rPr>
  </w:style>
  <w:style w:type="character" w:styleId="1571">
    <w:name w:val="Subtle Reference"/>
    <w:uiPriority w:val="31"/>
    <w:qFormat/>
    <w:rPr>
      <w:smallCaps/>
      <w:color w:val="404040"/>
    </w:rPr>
  </w:style>
  <w:style w:type="character" w:styleId="1572">
    <w:name w:val="Intense Reference"/>
    <w:uiPriority w:val="32"/>
    <w:qFormat/>
    <w:rPr>
      <w:b/>
      <w:bCs/>
      <w:smallCaps/>
      <w:color w:val="5b9bd5"/>
      <w:spacing w:val="5"/>
    </w:rPr>
  </w:style>
  <w:style w:type="character" w:styleId="1573">
    <w:name w:val="Book Title"/>
    <w:uiPriority w:val="33"/>
    <w:qFormat/>
    <w:rPr>
      <w:b/>
      <w:bCs/>
      <w:i/>
      <w:iCs/>
      <w:spacing w:val="5"/>
    </w:rPr>
  </w:style>
  <w:style w:type="character" w:styleId="1574" w:customStyle="1">
    <w:name w:val="信息标题 字符"/>
    <w:uiPriority w:val="99"/>
    <w:semiHidden/>
    <w:rPr>
      <w:rFonts w:ascii="等线 Light" w:hAnsi="等线 Light" w:eastAsia="等线 Light" w:cs="Times New Roman"/>
      <w:sz w:val="24"/>
      <w:szCs w:val="24"/>
      <w:shd w:val="pct20" w:color="auto" w:fill="auto"/>
    </w:rPr>
  </w:style>
  <w:style w:type="character" w:styleId="1575" w:customStyle="1">
    <w:name w:val="标题 3 字符"/>
    <w:uiPriority w:val="9"/>
    <w:rPr>
      <w:rFonts w:ascii="Times New Roman" w:hAnsi="Times New Roman" w:eastAsia="宋体" w:cs="Times New Roman"/>
      <w:b/>
      <w:bCs/>
      <w:sz w:val="32"/>
      <w:szCs w:val="32"/>
    </w:rPr>
  </w:style>
  <w:style w:type="character" w:styleId="1576" w:customStyle="1">
    <w:name w:val="纯文本 字符1"/>
    <w:uiPriority w:val="99"/>
    <w:rPr>
      <w:rFonts w:ascii="宋体" w:hAnsi="Courier New" w:cs="Courier New"/>
      <w:szCs w:val="21"/>
    </w:rPr>
  </w:style>
  <w:style w:type="character" w:styleId="1577" w:customStyle="1">
    <w:name w:val="文档结构图 字符"/>
    <w:uiPriority w:val="99"/>
    <w:semiHidden/>
    <w:rPr>
      <w:rFonts w:ascii="Microsoft YaHei UI" w:eastAsia="Microsoft YaHei UI"/>
      <w:sz w:val="18"/>
      <w:szCs w:val="18"/>
    </w:rPr>
  </w:style>
  <w:style w:type="character" w:styleId="1578" w:customStyle="1">
    <w:name w:val="批注文字 字符"/>
    <w:rPr>
      <w:sz w:val="21"/>
      <w:szCs w:val="21"/>
    </w:rPr>
  </w:style>
  <w:style w:type="character" w:styleId="1579" w:customStyle="1">
    <w:name w:val="正文文本 3 字符"/>
    <w:uiPriority w:val="99"/>
    <w:semiHidden/>
    <w:rPr>
      <w:sz w:val="16"/>
      <w:szCs w:val="16"/>
    </w:rPr>
  </w:style>
  <w:style w:type="character" w:styleId="1580" w:customStyle="1">
    <w:name w:val="正文文本缩进 2 字符"/>
    <w:uiPriority w:val="99"/>
    <w:semiHidden/>
    <w:rPr>
      <w:sz w:val="21"/>
      <w:szCs w:val="21"/>
    </w:rPr>
  </w:style>
  <w:style w:type="character" w:styleId="1581" w:customStyle="1">
    <w:name w:val="脚注文本 字符"/>
    <w:uiPriority w:val="99"/>
    <w:semiHidden/>
    <w:rPr>
      <w:sz w:val="18"/>
      <w:szCs w:val="18"/>
    </w:rPr>
  </w:style>
  <w:style w:type="character" w:styleId="1582" w:customStyle="1">
    <w:name w:val="正文文本 2 字符"/>
    <w:uiPriority w:val="99"/>
    <w:semiHidden/>
    <w:rPr>
      <w:sz w:val="21"/>
      <w:szCs w:val="21"/>
    </w:rPr>
  </w:style>
  <w:style w:type="character" w:styleId="1583" w:customStyle="1">
    <w:name w:val="批注主题 字符"/>
    <w:uiPriority w:val="99"/>
    <w:semiHidden/>
    <w:rPr>
      <w:b/>
      <w:bCs/>
      <w:sz w:val="21"/>
      <w:szCs w:val="21"/>
    </w:rPr>
  </w:style>
  <w:style w:type="character" w:styleId="1584" w:customStyle="1">
    <w:name w:val="页眉 字符"/>
    <w:uiPriority w:val="99"/>
    <w:rPr>
      <w:sz w:val="18"/>
      <w:szCs w:val="18"/>
    </w:rPr>
  </w:style>
  <w:style w:type="character" w:styleId="1585" w:customStyle="1">
    <w:name w:val="页脚 字符"/>
    <w:uiPriority w:val="99"/>
    <w:rPr>
      <w:sz w:val="18"/>
      <w:szCs w:val="18"/>
    </w:rPr>
  </w:style>
  <w:style w:type="character" w:styleId="1586" w:customStyle="1">
    <w:name w:val="标题 1 字符"/>
    <w:uiPriority w:val="9"/>
    <w:rPr>
      <w:rFonts w:ascii="Times New Roman" w:hAnsi="Times New Roman" w:eastAsia="宋体" w:cs="Times New Roman"/>
      <w:b/>
      <w:bCs/>
      <w:sz w:val="44"/>
      <w:szCs w:val="44"/>
    </w:rPr>
  </w:style>
  <w:style w:type="character" w:styleId="1587" w:customStyle="1">
    <w:name w:val="标题 1 字符1"/>
    <w:rPr>
      <w:rFonts w:ascii="楷体_GB2312" w:hAnsi="Times New Roman" w:eastAsia="楷体_GB2312" w:cs="Times New Roman"/>
      <w:sz w:val="28"/>
      <w:szCs w:val="28"/>
      <w:lang w:val="zh-CN" w:eastAsia="zh-CN"/>
    </w:rPr>
  </w:style>
  <w:style w:type="character" w:styleId="1588" w:customStyle="1">
    <w:name w:val="标题 2 字符1"/>
    <w:rPr>
      <w:rFonts w:ascii="Arial" w:hAnsi="Arial" w:eastAsia="幼圆" w:cs="Times New Roman"/>
      <w:b/>
      <w:bCs/>
      <w:sz w:val="44"/>
      <w:szCs w:val="44"/>
      <w:lang w:val="zh-CN" w:eastAsia="zh-CN"/>
    </w:rPr>
  </w:style>
  <w:style w:type="character" w:styleId="1589" w:customStyle="1">
    <w:name w:val="正文缩进 字符1"/>
    <w:rPr>
      <w:rFonts w:ascii="Times New Roman" w:hAnsi="Times New Roman" w:eastAsia="宋体" w:cs="Times New Roman"/>
      <w:szCs w:val="21"/>
    </w:rPr>
  </w:style>
  <w:style w:type="character" w:styleId="1590" w:customStyle="1">
    <w:name w:val="标题 4 字符"/>
    <w:uiPriority w:val="9"/>
    <w:semiHidden/>
    <w:rPr>
      <w:rFonts w:ascii="等线 Light" w:hAnsi="等线 Light" w:eastAsia="等线 Light" w:cs="Times New Roman"/>
      <w:b/>
      <w:bCs/>
      <w:sz w:val="28"/>
      <w:szCs w:val="28"/>
    </w:rPr>
  </w:style>
  <w:style w:type="character" w:styleId="1591" w:customStyle="1">
    <w:name w:val="标题 5 字符"/>
    <w:uiPriority w:val="9"/>
    <w:semiHidden/>
    <w:rPr>
      <w:rFonts w:ascii="Times New Roman" w:hAnsi="Times New Roman" w:eastAsia="宋体" w:cs="Times New Roman"/>
      <w:b/>
      <w:bCs/>
      <w:sz w:val="28"/>
      <w:szCs w:val="28"/>
    </w:rPr>
  </w:style>
  <w:style w:type="character" w:styleId="1592" w:customStyle="1">
    <w:name w:val="标题 6 字符"/>
    <w:uiPriority w:val="9"/>
    <w:semiHidden/>
    <w:rPr>
      <w:rFonts w:ascii="等线 Light" w:hAnsi="等线 Light" w:eastAsia="等线 Light" w:cs="Times New Roman"/>
      <w:b/>
      <w:bCs/>
      <w:sz w:val="24"/>
      <w:szCs w:val="24"/>
    </w:rPr>
  </w:style>
  <w:style w:type="character" w:styleId="1593" w:customStyle="1">
    <w:name w:val="标题 7 字符"/>
    <w:uiPriority w:val="9"/>
    <w:semiHidden/>
    <w:rPr>
      <w:rFonts w:ascii="Times New Roman" w:hAnsi="Times New Roman" w:eastAsia="宋体" w:cs="Times New Roman"/>
      <w:b/>
      <w:bCs/>
      <w:sz w:val="24"/>
      <w:szCs w:val="24"/>
    </w:rPr>
  </w:style>
  <w:style w:type="character" w:styleId="1594" w:customStyle="1">
    <w:name w:val="标题 8 字符"/>
    <w:uiPriority w:val="9"/>
    <w:semiHidden/>
    <w:rPr>
      <w:rFonts w:ascii="等线 Light" w:hAnsi="等线 Light" w:eastAsia="等线 Light" w:cs="Times New Roman"/>
      <w:sz w:val="24"/>
      <w:szCs w:val="24"/>
    </w:rPr>
  </w:style>
  <w:style w:type="character" w:styleId="1595" w:customStyle="1">
    <w:name w:val="标题 9 字符"/>
    <w:uiPriority w:val="9"/>
    <w:semiHidden/>
    <w:rPr>
      <w:rFonts w:ascii="等线 Light" w:hAnsi="等线 Light" w:eastAsia="等线 Light" w:cs="Times New Roman"/>
      <w:szCs w:val="21"/>
    </w:rPr>
  </w:style>
  <w:style w:type="character" w:styleId="1596" w:customStyle="1">
    <w:name w:val="标题 3 字符1"/>
    <w:rPr>
      <w:rFonts w:ascii="Times New Roman" w:hAnsi="Times New Roman" w:eastAsia="宋体" w:cs="Times New Roman"/>
      <w:b/>
      <w:bCs/>
      <w:sz w:val="32"/>
      <w:szCs w:val="32"/>
      <w:lang w:val="zh-CN" w:eastAsia="zh-CN"/>
    </w:rPr>
  </w:style>
  <w:style w:type="character" w:styleId="1597" w:customStyle="1">
    <w:name w:val="标题 4 字符1"/>
    <w:uiPriority w:val="9"/>
    <w:rPr>
      <w:rFonts w:ascii="Arial" w:hAnsi="Arial" w:eastAsia="黑体" w:cs="Times New Roman"/>
      <w:b/>
      <w:bCs/>
      <w:sz w:val="28"/>
      <w:szCs w:val="28"/>
      <w:lang w:val="zh-CN" w:eastAsia="zh-CN"/>
    </w:rPr>
  </w:style>
  <w:style w:type="character" w:styleId="1598" w:customStyle="1">
    <w:name w:val="标题 5 字符1"/>
    <w:rPr>
      <w:rFonts w:ascii="宋体" w:hAnsi="Times New Roman" w:eastAsia="宋体" w:cs="Times New Roman"/>
      <w:color w:val="000000"/>
      <w:sz w:val="28"/>
      <w:szCs w:val="28"/>
      <w:lang w:val="zh-CN" w:eastAsia="zh-CN"/>
    </w:rPr>
  </w:style>
  <w:style w:type="character" w:styleId="1599" w:customStyle="1">
    <w:name w:val="标题 6 字符1"/>
    <w:rPr>
      <w:rFonts w:ascii="Arial" w:hAnsi="Arial" w:eastAsia="黑体" w:cs="Times New Roman"/>
      <w:b/>
      <w:bCs/>
      <w:sz w:val="24"/>
      <w:szCs w:val="24"/>
      <w:lang w:val="zh-CN" w:eastAsia="zh-CN"/>
    </w:rPr>
  </w:style>
  <w:style w:type="character" w:styleId="1600" w:customStyle="1">
    <w:name w:val="标题 7 字符1"/>
    <w:rPr>
      <w:rFonts w:ascii="Times New Roman" w:hAnsi="Times New Roman" w:eastAsia="宋体" w:cs="Times New Roman"/>
      <w:b/>
      <w:bCs/>
      <w:sz w:val="24"/>
      <w:szCs w:val="24"/>
      <w:lang w:val="zh-CN" w:eastAsia="zh-CN"/>
    </w:rPr>
  </w:style>
  <w:style w:type="character" w:styleId="1601" w:customStyle="1">
    <w:name w:val="标题 8 字符1"/>
    <w:rPr>
      <w:rFonts w:ascii="Arial" w:hAnsi="Arial" w:eastAsia="黑体" w:cs="Times New Roman"/>
      <w:sz w:val="24"/>
      <w:szCs w:val="24"/>
      <w:lang w:val="zh-CN" w:eastAsia="zh-CN"/>
    </w:rPr>
  </w:style>
  <w:style w:type="character" w:styleId="1602" w:customStyle="1">
    <w:name w:val="标题 9 字符1"/>
    <w:rPr>
      <w:rFonts w:ascii="Arial" w:hAnsi="Arial" w:eastAsia="黑体" w:cs="Times New Roman"/>
      <w:sz w:val="20"/>
      <w:szCs w:val="21"/>
      <w:lang w:val="zh-CN" w:eastAsia="zh-CN"/>
    </w:rPr>
  </w:style>
  <w:style w:type="character" w:styleId="1603" w:customStyle="1">
    <w:name w:val="页眉 字符1"/>
    <w:uiPriority w:val="99"/>
    <w:rPr>
      <w:rFonts w:ascii="Calibri" w:hAnsi="Calibri" w:eastAsia="宋体" w:cs="Times New Roman"/>
      <w:sz w:val="18"/>
      <w:szCs w:val="18"/>
      <w:lang w:val="zh-CN" w:eastAsia="zh-CN"/>
    </w:rPr>
  </w:style>
  <w:style w:type="character" w:styleId="1604" w:customStyle="1">
    <w:name w:val="页脚 字符1"/>
    <w:uiPriority w:val="99"/>
    <w:rPr>
      <w:rFonts w:ascii="Calibri" w:hAnsi="Calibri" w:eastAsia="宋体" w:cs="Times New Roman"/>
      <w:sz w:val="18"/>
      <w:szCs w:val="18"/>
      <w:lang w:val="zh-CN" w:eastAsia="zh-CN"/>
    </w:rPr>
  </w:style>
  <w:style w:type="character" w:styleId="1605" w:customStyle="1">
    <w:name w:val="二级目录 Char"/>
    <w:rPr>
      <w:b/>
      <w:sz w:val="30"/>
      <w:szCs w:val="28"/>
      <w:lang w:val="en-US" w:eastAsia="zh-CN" w:bidi="ar-SA"/>
    </w:rPr>
  </w:style>
  <w:style w:type="character" w:styleId="1606" w:customStyle="1">
    <w:name w:val="日期 字符1"/>
    <w:rPr>
      <w:sz w:val="24"/>
      <w:szCs w:val="24"/>
    </w:rPr>
  </w:style>
  <w:style w:type="character" w:styleId="1607" w:customStyle="1">
    <w:name w:val="日期 Char1"/>
    <w:uiPriority w:val="99"/>
    <w:semiHidden/>
    <w:rPr>
      <w:rFonts w:ascii="Times New Roman" w:hAnsi="Times New Roman" w:eastAsia="宋体" w:cs="Times New Roman"/>
      <w:szCs w:val="21"/>
    </w:rPr>
  </w:style>
  <w:style w:type="character" w:styleId="1608" w:customStyle="1">
    <w:name w:val="font5 Char"/>
    <w:rPr>
      <w:rFonts w:ascii="宋体" w:hAnsi="宋体" w:eastAsia="宋体"/>
      <w:sz w:val="28"/>
      <w:szCs w:val="28"/>
      <w:lang w:val="en-US" w:eastAsia="zh-CN" w:bidi="ar-SA"/>
    </w:rPr>
  </w:style>
  <w:style w:type="character" w:styleId="1609" w:customStyle="1">
    <w:name w:val="文章正文 字符"/>
    <w:link w:val="1610"/>
    <w:qFormat/>
    <w:rPr>
      <w:rFonts w:eastAsia="仿宋_GB2312"/>
      <w:sz w:val="28"/>
      <w:szCs w:val="24"/>
    </w:rPr>
  </w:style>
  <w:style w:type="paragraph" w:styleId="1610" w:customStyle="1">
    <w:name w:val="文章正文"/>
    <w:basedOn w:val="1095"/>
    <w:link w:val="1609"/>
    <w:qFormat/>
    <w:pPr>
      <w:ind w:firstLine="560"/>
      <w:spacing w:line="360" w:lineRule="auto"/>
    </w:pPr>
    <w:rPr>
      <w:rFonts w:eastAsia="仿宋_GB2312" w:asciiTheme="minorHAnsi" w:hAnsiTheme="minorHAnsi" w:cstheme="minorBidi"/>
      <w:sz w:val="28"/>
      <w:szCs w:val="24"/>
    </w:rPr>
  </w:style>
  <w:style w:type="character" w:styleId="1611" w:customStyle="1">
    <w:name w:val="纯文本 字符"/>
    <w:uiPriority w:val="99"/>
    <w:semiHidden/>
    <w:rPr>
      <w:rFonts w:ascii="等线" w:hAnsi="Courier New" w:cs="Courier New"/>
      <w:szCs w:val="21"/>
    </w:rPr>
  </w:style>
  <w:style w:type="character" w:styleId="1612" w:customStyle="1">
    <w:name w:val="正文文本 字符"/>
    <w:uiPriority w:val="99"/>
    <w:semiHidden/>
    <w:rPr>
      <w:rFonts w:ascii="Times New Roman" w:hAnsi="Times New Roman" w:eastAsia="宋体" w:cs="Times New Roman"/>
      <w:szCs w:val="21"/>
    </w:rPr>
  </w:style>
  <w:style w:type="character" w:styleId="1613" w:customStyle="1">
    <w:name w:val="正文文本 字符1"/>
    <w:rPr>
      <w:rFonts w:ascii="Times New Roman" w:hAnsi="Times New Roman" w:eastAsia="宋体" w:cs="Times New Roman"/>
      <w:sz w:val="20"/>
      <w:szCs w:val="21"/>
      <w:lang w:val="zh-CN" w:eastAsia="zh-CN"/>
    </w:rPr>
  </w:style>
  <w:style w:type="paragraph" w:styleId="1614" w:customStyle="1">
    <w:name w:val="Body Text(ch)"/>
    <w:basedOn w:val="1095"/>
    <w:next w:val="1121"/>
    <w:pPr>
      <w:spacing w:after="120"/>
    </w:pPr>
    <w:rPr>
      <w:rFonts w:ascii="宋体" w:hAnsi="Arial"/>
      <w:bCs/>
      <w:iCs/>
      <w:szCs w:val="24"/>
    </w:rPr>
  </w:style>
  <w:style w:type="paragraph" w:styleId="1615" w:customStyle="1">
    <w:name w:val="4"/>
    <w:basedOn w:val="1095"/>
    <w:next w:val="1144"/>
    <w:pPr>
      <w:ind w:firstLine="420"/>
      <w:spacing w:line="360" w:lineRule="auto"/>
    </w:pPr>
    <w:rPr>
      <w:color w:val="ff0000"/>
      <w:sz w:val="24"/>
      <w:szCs w:val="24"/>
    </w:rPr>
  </w:style>
  <w:style w:type="character" w:styleId="1616" w:customStyle="1">
    <w:name w:val="正文文本缩进 3 字符"/>
    <w:uiPriority w:val="99"/>
    <w:semiHidden/>
    <w:rPr>
      <w:rFonts w:ascii="Times New Roman" w:hAnsi="Times New Roman" w:eastAsia="宋体" w:cs="Times New Roman"/>
      <w:sz w:val="16"/>
      <w:szCs w:val="16"/>
    </w:rPr>
  </w:style>
  <w:style w:type="character" w:styleId="1617" w:customStyle="1">
    <w:name w:val="正文文本缩进 3 字符1"/>
    <w:rPr>
      <w:rFonts w:ascii="Arial" w:hAnsi="Arial" w:eastAsia="仿宋_GB2312" w:cs="Times New Roman"/>
      <w:color w:val="ffff00"/>
      <w:sz w:val="32"/>
      <w:szCs w:val="32"/>
      <w:lang w:val="zh-CN" w:eastAsia="zh-CN"/>
    </w:rPr>
  </w:style>
  <w:style w:type="paragraph" w:styleId="1618" w:customStyle="1">
    <w:name w:val="Char Char Char Char Char Char Char Char Char Char"/>
    <w:basedOn w:val="1095"/>
    <w:pPr>
      <w:spacing w:line="360" w:lineRule="auto"/>
    </w:pPr>
    <w:rPr>
      <w:sz w:val="24"/>
    </w:rPr>
  </w:style>
  <w:style w:type="character" w:styleId="1619" w:customStyle="1">
    <w:name w:val="正文文本缩进 字符"/>
    <w:uiPriority w:val="99"/>
    <w:semiHidden/>
    <w:rPr>
      <w:rFonts w:ascii="Times New Roman" w:hAnsi="Times New Roman" w:eastAsia="宋体" w:cs="Times New Roman"/>
      <w:szCs w:val="21"/>
    </w:rPr>
  </w:style>
  <w:style w:type="character" w:styleId="1620" w:customStyle="1">
    <w:name w:val="正文文本缩进 字符1"/>
    <w:rPr>
      <w:rFonts w:ascii="楷体_GB2312" w:hAnsi="Times New Roman" w:eastAsia="楷体_GB2312" w:cs="Times New Roman"/>
      <w:sz w:val="32"/>
      <w:szCs w:val="32"/>
      <w:lang w:val="zh-CN" w:eastAsia="zh-CN"/>
    </w:rPr>
  </w:style>
  <w:style w:type="paragraph" w:styleId="1621" w:customStyle="1">
    <w:name w:val="标题1"/>
    <w:basedOn w:val="1095"/>
    <w:next w:val="1095"/>
    <w:pPr>
      <w:jc w:val="center"/>
      <w:spacing w:line="700" w:lineRule="atLeast"/>
      <w:tabs>
        <w:tab w:val="left" w:pos="9193" w:leader="none"/>
        <w:tab w:val="left" w:pos="9827" w:leader="none"/>
      </w:tabs>
    </w:pPr>
    <w:rPr>
      <w:rFonts w:ascii="方正小标宋_GBK" w:eastAsia="方正小标宋_GBK"/>
      <w:sz w:val="44"/>
    </w:rPr>
  </w:style>
  <w:style w:type="character" w:styleId="1622" w:customStyle="1">
    <w:name w:val="批注框文本 字符"/>
    <w:uiPriority w:val="99"/>
    <w:semiHidden/>
    <w:rPr>
      <w:rFonts w:ascii="Times New Roman" w:hAnsi="Times New Roman" w:eastAsia="宋体" w:cs="Times New Roman"/>
      <w:sz w:val="18"/>
      <w:szCs w:val="18"/>
    </w:rPr>
  </w:style>
  <w:style w:type="character" w:styleId="1623" w:customStyle="1">
    <w:name w:val="批注框文本 字符1"/>
    <w:uiPriority w:val="99"/>
    <w:rPr>
      <w:rFonts w:ascii="Times New Roman" w:hAnsi="Times New Roman" w:eastAsia="宋体" w:cs="Times New Roman"/>
      <w:sz w:val="18"/>
      <w:szCs w:val="18"/>
      <w:lang w:val="zh-CN" w:eastAsia="zh-CN"/>
    </w:rPr>
  </w:style>
  <w:style w:type="paragraph" w:styleId="1624" w:customStyle="1">
    <w:name w:val="图标"/>
    <w:basedOn w:val="1095"/>
    <w:next w:val="1095"/>
    <w:pPr>
      <w:ind w:left="840" w:hanging="420"/>
      <w:jc w:val="center"/>
      <w:spacing w:before="120" w:after="120" w:line="320" w:lineRule="atLeast"/>
      <w:tabs>
        <w:tab w:val="left" w:pos="567" w:leader="none"/>
        <w:tab w:val="left" w:pos="840" w:leader="none"/>
      </w:tabs>
    </w:pPr>
    <w:rPr>
      <w:rFonts w:eastAsia="仿宋_GB2312"/>
      <w:sz w:val="24"/>
    </w:rPr>
  </w:style>
  <w:style w:type="paragraph" w:styleId="1625" w:customStyle="1">
    <w:name w:val="附录1"/>
    <w:pPr>
      <w:spacing w:before="240" w:line="600" w:lineRule="atLeast"/>
      <w:tabs>
        <w:tab w:val="left" w:pos="907" w:leader="none"/>
      </w:tabs>
    </w:pPr>
    <w:rPr>
      <w:rFonts w:ascii="Times New Roman" w:hAnsi="Times New Roman" w:eastAsia="宋体" w:cs="Times New Roman"/>
      <w:b/>
      <w:i/>
      <w:sz w:val="28"/>
    </w:rPr>
  </w:style>
  <w:style w:type="paragraph" w:styleId="1626" w:customStyle="1">
    <w:name w:val="table_lines"/>
    <w:basedOn w:val="1095"/>
    <w:qFormat/>
    <w:pPr>
      <w:jc w:val="left"/>
      <w:widowControl/>
    </w:pPr>
    <w:rPr>
      <w:sz w:val="20"/>
      <w:lang w:val="de-DE" w:eastAsia="de-DE"/>
    </w:rPr>
  </w:style>
  <w:style w:type="paragraph" w:styleId="1627" w:customStyle="1">
    <w:name w:val="彩色列表 - 着色 11"/>
    <w:basedOn w:val="1095"/>
    <w:uiPriority w:val="99"/>
    <w:qFormat/>
    <w:pPr>
      <w:contextualSpacing/>
      <w:ind w:left="720"/>
      <w:jc w:val="left"/>
      <w:widowControl/>
    </w:pPr>
    <w:rPr>
      <w:sz w:val="24"/>
      <w:szCs w:val="24"/>
      <w:lang w:eastAsia="en-US" w:bidi="en-US"/>
    </w:rPr>
  </w:style>
  <w:style w:type="paragraph" w:styleId="1628" w:customStyle="1">
    <w:name w:val="普通 (Web)"/>
    <w:basedOn w:val="1095"/>
    <w:pPr>
      <w:jc w:val="left"/>
      <w:spacing w:before="100" w:beforeAutospacing="1" w:after="100" w:afterAutospacing="1"/>
      <w:widowControl/>
    </w:pPr>
    <w:rPr>
      <w:rFonts w:ascii="宋体" w:hAnsi="宋体"/>
      <w:sz w:val="24"/>
      <w:szCs w:val="24"/>
    </w:rPr>
  </w:style>
  <w:style w:type="paragraph" w:styleId="1629" w:customStyle="1">
    <w:name w:val="table_1stline"/>
    <w:basedOn w:val="1095"/>
    <w:pPr>
      <w:jc w:val="left"/>
      <w:spacing w:before="120"/>
      <w:widowControl/>
    </w:pPr>
    <w:rPr>
      <w:bCs/>
      <w:sz w:val="20"/>
      <w:lang w:val="de-DE" w:eastAsia="de-DE"/>
    </w:rPr>
  </w:style>
  <w:style w:type="character" w:styleId="1630" w:customStyle="1">
    <w:name w:val="正文格式 Char"/>
    <w:link w:val="1327"/>
    <w:rPr>
      <w:rFonts w:ascii="宋体" w:hAnsi="宋体" w:eastAsia="宋体" w:cs="Times New Roman"/>
      <w:bCs/>
      <w:sz w:val="21"/>
      <w:szCs w:val="21"/>
    </w:rPr>
  </w:style>
  <w:style w:type="paragraph" w:styleId="1631" w:customStyle="1">
    <w:name w:val="HPC正文"/>
    <w:basedOn w:val="1095"/>
    <w:qFormat/>
    <w:pPr>
      <w:ind w:firstLine="424"/>
      <w:spacing w:line="360" w:lineRule="auto"/>
    </w:pPr>
    <w:rPr>
      <w:sz w:val="24"/>
      <w:szCs w:val="24"/>
    </w:rPr>
  </w:style>
  <w:style w:type="character" w:styleId="1632" w:customStyle="1">
    <w:name w:val="*正文 Char"/>
    <w:link w:val="1633"/>
    <w:uiPriority w:val="99"/>
    <w:rPr>
      <w:rFonts w:ascii="宋体" w:cs="宋体"/>
      <w:sz w:val="24"/>
      <w:szCs w:val="24"/>
    </w:rPr>
  </w:style>
  <w:style w:type="paragraph" w:styleId="1633" w:customStyle="1">
    <w:name w:val="*正文"/>
    <w:basedOn w:val="1095"/>
    <w:link w:val="1632"/>
    <w:uiPriority w:val="99"/>
    <w:pPr>
      <w:ind w:firstLine="200"/>
      <w:spacing w:line="360" w:lineRule="auto"/>
    </w:pPr>
    <w:rPr>
      <w:rFonts w:ascii="宋体" w:cs="宋体" w:hAnsiTheme="minorHAnsi" w:eastAsiaTheme="minorEastAsia"/>
      <w:sz w:val="24"/>
      <w:szCs w:val="24"/>
    </w:rPr>
  </w:style>
  <w:style w:type="character" w:styleId="1634" w:customStyle="1">
    <w:name w:val="正文缩进 字符"/>
    <w:rPr>
      <w:sz w:val="21"/>
      <w:szCs w:val="21"/>
    </w:rPr>
  </w:style>
  <w:style w:type="character" w:styleId="1635" w:customStyle="1">
    <w:name w:val="标题 字符"/>
    <w:uiPriority w:val="10"/>
    <w:rPr>
      <w:rFonts w:ascii="等线 Light" w:hAnsi="等线 Light" w:eastAsia="等线 Light" w:cs="Times New Roman"/>
      <w:b/>
      <w:bCs/>
      <w:sz w:val="32"/>
      <w:szCs w:val="32"/>
    </w:rPr>
  </w:style>
  <w:style w:type="character" w:styleId="1636" w:customStyle="1">
    <w:name w:val="标题 字符1"/>
    <w:rPr>
      <w:rFonts w:ascii="Cambria" w:hAnsi="Cambria" w:eastAsia="宋体" w:cs="Times New Roman"/>
      <w:b/>
      <w:bCs/>
      <w:sz w:val="32"/>
      <w:szCs w:val="32"/>
      <w:lang w:val="zh-CN" w:eastAsia="zh-CN"/>
    </w:rPr>
  </w:style>
  <w:style w:type="paragraph" w:styleId="1637" w:customStyle="1">
    <w:name w:val="样式 标题 1 + 加粗"/>
    <w:basedOn w:val="1096"/>
    <w:pPr>
      <w:jc w:val="center"/>
      <w:keepLines/>
      <w:widowControl/>
      <w:tabs>
        <w:tab w:val="clear" w:pos="1440" w:leader="none"/>
        <w:tab w:val="clear" w:pos="5670" w:leader="none"/>
      </w:tabs>
    </w:pPr>
    <w:rPr>
      <w:rFonts w:ascii="新宋体" w:hAnsi="宋体"/>
      <w:bCs/>
      <w:sz w:val="28"/>
      <w:lang w:val="zh-CN"/>
    </w:rPr>
  </w:style>
  <w:style w:type="paragraph" w:styleId="1638" w:customStyle="1">
    <w:name w:val="样式 标题 2标题 2 Char Char + (西文) 仿宋_GB2312"/>
    <w:basedOn w:val="1097"/>
    <w:pPr>
      <w:ind w:right="-226"/>
      <w:jc w:val="center"/>
      <w:spacing w:line="500" w:lineRule="exact"/>
    </w:pPr>
    <w:rPr>
      <w:rFonts w:ascii="仿宋_GB2312" w:hAnsi="仿宋_GB2312"/>
      <w:sz w:val="28"/>
      <w:szCs w:val="28"/>
      <w:lang w:val="zh-CN"/>
    </w:rPr>
  </w:style>
  <w:style w:type="paragraph" w:styleId="1639" w:customStyle="1">
    <w:name w:val="样式 标题 3 + (西文) 宋体 黑色"/>
    <w:basedOn w:val="1098"/>
    <w:pPr>
      <w:ind w:right="-94"/>
      <w:spacing w:line="415" w:lineRule="auto"/>
      <w:shd w:val="clear" w:color="auto" w:fill="auto"/>
    </w:pPr>
    <w:rPr>
      <w:rFonts w:eastAsia="黑体"/>
      <w:b w:val="0"/>
      <w:color w:val="000000"/>
      <w:sz w:val="28"/>
      <w:lang w:val="zh-CN"/>
    </w:rPr>
  </w:style>
  <w:style w:type="paragraph" w:styleId="1640" w:customStyle="1">
    <w:name w:val="Char Char Char1 Char Char Char Char"/>
    <w:basedOn w:val="1095"/>
    <w:pPr>
      <w:spacing w:after="160" w:line="240" w:lineRule="exact"/>
    </w:pPr>
    <w:rPr>
      <w:rFonts w:hAnsi="宋体"/>
      <w:szCs w:val="21"/>
    </w:rPr>
  </w:style>
  <w:style w:type="character" w:styleId="1641" w:customStyle="1">
    <w:name w:val="apple-style-span"/>
  </w:style>
  <w:style w:type="paragraph" w:styleId="1642" w:customStyle="1">
    <w:name w:val="List Paragraph[858D7CFB-ED40-4347-BF05-701D383B685F][858D7CFB-ED40-4347-BF05-701D383B685F]"/>
    <w:basedOn w:val="1095"/>
    <w:qFormat/>
    <w:pPr>
      <w:ind w:firstLine="420"/>
    </w:pPr>
    <w:rPr>
      <w:szCs w:val="22"/>
    </w:rPr>
  </w:style>
  <w:style w:type="character" w:styleId="1643" w:customStyle="1">
    <w:name w:val="Char Char4"/>
    <w:rPr>
      <w:sz w:val="18"/>
      <w:szCs w:val="18"/>
    </w:rPr>
  </w:style>
  <w:style w:type="character" w:styleId="1644" w:customStyle="1">
    <w:name w:val="tw4winTerm"/>
    <w:rPr>
      <w:color w:val="0000ff"/>
    </w:rPr>
  </w:style>
  <w:style w:type="paragraph" w:styleId="1645" w:customStyle="1">
    <w:name w:val="ÕýÎÄ"/>
    <w:pPr>
      <w:ind w:firstLine="419"/>
      <w:jc w:val="both"/>
      <w:spacing w:line="351" w:lineRule="atLeast"/>
      <w:widowControl w:val="off"/>
    </w:pPr>
    <w:rPr>
      <w:rFonts w:ascii="Times New Roman" w:hAnsi="Times New Roman" w:eastAsia="宋体" w:cs="Times New Roman"/>
      <w:color w:val="000000"/>
      <w:sz w:val="21"/>
    </w:rPr>
  </w:style>
  <w:style w:type="paragraph" w:styleId="1646" w:customStyle="1">
    <w:name w:val="标题2"/>
    <w:basedOn w:val="1097"/>
    <w:next w:val="1095"/>
    <w:pPr>
      <w:jc w:val="center"/>
      <w:spacing w:line="360" w:lineRule="auto"/>
    </w:pPr>
    <w:rPr>
      <w:b w:val="0"/>
      <w:bCs w:val="0"/>
      <w:sz w:val="24"/>
      <w:szCs w:val="20"/>
      <w:lang w:val="zh-CN"/>
    </w:rPr>
  </w:style>
  <w:style w:type="character" w:styleId="1647" w:customStyle="1">
    <w:name w:val="unnamed21"/>
    <w:rPr>
      <w:b/>
      <w:bCs/>
      <w:color w:val="ff6600"/>
      <w:sz w:val="21"/>
      <w:szCs w:val="21"/>
      <w:u w:val="none"/>
    </w:rPr>
  </w:style>
  <w:style w:type="character" w:styleId="1648" w:customStyle="1">
    <w:name w:val="Char Char8"/>
    <w:rPr>
      <w:rFonts w:ascii="Times New Roman" w:hAnsi="Times New Roman"/>
      <w:b/>
      <w:bCs/>
      <w:sz w:val="44"/>
      <w:szCs w:val="44"/>
    </w:rPr>
  </w:style>
  <w:style w:type="paragraph" w:styleId="1649" w:customStyle="1">
    <w:name w:val="whs5"/>
    <w:basedOn w:val="1095"/>
    <w:pPr>
      <w:ind w:left="115" w:right="130"/>
    </w:pPr>
    <w:rPr>
      <w:rFonts w:hAnsi="宋体"/>
      <w:sz w:val="18"/>
      <w:szCs w:val="18"/>
      <w:lang w:eastAsia="en-US"/>
    </w:rPr>
  </w:style>
  <w:style w:type="paragraph" w:styleId="1650" w:customStyle="1">
    <w:name w:val="Javis"/>
    <w:basedOn w:val="1095"/>
    <w:pPr>
      <w:ind w:right="210"/>
    </w:pPr>
    <w:rPr>
      <w:rFonts w:hAnsi="宋体" w:cs="宋体"/>
      <w:sz w:val="24"/>
    </w:rPr>
  </w:style>
  <w:style w:type="character" w:styleId="1651" w:customStyle="1">
    <w:name w:val="style331"/>
    <w:rPr>
      <w:color w:val="9900ff"/>
      <w:sz w:val="18"/>
      <w:szCs w:val="18"/>
    </w:rPr>
  </w:style>
  <w:style w:type="character" w:styleId="1652" w:customStyle="1">
    <w:name w:val="font"/>
  </w:style>
  <w:style w:type="character" w:styleId="1653" w:customStyle="1">
    <w:name w:val="b"/>
  </w:style>
  <w:style w:type="paragraph" w:styleId="1654" w:customStyle="1">
    <w:name w:val="附录1层"/>
    <w:basedOn w:val="1095"/>
    <w:next w:val="1095"/>
    <w:pPr>
      <w:jc w:val="center"/>
      <w:spacing w:line="440" w:lineRule="exact"/>
    </w:pPr>
    <w:rPr>
      <w:rFonts w:ascii="黑体" w:hAnsi="宋体" w:eastAsia="黑体"/>
      <w:sz w:val="24"/>
    </w:rPr>
  </w:style>
  <w:style w:type="paragraph" w:styleId="1655" w:customStyle="1">
    <w:name w:val="复选框1"/>
    <w:basedOn w:val="1095"/>
    <w:pPr>
      <w:spacing w:before="360" w:after="360"/>
    </w:pPr>
    <w:rPr>
      <w:rFonts w:hAnsi="宋体"/>
      <w:sz w:val="20"/>
    </w:rPr>
  </w:style>
  <w:style w:type="paragraph" w:styleId="1656" w:customStyle="1">
    <w:name w:val="文档标签"/>
    <w:next w:val="1095"/>
    <w:pPr>
      <w:ind w:left="840"/>
      <w:spacing w:before="100" w:after="720" w:line="600" w:lineRule="exact"/>
    </w:pPr>
    <w:rPr>
      <w:rFonts w:ascii="Times New Roman" w:hAnsi="Times New Roman" w:eastAsia="宋体" w:cs="Times New Roman"/>
      <w:spacing w:val="-34"/>
      <w:sz w:val="60"/>
    </w:rPr>
  </w:style>
  <w:style w:type="paragraph" w:styleId="1657" w:customStyle="1">
    <w:name w:val="回信地址"/>
    <w:basedOn w:val="1095"/>
    <w:pPr>
      <w:ind w:right="-120"/>
      <w:keepLines/>
      <w:spacing w:line="200" w:lineRule="atLeast"/>
    </w:pPr>
    <w:rPr>
      <w:rFonts w:hAnsi="宋体"/>
      <w:sz w:val="18"/>
    </w:rPr>
  </w:style>
  <w:style w:type="character" w:styleId="1658" w:customStyle="1">
    <w:name w:val="一般文字 字元 Char"/>
    <w:rPr>
      <w:rFonts w:ascii="宋体" w:hAnsi="Courier New" w:eastAsia="宋体"/>
      <w:sz w:val="21"/>
      <w:lang w:val="en-US" w:eastAsia="zh-CN" w:bidi="ar-SA"/>
    </w:rPr>
  </w:style>
  <w:style w:type="paragraph" w:styleId="1659" w:customStyle="1">
    <w:name w:val="办公自动化专用正文"/>
    <w:basedOn w:val="1095"/>
    <w:pPr>
      <w:ind w:firstLine="624"/>
      <w:spacing w:line="500" w:lineRule="atLeast"/>
    </w:pPr>
    <w:rPr>
      <w:rFonts w:hAnsi="宋体" w:eastAsia="楷体_GB2312"/>
      <w:sz w:val="32"/>
    </w:rPr>
  </w:style>
  <w:style w:type="paragraph" w:styleId="1660" w:customStyle="1">
    <w:name w:val="01-标书-标题1"/>
    <w:next w:val="1095"/>
    <w:qFormat/>
    <w:pPr>
      <w:spacing w:line="360" w:lineRule="auto"/>
      <w:outlineLvl w:val="0"/>
    </w:pPr>
    <w:rPr>
      <w:rFonts w:ascii="黑体" w:hAnsi="宋体" w:eastAsia="黑体" w:cs="Times New Roman"/>
      <w:sz w:val="44"/>
      <w:szCs w:val="32"/>
    </w:rPr>
  </w:style>
  <w:style w:type="paragraph" w:styleId="1661" w:customStyle="1">
    <w:name w:val="02-标书-标题2"/>
    <w:pPr>
      <w:ind w:left="426"/>
      <w:spacing w:line="360" w:lineRule="auto"/>
      <w:outlineLvl w:val="1"/>
    </w:pPr>
    <w:rPr>
      <w:rFonts w:ascii="黑体" w:hAnsi="宋体" w:eastAsia="黑体" w:cs="Times New Roman"/>
      <w:sz w:val="32"/>
      <w:szCs w:val="28"/>
    </w:rPr>
  </w:style>
  <w:style w:type="paragraph" w:styleId="1662" w:customStyle="1">
    <w:name w:val="03-标书-标题3"/>
    <w:link w:val="1663"/>
    <w:pPr>
      <w:spacing w:line="360" w:lineRule="auto"/>
      <w:outlineLvl w:val="2"/>
    </w:pPr>
    <w:rPr>
      <w:rFonts w:ascii="黑体" w:hAnsi="宋体" w:eastAsia="黑体" w:cs="Times New Roman"/>
      <w:sz w:val="28"/>
      <w:szCs w:val="24"/>
    </w:rPr>
  </w:style>
  <w:style w:type="character" w:styleId="1663" w:customStyle="1">
    <w:name w:val="03-标书-标题3 Char"/>
    <w:link w:val="1662"/>
    <w:rPr>
      <w:rFonts w:ascii="黑体" w:hAnsi="宋体" w:eastAsia="黑体" w:cs="Times New Roman"/>
      <w:sz w:val="28"/>
      <w:szCs w:val="24"/>
    </w:rPr>
  </w:style>
  <w:style w:type="paragraph" w:styleId="1664" w:customStyle="1">
    <w:name w:val="04-标书-标题4"/>
    <w:basedOn w:val="1095"/>
    <w:pPr>
      <w:spacing w:before="340" w:after="330"/>
      <w:outlineLvl w:val="0"/>
    </w:pPr>
    <w:rPr>
      <w:rFonts w:ascii="宋体" w:hAnsi="宋体" w:eastAsia="黑体"/>
      <w:color w:val="000000"/>
      <w:sz w:val="24"/>
      <w:szCs w:val="21"/>
    </w:rPr>
  </w:style>
  <w:style w:type="paragraph" w:styleId="1665" w:customStyle="1">
    <w:name w:val="样式4"/>
    <w:basedOn w:val="1095"/>
    <w:pPr>
      <w:spacing w:before="340" w:after="330"/>
      <w:outlineLvl w:val="2"/>
    </w:pPr>
    <w:rPr>
      <w:rFonts w:ascii="黑体" w:hAnsi="宋体" w:eastAsia="黑体"/>
      <w:sz w:val="28"/>
    </w:rPr>
  </w:style>
  <w:style w:type="paragraph" w:styleId="1666" w:customStyle="1">
    <w:name w:val="样式11"/>
    <w:basedOn w:val="1095"/>
    <w:pPr>
      <w:spacing w:before="340" w:after="330"/>
      <w:outlineLvl w:val="1"/>
    </w:pPr>
    <w:rPr>
      <w:rFonts w:ascii="宋体" w:hAnsi="宋体" w:eastAsia="仿宋_GB2312"/>
      <w:b/>
      <w:color w:val="000000"/>
      <w:sz w:val="28"/>
      <w:szCs w:val="28"/>
    </w:rPr>
  </w:style>
  <w:style w:type="paragraph" w:styleId="1667" w:customStyle="1">
    <w:name w:val="表格正文"/>
    <w:basedOn w:val="1095"/>
    <w:pPr>
      <w:jc w:val="center"/>
      <w:spacing w:before="340" w:after="330"/>
      <w:outlineLvl w:val="0"/>
    </w:pPr>
    <w:rPr>
      <w:rFonts w:hAnsi="宋体" w:eastAsia="仿宋_GB2312"/>
      <w:szCs w:val="24"/>
    </w:rPr>
  </w:style>
  <w:style w:type="paragraph" w:styleId="1668" w:customStyle="1">
    <w:name w:val="5"/>
    <w:pPr>
      <w:jc w:val="both"/>
      <w:widowControl w:val="off"/>
    </w:pPr>
    <w:rPr>
      <w:rFonts w:ascii="Times New Roman" w:hAnsi="Times New Roman" w:eastAsia="宋体" w:cs="Times New Roman"/>
      <w:sz w:val="21"/>
      <w:szCs w:val="24"/>
    </w:rPr>
  </w:style>
  <w:style w:type="paragraph" w:styleId="1669" w:customStyle="1">
    <w:name w:val="正文４"/>
    <w:basedOn w:val="1095"/>
    <w:pPr>
      <w:ind w:firstLine="480"/>
      <w:spacing w:before="340" w:after="330"/>
      <w:outlineLvl w:val="0"/>
    </w:pPr>
    <w:rPr>
      <w:rFonts w:hAnsi="宋体"/>
      <w:sz w:val="24"/>
    </w:rPr>
  </w:style>
  <w:style w:type="paragraph" w:styleId="1670" w:customStyle="1">
    <w:name w:val="表格文字1"/>
    <w:basedOn w:val="1095"/>
    <w:pPr>
      <w:jc w:val="center"/>
      <w:spacing w:before="340" w:after="330"/>
      <w:outlineLvl w:val="0"/>
    </w:pPr>
    <w:rPr>
      <w:rFonts w:ascii="宋体" w:hAnsi="宋体"/>
      <w:szCs w:val="21"/>
      <w:shd w:val="clear" w:color="auto" w:fill="ffffff"/>
    </w:rPr>
  </w:style>
  <w:style w:type="character" w:styleId="1671" w:customStyle="1">
    <w:name w:val="style31"/>
    <w:rPr>
      <w:sz w:val="21"/>
      <w:szCs w:val="21"/>
    </w:rPr>
  </w:style>
  <w:style w:type="paragraph" w:styleId="1672" w:customStyle="1">
    <w:name w:val="正文4"/>
    <w:basedOn w:val="1095"/>
    <w:pPr>
      <w:ind w:firstLine="480"/>
      <w:spacing w:before="340" w:after="330"/>
      <w:outlineLvl w:val="0"/>
    </w:pPr>
    <w:rPr>
      <w:rFonts w:ascii="楷体_GB2312" w:hAnsi="宋体" w:eastAsia="楷体_GB2312"/>
      <w:sz w:val="24"/>
    </w:rPr>
  </w:style>
  <w:style w:type="paragraph" w:styleId="1673" w:customStyle="1">
    <w:name w:val="Char12"/>
    <w:basedOn w:val="1095"/>
    <w:pPr>
      <w:spacing w:before="340" w:after="330"/>
      <w:outlineLvl w:val="0"/>
    </w:pPr>
    <w:rPr>
      <w:rFonts w:ascii="宋体" w:hAnsi="宋体" w:eastAsia="仿宋_GB2312"/>
      <w:b/>
      <w:sz w:val="32"/>
      <w:szCs w:val="32"/>
    </w:rPr>
  </w:style>
  <w:style w:type="paragraph" w:styleId="1674" w:customStyle="1">
    <w:name w:val="保留正文"/>
    <w:basedOn w:val="1121"/>
    <w:pPr>
      <w:keepNext/>
      <w:spacing w:before="340" w:after="160"/>
      <w:outlineLvl w:val="0"/>
    </w:pPr>
    <w:rPr>
      <w:rFonts w:ascii="Times New Roman" w:hAnsi="Times New Roman" w:eastAsia="宋体"/>
      <w:sz w:val="20"/>
      <w:szCs w:val="24"/>
      <w:lang w:val="zh-CN"/>
    </w:rPr>
  </w:style>
  <w:style w:type="paragraph" w:styleId="1675" w:customStyle="1">
    <w:name w:val="并列项-点"/>
    <w:basedOn w:val="1095"/>
    <w:pPr>
      <w:ind w:left="851" w:hanging="284"/>
      <w:spacing w:before="340" w:after="330"/>
      <w:tabs>
        <w:tab w:val="left" w:pos="851" w:leader="none"/>
        <w:tab w:val="left" w:pos="927" w:leader="none"/>
      </w:tabs>
      <w:outlineLvl w:val="0"/>
    </w:pPr>
    <w:rPr>
      <w:rFonts w:hAnsi="宋体"/>
      <w:sz w:val="24"/>
    </w:rPr>
  </w:style>
  <w:style w:type="paragraph" w:styleId="1676" w:customStyle="1">
    <w:name w:val="表号"/>
    <w:basedOn w:val="1095"/>
    <w:pPr>
      <w:ind w:left="420" w:hanging="132"/>
      <w:jc w:val="center"/>
      <w:spacing w:before="340" w:after="330"/>
      <w:tabs>
        <w:tab w:val="left" w:pos="420" w:leader="none"/>
      </w:tabs>
      <w:outlineLvl w:val="0"/>
    </w:pPr>
    <w:rPr>
      <w:rFonts w:hAnsi="宋体"/>
      <w:sz w:val="24"/>
    </w:rPr>
  </w:style>
  <w:style w:type="character" w:styleId="1677" w:customStyle="1">
    <w:name w:val="htd0"/>
  </w:style>
  <w:style w:type="paragraph" w:styleId="1678" w:customStyle="1">
    <w:name w:val="样式 正文缩进 + 首行缩进:  2 字符"/>
    <w:basedOn w:val="1109"/>
    <w:link w:val="1679"/>
    <w:pPr>
      <w:ind w:firstLine="200"/>
      <w:spacing w:before="340" w:after="330" w:line="360" w:lineRule="auto"/>
      <w:outlineLvl w:val="0"/>
    </w:pPr>
    <w:rPr>
      <w:sz w:val="24"/>
      <w:lang w:val="zh-CN"/>
    </w:rPr>
  </w:style>
  <w:style w:type="character" w:styleId="1679" w:customStyle="1">
    <w:name w:val="样式 正文缩进 + 首行缩进:  2 字符 Char"/>
    <w:link w:val="1678"/>
    <w:rPr>
      <w:rFonts w:ascii="Times New Roman" w:hAnsi="Times New Roman" w:eastAsia="宋体" w:cs="Times New Roman"/>
      <w:sz w:val="24"/>
      <w:lang w:val="zh-CN"/>
    </w:rPr>
  </w:style>
  <w:style w:type="paragraph" w:styleId="1680" w:customStyle="1">
    <w:name w:val="样式 宋体 小四 黑色 左 行距: 固定值 19 磅"/>
    <w:basedOn w:val="1095"/>
    <w:pPr>
      <w:spacing w:before="340" w:after="330"/>
      <w:outlineLvl w:val="0"/>
    </w:pPr>
    <w:rPr>
      <w:rFonts w:ascii="宋体" w:hAnsi="宋体" w:cs="宋体"/>
      <w:color w:val="000000"/>
      <w:sz w:val="24"/>
    </w:rPr>
  </w:style>
  <w:style w:type="paragraph" w:styleId="1681" w:customStyle="1">
    <w:name w:val="正文内容"/>
    <w:basedOn w:val="1095"/>
    <w:link w:val="1682"/>
    <w:pPr>
      <w:ind w:firstLine="480"/>
      <w:spacing w:before="340" w:after="330"/>
      <w:outlineLvl w:val="0"/>
    </w:pPr>
    <w:rPr>
      <w:rFonts w:eastAsia="楷体_GB2312"/>
      <w:sz w:val="24"/>
      <w:szCs w:val="24"/>
      <w:lang w:val="zh-CN"/>
    </w:rPr>
  </w:style>
  <w:style w:type="character" w:styleId="1682" w:customStyle="1">
    <w:name w:val="正文内容 Char"/>
    <w:link w:val="1681"/>
    <w:rPr>
      <w:rFonts w:ascii="Times New Roman" w:hAnsi="Times New Roman" w:eastAsia="楷体_GB2312" w:cs="Times New Roman"/>
      <w:sz w:val="24"/>
      <w:szCs w:val="24"/>
      <w:lang w:val="zh-CN"/>
    </w:rPr>
  </w:style>
  <w:style w:type="paragraph" w:styleId="1683" w:customStyle="1">
    <w:name w:val="99-标书-正文"/>
    <w:link w:val="1684"/>
    <w:pPr>
      <w:ind w:firstLine="480"/>
      <w:jc w:val="both"/>
      <w:spacing w:line="360" w:lineRule="auto"/>
    </w:pPr>
    <w:rPr>
      <w:rFonts w:ascii="宋体" w:hAnsi="宋体" w:eastAsia="宋体" w:cs="Times New Roman"/>
      <w:color w:val="000000"/>
      <w:sz w:val="24"/>
      <w:szCs w:val="21"/>
    </w:rPr>
  </w:style>
  <w:style w:type="character" w:styleId="1684" w:customStyle="1">
    <w:name w:val="99-标书-正文 Char"/>
    <w:link w:val="1683"/>
    <w:rPr>
      <w:rFonts w:ascii="宋体" w:hAnsi="宋体" w:eastAsia="宋体" w:cs="Times New Roman"/>
      <w:color w:val="000000"/>
      <w:sz w:val="24"/>
      <w:szCs w:val="21"/>
    </w:rPr>
  </w:style>
  <w:style w:type="paragraph" w:styleId="1685" w:customStyle="1">
    <w:name w:val="表头"/>
    <w:basedOn w:val="1095"/>
    <w:link w:val="1686"/>
    <w:pPr>
      <w:jc w:val="center"/>
      <w:spacing w:before="340" w:after="330" w:line="320" w:lineRule="atLeast"/>
      <w:outlineLvl w:val="0"/>
    </w:pPr>
    <w:rPr>
      <w:rFonts w:eastAsia="黑体"/>
      <w:spacing w:val="-10"/>
      <w:sz w:val="20"/>
      <w:lang w:val="zh-CN"/>
    </w:rPr>
  </w:style>
  <w:style w:type="character" w:styleId="1686" w:customStyle="1">
    <w:name w:val="表头 Char"/>
    <w:link w:val="1685"/>
    <w:rPr>
      <w:rFonts w:ascii="Times New Roman" w:hAnsi="Times New Roman" w:eastAsia="黑体" w:cs="Times New Roman"/>
      <w:spacing w:val="-10"/>
      <w:lang w:val="zh-CN"/>
    </w:rPr>
  </w:style>
  <w:style w:type="paragraph" w:styleId="1687" w:customStyle="1">
    <w:name w:val="正文B"/>
    <w:basedOn w:val="1095"/>
    <w:link w:val="1688"/>
    <w:pPr>
      <w:ind w:firstLine="601"/>
      <w:spacing w:before="340" w:after="330" w:line="390" w:lineRule="exact"/>
      <w:outlineLvl w:val="0"/>
    </w:pPr>
    <w:rPr>
      <w:rFonts w:eastAsia="楷体_GB2312"/>
      <w:spacing w:val="8"/>
      <w:sz w:val="28"/>
      <w:lang w:val="zh-CN"/>
    </w:rPr>
  </w:style>
  <w:style w:type="character" w:styleId="1688" w:customStyle="1">
    <w:name w:val="正文B Char"/>
    <w:link w:val="1687"/>
    <w:rPr>
      <w:rFonts w:ascii="Times New Roman" w:hAnsi="Times New Roman" w:eastAsia="楷体_GB2312" w:cs="Times New Roman"/>
      <w:spacing w:val="8"/>
      <w:sz w:val="28"/>
      <w:lang w:val="zh-CN"/>
    </w:rPr>
  </w:style>
  <w:style w:type="paragraph" w:styleId="1689" w:customStyle="1">
    <w:name w:val="标书正文"/>
    <w:basedOn w:val="1095"/>
    <w:pPr>
      <w:ind w:firstLine="250"/>
      <w:spacing w:before="120" w:after="330"/>
      <w:outlineLvl w:val="0"/>
    </w:pPr>
    <w:rPr>
      <w:rFonts w:ascii="Book Antiqua" w:hAnsi="Book Antiqua"/>
      <w:sz w:val="24"/>
      <w:szCs w:val="24"/>
    </w:rPr>
  </w:style>
  <w:style w:type="paragraph" w:styleId="1690" w:customStyle="1">
    <w:name w:val="Char Char Char1 Char Char Char Char1"/>
    <w:basedOn w:val="1095"/>
    <w:pPr>
      <w:spacing w:after="160" w:line="240" w:lineRule="exact"/>
    </w:pPr>
    <w:rPr>
      <w:szCs w:val="21"/>
    </w:rPr>
  </w:style>
  <w:style w:type="character" w:styleId="1691" w:customStyle="1">
    <w:name w:val="Char Char14"/>
    <w:rPr>
      <w:rFonts w:ascii="楷体_GB2312" w:hAnsi="Arial" w:eastAsia="楷体_GB2312" w:cs="Times New Roman"/>
      <w:sz w:val="28"/>
      <w:szCs w:val="24"/>
    </w:rPr>
  </w:style>
  <w:style w:type="character" w:styleId="1692" w:customStyle="1">
    <w:name w:val="Char Char13"/>
    <w:rPr>
      <w:rFonts w:ascii="仿宋_GB2312" w:hAnsi="Times New Roman" w:eastAsia="宋体" w:cs="Times New Roman"/>
      <w:sz w:val="18"/>
      <w:szCs w:val="18"/>
    </w:rPr>
  </w:style>
  <w:style w:type="paragraph" w:styleId="1693" w:customStyle="1">
    <w:name w:val="列出段落11"/>
    <w:basedOn w:val="1095"/>
    <w:qFormat/>
    <w:pPr>
      <w:ind w:firstLine="420"/>
    </w:pPr>
    <w:rPr>
      <w:szCs w:val="22"/>
    </w:rPr>
  </w:style>
  <w:style w:type="character" w:styleId="1694" w:customStyle="1">
    <w:name w:val="Char Char9"/>
    <w:rPr>
      <w:rFonts w:ascii="Cambria" w:hAnsi="Cambria" w:eastAsia="宋体" w:cs="Times New Roman"/>
      <w:b/>
      <w:bCs/>
      <w:sz w:val="32"/>
      <w:szCs w:val="32"/>
    </w:rPr>
  </w:style>
  <w:style w:type="character" w:styleId="1695" w:customStyle="1">
    <w:name w:val="Char Char41"/>
    <w:rPr>
      <w:sz w:val="18"/>
      <w:szCs w:val="18"/>
    </w:rPr>
  </w:style>
  <w:style w:type="character" w:styleId="1696" w:customStyle="1">
    <w:name w:val="Char Char7"/>
    <w:rPr>
      <w:rFonts w:ascii="Times New Roman" w:hAnsi="Times New Roman" w:eastAsia="宋体" w:cs="Times New Roman"/>
      <w:b/>
      <w:bCs/>
      <w:szCs w:val="21"/>
    </w:rPr>
  </w:style>
  <w:style w:type="character" w:styleId="1697" w:customStyle="1">
    <w:name w:val="Char Char81"/>
    <w:rPr>
      <w:rFonts w:ascii="Times New Roman" w:hAnsi="Times New Roman"/>
      <w:b/>
      <w:bCs/>
      <w:sz w:val="44"/>
      <w:szCs w:val="44"/>
    </w:rPr>
  </w:style>
  <w:style w:type="character" w:styleId="1698" w:customStyle="1">
    <w:name w:val="Char Char141"/>
    <w:rPr>
      <w:rFonts w:ascii="楷体_GB2312" w:hAnsi="Arial" w:eastAsia="楷体_GB2312" w:cs="Times New Roman"/>
      <w:sz w:val="28"/>
      <w:szCs w:val="24"/>
    </w:rPr>
  </w:style>
  <w:style w:type="character" w:styleId="1699" w:customStyle="1">
    <w:name w:val="Char Char131"/>
    <w:rPr>
      <w:rFonts w:ascii="仿宋_GB2312" w:hAnsi="Times New Roman" w:eastAsia="宋体" w:cs="Times New Roman"/>
      <w:sz w:val="18"/>
      <w:szCs w:val="18"/>
    </w:rPr>
  </w:style>
  <w:style w:type="character" w:styleId="1700" w:customStyle="1">
    <w:name w:val="Char Char91"/>
    <w:rPr>
      <w:rFonts w:ascii="Cambria" w:hAnsi="Cambria" w:eastAsia="宋体" w:cs="Times New Roman"/>
      <w:b/>
      <w:bCs/>
      <w:sz w:val="32"/>
      <w:szCs w:val="32"/>
    </w:rPr>
  </w:style>
  <w:style w:type="character" w:styleId="1701" w:customStyle="1">
    <w:name w:val="Char Char71"/>
    <w:rPr>
      <w:rFonts w:ascii="Times New Roman" w:hAnsi="Times New Roman" w:eastAsia="宋体" w:cs="Times New Roman"/>
      <w:b/>
      <w:bCs/>
      <w:szCs w:val="21"/>
    </w:rPr>
  </w:style>
  <w:style w:type="paragraph" w:styleId="1702" w:customStyle="1">
    <w:name w:val="xl66"/>
    <w:basedOn w:val="1095"/>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hAnsi="宋体" w:eastAsia="楷体_GB2312" w:cs="宋体"/>
      <w:color w:val="000000"/>
      <w:sz w:val="24"/>
      <w:szCs w:val="24"/>
    </w:rPr>
  </w:style>
  <w:style w:type="paragraph" w:styleId="1703" w:customStyle="1">
    <w:name w:val="xl67"/>
    <w:basedOn w:val="1095"/>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hAnsi="宋体" w:eastAsia="楷体_GB2312" w:cs="宋体"/>
      <w:sz w:val="24"/>
      <w:szCs w:val="24"/>
    </w:rPr>
  </w:style>
  <w:style w:type="paragraph" w:styleId="1704" w:customStyle="1">
    <w:name w:val="xl68"/>
    <w:basedOn w:val="1095"/>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hAnsi="宋体" w:eastAsia="楷体_GB2312" w:cs="宋体"/>
      <w:sz w:val="24"/>
      <w:szCs w:val="24"/>
    </w:rPr>
  </w:style>
  <w:style w:type="paragraph" w:styleId="1705" w:customStyle="1">
    <w:name w:val="xl69"/>
    <w:basedOn w:val="1095"/>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706" w:customStyle="1">
    <w:name w:val="xl70"/>
    <w:basedOn w:val="1095"/>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hAnsi="宋体" w:eastAsia="楷体_GB2312" w:cs="宋体"/>
      <w:color w:val="000000"/>
      <w:sz w:val="24"/>
      <w:szCs w:val="24"/>
    </w:rPr>
  </w:style>
  <w:style w:type="paragraph" w:styleId="1707" w:customStyle="1">
    <w:name w:val="xl71"/>
    <w:basedOn w:val="1095"/>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708" w:customStyle="1">
    <w:name w:val="MTDisplayEquation"/>
    <w:basedOn w:val="1095"/>
    <w:next w:val="1095"/>
    <w:link w:val="1709"/>
    <w:pPr>
      <w:ind w:firstLine="420"/>
      <w:spacing w:line="360" w:lineRule="auto"/>
      <w:tabs>
        <w:tab w:val="center" w:pos="4160" w:leader="none"/>
        <w:tab w:val="right" w:pos="8300" w:leader="none"/>
      </w:tabs>
    </w:pPr>
    <w:rPr>
      <w:rFonts w:ascii="宋体" w:hAnsi="宋体"/>
      <w:sz w:val="24"/>
      <w:szCs w:val="24"/>
      <w:lang w:val="zh-CN"/>
    </w:rPr>
  </w:style>
  <w:style w:type="character" w:styleId="1709" w:customStyle="1">
    <w:name w:val="MTDisplayEquation Char"/>
    <w:link w:val="1708"/>
    <w:rPr>
      <w:rFonts w:ascii="宋体" w:hAnsi="宋体" w:eastAsia="宋体" w:cs="Times New Roman"/>
      <w:sz w:val="24"/>
      <w:szCs w:val="24"/>
      <w:lang w:val="zh-CN"/>
    </w:rPr>
  </w:style>
  <w:style w:type="paragraph" w:styleId="1710" w:customStyle="1">
    <w:name w:val="xl3365"/>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11" w:customStyle="1">
    <w:name w:val="xl3366"/>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12" w:customStyle="1">
    <w:name w:val="xl3367"/>
    <w:basedOn w:val="1095"/>
    <w:pPr>
      <w:jc w:val="left"/>
      <w:spacing w:before="100" w:beforeAutospacing="1" w:after="100" w:afterAutospacing="1"/>
      <w:shd w:val="clear" w:color="000000" w:fill="00b050"/>
      <w:widowControl/>
      <w:pBdr>
        <w:top w:val="single" w:color="auto" w:sz="4" w:space="0"/>
        <w:left w:val="single" w:color="auto" w:sz="4" w:space="0"/>
        <w:right w:val="single" w:color="auto" w:sz="4" w:space="0"/>
      </w:pBdr>
    </w:pPr>
    <w:rPr>
      <w:rFonts w:ascii="宋体" w:hAnsi="宋体" w:cs="宋体"/>
      <w:color w:val="000000"/>
      <w:sz w:val="20"/>
    </w:rPr>
  </w:style>
  <w:style w:type="paragraph" w:styleId="1713" w:customStyle="1">
    <w:name w:val="xl3368"/>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14" w:customStyle="1">
    <w:name w:val="xl3369"/>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color w:val="000000"/>
      <w:sz w:val="24"/>
      <w:szCs w:val="24"/>
    </w:rPr>
  </w:style>
  <w:style w:type="paragraph" w:styleId="1715" w:customStyle="1">
    <w:name w:val="xl3370"/>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16" w:customStyle="1">
    <w:name w:val="xl3371"/>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17" w:customStyle="1">
    <w:name w:val="xl3372"/>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18" w:customStyle="1">
    <w:name w:val="xl3373"/>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19" w:customStyle="1">
    <w:name w:val="xl3374"/>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20" w:customStyle="1">
    <w:name w:val="xl3375"/>
    <w:basedOn w:val="1095"/>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21" w:customStyle="1">
    <w:name w:val="xl3376"/>
    <w:basedOn w:val="1095"/>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22" w:customStyle="1">
    <w:name w:val="xl3377"/>
    <w:basedOn w:val="1095"/>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723" w:customStyle="1">
    <w:name w:val="xl3378"/>
    <w:basedOn w:val="1095"/>
    <w:pPr>
      <w:jc w:val="center"/>
      <w:spacing w:before="100" w:beforeAutospacing="1" w:after="100" w:afterAutospacing="1"/>
      <w:shd w:val="clear" w:color="000000" w:fill="00b050"/>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24" w:customStyle="1">
    <w:name w:val="xl3379"/>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25" w:customStyle="1">
    <w:name w:val="xl3380"/>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26" w:customStyle="1">
    <w:name w:val="xl3381"/>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27" w:customStyle="1">
    <w:name w:val="xl3382"/>
    <w:basedOn w:val="1095"/>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9"/>
      <w:szCs w:val="19"/>
    </w:rPr>
  </w:style>
  <w:style w:type="paragraph" w:styleId="1728" w:customStyle="1">
    <w:name w:val="xl3383"/>
    <w:basedOn w:val="1095"/>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20"/>
    </w:rPr>
  </w:style>
  <w:style w:type="paragraph" w:styleId="1729" w:customStyle="1">
    <w:name w:val="xl3384"/>
    <w:basedOn w:val="1095"/>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730" w:customStyle="1">
    <w:name w:val="xl3385"/>
    <w:basedOn w:val="1095"/>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731" w:customStyle="1">
    <w:name w:val="xl3386"/>
    <w:basedOn w:val="1095"/>
    <w:pPr>
      <w:jc w:val="left"/>
      <w:spacing w:before="100" w:beforeAutospacing="1" w:after="100" w:afterAutospacing="1"/>
      <w:shd w:val="clear" w:color="000000" w:fill="00b050"/>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32" w:customStyle="1">
    <w:name w:val="xl3387"/>
    <w:basedOn w:val="1095"/>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0"/>
    </w:rPr>
  </w:style>
  <w:style w:type="paragraph" w:styleId="1733" w:customStyle="1">
    <w:name w:val="xl3388"/>
    <w:basedOn w:val="1095"/>
    <w:pPr>
      <w:jc w:val="center"/>
      <w:spacing w:before="100" w:beforeAutospacing="1" w:after="100" w:afterAutospacing="1"/>
      <w:widowControl/>
      <w:pBdr>
        <w:top w:val="single" w:color="auto" w:sz="4" w:space="0"/>
        <w:bottom w:val="single" w:color="auto" w:sz="4" w:space="0"/>
      </w:pBdr>
    </w:pPr>
    <w:rPr>
      <w:rFonts w:ascii="宋体" w:hAnsi="宋体" w:cs="宋体"/>
      <w:color w:val="000000"/>
      <w:sz w:val="20"/>
    </w:rPr>
  </w:style>
  <w:style w:type="paragraph" w:styleId="1734" w:customStyle="1">
    <w:name w:val="xl3389"/>
    <w:basedOn w:val="1095"/>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rPr>
  </w:style>
  <w:style w:type="paragraph" w:styleId="1735" w:customStyle="1">
    <w:name w:val="xl3390"/>
    <w:basedOn w:val="1095"/>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736" w:customStyle="1">
    <w:name w:val="xl3391"/>
    <w:basedOn w:val="1095"/>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737" w:customStyle="1">
    <w:name w:val="xl3392"/>
    <w:basedOn w:val="1095"/>
    <w:pPr>
      <w:jc w:val="left"/>
      <w:spacing w:before="100" w:beforeAutospacing="1" w:after="100" w:afterAutospacing="1"/>
      <w:shd w:val="clear" w:color="000000" w:fill="00b050"/>
      <w:widowControl/>
      <w:pBdr>
        <w:top w:val="single" w:color="auto" w:sz="4" w:space="0"/>
        <w:left w:val="single" w:color="auto" w:sz="4" w:space="0"/>
        <w:right w:val="single" w:color="auto" w:sz="4" w:space="0"/>
      </w:pBdr>
    </w:pPr>
    <w:rPr>
      <w:rFonts w:ascii="宋体" w:hAnsi="宋体" w:cs="宋体"/>
      <w:sz w:val="19"/>
      <w:szCs w:val="19"/>
    </w:rPr>
  </w:style>
  <w:style w:type="paragraph" w:styleId="1738" w:customStyle="1">
    <w:name w:val="xl3393"/>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739" w:customStyle="1">
    <w:name w:val="xl3394"/>
    <w:basedOn w:val="1095"/>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40" w:customStyle="1">
    <w:name w:val="xl3363"/>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41" w:customStyle="1">
    <w:name w:val="xl3364"/>
    <w:basedOn w:val="1095"/>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character" w:styleId="1742" w:customStyle="1">
    <w:name w:val="font341"/>
    <w:rPr>
      <w:rFonts w:hint="eastAsia" w:ascii="楷体_GB2312" w:eastAsia="楷体_GB2312"/>
      <w:color w:val="000000"/>
      <w:sz w:val="19"/>
      <w:szCs w:val="19"/>
      <w:u w:val="none"/>
    </w:rPr>
  </w:style>
  <w:style w:type="character" w:styleId="1743" w:customStyle="1">
    <w:name w:val="font351"/>
    <w:rPr>
      <w:rFonts w:hint="eastAsia" w:ascii="楷体_GB2312" w:eastAsia="楷体_GB2312"/>
      <w:color w:val="auto"/>
      <w:sz w:val="19"/>
      <w:szCs w:val="19"/>
      <w:u w:val="none"/>
    </w:rPr>
  </w:style>
  <w:style w:type="paragraph" w:styleId="1744" w:customStyle="1">
    <w:name w:val="msonormal"/>
    <w:basedOn w:val="1095"/>
    <w:pPr>
      <w:jc w:val="left"/>
      <w:spacing w:before="100" w:beforeAutospacing="1" w:after="100" w:afterAutospacing="1"/>
      <w:widowControl/>
    </w:pPr>
    <w:rPr>
      <w:rFonts w:ascii="宋体" w:hAnsi="宋体" w:cs="宋体"/>
      <w:sz w:val="24"/>
      <w:szCs w:val="24"/>
    </w:rPr>
  </w:style>
  <w:style w:type="paragraph" w:styleId="1745" w:customStyle="1">
    <w:name w:val="font34"/>
    <w:basedOn w:val="1095"/>
    <w:pPr>
      <w:jc w:val="left"/>
      <w:spacing w:before="100" w:beforeAutospacing="1" w:after="100" w:afterAutospacing="1"/>
      <w:widowControl/>
    </w:pPr>
    <w:rPr>
      <w:rFonts w:ascii="楷体_GB2312" w:hAnsi="宋体" w:eastAsia="楷体_GB2312" w:cs="宋体"/>
      <w:color w:val="000000"/>
      <w:sz w:val="19"/>
      <w:szCs w:val="19"/>
    </w:rPr>
  </w:style>
  <w:style w:type="paragraph" w:styleId="1746" w:customStyle="1">
    <w:name w:val="font35"/>
    <w:basedOn w:val="1095"/>
    <w:pPr>
      <w:jc w:val="left"/>
      <w:spacing w:before="100" w:beforeAutospacing="1" w:after="100" w:afterAutospacing="1"/>
      <w:widowControl/>
    </w:pPr>
    <w:rPr>
      <w:rFonts w:ascii="楷体_GB2312" w:hAnsi="宋体" w:eastAsia="楷体_GB2312" w:cs="宋体"/>
      <w:sz w:val="19"/>
      <w:szCs w:val="19"/>
    </w:rPr>
  </w:style>
  <w:style w:type="paragraph" w:styleId="1747" w:customStyle="1">
    <w:name w:val="xl73"/>
    <w:basedOn w:val="109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等线" w:hAnsi="等线" w:eastAsia="等线" w:cs="宋体"/>
      <w:sz w:val="20"/>
    </w:rPr>
  </w:style>
  <w:style w:type="paragraph" w:styleId="1748" w:customStyle="1">
    <w:name w:val="xl82"/>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49" w:customStyle="1">
    <w:name w:val="xl86"/>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750" w:customStyle="1">
    <w:name w:val="xl99"/>
    <w:basedOn w:val="10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character" w:styleId="1751" w:customStyle="1">
    <w:name w:val="font171"/>
    <w:rPr>
      <w:rFonts w:hint="eastAsia" w:ascii="宋体" w:hAnsi="宋体" w:eastAsia="宋体"/>
      <w:color w:val="000000"/>
      <w:sz w:val="19"/>
      <w:szCs w:val="19"/>
      <w:u w:val="none"/>
    </w:rPr>
  </w:style>
  <w:style w:type="character" w:styleId="1752" w:customStyle="1">
    <w:name w:val="font181"/>
    <w:rPr>
      <w:rFonts w:hint="eastAsia" w:ascii="楷体_GB2312" w:eastAsia="楷体_GB2312"/>
      <w:color w:val="000000"/>
      <w:sz w:val="19"/>
      <w:szCs w:val="19"/>
      <w:u w:val="none"/>
    </w:rPr>
  </w:style>
  <w:style w:type="character" w:styleId="1753" w:customStyle="1">
    <w:name w:val="font191"/>
    <w:rPr>
      <w:rFonts w:hint="eastAsia" w:ascii="楷体_GB2312" w:eastAsia="楷体_GB2312"/>
      <w:color w:val="auto"/>
      <w:sz w:val="19"/>
      <w:szCs w:val="19"/>
      <w:u w:val="none"/>
    </w:rPr>
  </w:style>
  <w:style w:type="paragraph" w:styleId="1754" w:customStyle="1">
    <w:name w:val="font33"/>
    <w:basedOn w:val="1095"/>
    <w:pPr>
      <w:jc w:val="left"/>
      <w:spacing w:before="100" w:beforeAutospacing="1" w:after="100" w:afterAutospacing="1"/>
      <w:widowControl/>
    </w:pPr>
    <w:rPr>
      <w:rFonts w:ascii="宋体" w:hAnsi="宋体" w:cs="宋体"/>
      <w:sz w:val="19"/>
      <w:szCs w:val="19"/>
    </w:rPr>
  </w:style>
  <w:style w:type="paragraph" w:styleId="1755" w:customStyle="1">
    <w:name w:val="font38"/>
    <w:basedOn w:val="1095"/>
    <w:pPr>
      <w:jc w:val="left"/>
      <w:spacing w:before="100" w:beforeAutospacing="1" w:after="100" w:afterAutospacing="1"/>
      <w:widowControl/>
    </w:pPr>
    <w:rPr>
      <w:rFonts w:ascii="楷体_GB2312" w:hAnsi="宋体" w:eastAsia="楷体_GB2312" w:cs="宋体"/>
      <w:color w:val="000000"/>
      <w:sz w:val="19"/>
      <w:szCs w:val="19"/>
    </w:rPr>
  </w:style>
  <w:style w:type="paragraph" w:styleId="1756" w:customStyle="1">
    <w:name w:val="font39"/>
    <w:basedOn w:val="1095"/>
    <w:pPr>
      <w:jc w:val="left"/>
      <w:spacing w:before="100" w:beforeAutospacing="1" w:after="100" w:afterAutospacing="1"/>
      <w:widowControl/>
    </w:pPr>
    <w:rPr>
      <w:rFonts w:ascii="楷体_GB2312" w:hAnsi="宋体" w:eastAsia="楷体_GB2312" w:cs="宋体"/>
      <w:sz w:val="19"/>
      <w:szCs w:val="19"/>
    </w:rPr>
  </w:style>
  <w:style w:type="paragraph" w:styleId="1757" w:customStyle="1">
    <w:name w:val="font44"/>
    <w:basedOn w:val="1095"/>
    <w:pPr>
      <w:jc w:val="left"/>
      <w:spacing w:before="100" w:beforeAutospacing="1" w:after="100" w:afterAutospacing="1"/>
      <w:widowControl/>
    </w:pPr>
    <w:rPr>
      <w:rFonts w:ascii="宋体" w:hAnsi="宋体" w:cs="宋体"/>
      <w:color w:val="000000"/>
      <w:sz w:val="20"/>
    </w:rPr>
  </w:style>
  <w:style w:type="paragraph" w:styleId="1758" w:customStyle="1">
    <w:name w:val="font47"/>
    <w:basedOn w:val="1095"/>
    <w:pPr>
      <w:jc w:val="left"/>
      <w:spacing w:before="100" w:beforeAutospacing="1" w:after="100" w:afterAutospacing="1"/>
      <w:widowControl/>
    </w:pPr>
    <w:rPr>
      <w:rFonts w:ascii="宋体" w:hAnsi="宋体" w:cs="宋体"/>
      <w:sz w:val="19"/>
      <w:szCs w:val="19"/>
    </w:rPr>
  </w:style>
  <w:style w:type="paragraph" w:styleId="1759" w:customStyle="1">
    <w:name w:val="xl114"/>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760" w:customStyle="1">
    <w:name w:val="xl145"/>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61" w:customStyle="1">
    <w:name w:val="xl197"/>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62" w:customStyle="1">
    <w:name w:val="xl198"/>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63" w:customStyle="1">
    <w:name w:val="xl202"/>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764" w:customStyle="1">
    <w:name w:val="xl203"/>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765" w:customStyle="1">
    <w:name w:val="xl204"/>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66" w:customStyle="1">
    <w:name w:val="xl205"/>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character" w:styleId="1767" w:customStyle="1">
    <w:name w:val="font471"/>
    <w:rPr>
      <w:rFonts w:hint="eastAsia" w:ascii="宋体" w:hAnsi="宋体" w:eastAsia="宋体"/>
      <w:color w:val="auto"/>
      <w:sz w:val="19"/>
      <w:szCs w:val="19"/>
      <w:u w:val="none"/>
    </w:rPr>
  </w:style>
  <w:style w:type="character" w:styleId="1768" w:customStyle="1">
    <w:name w:val="font441"/>
    <w:rPr>
      <w:rFonts w:hint="eastAsia" w:ascii="宋体" w:hAnsi="宋体" w:eastAsia="宋体"/>
      <w:color w:val="000000"/>
      <w:sz w:val="20"/>
      <w:szCs w:val="20"/>
      <w:u w:val="none"/>
    </w:rPr>
  </w:style>
  <w:style w:type="character" w:styleId="1769" w:customStyle="1">
    <w:name w:val="font381"/>
    <w:rPr>
      <w:rFonts w:hint="eastAsia" w:ascii="楷体_GB2312" w:eastAsia="楷体_GB2312"/>
      <w:color w:val="000000"/>
      <w:sz w:val="19"/>
      <w:szCs w:val="19"/>
      <w:u w:val="none"/>
    </w:rPr>
  </w:style>
  <w:style w:type="character" w:styleId="1770" w:customStyle="1">
    <w:name w:val="font331"/>
    <w:rPr>
      <w:rFonts w:hint="eastAsia" w:ascii="宋体" w:hAnsi="宋体" w:eastAsia="宋体"/>
      <w:color w:val="auto"/>
      <w:sz w:val="19"/>
      <w:szCs w:val="19"/>
      <w:u w:val="none"/>
    </w:rPr>
  </w:style>
  <w:style w:type="character" w:styleId="1771" w:customStyle="1">
    <w:name w:val="font391"/>
    <w:rPr>
      <w:rFonts w:hint="eastAsia" w:ascii="楷体_GB2312" w:eastAsia="楷体_GB2312"/>
      <w:color w:val="auto"/>
      <w:sz w:val="19"/>
      <w:szCs w:val="19"/>
      <w:u w:val="none"/>
    </w:rPr>
  </w:style>
  <w:style w:type="paragraph" w:styleId="1772" w:customStyle="1">
    <w:name w:val="xl64"/>
    <w:basedOn w:val="1095"/>
    <w:pPr>
      <w:jc w:val="left"/>
      <w:spacing w:before="100" w:beforeAutospacing="1" w:after="100" w:afterAutospacing="1"/>
      <w:widowControl/>
      <w:pBdr>
        <w:top w:val="single" w:color="auto" w:sz="8" w:space="0"/>
        <w:left w:val="single" w:color="auto" w:sz="8" w:space="0"/>
        <w:right w:val="single" w:color="auto" w:sz="8" w:space="0"/>
      </w:pBdr>
    </w:pPr>
    <w:rPr>
      <w:rFonts w:ascii="宋体" w:hAnsi="宋体" w:cs="宋体"/>
      <w:sz w:val="15"/>
      <w:szCs w:val="15"/>
    </w:rPr>
  </w:style>
  <w:style w:type="paragraph" w:styleId="1773" w:customStyle="1">
    <w:name w:val="xl65"/>
    <w:basedOn w:val="1095"/>
    <w:pPr>
      <w:jc w:val="center"/>
      <w:spacing w:before="100" w:beforeAutospacing="1" w:after="100" w:afterAutospacing="1"/>
      <w:widowControl/>
      <w:pBdr>
        <w:bottom w:val="single" w:color="auto" w:sz="8" w:space="0"/>
        <w:right w:val="single" w:color="auto" w:sz="8" w:space="0"/>
      </w:pBdr>
    </w:pPr>
    <w:rPr>
      <w:rFonts w:ascii="宋体" w:hAnsi="宋体" w:cs="宋体"/>
      <w:sz w:val="15"/>
      <w:szCs w:val="15"/>
    </w:rPr>
  </w:style>
  <w:style w:type="paragraph" w:styleId="1774" w:customStyle="1">
    <w:name w:val="xl72"/>
    <w:basedOn w:val="1095"/>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 w:val="15"/>
      <w:szCs w:val="15"/>
    </w:rPr>
  </w:style>
  <w:style w:type="paragraph" w:styleId="1775" w:customStyle="1">
    <w:name w:val="xl74"/>
    <w:basedOn w:val="1095"/>
    <w:pPr>
      <w:jc w:val="left"/>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 w:val="15"/>
      <w:szCs w:val="15"/>
    </w:rPr>
  </w:style>
  <w:style w:type="paragraph" w:styleId="1776" w:customStyle="1">
    <w:name w:val="xl75"/>
    <w:basedOn w:val="1095"/>
    <w:pPr>
      <w:jc w:val="center"/>
      <w:spacing w:before="100" w:beforeAutospacing="1" w:after="100" w:afterAutospacing="1"/>
      <w:widowControl/>
      <w:pBdr>
        <w:bottom w:val="single" w:color="auto" w:sz="8" w:space="0"/>
        <w:right w:val="single" w:color="auto" w:sz="8" w:space="0"/>
      </w:pBdr>
    </w:pPr>
    <w:rPr>
      <w:rFonts w:ascii="宋体" w:hAnsi="宋体" w:cs="宋体"/>
      <w:color w:val="000000"/>
      <w:sz w:val="15"/>
      <w:szCs w:val="15"/>
    </w:rPr>
  </w:style>
  <w:style w:type="paragraph" w:styleId="1777" w:customStyle="1">
    <w:name w:val="xl76"/>
    <w:basedOn w:val="1095"/>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 w:val="15"/>
      <w:szCs w:val="15"/>
    </w:rPr>
  </w:style>
  <w:style w:type="paragraph" w:styleId="1778" w:customStyle="1">
    <w:name w:val="xl77"/>
    <w:basedOn w:val="1095"/>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 w:val="15"/>
      <w:szCs w:val="15"/>
    </w:rPr>
  </w:style>
  <w:style w:type="paragraph" w:styleId="1779" w:customStyle="1">
    <w:name w:val="xl78"/>
    <w:basedOn w:val="1095"/>
    <w:pPr>
      <w:jc w:val="left"/>
      <w:spacing w:before="100" w:beforeAutospacing="1" w:after="100" w:afterAutospacing="1"/>
      <w:widowControl/>
      <w:pBdr>
        <w:bottom w:val="single" w:color="auto" w:sz="8" w:space="0"/>
        <w:right w:val="single" w:color="auto" w:sz="8" w:space="0"/>
      </w:pBdr>
    </w:pPr>
    <w:rPr>
      <w:rFonts w:cs="宋体"/>
      <w:szCs w:val="21"/>
    </w:rPr>
  </w:style>
  <w:style w:type="paragraph" w:styleId="1780" w:customStyle="1">
    <w:name w:val="xl79"/>
    <w:basedOn w:val="1095"/>
    <w:pPr>
      <w:jc w:val="center"/>
      <w:spacing w:before="100" w:beforeAutospacing="1" w:after="100" w:afterAutospacing="1"/>
      <w:widowControl/>
      <w:pBdr>
        <w:bottom w:val="single" w:color="auto" w:sz="8" w:space="0"/>
        <w:right w:val="single" w:color="auto" w:sz="8" w:space="0"/>
      </w:pBdr>
    </w:pPr>
    <w:rPr>
      <w:rFonts w:ascii="宋体" w:hAnsi="宋体" w:cs="宋体"/>
      <w:color w:val="000000"/>
      <w:sz w:val="15"/>
      <w:szCs w:val="15"/>
    </w:rPr>
  </w:style>
  <w:style w:type="paragraph" w:styleId="1781" w:customStyle="1">
    <w:name w:val="xl80"/>
    <w:basedOn w:val="1095"/>
    <w:pPr>
      <w:jc w:val="left"/>
      <w:spacing w:before="100" w:beforeAutospacing="1" w:after="100" w:afterAutospacing="1"/>
      <w:widowControl/>
      <w:pBdr>
        <w:bottom w:val="single" w:color="auto" w:sz="8" w:space="0"/>
        <w:right w:val="single" w:color="auto" w:sz="8" w:space="0"/>
      </w:pBdr>
    </w:pPr>
    <w:rPr>
      <w:rFonts w:cs="宋体"/>
      <w:szCs w:val="21"/>
    </w:rPr>
  </w:style>
  <w:style w:type="paragraph" w:styleId="1782" w:customStyle="1">
    <w:name w:val="xl81"/>
    <w:basedOn w:val="1095"/>
    <w:pPr>
      <w:jc w:val="center"/>
      <w:spacing w:before="100" w:beforeAutospacing="1" w:after="100" w:afterAutospacing="1"/>
      <w:widowControl/>
      <w:pBdr>
        <w:bottom w:val="single" w:color="auto" w:sz="8" w:space="0"/>
        <w:right w:val="single" w:color="auto" w:sz="8" w:space="0"/>
      </w:pBdr>
    </w:pPr>
    <w:rPr>
      <w:rFonts w:ascii="楷体_GB2312" w:hAnsi="宋体" w:eastAsia="楷体_GB2312" w:cs="宋体"/>
      <w:color w:val="000000"/>
      <w:sz w:val="15"/>
      <w:szCs w:val="15"/>
    </w:rPr>
  </w:style>
  <w:style w:type="paragraph" w:styleId="1783" w:customStyle="1">
    <w:name w:val="xl83"/>
    <w:basedOn w:val="1095"/>
    <w:pPr>
      <w:jc w:val="left"/>
      <w:spacing w:before="100" w:beforeAutospacing="1" w:after="100" w:afterAutospacing="1"/>
      <w:widowControl/>
      <w:pBdr>
        <w:top w:val="single" w:color="auto" w:sz="8" w:space="0"/>
        <w:left w:val="single" w:color="auto" w:sz="8" w:space="0"/>
        <w:right w:val="single" w:color="auto" w:sz="8" w:space="0"/>
      </w:pBdr>
    </w:pPr>
    <w:rPr>
      <w:rFonts w:cs="宋体"/>
      <w:szCs w:val="21"/>
    </w:rPr>
  </w:style>
  <w:style w:type="paragraph" w:styleId="1784" w:customStyle="1">
    <w:name w:val="xl84"/>
    <w:basedOn w:val="10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15"/>
      <w:szCs w:val="15"/>
    </w:rPr>
  </w:style>
  <w:style w:type="character" w:styleId="1785" w:customStyle="1">
    <w:name w:val="font61"/>
    <w:qFormat/>
    <w:rPr>
      <w:rFonts w:hint="eastAsia" w:ascii="宋体" w:hAnsi="宋体" w:eastAsia="宋体" w:cs="宋体"/>
      <w:color w:val="000000"/>
      <w:sz w:val="21"/>
      <w:szCs w:val="21"/>
      <w:u w:val="none"/>
    </w:rPr>
  </w:style>
  <w:style w:type="character" w:styleId="1786" w:customStyle="1">
    <w:name w:val="font112"/>
    <w:rPr>
      <w:rFonts w:ascii="Calibri" w:hAnsi="Calibri" w:cs="Calibri"/>
      <w:color w:val="000000"/>
      <w:sz w:val="21"/>
      <w:szCs w:val="21"/>
      <w:u w:val="none"/>
    </w:rPr>
  </w:style>
  <w:style w:type="character" w:styleId="1787" w:customStyle="1">
    <w:name w:val="font41"/>
    <w:qFormat/>
    <w:rPr>
      <w:rFonts w:hint="eastAsia" w:ascii="宋体" w:hAnsi="宋体" w:eastAsia="宋体" w:cs="宋体"/>
      <w:color w:val="000000"/>
      <w:sz w:val="21"/>
      <w:szCs w:val="21"/>
      <w:u w:val="none"/>
    </w:rPr>
  </w:style>
  <w:style w:type="character" w:styleId="1788" w:customStyle="1">
    <w:name w:val="font111"/>
    <w:rPr>
      <w:rFonts w:hint="eastAsia" w:ascii="宋体" w:hAnsi="宋体" w:eastAsia="宋体" w:cs="宋体"/>
      <w:color w:val="ff0000"/>
      <w:sz w:val="21"/>
      <w:szCs w:val="21"/>
      <w:u w:val="none"/>
    </w:rPr>
  </w:style>
  <w:style w:type="character" w:styleId="1789" w:customStyle="1">
    <w:name w:val="font122"/>
    <w:rPr>
      <w:rFonts w:ascii="Calibri" w:hAnsi="Calibri" w:cs="Calibri"/>
      <w:color w:val="000000"/>
      <w:sz w:val="21"/>
      <w:szCs w:val="21"/>
      <w:u w:val="none"/>
    </w:rPr>
  </w:style>
  <w:style w:type="character" w:styleId="1790" w:customStyle="1">
    <w:name w:val="font121"/>
    <w:rPr>
      <w:rFonts w:ascii="Calibri" w:hAnsi="Calibri" w:cs="Calibri"/>
      <w:color w:val="000000"/>
      <w:sz w:val="21"/>
      <w:szCs w:val="21"/>
      <w:u w:val="none"/>
    </w:rPr>
  </w:style>
  <w:style w:type="character" w:styleId="1791" w:customStyle="1">
    <w:name w:val="无间隔 字符"/>
    <w:uiPriority w:val="1"/>
    <w:qFormat/>
    <w:rPr>
      <w:rFonts w:ascii="宋体" w:hAnsi="宋体"/>
      <w:sz w:val="24"/>
      <w:szCs w:val="24"/>
    </w:rPr>
  </w:style>
  <w:style w:type="paragraph" w:styleId="1792">
    <w:name w:val="Revision"/>
    <w:uiPriority w:val="99"/>
    <w:semiHidden/>
    <w:rPr>
      <w:rFonts w:ascii="Times New Roman" w:hAnsi="Times New Roman" w:eastAsia="宋体" w:cs="Times New Roman"/>
      <w:sz w:val="21"/>
      <w:szCs w:val="21"/>
    </w:rPr>
  </w:style>
  <w:style w:type="paragraph" w:styleId="1793">
    <w:name w:val="envelope return"/>
    <w:basedOn w:val="1095"/>
    <w:qFormat/>
    <w:rPr>
      <w:rFonts w:ascii="Arial" w:hAnsi="Arial"/>
    </w:rPr>
  </w:style>
  <w:style w:type="character" w:styleId="1794" w:customStyle="1">
    <w:name w:val="font31"/>
    <w:basedOn w:val="1105"/>
    <w:qFormat/>
    <w:rPr>
      <w:rFonts w:hint="eastAsia" w:ascii="宋体" w:hAnsi="宋体" w:eastAsia="宋体" w:cs="宋体"/>
      <w:color w:val="000000"/>
      <w:sz w:val="21"/>
      <w:szCs w:val="21"/>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hyperlink" Target="http://www.ccgp-jiangsu.gov.cn/jiangsu/zlxz/ee/ee3a4bc5a3454aa2b0d9312230633ce9.html" TargetMode="External"/><Relationship Id="rId16" Type="http://schemas.openxmlformats.org/officeDocument/2006/relationships/hyperlink" Target="http://www.mee.gov.cn/ywgz/fgbz/bz/bzwb/jcffbz/202501/t20250126_1101553.shtml" TargetMode="External"/><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C869B-8DF1-407E-8083-380B1FCBC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宨ჿ珸ჿ㮠ᇙ⚜ࢭ㯐ᇙ脠ᇜ㰀ᇙ记ᇠ㰰ᇙ遘მ贀ᇠ㷠ᇙ馜ᇡ㕼ᇡᩐᇜ軈მ</dc:creator>
  <cp:lastModifiedBy>季彬彬</cp:lastModifiedBy>
  <cp:revision>1489</cp:revision>
  <dcterms:created xsi:type="dcterms:W3CDTF">2023-04-28T07:09:00Z</dcterms:created>
  <dcterms:modified xsi:type="dcterms:W3CDTF">2026-06-05T09:38:16Z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E0C5C1BA8A4B44ABB003230E8F197D42_12</vt:lpwstr>
  </property>
</Properties>
</file>