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0"/>
        <w:jc w:val="center"/>
        <w:keepLines w:val="0"/>
        <w:keepNext w:val="0"/>
        <w:pageBreakBefore w:val="0"/>
        <w:spacing w:line="240" w:lineRule="auto"/>
        <w:widowControl w:val="off"/>
        <w:rPr>
          <w:rFonts w:hint="eastAsia" w:ascii="仿宋" w:hAnsi="仿宋" w:eastAsia="仿宋" w:cs="仿宋"/>
          <w:sz w:val="100"/>
          <w:szCs w:val="100"/>
          <w:lang w:val="zh-CN"/>
        </w:rPr>
      </w:pPr>
      <w:r>
        <w:rPr>
          <w:rFonts w:hint="eastAsia" w:ascii="仿宋" w:hAnsi="仿宋" w:eastAsia="仿宋" w:cs="仿宋"/>
          <w:b/>
          <w:bCs/>
          <w:sz w:val="100"/>
          <w:szCs w:val="100"/>
        </w:rPr>
        <w:t xml:space="preserve">公开</w:t>
      </w:r>
      <w:r>
        <w:rPr>
          <w:rFonts w:hint="eastAsia" w:ascii="仿宋" w:hAnsi="仿宋" w:eastAsia="仿宋" w:cs="仿宋"/>
          <w:b/>
          <w:bCs/>
          <w:sz w:val="100"/>
          <w:szCs w:val="100"/>
          <w:lang w:val="zh-CN"/>
        </w:rPr>
        <w:t xml:space="preserve">招标文件</w:t>
      </w:r>
      <w:r/>
    </w:p>
    <w:p>
      <w:pPr>
        <w:ind w:left="0" w:firstLine="1526"/>
        <w:jc w:val="center"/>
        <w:keepLines w:val="0"/>
        <w:pageBreakBefore w:val="0"/>
        <w:spacing w:line="520" w:lineRule="exact"/>
        <w:rPr>
          <w:rFonts w:hint="eastAsia" w:ascii="仿宋" w:hAnsi="仿宋" w:eastAsia="仿宋" w:cs="仿宋"/>
          <w:b/>
          <w:color w:val="000000" w:themeColor="text1"/>
          <w:sz w:val="76"/>
          <w:szCs w:val="76"/>
          <w14:textFill>
            <w14:solidFill>
              <w14:schemeClr w14:val="tx1"/>
            </w14:solidFill>
          </w14:textFill>
        </w:rPr>
      </w:pPr>
      <w:r>
        <w:rPr>
          <w:rFonts w:hint="eastAsia" w:ascii="仿宋" w:hAnsi="仿宋" w:eastAsia="仿宋" w:cs="仿宋"/>
          <w:b/>
          <w:color w:val="000000" w:themeColor="text1"/>
          <w:sz w:val="76"/>
          <w:szCs w:val="76"/>
          <w14:textFill>
            <w14:solidFill>
              <w14:schemeClr w14:val="tx1"/>
            </w14:solidFill>
          </w14:textFill>
        </w:rPr>
      </w:r>
      <w:r/>
    </w:p>
    <w:p>
      <w:pPr>
        <w:ind w:left="0" w:firstLine="964"/>
        <w:jc w:val="center"/>
        <w:keepLines w:val="0"/>
        <w:pageBreakBefore w:val="0"/>
        <w:spacing w:line="520" w:lineRule="exact"/>
        <w:rPr>
          <w:rFonts w:hint="eastAsia" w:ascii="仿宋" w:hAnsi="仿宋" w:eastAsia="仿宋" w:cs="仿宋"/>
          <w:b/>
          <w:color w:val="000000" w:themeColor="text1"/>
          <w:sz w:val="48"/>
          <w:szCs w:val="48"/>
          <w14:textFill>
            <w14:solidFill>
              <w14:schemeClr w14:val="tx1"/>
            </w14:solidFill>
          </w14:textFill>
        </w:rPr>
      </w:pPr>
      <w:r>
        <w:rPr>
          <w:rFonts w:hint="eastAsia" w:ascii="仿宋" w:hAnsi="仿宋" w:eastAsia="仿宋" w:cs="仿宋"/>
          <w:b/>
          <w:color w:val="000000" w:themeColor="text1"/>
          <w:sz w:val="48"/>
          <w:szCs w:val="48"/>
          <w14:textFill>
            <w14:solidFill>
              <w14:schemeClr w14:val="tx1"/>
            </w14:solidFill>
          </w14:textFill>
        </w:rPr>
      </w:r>
      <w:r/>
    </w:p>
    <w:p>
      <w:pPr>
        <w:ind w:left="0" w:firstLine="964"/>
        <w:jc w:val="center"/>
        <w:keepLines w:val="0"/>
        <w:pageBreakBefore w:val="0"/>
        <w:spacing w:line="520" w:lineRule="exact"/>
        <w:rPr>
          <w:rFonts w:hint="eastAsia" w:ascii="仿宋" w:hAnsi="仿宋" w:eastAsia="仿宋" w:cs="仿宋"/>
          <w:b/>
          <w:color w:val="000000" w:themeColor="text1"/>
          <w:sz w:val="48"/>
          <w:szCs w:val="48"/>
          <w14:textFill>
            <w14:solidFill>
              <w14:schemeClr w14:val="tx1"/>
            </w14:solidFill>
          </w14:textFill>
        </w:rPr>
      </w:pPr>
      <w:r>
        <w:rPr>
          <w:rFonts w:hint="eastAsia" w:ascii="仿宋" w:hAnsi="仿宋" w:eastAsia="仿宋" w:cs="仿宋"/>
          <w:b/>
          <w:color w:val="000000" w:themeColor="text1"/>
          <w:sz w:val="48"/>
          <w:szCs w:val="48"/>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tbl>
      <w:tblPr>
        <w:tblStyle w:val="688"/>
        <w:tblpPr w:horzAnchor="page" w:tblpX="2469" w:vertAnchor="text" w:tblpY="3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9"/>
      </w:tblGrid>
      <w:tr>
        <w:trPr>
          <w:trHeight w:val="1523"/>
        </w:trPr>
        <w:tc>
          <w:tcPr>
            <w:tcBorders>
              <w:top w:val="none" w:color="000000" w:sz="4" w:space="0"/>
              <w:left w:val="none" w:color="000000" w:sz="4" w:space="0"/>
              <w:bottom w:val="none" w:color="000000" w:sz="4" w:space="0"/>
              <w:right w:val="none" w:color="000000" w:sz="4" w:space="0"/>
            </w:tcBorders>
            <w:tcW w:w="7859" w:type="dxa"/>
            <w:vAlign w:val="center"/>
            <w:textDirection w:val="lrTb"/>
            <w:noWrap w:val="false"/>
          </w:tcPr>
          <w:p>
            <w:pPr>
              <w:jc w:val="both"/>
              <w:keepLines w:val="0"/>
              <w:pageBreakBefore w:val="0"/>
              <w:spacing w:line="52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eastAsia="zh-CN"/>
              </w:rPr>
              <w:t xml:space="preserve">项目编号：JSZC-320115-ZJDL-G2026-0001</w:t>
            </w:r>
            <w:r/>
          </w:p>
          <w:p>
            <w:pPr>
              <w:pStyle w:val="933"/>
              <w:ind w:left="0" w:firstLine="482"/>
              <w:jc w:val="center"/>
              <w:keepLines w:val="0"/>
              <w:pageBreakBefore w:val="0"/>
              <w:spacing w:line="520" w:lineRule="exact"/>
              <w:rPr>
                <w:rFonts w:hint="eastAsia" w:ascii="仿宋" w:hAnsi="仿宋" w:eastAsia="仿宋" w:cs="仿宋"/>
                <w:b/>
                <w:bCs/>
                <w:sz w:val="24"/>
                <w:szCs w:val="20"/>
              </w:rPr>
            </w:pPr>
            <w:r>
              <w:rPr>
                <w:rFonts w:hint="eastAsia" w:ascii="仿宋" w:hAnsi="仿宋" w:eastAsia="仿宋" w:cs="仿宋"/>
                <w:b/>
                <w:bCs/>
                <w:sz w:val="24"/>
                <w:szCs w:val="20"/>
              </w:rPr>
            </w:r>
            <w:r/>
          </w:p>
          <w:p>
            <w:pPr>
              <w:jc w:val="both"/>
              <w:keepLines w:val="0"/>
              <w:pageBreakBefore w:val="0"/>
              <w:spacing w:line="520" w:lineRule="exact"/>
              <w:rPr>
                <w:rFonts w:hint="eastAsia" w:ascii="仿宋" w:hAnsi="仿宋" w:eastAsia="仿宋" w:cs="仿宋"/>
                <w:sz w:val="28"/>
                <w:szCs w:val="28"/>
              </w:rPr>
            </w:pPr>
            <w:r>
              <w:rPr>
                <w:rFonts w:hint="eastAsia" w:ascii="仿宋" w:hAnsi="仿宋" w:eastAsia="仿宋" w:cs="仿宋"/>
                <w:b/>
                <w:bCs/>
                <w:sz w:val="32"/>
                <w:szCs w:val="32"/>
              </w:rPr>
              <w:t xml:space="preserve">项目名称：</w:t>
            </w:r>
            <w:r>
              <w:rPr>
                <w:rFonts w:hint="eastAsia" w:ascii="仿宋" w:hAnsi="仿宋" w:eastAsia="仿宋" w:cs="仿宋"/>
                <w:b/>
                <w:bCs/>
                <w:sz w:val="32"/>
                <w:szCs w:val="32"/>
                <w:lang w:eastAsia="zh-CN"/>
              </w:rPr>
              <w:t xml:space="preserve">2026年度江宁区第十二届公益创投项目</w:t>
            </w:r>
            <w:r/>
          </w:p>
        </w:tc>
      </w:tr>
    </w:tbl>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jc w:val="both"/>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jc w:val="both"/>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t xml:space="preserve">江苏</w:t>
      </w:r>
      <w:r>
        <w:rPr>
          <w:rFonts w:hint="eastAsia" w:ascii="仿宋" w:hAnsi="仿宋" w:eastAsia="仿宋" w:cs="仿宋"/>
          <w:b/>
          <w:color w:val="000000" w:themeColor="text1"/>
          <w:sz w:val="44"/>
          <w:szCs w:val="44"/>
          <w:lang w:val="en-US" w:eastAsia="zh-CN"/>
          <w14:textFill>
            <w14:solidFill>
              <w14:schemeClr w14:val="tx1"/>
            </w14:solidFill>
          </w14:textFill>
        </w:rPr>
        <w:t xml:space="preserve">中嘉</w:t>
      </w:r>
      <w:r>
        <w:rPr>
          <w:rFonts w:hint="eastAsia" w:ascii="仿宋" w:hAnsi="仿宋" w:eastAsia="仿宋" w:cs="仿宋"/>
          <w:b/>
          <w:color w:val="000000" w:themeColor="text1"/>
          <w:sz w:val="44"/>
          <w:szCs w:val="44"/>
          <w14:textFill>
            <w14:solidFill>
              <w14:schemeClr w14:val="tx1"/>
            </w14:solidFill>
          </w14:textFill>
        </w:rPr>
        <w:t xml:space="preserve">招</w:t>
      </w:r>
      <w:r>
        <w:rPr>
          <w:rFonts w:hint="eastAsia" w:ascii="仿宋" w:hAnsi="仿宋" w:eastAsia="仿宋" w:cs="仿宋"/>
          <w:b/>
          <w:color w:val="000000" w:themeColor="text1"/>
          <w:sz w:val="44"/>
          <w:szCs w:val="44"/>
          <w:lang w:val="en-US" w:eastAsia="zh-CN"/>
          <w14:textFill>
            <w14:solidFill>
              <w14:schemeClr w14:val="tx1"/>
            </w14:solidFill>
          </w14:textFill>
        </w:rPr>
        <w:t xml:space="preserve">投</w:t>
      </w:r>
      <w:r>
        <w:rPr>
          <w:rFonts w:hint="eastAsia" w:ascii="仿宋" w:hAnsi="仿宋" w:eastAsia="仿宋" w:cs="仿宋"/>
          <w:b/>
          <w:color w:val="000000" w:themeColor="text1"/>
          <w:sz w:val="44"/>
          <w:szCs w:val="44"/>
          <w14:textFill>
            <w14:solidFill>
              <w14:schemeClr w14:val="tx1"/>
            </w14:solidFill>
          </w14:textFill>
        </w:rPr>
        <w:t xml:space="preserve">标代理有限公司</w:t>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t xml:space="preserve">二〇二</w:t>
      </w:r>
      <w:r>
        <w:rPr>
          <w:rFonts w:hint="eastAsia" w:ascii="仿宋" w:hAnsi="仿宋" w:eastAsia="仿宋" w:cs="仿宋"/>
          <w:b/>
          <w:color w:val="000000" w:themeColor="text1"/>
          <w:sz w:val="44"/>
          <w:szCs w:val="44"/>
          <w:lang w:val="en-US" w:eastAsia="zh-CN"/>
          <w14:textFill>
            <w14:solidFill>
              <w14:schemeClr w14:val="tx1"/>
            </w14:solidFill>
          </w14:textFill>
        </w:rPr>
        <w:t xml:space="preserve">六</w:t>
      </w:r>
      <w:r>
        <w:rPr>
          <w:rFonts w:hint="eastAsia" w:ascii="仿宋" w:hAnsi="仿宋" w:eastAsia="仿宋" w:cs="仿宋"/>
          <w:b/>
          <w:color w:val="000000" w:themeColor="text1"/>
          <w:sz w:val="44"/>
          <w:szCs w:val="44"/>
          <w14:textFill>
            <w14:solidFill>
              <w14:schemeClr w14:val="tx1"/>
            </w14:solidFill>
          </w14:textFill>
        </w:rPr>
        <w:t xml:space="preserve">年</w:t>
      </w:r>
      <w:r>
        <w:rPr>
          <w:rFonts w:hint="eastAsia" w:ascii="仿宋" w:hAnsi="仿宋" w:eastAsia="仿宋" w:cs="仿宋"/>
          <w:b/>
          <w:color w:val="000000" w:themeColor="text1"/>
          <w:sz w:val="44"/>
          <w:szCs w:val="44"/>
          <w:lang w:val="en-US" w:eastAsia="zh-CN"/>
          <w14:textFill>
            <w14:solidFill>
              <w14:schemeClr w14:val="tx1"/>
            </w14:solidFill>
          </w14:textFill>
        </w:rPr>
        <w:t xml:space="preserve">四</w:t>
      </w:r>
      <w:r>
        <w:rPr>
          <w:rFonts w:hint="eastAsia" w:ascii="仿宋" w:hAnsi="仿宋" w:eastAsia="仿宋" w:cs="仿宋"/>
          <w:b/>
          <w:color w:val="000000" w:themeColor="text1"/>
          <w:sz w:val="44"/>
          <w:szCs w:val="44"/>
          <w14:textFill>
            <w14:solidFill>
              <w14:schemeClr w14:val="tx1"/>
            </w14:solidFill>
          </w14:textFill>
        </w:rPr>
        <w:t xml:space="preserve">月</w:t>
      </w:r>
      <w:r/>
    </w:p>
    <w:p>
      <w:pPr>
        <w:ind w:left="0" w:firstLine="480"/>
        <w:jc w:val="center"/>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ind w:left="0" w:firstLine="723"/>
        <w:jc w:val="center"/>
        <w:keepLines w:val="0"/>
        <w:pageBreakBefore w:val="0"/>
        <w:spacing w:line="520" w:lineRule="exact"/>
        <w:rPr>
          <w:rFonts w:hint="eastAsia" w:ascii="仿宋" w:hAnsi="仿宋" w:eastAsia="仿宋" w:cs="仿宋"/>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t xml:space="preserve">目录</w:t>
      </w:r>
      <w:r/>
    </w:p>
    <w:sdt>
      <w:sdtPr>
        <w15:appearance w15:val="boundingBox"/>
        <w15:color w:val="dbdbdb"/>
        <w:id w:val="147475451"/>
        <w:docPartObj>
          <w:docPartGallery w:val="Table of Contents"/>
          <w:docPartUnique w:val="true"/>
        </w:docPartObj>
        <w:rPr>
          <w:rFonts w:hint="default" w:ascii="宋体" w:hAnsi="宋体" w:eastAsia="宋体" w:cstheme="minorBidi"/>
          <w:sz w:val="21"/>
          <w:szCs w:val="22"/>
          <w14:ligatures w14:val="standardContextual"/>
        </w:rPr>
      </w:sdtPr>
      <w:sdtContent>
        <w:p>
          <w:pPr>
            <w:ind w:left="0" w:right="0" w:firstLine="420"/>
            <w:jc w:val="left"/>
            <w:keepLines w:val="0"/>
            <w:pageBreakBefore w:val="0"/>
            <w:spacing w:line="520" w:lineRule="exact"/>
          </w:pPr>
          <w:r/>
          <w:r/>
        </w:p>
        <w:p>
          <w:pPr>
            <w:pStyle w:val="718"/>
            <w:tabs>
              <w:tab w:val="right" w:pos="9070" w:leader="dot"/>
            </w:tabs>
            <w:rPr>
              <w:rFonts w:hint="eastAsia" w:ascii="仿宋" w:hAnsi="仿宋" w:eastAsia="仿宋" w:cs="仿宋"/>
              <w:sz w:val="28"/>
              <w:szCs w:val="28"/>
            </w:rPr>
          </w:pPr>
          <w:r>
            <w:rPr>
              <w:rFonts w:hint="eastAsia" w:ascii="仿宋" w:hAnsi="仿宋" w:eastAsia="仿宋" w:cs="仿宋"/>
              <w:b w:val="0"/>
              <w:bCs w:val="0"/>
              <w:color w:val="000000" w:themeColor="text1"/>
              <w:sz w:val="44"/>
              <w:szCs w:val="44"/>
              <w14:textFill>
                <w14:solidFill>
                  <w14:schemeClr w14:val="tx1"/>
                </w14:solidFill>
              </w14:textFill>
            </w:rPr>
            <w:fldChar w:fldCharType="begin"/>
          </w:r>
          <w:r>
            <w:rPr>
              <w:rFonts w:hint="eastAsia" w:ascii="仿宋" w:hAnsi="仿宋" w:eastAsia="仿宋" w:cs="仿宋"/>
              <w:b w:val="0"/>
              <w:bCs w:val="0"/>
              <w:color w:val="000000" w:themeColor="text1"/>
              <w:sz w:val="44"/>
              <w:szCs w:val="44"/>
              <w14:textFill>
                <w14:solidFill>
                  <w14:schemeClr w14:val="tx1"/>
                </w14:solidFill>
              </w14:textFill>
            </w:rPr>
            <w:instrText xml:space="preserve">TOC \o "1-1" \h \u </w:instrText>
          </w:r>
          <w:r>
            <w:rPr>
              <w:rFonts w:hint="eastAsia" w:ascii="仿宋" w:hAnsi="仿宋" w:eastAsia="仿宋" w:cs="仿宋"/>
              <w:b w:val="0"/>
              <w:bCs w:val="0"/>
              <w:color w:val="000000" w:themeColor="text1"/>
              <w:sz w:val="44"/>
              <w:szCs w:val="44"/>
              <w14:textFill>
                <w14:solidFill>
                  <w14:schemeClr w14:val="tx1"/>
                </w14:solidFill>
              </w14:textFill>
            </w:rPr>
            <w:fldChar w:fldCharType="separate"/>
          </w: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_Toc22947 </w:instrText>
          </w:r>
          <w:r>
            <w:rPr>
              <w:rFonts w:hint="eastAsia" w:ascii="仿宋" w:hAnsi="仿宋" w:eastAsia="仿宋" w:cs="仿宋"/>
              <w:bCs w:val="0"/>
              <w:sz w:val="28"/>
              <w:szCs w:val="44"/>
            </w:rPr>
            <w:fldChar w:fldCharType="separate"/>
          </w:r>
          <w:r>
            <w:rPr>
              <w:rFonts w:hint="eastAsia" w:ascii="仿宋" w:hAnsi="仿宋" w:eastAsia="仿宋" w:cs="仿宋"/>
              <w:sz w:val="28"/>
              <w:szCs w:val="52"/>
            </w:rPr>
            <w:t xml:space="preserve">第一章</w:t>
          </w:r>
          <w:r>
            <w:rPr>
              <w:rFonts w:hint="eastAsia" w:ascii="仿宋" w:hAnsi="仿宋" w:eastAsia="仿宋" w:cs="仿宋"/>
              <w:sz w:val="28"/>
              <w:szCs w:val="52"/>
              <w:lang w:eastAsia="zh-CN"/>
            </w:rPr>
            <w:t xml:space="preserve">招标</w:t>
          </w:r>
          <w:r>
            <w:rPr>
              <w:rFonts w:hint="eastAsia" w:ascii="仿宋" w:hAnsi="仿宋" w:eastAsia="仿宋" w:cs="仿宋"/>
              <w:sz w:val="28"/>
              <w:szCs w:val="52"/>
            </w:rPr>
            <w:t xml:space="preserve">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_Toc22947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8"/>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_Toc2120 </w:instrText>
          </w:r>
          <w:r>
            <w:rPr>
              <w:rFonts w:hint="eastAsia" w:ascii="仿宋" w:hAnsi="仿宋" w:eastAsia="仿宋" w:cs="仿宋"/>
              <w:bCs w:val="0"/>
              <w:sz w:val="28"/>
              <w:szCs w:val="44"/>
            </w:rPr>
            <w:fldChar w:fldCharType="separate"/>
          </w:r>
          <w:r>
            <w:rPr>
              <w:rFonts w:hint="eastAsia" w:ascii="仿宋" w:hAnsi="仿宋" w:eastAsia="仿宋" w:cs="仿宋"/>
              <w:sz w:val="28"/>
              <w:szCs w:val="60"/>
            </w:rPr>
            <w:t xml:space="preserve">第二章供应商须知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10</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8"/>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_Toc12342 </w:instrText>
          </w:r>
          <w:r>
            <w:rPr>
              <w:rFonts w:hint="eastAsia" w:ascii="仿宋" w:hAnsi="仿宋" w:eastAsia="仿宋" w:cs="仿宋"/>
              <w:bCs w:val="0"/>
              <w:sz w:val="28"/>
              <w:szCs w:val="44"/>
            </w:rPr>
            <w:fldChar w:fldCharType="separate"/>
          </w:r>
          <w:r>
            <w:rPr>
              <w:rFonts w:hint="eastAsia" w:ascii="仿宋" w:hAnsi="仿宋" w:eastAsia="仿宋" w:cs="仿宋"/>
              <w:sz w:val="28"/>
              <w:szCs w:val="52"/>
              <w14:ligatures w14:val="none"/>
            </w:rPr>
            <w:t xml:space="preserve">第三章成交标准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_Toc12342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24</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8"/>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_Toc24709 </w:instrText>
          </w:r>
          <w:r>
            <w:rPr>
              <w:rFonts w:hint="eastAsia" w:ascii="仿宋" w:hAnsi="仿宋" w:eastAsia="仿宋" w:cs="仿宋"/>
              <w:bCs w:val="0"/>
              <w:sz w:val="28"/>
              <w:szCs w:val="44"/>
            </w:rPr>
            <w:fldChar w:fldCharType="separate"/>
          </w:r>
          <w:r>
            <w:rPr>
              <w:rFonts w:hint="eastAsia" w:ascii="仿宋" w:hAnsi="仿宋" w:eastAsia="仿宋" w:cs="仿宋"/>
              <w:sz w:val="28"/>
              <w:szCs w:val="52"/>
            </w:rPr>
            <w:t xml:space="preserve">第四章采购项目的服务要求和数量等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_Toc24709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8"/>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_Toc19519 </w:instrText>
          </w:r>
          <w:r>
            <w:rPr>
              <w:rFonts w:hint="eastAsia" w:ascii="仿宋" w:hAnsi="仿宋" w:eastAsia="仿宋" w:cs="仿宋"/>
              <w:bCs w:val="0"/>
              <w:sz w:val="28"/>
              <w:szCs w:val="44"/>
            </w:rPr>
            <w:fldChar w:fldCharType="separate"/>
          </w:r>
          <w:r>
            <w:rPr>
              <w:rFonts w:hint="eastAsia" w:ascii="仿宋" w:hAnsi="仿宋" w:eastAsia="仿宋" w:cs="仿宋"/>
              <w:sz w:val="28"/>
              <w:szCs w:val="60"/>
            </w:rPr>
            <w:t xml:space="preserve">第五章合同草案条款</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_Toc19519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72</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8"/>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_Toc29775 </w:instrText>
          </w:r>
          <w:r>
            <w:rPr>
              <w:rFonts w:hint="eastAsia" w:ascii="仿宋" w:hAnsi="仿宋" w:eastAsia="仿宋" w:cs="仿宋"/>
              <w:bCs w:val="0"/>
              <w:sz w:val="28"/>
              <w:szCs w:val="44"/>
            </w:rPr>
            <w:fldChar w:fldCharType="separate"/>
          </w:r>
          <w:r>
            <w:rPr>
              <w:rFonts w:hint="eastAsia" w:ascii="仿宋" w:hAnsi="仿宋" w:eastAsia="仿宋" w:cs="仿宋"/>
              <w:sz w:val="28"/>
              <w:szCs w:val="60"/>
            </w:rPr>
            <w:t xml:space="preserve">第六章附件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_Toc29775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77</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ind w:left="0" w:firstLine="640"/>
            <w:jc w:val="left"/>
            <w:keepLines w:val="0"/>
            <w:pageBreakBefore w:val="0"/>
            <w:spacing w:line="520" w:lineRule="exact"/>
            <w:rPr>
              <w:rFonts w:hint="eastAsia" w:ascii="仿宋" w:hAnsi="仿宋" w:eastAsia="仿宋" w:cs="仿宋"/>
              <w:bCs/>
              <w:color w:val="000000" w:themeColor="text1"/>
              <w:sz w:val="21"/>
              <w:szCs w:val="36"/>
              <w14:textFill>
                <w14:solidFill>
                  <w14:schemeClr w14:val="tx1"/>
                </w14:solidFill>
              </w14:textFill>
              <w14:ligatures w14:val="standardContextual"/>
            </w:rPr>
          </w:pPr>
          <w:r>
            <w:rPr>
              <w:rFonts w:hint="eastAsia" w:ascii="仿宋" w:hAnsi="仿宋" w:eastAsia="仿宋" w:cs="仿宋"/>
              <w:bCs w:val="0"/>
              <w:color w:val="000000" w:themeColor="text1"/>
              <w:sz w:val="32"/>
              <w:szCs w:val="44"/>
              <w14:textFill>
                <w14:solidFill>
                  <w14:schemeClr w14:val="tx1"/>
                </w14:solidFill>
              </w14:textFill>
            </w:rPr>
            <w:fldChar w:fldCharType="end"/>
          </w:r>
          <w:r/>
        </w:p>
      </w:sdtContent>
    </w:sdt>
    <w:p>
      <w:pPr>
        <w:pStyle w:val="678"/>
        <w:ind w:left="0" w:firstLine="723"/>
        <w:jc w:val="center"/>
        <w:keepLines w:val="0"/>
        <w:pageBreakBefore w:val="0"/>
        <w:spacing w:line="520" w:lineRule="exact"/>
        <w:rPr>
          <w:rStyle w:val="1229"/>
          <w:rFonts w:hint="eastAsia" w:ascii="仿宋" w:hAnsi="仿宋" w:eastAsia="仿宋" w:cs="仿宋"/>
          <w:color w:val="000000" w:themeColor="text1"/>
          <w:sz w:val="36"/>
          <w:szCs w:val="36"/>
          <w14:textFill>
            <w14:solidFill>
              <w14:schemeClr w14:val="tx1"/>
            </w14:solidFill>
          </w14:textFill>
        </w:rPr>
      </w:pPr>
      <w:r/>
      <w:bookmarkStart w:id="0" w:name="_Toc176528937"/>
      <w:r/>
      <w:bookmarkStart w:id="1" w:name="_Toc176770986"/>
      <w:r/>
      <w:bookmarkStart w:id="2" w:name="_Toc105488533"/>
      <w:r/>
      <w:bookmarkStart w:id="3" w:name="_Toc178255252"/>
      <w:r/>
      <w:bookmarkStart w:id="4" w:name="_Toc22947"/>
      <w:r/>
      <w:bookmarkStart w:id="5" w:name="_Toc16161"/>
      <w:r>
        <w:rPr>
          <w:rStyle w:val="1229"/>
          <w:rFonts w:hint="eastAsia" w:ascii="仿宋" w:hAnsi="仿宋" w:eastAsia="仿宋" w:cs="仿宋"/>
          <w:color w:val="000000" w:themeColor="text1"/>
          <w:sz w:val="36"/>
          <w:szCs w:val="36"/>
          <w14:textFill>
            <w14:solidFill>
              <w14:schemeClr w14:val="tx1"/>
            </w14:solidFill>
          </w14:textFill>
        </w:rPr>
        <w:t xml:space="preserve">第一章</w:t>
      </w:r>
      <w:r>
        <w:rPr>
          <w:rStyle w:val="1229"/>
          <w:rFonts w:hint="eastAsia" w:ascii="仿宋" w:hAnsi="仿宋" w:eastAsia="仿宋" w:cs="仿宋"/>
          <w:color w:val="000000" w:themeColor="text1"/>
          <w:sz w:val="36"/>
          <w:szCs w:val="36"/>
          <w:lang w:eastAsia="zh-CN"/>
          <w14:textFill>
            <w14:solidFill>
              <w14:schemeClr w14:val="tx1"/>
            </w14:solidFill>
          </w14:textFill>
        </w:rPr>
        <w:t xml:space="preserve">招标</w:t>
      </w:r>
      <w:r>
        <w:rPr>
          <w:rStyle w:val="1229"/>
          <w:rFonts w:hint="eastAsia" w:ascii="仿宋" w:hAnsi="仿宋" w:eastAsia="仿宋" w:cs="仿宋"/>
          <w:color w:val="000000" w:themeColor="text1"/>
          <w:sz w:val="36"/>
          <w:szCs w:val="36"/>
          <w14:textFill>
            <w14:solidFill>
              <w14:schemeClr w14:val="tx1"/>
            </w14:solidFill>
          </w14:textFill>
        </w:rPr>
        <w:t xml:space="preserve">邀请</w:t>
      </w:r>
      <w:bookmarkEnd w:id="0"/>
      <w:r/>
      <w:bookmarkEnd w:id="1"/>
      <w:r/>
      <w:bookmarkEnd w:id="2"/>
      <w:r/>
      <w:bookmarkEnd w:id="3"/>
      <w:r/>
      <w:bookmarkEnd w:id="4"/>
      <w:r/>
      <w:bookmarkEnd w:id="5"/>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6" w:name="_Toc105488534"/>
      <w:r>
        <w:rPr>
          <w:rFonts w:hint="eastAsia" w:ascii="仿宋" w:hAnsi="仿宋" w:eastAsia="仿宋" w:cs="仿宋"/>
          <w:b/>
          <w:bCs/>
          <w:color w:val="000000" w:themeColor="text1"/>
          <w:sz w:val="24"/>
          <w:szCs w:val="24"/>
          <w14:textFill>
            <w14:solidFill>
              <w14:schemeClr w14:val="tx1"/>
            </w14:solidFill>
          </w14:textFill>
        </w:rPr>
        <w:t xml:space="preserve">项目概况</w:t>
      </w:r>
      <w:r/>
    </w:p>
    <w:p>
      <w:pPr>
        <w:ind w:left="0" w:firstLine="480"/>
        <w:jc w:val="left"/>
        <w:keepLines w:val="0"/>
        <w:pageBreakBefore w:val="0"/>
        <w:spacing w:line="520" w:lineRule="exact"/>
        <w:rPr>
          <w:rFonts w:hint="eastAsia" w:ascii="仿宋" w:hAnsi="仿宋" w:eastAsia="仿宋" w:cs="仿宋"/>
          <w:bCs/>
          <w:color w:val="000000" w:themeColor="text1"/>
          <w:sz w:val="24"/>
          <w:szCs w:val="24"/>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u w:val="single"/>
          <w:lang w:eastAsia="zh-CN"/>
          <w14:textFill>
            <w14:solidFill>
              <w14:schemeClr w14:val="tx1"/>
            </w14:solidFill>
          </w14:textFill>
        </w:rPr>
        <w:t xml:space="preserve">2026年度江宁区第十二届公益创投项目</w:t>
      </w:r>
      <w:r>
        <w:rPr>
          <w:rFonts w:hint="eastAsia" w:ascii="仿宋" w:hAnsi="仿宋" w:eastAsia="仿宋" w:cs="仿宋"/>
          <w:color w:val="000000" w:themeColor="text1"/>
          <w:sz w:val="24"/>
          <w:szCs w:val="24"/>
          <w14:textFill>
            <w14:solidFill>
              <w14:schemeClr w14:val="tx1"/>
            </w14:solidFill>
          </w14:textFill>
        </w:rPr>
        <w:t xml:space="preserve">的潜在供应商应在</w:t>
      </w:r>
      <w:r>
        <w:rPr>
          <w:rFonts w:hint="eastAsia" w:ascii="仿宋" w:hAnsi="仿宋" w:eastAsia="仿宋" w:cs="仿宋"/>
          <w:color w:val="000000" w:themeColor="text1"/>
          <w:sz w:val="24"/>
          <w:szCs w:val="24"/>
          <w:u w:val="single"/>
          <w14:textFill>
            <w14:solidFill>
              <w14:schemeClr w14:val="tx1"/>
            </w14:solidFill>
          </w14:textFill>
        </w:rPr>
        <w:t xml:space="preserve">江苏政府采购网“苏采云”系统自行下载</w:t>
      </w:r>
      <w:r>
        <w:rPr>
          <w:rFonts w:hint="eastAsia" w:ascii="仿宋" w:hAnsi="仿宋" w:eastAsia="仿宋" w:cs="仿宋"/>
          <w:color w:val="000000" w:themeColor="text1"/>
          <w:sz w:val="24"/>
          <w:szCs w:val="24"/>
          <w:lang w:eastAsia="zh-CN"/>
          <w14:textFill>
            <w14:solidFill>
              <w14:schemeClr w14:val="tx1"/>
            </w14:solidFill>
          </w14:textFill>
        </w:rPr>
        <w:t xml:space="preserve">公开招标</w:t>
      </w:r>
      <w:r>
        <w:rPr>
          <w:rFonts w:hint="eastAsia" w:ascii="仿宋" w:hAnsi="仿宋" w:eastAsia="仿宋" w:cs="仿宋"/>
          <w:color w:val="000000" w:themeColor="text1"/>
          <w:sz w:val="24"/>
          <w:szCs w:val="24"/>
          <w14:textFill>
            <w14:solidFill>
              <w14:schemeClr w14:val="tx1"/>
            </w14:solidFill>
          </w14:textFill>
        </w:rPr>
        <w:t xml:space="preserve">文件，并于</w:t>
      </w:r>
      <w:r>
        <w:rPr>
          <w:rFonts w:hint="eastAsia" w:ascii="仿宋" w:hAnsi="仿宋" w:eastAsia="仿宋" w:cs="仿宋"/>
          <w:bCs/>
          <w:color w:val="000000" w:themeColor="text1"/>
          <w:sz w:val="24"/>
          <w:szCs w:val="24"/>
          <w:u w:val="single"/>
          <w14:textFill>
            <w14:solidFill>
              <w14:schemeClr w14:val="tx1"/>
            </w14:solidFill>
          </w14:textFill>
        </w:rPr>
        <w:t xml:space="preserve">202</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s="仿宋"/>
          <w:bCs/>
          <w:color w:val="000000" w:themeColor="text1"/>
          <w:sz w:val="24"/>
          <w:szCs w:val="24"/>
          <w:u w:val="single"/>
          <w14:textFill>
            <w14:solidFill>
              <w14:schemeClr w14:val="tx1"/>
            </w14:solidFill>
          </w14:textFill>
        </w:rPr>
        <w:t xml:space="preserve">年0</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4</w:t>
      </w:r>
      <w:r>
        <w:rPr>
          <w:rFonts w:hint="eastAsia" w:ascii="仿宋" w:hAnsi="仿宋" w:eastAsia="仿宋" w:cs="仿宋"/>
          <w:bCs/>
          <w:color w:val="000000" w:themeColor="text1"/>
          <w:sz w:val="24"/>
          <w:szCs w:val="24"/>
          <w:u w:val="single"/>
          <w14:textFill>
            <w14:solidFill>
              <w14:schemeClr w14:val="tx1"/>
            </w14:solidFill>
          </w14:textFill>
        </w:rPr>
        <w:t xml:space="preserve">月</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27</w:t>
      </w:r>
      <w:r>
        <w:rPr>
          <w:rFonts w:hint="eastAsia" w:ascii="仿宋" w:hAnsi="仿宋" w:eastAsia="仿宋" w:cs="仿宋"/>
          <w:bCs/>
          <w:color w:val="000000" w:themeColor="text1"/>
          <w:sz w:val="24"/>
          <w:szCs w:val="24"/>
          <w:u w:val="single"/>
          <w14:textFill>
            <w14:solidFill>
              <w14:schemeClr w14:val="tx1"/>
            </w14:solidFill>
          </w14:textFill>
        </w:rPr>
        <w:t xml:space="preserve">日0</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8</w:t>
      </w:r>
      <w:r>
        <w:rPr>
          <w:rFonts w:hint="eastAsia" w:ascii="仿宋" w:hAnsi="仿宋" w:eastAsia="仿宋" w:cs="仿宋"/>
          <w:bCs/>
          <w:color w:val="000000" w:themeColor="text1"/>
          <w:sz w:val="24"/>
          <w:szCs w:val="24"/>
          <w:u w:val="single"/>
          <w14:textFill>
            <w14:solidFill>
              <w14:schemeClr w14:val="tx1"/>
            </w14:solidFill>
          </w14:textFill>
        </w:rPr>
        <w:t xml:space="preserve">点</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3</w:t>
      </w:r>
      <w:r>
        <w:rPr>
          <w:rFonts w:hint="eastAsia" w:ascii="仿宋" w:hAnsi="仿宋" w:eastAsia="仿宋" w:cs="仿宋"/>
          <w:bCs/>
          <w:color w:val="000000" w:themeColor="text1"/>
          <w:sz w:val="24"/>
          <w:szCs w:val="24"/>
          <w:u w:val="single"/>
          <w14:textFill>
            <w14:solidFill>
              <w14:schemeClr w14:val="tx1"/>
            </w14:solidFill>
          </w14:textFill>
        </w:rPr>
        <w:t xml:space="preserve">0分（北京时间）</w:t>
      </w:r>
      <w:r>
        <w:rPr>
          <w:rFonts w:hint="eastAsia" w:ascii="仿宋" w:hAnsi="仿宋" w:eastAsia="仿宋" w:cs="仿宋"/>
          <w:bCs/>
          <w:color w:val="000000" w:themeColor="text1"/>
          <w:sz w:val="24"/>
          <w:szCs w:val="24"/>
          <w14:textFill>
            <w14:solidFill>
              <w14:schemeClr w14:val="tx1"/>
            </w14:solidFill>
          </w14:textFill>
        </w:rPr>
        <w:t xml:space="preserve">前提交响应文件</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一、项目基本情况</w:t>
      </w:r>
      <w:r/>
    </w:p>
    <w:p>
      <w:pPr>
        <w:ind w:left="0" w:firstLine="482"/>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1、项目编号：</w:t>
      </w:r>
      <w:r>
        <w:rPr>
          <w:rFonts w:hint="eastAsia" w:ascii="仿宋" w:hAnsi="仿宋" w:eastAsia="仿宋" w:cs="仿宋"/>
          <w:b w:val="0"/>
          <w:bCs w:val="0"/>
          <w:color w:val="000000" w:themeColor="text1"/>
          <w:sz w:val="24"/>
          <w:szCs w:val="24"/>
          <w:lang w:eastAsia="zh-CN"/>
          <w14:textFill>
            <w14:solidFill>
              <w14:schemeClr w14:val="tx1"/>
            </w14:solidFill>
          </w14:textFill>
        </w:rPr>
        <w:t xml:space="preserve">JSZC-320115-ZJDL-G2026-0001</w:t>
      </w:r>
      <w:r/>
    </w:p>
    <w:p>
      <w:pPr>
        <w:ind w:left="0" w:firstLine="482"/>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2026年度江宁区第十二届公益创投项目</w:t>
      </w:r>
      <w:r/>
    </w:p>
    <w:p>
      <w:pPr>
        <w:ind w:left="0" w:firstLine="482"/>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3、采购方式：</w:t>
      </w:r>
      <w:r>
        <w:rPr>
          <w:rFonts w:hint="eastAsia" w:ascii="仿宋" w:hAnsi="仿宋" w:eastAsia="仿宋" w:cs="仿宋"/>
          <w:color w:val="000000" w:themeColor="text1"/>
          <w:sz w:val="24"/>
          <w:szCs w:val="24"/>
          <w:lang w:val="en-US" w:eastAsia="zh-CN"/>
          <w14:textFill>
            <w14:solidFill>
              <w14:schemeClr w14:val="tx1"/>
            </w14:solidFill>
          </w14:textFill>
        </w:rPr>
        <w:t xml:space="preserve">公开招标</w:t>
      </w:r>
      <w:r/>
    </w:p>
    <w:p>
      <w:pPr>
        <w:ind w:left="0" w:firstLine="482"/>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4、采购预算：</w:t>
      </w:r>
      <w:r>
        <w:rPr>
          <w:rFonts w:hint="eastAsia" w:ascii="仿宋" w:hAnsi="仿宋" w:eastAsia="仿宋" w:cs="仿宋"/>
          <w:color w:val="000000" w:themeColor="text1"/>
          <w:sz w:val="24"/>
          <w:szCs w:val="24"/>
          <w:lang w:val="en-US" w:eastAsia="zh-CN"/>
          <w14:textFill>
            <w14:solidFill>
              <w14:schemeClr w14:val="tx1"/>
            </w14:solidFill>
          </w14:textFill>
        </w:rPr>
        <w:t xml:space="preserve">350</w:t>
      </w:r>
      <w:r>
        <w:rPr>
          <w:rFonts w:hint="eastAsia" w:ascii="仿宋" w:hAnsi="仿宋" w:eastAsia="仿宋" w:cs="仿宋"/>
          <w:color w:val="000000" w:themeColor="text1"/>
          <w:sz w:val="24"/>
          <w:szCs w:val="24"/>
          <w14:textFill>
            <w14:solidFill>
              <w14:schemeClr w14:val="tx1"/>
            </w14:solidFill>
          </w14:textFill>
        </w:rPr>
        <w:t xml:space="preserve">万元（报价超过预算金额的按无效响应处理。如有自筹资金的请备注说明，因没有备注自筹资金超过项目预算而造成无效响应处理的，其后果由供应商自行承担。）</w:t>
      </w:r>
      <w:r/>
    </w:p>
    <w:p>
      <w:pPr>
        <w:ind w:left="0" w:firstLine="482"/>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5、采购需求</w:t>
      </w:r>
      <w:r>
        <w:rPr>
          <w:rFonts w:hint="eastAsia" w:ascii="仿宋" w:hAnsi="仿宋" w:eastAsia="仿宋" w:cs="仿宋"/>
          <w:color w:val="000000" w:themeColor="text1"/>
          <w:sz w:val="24"/>
          <w:szCs w:val="24"/>
          <w14:textFill>
            <w14:solidFill>
              <w14:schemeClr w14:val="tx1"/>
            </w14:solidFill>
          </w14:textFill>
        </w:rPr>
        <w:t xml:space="preserve">：本次项目计划分为</w:t>
      </w:r>
      <w:r>
        <w:rPr>
          <w:rFonts w:hint="eastAsia" w:ascii="仿宋" w:hAnsi="仿宋" w:eastAsia="仿宋" w:cs="仿宋"/>
          <w:color w:val="000000" w:themeColor="text1"/>
          <w:sz w:val="24"/>
          <w:szCs w:val="24"/>
          <w:lang w:val="en-US" w:eastAsia="zh-CN"/>
          <w14:textFill>
            <w14:solidFill>
              <w14:schemeClr w14:val="tx1"/>
            </w14:solidFill>
          </w14:textFill>
        </w:rPr>
        <w:t xml:space="preserve">70</w:t>
      </w:r>
      <w:r>
        <w:rPr>
          <w:rFonts w:hint="eastAsia" w:ascii="仿宋" w:hAnsi="仿宋" w:eastAsia="仿宋" w:cs="仿宋"/>
          <w:color w:val="000000" w:themeColor="text1"/>
          <w:sz w:val="24"/>
          <w:szCs w:val="24"/>
          <w14:textFill>
            <w14:solidFill>
              <w14:schemeClr w14:val="tx1"/>
            </w14:solidFill>
          </w14:textFill>
        </w:rPr>
        <w:t xml:space="preserve">个分包，同一法人名下的社会组织最多可兼投其中5个分包，最多兼中其中2个分包，请各位潜在供应商自行考虑，具体要求详见</w:t>
      </w:r>
      <w:r>
        <w:rPr>
          <w:rFonts w:hint="eastAsia" w:ascii="仿宋" w:hAnsi="仿宋" w:eastAsia="仿宋" w:cs="仿宋"/>
          <w:color w:val="000000" w:themeColor="text1"/>
          <w:sz w:val="24"/>
          <w:szCs w:val="24"/>
          <w:lang w:eastAsia="zh-CN"/>
          <w14:textFill>
            <w14:solidFill>
              <w14:schemeClr w14:val="tx1"/>
            </w14:solidFill>
          </w14:textFill>
        </w:rPr>
        <w:t xml:space="preserve">公开招标</w:t>
      </w:r>
      <w:r>
        <w:rPr>
          <w:rFonts w:hint="eastAsia" w:ascii="仿宋" w:hAnsi="仿宋" w:eastAsia="仿宋" w:cs="仿宋"/>
          <w:color w:val="000000" w:themeColor="text1"/>
          <w:sz w:val="24"/>
          <w:szCs w:val="24"/>
          <w14:textFill>
            <w14:solidFill>
              <w14:schemeClr w14:val="tx1"/>
            </w14:solidFill>
          </w14:textFill>
        </w:rPr>
        <w:t xml:space="preserve">文件。</w:t>
      </w:r>
      <w:r/>
    </w:p>
    <w:tbl>
      <w:tblPr>
        <w:tblStyle w:val="688"/>
        <w:tblW w:w="91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3"/>
        <w:gridCol w:w="1397"/>
        <w:gridCol w:w="3497"/>
        <w:gridCol w:w="2081"/>
        <w:gridCol w:w="1078"/>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落地街道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实施区域</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需求类别</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项目金额（万元）</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江宁街道牌坊社区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江宁街道盛江社区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江宁街道陆郎社区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江宁街道铜井社区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东山街道远泰路社区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东山街道晓里社区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东山街道北沿路社区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禄口街道彭福村社区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禄口街道机场社区茅亭社区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禄口街道钟村社区高伏社区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禄口街道秦村社区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谷里街道新苑社区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谷里街道公塘社区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谷里街道向阳社区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谷里街道双塘村社区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淳化街道青山社区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淳化街道青龙社区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淳化街道周郎社区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淳化街道方山社区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淳化街道淳化社区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淳化街道玉树路社区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秣陵街道殷巷社区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秣陵街道元山社区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秣陵街道殷巷社区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湖熟街道三界社区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湖熟街道万安社区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湖熟街道晶明社区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湖熟街道湖熟社区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汤山街道阜庄社区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汤山街道路西社区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汤山街道汤山社区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汤山街道高庄社区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汤山街道青林社区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麒麟街道东流社区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麒麟街道麒麟门社区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麒麟街道麒麟司法所</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bl>
    <w:p>
      <w:pPr>
        <w:ind w:left="0" w:firstLine="482"/>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6、合同履行期限：</w:t>
      </w:r>
      <w:r>
        <w:rPr>
          <w:rFonts w:hint="eastAsia" w:ascii="仿宋" w:hAnsi="仿宋" w:eastAsia="仿宋" w:cs="仿宋"/>
          <w:color w:val="000000" w:themeColor="text1"/>
          <w:sz w:val="24"/>
          <w:szCs w:val="24"/>
          <w14:textFill>
            <w14:solidFill>
              <w14:schemeClr w14:val="tx1"/>
            </w14:solidFill>
          </w14:textFill>
        </w:rPr>
        <w:t xml:space="preserve">自合同签订之日起</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个月。</w:t>
      </w:r>
      <w:r/>
    </w:p>
    <w:p>
      <w:pPr>
        <w:ind w:left="0" w:firstLine="482"/>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7、本项目是否属</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于专门面向</w:t>
      </w:r>
      <w:r>
        <w:rPr>
          <w:rFonts w:hint="eastAsia" w:ascii="仿宋" w:hAnsi="仿宋" w:eastAsia="仿宋" w:cs="仿宋"/>
          <w:b/>
          <w:bCs/>
          <w:color w:val="000000" w:themeColor="text1"/>
          <w:sz w:val="24"/>
          <w:szCs w:val="24"/>
          <w14:textFill>
            <w14:solidFill>
              <w14:schemeClr w14:val="tx1"/>
            </w14:solidFill>
          </w14:textFill>
        </w:rPr>
        <w:t xml:space="preserve">民政部</w:t>
      </w:r>
      <w:r>
        <w:rPr>
          <w:rFonts w:hint="eastAsia" w:ascii="仿宋" w:hAnsi="仿宋" w:eastAsia="仿宋" w:cs="仿宋"/>
          <w:b/>
          <w:bCs/>
          <w:color w:val="000000" w:themeColor="text1"/>
          <w:sz w:val="24"/>
          <w:szCs w:val="24"/>
          <w14:textFill>
            <w14:solidFill>
              <w14:schemeClr w14:val="tx1"/>
            </w14:solidFill>
          </w14:textFill>
        </w:rPr>
        <w:t xml:space="preserve">门</w:t>
      </w:r>
      <w:r>
        <w:rPr>
          <w:rFonts w:hint="eastAsia" w:ascii="仿宋" w:hAnsi="仿宋" w:eastAsia="仿宋" w:cs="仿宋"/>
          <w:b/>
          <w:bCs/>
          <w:color w:val="000000" w:themeColor="text1"/>
          <w:sz w:val="24"/>
          <w:szCs w:val="24"/>
          <w14:textFill>
            <w14:solidFill>
              <w14:schemeClr w14:val="tx1"/>
            </w14:solidFill>
          </w14:textFill>
        </w:rPr>
        <w:t xml:space="preserve">登记的社会组织：</w:t>
      </w:r>
      <w:r>
        <w:rPr>
          <w:rFonts w:hint="eastAsia" w:ascii="仿宋" w:hAnsi="仿宋" w:eastAsia="仿宋" w:cs="仿宋"/>
          <w:color w:val="000000" w:themeColor="text1"/>
          <w:sz w:val="24"/>
          <w:szCs w:val="24"/>
          <w:lang w:val="en-US" w:eastAsia="zh-CN"/>
          <w14:textFill>
            <w14:solidFill>
              <w14:schemeClr w14:val="tx1"/>
            </w14:solidFill>
          </w14:textFill>
        </w:rPr>
        <w:t xml:space="preserve">是</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8、本项目不接受联合体投标。</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二、申请人资格条件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1.满足《中华人民共和国政府采购法》第二十二条规定，并提供下列材料：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 法人或者其他组织的营业执照等证明文件，自然人的身份证明；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1.2上一年度的财务状况报告（成立不满一年无需提供）；</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1.4具备履行合同所必需的设备和专业技术能力的书面声明；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1.5参加政府采购活动前3年内在经营活动中没有重大违法记录的书面声明。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3.落实政府采购政策需满足的资格要求：</w:t>
      </w:r>
      <w:r>
        <w:rPr>
          <w:rFonts w:hint="eastAsia" w:ascii="仿宋" w:hAnsi="仿宋" w:eastAsia="仿宋" w:cs="仿宋"/>
          <w:color w:val="000000" w:themeColor="text1"/>
          <w:sz w:val="24"/>
          <w:szCs w:val="24"/>
          <w:lang w:val="en-US" w:eastAsia="zh-CN"/>
          <w14:textFill>
            <w14:solidFill>
              <w14:schemeClr w14:val="tx1"/>
            </w14:solidFill>
          </w14:textFill>
        </w:rPr>
        <w:t xml:space="preserve">无</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3、采购人根据采购项目的特殊要求规定的特定条件：</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（1）申报要求：</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1.在本市各级民政部门登记注册满1年，党建工作有效开展、法人治理结构健全、规章制度完备；</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2.有稳定的专职工作人员和固定的办公场所；</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3.执行《民间非营利组织会计制度》，依法纳税缴金；</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4.近2年年检合格，无重大违法违规记录；</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5.申报项目内容符合章程业务范围；</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6.非营利性定位明确，财产使用符合相关规定；</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7.符合法律、法规规定的其它条件。</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yellow"/>
          <w:lang w:val="en-US" w:eastAsia="zh-CN"/>
          <w14:textFill>
            <w14:solidFill>
              <w14:schemeClr w14:val="tx1"/>
            </w14:solidFill>
          </w14:textFill>
        </w:rPr>
        <w:t xml:space="preserve">2</w:t>
      </w: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）社会组织承接项目具有以下要求：</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1.同一社会组织在同一年度中，承接的区级公益创投项目数量累计不超过2个；</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2.成立不满2年的社会组织，承接的区级公益创投项目数量累计不超过1个；</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yellow"/>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）社会组织具有以下情形的，不得申报：</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1.上年度公益创投项目终止实施，或结项评估结果为不合格的社会组织；</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2.政府部门或其他社会力量已针对同类服务对象提供相同服务、安排专项资金或购买服务资金的，不予重复资助；</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3.存在项目资金使用不规范、违规转包分包等不良记录的社会组织。</w:t>
      </w:r>
      <w:r/>
    </w:p>
    <w:p>
      <w:pPr>
        <w:ind w:left="0" w:firstLine="480"/>
        <w:jc w:val="left"/>
        <w:keepLines w:val="0"/>
        <w:pageBreakBefore w:val="0"/>
        <w:spacing w:line="520" w:lineRule="exact"/>
        <w:rPr>
          <w:rFonts w:hint="eastAsia" w:ascii="仿宋" w:hAnsi="仿宋" w:eastAsia="仿宋" w:cs="仿宋"/>
          <w:b w:val="0"/>
          <w:bCs w:val="0"/>
          <w:color w:val="000000" w:themeColor="text1"/>
          <w:sz w:val="24"/>
          <w:szCs w:val="24"/>
          <w:highlight w:val="yellow"/>
          <w14:textFill>
            <w14:solidFill>
              <w14:schemeClr w14:val="tx1"/>
            </w14:solidFill>
          </w14:textFill>
        </w:rPr>
      </w:pPr>
      <w:r>
        <w:rPr>
          <w:rFonts w:hint="eastAsia" w:ascii="仿宋" w:hAnsi="仿宋" w:eastAsia="仿宋" w:cs="仿宋"/>
          <w:b w:val="0"/>
          <w:bCs w:val="0"/>
          <w:color w:val="000000" w:themeColor="text1"/>
          <w:sz w:val="24"/>
          <w:szCs w:val="24"/>
          <w:highlight w:val="yellow"/>
          <w14:textFill>
            <w14:solidFill>
              <w14:schemeClr w14:val="tx1"/>
            </w14:solidFill>
          </w14:textFill>
        </w:rPr>
        <w:t xml:space="preserve">注：供应商所提供的材料需反映成立时间，如中途换证的需提供换证说明，中途变更法人或组织名称的需提供变更登记决定书；此处所指社工，是指从事社会工作的专职员工，需提供该人员参与本次采购前三个月内的社保缴纳证明以及劳动合同。如委托第三方缴纳社保的社会组织，需提供其与第三方签订的委托协议。如有退休人员返聘需提供劳动合同和身份证。（以上材料均须提供相应复印件并加盖公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4、第1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条所称的重大违法记录是指供应商因违法经营受到刑事处罚或者责令停产停业、吊销许可证或者执照、较大数额罚款等行政处罚。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5、供应商在参加政府采购活动前3年内因违法经营被禁止在一定期限内参加政府采购活动，期限届满的，可以参加政府采购活动。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三、获取采购文件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7" w:name="_Toc3840"/>
      <w:r/>
      <w:bookmarkStart w:id="8" w:name="_Toc26958"/>
      <w:r>
        <w:rPr>
          <w:rFonts w:hint="eastAsia" w:ascii="仿宋" w:hAnsi="仿宋" w:eastAsia="仿宋" w:cs="仿宋"/>
          <w:color w:val="000000" w:themeColor="text1"/>
          <w:sz w:val="24"/>
          <w:szCs w:val="24"/>
          <w14:textFill>
            <w14:solidFill>
              <w14:schemeClr w14:val="tx1"/>
            </w14:solidFill>
          </w14:textFill>
        </w:rPr>
        <w:t xml:space="preserve">1、获取时间：202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年0</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08</w:t>
      </w:r>
      <w:r>
        <w:rPr>
          <w:rFonts w:hint="eastAsia" w:ascii="仿宋" w:hAnsi="仿宋" w:eastAsia="仿宋" w:cs="仿宋"/>
          <w:color w:val="000000" w:themeColor="text1"/>
          <w:sz w:val="24"/>
          <w:szCs w:val="24"/>
          <w14:textFill>
            <w14:solidFill>
              <w14:schemeClr w14:val="tx1"/>
            </w14:solidFill>
          </w14:textFill>
        </w:rPr>
        <w:t xml:space="preserve">日至202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年0</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14</w:t>
      </w:r>
      <w:r>
        <w:rPr>
          <w:rFonts w:hint="eastAsia" w:ascii="仿宋" w:hAnsi="仿宋" w:eastAsia="仿宋" w:cs="仿宋"/>
          <w:color w:val="000000" w:themeColor="text1"/>
          <w:sz w:val="24"/>
          <w:szCs w:val="24"/>
          <w14:textFill>
            <w14:solidFill>
              <w14:schemeClr w14:val="tx1"/>
            </w14:solidFill>
          </w14:textFill>
        </w:rPr>
        <w:t xml:space="preserve">日，每天上午00:00-12:00，下午12:00-23:59（北京时间，法定节假日除外）。</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2、获取地点：在“江苏政府采购网”自行下载</w:t>
      </w:r>
      <w:r>
        <w:rPr>
          <w:rFonts w:hint="eastAsia" w:ascii="仿宋" w:hAnsi="仿宋" w:eastAsia="仿宋" w:cs="仿宋"/>
          <w:color w:val="000000" w:themeColor="text1"/>
          <w:sz w:val="24"/>
          <w:szCs w:val="24"/>
          <w:lang w:eastAsia="zh-CN"/>
          <w14:textFill>
            <w14:solidFill>
              <w14:schemeClr w14:val="tx1"/>
            </w14:solidFill>
          </w14:textFill>
        </w:rPr>
        <w:t xml:space="preserve">公开招标</w:t>
      </w:r>
      <w:r>
        <w:rPr>
          <w:rFonts w:hint="eastAsia" w:ascii="仿宋" w:hAnsi="仿宋" w:eastAsia="仿宋" w:cs="仿宋"/>
          <w:color w:val="000000" w:themeColor="text1"/>
          <w:sz w:val="24"/>
          <w:szCs w:val="24"/>
          <w14:textFill>
            <w14:solidFill>
              <w14:schemeClr w14:val="tx1"/>
            </w14:solidFill>
          </w14:textFill>
        </w:rPr>
        <w:t xml:space="preserve">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rPr>
          <w:rFonts w:hint="eastAsia" w:ascii="仿宋" w:hAnsi="仿宋" w:eastAsia="仿宋" w:cs="仿宋"/>
          <w:bCs/>
          <w:color w:val="000000" w:themeColor="text1"/>
          <w:sz w:val="24"/>
          <w:szCs w:val="24"/>
          <w14:textFill>
            <w14:solidFill>
              <w14:schemeClr w14:val="tx1"/>
            </w14:solidFill>
          </w14:textFill>
        </w:rPr>
        <w:t xml:space="preserve">售价：0.00元。</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5、现场集中答疑：</w:t>
      </w:r>
      <w:r>
        <w:rPr>
          <w:rFonts w:hint="eastAsia" w:ascii="仿宋" w:hAnsi="仿宋" w:eastAsia="仿宋" w:cs="仿宋"/>
          <w:bCs/>
          <w:color w:val="000000" w:themeColor="text1"/>
          <w:sz w:val="24"/>
          <w:szCs w:val="24"/>
          <w:lang w:val="en-US" w:eastAsia="zh-CN"/>
          <w14:textFill>
            <w14:solidFill>
              <w14:schemeClr w14:val="tx1"/>
            </w14:solidFill>
          </w14:textFill>
        </w:rPr>
        <w:t xml:space="preserve">本项目</w:t>
      </w:r>
      <w:r>
        <w:rPr>
          <w:rFonts w:hint="eastAsia" w:ascii="仿宋" w:hAnsi="仿宋" w:eastAsia="仿宋" w:cs="仿宋"/>
          <w:bCs/>
          <w:color w:val="000000" w:themeColor="text1"/>
          <w:sz w:val="24"/>
          <w:szCs w:val="24"/>
          <w14:textFill>
            <w14:solidFill>
              <w14:schemeClr w14:val="tx1"/>
            </w14:solidFill>
          </w14:textFill>
        </w:rPr>
        <w:t xml:space="preserve">采购人不组织</w:t>
      </w:r>
      <w:r>
        <w:rPr>
          <w:rFonts w:hint="eastAsia" w:ascii="仿宋" w:hAnsi="仿宋" w:eastAsia="仿宋" w:cs="仿宋"/>
          <w:bCs/>
          <w:color w:val="000000" w:themeColor="text1"/>
          <w:sz w:val="24"/>
          <w:szCs w:val="24"/>
          <w:lang w:val="en-US" w:eastAsia="zh-CN"/>
          <w14:textFill>
            <w14:solidFill>
              <w14:schemeClr w14:val="tx1"/>
            </w14:solidFill>
          </w14:textFill>
        </w:rPr>
        <w:t xml:space="preserve">集中考察或答疑。</w:t>
      </w:r>
      <w:bookmarkEnd w:id="7"/>
      <w:r/>
      <w:bookmarkEnd w:id="8"/>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四、提交响应文件截止时间、开标时间和地点</w:t>
      </w:r>
      <w:r/>
    </w:p>
    <w:p>
      <w:pPr>
        <w:ind w:left="0" w:firstLine="480"/>
        <w:jc w:val="left"/>
        <w:keepLines w:val="0"/>
        <w:pageBreakBefore w:val="0"/>
        <w:spacing w:line="520" w:lineRule="exac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响应文件提交截止时间：</w:t>
      </w:r>
      <w:r>
        <w:rPr>
          <w:rFonts w:hint="eastAsia" w:ascii="仿宋" w:hAnsi="仿宋" w:eastAsia="仿宋" w:cs="仿宋"/>
          <w:color w:val="000000" w:themeColor="text1"/>
          <w:sz w:val="24"/>
          <w:szCs w:val="24"/>
          <w:highlight w:val="yellow"/>
          <w14:textFill>
            <w14:solidFill>
              <w14:schemeClr w14:val="tx1"/>
            </w14:solidFill>
          </w14:textFill>
        </w:rPr>
        <w:t xml:space="preserve">202</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yellow"/>
          <w14:textFill>
            <w14:solidFill>
              <w14:schemeClr w14:val="tx1"/>
            </w14:solidFill>
          </w14:textFill>
        </w:rPr>
        <w:t xml:space="preserve">年0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yellow"/>
          <w14:textFill>
            <w14:solidFill>
              <w14:schemeClr w14:val="tx1"/>
            </w14:solidFill>
          </w14:textFill>
        </w:rPr>
        <w:t xml:space="preserve">月</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27</w:t>
      </w:r>
      <w:r>
        <w:rPr>
          <w:rFonts w:hint="eastAsia" w:ascii="仿宋" w:hAnsi="仿宋" w:eastAsia="仿宋" w:cs="仿宋"/>
          <w:color w:val="000000" w:themeColor="text1"/>
          <w:sz w:val="24"/>
          <w:szCs w:val="24"/>
          <w:highlight w:val="yellow"/>
          <w14:textFill>
            <w14:solidFill>
              <w14:schemeClr w14:val="tx1"/>
            </w14:solidFill>
          </w14:textFill>
        </w:rPr>
        <w:t xml:space="preserve">日0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yellow"/>
          <w14:textFill>
            <w14:solidFill>
              <w14:schemeClr w14:val="tx1"/>
            </w14:solidFill>
          </w14:textFill>
        </w:rPr>
        <w:t xml:space="preserve">点</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yellow"/>
          <w14:textFill>
            <w14:solidFill>
              <w14:schemeClr w14:val="tx1"/>
            </w14:solidFill>
          </w14:textFill>
        </w:rPr>
        <w:t xml:space="preserve">0分（北京时间）；</w:t>
      </w:r>
      <w:r/>
    </w:p>
    <w:p>
      <w:pPr>
        <w:ind w:left="0" w:firstLine="480"/>
        <w:jc w:val="left"/>
        <w:keepLines w:val="0"/>
        <w:pageBreakBefore w:val="0"/>
        <w:spacing w:line="520" w:lineRule="exact"/>
        <w:rPr>
          <w:rFonts w:hint="default" w:ascii="仿宋" w:hAnsi="仿宋" w:eastAsia="仿宋" w:cs="仿宋"/>
          <w:color w:val="000000" w:themeColor="text1"/>
          <w:sz w:val="24"/>
          <w:szCs w:val="24"/>
          <w:highlight w:val="yellow"/>
          <w:lang w:val="en-US"/>
          <w14:textFill>
            <w14:solidFill>
              <w14:schemeClr w14:val="tx1"/>
            </w14:solidFill>
          </w14:textFill>
        </w:rPr>
      </w:pP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响应文件解密时间：</w:t>
      </w:r>
      <w:r>
        <w:rPr>
          <w:rFonts w:hint="eastAsia" w:ascii="仿宋" w:hAnsi="仿宋" w:eastAsia="仿宋" w:cs="仿宋"/>
          <w:color w:val="000000" w:themeColor="text1"/>
          <w:sz w:val="24"/>
          <w:szCs w:val="24"/>
          <w:highlight w:val="yellow"/>
          <w14:textFill>
            <w14:solidFill>
              <w14:schemeClr w14:val="tx1"/>
            </w14:solidFill>
          </w14:textFill>
        </w:rPr>
        <w:t xml:space="preserve">202</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yellow"/>
          <w14:textFill>
            <w14:solidFill>
              <w14:schemeClr w14:val="tx1"/>
            </w14:solidFill>
          </w14:textFill>
        </w:rPr>
        <w:t xml:space="preserve">年0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yellow"/>
          <w14:textFill>
            <w14:solidFill>
              <w14:schemeClr w14:val="tx1"/>
            </w14:solidFill>
          </w14:textFill>
        </w:rPr>
        <w:t xml:space="preserve">月</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27</w:t>
      </w:r>
      <w:r>
        <w:rPr>
          <w:rFonts w:hint="eastAsia" w:ascii="仿宋" w:hAnsi="仿宋" w:eastAsia="仿宋" w:cs="仿宋"/>
          <w:color w:val="000000" w:themeColor="text1"/>
          <w:sz w:val="24"/>
          <w:szCs w:val="24"/>
          <w:highlight w:val="yellow"/>
          <w14:textFill>
            <w14:solidFill>
              <w14:schemeClr w14:val="tx1"/>
            </w14:solidFill>
          </w14:textFill>
        </w:rPr>
        <w:t xml:space="preserve">日0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yellow"/>
          <w14:textFill>
            <w14:solidFill>
              <w14:schemeClr w14:val="tx1"/>
            </w14:solidFill>
          </w14:textFill>
        </w:rPr>
        <w:t xml:space="preserve">点</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yellow"/>
          <w14:textFill>
            <w14:solidFill>
              <w14:schemeClr w14:val="tx1"/>
            </w14:solidFill>
          </w14:textFill>
        </w:rPr>
        <w:t xml:space="preserve">0分（北京时间）；</w:t>
      </w:r>
      <w:r/>
    </w:p>
    <w:p>
      <w:pPr>
        <w:ind w:left="0" w:firstLine="480"/>
        <w:jc w:val="left"/>
        <w:keepLines w:val="0"/>
        <w:pageBreakBefore w:val="0"/>
        <w:spacing w:line="520" w:lineRule="exac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评审</w:t>
      </w:r>
      <w:r>
        <w:rPr>
          <w:rFonts w:hint="eastAsia" w:ascii="仿宋" w:hAnsi="仿宋" w:eastAsia="仿宋" w:cs="仿宋"/>
          <w:color w:val="000000" w:themeColor="text1"/>
          <w:sz w:val="24"/>
          <w:szCs w:val="24"/>
          <w:highlight w:val="yellow"/>
          <w14:textFill>
            <w14:solidFill>
              <w14:schemeClr w14:val="tx1"/>
            </w14:solidFill>
          </w14:textFill>
        </w:rPr>
        <w:t xml:space="preserve">时间：</w:t>
      </w:r>
      <w:r>
        <w:rPr>
          <w:rFonts w:hint="eastAsia" w:ascii="仿宋" w:hAnsi="仿宋" w:eastAsia="仿宋" w:cs="仿宋"/>
          <w:color w:val="000000" w:themeColor="text1"/>
          <w:sz w:val="24"/>
          <w:szCs w:val="24"/>
          <w:highlight w:val="yellow"/>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分包1-分包23）</w:t>
      </w:r>
      <w:r>
        <w:rPr>
          <w:rFonts w:hint="eastAsia" w:ascii="仿宋" w:hAnsi="仿宋" w:eastAsia="仿宋" w:cs="仿宋"/>
          <w:color w:val="000000" w:themeColor="text1"/>
          <w:sz w:val="24"/>
          <w:szCs w:val="24"/>
          <w:highlight w:val="yellow"/>
          <w14:textFill>
            <w14:solidFill>
              <w14:schemeClr w14:val="tx1"/>
            </w14:solidFill>
          </w14:textFill>
        </w:rPr>
        <w:t xml:space="preserve">202</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yellow"/>
          <w14:textFill>
            <w14:solidFill>
              <w14:schemeClr w14:val="tx1"/>
            </w14:solidFill>
          </w14:textFill>
        </w:rPr>
        <w:t xml:space="preserve">年0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yellow"/>
          <w14:textFill>
            <w14:solidFill>
              <w14:schemeClr w14:val="tx1"/>
            </w14:solidFill>
          </w14:textFill>
        </w:rPr>
        <w:t xml:space="preserve">月</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27</w:t>
      </w:r>
      <w:r>
        <w:rPr>
          <w:rFonts w:hint="eastAsia" w:ascii="仿宋" w:hAnsi="仿宋" w:eastAsia="仿宋" w:cs="仿宋"/>
          <w:color w:val="000000" w:themeColor="text1"/>
          <w:sz w:val="24"/>
          <w:szCs w:val="24"/>
          <w:highlight w:val="yellow"/>
          <w14:textFill>
            <w14:solidFill>
              <w14:schemeClr w14:val="tx1"/>
            </w14:solidFill>
          </w14:textFill>
        </w:rPr>
        <w:t xml:space="preserve">日0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yellow"/>
          <w14:textFill>
            <w14:solidFill>
              <w14:schemeClr w14:val="tx1"/>
            </w14:solidFill>
          </w14:textFill>
        </w:rPr>
        <w:t xml:space="preserve">点</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yellow"/>
          <w14:textFill>
            <w14:solidFill>
              <w14:schemeClr w14:val="tx1"/>
            </w14:solidFill>
          </w14:textFill>
        </w:rPr>
        <w:t xml:space="preserve">0分（北京时间）；</w:t>
      </w:r>
      <w:r/>
    </w:p>
    <w:p>
      <w:pPr>
        <w:ind w:left="0" w:firstLine="480"/>
        <w:jc w:val="left"/>
        <w:keepLines w:val="0"/>
        <w:pageBreakBefore w:val="0"/>
        <w:spacing w:line="520" w:lineRule="exac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highlight w:val="yellow"/>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分包24-分包47）</w:t>
      </w:r>
      <w:r>
        <w:rPr>
          <w:rFonts w:hint="eastAsia" w:ascii="仿宋" w:hAnsi="仿宋" w:eastAsia="仿宋" w:cs="仿宋"/>
          <w:color w:val="000000" w:themeColor="text1"/>
          <w:sz w:val="24"/>
          <w:szCs w:val="24"/>
          <w:highlight w:val="yellow"/>
          <w14:textFill>
            <w14:solidFill>
              <w14:schemeClr w14:val="tx1"/>
            </w14:solidFill>
          </w14:textFill>
        </w:rPr>
        <w:t xml:space="preserve">202</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yellow"/>
          <w14:textFill>
            <w14:solidFill>
              <w14:schemeClr w14:val="tx1"/>
            </w14:solidFill>
          </w14:textFill>
        </w:rPr>
        <w:t xml:space="preserve">年0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yellow"/>
          <w14:textFill>
            <w14:solidFill>
              <w14:schemeClr w14:val="tx1"/>
            </w14:solidFill>
          </w14:textFill>
        </w:rPr>
        <w:t xml:space="preserve">月</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28</w:t>
      </w:r>
      <w:r>
        <w:rPr>
          <w:rFonts w:hint="eastAsia" w:ascii="仿宋" w:hAnsi="仿宋" w:eastAsia="仿宋" w:cs="仿宋"/>
          <w:color w:val="000000" w:themeColor="text1"/>
          <w:sz w:val="24"/>
          <w:szCs w:val="24"/>
          <w:highlight w:val="yellow"/>
          <w14:textFill>
            <w14:solidFill>
              <w14:schemeClr w14:val="tx1"/>
            </w14:solidFill>
          </w14:textFill>
        </w:rPr>
        <w:t xml:space="preserve">日0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yellow"/>
          <w14:textFill>
            <w14:solidFill>
              <w14:schemeClr w14:val="tx1"/>
            </w14:solidFill>
          </w14:textFill>
        </w:rPr>
        <w:t xml:space="preserve">点</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yellow"/>
          <w14:textFill>
            <w14:solidFill>
              <w14:schemeClr w14:val="tx1"/>
            </w14:solidFill>
          </w14:textFill>
        </w:rPr>
        <w:t xml:space="preserve">0分（北京时间）；</w:t>
      </w:r>
      <w:r/>
    </w:p>
    <w:p>
      <w:pPr>
        <w:ind w:left="0" w:firstLine="480"/>
        <w:jc w:val="left"/>
        <w:keepLines w:val="0"/>
        <w:pageBreakBefore w:val="0"/>
        <w:spacing w:line="520" w:lineRule="exac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highlight w:val="yellow"/>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分包48-分包70）</w:t>
      </w:r>
      <w:r>
        <w:rPr>
          <w:rFonts w:hint="eastAsia" w:ascii="仿宋" w:hAnsi="仿宋" w:eastAsia="仿宋" w:cs="仿宋"/>
          <w:color w:val="000000" w:themeColor="text1"/>
          <w:sz w:val="24"/>
          <w:szCs w:val="24"/>
          <w:highlight w:val="yellow"/>
          <w14:textFill>
            <w14:solidFill>
              <w14:schemeClr w14:val="tx1"/>
            </w14:solidFill>
          </w14:textFill>
        </w:rPr>
        <w:t xml:space="preserve">202</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yellow"/>
          <w14:textFill>
            <w14:solidFill>
              <w14:schemeClr w14:val="tx1"/>
            </w14:solidFill>
          </w14:textFill>
        </w:rPr>
        <w:t xml:space="preserve">年0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yellow"/>
          <w14:textFill>
            <w14:solidFill>
              <w14:schemeClr w14:val="tx1"/>
            </w14:solidFill>
          </w14:textFill>
        </w:rPr>
        <w:t xml:space="preserve">月</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29</w:t>
      </w:r>
      <w:r>
        <w:rPr>
          <w:rFonts w:hint="eastAsia" w:ascii="仿宋" w:hAnsi="仿宋" w:eastAsia="仿宋" w:cs="仿宋"/>
          <w:color w:val="000000" w:themeColor="text1"/>
          <w:sz w:val="24"/>
          <w:szCs w:val="24"/>
          <w:highlight w:val="yellow"/>
          <w14:textFill>
            <w14:solidFill>
              <w14:schemeClr w14:val="tx1"/>
            </w14:solidFill>
          </w14:textFill>
        </w:rPr>
        <w:t xml:space="preserve">日0</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yellow"/>
          <w14:textFill>
            <w14:solidFill>
              <w14:schemeClr w14:val="tx1"/>
            </w14:solidFill>
          </w14:textFill>
        </w:rPr>
        <w:t xml:space="preserve">点</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yellow"/>
          <w14:textFill>
            <w14:solidFill>
              <w14:schemeClr w14:val="tx1"/>
            </w14:solidFill>
          </w14:textFill>
        </w:rPr>
        <w:t xml:space="preserve">0分（北京时间）；</w:t>
      </w:r>
      <w:r/>
    </w:p>
    <w:p>
      <w:pPr>
        <w:ind w:left="0" w:firstLine="480"/>
        <w:jc w:val="left"/>
        <w:keepLines w:val="0"/>
        <w:pageBreakBefore w:val="0"/>
        <w:spacing w:line="520" w:lineRule="exact"/>
        <w:rPr>
          <w:rFonts w:hint="eastAsia" w:ascii="仿宋" w:hAnsi="仿宋" w:eastAsia="仿宋" w:cs="仿宋"/>
          <w:bCs/>
          <w:color w:val="000000" w:themeColor="text1"/>
          <w:sz w:val="24"/>
          <w:szCs w:val="24"/>
          <w:highlight w:val="yellow"/>
          <w14:textFill>
            <w14:solidFill>
              <w14:schemeClr w14:val="tx1"/>
            </w14:solidFill>
          </w14:textFill>
        </w:rPr>
      </w:pPr>
      <w:r>
        <w:rPr>
          <w:rFonts w:hint="eastAsia" w:ascii="仿宋" w:hAnsi="仿宋" w:eastAsia="仿宋" w:cs="仿宋"/>
          <w:bCs/>
          <w:color w:val="000000" w:themeColor="text1"/>
          <w:sz w:val="24"/>
          <w:szCs w:val="24"/>
          <w:highlight w:val="yellow"/>
          <w14:textFill>
            <w14:solidFill>
              <w14:schemeClr w14:val="tx1"/>
            </w14:solidFill>
          </w14:textFill>
        </w:rPr>
        <w:t xml:space="preserve">地点：“苏采云”政府采购交易系统网上开标大厅</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五、公告期限</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自本公告发布之日起5个工作日</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六、其他补充事宜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6.1本项目成交后不允许分包、转包。</w:t>
      </w:r>
      <w:bookmarkStart w:id="183" w:name="_GoBack"/>
      <w:r/>
      <w:bookmarkEnd w:id="183"/>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6.2现场考察、答疑时间：</w:t>
      </w:r>
      <w:r>
        <w:rPr>
          <w:rFonts w:hint="eastAsia" w:ascii="仿宋" w:hAnsi="仿宋" w:eastAsia="仿宋" w:cs="仿宋"/>
          <w:color w:val="000000" w:themeColor="text1"/>
          <w:sz w:val="24"/>
          <w:szCs w:val="24"/>
          <w:lang w:val="en-US" w:eastAsia="zh-CN"/>
          <w14:textFill>
            <w14:solidFill>
              <w14:schemeClr w14:val="tx1"/>
            </w14:solidFill>
          </w14:textFill>
        </w:rPr>
        <w:t xml:space="preserve">以第三（5）条为准</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6.3是否接受进口产品：不接受。</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仿宋" w:hAnsi="仿宋" w:eastAsia="仿宋" w:cs="仿宋"/>
          <w:color w:val="000000" w:themeColor="text1"/>
          <w:sz w:val="24"/>
          <w:szCs w:val="24"/>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仿宋" w:hAnsi="仿宋" w:eastAsia="仿宋" w:cs="仿宋"/>
          <w:b/>
          <w:bCs/>
          <w:color w:val="000000" w:themeColor="text1"/>
          <w:sz w:val="24"/>
          <w:szCs w:val="24"/>
          <w14:textFill>
            <w14:solidFill>
              <w14:schemeClr w14:val="tx1"/>
            </w14:solidFill>
          </w14:textFill>
        </w:rPr>
        <w:t xml:space="preserve">打印时间为本</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公开招标</w:t>
      </w:r>
      <w:r>
        <w:rPr>
          <w:rFonts w:hint="eastAsia" w:ascii="仿宋" w:hAnsi="仿宋" w:eastAsia="仿宋" w:cs="仿宋"/>
          <w:b/>
          <w:bCs/>
          <w:color w:val="000000" w:themeColor="text1"/>
          <w:sz w:val="24"/>
          <w:szCs w:val="24"/>
          <w14:textFill>
            <w14:solidFill>
              <w14:schemeClr w14:val="tx1"/>
            </w14:solidFill>
          </w14:textFill>
        </w:rPr>
        <w:t xml:space="preserve">公告发布之日起至递交响应文件截止日前，未按上述要求提供信用记录表的，响应文件可能被拒绝接收。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供应商涉及以下情形的，不适用信用承诺：</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（1）供应商被列入严重失信主体名单；</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（2）被相关监管部门作出行政处罚且尚在处罚有效期内；</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（3）其他法律、行政法规规定的不适用信用承诺的情形。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供应商对信用承诺内容的真实性、合法性、有效性负责。如作出虚假信用承诺，视同为“提供虚假材料谋取中标、成交”的违法行为。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6.5根据省财政厅《关于更换</w:t>
      </w:r>
      <w:r>
        <w:rPr>
          <w:rFonts w:hint="eastAsia" w:ascii="仿宋" w:hAnsi="仿宋" w:eastAsia="仿宋" w:cs="仿宋"/>
          <w:color w:val="000000" w:themeColor="text1"/>
          <w:sz w:val="24"/>
          <w:szCs w:val="24"/>
          <w14:textFill>
            <w14:solidFill>
              <w14:schemeClr w14:val="tx1"/>
            </w14:solidFill>
          </w14:textFill>
        </w:rPr>
        <w:t xml:space="preserve">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如果“江苏政府采购网”（www.ccgp-jiangsu.gov.cn）信息与“江苏政务服务网”（www.jszwfw.gov.cn），“一企来办”专栏下“政府采购”模块中信息不一致，以“江苏政府采购网”信息为准。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6.6本</w:t>
      </w:r>
      <w:r>
        <w:rPr>
          <w:rFonts w:hint="eastAsia" w:ascii="仿宋" w:hAnsi="仿宋" w:eastAsia="仿宋" w:cs="仿宋"/>
          <w:color w:val="000000" w:themeColor="text1"/>
          <w:sz w:val="24"/>
          <w:szCs w:val="24"/>
          <w:lang w:eastAsia="zh-CN"/>
          <w14:textFill>
            <w14:solidFill>
              <w14:schemeClr w14:val="tx1"/>
            </w14:solidFill>
          </w14:textFill>
        </w:rPr>
        <w:t xml:space="preserve">公开招标</w:t>
      </w:r>
      <w:r>
        <w:rPr>
          <w:rFonts w:hint="eastAsia" w:ascii="仿宋" w:hAnsi="仿宋" w:eastAsia="仿宋" w:cs="仿宋"/>
          <w:color w:val="000000" w:themeColor="text1"/>
          <w:sz w:val="24"/>
          <w:szCs w:val="24"/>
          <w14:textFill>
            <w14:solidFill>
              <w14:schemeClr w14:val="tx1"/>
            </w14:solidFill>
          </w14:textFill>
        </w:rPr>
        <w:t xml:space="preserve">公告在</w:t>
      </w:r>
      <w:bookmarkStart w:id="9" w:name="_Hlk191390937"/>
      <w:r>
        <w:rPr>
          <w:rFonts w:hint="eastAsia" w:ascii="仿宋" w:hAnsi="仿宋" w:eastAsia="仿宋" w:cs="仿宋"/>
          <w:color w:val="000000" w:themeColor="text1"/>
          <w:sz w:val="24"/>
          <w:szCs w:val="24"/>
          <w14:textFill>
            <w14:solidFill>
              <w14:schemeClr w14:val="tx1"/>
            </w14:solidFill>
          </w14:textFill>
        </w:rPr>
        <w:t xml:space="preserve">江苏政府采购网（http://www.ccgp-jiangsu.gov.cn/）、南京公共采购信息网</w:t>
      </w:r>
      <w:bookmarkEnd w:id="9"/>
      <w:r>
        <w:rPr>
          <w:rFonts w:hint="eastAsia" w:ascii="仿宋" w:hAnsi="仿宋" w:eastAsia="仿宋" w:cs="仿宋"/>
          <w:color w:val="000000" w:themeColor="text1"/>
          <w:sz w:val="24"/>
          <w:szCs w:val="24"/>
          <w14:textFill>
            <w14:solidFill>
              <w14:schemeClr w14:val="tx1"/>
            </w14:solidFill>
          </w14:textFill>
        </w:rPr>
        <w:t xml:space="preserve">（https://njgc.jfh.com/）公示发布。若有关本次</w:t>
      </w:r>
      <w:r>
        <w:rPr>
          <w:rFonts w:hint="eastAsia" w:ascii="仿宋" w:hAnsi="仿宋" w:eastAsia="仿宋" w:cs="仿宋"/>
          <w:color w:val="000000" w:themeColor="text1"/>
          <w:sz w:val="24"/>
          <w:szCs w:val="24"/>
          <w:lang w:eastAsia="zh-CN"/>
          <w14:textFill>
            <w14:solidFill>
              <w14:schemeClr w14:val="tx1"/>
            </w14:solidFill>
          </w14:textFill>
        </w:rPr>
        <w:t xml:space="preserve">公开招标</w:t>
      </w:r>
      <w:r>
        <w:rPr>
          <w:rFonts w:hint="eastAsia" w:ascii="仿宋" w:hAnsi="仿宋" w:eastAsia="仿宋" w:cs="仿宋"/>
          <w:color w:val="000000" w:themeColor="text1"/>
          <w:sz w:val="24"/>
          <w:szCs w:val="24"/>
          <w14:textFill>
            <w14:solidFill>
              <w14:schemeClr w14:val="tx1"/>
            </w14:solidFill>
          </w14:textFill>
        </w:rPr>
        <w:t xml:space="preserve">存在的变动或修改，敬请各供应商及时关注江苏政府采购网或南京公共采购信息网发布的关于本项目的信息更正公告。</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七、凡对</w:t>
      </w:r>
      <w:bookmarkStart w:id="10" w:name="_Hlk124759339"/>
      <w:r>
        <w:rPr>
          <w:rFonts w:hint="eastAsia" w:ascii="仿宋" w:hAnsi="仿宋" w:eastAsia="仿宋" w:cs="仿宋"/>
          <w:b/>
          <w:color w:val="000000" w:themeColor="text1"/>
          <w:sz w:val="24"/>
          <w:szCs w:val="24"/>
          <w14:textFill>
            <w14:solidFill>
              <w14:schemeClr w14:val="tx1"/>
            </w14:solidFill>
          </w14:textFill>
        </w:rPr>
        <w:t xml:space="preserve">本次采购提出询问，请按以下方式联系</w:t>
      </w:r>
      <w:bookmarkEnd w:id="10"/>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1.采购人信息</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采购单位名称：南京市江宁区民政局</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采购单位联系人：</w:t>
      </w:r>
      <w:r>
        <w:rPr>
          <w:rFonts w:hint="eastAsia" w:ascii="仿宋" w:hAnsi="仿宋" w:eastAsia="仿宋" w:cs="仿宋"/>
          <w:color w:val="000000" w:themeColor="text1"/>
          <w:sz w:val="24"/>
          <w:szCs w:val="24"/>
          <w:lang w:val="en-US" w:eastAsia="zh-CN"/>
          <w14:textFill>
            <w14:solidFill>
              <w14:schemeClr w14:val="tx1"/>
            </w14:solidFill>
          </w14:textFill>
        </w:rPr>
        <w:t xml:space="preserve">周科</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采购单位地址：南京市江宁区竹山路78-1号</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联系方式：025-52180245</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2.采购代理机构信息</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名称：</w:t>
      </w:r>
      <w:r>
        <w:rPr>
          <w:rFonts w:hint="eastAsia" w:ascii="仿宋" w:hAnsi="仿宋" w:eastAsia="仿宋" w:cs="仿宋"/>
          <w:color w:val="000000" w:themeColor="text1"/>
          <w:sz w:val="24"/>
          <w:szCs w:val="24"/>
          <w:lang w:eastAsia="zh-CN"/>
          <w14:textFill>
            <w14:solidFill>
              <w14:schemeClr w14:val="tx1"/>
            </w14:solidFill>
          </w14:textFill>
        </w:rPr>
        <w:t xml:space="preserve">江苏中嘉招投标代理有限公司</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项目联系人</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牛工</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lang w:val="en-US" w:eastAsia="zh-CN"/>
          <w14:textFill>
            <w14:solidFill>
              <w14:schemeClr w14:val="tx1"/>
            </w14:solidFill>
          </w14:textFill>
        </w:rPr>
        <w:t xml:space="preserve">15380829334</w:t>
      </w:r>
      <w:r/>
    </w:p>
    <w:p>
      <w:pPr>
        <w:pStyle w:val="678"/>
        <w:ind w:left="0" w:firstLine="482"/>
        <w:jc w:val="center"/>
        <w:keepLines w:val="0"/>
        <w:pageBreakBefore w:val="0"/>
        <w:spacing w:line="520" w:lineRule="exact"/>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11" w:name="_Toc16687"/>
      <w:r/>
      <w:bookmarkStart w:id="12" w:name="_Toc2120"/>
      <w:r/>
      <w:bookmarkStart w:id="13" w:name="_Toc178255253"/>
      <w:r/>
      <w:bookmarkStart w:id="14" w:name="_Toc176770987"/>
      <w:r/>
      <w:bookmarkStart w:id="15" w:name="_Toc176528938"/>
      <w:r>
        <w:rPr>
          <w:rFonts w:hint="eastAsia" w:ascii="仿宋" w:hAnsi="仿宋" w:eastAsia="仿宋" w:cs="仿宋"/>
          <w:color w:val="000000" w:themeColor="text1"/>
          <w:sz w:val="44"/>
          <w:szCs w:val="44"/>
          <w14:textFill>
            <w14:solidFill>
              <w14:schemeClr w14:val="tx1"/>
            </w14:solidFill>
          </w14:textFill>
        </w:rPr>
        <w:t xml:space="preserve">第二章供应商须知</w:t>
      </w:r>
      <w:bookmarkEnd w:id="6"/>
      <w:r/>
      <w:bookmarkEnd w:id="11"/>
      <w:r/>
      <w:bookmarkEnd w:id="12"/>
      <w:r/>
      <w:bookmarkEnd w:id="13"/>
      <w:r/>
      <w:bookmarkEnd w:id="14"/>
      <w:r/>
      <w:bookmarkEnd w:id="15"/>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16" w:name="_Toc19726"/>
      <w:r/>
      <w:bookmarkStart w:id="17" w:name="_Toc8539"/>
      <w:r>
        <w:rPr>
          <w:rFonts w:hint="eastAsia" w:ascii="仿宋" w:hAnsi="仿宋" w:eastAsia="仿宋" w:cs="仿宋"/>
          <w:b/>
          <w:bCs/>
          <w:color w:val="000000" w:themeColor="text1"/>
          <w:sz w:val="24"/>
          <w:szCs w:val="24"/>
          <w14:textFill>
            <w14:solidFill>
              <w14:schemeClr w14:val="tx1"/>
            </w14:solidFill>
          </w14:textFill>
        </w:rPr>
        <w:t xml:space="preserve">一、总 则</w:t>
      </w:r>
      <w:bookmarkEnd w:id="16"/>
      <w:r/>
      <w:bookmarkEnd w:id="17"/>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bookmarkStart w:id="18" w:name="_Toc30044"/>
      <w:r/>
      <w:bookmarkStart w:id="19" w:name="_Toc3951"/>
      <w:r/>
      <w:bookmarkStart w:id="20" w:name="_Toc20823276"/>
      <w:r/>
      <w:bookmarkStart w:id="21" w:name="_Toc458694821"/>
      <w:r/>
      <w:bookmarkStart w:id="22" w:name="_Toc513029204"/>
      <w:r/>
      <w:bookmarkStart w:id="23" w:name="_Toc24947"/>
      <w:r/>
      <w:bookmarkStart w:id="24" w:name="_Toc16938520"/>
      <w:r>
        <w:rPr>
          <w:rFonts w:hint="eastAsia" w:ascii="仿宋" w:hAnsi="仿宋" w:eastAsia="仿宋" w:cs="仿宋"/>
          <w:color w:val="000000" w:themeColor="text1"/>
          <w:sz w:val="24"/>
          <w:szCs w:val="24"/>
          <w:lang w:val="zh-CN"/>
          <w14:textFill>
            <w14:solidFill>
              <w14:schemeClr w14:val="tx1"/>
            </w14:solidFill>
          </w14:textFill>
        </w:rPr>
        <w:t xml:space="preserve">1.适用法律</w:t>
      </w:r>
      <w:bookmarkEnd w:id="18"/>
      <w:r/>
      <w:bookmarkEnd w:id="19"/>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1.1</w:t>
      </w:r>
      <w:r>
        <w:rPr>
          <w:rFonts w:hint="eastAsia" w:ascii="仿宋" w:hAnsi="仿宋" w:eastAsia="仿宋" w:cs="仿宋"/>
          <w:color w:val="000000" w:themeColor="text1"/>
          <w:sz w:val="24"/>
          <w:szCs w:val="24"/>
          <w14:textFill>
            <w14:solidFill>
              <w14:schemeClr w14:val="tx1"/>
            </w14:solidFill>
          </w14:textFill>
        </w:rPr>
        <w:t xml:space="preserve">《中华人民共和国招标投标法》、</w:t>
      </w:r>
      <w:r>
        <w:rPr>
          <w:rFonts w:hint="eastAsia" w:ascii="仿宋" w:hAnsi="仿宋" w:eastAsia="仿宋" w:cs="仿宋"/>
          <w:color w:val="000000" w:themeColor="text1"/>
          <w:sz w:val="24"/>
          <w:szCs w:val="24"/>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bookmarkStart w:id="25" w:name="_Toc10994"/>
      <w:r/>
      <w:bookmarkStart w:id="26" w:name="_Toc17176"/>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2.定义</w:t>
      </w:r>
      <w:bookmarkEnd w:id="20"/>
      <w:r/>
      <w:bookmarkEnd w:id="21"/>
      <w:r/>
      <w:bookmarkEnd w:id="22"/>
      <w:r/>
      <w:bookmarkEnd w:id="23"/>
      <w:r/>
      <w:bookmarkEnd w:id="24"/>
      <w:r/>
      <w:bookmarkEnd w:id="25"/>
      <w:r/>
      <w:bookmarkEnd w:id="26"/>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2.1本文件中采购代理机构为</w:t>
      </w:r>
      <w:r>
        <w:rPr>
          <w:rFonts w:hint="eastAsia" w:ascii="仿宋" w:hAnsi="仿宋" w:eastAsia="仿宋" w:cs="仿宋"/>
          <w:color w:val="000000" w:themeColor="text1"/>
          <w:sz w:val="24"/>
          <w:szCs w:val="24"/>
          <w:lang w:val="en-US" w:eastAsia="zh-CN"/>
          <w14:textFill>
            <w14:solidFill>
              <w14:schemeClr w14:val="tx1"/>
            </w14:solidFill>
          </w14:textFill>
        </w:rPr>
        <w:t xml:space="preserve">江苏中嘉招投标代理有限公司</w:t>
      </w:r>
      <w:r>
        <w:rPr>
          <w:rFonts w:hint="eastAsia" w:ascii="仿宋" w:hAnsi="仿宋" w:eastAsia="仿宋" w:cs="仿宋"/>
          <w:color w:val="000000" w:themeColor="text1"/>
          <w:sz w:val="24"/>
          <w:szCs w:val="24"/>
          <w14:textFill>
            <w14:solidFill>
              <w14:schemeClr w14:val="tx1"/>
            </w14:solidFill>
          </w14:textFill>
        </w:rPr>
        <w:t xml:space="preserve">；采购人为</w:t>
      </w:r>
      <w:r>
        <w:rPr>
          <w:rFonts w:hint="eastAsia" w:ascii="仿宋" w:hAnsi="仿宋" w:eastAsia="仿宋" w:cs="仿宋"/>
          <w:color w:val="000000" w:themeColor="text1"/>
          <w:sz w:val="24"/>
          <w:szCs w:val="24"/>
          <w:lang w:eastAsia="zh-CN"/>
          <w14:textFill>
            <w14:solidFill>
              <w14:schemeClr w14:val="tx1"/>
            </w14:solidFill>
          </w14:textFill>
        </w:rPr>
        <w:t xml:space="preserve">南京市江宁</w:t>
      </w:r>
      <w:r>
        <w:rPr>
          <w:rFonts w:hint="eastAsia" w:ascii="仿宋" w:hAnsi="仿宋" w:eastAsia="仿宋" w:cs="仿宋"/>
          <w:color w:val="000000" w:themeColor="text1"/>
          <w:sz w:val="24"/>
          <w:szCs w:val="24"/>
          <w:lang w:val="en-US" w:eastAsia="zh-CN"/>
          <w14:textFill>
            <w14:solidFill>
              <w14:schemeClr w14:val="tx1"/>
            </w14:solidFill>
          </w14:textFill>
        </w:rPr>
        <w:t xml:space="preserve">区民政局</w:t>
      </w:r>
      <w:r>
        <w:rPr>
          <w:rFonts w:hint="eastAsia" w:ascii="仿宋" w:hAnsi="仿宋" w:eastAsia="仿宋" w:cs="仿宋"/>
          <w:color w:val="000000" w:themeColor="text1"/>
          <w:sz w:val="24"/>
          <w:szCs w:val="24"/>
          <w14:textFill>
            <w14:solidFill>
              <w14:schemeClr w14:val="tx1"/>
            </w14:solidFill>
          </w14:textFill>
        </w:rPr>
        <w:t xml:space="preserve">；投标人（亦称供应商）系指参加投标竞争并满足招标文件资格要求规定的法人、其他组织或者自然人。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2.2“货物和服务”指本文件中所述产品及相关货物和服务。</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2.3“用户或使用单位”指使用</w:t>
      </w:r>
      <w:r>
        <w:rPr>
          <w:rFonts w:hint="eastAsia" w:ascii="仿宋" w:hAnsi="仿宋" w:eastAsia="仿宋" w:cs="仿宋"/>
          <w:color w:val="000000" w:themeColor="text1"/>
          <w:sz w:val="24"/>
          <w:szCs w:val="24"/>
          <w:lang w:val="zh-CN"/>
          <w14:textFill>
            <w14:solidFill>
              <w14:schemeClr w14:val="tx1"/>
            </w14:solidFill>
          </w14:textFill>
        </w:rPr>
        <w:t xml:space="preserve">货物、服务的</w:t>
      </w:r>
      <w:r>
        <w:rPr>
          <w:rFonts w:hint="eastAsia" w:ascii="仿宋" w:hAnsi="仿宋" w:eastAsia="仿宋" w:cs="仿宋"/>
          <w:color w:val="000000" w:themeColor="text1"/>
          <w:sz w:val="24"/>
          <w:szCs w:val="24"/>
          <w14:textFill>
            <w14:solidFill>
              <w14:schemeClr w14:val="tx1"/>
            </w14:solidFill>
          </w14:textFill>
        </w:rPr>
        <w:t xml:space="preserve">单位。</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bookmarkStart w:id="27" w:name="_Toc25880"/>
      <w:r/>
      <w:bookmarkStart w:id="28" w:name="_Toc18001"/>
      <w:r>
        <w:rPr>
          <w:rFonts w:hint="eastAsia" w:ascii="仿宋" w:hAnsi="仿宋" w:eastAsia="仿宋" w:cs="仿宋"/>
          <w:color w:val="000000" w:themeColor="text1"/>
          <w:sz w:val="24"/>
          <w:szCs w:val="24"/>
          <w:lang w:val="zh-CN"/>
          <w14:textFill>
            <w14:solidFill>
              <w14:schemeClr w14:val="tx1"/>
            </w14:solidFill>
          </w14:textFill>
        </w:rPr>
        <w:t xml:space="preserve">3.政策功能</w:t>
      </w:r>
      <w:bookmarkEnd w:id="27"/>
      <w:r/>
      <w:bookmarkEnd w:id="28"/>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bookmarkStart w:id="29" w:name="_Toc16938523"/>
      <w:r/>
      <w:bookmarkStart w:id="30" w:name="_Toc462564067"/>
      <w:r/>
      <w:bookmarkStart w:id="31" w:name="_Toc17711"/>
      <w:r/>
      <w:bookmarkStart w:id="32" w:name="_Toc25651"/>
      <w:r/>
      <w:bookmarkStart w:id="33" w:name="_Toc513029207"/>
      <w:r/>
      <w:bookmarkStart w:id="34" w:name="_Toc20823279"/>
      <w:r/>
      <w:bookmarkStart w:id="35" w:name="_Toc4759"/>
      <w:r>
        <w:rPr>
          <w:rFonts w:hint="eastAsia" w:ascii="仿宋" w:hAnsi="仿宋" w:eastAsia="仿宋" w:cs="仿宋"/>
          <w:color w:val="000000" w:themeColor="text1"/>
          <w:sz w:val="24"/>
          <w:szCs w:val="24"/>
          <w:lang w:val="zh-CN"/>
          <w14:textFill>
            <w14:solidFill>
              <w14:schemeClr w14:val="tx1"/>
            </w14:solidFill>
          </w14:textFill>
        </w:rPr>
        <w:t xml:space="preserve">3.1 本次招标及由此产生的合同受中华人民共和国有关的法律法规制约和保护。</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3.2 在本项目政府采购活动过程中，如果所执行的标准有更新的，按照最新标准执行。</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4.投标费用</w:t>
      </w:r>
      <w:bookmarkEnd w:id="29"/>
      <w:r/>
      <w:bookmarkEnd w:id="30"/>
      <w:r/>
      <w:bookmarkEnd w:id="31"/>
      <w:r/>
      <w:bookmarkEnd w:id="32"/>
      <w:r/>
      <w:bookmarkEnd w:id="33"/>
      <w:r/>
      <w:bookmarkEnd w:id="34"/>
      <w:r/>
      <w:bookmarkEnd w:id="35"/>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4.1</w:t>
      </w:r>
      <w:bookmarkStart w:id="36" w:name="_Toc25474"/>
      <w:r/>
      <w:bookmarkStart w:id="37" w:name="_Toc344"/>
      <w:r>
        <w:rPr>
          <w:rFonts w:hint="eastAsia" w:ascii="仿宋" w:hAnsi="仿宋" w:eastAsia="仿宋" w:cs="仿宋"/>
          <w:color w:val="000000" w:themeColor="text1"/>
          <w:sz w:val="24"/>
          <w:szCs w:val="24"/>
          <w14:textFill>
            <w14:solidFill>
              <w14:schemeClr w14:val="tx1"/>
            </w14:solidFill>
          </w14:textFill>
        </w:rPr>
        <w:t xml:space="preserve">供应商应自行承担所有与参加投标有关的费用，无论采购结果如何，代理机构和采购人在任何情况下均无义务和责任承担这些费用。</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5.招标文件的约束力</w:t>
      </w:r>
      <w:bookmarkEnd w:id="36"/>
      <w:r/>
      <w:bookmarkEnd w:id="37"/>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5.1供应商一旦参加本项目采购活动，即被认为接受了本招标文件的规定和约束。</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38" w:name="_Toc513029209"/>
      <w:r/>
      <w:bookmarkStart w:id="39" w:name="_Toc120614215"/>
      <w:r/>
      <w:bookmarkStart w:id="40" w:name="_Toc15035"/>
      <w:r/>
      <w:bookmarkStart w:id="41" w:name="_Toc11232"/>
      <w:r/>
      <w:bookmarkStart w:id="42" w:name="_Toc20823281"/>
      <w:r/>
      <w:bookmarkStart w:id="43" w:name="_Toc16938525"/>
      <w:r>
        <w:rPr>
          <w:rFonts w:hint="eastAsia" w:ascii="仿宋" w:hAnsi="仿宋" w:eastAsia="仿宋" w:cs="仿宋"/>
          <w:b/>
          <w:bCs/>
          <w:color w:val="000000" w:themeColor="text1"/>
          <w:sz w:val="24"/>
          <w:szCs w:val="24"/>
          <w14:textFill>
            <w14:solidFill>
              <w14:schemeClr w14:val="tx1"/>
            </w14:solidFill>
          </w14:textFill>
        </w:rPr>
        <w:t xml:space="preserve">二、招标文件</w:t>
      </w:r>
      <w:bookmarkEnd w:id="38"/>
      <w:r/>
      <w:bookmarkEnd w:id="39"/>
      <w:r/>
      <w:bookmarkEnd w:id="40"/>
      <w:r/>
      <w:bookmarkEnd w:id="41"/>
      <w:r/>
      <w:bookmarkEnd w:id="42"/>
      <w:r/>
      <w:bookmarkEnd w:id="43"/>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bookmarkStart w:id="44" w:name="_Toc2899"/>
      <w:r/>
      <w:bookmarkStart w:id="45" w:name="_Toc16938526"/>
      <w:r/>
      <w:bookmarkStart w:id="46" w:name="_Toc31631"/>
      <w:r/>
      <w:bookmarkStart w:id="47" w:name="_Toc513029210"/>
      <w:r/>
      <w:bookmarkStart w:id="48" w:name="_Toc20823282"/>
      <w:r>
        <w:rPr>
          <w:rFonts w:hint="eastAsia" w:ascii="仿宋" w:hAnsi="仿宋" w:eastAsia="仿宋" w:cs="仿宋"/>
          <w:color w:val="000000" w:themeColor="text1"/>
          <w:sz w:val="24"/>
          <w:szCs w:val="24"/>
          <w:lang w:val="zh-CN"/>
          <w14:textFill>
            <w14:solidFill>
              <w14:schemeClr w14:val="tx1"/>
            </w14:solidFill>
          </w14:textFill>
        </w:rPr>
        <w:t xml:space="preserve">6.招标文件构成</w:t>
      </w:r>
      <w:bookmarkEnd w:id="44"/>
      <w:r/>
      <w:bookmarkEnd w:id="45"/>
      <w:r/>
      <w:bookmarkEnd w:id="46"/>
      <w:r/>
      <w:bookmarkEnd w:id="47"/>
      <w:r/>
      <w:bookmarkEnd w:id="48"/>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6.1招标文件由以下部分组成：</w:t>
      </w:r>
      <w:r/>
    </w:p>
    <w:p>
      <w:pPr>
        <w:pStyle w:val="718"/>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"_Toc184369309" \o "#_Toc184369309"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第一章</w:t>
      </w:r>
      <w:r>
        <w:rPr>
          <w:rFonts w:hint="eastAsia" w:ascii="仿宋" w:hAnsi="仿宋" w:eastAsia="仿宋" w:cs="仿宋"/>
          <w:b w:val="0"/>
          <w:caps w:val="0"/>
          <w:color w:val="000000" w:themeColor="text1"/>
          <w:sz w:val="24"/>
          <w:szCs w:val="24"/>
          <w:lang w:val="zh-CN" w:eastAsia="zh-CN"/>
          <w14:textFill>
            <w14:solidFill>
              <w14:schemeClr w14:val="tx1"/>
            </w14:solidFill>
          </w14:textFill>
          <w14:ligatures w14:val="standardContextual"/>
        </w:rPr>
        <w:t xml:space="preserve">招标</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邀请</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pStyle w:val="718"/>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en-US" w:eastAsia="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"_Toc184369310" \o "#_Toc184369310"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第二章供应商须知</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pStyle w:val="718"/>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en-US" w:eastAsia="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"_Toc184369311" \o "#_Toc184369311"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第三章成交标准</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pStyle w:val="718"/>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en-US" w:eastAsia="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"_Toc184369312" \o "#_Toc184369312"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第四章采购项目的服务要求和数量等</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pStyle w:val="718"/>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en-US" w:eastAsia="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"_Toc184369313" \o "#_Toc184369313"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第五章合同草案条款</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ind w:left="0" w:firstLine="480"/>
        <w:jc w:val="left"/>
        <w:keepLines w:val="0"/>
        <w:pageBreakBefore w:val="0"/>
        <w:spacing w:line="520" w:lineRule="exact"/>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"_Toc184369314" \o "#_Toc184369314"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第六章附件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rPr>
          <w:rFonts w:hint="eastAsia" w:ascii="仿宋" w:hAnsi="仿宋" w:eastAsia="仿宋" w:cs="仿宋"/>
          <w:color w:val="000000" w:themeColor="text1"/>
          <w:sz w:val="24"/>
          <w:szCs w:val="24"/>
          <w14:textFill>
            <w14:solidFill>
              <w14:schemeClr w14:val="tx1"/>
            </w14:solidFill>
          </w14:textFill>
        </w:rPr>
        <w:t xml:space="preserve">6.2招标的最小单位是包。招标技术规格及要求中未分包的，供应商对要求提供的服务不得部分投标；招标技术规格及要求中已经分包的，以包为单位投标。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6.3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6.4供应商被视为充分熟悉本招标项目的各种情况以及与履行合同有关的一切其他情况。</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49" w:name="_Toc24838"/>
      <w:r/>
      <w:bookmarkStart w:id="50" w:name="_Toc14415"/>
      <w:r>
        <w:rPr>
          <w:rFonts w:hint="eastAsia" w:ascii="仿宋" w:hAnsi="仿宋" w:eastAsia="仿宋" w:cs="仿宋"/>
          <w:color w:val="000000" w:themeColor="text1"/>
          <w:sz w:val="24"/>
          <w:szCs w:val="24"/>
          <w14:textFill>
            <w14:solidFill>
              <w14:schemeClr w14:val="tx1"/>
            </w14:solidFill>
          </w14:textFill>
        </w:rPr>
        <w:t xml:space="preserve">7.招标文件的澄清、补充或修改</w:t>
      </w:r>
      <w:bookmarkEnd w:id="49"/>
      <w:r/>
      <w:bookmarkEnd w:id="50"/>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51" w:name="_Toc29128"/>
      <w:r>
        <w:rPr>
          <w:rFonts w:hint="eastAsia" w:ascii="仿宋" w:hAnsi="仿宋" w:eastAsia="仿宋" w:cs="仿宋"/>
          <w:color w:val="000000" w:themeColor="text1"/>
          <w:sz w:val="24"/>
          <w:szCs w:val="24"/>
          <w14:textFill>
            <w14:solidFill>
              <w14:schemeClr w14:val="tx1"/>
            </w14:solidFill>
          </w14:textFill>
        </w:rPr>
        <w:t xml:space="preserve">7.1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7.2采购代理机构对已发出的招标文件进行必要的澄清或者修改，将在投标截止时间15日前，在原招标公告媒体公布。不足15日的，采购人或者采购代理机构应当顺延提交投标文件的截止时间。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7.3采购代理机构在招标文件要求提交投标文件截止时间3日前，有权决定延长投标截止时间和开标时间，并在原招标公告媒体上发布变更公告。</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7.4为使供应商在准备投标时，有合理的时间考虑招标文件的补充或修改，采购代理机构将视情况可能推迟投标截止时间和开标时间，并将在原招标公告媒体发布更正公告。</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7.5采购代理机构发出的所有补充、修改和变更文件均作为招标文件的组成部分，与招标文件具有同等法律效力，并对投标人具有约束力。</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52" w:name="_Toc27318"/>
      <w:r>
        <w:rPr>
          <w:rFonts w:hint="eastAsia" w:ascii="仿宋" w:hAnsi="仿宋" w:eastAsia="仿宋" w:cs="仿宋"/>
          <w:b/>
          <w:bCs/>
          <w:color w:val="000000" w:themeColor="text1"/>
          <w:sz w:val="24"/>
          <w:szCs w:val="24"/>
          <w14:textFill>
            <w14:solidFill>
              <w14:schemeClr w14:val="tx1"/>
            </w14:solidFill>
          </w14:textFill>
        </w:rPr>
        <w:t xml:space="preserve">三、投标文件的编制</w:t>
      </w:r>
      <w:bookmarkEnd w:id="51"/>
      <w:r/>
      <w:bookmarkEnd w:id="52"/>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53" w:name="_Toc28127"/>
      <w:r/>
      <w:bookmarkStart w:id="54" w:name="_Toc14460"/>
      <w:r>
        <w:rPr>
          <w:rFonts w:hint="eastAsia" w:ascii="仿宋" w:hAnsi="仿宋" w:eastAsia="仿宋" w:cs="仿宋"/>
          <w:color w:val="000000" w:themeColor="text1"/>
          <w:sz w:val="24"/>
          <w:szCs w:val="24"/>
          <w14:textFill>
            <w14:solidFill>
              <w14:schemeClr w14:val="tx1"/>
            </w14:solidFill>
          </w14:textFill>
        </w:rPr>
        <w:t xml:space="preserve">8.</w:t>
      </w:r>
      <w:bookmarkEnd w:id="53"/>
      <w:r>
        <w:rPr>
          <w:rFonts w:hint="eastAsia" w:ascii="仿宋" w:hAnsi="仿宋" w:eastAsia="仿宋" w:cs="仿宋"/>
          <w:color w:val="000000" w:themeColor="text1"/>
          <w:sz w:val="24"/>
          <w:szCs w:val="24"/>
          <w14:textFill>
            <w14:solidFill>
              <w14:schemeClr w14:val="tx1"/>
            </w14:solidFill>
          </w14:textFill>
        </w:rPr>
        <w:t xml:space="preserve">投标文件的语言、计量单位、货币</w:t>
      </w:r>
      <w:bookmarkEnd w:id="54"/>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8.1供应商提交的投标文件（包括技术文件和资料、图纸中的说明）以及供应商与采购代理机构之间就有关投标的所有来往函电均应以简体中文书写。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55" w:name="_Toc19298"/>
      <w:r>
        <w:rPr>
          <w:rFonts w:hint="eastAsia" w:ascii="仿宋" w:hAnsi="仿宋" w:eastAsia="仿宋" w:cs="仿宋"/>
          <w:color w:val="000000" w:themeColor="text1"/>
          <w:sz w:val="24"/>
          <w:szCs w:val="24"/>
          <w14:textFill>
            <w14:solidFill>
              <w14:schemeClr w14:val="tx1"/>
            </w14:solidFill>
          </w14:textFill>
        </w:rPr>
        <w:t xml:space="preserve">8.3除招标文件中有特殊要求外，招标文件中所使用的计量单位应为国家法定计量单位。</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8.4本招标文件所表述的时间均为北京时间。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8.5所有投标响应报价具体详见投标人须知前附表。</w:t>
      </w:r>
      <w:bookmarkEnd w:id="55"/>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56" w:name="_Toc22790"/>
      <w:r/>
      <w:bookmarkStart w:id="57" w:name="_Toc6681"/>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.投标文件</w:t>
      </w:r>
      <w:r>
        <w:rPr>
          <w:rFonts w:hint="eastAsia" w:ascii="仿宋" w:hAnsi="仿宋" w:eastAsia="仿宋" w:cs="仿宋"/>
          <w:color w:val="000000" w:themeColor="text1"/>
          <w:sz w:val="24"/>
          <w:szCs w:val="24"/>
          <w:lang w:val="en-US" w:eastAsia="zh-CN"/>
          <w14:textFill>
            <w14:solidFill>
              <w14:schemeClr w14:val="tx1"/>
            </w14:solidFill>
          </w14:textFill>
        </w:rPr>
        <w:t xml:space="preserve">的</w:t>
      </w:r>
      <w:bookmarkEnd w:id="56"/>
      <w:r>
        <w:rPr>
          <w:rFonts w:hint="eastAsia" w:ascii="仿宋" w:hAnsi="仿宋" w:eastAsia="仿宋" w:cs="仿宋"/>
          <w:color w:val="000000" w:themeColor="text1"/>
          <w:sz w:val="24"/>
          <w:szCs w:val="24"/>
          <w:lang w:val="en-US" w:eastAsia="zh-CN"/>
          <w14:textFill>
            <w14:solidFill>
              <w14:schemeClr w14:val="tx1"/>
            </w14:solidFill>
          </w14:textFill>
        </w:rPr>
        <w:t xml:space="preserve">组成</w:t>
      </w:r>
      <w:bookmarkEnd w:id="57"/>
      <w:r>
        <w:rPr>
          <w:rFonts w:hint="eastAsia" w:ascii="仿宋" w:hAnsi="仿宋" w:eastAsia="仿宋" w:cs="仿宋"/>
          <w:color w:val="000000" w:themeColor="text1"/>
          <w:sz w:val="24"/>
          <w:szCs w:val="24"/>
          <w:lang w:val="en-US" w:eastAsia="zh-CN"/>
          <w14:textFill>
            <w14:solidFill>
              <w14:schemeClr w14:val="tx1"/>
            </w14:solidFill>
          </w14:textFill>
        </w:rPr>
        <w:t xml:space="preserve">（相应内容上传至投标客户端）：</w:t>
      </w:r>
      <w:bookmarkStart w:id="58" w:name="_Toc31206"/>
      <w:r/>
      <w:bookmarkStart w:id="59" w:name="_Toc15215"/>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.1供应商应当根据</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文件要求编制</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，并根据自己的商务能力、技术水平对</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文件提出的要求和条件逐条标明是否响应。</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由商务部分、技术部分、价格部分，以及其他部分组成。</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的商务部分。商务部分是证明供应商有资格参加</w:t>
      </w:r>
      <w:r>
        <w:rPr>
          <w:rFonts w:hint="eastAsia" w:ascii="仿宋" w:hAnsi="仿宋" w:eastAsia="仿宋" w:cs="仿宋"/>
          <w:color w:val="000000" w:themeColor="text1"/>
          <w:sz w:val="24"/>
          <w:szCs w:val="24"/>
          <w:lang w:val="en-US" w:eastAsia="zh-CN"/>
          <w14:textFill>
            <w14:solidFill>
              <w14:schemeClr w14:val="tx1"/>
            </w14:solidFill>
          </w14:textFill>
        </w:rPr>
        <w:t xml:space="preserve">评审</w:t>
      </w:r>
      <w:r>
        <w:rPr>
          <w:rFonts w:hint="eastAsia" w:ascii="仿宋" w:hAnsi="仿宋" w:eastAsia="仿宋" w:cs="仿宋"/>
          <w:color w:val="000000" w:themeColor="text1"/>
          <w:sz w:val="24"/>
          <w:szCs w:val="24"/>
          <w14:textFill>
            <w14:solidFill>
              <w14:schemeClr w14:val="tx1"/>
            </w14:solidFill>
          </w14:textFill>
        </w:rPr>
        <w:t xml:space="preserve">和成交后有能力履行合同的文件，这些文件应能满足</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文件的要求，包括但不限于下列文件，其中加“★”项目不得有缺失或无效</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未按要求提供视为无效投标</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w:t>
      </w:r>
      <w:r>
        <w:rPr>
          <w:rFonts w:hint="eastAsia" w:ascii="仿宋" w:hAnsi="仿宋" w:eastAsia="仿宋" w:cs="仿宋"/>
          <w:color w:val="000000" w:themeColor="text1"/>
          <w:sz w:val="24"/>
          <w:szCs w:val="24"/>
          <w:lang w:val="en-US" w:eastAsia="zh-CN"/>
          <w14:textFill>
            <w14:solidFill>
              <w14:schemeClr w14:val="tx1"/>
            </w14:solidFill>
          </w14:textFill>
        </w:rPr>
        <w:t xml:space="preserve">函</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（2）★法定代表人</w:t>
      </w:r>
      <w:r>
        <w:rPr>
          <w:rFonts w:hint="eastAsia" w:ascii="仿宋" w:hAnsi="仿宋" w:eastAsia="仿宋" w:cs="仿宋"/>
          <w:color w:val="000000" w:themeColor="text1"/>
          <w:sz w:val="24"/>
          <w:szCs w:val="24"/>
          <w:lang w:val="en-US" w:eastAsia="zh-CN"/>
          <w14:textFill>
            <w14:solidFill>
              <w14:schemeClr w14:val="tx1"/>
            </w14:solidFill>
          </w14:textFill>
        </w:rPr>
        <w:t xml:space="preserve">授权</w:t>
      </w:r>
      <w:r>
        <w:rPr>
          <w:rFonts w:hint="eastAsia" w:ascii="仿宋" w:hAnsi="仿宋" w:eastAsia="仿宋" w:cs="仿宋"/>
          <w:color w:val="000000" w:themeColor="text1"/>
          <w:sz w:val="24"/>
          <w:szCs w:val="24"/>
          <w14:textFill>
            <w14:solidFill>
              <w14:schemeClr w14:val="tx1"/>
            </w14:solidFill>
          </w14:textFill>
        </w:rPr>
        <w:t xml:space="preserve">书</w:t>
      </w:r>
      <w:r>
        <w:rPr>
          <w:rFonts w:hint="eastAsia" w:ascii="仿宋" w:hAnsi="仿宋" w:eastAsia="仿宋" w:cs="仿宋"/>
          <w:color w:val="000000" w:themeColor="text1"/>
          <w:sz w:val="24"/>
          <w:szCs w:val="24"/>
          <w:lang w:val="en-US" w:eastAsia="zh-CN"/>
          <w14:textFill>
            <w14:solidFill>
              <w14:schemeClr w14:val="tx1"/>
            </w14:solidFill>
          </w14:textFill>
        </w:rPr>
        <w:t xml:space="preserve">需有</w:t>
      </w:r>
      <w:r>
        <w:rPr>
          <w:rFonts w:hint="eastAsia" w:ascii="仿宋" w:hAnsi="仿宋" w:eastAsia="仿宋" w:cs="仿宋"/>
          <w:color w:val="000000" w:themeColor="text1"/>
          <w:sz w:val="24"/>
          <w:szCs w:val="24"/>
          <w14:textFill>
            <w14:solidFill>
              <w14:schemeClr w14:val="tx1"/>
            </w14:solidFill>
          </w14:textFill>
        </w:rPr>
        <w:t xml:space="preserve">法定代表人及</w:t>
      </w:r>
      <w:r>
        <w:rPr>
          <w:rFonts w:hint="eastAsia" w:ascii="仿宋" w:hAnsi="仿宋" w:eastAsia="仿宋" w:cs="仿宋"/>
          <w:color w:val="000000" w:themeColor="text1"/>
          <w:sz w:val="24"/>
          <w:szCs w:val="24"/>
          <w:lang w:val="zh-CN"/>
          <w14:textFill>
            <w14:solidFill>
              <w14:schemeClr w14:val="tx1"/>
            </w14:solidFill>
          </w14:textFill>
        </w:rPr>
        <w:t xml:space="preserve">被授权人</w:t>
      </w:r>
      <w:r>
        <w:rPr>
          <w:rFonts w:hint="eastAsia" w:ascii="仿宋" w:hAnsi="仿宋" w:eastAsia="仿宋" w:cs="仿宋"/>
          <w:color w:val="000000" w:themeColor="text1"/>
          <w:sz w:val="24"/>
          <w:szCs w:val="24"/>
          <w14:textFill>
            <w14:solidFill>
              <w14:schemeClr w14:val="tx1"/>
            </w14:solidFill>
          </w14:textFill>
        </w:rPr>
        <w:t xml:space="preserve">的身份证</w:t>
      </w:r>
      <w:r>
        <w:rPr>
          <w:rFonts w:hint="eastAsia" w:ascii="仿宋" w:hAnsi="仿宋" w:eastAsia="仿宋" w:cs="仿宋"/>
          <w:color w:val="000000" w:themeColor="text1"/>
          <w:sz w:val="24"/>
          <w:szCs w:val="24"/>
          <w:lang w:val="en-US" w:eastAsia="zh-CN"/>
          <w14:textFill>
            <w14:solidFill>
              <w14:schemeClr w14:val="tx1"/>
            </w14:solidFill>
          </w14:textFill>
        </w:rPr>
        <w:t xml:space="preserve">扫描</w:t>
      </w:r>
      <w:r>
        <w:rPr>
          <w:rFonts w:hint="eastAsia" w:ascii="仿宋" w:hAnsi="仿宋" w:eastAsia="仿宋" w:cs="仿宋"/>
          <w:color w:val="000000" w:themeColor="text1"/>
          <w:sz w:val="24"/>
          <w:szCs w:val="24"/>
          <w14:textFill>
            <w14:solidFill>
              <w14:schemeClr w14:val="tx1"/>
            </w14:solidFill>
          </w14:textFill>
        </w:rPr>
        <w:t xml:space="preserve">件</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同时还需有</w:t>
      </w:r>
      <w:r>
        <w:rPr>
          <w:rFonts w:hint="eastAsia" w:ascii="仿宋" w:hAnsi="仿宋" w:eastAsia="仿宋" w:cs="仿宋"/>
          <w:color w:val="000000" w:themeColor="text1"/>
          <w:sz w:val="24"/>
          <w:szCs w:val="24"/>
          <w14:textFill>
            <w14:solidFill>
              <w14:schemeClr w14:val="tx1"/>
            </w14:solidFill>
          </w14:textFill>
        </w:rPr>
        <w:t xml:space="preserve">法定代表人及</w:t>
      </w:r>
      <w:r>
        <w:rPr>
          <w:rFonts w:hint="eastAsia" w:ascii="仿宋" w:hAnsi="仿宋" w:eastAsia="仿宋" w:cs="仿宋"/>
          <w:color w:val="000000" w:themeColor="text1"/>
          <w:sz w:val="24"/>
          <w:szCs w:val="24"/>
          <w:lang w:val="zh-CN"/>
          <w14:textFill>
            <w14:solidFill>
              <w14:schemeClr w14:val="tx1"/>
            </w14:solidFill>
          </w14:textFill>
        </w:rPr>
        <w:t xml:space="preserve">被授权人</w:t>
      </w:r>
      <w:r>
        <w:rPr>
          <w:rFonts w:hint="eastAsia" w:ascii="仿宋" w:hAnsi="仿宋" w:eastAsia="仿宋" w:cs="仿宋"/>
          <w:color w:val="000000" w:themeColor="text1"/>
          <w:sz w:val="24"/>
          <w:szCs w:val="24"/>
          <w:lang w:val="en-US" w:eastAsia="zh-CN"/>
          <w14:textFill>
            <w14:solidFill>
              <w14:schemeClr w14:val="tx1"/>
            </w14:solidFill>
          </w14:textFill>
        </w:rPr>
        <w:t xml:space="preserve">签字或盖章。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（3）★第一章</w:t>
      </w:r>
      <w:r>
        <w:rPr>
          <w:rFonts w:hint="eastAsia" w:ascii="仿宋" w:hAnsi="仿宋" w:eastAsia="仿宋" w:cs="仿宋"/>
          <w:color w:val="000000" w:themeColor="text1"/>
          <w:sz w:val="24"/>
          <w:szCs w:val="24"/>
          <w:lang w:val="en-US" w:eastAsia="zh-CN"/>
          <w14:textFill>
            <w14:solidFill>
              <w14:schemeClr w14:val="tx1"/>
            </w14:solidFill>
          </w14:textFill>
        </w:rPr>
        <w:t xml:space="preserve">招标邀请</w:t>
      </w:r>
      <w:r>
        <w:rPr>
          <w:rFonts w:hint="eastAsia" w:ascii="仿宋" w:hAnsi="仿宋" w:eastAsia="仿宋" w:cs="仿宋"/>
          <w:color w:val="000000" w:themeColor="text1"/>
          <w:sz w:val="24"/>
          <w:szCs w:val="24"/>
          <w14:textFill>
            <w14:solidFill>
              <w14:schemeClr w14:val="tx1"/>
            </w14:solidFill>
          </w14:textFill>
        </w:rPr>
        <w:t xml:space="preserve">中</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一</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《中华人民共和国政府采购法》规定的资格条件证明文件；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（4）★第一章</w:t>
      </w:r>
      <w:r>
        <w:rPr>
          <w:rFonts w:hint="eastAsia" w:ascii="仿宋" w:hAnsi="仿宋" w:eastAsia="仿宋" w:cs="仿宋"/>
          <w:color w:val="000000" w:themeColor="text1"/>
          <w:sz w:val="24"/>
          <w:szCs w:val="24"/>
          <w:lang w:val="en-US" w:eastAsia="zh-CN"/>
          <w14:textFill>
            <w14:solidFill>
              <w14:schemeClr w14:val="tx1"/>
            </w14:solidFill>
          </w14:textFill>
        </w:rPr>
        <w:t xml:space="preserve">招标邀请</w:t>
      </w:r>
      <w:r>
        <w:rPr>
          <w:rFonts w:hint="eastAsia" w:ascii="仿宋" w:hAnsi="仿宋" w:eastAsia="仿宋" w:cs="仿宋"/>
          <w:color w:val="000000" w:themeColor="text1"/>
          <w:sz w:val="24"/>
          <w:szCs w:val="24"/>
          <w14:textFill>
            <w14:solidFill>
              <w14:schemeClr w14:val="tx1"/>
            </w14:solidFill>
          </w14:textFill>
        </w:rPr>
        <w:t xml:space="preserve">中</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三</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采购人根据采购项目的特殊要求规定的特定资格条件证明文件；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（5）★《商务条款偏离表》；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w:t>
      </w:r>
      <w:r>
        <w:rPr>
          <w:rFonts w:hint="eastAsia" w:ascii="仿宋" w:hAnsi="仿宋" w:eastAsia="仿宋" w:cs="仿宋"/>
          <w:color w:val="000000" w:themeColor="text1"/>
          <w:sz w:val="24"/>
          <w:szCs w:val="24"/>
          <w:lang w:val="en-US" w:eastAsia="zh-CN"/>
          <w14:textFill>
            <w14:solidFill>
              <w14:schemeClr w14:val="tx1"/>
            </w14:solidFill>
          </w14:textFill>
        </w:rPr>
        <w:t xml:space="preserve">开标一览</w:t>
      </w:r>
      <w:r>
        <w:rPr>
          <w:rFonts w:hint="eastAsia" w:ascii="仿宋" w:hAnsi="仿宋" w:eastAsia="仿宋" w:cs="仿宋"/>
          <w:color w:val="000000" w:themeColor="text1"/>
          <w:sz w:val="24"/>
          <w:szCs w:val="24"/>
          <w14:textFill>
            <w14:solidFill>
              <w14:schemeClr w14:val="tx1"/>
            </w14:solidFill>
          </w14:textFill>
        </w:rPr>
        <w:t xml:space="preserve">表》；</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★《南京市政府采购供应商信用记录表暨信用承诺书》</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供应商资格承诺函</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）供应商认为需要提供的其他资格证明文件和商务资料。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的技术部分。技术部分是证明供应商提供的服务是合格的，并符合</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文件要求的证明文件，以及对服务的详细说明，这些文件可以是文字资料、图纸和数据等。提供的服务如与</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文件要求有不符之处，应说明其差别之所在。包括但不限于下列文件：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（1）★《技术条款偏离表》；</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）★《分项报价表》；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14:textFill>
            <w14:solidFill>
              <w14:schemeClr w14:val="tx1"/>
            </w14:solidFill>
          </w14:textFill>
        </w:rPr>
        <w:t xml:space="preserve">方案；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）供应商认为需要提供的其他技术资料。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.4★</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的价格部分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）供应商应充分考虑到市场价格变动，以及项目实施过程中的不可预见因素，一旦成交，总价格不变。如果有漏项，视同让利。</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en-US"/>
          <w14:textFill>
            <w14:solidFill>
              <w14:schemeClr w14:val="tx1"/>
            </w14:solidFill>
          </w14:textFill>
        </w:rPr>
        <w:t xml:space="preserve">（供应商根据以上要求提供相应承诺书，格式自拟）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.投标文件的有效期</w:t>
      </w:r>
      <w:bookmarkEnd w:id="58"/>
      <w:r/>
      <w:bookmarkEnd w:id="59"/>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60" w:name="_Toc6811"/>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.1自开标之日起90天内，投标文件应保持有效，有效期短于此规定的投标文件将视为无效。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61" w:name="_Toc21944"/>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w:t>
      </w:r>
      <w:bookmarkEnd w:id="60"/>
      <w:r/>
      <w:bookmarkEnd w:id="61"/>
      <w:r>
        <w:rPr>
          <w:rFonts w:hint="eastAsia" w:ascii="仿宋" w:hAnsi="仿宋" w:eastAsia="仿宋" w:cs="仿宋"/>
          <w:color w:val="000000" w:themeColor="text1"/>
          <w:sz w:val="24"/>
          <w:szCs w:val="24"/>
          <w14:textFill>
            <w14:solidFill>
              <w14:schemeClr w14:val="tx1"/>
            </w14:solidFill>
          </w14:textFill>
        </w:rPr>
        <w:t xml:space="preserve">投标文件的编制要求和签署要求</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62" w:name="_Toc27455"/>
      <w:r>
        <w:rPr>
          <w:rFonts w:hint="eastAsia" w:ascii="仿宋" w:hAnsi="仿宋" w:eastAsia="仿宋" w:cs="仿宋"/>
          <w:color w:val="000000" w:themeColor="text1"/>
          <w:sz w:val="24"/>
          <w:szCs w:val="24"/>
          <w:lang w:val="en-US" w:eastAsia="zh-CN"/>
          <w14:textFill>
            <w14:solidFill>
              <w14:schemeClr w14:val="tx1"/>
            </w14:solidFill>
          </w14:textFill>
        </w:rPr>
        <w:t xml:space="preserve">11.1</w:t>
      </w:r>
      <w:r>
        <w:rPr>
          <w:rFonts w:hint="eastAsia" w:ascii="仿宋" w:hAnsi="仿宋" w:eastAsia="仿宋" w:cs="仿宋"/>
          <w:color w:val="000000" w:themeColor="text1"/>
          <w:sz w:val="24"/>
          <w:szCs w:val="24"/>
          <w14:textFill>
            <w14:solidFill>
              <w14:schemeClr w14:val="tx1"/>
            </w14:solidFill>
          </w14:textFill>
        </w:rPr>
        <w:t xml:space="preserve">投标人应由其法定代表人或法定代表人授权代表在规定的网上投标时间，凭CA证书登陆“苏采云”系统在线编制投标文件（电子数据），并在投标截止时间之前上传投标文件。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11.2</w:t>
      </w:r>
      <w:r>
        <w:rPr>
          <w:rFonts w:hint="eastAsia" w:ascii="仿宋" w:hAnsi="仿宋" w:eastAsia="仿宋" w:cs="仿宋"/>
          <w:color w:val="000000" w:themeColor="text1"/>
          <w:sz w:val="24"/>
          <w:szCs w:val="24"/>
          <w14:textFill>
            <w14:solidFill>
              <w14:schemeClr w14:val="tx1"/>
            </w14:solidFill>
          </w14:textFill>
        </w:rPr>
        <w:t xml:space="preserve">投标人应对CA证书妥善保管，如被他人盗用投标，因此带来的结果均由投标人自行承担。</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11.3</w:t>
      </w:r>
      <w:r>
        <w:rPr>
          <w:rFonts w:hint="eastAsia" w:ascii="仿宋" w:hAnsi="仿宋" w:eastAsia="仿宋" w:cs="仿宋"/>
          <w:color w:val="000000" w:themeColor="text1"/>
          <w:sz w:val="24"/>
          <w:szCs w:val="24"/>
          <w14:textFill>
            <w14:solidFill>
              <w14:schemeClr w14:val="tx1"/>
            </w14:solidFill>
          </w14:textFill>
        </w:rPr>
        <w:t xml:space="preserve">投标人应当对招标文件提出的要求和条件作出实质性响应，并在电子投标系统逐条应答。</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11.4</w:t>
      </w:r>
      <w:r>
        <w:rPr>
          <w:rFonts w:hint="eastAsia" w:ascii="仿宋" w:hAnsi="仿宋" w:eastAsia="仿宋" w:cs="仿宋"/>
          <w:color w:val="000000" w:themeColor="text1"/>
          <w:sz w:val="24"/>
          <w:szCs w:val="24"/>
          <w14:textFill>
            <w14:solidFill>
              <w14:schemeClr w14:val="tx1"/>
            </w14:solidFill>
          </w14:textFill>
        </w:rPr>
        <w:t xml:space="preserve">投标人应对要求提供的资格证明文件（如资质证书、资格证书）、技术资料（如白皮书、彩页、手册、检测报告等）扫描上传至投标系统。</w:t>
      </w:r>
      <w:r/>
    </w:p>
    <w:p>
      <w:pPr>
        <w:ind w:left="0" w:firstLine="482"/>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bookmarkStart w:id="63" w:name="_Toc9506"/>
      <w:r>
        <w:rPr>
          <w:rFonts w:hint="eastAsia" w:ascii="仿宋" w:hAnsi="仿宋" w:eastAsia="仿宋" w:cs="仿宋"/>
          <w:b/>
          <w:bCs/>
          <w:color w:val="000000" w:themeColor="text1"/>
          <w:sz w:val="24"/>
          <w:szCs w:val="24"/>
          <w14:textFill>
            <w14:solidFill>
              <w14:schemeClr w14:val="tx1"/>
            </w14:solidFill>
          </w14:textFill>
        </w:rPr>
        <w:t xml:space="preserve">四、投标文件的递交</w:t>
      </w:r>
      <w:bookmarkEnd w:id="62"/>
      <w:r/>
      <w:bookmarkEnd w:id="63"/>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64" w:name="_Toc462564084"/>
      <w:r/>
      <w:bookmarkStart w:id="65" w:name="_Toc20823297"/>
      <w:r/>
      <w:bookmarkStart w:id="66" w:name="_Toc513029225"/>
      <w:r/>
      <w:bookmarkStart w:id="67" w:name="_Toc16938541"/>
      <w:r/>
      <w:bookmarkStart w:id="68" w:name="_Toc15509"/>
      <w:r/>
      <w:bookmarkStart w:id="69" w:name="_Toc415"/>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电子投标文件</w:t>
      </w:r>
      <w:bookmarkEnd w:id="64"/>
      <w:r/>
      <w:bookmarkEnd w:id="65"/>
      <w:r/>
      <w:bookmarkEnd w:id="66"/>
      <w:r/>
      <w:bookmarkEnd w:id="67"/>
      <w:r>
        <w:rPr>
          <w:rFonts w:hint="eastAsia" w:ascii="仿宋" w:hAnsi="仿宋" w:eastAsia="仿宋" w:cs="仿宋"/>
          <w:color w:val="000000" w:themeColor="text1"/>
          <w:sz w:val="24"/>
          <w:szCs w:val="24"/>
          <w14:textFill>
            <w14:solidFill>
              <w14:schemeClr w14:val="tx1"/>
            </w14:solidFill>
          </w14:textFill>
        </w:rPr>
        <w:t xml:space="preserve">的递交</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.1投标人应当按照规定，在投标截止时间前制作并上传电子投标文件。</w:t>
      </w:r>
      <w:bookmarkStart w:id="70" w:name="_Toc16938542"/>
      <w:r/>
      <w:bookmarkEnd w:id="70"/>
      <w:r/>
      <w:bookmarkStart w:id="71" w:name="_Toc20823298"/>
      <w:r/>
      <w:bookmarkEnd w:id="71"/>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投标截止日期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.1投标人上传电子投标文件的时间不得迟于招标公告中规定的投标截止时间。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.2采购人及采购代理机构可以按照规定，通过修改招标文件酌情延长投标截止日期，在此情况下，投标人的所有权利和义务以及投标人受制的截止日期均应以延长后新的截止日期为准。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72" w:name="_Toc513029227"/>
      <w:r/>
      <w:bookmarkStart w:id="73" w:name="_Toc16938543"/>
      <w:r/>
      <w:bookmarkStart w:id="74" w:name="_Toc20823299"/>
      <w:r>
        <w:rPr>
          <w:rFonts w:hint="eastAsia" w:ascii="仿宋" w:hAnsi="仿宋" w:eastAsia="仿宋" w:cs="仿宋"/>
          <w:color w:val="000000" w:themeColor="text1"/>
          <w:sz w:val="24"/>
          <w:szCs w:val="24"/>
          <w:lang w:val="en-US" w:eastAsia="zh-CN"/>
          <w14:textFill>
            <w14:solidFill>
              <w14:schemeClr w14:val="tx1"/>
            </w14:solidFill>
          </w14:textFill>
        </w:rPr>
        <w:t xml:space="preserve">14.</w:t>
      </w:r>
      <w:r>
        <w:rPr>
          <w:rFonts w:hint="eastAsia" w:ascii="仿宋" w:hAnsi="仿宋" w:eastAsia="仿宋" w:cs="仿宋"/>
          <w:color w:val="000000" w:themeColor="text1"/>
          <w:sz w:val="24"/>
          <w:szCs w:val="24"/>
          <w14:textFill>
            <w14:solidFill>
              <w14:schemeClr w14:val="tx1"/>
            </w14:solidFill>
          </w14:textFill>
        </w:rPr>
        <w:t xml:space="preserve">投标文件</w:t>
      </w:r>
      <w:bookmarkEnd w:id="72"/>
      <w:r/>
      <w:bookmarkEnd w:id="73"/>
      <w:r/>
      <w:bookmarkEnd w:id="74"/>
      <w:r>
        <w:rPr>
          <w:rFonts w:hint="eastAsia" w:ascii="仿宋" w:hAnsi="仿宋" w:eastAsia="仿宋" w:cs="仿宋"/>
          <w:color w:val="000000" w:themeColor="text1"/>
          <w:sz w:val="24"/>
          <w:szCs w:val="24"/>
          <w14:textFill>
            <w14:solidFill>
              <w14:schemeClr w14:val="tx1"/>
            </w14:solidFill>
          </w14:textFill>
        </w:rPr>
        <w:t xml:space="preserve">的拒收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14</w:t>
      </w:r>
      <w:r>
        <w:rPr>
          <w:rFonts w:hint="eastAsia" w:ascii="仿宋" w:hAnsi="仿宋" w:eastAsia="仿宋" w:cs="仿宋"/>
          <w:color w:val="000000" w:themeColor="text1"/>
          <w:sz w:val="24"/>
          <w:szCs w:val="24"/>
          <w14:textFill>
            <w14:solidFill>
              <w14:schemeClr w14:val="tx1"/>
            </w14:solidFill>
          </w14:textFill>
        </w:rPr>
        <w:t xml:space="preserve">.1采购人及采购代理机构拒绝接收在其规定的投标截止时间后上传的任何投标文件。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75" w:name="_Toc16938544"/>
      <w:r/>
      <w:bookmarkStart w:id="76" w:name="_Toc20823300"/>
      <w:r/>
      <w:bookmarkStart w:id="77" w:name="_Toc513029228"/>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投标文件的撤回和修改</w:t>
      </w:r>
      <w:bookmarkEnd w:id="75"/>
      <w:r/>
      <w:bookmarkEnd w:id="76"/>
      <w:r/>
      <w:bookmarkEnd w:id="77"/>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.1投标文件的撤回</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.1.1电子投标文件的撤回</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投标人可在投标截止时间前，撤回其电子投标文件。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.1.2投标人撤回电子投标文件，则认为其不再参与本项目投标活动。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.2投标文件的修改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.2.1投标人可在投标截止时间前，对其电子投标文件进行修改。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.2.2在投标截止时间之后，投标人不得对其电子投标文件作任何修改。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.3在投标截止时间至招标文件中规定的投标有效期满之间的这段时间内，投标人不得撤回其投标。</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五、开标与评标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78" w:name="_Toc20683"/>
      <w:r/>
      <w:bookmarkStart w:id="79" w:name="_Toc15345"/>
      <w:r/>
      <w:bookmarkStart w:id="80" w:name="_Toc3679"/>
      <w:r/>
      <w:bookmarkStart w:id="81" w:name="OLE_LINK7"/>
      <w:r/>
      <w:bookmarkStart w:id="82" w:name="_Toc13829"/>
      <w:r/>
      <w:bookmarkStart w:id="83" w:name="_Toc6944"/>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.开标</w:t>
      </w:r>
      <w:bookmarkEnd w:id="78"/>
      <w:r/>
      <w:bookmarkEnd w:id="79"/>
      <w:r/>
      <w:bookmarkEnd w:id="80"/>
      <w:r/>
      <w:bookmarkEnd w:id="81"/>
      <w:r/>
      <w:bookmarkEnd w:id="82"/>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16.1</w:t>
      </w:r>
      <w:r>
        <w:rPr>
          <w:rFonts w:hint="eastAsia" w:ascii="仿宋" w:hAnsi="仿宋" w:eastAsia="仿宋" w:cs="仿宋"/>
          <w:color w:val="000000" w:themeColor="text1"/>
          <w:sz w:val="24"/>
          <w:szCs w:val="24"/>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16.2</w:t>
      </w:r>
      <w:r>
        <w:rPr>
          <w:rFonts w:hint="eastAsia" w:ascii="仿宋" w:hAnsi="仿宋" w:eastAsia="仿宋" w:cs="仿宋"/>
          <w:color w:val="000000" w:themeColor="text1"/>
          <w:sz w:val="24"/>
          <w:szCs w:val="24"/>
          <w14:textFill>
            <w14:solidFill>
              <w14:schemeClr w14:val="tx1"/>
            </w14:solidFill>
          </w14:textFill>
        </w:rPr>
        <w:t xml:space="preserve">由电子招标投标交易平台主持，邀请投标人参加。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16.3</w:t>
      </w:r>
      <w:r>
        <w:rPr>
          <w:rFonts w:hint="eastAsia" w:ascii="仿宋" w:hAnsi="仿宋" w:eastAsia="仿宋" w:cs="仿宋"/>
          <w:color w:val="000000" w:themeColor="text1"/>
          <w:sz w:val="24"/>
          <w:szCs w:val="24"/>
          <w14:textFill>
            <w14:solidFill>
              <w14:schemeClr w14:val="tx1"/>
            </w14:solidFill>
          </w14:textFill>
        </w:rPr>
        <w:t xml:space="preserve">所有投标单位使用CA证书在开标时间时，解密各自投标文件，由工作人员操作系统进行开标，投标人不足3家的，不得开标。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16.4</w:t>
      </w:r>
      <w:r>
        <w:rPr>
          <w:rFonts w:hint="eastAsia" w:ascii="仿宋" w:hAnsi="仿宋" w:eastAsia="仿宋" w:cs="仿宋"/>
          <w:color w:val="000000" w:themeColor="text1"/>
          <w:sz w:val="24"/>
          <w:szCs w:val="24"/>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.资格性审查：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.1开标结束后，采购人或者采购代理机构应当依据法律法规和采购文件的规定，对投标人的资格进行审查，以确定投标供应商提供资格证明的合法性、真实性，是否具备投标资格。</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.2信用信息查询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.3</w:t>
      </w:r>
      <w:bookmarkEnd w:id="83"/>
      <w:r/>
      <w:bookmarkStart w:id="84" w:name="_Toc30296"/>
      <w:r/>
      <w:bookmarkStart w:id="85" w:name="_Toc20823303"/>
      <w:r/>
      <w:bookmarkStart w:id="86" w:name="_Toc16938547"/>
      <w:r/>
      <w:bookmarkStart w:id="87" w:name="_Toc29284"/>
      <w:r/>
      <w:bookmarkStart w:id="88" w:name="_Toc513029231"/>
      <w:r>
        <w:rPr>
          <w:rFonts w:hint="eastAsia" w:ascii="仿宋" w:hAnsi="仿宋" w:eastAsia="仿宋" w:cs="仿宋"/>
          <w:color w:val="000000" w:themeColor="text1"/>
          <w:sz w:val="24"/>
          <w:szCs w:val="24"/>
          <w14:textFill>
            <w14:solidFill>
              <w14:schemeClr w14:val="tx1"/>
            </w14:solidFill>
          </w14:textFill>
        </w:rPr>
        <w:t xml:space="preserve">通过资格性审查合格的投标人不足3家的，不得评标。</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.评标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.1评标组织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.1评标工作由采购代理机构负责组织，具体评标事务由依法组建的评标委员会负责，并独立履行下列职责：</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（1）审查、评价投标文件是否符合招标文件的商务、技术等实质性要求；</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（2）要求投标人对投标文件有关事项作出澄清或者说明；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（3）对投标文件进行比较和评价；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（4）确定中标候选人名单，以及根据采购人委托直接确定中标人；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（5）向采购人、采购代理机构或者有关部门报告评标中发现的违法行为。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.2评标委员会由采购人代表和有关技术、经济等方面的专家组成，独立开展评审工作且评标委员会人员构成符合有关规定。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89" w:name="_Toc16288"/>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.3对投标文件的符合性审查</w:t>
      </w:r>
      <w:bookmarkEnd w:id="89"/>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必须”字样说明的商务和技术要求。</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.3.3评审时，投标文件出现不一致情形的，按下列规定执行：</w:t>
      </w:r>
      <w:r/>
    </w:p>
    <w:p>
      <w:pPr>
        <w:ind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投标文件报价出现前后不一致的，按照下列规定修正：</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（2）大写金额和小写金额不一致的，以大写金额为准；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（4）总价金额与按单价汇总金额不一致的，以单价金额计算结果为准。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4"/>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bookmarkStart w:id="90" w:name="_Toc26857"/>
      <w:r/>
      <w:bookmarkStart w:id="91" w:name="_Toc13685"/>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.4投标文件的澄清</w:t>
      </w:r>
      <w:bookmarkEnd w:id="90"/>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19.4.1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.4.2评标委员会应当通过“苏采云”系统要求投标人作出澄清、说明或者补正，并规定回复时间。投标人</w:t>
      </w:r>
      <w:r>
        <w:rPr>
          <w:rFonts w:hint="eastAsia" w:ascii="仿宋" w:hAnsi="仿宋" w:eastAsia="仿宋" w:cs="仿宋"/>
          <w:color w:val="000000" w:themeColor="text1"/>
          <w:sz w:val="24"/>
          <w:szCs w:val="24"/>
          <w:lang w:val="en-US" w:eastAsia="zh-CN"/>
          <w14:textFill>
            <w14:solidFill>
              <w14:schemeClr w14:val="tx1"/>
            </w14:solidFill>
          </w14:textFill>
        </w:rPr>
        <w:t xml:space="preserve">回复</w:t>
      </w:r>
      <w:r>
        <w:rPr>
          <w:rFonts w:hint="eastAsia" w:ascii="仿宋" w:hAnsi="仿宋" w:eastAsia="仿宋" w:cs="仿宋"/>
          <w:color w:val="000000" w:themeColor="text1"/>
          <w:sz w:val="24"/>
          <w:szCs w:val="24"/>
          <w14:textFill>
            <w14:solidFill>
              <w14:schemeClr w14:val="tx1"/>
            </w14:solidFill>
          </w14:textFill>
        </w:rPr>
        <w:t xml:space="preserve">应当采用通过“苏采云”系统（使用“CA数字证书”,加盖电子签章）形式，将作为投标文件内容的一部分。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.4.3供应商澄清、说明或者补正不得超出投标文件的范围或者改变投标文件的实质性内容。供应商拒不按照要求对投标文件进行澄清、说明或者补正的，视其放弃该项权利。</w:t>
      </w:r>
      <w:bookmarkEnd w:id="91"/>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.5比较与评价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.5.1投标文件资格性检查和符合性检查结束后，凡属于“无效投标文件确认”的投标文件不进入比较与评价程序。</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.5.2评标委员会应当按照招标文件中规定的评标方法和标准，对符合性审查合格的投标文件进行商务和技术评估，综合比较与评价。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5.3除评标方法和评标标准另有规定外，评标采用综合评分法。即投标文件满足招标文件全部实质性要求，且按照评审因素的量化指标评审得分最高的供应商为中标候选供应商的评标方法。评标时，评标委员会各成员应当独立对每个投标人的投标文件进行评价，并汇总每个投标人的得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.5.4评审因素包括投标报价、技术或者服务水平、履约能力、售后服务等。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.5.5评标方法和评标标准详见文件第三章。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.6投标供应商存在下列情况之一的，其投标无效：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（1）投标人在苏采云系统规定的时间内未成功解密电子投标文件的。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（2）投标人未按照招标文件要求上传电子投标文件的。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）供应商不具备招标文件中规定资格要求的；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）供应商在报价时采用选择性报价；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）报价超过招标文件中规定的预算金额或者最高限价的；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）投标文件含有采购人不能接受的附加条件的；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）不同供应商的投标文件由同一单位或者个人编制；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）不同供应商委托同一单位或者个人办理投标事宜；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）不同供应商的投标文件载明的项目管理成员或联系人员为同一人；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）不同供应商的投标文件异常一致或者投标报价呈规律性差异；</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）不同供应商的投标文件相互混装；</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）不同供应商的法定代表人或委托代理人有夫妻、直系血亲关系的；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）不同供应商的负责人为同一人或者存在控股、管理关系的；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）提供虚假材料的（包括工商营业执照、财务报表、资格证明文件等）；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）未通过符合性检查的；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仿宋" w:hAnsi="仿宋" w:eastAsia="仿宋" w:cs="仿宋"/>
          <w:color w:val="000000" w:themeColor="text1"/>
          <w:sz w:val="24"/>
          <w:szCs w:val="24"/>
          <w:lang w:val="en-US" w:eastAsia="zh-CN"/>
          <w14:textFill>
            <w14:solidFill>
              <w14:schemeClr w14:val="tx1"/>
            </w14:solidFill>
          </w14:textFill>
        </w:rPr>
        <w:t xml:space="preserve">规定的回复</w:t>
      </w:r>
      <w:r>
        <w:rPr>
          <w:rFonts w:hint="eastAsia" w:ascii="仿宋" w:hAnsi="仿宋" w:eastAsia="仿宋" w:cs="仿宋"/>
          <w:color w:val="000000" w:themeColor="text1"/>
          <w:sz w:val="24"/>
          <w:szCs w:val="24"/>
          <w14:textFill>
            <w14:solidFill>
              <w14:schemeClr w14:val="tx1"/>
            </w14:solidFill>
          </w14:textFill>
        </w:rPr>
        <w:t xml:space="preserve">时间内</w:t>
      </w:r>
      <w:r>
        <w:rPr>
          <w:rFonts w:hint="eastAsia" w:ascii="仿宋" w:hAnsi="仿宋" w:eastAsia="仿宋" w:cs="仿宋"/>
          <w:color w:val="000000" w:themeColor="text1"/>
          <w:sz w:val="24"/>
          <w:szCs w:val="24"/>
          <w:lang w:val="en-US" w:eastAsia="zh-CN"/>
          <w14:textFill>
            <w14:solidFill>
              <w14:schemeClr w14:val="tx1"/>
            </w14:solidFill>
          </w14:textFill>
        </w:rPr>
        <w:t xml:space="preserve">通过</w:t>
      </w:r>
      <w:r>
        <w:rPr>
          <w:rFonts w:hint="eastAsia" w:ascii="仿宋" w:hAnsi="仿宋" w:eastAsia="仿宋" w:cs="仿宋"/>
          <w:color w:val="000000" w:themeColor="text1"/>
          <w:sz w:val="24"/>
          <w:szCs w:val="24"/>
          <w14:textFill>
            <w14:solidFill>
              <w14:schemeClr w14:val="tx1"/>
            </w14:solidFill>
          </w14:textFill>
        </w:rPr>
        <w:t xml:space="preserve">“苏采云”系统作出必要的说明证明其报价合理性的；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）不符合招标文件中规定的其它实质性要求的；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）法律、法规和招标文件规定的其他无效情形。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.7出现下列情形之一的，应予废标：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（1）符合专业条件的供应商或者对招标文件作实质响应的供应商不足三家的；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（2）出现影响采购公正的违法、违规行为的；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（3）因重大变故，采购任务取消的；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（4）评标委员会认定投标文件存在歧义、重大缺陷导致评审工作无法进行的，或者招标文件内容违反国家有关强制性规定的。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在评标期间，通过资格审查或符合性审查的投标人不足3家情形的，比照19.3.5款执行。</w:t>
      </w:r>
      <w:bookmarkEnd w:id="85"/>
      <w:r/>
      <w:bookmarkEnd w:id="86"/>
      <w:r/>
      <w:bookmarkEnd w:id="87"/>
      <w:r/>
      <w:bookmarkEnd w:id="88"/>
      <w:r/>
      <w:r/>
    </w:p>
    <w:p>
      <w:pPr>
        <w:ind w:left="0" w:firstLine="482"/>
        <w:jc w:val="left"/>
        <w:keepLines w:val="0"/>
        <w:pageBreakBefore w:val="0"/>
        <w:spacing w:line="52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不同供应商的IP地址、MAC地址、标书制作工具客户端标识码一致的(待系统核查，以核查结果为准)。</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92" w:name="_Toc12294"/>
      <w:r/>
      <w:bookmarkStart w:id="93" w:name="_Toc18327"/>
      <w:r>
        <w:rPr>
          <w:rFonts w:hint="eastAsia" w:ascii="仿宋" w:hAnsi="仿宋" w:eastAsia="仿宋" w:cs="仿宋"/>
          <w:b/>
          <w:bCs/>
          <w:color w:val="000000" w:themeColor="text1"/>
          <w:sz w:val="24"/>
          <w:szCs w:val="24"/>
          <w14:textFill>
            <w14:solidFill>
              <w14:schemeClr w14:val="tx1"/>
            </w14:solidFill>
          </w14:textFill>
        </w:rPr>
        <w:t xml:space="preserve">六、</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定</w:t>
      </w:r>
      <w:r>
        <w:rPr>
          <w:rFonts w:hint="eastAsia" w:ascii="仿宋" w:hAnsi="仿宋" w:eastAsia="仿宋" w:cs="仿宋"/>
          <w:b/>
          <w:bCs/>
          <w:color w:val="000000" w:themeColor="text1"/>
          <w:sz w:val="24"/>
          <w:szCs w:val="24"/>
          <w14:textFill>
            <w14:solidFill>
              <w14:schemeClr w14:val="tx1"/>
            </w14:solidFill>
          </w14:textFill>
        </w:rPr>
        <w:t xml:space="preserve">标</w:t>
      </w:r>
      <w:bookmarkEnd w:id="92"/>
      <w:r/>
      <w:bookmarkEnd w:id="93"/>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94" w:name="_Toc28693"/>
      <w:r/>
      <w:bookmarkStart w:id="95" w:name="_Toc27522"/>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.确定中标</w:t>
      </w:r>
      <w:bookmarkEnd w:id="94"/>
      <w:r>
        <w:rPr>
          <w:rFonts w:hint="eastAsia" w:ascii="仿宋" w:hAnsi="仿宋" w:eastAsia="仿宋" w:cs="仿宋"/>
          <w:color w:val="000000" w:themeColor="text1"/>
          <w:sz w:val="24"/>
          <w:szCs w:val="24"/>
          <w14:textFill>
            <w14:solidFill>
              <w14:schemeClr w14:val="tx1"/>
            </w14:solidFill>
          </w14:textFill>
        </w:rPr>
        <w:t xml:space="preserve">供应商</w:t>
      </w:r>
      <w:bookmarkEnd w:id="95"/>
      <w:r/>
      <w:bookmarkStart w:id="96" w:name="_Toc7377"/>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中标人确定后，在南京公共采购信息网、江苏省政府采购网上公告中标结果，中标公告期为1个工作日，公告的同时向中标供应商发出中标通知书。</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中标供应商在收到中标通知书后，应郑重保证履行中标供应商应履行的，含招标代理服务费在内的一切义务和责任。</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中标通知书对采购人和中标供应商具有同等法律效力。</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若评标委员会发现供应商的投标文件中有弄虚作假行为，则该供应商将失去中标资格。</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.评标过程的保密性</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.1采购人和采购代理机构将采取必要措施，保证评标在严格保密的情况下进行。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.2任何单位和个人不得非法干预、影响评标办法的确定，以及评标过程和结果。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.3凡是与审查、澄清、评价和比较投标的有关资料等，均不向投标人及与评标无关的其他人员透露。</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.签订合同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.2招标文件、中标供应商的投标文件及评标过程中有关澄清、说明或者补正文件均应作为合同附件。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.3采购人不得向中标人提出任何不合理的要求作为签订合同的条件。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.4 中标供应商因不可抗力或者自身原因不能履行采购合同的，采购人可以与排位在中标供应商之后第一位的中标候选供应商签订采购合同，以此类推；采购人也可以重新开展采购活动。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5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.6采购人与中标人应当根据合同的约定依法履行合同义务。</w:t>
      </w:r>
      <w:bookmarkEnd w:id="96"/>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.招标代理服务费</w:t>
      </w:r>
      <w:bookmarkEnd w:id="68"/>
      <w:r/>
      <w:bookmarkEnd w:id="69"/>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1本次采购代理服务费由成交供应商支付给代理机构，参照《招标代理服务收费管理暂行办法》（国家发展计划委员会计价格[2002]1980号）基准费率折价后按1.2%计取，计价基数为预算金额，即预算金额的1.2%。专家评审费由代理机构先行垫付，按照每个分包360元由成交供应商支付。代理服务费和专家评审费在领取《成交通知书》前支付，本次代理服务费不包括有可能产生的专家复议费等，如有产生此项费用由成交供应商额外按实支付。</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账户名称：江苏中嘉招投标代理有限公司</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开户行：中国建设银行股份有限公司南京和燕路支行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帐号：32050159516200000170</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各投标供应商应将招标代理服务费自行考虑包含在投标报价中，本项费用无需在投标报价表中单列。</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97" w:name="_Toc5784"/>
      <w:r>
        <w:rPr>
          <w:rFonts w:hint="eastAsia" w:ascii="仿宋" w:hAnsi="仿宋" w:eastAsia="仿宋" w:cs="仿宋"/>
          <w:b/>
          <w:bCs/>
          <w:color w:val="000000" w:themeColor="text1"/>
          <w:sz w:val="24"/>
          <w:szCs w:val="24"/>
          <w14:textFill>
            <w14:solidFill>
              <w14:schemeClr w14:val="tx1"/>
            </w14:solidFill>
          </w14:textFill>
        </w:rPr>
        <w:t xml:space="preserve">七、质疑</w:t>
      </w:r>
      <w:bookmarkEnd w:id="97"/>
      <w:r>
        <w:rPr>
          <w:rFonts w:hint="eastAsia" w:ascii="仿宋" w:hAnsi="仿宋" w:eastAsia="仿宋" w:cs="仿宋"/>
          <w:b/>
          <w:bCs/>
          <w:color w:val="000000" w:themeColor="text1"/>
          <w:sz w:val="24"/>
          <w:szCs w:val="24"/>
          <w14:textFill>
            <w14:solidFill>
              <w14:schemeClr w14:val="tx1"/>
            </w14:solidFill>
          </w14:textFill>
        </w:rPr>
        <w:t xml:space="preserve">和投诉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.质疑</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.1供应商对招标活动事项有疑问的，可以向采购代理机构提出询问，采购代理机构将依法作出答复，但答复的内容不涉及商业秘密。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供应商应知其权益受到损害之日，是指：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（一）对可以质疑的招标文件提出质疑的，为收到招标文件之日或者招标文件公告期限届满之日；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（二）对采购过程提出质疑的，为各采购程序环节结束之日；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（三）对中标或者成交结果提出质疑的，为中标或者成交结果公告期限届满之日。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3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采购代理机构将在一定范围内公开质疑人的名称、质疑事项、质疑处理结果，供有关采购人、财政部门、行业协会查询。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.4质疑文件应包括以下主要内容，并按照“谁主张、谁举证”的原则，附上相关证明材料。否则，采购代理机构不予受理：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（1）质疑项目名称、项目编号、包号、招标公告发布时间、开标时间；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（2）具体的质疑事项及法律依据（具体条款）；</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修改理由和修改建议）；</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（4）质疑供应商名称、地址、联系方式（包括手机、传真号码）；</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5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6采购代理机构在收到投标商的书面质疑后将及时组织调查核实，在七个工作日内作出答复，并以书面或在网站公告形式通知质疑投标商和其他有关投标商，答复的内容不涉及商业秘密。代理机构遵循“谁过错谁负担”的原则，有过错的一方承担调查论证费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.投诉</w:t>
      </w:r>
      <w:r/>
    </w:p>
    <w:p>
      <w:pPr>
        <w:ind w:left="0" w:firstLine="480"/>
        <w:jc w:val="left"/>
        <w:keepLines w:val="0"/>
        <w:keepNext w:val="0"/>
        <w:pageBreakBefore w:val="0"/>
        <w:spacing w:line="520" w:lineRule="exact"/>
        <w:widowControl w:val="off"/>
        <w:rPr>
          <w:rFonts w:hint="eastAsia" w:ascii="仿宋" w:hAnsi="仿宋" w:eastAsia="仿宋" w:cs="仿宋"/>
          <w:color w:val="000000" w:themeColor="text1"/>
          <w:sz w:val="24"/>
          <w:szCs w:val="24"/>
          <w14:textFill>
            <w14:solidFill>
              <w14:schemeClr w14:val="tx1"/>
            </w14:solidFill>
          </w14:textFill>
        </w:rPr>
        <w:outlineLvl w:val="9"/>
      </w:pPr>
      <w:r>
        <w:rPr>
          <w:rFonts w:hint="eastAsia" w:ascii="仿宋" w:hAnsi="仿宋" w:eastAsia="仿宋" w:cs="仿宋"/>
          <w:color w:val="000000" w:themeColor="text1"/>
          <w:sz w:val="24"/>
          <w:szCs w:val="24"/>
          <w14:textFill>
            <w14:solidFill>
              <w14:schemeClr w14:val="tx1"/>
            </w14:solidFill>
          </w14:textFill>
        </w:rPr>
        <w:t xml:space="preserve">质疑投标商对代理机构的答复不满意，或代理机构未在规定的时间内作出答复的，可以在答复期满后十五个工作日内向采购人同级财政部门投诉。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ind w:left="0" w:firstLine="723"/>
        <w:jc w:val="center"/>
        <w:keepLines w:val="0"/>
        <w:keepNext w:val="0"/>
        <w:pageBreakBefore w:val="0"/>
        <w:spacing w:line="520" w:lineRule="exact"/>
        <w:widowControl w:val="off"/>
        <w:rPr>
          <w:rFonts w:hint="eastAsia" w:ascii="仿宋" w:hAnsi="仿宋" w:eastAsia="仿宋" w:cs="仿宋"/>
          <w:color w:val="000000" w:themeColor="text1"/>
          <w:sz w:val="36"/>
          <w:szCs w:val="36"/>
          <w14:textFill>
            <w14:solidFill>
              <w14:schemeClr w14:val="tx1"/>
            </w14:solidFill>
          </w14:textFill>
        </w:rPr>
        <w:outlineLvl w:val="0"/>
      </w:pPr>
      <w:r/>
      <w:bookmarkStart w:id="98" w:name="_Toc176770988"/>
      <w:r/>
      <w:bookmarkStart w:id="99" w:name="_Toc12342"/>
      <w:r/>
      <w:bookmarkStart w:id="100" w:name="_Toc178255254"/>
      <w:r/>
      <w:bookmarkStart w:id="101" w:name="_Toc1395"/>
      <w:r/>
      <w:bookmarkStart w:id="102" w:name="_Toc105488535"/>
      <w:r/>
      <w:bookmarkStart w:id="103" w:name="_Toc176528939"/>
      <w:r>
        <w:rPr>
          <w:rFonts w:hint="eastAsia" w:ascii="仿宋" w:hAnsi="仿宋" w:eastAsia="仿宋" w:cs="仿宋"/>
          <w:b/>
          <w:color w:val="000000" w:themeColor="text1"/>
          <w:sz w:val="36"/>
          <w:szCs w:val="36"/>
          <w14:textFill>
            <w14:solidFill>
              <w14:schemeClr w14:val="tx1"/>
            </w14:solidFill>
          </w14:textFill>
          <w14:ligatures w14:val="none"/>
        </w:rPr>
        <w:t xml:space="preserve">第三章成交标准</w:t>
      </w:r>
      <w:bookmarkEnd w:id="98"/>
      <w:r/>
      <w:bookmarkEnd w:id="99"/>
      <w:r/>
      <w:bookmarkEnd w:id="100"/>
      <w:r/>
      <w:bookmarkEnd w:id="101"/>
      <w:r/>
      <w:bookmarkEnd w:id="102"/>
      <w:r/>
      <w:bookmarkEnd w:id="103"/>
      <w:r/>
      <w:r/>
    </w:p>
    <w:tbl>
      <w:tblPr>
        <w:tblStyle w:val="68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255"/>
        <w:gridCol w:w="6427"/>
        <w:gridCol w:w="772"/>
      </w:tblGrid>
      <w:tr>
        <w:trPr>
          <w:jc w:val="center"/>
          <w:trHeight w:val="456"/>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分值</w:t>
            </w:r>
            <w:r/>
          </w:p>
        </w:tc>
      </w:tr>
      <w:tr>
        <w:trPr>
          <w:jc w:val="center"/>
          <w:trHeight w:val="951"/>
        </w:trPr>
        <w:tc>
          <w:tcPr>
            <w:tcBorders>
              <w:top w:val="single" w:color="auto" w:sz="4" w:space="0"/>
              <w:left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w:t>
            </w:r>
            <w:r/>
          </w:p>
        </w:tc>
        <w:tc>
          <w:tcPr>
            <w:tcBorders>
              <w:top w:val="single" w:color="auto" w:sz="4" w:space="0"/>
              <w:left w:val="single" w:color="auto" w:sz="4" w:space="0"/>
              <w:right w:val="single" w:color="auto" w:sz="4" w:space="0"/>
            </w:tcBorders>
            <w:tcW w:w="67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价格</w:t>
            </w:r>
            <w:r/>
          </w:p>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（20分）</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采用低价优先法计算，即满足采购文件要求且响应价格最低的响应报价为评审基准价，其价格分为满分。其他供应商的价格分统一按照下列公式计算：响应报价得分=(评审基准价／响应报价)×</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分（小数点保留</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一</w:t>
            </w:r>
            <w:r>
              <w:rPr>
                <w:rFonts w:hint="eastAsia" w:ascii="仿宋" w:hAnsi="仿宋" w:eastAsia="仿宋" w:cs="仿宋"/>
                <w:b w:val="0"/>
                <w:bCs w:val="0"/>
                <w:color w:val="000000" w:themeColor="text1"/>
                <w:szCs w:val="21"/>
                <w14:textFill>
                  <w14:solidFill>
                    <w14:schemeClr w14:val="tx1"/>
                  </w14:solidFill>
                </w14:textFill>
              </w:rPr>
              <w:t xml:space="preserve">位）</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20</w:t>
            </w:r>
            <w:r/>
          </w:p>
        </w:tc>
      </w:tr>
      <w:tr>
        <w:trPr>
          <w:jc w:val="center"/>
          <w:trHeight w:val="705"/>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.1</w:t>
            </w:r>
            <w:r/>
          </w:p>
        </w:tc>
        <w:tc>
          <w:tcPr>
            <w:tcBorders>
              <w:left w:val="single" w:color="auto" w:sz="4" w:space="0"/>
              <w:right w:val="single" w:color="auto" w:sz="4" w:space="0"/>
            </w:tcBorders>
            <w:tcW w:w="676" w:type="pct"/>
            <w:vAlign w:val="center"/>
            <w:vMerge w:val="restart"/>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服务</w:t>
            </w:r>
            <w:r/>
          </w:p>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39</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根据供应商提供的项目实施方案设计全面，进行横向比较后综合打分。主题突出，针对性强。(包括项目内容、设计构想、功能设置、建设计划等），内容完整明确、且有较为实际的措施的得1</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4</w:t>
            </w:r>
            <w:r>
              <w:rPr>
                <w:rFonts w:hint="eastAsia" w:ascii="仿宋" w:hAnsi="仿宋" w:eastAsia="仿宋" w:cs="仿宋"/>
                <w:b w:val="0"/>
                <w:bCs w:val="0"/>
                <w:color w:val="000000" w:themeColor="text1"/>
                <w:szCs w:val="21"/>
                <w14:textFill>
                  <w14:solidFill>
                    <w14:schemeClr w14:val="tx1"/>
                  </w14:solidFill>
                </w14:textFill>
              </w:rPr>
              <w:t xml:space="preserve">分，内容较完整明确、且可行性较强的得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分，不够明确、制度措施不够结合实际的得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rPr>
                <w:rFonts w:hint="eastAsia" w:ascii="仿宋" w:hAnsi="仿宋" w:eastAsia="仿宋" w:cs="仿宋"/>
                <w:b w:val="0"/>
                <w:bCs w:val="0"/>
                <w:color w:val="000000" w:themeColor="text1"/>
                <w:szCs w:val="21"/>
                <w14:textFill>
                  <w14:solidFill>
                    <w14:schemeClr w14:val="tx1"/>
                  </w14:solidFill>
                </w14:textFill>
              </w:rPr>
              <w:t xml:space="preserve">分，缺项不得分。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lang w:eastAsia="zh-CN"/>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1</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4</w:t>
            </w:r>
            <w:r/>
          </w:p>
        </w:tc>
      </w:tr>
      <w:tr>
        <w:trPr>
          <w:jc w:val="center"/>
          <w:trHeight w:val="515"/>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.2</w:t>
            </w:r>
            <w:r/>
          </w:p>
        </w:tc>
        <w:tc>
          <w:tcPr>
            <w:tcBorders>
              <w:left w:val="single" w:color="auto" w:sz="4" w:space="0"/>
              <w:right w:val="single" w:color="auto" w:sz="4" w:space="0"/>
            </w:tcBorders>
            <w:tcW w:w="676"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根据供应商提供的项目实施计划的科学性、全面性、可行性进行横向比较后综合打分。各阶段衔接紧密、操作性强、能够有效响应预期目标和需求的得10分，各阶段衔接没有冲突、操作性可行、较好完成预期目标和需求的得7分，各阶段衔接不够紧密、操作性一般、基本完成预期目标和需求的得4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10</w:t>
            </w:r>
            <w:r/>
          </w:p>
        </w:tc>
      </w:tr>
      <w:tr>
        <w:trPr>
          <w:jc w:val="center"/>
          <w:trHeight w:val="515"/>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.3</w:t>
            </w:r>
            <w:r/>
          </w:p>
        </w:tc>
        <w:tc>
          <w:tcPr>
            <w:tcBorders>
              <w:left w:val="single" w:color="auto" w:sz="4" w:space="0"/>
              <w:right w:val="single" w:color="auto" w:sz="4" w:space="0"/>
            </w:tcBorders>
            <w:tcW w:w="676"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项目能够整合专业服务支持性资源，为项目运作提供相应专业服务，项目执行人员岗位工作要求描述具体明确，责任清晰，团队人员稳定，项目关键点设置合理，符合要求。支持性资源涵盖各专业专家老师的得10分，支持性资源涵盖所投分包专业的专家老师的得7分，支持性资源较为单一，专业人员较少的得4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10</w:t>
            </w:r>
            <w:r/>
          </w:p>
        </w:tc>
      </w:tr>
      <w:tr>
        <w:trPr>
          <w:jc w:val="center"/>
          <w:trHeight w:val="515"/>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.4</w:t>
            </w:r>
            <w:r/>
          </w:p>
        </w:tc>
        <w:tc>
          <w:tcPr>
            <w:tcBorders>
              <w:left w:val="single" w:color="auto" w:sz="4" w:space="0"/>
              <w:right w:val="single" w:color="auto" w:sz="4" w:space="0"/>
            </w:tcBorders>
            <w:tcW w:w="676"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项目主管素质要求：具备较强的组织协调能力和责任心，能和政府部门充分的沟通得5分，组织协调能力和责任心较好，和政府部门较好沟通的得3分，组织协调能力和责任心尚可，和政府部门无障碍沟通的得1分。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5</w:t>
            </w:r>
            <w:r/>
          </w:p>
        </w:tc>
      </w:tr>
      <w:tr>
        <w:trPr>
          <w:jc w:val="center"/>
          <w:trHeight w:val="705"/>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3.1</w:t>
            </w:r>
            <w:r/>
          </w:p>
        </w:tc>
        <w:tc>
          <w:tcPr>
            <w:tcBorders>
              <w:left w:val="single" w:color="auto" w:sz="4" w:space="0"/>
              <w:right w:val="single" w:color="auto" w:sz="4" w:space="0"/>
            </w:tcBorders>
            <w:tcW w:w="676" w:type="pct"/>
            <w:vAlign w:val="center"/>
            <w:vMerge w:val="restart"/>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风险管理</w:t>
            </w:r>
            <w:r/>
          </w:p>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13</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供应商提供的风险预案进行横向比较后综合打分，执行中可能遇到的风险有预测，并有合理可行的风险应对方案，完整详细的得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8</w:t>
            </w:r>
            <w:r>
              <w:rPr>
                <w:rFonts w:hint="eastAsia" w:ascii="仿宋" w:hAnsi="仿宋" w:eastAsia="仿宋" w:cs="仿宋"/>
                <w:b w:val="0"/>
                <w:bCs w:val="0"/>
                <w:color w:val="000000" w:themeColor="text1"/>
                <w:szCs w:val="21"/>
                <w14:textFill>
                  <w14:solidFill>
                    <w14:schemeClr w14:val="tx1"/>
                  </w14:solidFill>
                </w14:textFill>
              </w:rPr>
              <w:t xml:space="preserve">分，对项目实施过程中可能遇到的风险有合理预测，且提供风险应对基本解决方案的得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6</w:t>
            </w:r>
            <w:r>
              <w:rPr>
                <w:rFonts w:hint="eastAsia" w:ascii="仿宋" w:hAnsi="仿宋" w:eastAsia="仿宋" w:cs="仿宋"/>
                <w:b w:val="0"/>
                <w:bCs w:val="0"/>
                <w:color w:val="000000" w:themeColor="text1"/>
                <w:szCs w:val="21"/>
                <w14:textFill>
                  <w14:solidFill>
                    <w14:schemeClr w14:val="tx1"/>
                  </w14:solidFill>
                </w14:textFill>
              </w:rPr>
              <w:t xml:space="preserve">分，对项目实施过程中可能遇到的风险有一定程度了解的得4分。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8</w:t>
            </w:r>
            <w:r/>
          </w:p>
        </w:tc>
      </w:tr>
      <w:tr>
        <w:trPr>
          <w:jc w:val="center"/>
          <w:trHeight w:val="560"/>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3.2</w:t>
            </w:r>
            <w:r/>
          </w:p>
        </w:tc>
        <w:tc>
          <w:tcPr>
            <w:tcBorders>
              <w:left w:val="single" w:color="auto" w:sz="4" w:space="0"/>
              <w:right w:val="single" w:color="auto" w:sz="4" w:space="0"/>
            </w:tcBorders>
            <w:tcW w:w="676"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根据供应商项目沟通机制的主动性进行横向比较后综合打分。对于项目实施进度及情况，有固定时间节点主动向采购人系统性汇报的得5分，项目实施中遇到情况能及时向采购人汇报的得3分，当采购人问询项目实施情况时，能准确汇报相关信息的得1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5</w:t>
            </w:r>
            <w:r/>
          </w:p>
        </w:tc>
      </w:tr>
      <w:tr>
        <w:trPr>
          <w:jc w:val="center"/>
          <w:trHeight w:val="820"/>
        </w:trPr>
        <w:tc>
          <w:tcPr>
            <w:tcBorders>
              <w:top w:val="single" w:color="auto" w:sz="4" w:space="0"/>
              <w:left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4</w:t>
            </w:r>
            <w:r/>
          </w:p>
        </w:tc>
        <w:tc>
          <w:tcPr>
            <w:tcBorders>
              <w:top w:val="single" w:color="auto" w:sz="4" w:space="0"/>
              <w:left w:val="single" w:color="auto" w:sz="4" w:space="0"/>
              <w:right w:val="single" w:color="auto" w:sz="4" w:space="0"/>
            </w:tcBorders>
            <w:tcW w:w="67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业绩</w:t>
            </w:r>
            <w:r/>
          </w:p>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供应商提供自20</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22</w:t>
            </w:r>
            <w:r>
              <w:rPr>
                <w:rFonts w:hint="eastAsia" w:ascii="仿宋" w:hAnsi="仿宋" w:eastAsia="仿宋" w:cs="仿宋"/>
                <w:b w:val="0"/>
                <w:bCs w:val="0"/>
                <w:color w:val="000000" w:themeColor="text1"/>
                <w:szCs w:val="21"/>
                <w14:textFill>
                  <w14:solidFill>
                    <w14:schemeClr w14:val="tx1"/>
                  </w14:solidFill>
                </w14:textFill>
              </w:rPr>
              <w:t xml:space="preserve">年0</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w:t>
            </w:r>
            <w:r>
              <w:rPr>
                <w:rFonts w:hint="eastAsia" w:ascii="仿宋" w:hAnsi="仿宋" w:eastAsia="仿宋" w:cs="仿宋"/>
                <w:b w:val="0"/>
                <w:bCs w:val="0"/>
                <w:color w:val="000000" w:themeColor="text1"/>
                <w:szCs w:val="21"/>
                <w14:textFill>
                  <w14:solidFill>
                    <w14:schemeClr w14:val="tx1"/>
                  </w14:solidFill>
                </w14:textFill>
              </w:rPr>
              <w:t xml:space="preserve">月01日以来，供应商具有所投分包项目同类业绩，每提供一个证明材料得2分，最多得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分。（请提供合同复印件或中标（成交）通知书复印件并加盖公章，合同或中标（成交）通知书应能反映相关信息）。</w:t>
            </w:r>
            <w:r/>
          </w:p>
        </w:tc>
        <w:tc>
          <w:tcPr>
            <w:tcBorders>
              <w:top w:val="single" w:color="auto" w:sz="4" w:space="0"/>
              <w:left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p>
        </w:tc>
      </w:tr>
      <w:tr>
        <w:trPr>
          <w:jc w:val="center"/>
          <w:trHeight w:val="820"/>
        </w:trPr>
        <w:tc>
          <w:tcPr>
            <w:tcBorders>
              <w:top w:val="single" w:color="auto" w:sz="4" w:space="0"/>
              <w:left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rPr>
                <w:rFonts w:hint="eastAsia" w:ascii="仿宋" w:hAnsi="仿宋" w:eastAsia="仿宋" w:cs="仿宋"/>
                <w:b w:val="0"/>
                <w:bCs w:val="0"/>
                <w:color w:val="000000" w:themeColor="text1"/>
                <w:szCs w:val="21"/>
                <w14:textFill>
                  <w14:solidFill>
                    <w14:schemeClr w14:val="tx1"/>
                  </w14:solidFill>
                </w14:textFill>
              </w:rPr>
              <w:t xml:space="preserve">.</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w:t>
            </w:r>
            <w:r/>
          </w:p>
        </w:tc>
        <w:tc>
          <w:tcPr>
            <w:tcBorders>
              <w:top w:val="single" w:color="auto" w:sz="4" w:space="0"/>
              <w:left w:val="single" w:color="auto" w:sz="4" w:space="0"/>
              <w:right w:val="single" w:color="auto" w:sz="4" w:space="0"/>
            </w:tcBorders>
            <w:tcW w:w="676" w:type="pct"/>
            <w:vAlign w:val="center"/>
            <w:vMerge w:val="restart"/>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履约能力（</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18</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供应商具有区级</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及</w:t>
            </w:r>
            <w:r>
              <w:rPr>
                <w:rFonts w:hint="eastAsia" w:ascii="仿宋" w:hAnsi="仿宋" w:eastAsia="仿宋" w:cs="仿宋"/>
                <w:b w:val="0"/>
                <w:bCs w:val="0"/>
                <w:color w:val="000000" w:themeColor="text1"/>
                <w:szCs w:val="21"/>
                <w14:textFill>
                  <w14:solidFill>
                    <w14:schemeClr w14:val="tx1"/>
                  </w14:solidFill>
                </w14:textFill>
              </w:rPr>
              <w:t xml:space="preserve">以上行政部门表彰（提供证明材料）得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3</w:t>
            </w:r>
            <w:r>
              <w:rPr>
                <w:rFonts w:hint="eastAsia" w:ascii="仿宋" w:hAnsi="仿宋" w:eastAsia="仿宋" w:cs="仿宋"/>
                <w:b w:val="0"/>
                <w:bCs w:val="0"/>
                <w:color w:val="000000" w:themeColor="text1"/>
                <w:szCs w:val="21"/>
                <w14:textFill>
                  <w14:solidFill>
                    <w14:schemeClr w14:val="tx1"/>
                  </w14:solidFill>
                </w14:textFill>
              </w:rPr>
              <w:t xml:space="preserve">分，没有提供不得分。</w:t>
            </w:r>
            <w:r/>
          </w:p>
        </w:tc>
        <w:tc>
          <w:tcPr>
            <w:tcBorders>
              <w:top w:val="single" w:color="auto" w:sz="4" w:space="0"/>
              <w:left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lang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3</w:t>
            </w:r>
            <w:r/>
          </w:p>
        </w:tc>
      </w:tr>
      <w:tr>
        <w:trPr>
          <w:jc w:val="center"/>
          <w:trHeight w:val="820"/>
        </w:trPr>
        <w:tc>
          <w:tcPr>
            <w:shd w:val="clear" w:color="auto" w:fill="auto"/>
            <w:tcBorders>
              <w:top w:val="single" w:color="auto" w:sz="4" w:space="0"/>
              <w:left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5.2</w:t>
            </w:r>
            <w:r/>
          </w:p>
        </w:tc>
        <w:tc>
          <w:tcPr>
            <w:tcBorders>
              <w:left w:val="single" w:color="auto" w:sz="4" w:space="0"/>
              <w:right w:val="single" w:color="auto" w:sz="4" w:space="0"/>
            </w:tcBorders>
            <w:tcW w:w="676"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提供省级备案的信用评估（金融机构）出具信用评估报告，或民政部门出具的等级评估报告为AAAAA级得5分，AAAA级得4分，AAA级得3分,AA级得2分，A级得1分。</w:t>
            </w:r>
            <w:r/>
          </w:p>
        </w:tc>
        <w:tc>
          <w:tcPr>
            <w:tcBorders>
              <w:top w:val="single" w:color="auto" w:sz="4" w:space="0"/>
              <w:left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p>
        </w:tc>
      </w:tr>
      <w:tr>
        <w:trPr>
          <w:jc w:val="center"/>
          <w:trHeight w:val="90"/>
        </w:trPr>
        <w:tc>
          <w:tcPr>
            <w:shd w:val="clear" w:color="auto" w:fill="auto"/>
            <w:tcBorders>
              <w:top w:val="single" w:color="auto" w:sz="4" w:space="0"/>
              <w:left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5.3</w:t>
            </w:r>
            <w:r/>
          </w:p>
        </w:tc>
        <w:tc>
          <w:tcPr>
            <w:tcBorders>
              <w:left w:val="single" w:color="auto" w:sz="4" w:space="0"/>
              <w:right w:val="single" w:color="auto" w:sz="4" w:space="0"/>
            </w:tcBorders>
            <w:tcW w:w="676"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拟为本次项目配备的项目主管有3年以上（含3年）所投分包工作经验的得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3</w:t>
            </w:r>
            <w:r>
              <w:rPr>
                <w:rFonts w:hint="eastAsia" w:ascii="仿宋" w:hAnsi="仿宋" w:eastAsia="仿宋" w:cs="仿宋"/>
                <w:b w:val="0"/>
                <w:bCs w:val="0"/>
                <w:color w:val="000000" w:themeColor="text1"/>
                <w:szCs w:val="21"/>
                <w14:textFill>
                  <w14:solidFill>
                    <w14:schemeClr w14:val="tx1"/>
                  </w14:solidFill>
                </w14:textFill>
              </w:rPr>
              <w:t xml:space="preserve">分，没有不得分，响应文件中若没有提供相关佐证材料不得分。</w:t>
            </w:r>
            <w:r/>
          </w:p>
        </w:tc>
        <w:tc>
          <w:tcPr>
            <w:tcBorders>
              <w:top w:val="single" w:color="auto" w:sz="4" w:space="0"/>
              <w:left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3</w:t>
            </w:r>
            <w:r/>
          </w:p>
        </w:tc>
      </w:tr>
      <w:tr>
        <w:trPr>
          <w:jc w:val="center"/>
          <w:trHeight w:val="820"/>
        </w:trPr>
        <w:tc>
          <w:tcPr>
            <w:tcBorders>
              <w:top w:val="single" w:color="auto" w:sz="4" w:space="0"/>
              <w:left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5.4</w:t>
            </w:r>
            <w:r/>
          </w:p>
        </w:tc>
        <w:tc>
          <w:tcPr>
            <w:tcBorders>
              <w:left w:val="single" w:color="auto" w:sz="4" w:space="0"/>
              <w:right w:val="single" w:color="auto" w:sz="4" w:space="0"/>
            </w:tcBorders>
            <w:tcW w:w="676"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拟为本次项目配备的项目主管</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取得社会工作者执业水平证书，初级社工得1分，中级社工得3分，高级社工</w:t>
            </w:r>
            <w:r>
              <w:rPr>
                <w:rFonts w:hint="eastAsia" w:ascii="仿宋" w:hAnsi="仿宋" w:eastAsia="仿宋" w:cs="仿宋"/>
                <w:b w:val="0"/>
                <w:bCs w:val="0"/>
                <w:color w:val="000000" w:themeColor="text1"/>
                <w:szCs w:val="21"/>
                <w14:textFill>
                  <w14:solidFill>
                    <w14:schemeClr w14:val="tx1"/>
                  </w14:solidFill>
                </w14:textFill>
              </w:rPr>
              <w:t xml:space="preserve">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rPr>
                <w:rFonts w:hint="eastAsia" w:ascii="仿宋" w:hAnsi="仿宋" w:eastAsia="仿宋" w:cs="仿宋"/>
                <w:b w:val="0"/>
                <w:bCs w:val="0"/>
                <w:color w:val="000000" w:themeColor="text1"/>
                <w:szCs w:val="21"/>
                <w14:textFill>
                  <w14:solidFill>
                    <w14:schemeClr w14:val="tx1"/>
                  </w14:solidFill>
                </w14:textFill>
              </w:rPr>
              <w:t xml:space="preserve">分，没有不得分，响应文件中若没有提供相关佐证材料不得分。</w:t>
            </w:r>
            <w:r/>
          </w:p>
        </w:tc>
        <w:tc>
          <w:tcPr>
            <w:tcBorders>
              <w:top w:val="single" w:color="auto" w:sz="4" w:space="0"/>
              <w:left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p>
        </w:tc>
      </w:tr>
      <w:tr>
        <w:trPr>
          <w:jc w:val="center"/>
          <w:trHeight w:val="820"/>
        </w:trPr>
        <w:tc>
          <w:tcPr>
            <w:tcBorders>
              <w:top w:val="single" w:color="auto" w:sz="4" w:space="0"/>
              <w:left w:val="single" w:color="auto" w:sz="4" w:space="0"/>
              <w:right w:val="single" w:color="auto" w:sz="4" w:space="0"/>
            </w:tcBorders>
            <w:tcW w:w="445" w:type="pct"/>
            <w:vAlign w:val="center"/>
            <w:textDirection w:val="lrTb"/>
            <w:noWrap w:val="false"/>
          </w:tcPr>
          <w:p>
            <w:pPr>
              <w:jc w:val="center"/>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5.5</w:t>
            </w:r>
            <w:r/>
          </w:p>
        </w:tc>
        <w:tc>
          <w:tcPr>
            <w:tcBorders>
              <w:left w:val="single" w:color="auto" w:sz="4" w:space="0"/>
              <w:right w:val="single" w:color="auto" w:sz="4" w:space="0"/>
            </w:tcBorders>
            <w:tcW w:w="676"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3463" w:type="pct"/>
            <w:vAlign w:val="center"/>
            <w:textDirection w:val="lrTb"/>
            <w:noWrap w:val="false"/>
          </w:tcPr>
          <w:p>
            <w:pPr>
              <w:jc w:val="left"/>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供应商登记注册地址在本次项目实施区域的得2分，未在实施区域的不得分。</w:t>
            </w:r>
            <w:r/>
          </w:p>
        </w:tc>
        <w:tc>
          <w:tcPr>
            <w:tcBorders>
              <w:top w:val="single" w:color="auto" w:sz="4" w:space="0"/>
              <w:left w:val="single" w:color="auto" w:sz="4" w:space="0"/>
              <w:right w:val="single" w:color="auto" w:sz="4" w:space="0"/>
            </w:tcBorders>
            <w:tcW w:w="414" w:type="pct"/>
            <w:vAlign w:val="center"/>
            <w:textDirection w:val="lrTb"/>
            <w:noWrap w:val="false"/>
          </w:tcPr>
          <w:p>
            <w:pPr>
              <w:jc w:val="left"/>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p>
        </w:tc>
      </w:tr>
      <w:tr>
        <w:trPr>
          <w:jc w:val="center"/>
          <w:trHeight w:val="378"/>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合计：100分</w:t>
            </w:r>
            <w:r/>
          </w:p>
        </w:tc>
      </w:tr>
    </w:tbl>
    <w:p>
      <w:pPr>
        <w:pStyle w:val="678"/>
        <w:ind w:left="0" w:firstLine="482"/>
        <w:jc w:val="center"/>
        <w:keepLines w:val="0"/>
        <w:pageBreakBefore w:val="0"/>
        <w:spacing w:line="520" w:lineRule="exact"/>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104" w:name="_Toc105488536"/>
      <w:r/>
      <w:bookmarkEnd w:id="104"/>
      <w:r/>
      <w:bookmarkStart w:id="105" w:name="_Toc27854"/>
      <w:r/>
      <w:bookmarkStart w:id="106" w:name="_Toc178255255"/>
      <w:r/>
      <w:bookmarkStart w:id="107" w:name="_Toc24709"/>
      <w:r/>
      <w:bookmarkStart w:id="108" w:name="_Toc176770989"/>
      <w:r/>
      <w:bookmarkStart w:id="109" w:name="_Toc176528940"/>
      <w:r/>
      <w:bookmarkStart w:id="110" w:name="_Toc105488537"/>
      <w:r>
        <w:rPr>
          <w:rFonts w:hint="eastAsia" w:ascii="仿宋" w:hAnsi="仿宋" w:eastAsia="仿宋" w:cs="仿宋"/>
          <w:color w:val="000000" w:themeColor="text1"/>
          <w:sz w:val="36"/>
          <w:szCs w:val="36"/>
          <w14:textFill>
            <w14:solidFill>
              <w14:schemeClr w14:val="tx1"/>
            </w14:solidFill>
          </w14:textFill>
        </w:rPr>
        <w:t xml:space="preserve">第四章</w:t>
      </w:r>
      <w:bookmarkStart w:id="111" w:name="_Toc150538845"/>
      <w:r>
        <w:rPr>
          <w:rFonts w:hint="eastAsia" w:ascii="仿宋" w:hAnsi="仿宋" w:eastAsia="仿宋" w:cs="仿宋"/>
          <w:color w:val="000000" w:themeColor="text1"/>
          <w:sz w:val="36"/>
          <w:szCs w:val="36"/>
          <w14:textFill>
            <w14:solidFill>
              <w14:schemeClr w14:val="tx1"/>
            </w14:solidFill>
          </w14:textFill>
        </w:rPr>
        <w:t xml:space="preserve">采购项目</w:t>
      </w:r>
      <w:bookmarkEnd w:id="111"/>
      <w:r>
        <w:rPr>
          <w:rFonts w:hint="eastAsia" w:ascii="仿宋" w:hAnsi="仿宋" w:eastAsia="仿宋" w:cs="仿宋"/>
          <w:color w:val="000000" w:themeColor="text1"/>
          <w:sz w:val="36"/>
          <w:szCs w:val="36"/>
          <w14:textFill>
            <w14:solidFill>
              <w14:schemeClr w14:val="tx1"/>
            </w14:solidFill>
          </w14:textFill>
        </w:rPr>
        <w:t xml:space="preserve">的服务要求和数量等</w:t>
      </w:r>
      <w:bookmarkEnd w:id="105"/>
      <w:r/>
      <w:bookmarkEnd w:id="106"/>
      <w:r/>
      <w:bookmarkEnd w:id="107"/>
      <w:r/>
      <w:bookmarkEnd w:id="108"/>
      <w:r/>
      <w:bookmarkEnd w:id="109"/>
      <w:r/>
      <w:bookmarkEnd w:id="110"/>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bookmarkStart w:id="112" w:name="_Toc534273796"/>
      <w:r/>
      <w:bookmarkStart w:id="113" w:name="_Toc176770990"/>
      <w:r/>
      <w:bookmarkStart w:id="114" w:name="_Toc178255256"/>
      <w:r/>
      <w:bookmarkStart w:id="115" w:name="_Toc176528941"/>
      <w:r>
        <w:rPr>
          <w:rFonts w:hint="eastAsia" w:ascii="仿宋" w:hAnsi="仿宋" w:eastAsia="仿宋" w:cs="仿宋"/>
          <w:b/>
          <w:color w:val="000000" w:themeColor="text1"/>
          <w:sz w:val="24"/>
          <w:szCs w:val="24"/>
          <w14:textFill>
            <w14:solidFill>
              <w14:schemeClr w14:val="tx1"/>
            </w14:solidFill>
          </w14:textFill>
        </w:rPr>
        <w:t xml:space="preserve">一、项目简介</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1、项目编号：JSZC-320115-ZJDL-G2026-0001</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2、项目名称：2026年度江宁区第十二届公益创投项目</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3、实施地域：南京市江宁区区域</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4、实施周期：</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lang w:val="zh-CN"/>
          <w14:textFill>
            <w14:solidFill>
              <w14:schemeClr w14:val="tx1"/>
            </w14:solidFill>
          </w14:textFill>
        </w:rPr>
        <w:t xml:space="preserve">个月（具体以合同签订时间为准）</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5、项目属性：服务类项目</w:t>
      </w:r>
      <w:r/>
    </w:p>
    <w:p>
      <w:pPr>
        <w:ind w:left="0" w:firstLine="480"/>
        <w:jc w:val="left"/>
        <w:keepLines w:val="0"/>
        <w:pageBreakBefore w:val="0"/>
        <w:spacing w:line="520" w:lineRule="exact"/>
        <w:rPr>
          <w:rFonts w:hint="default" w:ascii="仿宋" w:hAnsi="仿宋" w:eastAsia="仿宋" w:cs="仿宋"/>
          <w:bCs/>
          <w:color w:val="000000" w:themeColor="text1"/>
          <w:sz w:val="24"/>
          <w:szCs w:val="24"/>
          <w:lang w:val="en-US" w:eastAsia="zh-CN"/>
          <w14:textFill>
            <w14:solidFill>
              <w14:schemeClr w14:val="tx1"/>
            </w14:solidFill>
          </w14:textFill>
        </w:rPr>
        <w:sectPr>
          <w:footerReference w:type="default" r:id="rId9"/>
          <w:footnotePr/>
          <w:endnotePr/>
          <w:type w:val="nextPage"/>
          <w:pgSz w:w="11906" w:h="16838" w:orient="portrait"/>
          <w:pgMar w:top="1418" w:right="1418" w:bottom="1418" w:left="1418" w:header="851" w:footer="992" w:gutter="0"/>
          <w:pgNumType w:start="1"/>
          <w:cols w:num="1" w:sep="0" w:space="425" w:equalWidth="1"/>
          <w:docGrid w:linePitch="360"/>
        </w:sect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6</w:t>
      </w:r>
      <w:r>
        <w:rPr>
          <w:rFonts w:hint="eastAsia" w:ascii="仿宋" w:hAnsi="仿宋" w:eastAsia="仿宋" w:cs="仿宋"/>
          <w:bCs/>
          <w:color w:val="000000" w:themeColor="text1"/>
          <w:sz w:val="24"/>
          <w:szCs w:val="24"/>
          <w14:textFill>
            <w14:solidFill>
              <w14:schemeClr w14:val="tx1"/>
            </w14:solidFill>
          </w14:textFill>
        </w:rPr>
        <w:t xml:space="preserve">、</w:t>
      </w:r>
      <w:r>
        <w:rPr>
          <w:rFonts w:hint="eastAsia" w:ascii="仿宋" w:hAnsi="仿宋" w:eastAsia="仿宋" w:cs="仿宋"/>
          <w:bCs/>
          <w:color w:val="000000" w:themeColor="text1"/>
          <w:sz w:val="24"/>
          <w:szCs w:val="24"/>
          <w:lang w:val="en-US" w:eastAsia="zh-CN"/>
          <w14:textFill>
            <w14:solidFill>
              <w14:schemeClr w14:val="tx1"/>
            </w14:solidFill>
          </w14:textFill>
        </w:rPr>
        <w:t xml:space="preserve">项目内容</w:t>
      </w:r>
      <w:r>
        <w:rPr>
          <w:rFonts w:hint="eastAsia" w:ascii="仿宋" w:hAnsi="仿宋" w:eastAsia="仿宋" w:cs="仿宋"/>
          <w:color w:val="000000" w:themeColor="text1"/>
          <w:sz w:val="24"/>
          <w:szCs w:val="24"/>
          <w:lang w:val="zh-CN"/>
          <w14:textFill>
            <w14:solidFill>
              <w14:schemeClr w14:val="tx1"/>
            </w14:solidFill>
          </w14:textFill>
        </w:rPr>
        <w:t xml:space="preserve">：</w:t>
      </w:r>
      <w:r>
        <w:rPr>
          <w:rFonts w:hint="eastAsia" w:ascii="仿宋" w:hAnsi="仿宋" w:eastAsia="仿宋" w:cs="仿宋"/>
          <w:bCs/>
          <w:color w:val="000000" w:themeColor="text1"/>
          <w:sz w:val="24"/>
          <w:szCs w:val="24"/>
          <w:lang w:val="en-US" w:eastAsia="zh-CN"/>
          <w14:textFill>
            <w14:solidFill>
              <w14:schemeClr w14:val="tx1"/>
            </w14:solidFill>
          </w14:textFill>
        </w:rPr>
        <w:t xml:space="preserve">2026年度江宁区第十二届公益创投项目</w:t>
      </w:r>
      <w:r>
        <w:rPr>
          <w:rFonts w:hint="default" w:ascii="仿宋" w:hAnsi="仿宋" w:eastAsia="仿宋" w:cs="仿宋"/>
          <w:bCs/>
          <w:color w:val="000000" w:themeColor="text1"/>
          <w:sz w:val="24"/>
          <w:szCs w:val="24"/>
          <w:lang w:val="en-US" w:eastAsia="zh-CN"/>
          <w14:textFill>
            <w14:solidFill>
              <w14:schemeClr w14:val="tx1"/>
            </w14:solidFill>
          </w14:textFill>
        </w:rPr>
        <w:t xml:space="preserve">总预算为3</w:t>
      </w:r>
      <w:r>
        <w:rPr>
          <w:rFonts w:hint="eastAsia" w:ascii="仿宋" w:hAnsi="仿宋" w:eastAsia="仿宋" w:cs="仿宋"/>
          <w:bCs/>
          <w:color w:val="000000" w:themeColor="text1"/>
          <w:sz w:val="24"/>
          <w:szCs w:val="24"/>
          <w:lang w:val="en-US" w:eastAsia="zh-CN"/>
          <w14:textFill>
            <w14:solidFill>
              <w14:schemeClr w14:val="tx1"/>
            </w14:solidFill>
          </w14:textFill>
        </w:rPr>
        <w:t xml:space="preserve">5</w:t>
      </w:r>
      <w:r>
        <w:rPr>
          <w:rFonts w:hint="default" w:ascii="仿宋" w:hAnsi="仿宋" w:eastAsia="仿宋" w:cs="仿宋"/>
          <w:bCs/>
          <w:color w:val="000000" w:themeColor="text1"/>
          <w:sz w:val="24"/>
          <w:szCs w:val="24"/>
          <w:lang w:val="en-US" w:eastAsia="zh-CN"/>
          <w14:textFill>
            <w14:solidFill>
              <w14:schemeClr w14:val="tx1"/>
            </w14:solidFill>
          </w14:textFill>
        </w:rPr>
        <w:t xml:space="preserve">0万元，本项目共分为7</w:t>
      </w:r>
      <w:r>
        <w:rPr>
          <w:rFonts w:hint="eastAsia" w:ascii="仿宋" w:hAnsi="仿宋" w:eastAsia="仿宋" w:cs="仿宋"/>
          <w:bCs/>
          <w:color w:val="000000" w:themeColor="text1"/>
          <w:sz w:val="24"/>
          <w:szCs w:val="24"/>
          <w:lang w:val="en-US" w:eastAsia="zh-CN"/>
          <w14:textFill>
            <w14:solidFill>
              <w14:schemeClr w14:val="tx1"/>
            </w14:solidFill>
          </w14:textFill>
        </w:rPr>
        <w:t xml:space="preserve">0</w:t>
      </w:r>
      <w:r>
        <w:rPr>
          <w:rFonts w:hint="default" w:ascii="仿宋" w:hAnsi="仿宋" w:eastAsia="仿宋" w:cs="仿宋"/>
          <w:bCs/>
          <w:color w:val="000000" w:themeColor="text1"/>
          <w:sz w:val="24"/>
          <w:szCs w:val="24"/>
          <w:lang w:val="en-US" w:eastAsia="zh-CN"/>
          <w14:textFill>
            <w14:solidFill>
              <w14:schemeClr w14:val="tx1"/>
            </w14:solidFill>
          </w14:textFill>
        </w:rPr>
        <w:t xml:space="preserve">个分包，详见下表：</w:t>
      </w:r>
      <w:r/>
    </w:p>
    <w:tbl>
      <w:tblPr>
        <w:tblStyle w:val="688"/>
        <w:tblW w:w="15685" w:type="dxa"/>
        <w:tblInd w:w="-8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9"/>
        <w:gridCol w:w="712"/>
        <w:gridCol w:w="1020"/>
        <w:gridCol w:w="938"/>
        <w:gridCol w:w="11055"/>
        <w:gridCol w:w="1191"/>
      </w:tblGrid>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落地</w:t>
            </w:r>
            <w:r/>
          </w:p>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实施</w:t>
            </w:r>
            <w:r/>
          </w:p>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需求</w:t>
            </w:r>
            <w:r/>
          </w:p>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需求概述</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i w:val="0"/>
                <w:iCs w:val="0"/>
                <w:color w:val="000000"/>
                <w:sz w:val="24"/>
                <w:szCs w:val="24"/>
                <w:u w:val="none"/>
                <w:lang w:val="en-US" w:eastAsia="zh-CN" w:bidi="ar"/>
                <w14:ligatures w14:val="standardContextual"/>
              </w:rPr>
              <w:suppressLineNumbers w:val="0"/>
            </w:pPr>
            <w:r>
              <w:rPr>
                <w:rFonts w:hint="eastAsia" w:ascii="仿宋" w:hAnsi="仿宋" w:eastAsia="仿宋" w:cs="仿宋"/>
                <w:b/>
                <w:bCs/>
                <w:i w:val="0"/>
                <w:iCs w:val="0"/>
                <w:color w:val="000000"/>
                <w:sz w:val="24"/>
                <w:szCs w:val="24"/>
                <w:u w:val="none"/>
                <w:lang w:val="en-US" w:eastAsia="zh-CN" w:bidi="ar"/>
                <w14:ligatures w14:val="standardContextual"/>
              </w:rPr>
              <w:t xml:space="preserve">项目金额（万元）</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总目标：构建一个以儿童为中心、家庭社区共同参与的“三维支持网络”，通过为期9个月的系列化、主题式服务，显著提升江宁街道困境儿童的核心社会情感能力与生涯发展认知，并形成可持续的服务机制。</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1.开展“周末成长进阶营”，小团体、深挖掘、重持续。每次围绕一个进阶主题，通过体验式学习，进行系统能力训练，每次不少于15人，共7次（含兴趣深耕、问题解决、抗挫折训练等主题）；</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2.开展3日“宁童成长</w:t>
            </w:r>
            <w:r>
              <w:rPr>
                <w:rFonts w:hint="default" w:ascii="仿宋" w:hAnsi="仿宋" w:eastAsia="仿宋" w:cs="仿宋"/>
                <w:b w:val="0"/>
                <w:bCs w:val="0"/>
                <w:i w:val="0"/>
                <w:iCs w:val="0"/>
                <w:color w:val="000000"/>
                <w:sz w:val="24"/>
                <w:szCs w:val="24"/>
                <w:u w:val="none"/>
                <w:lang w:val="en-US" w:eastAsia="zh-CN" w:bidi="ar"/>
                <w14:ligatures w14:val="standardContextual"/>
              </w:rPr>
              <w:t xml:space="preserve">・</w:t>
            </w:r>
            <w:r>
              <w:rPr>
                <w:rFonts w:hint="eastAsia" w:ascii="仿宋" w:hAnsi="仿宋" w:eastAsia="仿宋" w:cs="仿宋"/>
                <w:b w:val="0"/>
                <w:bCs w:val="0"/>
                <w:i w:val="0"/>
                <w:iCs w:val="0"/>
                <w:color w:val="000000"/>
                <w:sz w:val="24"/>
                <w:szCs w:val="24"/>
                <w:u w:val="none"/>
                <w:lang w:val="en-US" w:eastAsia="zh-CN" w:bidi="ar"/>
                <w14:ligatures w14:val="standardContextual"/>
              </w:rPr>
              <w:t xml:space="preserve">探索无界”暑期研学，走出社区，在真实、多元的社会文化场景中进行沉浸式学习与团队共创，每次不少于20人，共1次；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3.开展“成长成果展+亲子分享会”，搭建展示平台，促进亲子对话，固化支持网络，每次不少于30人，共1次。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江宁街道牌坊社区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总目标：以茶文化为媒，传承本土文化，改善家庭关系，培育青少年，构建和谐社区，探索乡村文化赋能治理路径。</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1.挖掘活化茶文化，形成茶礼家训、传承队伍及文化产品，开展匠心传承工作坊9场，每次不少于20人；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2.改善50户以上核心家庭沟通模式，建立家庭文化，开展多形式共创茶话会3场，每次不少于30人；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3.培育不少于20人的“小小茶博士”队伍，提升其文化素养与表达能力，开展青少年茶文化创意营9场，每次不少于20人；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4.形成可持续的社区文化服务模式，孵化1个以上内生文化兴趣小组。</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江宁街道盛江社区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总目标：活化社区公共空间，发展慈善合伙人与专业志愿队伍，构建 “空间 - 基金 - 志愿” 联动的社区慈善生态，激活治理内生动力。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1.社区慈善合伙人培育：招募并签约 5 名社区慈善合伙人（爱心商户、社会组织等），制定《慈善合伙人合作规范》，联动开展空间共建、资源捐赠、服务供给等行动；</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2.公共空间活化运营：对社区公共空间（重点优化慈善超市）进行功能升级，打造 “慈善服务 + 便民活动 + 志愿孵化” 多功能阵地，全年组织空间活化活动不少于 9 场，累计参与居民≥200 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3.慈善造血行动实施：依托社区慈善基金，开展 “空间共建共营、资源双向链接、服务多元供给” 造血行动，通过场地共享、资源对接、公益服务收费（低成本）等方式，实现慈善基金增收，全部用于补充社区公益服务；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4.志愿服务体系完善：针对爱心商户、青年、家庭、特殊困难对象等群体，开展 4 场主题引导服务（技能培训、需求对接、经验分享等），组建 10人专项志愿队伍，开展 2 场专业化培训，全年志愿服务时长≥500 小时；</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5.多元服务精准供给：基于居民需求，提供公益化、低成本的多元服务（便民维修、健康咨询、文化活动、困难帮扶等），全年开展服务≥3 场，覆盖居民≥300 人次。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江宁街道陆郎社区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总目标：构建“文化赋能+权益保障+无障碍出行”多维助残服务体系，推动残障群体社会融入与生活品质提升，打造可持续的助残服务新生态。</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1.为30名直接服务对象提供不少于1次的入户探访服务，落实完成不少于1次的微心愿；</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2.在项目执行期间积极帮扶片区所有有助医需求的服务对象（普惠型）对接医疗资源，医疗救护协助；3.开展技能培训，巩固完善培训成果展示6场次，拓展销售渠道，助力实现技能变现；</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4.文化赋能：举办2场残健融合活动（展览、市集、节日主题，分享会），累计参与人数不少于100人次；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5.无障碍出行体验活动3场：（游园，观影，踏青等），完成片区重点公共场所无障碍设施调研，形成专业报告，推动10处设施改造落地；</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6.常态化开展政策解读，权益咨询等市集活动。</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江宁街道铜井社区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总目标：项目通过系统化关爱服务，扩大老人社交圈，增强社区归属感，提升健康与安全防护能力，构建邻里互助养老支持网络，打造集镇型社区独居老人关爱特色品牌，提升老年群体幸福感与安全感。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本项目至少以20名独居老人为核心服务对象，辐射片区至少50人，间接服务200人次。常态化开展四大服务：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1.情感陪伴活动：通过茶话会、故事分享、心理疏导等形式，累计服务3场，重点缓解独居老人情感孤独，搭建基础社交关系；</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2.兴趣文娱活动：结合老人兴趣特长，常态化开展手工、棋牌、歌唱等活动，累计服务9场，丰富老人精神文化生活；</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3.健康养生活动：每月开展1次健康养生服务，累计服务9场，提升老人健康管理意识与自我防护能力；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4.邻里守望活动：项目周期开展安全培训、居家安全隐患排查共计3场，实现独居老人安全关怀全覆盖，构建“小事互帮、急事共应”的邻里互助网络。</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3549"/>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总目标：通过专业社区调研，精准摸排需求、梳理资源，产出科学服务规划，助力东山街道社区服务提质增效。</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1．开展专业社区调研活动不少于21场次，实现调研服务覆盖所有目标社区，精准摸排服务需求及社区各类资源；</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2．形成1份高质量、可落地的《东山街道社区社会工作服务需求调研报告及服务规划》，明确服务缺口及资源优化方向，贴合社工专业服务逻辑；</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3．围绕调研方法、服务规划、社区慈善基金建立及规范运作等内容，组织开展1个赋能工作坊，覆盖线社区工作者等人员不少于30人，提升其专业服务能力。</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东山街道远泰路社区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打造楼栋自治样板”的思维，通过专业引领与社工协同，挖掘培育远泰路社区楼栋自治志愿团队，打造2个楼栋治理样板间，探索一套可复制、可推广的远泰路楼栋自治模式，激发居民参与热情，培养社区内生力量。</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1.探索1套模式：探索远泰路社区“评估-破冰-孵化-行动-总结”的楼栋自治完整流程，形成标准化工作法，形成《远泰路社区楼栋自治实操宝典》；</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2.试点楼栋确定：策划组织试点楼栋招募活动不少于2场；定向邀请及访谈不少于10次；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3.楼栋活动激活：策划开展楼栋活动/主题共创工作坊不少于10场，提升社区居民知晓率；</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4.打造2个楼栋品牌：结合远泰路社区慈善基金，基于居民共创，完成2个主题鲜明、氛围温馨的楼栋公共空间营造；</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5.建立1个楼栋志愿站点：挖掘培育2支有名称、有骨干、有活力、有固定活动的居民楼栋自治志愿团队，建立远泰路社区楼栋志愿站点；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6.赋能1支队伍：让参与项目的社区社工在全程协同中，参与楼栋自治项目的全过程，对社区治理有体验、有感受、有成长。</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总目标：增强服务对象家庭抗逆力，构建“赋能家庭促困境儿童个体成长”服务模式，帮助建立坚定的信念、共情的互动、灵活的调节、榜样的支持、多重的经验，最终提升社会融入与生活质量。</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1．开展东山街道困境儿童家庭抗逆力评估，不少于150户，并形成1份详实、专业的评估总结报告；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2．结合评估结果，筛选出不少于8户家庭开展抗逆力提升小组，为期6节；</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3．针对不同类型家庭提供抗逆力提升专业服务，如面向重病重残困境儿童家庭开展照料能力提升服务，面向单亲家庭、父母在押儿童家庭等开展教育方式培训、精神支持和就业支持等，服务不少于30户家庭；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4．对项目经验进行总结，形成1篇困境儿童家庭抗逆力提升服务案例。</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积极响应国家“主动健康”号召，提升55-60岁“初老”人群的肌力与平衡能力。通过科学干预与榜样引领，帮助40名参与者养成锻炼习惯，降低未来跌倒风险，延缓肌少症发生，并借助多元宣传渠道，带动更多群众树立“从现在开始锻炼”的健康意识，营造全民关注主动健康的社区氛围，助力健康中国建设。</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1.精准体能干预：为40名目标人群开展12场系统性抗阻训练（如深蹲、弹力带操），强化核心肌群与下肢力量，提升身体稳定性，示范“锻炼永不嫌晚”的可行路径；</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2.知识赋能课堂：开展2场防跌倒专题讲座，普及居家环境隐患排查、跌倒后应急处理及营养补充知识；</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3.以点带面推广：培训10名学员成为社区宣传员，每人至少带动2人参与锻炼，预计辐射20人。通过分享自身改变，激发更多中老年人参与锻炼；</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4.多元宣传造势：设计制作海报2款、传单500份、手册50本，累计覆盖1000人次，扩大项目影响力，吸引更多群众关注并加入主动健康行列。</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东山街道晓里社区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总目标：发挥老党员、低龄老人优势，参与社区公共事务管理，聚焦邻里互助、矛盾调解、民主协商等，提升社区治理创新模式。</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1．通过前期宣传招募，建立社区共创志愿者服务社群，人数不少于50人，培养志愿者不少于20人，开展“晓里有礼”志愿者邻里互助、环境巡查等活动每月1场，项目周期内9场；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发挥老党员先锋榜样作用，挖掘社区能人、热心居民，成立晓里社区“晓里有理议事会”，人数不少于9人，每季度定期开展1场民主协商议事会，围绕社区环境、卫生、安全、文艺、娱乐等开展讨论，并形成跟踪解决闭环，项目周期内3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3．运用有限资源，建立惠民服务“桃园益栈”空间，每月开放2次服务，包括矛盾调解、法律咨询、理发服务、身心健康咨询、爱心缝补、资源对接等，形成服务记录台账1本；</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4．主题节日，链接多方资源结合健康义诊、生活服务、法律咨询等，开展广场惠民服务1场。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东山街道北沿路社区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东山街道北沿路社区试点，针对失能照护预防缺知识、护理缺技能、支持缺网络的问题，建立“预防为先+科学护理+支持网络”三大维度协同的社区居家照护模式，赋能家庭照护者，普及失能预防知识，完善长效专业支持体系，切实提升社区失能照护服务能力与水平。</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1．开展北沿路社区12户失能病患家庭全覆盖入户走访，通过访谈、观察等方式，摸排梳理失能照护者个性化护理需求，形成标准化需求摸排台账；</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链接专业医护资源，搭建失能照护者科学护理、社区居民失能预防知识两大课程体系，其中居民失能预防知识课程开设不少于4场次，覆盖人次不少于80人次，入户开展照护者科学护理指导服务，不少于10人，每月1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3.开展科学护理入户指导专项培训8课时，培育具备实操能力的社区志愿者不少于10人，并完成志愿者服务建档与岗前考核；</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4．搭建多方联动的社区支持网络，构建以街道社区牵头、社工协同、医疗机构专业支撑、志愿者补充服务为核心的“在社区照顾”失能家庭社会支持体系，建立网络长效联动与运营机制，形成案例1个。</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总目标：让伤残经济困难家庭子女、外来务工人员双职工家庭子女困境儿童10人养成良好的学习习惯，减年轻父母暑期看管孩子的负担，增强生育信心。</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1.组织困境儿童暑期（7月-8月）全天集中托管20天，请专业老师进行学业辅导；</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2.组织困境儿童秋季（9月-12月）周末书法课堂20次，聘请专业老师教授书法知识，学习中国的传统文化每周六上午开设硬笔书法课堂，每周六下午开设软笔书法课堂；</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3.为报名的家庭进行登记造册，了解学生困境儿童情况，建立微信群，方便与家长的联系，帮助和督促孩子高质量完成暑期学习任务。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东山街道全街道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总目标：构建东山街道特困人员“精准评估-分类服务”新模式，提升救助服务的针对性、及时性与满意度。</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1．完成80名特困人员多维需求评估与分类建档，准确率95％以上；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2．建立“三类四包”分类服务体系（A类高风险对象“安全守护包”、B类中风险对象“暖心支持包”、C类低风险对象“赋能发展包”及通用“政策安心包”），服务覆盖率达80％以上；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3．培育一支不少于8人的社区救助专员队伍及20人以上的社区志愿者团队；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4．服务对象综合满意度达到85％以上。</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禄口街道彭福村社区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总目标：为禄口街道铜山片农村社区留守、困境青少年搭建多元化服务平台，提升青少年综合素养，助力青少年身心健康、全面发展，营造浓厚的社区关爱氛围。</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1.开展兴趣小组活动18场；分层开设多元兴趣课程，搭建同辈互动与兴趣培育双平台，有效提升青少年沟通协作能力，丰富其精神文化生活；</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2.开展支持小组活动15场；引入专业社工，开展团体互动、心理辅导活动，帮助留守及困境青少年缓解自卑情绪，掌握基础情绪调节方法，同时构建稳定的同辈互助情感支持网络；</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3.视野拓展主题活动；组织开展1场外出研学活动，带领青少年走进城市场馆、科技企业等场景，激发学习与成长动力；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4.与2家单位、机构或学校建立协同育人机制，组建1支公益志愿队伍，切实为区域留守及困境青少年成长提供持续化公益支持。</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禄口街道机场社区茅亭社区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总目标：在项目周期内以家庭抗逆力理论与社区照顾模式为支撑，为 15 户 “老养残” 家庭提供专业社工服务，提升家庭内部韧性，构建外部支持网络，改善家庭生活质量。</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1.家庭内部韧性培育：为15名老年照料者开展 8 场家庭抗逆力小组活动，通过叙事治疗、优势挖掘等方式，重构角色认知，缓解心理压力；为 15 户沟通存在障碍的家庭提供 9 场 “跨越代沟的对话” 主题服务，优化家庭沟通模式；</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2.社区支持网络构建：搭建 “老养残”家庭互助联盟，组织 6 场经验交流会，促进家庭间互助支持；推行 “社区伙伴结对计划”，链接 10 名社区志愿者与 15 户有需求的家庭结对，提供定期喘息服务、生活协助等支持。</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95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禄口街道钟村社区高伏社区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总目标：以钟村、高伏社区老年人为核心，构建多元养老支持体系，通过培育志愿队伍、开设银龄课堂、开展节日活动及暖阳相伴下楼计划，推动服务可持续转型。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1.培育组建一支不少于10人的志愿者队伍，开展4场专项培训；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2.“银龄课堂”开展9场教学活动，包含：慢性病监测与日常管理、应急救护与防跌倒、动手能力等，每场不少于15人；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3.“银龄拾忆”传统节日主题活动3场，每场不少于30人；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4.“暖阳相伴”独居、行动不便步梯老人下楼支持计划，开展8次高龄、行动不便的步梯老人下楼支持计划，以小组形式，在社区广场/花园举办“阳光茶话会”每场不少于8名老人。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禄口街道秦村社区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总目标：组建儿童同盟，联动困境儿童与普适儿童共耕“爱心田”，以“耕读慰问”模式，植入本土农耕与红色微教育，搭建朋辈支持网。</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1.团队组建：招募“活力儿童大使”,组建困境儿童+普适儿童联盟；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2.爱心田标准化建设：升级打造“红耕童趣”实景教育场地；</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3.分区种植：将“知识小课堂”与“实地操作”深度融合，并植入农耕文化教育，改造闲置荒地，划分“爱心责任田”与“静养观赏角”（8场次）；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4.红色教育：采用“走出去研学”与“请进来讲述”双线并行的方式。（2场）。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5.市集义卖：举办 “耕读爱心市集”。（2场）；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6.慰问机制：产出蔬菜，由活力儿童分组上门慰问周边不低于10户重病/重残儿童家庭，赠送“耕读慰问包”（2场）；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7.《小禄童盟·爱心田风采集》整合“耕读日常影像志”与“儿童生命故事口述”，编纂图文互证的纸质特刊。</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211"/>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禄口街道全街道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总目标：通过走访建档深挖红色故事、组建志愿队伍和互助小组，打造专属故事集与纪录片，提升退役军人价值感与归属感。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1.为禄口街道不少于30名退役军人提供服务，形成一人一档，搭建线上沟通渠道；</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2.成立退役军人志愿服务队：发展不少于10名新成员加入退役军人志愿服务队，参与社区治理、应急救援等志愿服务不少于6次，“退伍不褪色”提升退役军人的价值感；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3.红色故事挖掘与宣讲：组织“口述历史”活动，记录老兵的光荣事迹，成立老兵宣讲团，进学校、进社区讲述红色故事，不少于2场；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4.战友互助网络建设：建立同辈支持小组，开展服务不少于10次，鼓励退役军人之间相互熟悉、交流、帮助，形成内部支持的良性循环；</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5.挖掘典型事迹：通过线上材料收集+实地访谈的形式，深入挖掘退役军人的先进事迹和感人故事，形成宣传手册1本。</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通过开展志愿者组建赋能、精准学业支持、暑期成长营体验、潜能挖掘成长小组及深度个案干预，为低收入家庭儿童提供学业照护与发展支持，提升其自信心、抗逆力和社会适应能力，构建家庭-社区联动的关爱服务体系，赋能困境儿童健康成长。</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1.团队建设与赋能：组建5人以上核心志愿者团队，通过3场以上专题培训，内容涵盖服务理念、岗位职责与安全管理，提升志愿者专业意识与协作能力；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2.精准学业支持：通过需求筛查，为至少4名学业困难的贫困家庭儿童制定个性化辅导方案。以周末辅导为载体，每人提供16次以上一对一支持，弥补知识短板，改善学习习惯；</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3.暑期成长营体验：面向6-15岁儿童，设计为期20天的夏令营，服务至少20人。融合科普、文化、拓展、艺术与实践等主题，创造安全愉快的集体成长环境，促进综合素质发展；</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4.潜能发掘与自信提升：围绕阅读科普与实践体验主线，设计8节小组活动。采用互动体验式方法，引导儿童培养兴趣、探索自我、展示特长，挖掘潜能并增强自信心与自我效能感；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5.深度个案干预与支持：以提升心理韧性、改善自我认知与家庭支持为目标，筛选并开展至少1例儿童个案。进行6次以上系统干预，提供情感支持、认知调整与家庭沟通指导，协助应对成长挑战。</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总目标：为谷里街道低保、独居、孤寡老人建立认知健康防护网，延缓功能衰退，并提升社区对认知障碍的认知与友好度。</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1.组建一支不少于10人的志愿者团队，围绕认知障碍群体筛查相关专业知识及技能，开展2期针对性培训+全程督导；</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运用简易精神状态量表（MMSE）等专业量表，通过入户走访的形式为全街60岁以上的低保中的独居、孤寡老人开展阿尔兹海默症认知症筛查覆盖率达100%，同时筛查后为认知症障碍奉献老人建立个人档案，并形成一份调研分析报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3.聚焦独居生活或有认知障碍风险的老年人，开展2个个案和1场小组干预，帮助他们延缓认知功能衰退；</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4.围绕认知筛查、健康义诊、益智互动等维度开展1场阿尔兹海默症主题宣传活动，增强居民关于认知障碍的关注度与意识，营造老年友好氛围。</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谷里街道新苑社区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总目标：激发居民内在活力和社区内生驱动力，通过多元协同治理模式，增强社区公共事务管理能力，构建“共建、共治、共享”治理格局，提升居民归属感、幸福感和社区治理水平。</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1.建立民主协商协同治理平台和机制，针对“一老一小”群体社区服务供给需求和社区环境微治理问题，通过多元主体参与协商提供解决方案，共计3次；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2.在协同协商的框架下，培育发展1支成熟的在地化志愿者队伍，队伍成员不少于10人，开展4次赋能活动，提升志愿者服务能力；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3.通过协商完善“一老一小”2项服务供给，根据协商方案，分别开展由志愿者参与的每月2次“敲敲门”行动（8个月）和每月1次（8个月）“跨龄工坊”打造；</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4.通过社区文化品牌建设营造和谐邻里关系，开展4次邻里互助文化活动，增强居民归属感。</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谷里街道公塘社区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依托公塘社区助农互助养老服务平台，新增两条农产品销售渠道，优化城乡农产品供需链路，募集专项助农互助公益慈善金，组建志愿服务队伍为社区老年人提供精准化、个性化、常态化的互助养老志愿服务，营造社区公益氛围，实现“以老扶农、以农助老、城乡联动、公益共生”的服务成效。</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1.以老扶农：发挥农业优势，助力乡村发展。协助社区合作社老年人拓展新增农产品销售渠道2条，提升农产品变现收益，以老年群体力量赋能本地农业生产与销售；</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2.以农助老：依托农业资源，提供助老服务；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2.1依托助农公益慈善金，打造多元养老服务场景，带领辖区老年人通过2场协商议事会打造1处“农趣营地”，丰富合作社老年人的创收渠道，搭建老年人社交新阵地；</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2.2组建10人公塘社区助农互助养老服务志愿服务队伍，结合社区困难老年人的个性服务需求开展邻里守望志愿服务9场次；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3.城乡联动：构建供需链路，实现城乡互通。组织城市居民和本地农户开展4场农趣体验、农产品展销、休闲互动等主题活动，打通城乡供需链路；</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4.公益共生：凝聚公益力量，构建长效互助。整合老年志愿者、合作社老年人、城市居民等多方资源开展助农互助公益集市主题活动1场次，构建公塘社区助农互助养老服务长效机制。</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谷里街道向阳社区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康养服务+慢病防控”为核心，融合中医养生与传播“治未病”理念，为困难群体提供专业化、个性化公益服务，提升慢性病管理能力与健康素养，构建“生理呵护+健康指导+情感支持”的三维服务体系，提升困难群体的健康管理能力，助力困难老人安享晚年。</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1.慢病守护计划（12节）：以高血压、糖尿病、肩颈疼痛、腰腿痛等常见慢性病为核心干预方向，通过小组化、专业化的健康管理，提升困难老人慢病自我管理能力，每场活动6-8人，累计服务人次120人次；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2.暖心康养行：以“防未病”为核心理念，为困难服务群体提供中医咨询与理疗服务，改善服务对象身体机能、提升生活舒适度，切实为困难家庭老年群体送去健康关怀，累计服务人次150人次；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3.暖心陪伴行动（5户）：通过服务了解困难群体最迫切的需求，帮助实现，至少5户，50人次。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4.媒体报道：至少3篇。</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谷里街道双塘村社区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总目标：聚焦儿童志愿者旅游宣传专项培育，以培训赋能、实践推广为核心，打造“童声传双塘”服务品牌，助力乡村旅游宣传与儿童全面发展。</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1.完成2场专项招募活动，组建规模30人的“童声传双塘”儿童志愿者队伍，选拔核心宣传骨干8名，明确宣传服务分工；</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2.开展8场分层分类培训，其中旅游知识基础培训2场、宣传技巧专项培训3场、沟通表达进阶培训2场、实践复盘培训1场；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3.联动村内旅游资源开展10场“小小旅游宣传员”实践活动，包括景点导览、旅游攻略创作、宣传短视频拍摄等，服务游客≥80人次；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4.建立“招募-专项培训-宣传实践-激励-复盘”完整服务闭环，形成《双塘村儿童旅游宣传志愿服务操作手册》1份；</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5.完成服务成效评估，儿童及家长满意度≥85%，形成儿童视角的旅游宣传成果。</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总目标：结合横溪农业特色，为街道困境儿童提供精准化、专业化关爱服务，通过定期走访、成长小组及融入乡村农耕实践的活动，提升儿童自我认知、实践能力与乡土认同，助力其健康成长。</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1.完成对横溪街道120名在册困境儿童的2轮全覆盖入户走访，动态更新需求档案，实现“一户一账”；</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2.围绕团队协作、自信心提升等主题，开展2个儿童成长小组，每个小组活动5节，共计10节；</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3.结合横溪农业资源，设计并开展1次以“乡村农耕实践”为核心的特色研学活动，让儿童亲身体验农耕劳作，学习农业知识；</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4.在走访中挖掘重点个案2个，运用社会工作个案方法，制定个性化服务方案，通过定期面谈、家庭介入、资源整合等方式，分阶段实施干预；</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5.整理项目全过程材料，撰写总结报告，配合街道未保站完成年度工作验收与展示，结合街道特色，深化未保品牌建设。</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社区慈善基金为载体，支持社区成立并运营社区慈善基金。通过社区调研，了解社区需求及资源清单，回应社区急难愁盼的问题，以更有效、更精准、更可持续为运营目标，激活社区慈善基金活力，探索乡村特色的社区慈善基金模式，助力社区基层服务与治理。</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1.支持社区成立“云台善治”社区慈善基金，完成社区慈善基金募集及成立流程；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2.开展云台社区慈善基金调研，确定社区慈善基金发展规划及运营目标，产出1份《云台社区慈善基金调研报告》；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3.打造至少1个云台社区慈善基金特色项目；</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4.通过慈善基金支持，以专业个案支持形式，至少4个兜底困境对象，形成个案案例；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5.支持社区梳理1套社区慈善基金使用流程；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6.挖掘不少于10人的社区慈善志愿者团队</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横溪街道全街道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总目标：通过走访评估、入户服务、个案支持、资源链接方式，为横溪街道精神障碍患者提供专业服务，为其搭建有效的社会支持系统。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1.采用电话走访与实地探访相结合的方式，开展走访评估1次，评估人数不少于300人，形成需求评估报告1份；</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2.开展3场多元化社会融合活动，搭建互动平台，助力服务对象增进社会联结、融入社区生活；</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3.提供1-2个案支持服务，精准回应服务对象需求，总结形成典型案例1例；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4.打造精神卫生主题公益宣传片1条，传递理解包容理念，营造良好社会氛围；</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5.编制专业实用的心理健康手册，系统梳理调适方法与帮扶资源，为服务对象及家属提供科学指引。</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总目标：构建为淳化街道困难群体（空巢老人、残疾居民、困境儿童、低保）“政府托底、社会协同、专业支撑”的可持续帮扶体系，打造具有示范效应的社会救助服务品牌，强化民生保障的精准性与可持续性。</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1.为困境群体提供健康管理、心理疏导、技能培训等服务12次，累计服务不少于250人次；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2.开展9场小组活动，事项18名服务对象“微心愿”，累计服务60人次；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3.开展9场节日文化、社会融入活动，累计服务人次300人次；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4.开展累计5次志愿者招募、培训、管理、激励活动，培育一支不少于20人的邻里志愿队伍，累计100人次。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淳化街道青山社区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总目标：有效推进“精康融合行动”，根据服务对象社区康复意愿、病情稳定程度以及危险性评估等情况对患者开展分级分类，提供差异化服务内容，进行动态管理。</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1.对符合康复条件且有意愿的社区康复服务对象建档立卡率达到100%；</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2.选择符合条件的社区康复对象开展个案服务，项目周期内至少2个个案；</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3.针对有相似问题或困扰的服务对象开展主题小组，包括但不限于支持小组、成长小组、社交小组、社会化小组、自主互助小组、康复小组等，项目周期内至少6场次。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淳化街道青龙社区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总目标：引导辖区居民践行健康生活方式，深化移风易俗成效，共建文明和谐社区氛围。</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1.开展移风易俗主题活动3场，宣传移风易俗文化；</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2.开展中大型集中宣传活动3场次，每场服务不少于100人次；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3.开展新风传家工作坊2期，为辖区居民提供个性化咨询服务；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4.开展良俗共议社区沙龙2次，解答居民实际困难问题。</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淳化街道周郎社区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总目标：探访周郎社区独居空巢老人，了解其生活状况与实际需求，提供个性化关怀与支持。了解老人健康、心理及社交期望，保障基本生活，帮助困难群体提升生活质量和自我管理能力，促进其融入社会。 </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1.为20户独居空巢老人开展居家安全隐患排查、慢性病管理、心理疏导服务，每月1次，重点检查水电燃气、防滑设施、用火安全等，建立《居家安全隐患台账》、《个人健康档案》；</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2.为存在肢体功能障碍但具备康复潜力的老人提供个性化居家康复训练，每名老人项目周期内至少开展6次康复训练，并建立《康复进程表》；</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3.开展6次小组活动，活动内容包括健康讲座、老年运动会、传统文化节日活动、义剪等，增强老人的社会交往能力与生活幸福感。</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淳化街道方山社区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总目标：组织志愿者为淳化街道方山社区60周岁以上长者提供关爱服务累计800人次，并新增注册志愿者30人，逐步构建可持续的社区互助养老模式。</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1.开展不少于3次社区宣传活动，向居民普及养老服务互助时间政策及服务内容，提升项目知晓度；</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2.在原有志愿者上，新增并培育30名志愿者，组织不少于2场专业培训，提升志愿者服务技能与互助理念；</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3.组织志愿者为200名服务对象提供常态化关爱服务，累计服务不少于800人次，服务内容涵盖生活照料、精神慰藉、慢病管理指导、科学养生知识普及等多元需求，切实增强长者的获得感与幸福感。</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淳化街道淳化社区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总目标：通过项目开展了解淳化社区儿童及流动人口家庭儿童的成长状况和实际需求，强化心理关怀与成长支持，提升儿童的安全感、自信心与社会适应能力。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1.开展家庭探访与一对一成长支持活动8次，通过志愿者或社工陪伴交流，引导儿童建立良好的学习与生活习惯；</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2.提升家长科学家庭教育能力，促进亲子互动，营造良好的家庭成长环境。开展家庭教育主题讲座或工作坊2场；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3.开展亲子互动活动（亲子阅读、亲子手工、亲子游戏等）4场；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4.围绕防拐骗、防欺凌、防溺水、防性侵、网络安全、自我保护未成年人保护法宣传等主题，开展互动式小组活动6场，提升青少年的安全意识和自护技能。</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淳化街道玉树路社区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总目标：培育5支基本能够自主、规范开展社区邻里互助公益服务的社区自组织，推动共治共商共享的现代化社区建设。</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通过项目培育，社区全职妈妈、低龄老人、亲子家庭、高校社团、物业创业团队等，能够组团参与并开展群体互助、困难群体关怀、健康服务、为民政策宣传、品质生活公益市集等社区“微公益”项目服务内容的社区自组织不少于5个；</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面向各社区自组织团队核心成员，开展不少于6场次的能力提升培训、督导管理会、共商议事会等。由此各社区自组织能够自主开展或参与开展邻里互助服务活动总计不少于20场次。连同自我服务在内，服务玉树路社区居民共计不少于1500人次，服务覆盖全社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3.项目后期，各社区自组织骨干能够至少在1个社区公共事务议题中，参与社区组织的协商议事，并发挥矛盾调解等积极作用。</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9</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党建引领全区社会组织高质量发展为目标，以“赋能、融合、培育、整合”为主线，以社会组织综合党总支建设为核心抓手，构建“领航-赋能-聚力-品牌”党建体系，推动党建从“有形”到“有效”、“分散”到“协同”、“基础”到“品牌”升级，打造江宁特色模式。</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1.理脉络·明方向。调研与走访：覆盖6家代表性社会组织（枢纽型、服务型、技能型）；形成《江宁区社会组织党建现状调研报告》《党建工作发展计划书》各1份；</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聚资源·促共享。搭建党建资源共享平台：建成1个线上线下融合的资源共享平台；梳理形成《江宁区社会组织党建工作资源共享清单》1份。三类主体党建共建活动：分别联合枢纽型、服务型、技能型社会组织各开展1次主题活动，服务群众≥100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强能力·优队伍。分层分类培训：针对党建负责人开设2期课程，每期培训≥20人次；针对党员/社工开设2期课程，每期培训≥20人次。骨干队伍培育：选拔并培育10名“党建先锋社工”；组建“红色讲师团”，包含5名党建专家+3名优秀党组织负责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组织观摩学习：组织20余人赴先进阵地观摩学习1次，并邀请优秀示范点负责人互动交流；</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4.创品牌·树标杆。品牌矩阵打造：形成3份针对不同类型社会组织的党建品牌规划意见书，打造3个“一社一品”特色党建品牌；</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品牌传播推广：协助完成1份5A级社会组织申报材料并提交申报；发布品牌动态推文≥4篇、市级媒体报道≥2篇。</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总目标：开展各类儿童关爱类服务，营造儿童保护、儿童关爱的社会环境；协助街道民政提升全街儿童服务项目的专业度，增强儿童服务项目影响力。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1.全周期内开展各类儿童关爱类活动不少于6次，每次活动招募不少于15个儿童家庭；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2.整合资源，结合“六一儿童节”、暑期等时节，按照区街要求在相关社区、片区开展但不限定于“儿童慰问关爱”“儿童夏令营”系列活动2场；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3.全街儿童主任、儿童督导员、儿童服务从业者不少于25人，赋能培训2次；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4.项目覆盖街道30%以上社区（不少于11个社区）；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5.项目周期内，梳理和撰写典型案例申报材料不少于2份；</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6.各类宣传报道不少于5次，其中市级以上不少于2次。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秣陵街道殷巷社区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聚焦殷巷新寓片区20名左右重点困难群体行动不便、外出就医难等核心痛点，通过常态化就医接送、专业陪诊、健康宣教及心理疏导等精准服务，切实改善群体就医便利性与健康管理能力，提升其生活质量与身心幸福感，同时弘扬邻里互助精神，构建关爱暖心的社区治理新格局。</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1.就医接送服务 - 提供上门接送保障（2次/月，结合实际需求开展）；</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2.陪诊服务 - 协助完成就医流程（2次/月，结合实际需求开展）；</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3.健康咨询与教育 - 提升健康管理能力（1次/月，每次覆盖20人次）；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4.心理支持 - 提供心理咨询服务（1次/月，每次覆盖3-5人次）。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29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秣陵街道元山社区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 旨在以秣陵元山乡村中草药实践基地为基低，以中医药文化传承与发展为载体，立足乡村中医药文化发展，结合乡土资源与自然生态，探索“公益服务与市场运营相结合、乡村内生力量与高校志愿资源相协同”的可持续乡村公益阵地模式。致力于促进街道各个社区中医药文化的发展，助力乡村产业发展，帮扶困难群体，最终构建一个充满活力的公益项目“与爱同行”。</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1.完成1个乡村闲置空间的改造，建成集直播、展示、体验、科普于一体的实体慈善乡村阵地；</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2.组建一支融合“当地村民、城市志愿者、专业院校学生、市中医院治未病中心”的稳定的运营团队，总成员不少于15人，其中高校志愿者不少于5人；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3.集中优势资源开发并实施至少3套针对中小学生身心健康和体重管理的标准化中草药研学课程，确保每季度完成1次课程实施；</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4.研发并推出不少于5款“与爱同行”系列中草药公益产品，每月进行一次线上直播线下社区市集的义卖活动；</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5.联合高校和市中医院开展每季度1次的社区老人中医药健康关爱活动；</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6.一年4次中医药为主题的中医药文化大型交流活动。比如：端午举行艾草及端午民俗文化体验活动；重阳节举行重阳登高敬老中医健康关爱活动比如自制足浴包给老人泡脚等。</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秣陵街道殷巷社区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总目标：邀请专业老师开授手工、种植、面点、插花、瑜伽、视频剪辑、直播等相关课程，丰富老年生活，传递公益力量，提升社区凝聚力与老年人幸福感、获得感。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1.开展各类技能培训15场，累计服务直接对象不少于120人，参训率达90%以上，技能掌握达标率85%以上；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2.组织作品分享交流展示活动2场，参与老人每场不少于25人，收集反馈满意度达90%以上；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3.向辖区困难老年人公益发放成品2次，累计发放物资覆盖20户困难家庭；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4.参与各类义卖活动1场；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5.搭建老年社交平台，新增老年互助小组2个，组员累计不少于20人。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111"/>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秣陵街道全街道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总目标：为让教育的阳光照亮每一位特殊需要儿童的心灵，守护残疾或困境儿童的一片天空，弘扬扶残助残文明风尚。链接高校大学生志愿者、公益医疗资源等为街道残疾或困境儿童送去教育关怀与生活温暖。</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全周期内为15名残疾或困境儿童开展个案服务，以一对一的方式用温暖包容的态度去陪伴、鼓励孩子，帮助他们树立自信，克服心理障碍，培养积极乐观的生活态度，为残疾或困境儿童每月开展2次线上线下送教上门服务，让残疾/困境儿童足不出户能够常态化感受到来自社会的关心关爱；</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链接医疗资源在街道相关社区、片区开展听障儿童守护宣传教育活动，针对听障儿童康复救助开展形式多样的公益资源链接和服务，系列活动开展8场次，单场次覆盖20人及以上，以公益资源促进听障儿童社会融入；</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喘息服务”温暖护航残障家庭，由康复师、特教老师、社工、志愿者等组建团队，全年开展4场次“喘息小组活动”，单场开展10-15人，看一场电影、开展一次轻松户外拓展等，志愿团队陪伴残障儿童，让受助家长得到“喘息”机会，让家长们从繁重的照护任务中暂时解脱出来；</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4.项目周期内，宣传报道不少于4次。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总目标：提升湖熟街道社区慈善基金的专业化运营能力，加强慈善资源整合效能，助力打造特色化慈善项目，推动社区慈善事业可持续发展。</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1.为2-3个拟设立慈善基金的村/社区提供全程设立指导与规范化培训；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2.为已设立的9个慈善基金开展2期“慈善项目设计与运营”专题培训；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3.协助开发至少3个具有湖熟特色的社区慈善项目，并推动落地执行；</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4.开展2场街道级慈善主题宣传活动，提升慈善影响力。</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29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总目标：以“心理支持+文化认同”为核心，整合困境儿童保护与未成年人关爱服务资源，为儿童提供心理健康服务，促进社会情感能力发展，营造健康成长环境。</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1.开展心理健康筛查与建档，覆盖不少于70名儿童；</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2.提供个体心理辅导不少于16人次；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3.团体心理工作坊7场；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4.开展湖熟文化体验活动5场、非遗工坊5场；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5.为家庭提供成长工作坊2次；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6. 打造1支“文化小导游”儿童志愿队（不少于10人）；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7.制作湖熟儿童文化服务课程包1套；</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8.区级及以上媒体报道不少于4篇。</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湖熟街道三界社区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精准适配需求、重塑精神家园、共建温情社区”为目标，将闲置活动中心改造为集精神慰藉、文化娱乐、社区互助于一体的老年友好阵地，实现老人“愿意来、留得住、有归属感”，深化尊老敬老社区氛围。</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精准需求调研（2次）：组建由社工、志愿者、老人代表组成的调研小组，通过上门访谈、村民座谈会形式，了解老人健康状况、兴趣爱好、活动需求、空间使用偏好等，形成《社区老年需求调研报告》，作为活动中心改造与服务设计的核心依据；</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2.社区共建清洁行动（2次）：发起“银龄家园焕新计划”，招募热心居民、党员志愿者组成清洁队伍，分两次开展活动中心大扫除；</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3.老人主导空间布置（4次）：组织老人参与活动中心布置，带领老人制作窗花、挂饰、手工艺品等装饰，让老人成为空间的“主人”，增强归属感与认同感；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4.多元小组活动：围绕“健康守护、文化传承、社区联结”三大主题，开展6次特色小组活动；</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5.为18名空巢独居老人提供每人每月1次心理辅导、家庭关怀慰问、居家康复服务等。</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总目标：立足秦淮源乡底蕴，以“民俗拼图"激活银发力，搭建邻里互助圈，以文化认同激活老年社会支持网络，做实民政关爱。</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1.组建三支“片区银发互助队”:每片招募不低于3名低龄老人骨干，开展入户探访、应急照护等实务培训，使其成为片区民政力量的延伸；</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2.开展“一片一韵”主题服务:结合各片特色，开展12场主题慰老活动(每片4场),直接服务200人次；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3.代际互助场搭建:招不少于6名青年志愿者(结对帮扶老人).带动青少年参与“巧手学绝活”(跟老人学制砖雕/草编等)，促成不低于6组“老少搭档”作品；</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4.建立“分片口述档案”:分片区采集老人的独家记忆，共形成三个片区具有鲜明片区辨识度的口述史素材；</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5.成果可视化落地:整理各村社区“拼图碎片”，制作《湖熟拾光，银发拼图》视频以及刊物，举办展览，参与人数不低于50人。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763"/>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湖熟街道万安社区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总目标：构建万安社区儿童社区支持平台，通过常态化关爱服务，提升儿童安全自护能力、社会情感技能与综合素质，缓解家庭照护压力，营造友好成长环境。</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1.安全守护：开展不少于6场主题安全教育活动（涵盖防溺水、交通安全、居家安全、网络防骗等），覆盖所有直接服务对象，儿童安全知识知晓率达90%以上；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2.课业辅导：设立15次的“四点半课堂”，提供课业辅导，确保80%以上参与者课业疑难得到及时解答；</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3.兴趣拓展：开设至少4次持续性的兴趣小组（如科普、阅读、体育），每组稳定参与人数不少于10人；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4.情感关怀：举办2次亲子互动活动，改善亲子沟通；</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5.资源平台搭建：培育一支不少于10人的社区儿童服务志愿者队伍（吸纳大学生、爱心家长等）。</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湖熟街道晶明社区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总目标：为社区困难群体提供救助、生活、情感多维支持，缓解困境，提升生活与生命质量，增强幸福感与归属感。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1.节日/节气主题活动：结合传统节日与节气特色，策划开展 4场沉浸式主题活动，涵盖文化体验、团圆互动、趣味联欢等形式，丰富困难群体精神文化生活；</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走访慰问服务(深化走访机制，实现温情陪伴常态化):建立“每月一次、覆盖全员”的常态化走访制度，通过定期上门、面对面交流，动态掌握服务对象的生活困境、健康变化与实际需求。每次走访不仅提供基础的物资援助，还同步开展政策宣传与解读，协助其理解并申领相关福利。注重情感关怀与精神陪伴，倾听心声、缓解孤独，构建稳定可信的帮扶关系，实现“走访一户、温暖一家、带动一片”；</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健康便民服务(拓展健康服务，推动便民行动精准化):全年组织开展4场专业化、多元化的健康便民服务活动。每场活动整合义诊筛查、康复训练指导、安全用药咨询、免费理发、磨刀、慢性病防治讲座等内容，形成“检—询—理—讲—导”一站式服务链条。重点面向重大疾病患者、高龄失能等困难群体，提供个体化健康干预与日常护理指导，切实提升其健康管理与生活自理能力，推动医疗卫生服务向社区末端延伸；</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4.兜底保障支持：同步链接民政、医疗等政策资源，提供临时救助申请协助、生活代办、心理疏导等补充服务，全方位筑牢帮扶防线。</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789"/>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湖熟街道湖熟社区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总目标：重点打造银龄志愿者队伍，推动志愿实践与老年文化活动深度融合，构建“志愿引领、文化聚力”的助老服务体系，提升老年幸福感。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1.培育银龄志愿者队伍，开展志愿培训18场，选拔10-15名核心骨干；</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2.由银铃志愿者牵头策划并实施“银龄文韵”系列文化活动10场；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3.组织志愿者开展文化陪伴志愿服务10场；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4.开展“优秀银龄志愿者”评选1场，总结推广“志愿+文化”服务模式，营造互助参与氛围。</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汤山街道阜庄社区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总目标：缓解乡村困难儿童心理、家庭教育、安全教育、社会综合支持等问题。</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1.增强特殊儿童社会使命感，提高服务对象的“自助”能力和抗逆力；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2.开展提升自信、素质提升、校外拓展、家庭教育、人文关怀等小组活动不少于36次；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3.服务并完成跟进1个个案，服务不低于40次。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汤山街道路西社区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总目标：开展多样化多元化服务，改善其生活护理照料、家庭关系、社会融入，生活物资帮扶，医疗救助，心理支持等。为其家庭的成员提高生活质量，维护社会的稳定。</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1.入户开展健康义诊，为行动不便的残疾人提供就医陪诊、康复护理指导等；</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2.入户开展走访提供心理疏导和心理支持服务为困境中的个人或家庭提供心理咨询服务，帮助他们缓解心理压力，克服心理障碍，树立积极的生活态度；</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3.入户开展改善居住环境，助洁、义剪等服务；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4.入户开展节日走访，为家庭或个人提供食品、衣物、日用品等基本生活物资，以满足他们的日常生活需求。</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汤山街道汤山社区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总目标：通过构建分层分类的社区扶老助老服务体系，回应汤山社区老年人在生活照料、安全防范、精神关怀和社会参与等多元需求，提升老年人生活质量，促进社区互助与可持续发展。</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1.身心并养·暖心健康支持行动（6次），围绕老年人身心健康需求，开展居家安全、健康管理和心理关怀主题活动不少于 6次，累计覆盖不少于 135人次；通过健康义诊、讲座、陪伴交流和支持性活动，帮助老年人缓解慢性病管理压力和衰老适应过程中的焦虑不安，并对有明显身心困扰者给予个别关注和必要转介。开展居家安全、健康管理和心理关怀主题活动不少于 6次，累计覆盖不少于135人；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2.邻里相聚·乐享社区生活行动（6次），结合传统节日和社区主题，组织文娱活动不少于 6次，每次参与老年人不少于 135人；组建并运行不少于 1个 老年兴趣小组，通过常态化活动促进邻里交流，增强老年人社会参与感和社区归属感；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3.学有所乐·银龄成长支持行动（6次），开展智慧生活与健康管理学习活动不少于 6次，每次参与不少于 30人；重点提升老年人对智能手机、线上医疗和信息查询等实用技能的掌握程度，增强其自主学习意识和生活自理能力；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携手同行·邻里互助培育行动（2次），培育社区邻里志愿者或老人互助小组不少于1个，开展支持性小组活动不少于4次；鼓励老年人参与社区志愿服务，引导从被服务对象逐步转变为社区参与者和互助力量，增强自我价值感。</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汤山街道高庄社区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济困救助服务类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总目标：以党建为核心，创建“善行高庄”品牌，构建“物资+服务+发展”综合救助体系，推动社区慈善从单一输血向持续造血转型。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1.打造一个</w:t>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多元融合的“慈善服务枢纽”。协助对接合规公募主体，推动设立挂靠公募资质的社区慈善微基金，负责基金的需求摸排、项目落地、日常运营服务与公示监督；通过“慈善+资源盘活”模式（如闲置空间运营、消费捐赠）拓展资金来源，实现稳定“自我造血”。建立“爱心驿站”，常态化开展社区内部闭环邻里互助义卖活动2场，将社区特色农产品（如草莓等）进行公益销售。打造“知情茶社”居民议事空间，每季度至少召开1次慈善议事会，邀请居民代表、困难群体代表、党员代表、爱心商户代表参与公益项目决策、资金使用监督，全面提升社区慈善的透明度和公信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2.培育一支“本土化、专业化”的志愿服</w:t>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务队伍，组建至少3支功能鲜明的核心志愿服务队，注册志愿者人数增长50%以上。采用 “1+N”模式组建队伍：1支由社区党员、退役军人党员为核心的“先锋志愿服务队”；N支按功能划分的专业队，如“暖心伴老”助残服务队、“能工巧匠”便民维修队。实施落地“社工 + 志愿者”联动模式，由承接项目的民非机构发挥专业优势，开展不少于4场志愿服务通用技能、专项服务技能与项目执行规范培训，提升服务专业性与标准化水平。建立志愿者积分兑换制度，联动辖区爱心商户搭建兑换体系，形成可持续的志愿服务激励闭环，激发居民参与公益的长效热情；</w:t>
            </w:r>
            <w:r/>
          </w:p>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3.建立一套“精准识别、闭环管理”的服务机制。推行“需求、资源、项目”三张清单制度。通过社工、党员中心户常态化入户走访，动态更新困难群体需求清单；盘整辖区企业、商户、</w:t>
            </w:r>
            <w:r>
              <w:rPr>
                <w:rFonts w:hint="eastAsia" w:ascii="仿宋" w:hAnsi="仿宋" w:eastAsia="仿宋" w:cs="仿宋"/>
                <w:b w:val="0"/>
                <w:bCs w:val="0"/>
                <w:i w:val="0"/>
                <w:iCs w:val="0"/>
                <w:color w:val="000000"/>
                <w:sz w:val="24"/>
                <w:szCs w:val="24"/>
                <w:u w:val="none"/>
                <w:lang w:val="en-US" w:eastAsia="zh-CN" w:bidi="ar"/>
                <w14:ligatures w14:val="standardContextual"/>
              </w:rPr>
              <w:t xml:space="preserve">乡贤能人等公益资源，形成资源清单；基于供需匹配设计并落地专项公益服务项目，形成项目清单，实现供需精准对接。试点“以困助困”发展型救助。遴选有劳动意愿和能力的困难群众，经培训后参与社区公益岗位（如助老送餐员、保洁监督员），获取劳务报酬，实现从“受者”到“助人者”的转变。推动 “慈善 + 产业” 深度融合，联动社区花博园、草莓基地等核心产业主体，引导其通过合规公募渠道开展公益捐赠，捐赠资金全额进入挂靠的社区慈善微基金专项账户，定向用于本社区困难群体帮扶；在产业主体合规活动中设置公益宣传展位，扩大社区慈善影响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4.塑造一个具有影响力的“善行高庄”慈善品牌。创建1个核心慈善品牌，下设若干子项目，形成品牌矩阵。</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汤山街道青林社区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面向青林社区2个老小区、20个自然村开展精准慈善帮扶与多元公益活动，助力社区打造“慈善社区”的服务平台，提升社区民生服务质量。直接服务社区6-13岁儿童（包含重病重残儿童）、特困人员、弱势群体等40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1.助力社区15名儿童（含重疾病、低收入、留守儿童），提供6次兴趣培养、校外拓展、家庭关系等小组活动，增强儿童抗逆力，丰富儿童校外生活，营造儿童友好慈善社区的氛围；</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2.举办8场社区慈善主题活动(如爱心好物交换、慈善社区节、农业研学、慈善互助、慈善宣传等相关服务）；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3.组建一支不少于10人的慈善志愿队伍，提供2次志愿相关配套服务，规范志愿服务机制，形成可持续的社区慈善服务力量。</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总目标：构建以学生为中心的学校社工支持体系，提升学生抗逆力与心理健康水平，促进家庭、学校、社区协同育人。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1.学生支持服务 “神秘的树洞”社工信箱：</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1.1协助学校心理老师进行心理健康筛查与个案管理；</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1.2对来信的高风险学生进行“一人一档”干预，提供情绪疏导、行为矫正服务，在项目周期内完成3个个案。</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1.3成长小组与主题活动 开设“抗压能力训练营”、“社交技能小组”等主题小组活动，将心理剧、艺术疗愈、职业体验等新颖的活动形式贯穿其中。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2.家庭与学校赋能</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2.1家校协同机制 为家长举办1次“家长工作坊”，如：亲子沟通技巧培训等；</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2.2教师能力建设 为教师举办1次危机识别或心理急救等专题的培训。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3.社区资源联动 联动社区内外资源，如：社区卫生中心、青少年宫、公益组织等，搭建转介服务网络；</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4.服务保障体系 专业督导与评估：</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4.1邀请高校社工系教授担任项目督导，进行案例研讨；</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4.2采用“前后测+跟踪访谈”评估服务成效。</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麒麟街道东流社区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扶老助老服务类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本项目服务于江宁区麒麟街道东流社区15-20户空巢、独居、高龄等家庭或老人。以他们的需求为导向，基本生活服务为主线，以社区为平台，社会组织为载体，让老有所养，困有所扶，让关怀真正落到实处。</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1.日常入户探访开展心理疏导、生活照料，健康义诊康复指导，生活技能培训等服务，每月共2次入户走访活动。(每次走访覆盖人群70%以上)；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2.项目周期内开展传统节日慰问活动4次，每次服务对象全覆盖；</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3.项目周期内开展不少于4场支持小组活动，每次服务对象不少于10人。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麒麟街道麒麟门社区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社区治理创新类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总目标：以“共融共治”为核心，通过非遗+融合、技能+成长、旧物+循环三大行动，促进新老居民共融共治，培育志愿力量，打造有温度、可持续的麒麟门社区治理样板。</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1.“非遗+融合”文化共筑行动：通过文化活动促进新老居民的融合，如新老居民工学剪纸、面塑嵌入社区历史、法治知识，不少于5场；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技能+成长”新居民赋能课堂：联合高校志愿者、本地企业、社会组织，开展“生活导航”如社保办理、子女入学政策解读、本地交通指南实用宣传等；开展“技能提升课程”如电商运营、手工制作、就业指导等，帮助新居民快速适应新生活。不少于10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循环+共治”社区旧物循环站：组建不少于12人的志愿者服务队，通过活动开展旧物征集，通过居民的协商制定旧物循环站的规则并由志愿者落实，发动居民将家里的闲置物品捐赠出来以极低的价格或无偿的方式给需要的居民使用。在社区内完成一个旧物循环站的角落布置，捐赠物品不低于200件，旧物捐赠的宣导活动不少于4场，参与人次不低于300人次。</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麒麟街道麒麟司法所</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总目标：提升麒麟司法所特殊人群的社会适应与自我发展能力，促进其顺利回归并融入社会，降低再违法犯罪风险，构建共建共治共享的社区支持环境。</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1.开展不同主题的教育讲座6场，通过积极正向的教育引导，增强社区矫正人员的法律意识和社会责任感，促使其建立正确的人生观、价值观，形成积极健康的生活态度，实现再社会化；</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开展心理咨询、个别心理教育类活动6次，通过谈心、走访、心理健康课程等方式及时了解社区矫正对象的思想动态、工作和生活情况。提供心理辅导与情绪支持，帮助矫正对象缓解焦虑、抑郁等心理问题。增强矫正对象的自我认知与自信心，提升其应对生活压力的能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3.社会融入与公益类活动，开展2场活动，吸纳社区矫正人员参与公益服务活动中。创造一个平等参与的环境，使得社区矫正人员乐于参与，从而在实际社会生活中改过自新、融入正常社会生活；</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4.就业技能提升，开展2场活动，为矫正对象提供就业支持与职业技能培训，帮助矫正对象获得稳定的经济来源。</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麒麟街道全街道</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总目标：为辖区内残疾人提供生活照料、情感陪伴及康复支持，缓解家属照护压力，同时提升残疾人自理能力、心理健康及社会融入度，改善生活质量，构建可持续帮扶体系。</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1.组织志愿者开展每月2次上门服务，提供生活照料、情感陪伴等服务，每次不少于4人；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2.邀请专业康复医生开展每月1次上门康复指导训练，帮助服务对象提升肢体功能；</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3.开展4场残疾人家庭互助小组，每次不少于8人，提高家属护理技能，调节情绪，学会自我调节压力，建立积极面对困境的乐观心态；</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4.开展社区残疾人健康知识培训活动2次，每次不少于10人，增加残疾人群体与家属、朋辈、志愿者等的互动交流，增强社区群众对残疾人群体的正面认知。</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扶残助残服务类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总目标：探索在区级层面系统引入“共命运剧场”模式，通过试点开展系列活动，切实赋能康复者、增强家庭支持、提升社会工作者服务能力，并促进社区对精神健康的理解，形成可评估的综合服务效益。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 直接服务目标</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1.1 以东山街道为主，辐射全区范围内招募并组建1个团体（约8-12名康复者及部分家属），完成至少30小时团体活动；</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1.2 产出1部由康复者主导创作的“生命故事”情景呈现剧目与记录视频；</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1.3 至少开展2场区内公开交流活动（结合世界精神卫生日等节点），服务直接参与者及观众预计超过100人次。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 能力建设与模式探索目标</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2.1 为区内3-5个重点康复驿站的一线社会工作者，提供共命运剧场相关基础方法培训，探索该方法与现有服务的结合路径；</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2.2 系统梳理活动过程与成效，形成一套“共命运剧场”社区活动纪实与操作参考材料，为后续工作提供实践依据。</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 社会倡导目标</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3.1 通过公开、恰当的活动呈现，向社区居民、相关部门展示精神康复领域的创新服务实践与康复者的积极风貌，助力营造更为友善的社区氛围；</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3.2 积累项目影像、案例报告等资料，为同类服务提供有价值的实践经验参考。</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总目标：通过项目开展，面向全区儿童开展心理健康普及，深化对困境及留守儿童的心理干预，构建“普惠兼顾、重点突出”的服务体系，促进儿童心理健康整体水平提升。</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1.结合前期服务摸排结果，为至少30名有显著心理服务需求的儿童，提供不少于180小时分层级、个性化心理辅导，包含一对一专项辅导与同质型小团体深度辅导；</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2.面向辖区街道儿童，开展10场心理健康科普嘉年华、巡回主题讲座等普惠性活动，扩大心理健康服务受益面；</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3.针对全区儿童督导员/主任，开展5场专业进阶培训，课程涵盖心理初级干预技巧、团体活动带领方法、跨领域资源整合能力培养等核心内容；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4.在全区遴选1个重点街道，联动当地未成年人保护站，合作开展1个儿童心理健康成长小组，为组员提供系列深度心理服务4场；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5.系统梳理项目实施模式与服务实践经验，编制1本可落地、可操作的儿童心理健康服务手册，撰写2个典型深化服务案例。</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79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总目标：提升基层对困境儿童心理风险的前端识别能力和家庭的基础支持能力，打通识别评估“最初一公里”。</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1.培训赋能：开展1期专题培训，确保街道至少200名儿童督导员、儿童主任100%掌握《识别表》的规范使用和初步沟通技巧；</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2.风险筛查：完成对230名困境儿童的初步心理健康状况识别筛查，并建立初步风险台账；</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3.评估跟进：根据风险《识别表》，对需要转介评估的困境儿童，组建评估组，上门入户，评估研判，并提供相应的跟进服务；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4.家庭赋能：组织4场面向困境儿童家长的心理健康普及讲座或工作坊，覆盖至少100个家庭；</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5.机制建立：协助试点社区建立“发现-报告-初步支持”的简易工作流程。</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4</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总目标：在湖熟街道、东山街道开展“一老一小”服务组织赋能计划，通过场景化工作坊、案例实训与互助交流，提升一线社工应对典型服务难题的能力，并形成可复制推广的本土服务指引。</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1.开展不少于6期主题场景工作坊，覆盖“认知障碍应对”“儿童心理危机介入”“跨代家庭支持”等高频难点场景；</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2.建立“学员—讲师”二级成长机制，孵化不少于4名本土实践导师；</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3.编撰《江宁区“一老一小”服务情景问题与应对措施服务指南》1册；</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4.建立“一老一小”服务组织线上交流群，不定期进行交流，并组织开展不少于1次线下交流活动观摩，构建“一老一小”服务互助网络，推动持续交流与经验共享；</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5.区级及以上媒体宣传报道不少于3篇。</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5</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总目标：聚焦社会组织在发展过程中面临的“经验不足、服务场景单一”等痛点，精准设计服务内容；建立长效机制，确保项目成果可转化、资源链接可延续、功能创新可迭代。</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1.数字能力赋能：通过数字化主题活动，让社会组织了解掌握项目运营过程中如何通过公众号、视频号、小程序等工具来让项目更加立体化（共4场）；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游戏化赋能：通过实体道具+电子资源+指导手册+场景套装+实操演练五位一体的游戏化赋能工具包，为社会组织提供轻量化、易操作、高成效的活动支撑，以游戏化思维提升服务质量、团队能力与社区影响力，推动社会组织高质量发展（共4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3.中心功能创新提质：优化基地空间功能布局，创新服务模式与场景，推出一批定制化、差异化服务产品，提升基地服务的专业性、互动性与吸引力，让基地成为社会组织“想来、爱来、常来”的服务高地；</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4.品牌宣传推广：通过品牌路演，提升公益品牌整体曝光度与公众认知度，对接资源支持、形成可复制推广的江宁经验；</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5.案例成果展示：汇总编撰《江宁公益品牌案例集2.0》，收录创新赛道成果；扩大标杆项目社会影响力，促进优质项目经验复制推广，激发公益创新活力并吸引多元资金支持，对应标杆项目评选等核心量化指标。</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本项目聚焦江宁区第十二届公益创投成长期社会组织发展痛点，通过「赋能提升→分层指导→深度孵化」三阶递进服务，为不少于15家机构提供专业化、定制化能力建设支持，培育不少于3家具备规范治理能力、品牌服务能力、多元筹资能力的本土公益标杆，输出可借鉴的社会组织发展模式，助力江宁区公益生态高质量发展。</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1.为不少于15家成长期社会组织，围绕机构规范化运营、数字化服务、多元筹资等机构核心能力开展赋能提升，不少于3场次，建立机构基础信息档案；</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2.为不少于15家社会组织，开展一对一访谈和实地走访服务，不少于30场次，现场回应不低于70%的机构发展痛点，科学筛选不少于3家深度培育机构，形成成长期社会组织需求调研报告；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3.为不少于3家深度培育社会组织提供小组、个性化指导等定制化服务，不少于10场次，帮助每家机构落地至少1项如案例申报、新项目申请、众筹项目上线等实际发展成果，输出可复制的品牌实操案例样本。</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232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公益+”模式深化政社协同机制，聚焦公益服务提质、品牌提效、治理提能，着力构建公益运营宣传矩阵，推进公益项目品牌孵化与跨界资源深度融合，系统记录公益创投服务全过程，全面展现公益创投在民生服务领域的实践成效，引导社会组织积极参与基层治理创新实践，持续提升“江宁公益创投”品牌的社会影响力、公信力与群众认同感，助力全区公益服务从“全域深耕”向“品牌标杆”迈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1.“江宁公益融媒体中心”常态化运营宣传</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发布频率：微信公众号/视频号等宣传平台，全周期累计发布内容不少于28期。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传播主题：重点呈现公益创投在民生服务领域的实践成效、典型案例及受益群体反馈等；</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2.品牌化项目推广</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服务内容：通过筛选并重点推广不少于3个具有品牌潜力的公益项目，在项目周期内开展跟踪式服务，打造可复制可推广的公益创投民生服务品牌化案例；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3.“公益+AI”技术赋能课堂</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服务内容：链接行业专家，组织开展“公益+AI”技术赋能课堂，助力公益项目品牌孵化与跨界资源深度融合发展，提升运营能力；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4.年度纪实宣传片制作</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内容产出：通过跟踪拍摄服务，制作1部公益创投年度纪实片，覆盖服务全周期关键节点（立项、执行、评估）；</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传播效果：在区级公益融媒体中心等渠道投放，提高公益创投服务的影响力和号召力；</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5.公益服务宣传推广</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服务内容：链接媒体资源，组织公益服务宣传活动，在周期内，省级、市级、区级以上平台发布内容不少于4期。</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总目标：以大赛为抓手，通过“赛前强赋能、赛中严规范、赛后深陪跑”，解决社区慈善基金“不敢用、不会用、不可持续”问题，构建规范、高效、可持续的社区公益生态。</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1.办3场实操工作坊：覆盖全区10个街道，由社区慈善基金管理员及慈善公益微项目骨干参训，内容紧扣“合规花钱”与“项目设计”；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2.发1本口袋工具书：编制并发放《社区慈善基金项目运作指引与案例手册》；</w:t>
            </w:r>
            <w:r/>
          </w:p>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3.做10次“一对一辅导”：设立“项目优化门诊”，为至少20个已获资助项目提供财务合规、成效梳理等个性化辅导；</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4.做1次跟踪评估：对2025年慈善公益微项目大赛全部获奖项目进行一次结项后跟踪评价，形成评估报告，总结经验与不足；</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5.办1场资源对接会：举办“社区慈善基金微项目路演会”，促成至少1个优质项目与企业达成合作意向或直接捐赠；</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6.办1届公益微项目大赛：举办第二届微项目大赛，评选并展示不少于15个优秀项目。</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总目标：本项目旨在通过调研、赋能与建模，为江宁街道及周边锻造一支理念新、专业强、能主动的社区骨干队伍，并形成可复制的初级课程体系与胜任力模型。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1.通过调研，产出1份详实的《社区基层工作者能力现状与赋能需求调研报告》；</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2.以江宁街道为主辐射周边街道社区基层工作者，展开服务对象能力评估与需求调研样本不少于100份；</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3.设计提供不少于10节社区基层工作者基层治理专业素养及能力课程；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4.形成产出1套江宁区社区基层工作者基层治理专业能力素养胜任力模型；</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5.探索一套基层工作者基层治理能力培训评估模型。</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总目标：助力江宁区10个以上社区慈善基金设立，开展筹款培训、拓展筹款渠道，提升社区慈善基金的运营能力与筹款规模。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1.开展1场社区慈善基金设立动员会，完成不少于20个社区的摸排调研，梳理意向社区清单与自有资源台账；</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围绕合规筹款规则、筹款文案撰写、筹款活动策划、慈善资源对接等主题，开展3场专项培训，帮助社区慈善基金构建「合规运营-内容传播-活动落地-资源拓展」的全链条筹款能力，为后续筹款规模增长奠定基础；</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3.逐一对接和走访意向社区，协助不少于10个社区完成社区慈善基金设立；协助社区慈善基金对接基金会、企业等合作资源，协助不少于5个社区设计专属筹款项目方案，推动至少1个社区项目获得外部资源支持；</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4.策划不少于2场主题筹款活动，覆盖“江苏慈善周”、“久久公益节”等节点，累计参与人数不少于200人次；</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5.编制《江宁区社区慈善筹款工具包》，涵盖公益项目设计标准化模板、合规筹款红线清单、筹款实操工具等内容。</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7</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专业支持服务类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总目标：围绕“中华慈善日”开展慈善文化“进机关、进企业、进乡村、进社区、进家庭”活动，通过“五进”活动营造慈善文化氛围，宣传推广江宁公益慈善文化。</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1.围绕“中华慈善日”开展慈善文化“进机关、进企业、进乡村、进社区、进家庭”系列活动5场。</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2.全面展现区级、街道级民政服务站及社区慈善基金联动服务成效，拍摄制作1条多级联动为民服务新媒体宣传片。</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3.对接市级及以上新闻宣传平台，完成2次新闻宣传报道，扩大宣传覆盖面。</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其他公益服务类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总目标：深化江宁区地名资源的挖掘、保护与转化途径，助力提升江宁文化的品牌力和知名度，赋能城市更新和乡村振兴。</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1.围绕“江宁地名的春夏秋冬”主题，编写文案脚本，视频从历史人文、景点景色、传说故事、美食非遗等方面，通过地名元素来展示江宁的春夏秋冬四季，整体风格倾向于现实主义，取材取景生活化。采用解说推进的形式，解说简单精炼，在娓娓道来中展示诗画般的美丽江宁，突出地名文化底蕴厚重等特点，展示当地人民群众的幸福感和获得感；</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2.对江宁区地名文化遗产、非遗地名和历史地名开展梳理和调查；</w:t>
            </w:r>
            <w:r>
              <w:rPr>
                <w:rFonts w:hint="eastAsia" w:ascii="仿宋" w:hAnsi="仿宋" w:eastAsia="仿宋" w:cs="仿宋"/>
                <w:b w:val="0"/>
                <w:bCs w:val="0"/>
                <w:i w:val="0"/>
                <w:iCs w:val="0"/>
                <w:color w:val="000000"/>
                <w:sz w:val="24"/>
                <w:szCs w:val="24"/>
                <w:u w:val="none"/>
                <w:lang w:val="en-US" w:eastAsia="zh-CN" w:bidi="ar"/>
                <w14:ligatures w14:val="standardContextual"/>
              </w:rPr>
              <w:br/>
            </w:r>
            <w:r>
              <w:rPr>
                <w:rFonts w:hint="eastAsia" w:ascii="仿宋" w:hAnsi="仿宋" w:eastAsia="仿宋" w:cs="仿宋"/>
                <w:b w:val="0"/>
                <w:bCs w:val="0"/>
                <w:i w:val="0"/>
                <w:iCs w:val="0"/>
                <w:color w:val="000000"/>
                <w:sz w:val="24"/>
                <w:szCs w:val="24"/>
                <w:u w:val="none"/>
                <w:lang w:val="en-US" w:eastAsia="zh-CN" w:bidi="ar"/>
                <w14:ligatures w14:val="standardContextual"/>
              </w:rPr>
              <w:t xml:space="preserve">3.了解掌握地名背后的历史文化、人物传说、民俗非遗等。</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9</w:t>
            </w:r>
            <w:r/>
          </w:p>
        </w:tc>
      </w:tr>
      <w:tr>
        <w:trPr>
          <w:trHeight w:val="2151"/>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全区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关爱儿童服务类</w:t>
            </w:r>
            <w:r/>
          </w:p>
        </w:tc>
        <w:tc>
          <w:tcPr>
            <w:shd w:val="clear" w:color="auto" w:fill="auto"/>
            <w:tcBorders>
              <w:top w:val="single" w:color="000000" w:sz="4" w:space="0"/>
              <w:left w:val="single" w:color="000000" w:sz="4" w:space="0"/>
              <w:bottom w:val="single" w:color="000000" w:sz="4" w:space="0"/>
              <w:right w:val="single" w:color="000000" w:sz="4" w:space="0"/>
            </w:tcBorders>
            <w:tcW w:w="11055"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总目标：全面掌握全区未成年人心理健康水平，总结社区教育成效与不足，提出家校社协同心理健康教育的意见建议。</w:t>
            </w:r>
            <w:r/>
          </w:p>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具体内容：</w:t>
            </w:r>
            <w:r/>
          </w:p>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1.完成覆盖约10万人的分层抽样问卷调查，分析未成年人心理健康总体状况及主要问题；</w:t>
            </w:r>
            <w:r/>
          </w:p>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2.完成约100个半结构化深度访谈，探究问题深层原因及社区教育痛点；</w:t>
            </w:r>
            <w:r/>
          </w:p>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3.完成约10个代表性社区/学校的实地调研，梳理协同教育有效路径；</w:t>
            </w:r>
            <w:r/>
          </w:p>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4.撰写1-2万字高质量调研报告，争取区领导批示，推动政策完善；</w:t>
            </w:r>
            <w:r/>
          </w:p>
          <w:p>
            <w:pPr>
              <w:jc w:val="left"/>
              <w:keepLines w:val="0"/>
              <w:keepNext w:val="0"/>
              <w:pageBreakBefore w:val="0"/>
              <w:spacing w:line="400" w:lineRule="exact"/>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5.举办2-3场高级专家（二级教授、博导）辅导讲座，开通心理健康教育门诊绿色通道。</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14:ligatures w14:val="standardContextual"/>
              </w:rPr>
              <w:suppressLineNumbers w:val="0"/>
            </w:pPr>
            <w:r>
              <w:rPr>
                <w:rFonts w:hint="eastAsia" w:ascii="仿宋" w:hAnsi="仿宋" w:eastAsia="仿宋" w:cs="仿宋"/>
                <w:i w:val="0"/>
                <w:iCs w:val="0"/>
                <w:color w:val="000000"/>
                <w:sz w:val="24"/>
                <w:szCs w:val="24"/>
                <w:u w:val="none"/>
                <w:lang w:val="en-US" w:eastAsia="zh-CN" w:bidi="ar"/>
                <w14:ligatures w14:val="standardContextual"/>
              </w:rPr>
              <w:t xml:space="preserve">6</w:t>
            </w:r>
            <w:r/>
          </w:p>
        </w:tc>
      </w:tr>
    </w:tbl>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sectPr>
          <w:footnotePr/>
          <w:endnotePr/>
          <w:type w:val="nextPage"/>
          <w:pgSz w:w="16838" w:h="11906" w:orient="landscape"/>
          <w:pgMar w:top="1418" w:right="1418" w:bottom="1418" w:left="1418" w:header="851" w:footer="992" w:gutter="0"/>
          <w:cols w:num="1" w:sep="0" w:space="425" w:equalWidth="1"/>
          <w:docGrid w:linePitch="360"/>
        </w:sectPr>
      </w:pPr>
      <w:r>
        <w:rPr>
          <w:rFonts w:hint="eastAsia" w:ascii="仿宋" w:hAnsi="仿宋" w:eastAsia="仿宋" w:cs="仿宋"/>
          <w:bCs/>
          <w:color w:val="000000" w:themeColor="text1"/>
          <w:sz w:val="24"/>
          <w:szCs w:val="24"/>
          <w14:textFill>
            <w14:solidFill>
              <w14:schemeClr w14:val="tx1"/>
            </w14:solidFill>
          </w14:textFill>
        </w:rPr>
      </w:r>
      <w:bookmarkEnd w:id="112"/>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14:textFill>
            <w14:solidFill>
              <w14:schemeClr w14:val="tx1"/>
            </w14:solidFill>
          </w14:textFill>
        </w:rPr>
        <w:t xml:space="preserve">、项目服务要求（适用于各分包）</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前期充分调研：主动对接服务对象及相关方，通过实地走访、问卷调研等多种方式开展调研工作。调研样本量需确保覆盖服务对象及相关方，形成包含需求分析、问题诊断、服务方案匹配性说明的详实调研报告，为项目实施提供科学依据。</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（二）对象清晰界定：项目需精准聚焦社区或特定领域的特殊群体，明确受益对象的地域范围、群体特征、数量规模，建立受益对象信息档案，档案管理需符合隐私保护相关要求，不得泄露个人敏感信息。</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（三）需求迫切解决：项目所解决的问题具有明显的迫切性，现行社会服务体系尚未开展足够的专门服务以满足此部分需求，亟需公益服务项目的介入。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（四）模式创新引领：突出公益理念，在服务模式或技术应用上有创新，具有引领、示范和推广价值。</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（五）执行持续规范：制定“项目可持续发展计划”，明确项目结项后3年内的服务延续路径，可形成较为规范的模式，能在类似的地区推广和复制。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（六）预算合规严控：严格按照财务管理制度编制预算，人员经费占比不超过总预算的30%，行政办公经费占比不超过总预算的10%，不得列支与项目无关的费用（如捐赠、投资等），有合理的资金使用安排。</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（七）实施专业赋能：项目实施团队拥有与项目相关的专业资质、技能和工作经验，能够运用个案、小组、社区等专业的社会工作方法和技能，回应和解决受助对象需求和社会问题。</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（八）定位公益坚守：社会组织实施公益项目应秉持非营利导向，原则上避免开展营利性活动，项目服务以公益性为根本，不设立收费项目，维护公共利益优先的公益宗旨，体现社会组织服务社会的初心与担当。</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三</w:t>
      </w:r>
      <w:r>
        <w:rPr>
          <w:rFonts w:hint="eastAsia" w:ascii="仿宋" w:hAnsi="仿宋" w:eastAsia="仿宋" w:cs="仿宋"/>
          <w:b/>
          <w:color w:val="000000" w:themeColor="text1"/>
          <w:sz w:val="24"/>
          <w:szCs w:val="24"/>
          <w14:textFill>
            <w14:solidFill>
              <w14:schemeClr w14:val="tx1"/>
            </w14:solidFill>
          </w14:textFill>
        </w:rPr>
        <w:t xml:space="preserve">、项目实施要求</w:t>
      </w:r>
      <w:r>
        <w:rPr>
          <w:rFonts w:hint="eastAsia" w:ascii="仿宋" w:hAnsi="仿宋" w:eastAsia="仿宋" w:cs="仿宋"/>
          <w:b/>
          <w:bCs/>
          <w:color w:val="000000" w:themeColor="text1"/>
          <w:sz w:val="24"/>
          <w:szCs w:val="24"/>
          <w14:textFill>
            <w14:solidFill>
              <w14:schemeClr w14:val="tx1"/>
            </w14:solidFill>
          </w14:textFill>
        </w:rPr>
        <w:t xml:space="preserve">（适用于各分包）</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（一）项目需求征集与动员阶段</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面向民政科室、街道社区、社会组织及群众代表，广泛征集项目需求，组织开展需求调研论证，形成规范的项目需求调研报告。</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（二）项目需求优选与对接阶段</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申报单位提交项目需求调研报告，区民政局组织专家评审论证可行性。推动需求申报方与项目落地方对接洽谈，梳理编制项目需求清单，在政府指定网站公开发布。</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（三）项目立项评审与公示签约阶段</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委托招投标代理公司组织立项评审，申报单位按要求提交申报材料。专家评审结束后，区民政局审核确认评审结果，在江宁区人民政府网站等平台公示。公示无异议的，签订项目协议。</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（四）项目优化阶段</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申报单位根据专家评审意见，优化项目设计、业务活动流程及经费预算，形成最终实施方案报监管方备案。</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（五）项目实施与过程监测阶段</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申报单位按协议及实施方案开展服务，定期报送服务计划、进展情况及资金使用情况。监管方依据《江宁区公益创投项管理办法》，开展全过程跟踪监测、系统培训、实时辅导及阶段性绩效评估。</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（六）项目审计与验收阶段</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项目实施完毕后，申报单位提交总结报告及相关佐证材料。监管方组织效能评估，区民政局委托第三方机构开展财务审计，结合评估与审计结果完成项目验收。</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四</w:t>
      </w:r>
      <w:r>
        <w:rPr>
          <w:rFonts w:hint="eastAsia" w:ascii="仿宋" w:hAnsi="仿宋" w:eastAsia="仿宋" w:cs="仿宋"/>
          <w:b/>
          <w:color w:val="000000" w:themeColor="text1"/>
          <w:sz w:val="24"/>
          <w:szCs w:val="24"/>
          <w14:textFill>
            <w14:solidFill>
              <w14:schemeClr w14:val="tx1"/>
            </w14:solidFill>
          </w14:textFill>
        </w:rPr>
        <w:t xml:space="preserve">、服务保障和自罚承诺</w:t>
      </w:r>
      <w:r>
        <w:rPr>
          <w:rFonts w:hint="eastAsia" w:ascii="仿宋" w:hAnsi="仿宋" w:eastAsia="仿宋" w:cs="仿宋"/>
          <w:b/>
          <w:bCs/>
          <w:color w:val="000000" w:themeColor="text1"/>
          <w:sz w:val="24"/>
          <w:szCs w:val="24"/>
          <w14:textFill>
            <w14:solidFill>
              <w14:schemeClr w14:val="tx1"/>
            </w14:solidFill>
          </w14:textFill>
        </w:rPr>
        <w:t xml:space="preserve">（适用于各分包）</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1、制定完善的管理制度和保障机制，做到管理正规化、服务规范化、考核标准化，进行智能化服务和管理；</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2、制定合理的薪资标准，自负公司或组织内管理人员及服务人员的薪资（含一切福利待遇、保险等，且不得低于南京市最低工资标准）；</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3、根据服务对象的实际需求，适时增加服务项目和服务内容，服务必须依据援助对象的意愿开展，不得强制服务；</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4、符合所在行业规范要求；</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5、服务的信息要及时向采购人汇报，做到积极响应并接受采购人监督；</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6、在合同履行期间，采购人有权依照</w:t>
      </w:r>
      <w:r>
        <w:rPr>
          <w:rFonts w:hint="eastAsia" w:ascii="仿宋" w:hAnsi="仿宋" w:eastAsia="仿宋" w:cs="仿宋"/>
          <w:bCs/>
          <w:color w:val="000000" w:themeColor="text1"/>
          <w:sz w:val="24"/>
          <w:szCs w:val="24"/>
          <w:lang w:eastAsia="zh-CN"/>
          <w14:textFill>
            <w14:solidFill>
              <w14:schemeClr w14:val="tx1"/>
            </w14:solidFill>
          </w14:textFill>
        </w:rPr>
        <w:t xml:space="preserve">公开招标</w:t>
      </w:r>
      <w:r>
        <w:rPr>
          <w:rFonts w:hint="eastAsia" w:ascii="仿宋" w:hAnsi="仿宋" w:eastAsia="仿宋" w:cs="仿宋"/>
          <w:bCs/>
          <w:color w:val="000000" w:themeColor="text1"/>
          <w:sz w:val="24"/>
          <w:szCs w:val="24"/>
          <w14:textFill>
            <w14:solidFill>
              <w14:schemeClr w14:val="tx1"/>
            </w14:solidFill>
          </w14:textFill>
        </w:rPr>
        <w:t xml:space="preserve">文件相关要求对相关服务或交付的工作成果进行阶段性考核及/或总体考核。经考核不合格的，供应商应当按照要求在指定的合理期限内进行整改和完善，直至符合相关标准。逾期不予整改或经整改仍不能符合相关要求，或者将导致合同目的无法实现，采购人有权依照法律程序解除合同，并追究供应商违约责任；</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7、供应商必须积极配合并接受上级行政主管部门、民政部门以及财政部门对本采购人单位开展的项目监督检查、绩效评估以及资金使用的审计等事宜；</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8、供应商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9、供应商在履行合同中产生的一切非因采购人过错导致的损失，均自行承担责任；</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10、供应商应编制有合理的项目风险应急预案，不能因人员变化影响项目进度，如因供应商投入人员过少原因，造成无法在服务期内完成既定服务，由此产生的一切责任由供应商承担；</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11、供应商须接受采购人或采购方委托第三方机构组织开展的绩效评估，接受第三方会计师事务所对项目资金预算及开支审查，供应商须如实记录项目进展情况并保存该项目执行过程中产生的所有台账资料（如工作计划方案、服务工作档案、活动记录、发票等）；</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12、项目服务满意率在85%以上，满意率测评由供应商自行组织并存档，采购人或采购人委托的第三方机构将进行抽查；</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13、本项目经费为固定金额扶持，供应商须根据项目方案设计认真编制项目经费预算，主要用于：</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（1）为实现项目预期目标而付出的直接相关成本。</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（2）项目资金不用于固定资产购置，不得直接向服务对象发放现金，购买物品，不得发生其他捐赠、赞助支出。</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（3）项目资金的使用应符合国家法律、法规的规定，全部用于开展符合规定的社会服务活动。</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（4）对项目资金使用、管理中存在擅自改变专项资金用途，或者骗取、挪用专项资金等行为，按有关规定进行处理并追究有关单位及其相关人员法律责任。</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在项目执行过程中，供应商应建立健全财务管理和会计核算制度，将项目扶持资金纳入单位财务统一管理，单独核算，便于监督检查和追踪问效；严格遵守项目资金支出范围，将项目资金全部用于受益对象和服务活动，确保专款专用。</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（6）在项目执行过程中，不得以相同项目重复套取财政性资金。</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14、注重提升项目影响力，利用媒介进行适当宣传。</w:t>
      </w:r>
      <w:r/>
    </w:p>
    <w:p>
      <w:pPr>
        <w:ind w:left="0" w:firstLine="482"/>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五</w:t>
      </w:r>
      <w:r>
        <w:rPr>
          <w:rFonts w:hint="eastAsia" w:ascii="仿宋" w:hAnsi="仿宋" w:eastAsia="仿宋" w:cs="仿宋"/>
          <w:b/>
          <w:color w:val="000000" w:themeColor="text1"/>
          <w:sz w:val="24"/>
          <w:szCs w:val="24"/>
          <w14:textFill>
            <w14:solidFill>
              <w14:schemeClr w14:val="tx1"/>
            </w14:solidFill>
          </w14:textFill>
        </w:rPr>
        <w:t xml:space="preserve">、报价说明</w:t>
      </w:r>
      <w:r>
        <w:rPr>
          <w:rFonts w:hint="eastAsia" w:ascii="仿宋" w:hAnsi="仿宋" w:eastAsia="仿宋" w:cs="仿宋"/>
          <w:b/>
          <w:bCs/>
          <w:color w:val="000000" w:themeColor="text1"/>
          <w:sz w:val="24"/>
          <w:szCs w:val="24"/>
          <w14:textFill>
            <w14:solidFill>
              <w14:schemeClr w14:val="tx1"/>
            </w14:solidFill>
          </w14:textFill>
        </w:rPr>
        <w:t xml:space="preserve">（适用于各分包）</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报价应包含与本次采购项目有关的所有费用。包含但不限于人员、场地、耗材、误餐、住宿等伴随配套服务等所有含税费用。同时，还应包含支付给员工的工资和国家强制缴纳的各种社会保障资金，以及供应商认为需要的其他费用等；</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2、供应商的任何错漏、优惠、竞争性报价不得作为减轻责任、减少服务、增加收费、降低服务质量的理由；</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3、供应商报价除包含采购文件中列明的项目外还应包括保障服务正常运行应当具有的物资和服务，对服务正常运行应当具有的物资和服务理解不一致的以采购人理解为准。</w:t>
      </w:r>
      <w:r/>
    </w:p>
    <w:p>
      <w:pPr>
        <w:ind w:left="0" w:firstLine="482"/>
        <w:jc w:val="left"/>
        <w:keepLines w:val="0"/>
        <w:pageBreakBefore w:val="0"/>
        <w:spacing w:line="520" w:lineRule="exact"/>
        <w:widowControl/>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六</w:t>
      </w:r>
      <w:r>
        <w:rPr>
          <w:rFonts w:hint="eastAsia" w:ascii="仿宋" w:hAnsi="仿宋" w:eastAsia="仿宋" w:cs="仿宋"/>
          <w:b/>
          <w:color w:val="000000" w:themeColor="text1"/>
          <w:sz w:val="24"/>
          <w:szCs w:val="24"/>
          <w14:textFill>
            <w14:solidFill>
              <w14:schemeClr w14:val="tx1"/>
            </w14:solidFill>
          </w14:textFill>
        </w:rPr>
        <w:t xml:space="preserve">、付款要求</w:t>
      </w:r>
      <w:r>
        <w:rPr>
          <w:rFonts w:hint="eastAsia" w:ascii="仿宋" w:hAnsi="仿宋" w:eastAsia="仿宋" w:cs="仿宋"/>
          <w:b/>
          <w:bCs/>
          <w:color w:val="000000" w:themeColor="text1"/>
          <w:sz w:val="24"/>
          <w:szCs w:val="24"/>
          <w14:textFill>
            <w14:solidFill>
              <w14:schemeClr w14:val="tx1"/>
            </w14:solidFill>
          </w14:textFill>
        </w:rPr>
        <w:t xml:space="preserve">（适用于各分包）</w:t>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根据《南京市江宁区公益创投项目管理办法(试行)(修订)》规定，公益创投项目资金计划分三次拨付：立项评审后拨付第一批资金(总资金的50%),项目通过中期评估合格后，项目执行进度达到50%且资金使用达到40%的项目，拨付第二批资金(总资金的30%),项目通过结项评估合格后，拨付第三批资金(总资金的20%,根据财务审计情况，据实拨付)。</w:t>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2、每次付款前成交供应商须提供等额发票，否则采购人有权拒绝付款；</w:t>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3、因财政审批导致的迟延支付，采购人不承担迟延支付的违约责任。</w:t>
      </w:r>
      <w:r/>
    </w:p>
    <w:p>
      <w:pPr>
        <w:ind w:left="0" w:firstLine="482"/>
        <w:jc w:val="left"/>
        <w:keepLines w:val="0"/>
        <w:pageBreakBefore w:val="0"/>
        <w:spacing w:line="520" w:lineRule="exact"/>
        <w:widowControl/>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七</w:t>
      </w:r>
      <w:r>
        <w:rPr>
          <w:rFonts w:hint="eastAsia" w:ascii="仿宋" w:hAnsi="仿宋" w:eastAsia="仿宋" w:cs="仿宋"/>
          <w:b/>
          <w:color w:val="000000" w:themeColor="text1"/>
          <w:sz w:val="24"/>
          <w:szCs w:val="24"/>
          <w14:textFill>
            <w14:solidFill>
              <w14:schemeClr w14:val="tx1"/>
            </w14:solidFill>
          </w14:textFill>
        </w:rPr>
        <w:t xml:space="preserve">、其他</w:t>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1、本章要求均为实质性要求，不允许负偏离，否则作无效响应处理；</w:t>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2、如有疑问请及时与采购人或代理机构联系。</w:t>
      </w:r>
      <w:r/>
    </w:p>
    <w:p>
      <w:pPr>
        <w:pStyle w:val="708"/>
        <w:ind w:left="0" w:firstLine="42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p>
    <w:p>
      <w:pPr>
        <w:pStyle w:val="678"/>
        <w:ind w:left="0" w:firstLine="883"/>
        <w:jc w:val="center"/>
        <w:keepLines w:val="0"/>
        <w:pageBreakBefore w:val="0"/>
        <w:spacing w:line="520" w:lineRule="exact"/>
        <w:rPr>
          <w:rFonts w:hint="eastAsia" w:ascii="仿宋" w:hAnsi="仿宋" w:eastAsia="仿宋" w:cs="仿宋"/>
          <w:bCs/>
          <w:color w:val="000000" w:themeColor="text1"/>
          <w:sz w:val="44"/>
          <w:szCs w:val="44"/>
          <w14:textFill>
            <w14:solidFill>
              <w14:schemeClr w14:val="tx1"/>
            </w14:solidFill>
          </w14:textFill>
        </w:rPr>
      </w:pPr>
      <w:r/>
      <w:bookmarkStart w:id="116" w:name="_Toc19519"/>
      <w:r/>
      <w:bookmarkStart w:id="117" w:name="_Toc8188"/>
      <w:r>
        <w:rPr>
          <w:rFonts w:hint="eastAsia" w:ascii="仿宋" w:hAnsi="仿宋" w:eastAsia="仿宋" w:cs="仿宋"/>
          <w:color w:val="000000" w:themeColor="text1"/>
          <w:sz w:val="44"/>
          <w:szCs w:val="44"/>
          <w14:textFill>
            <w14:solidFill>
              <w14:schemeClr w14:val="tx1"/>
            </w14:solidFill>
          </w14:textFill>
        </w:rPr>
        <w:t xml:space="preserve">第五章合同草案条款</w:t>
      </w:r>
      <w:bookmarkEnd w:id="113"/>
      <w:r/>
      <w:bookmarkEnd w:id="114"/>
      <w:r/>
      <w:bookmarkEnd w:id="115"/>
      <w:r/>
      <w:bookmarkEnd w:id="116"/>
      <w:r/>
      <w:bookmarkEnd w:id="117"/>
      <w:r/>
      <w:r/>
    </w:p>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（此合同模板为草案，具体成交后以双方协商为准，如双方协商一致需另行约定的，在其它约定内明示）</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default" w:ascii="仿宋" w:hAnsi="仿宋" w:eastAsia="仿宋" w:cs="仿宋"/>
          <w:color w:val="000000" w:themeColor="text1"/>
          <w:sz w:val="24"/>
          <w:szCs w:val="24"/>
          <w:lang w:val="en-US" w:eastAsia="zh-CN"/>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964"/>
        <w:jc w:val="center"/>
        <w:keepLines w:val="0"/>
        <w:pageBreakBefore w:val="0"/>
        <w:spacing w:line="520" w:lineRule="exact"/>
        <w:rPr>
          <w:rFonts w:hint="eastAsia" w:ascii="仿宋" w:hAnsi="仿宋" w:eastAsia="仿宋" w:cs="仿宋"/>
          <w:b/>
          <w:color w:val="000000" w:themeColor="text1"/>
          <w:sz w:val="48"/>
          <w:szCs w:val="48"/>
          <w14:textFill>
            <w14:solidFill>
              <w14:schemeClr w14:val="tx1"/>
            </w14:solidFill>
          </w14:textFill>
        </w:rPr>
      </w:pPr>
      <w:r>
        <w:rPr>
          <w:rFonts w:hint="eastAsia" w:ascii="仿宋" w:hAnsi="仿宋" w:eastAsia="仿宋" w:cs="仿宋"/>
          <w:b/>
          <w:color w:val="000000" w:themeColor="text1"/>
          <w:sz w:val="48"/>
          <w:szCs w:val="48"/>
          <w14:textFill>
            <w14:solidFill>
              <w14:schemeClr w14:val="tx1"/>
            </w14:solidFill>
          </w14:textFill>
        </w:rPr>
        <w:t xml:space="preserve">项目合同</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甲方（</w:t>
      </w:r>
      <w:r>
        <w:rPr>
          <w:rFonts w:hint="eastAsia" w:ascii="仿宋" w:hAnsi="仿宋" w:eastAsia="仿宋" w:cs="仿宋"/>
          <w:b/>
          <w:bCs/>
          <w:sz w:val="24"/>
          <w:szCs w:val="24"/>
          <w:highlight w:val="none"/>
          <w:lang w:eastAsia="zh-CN"/>
        </w:rPr>
        <w:t xml:space="preserve">采购方</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CN"/>
        </w:rPr>
        <w:t xml:space="preserve">：南京市</w:t>
      </w:r>
      <w:r>
        <w:rPr>
          <w:rFonts w:hint="eastAsia" w:ascii="仿宋" w:hAnsi="仿宋" w:eastAsia="仿宋" w:cs="仿宋"/>
          <w:b/>
          <w:bCs/>
          <w:sz w:val="24"/>
          <w:szCs w:val="24"/>
          <w:highlight w:val="none"/>
        </w:rPr>
        <w:t xml:space="preserve">江宁区民政局</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住所地：</w:t>
      </w:r>
      <w:r>
        <w:rPr>
          <w:rFonts w:hint="eastAsia" w:ascii="仿宋" w:hAnsi="仿宋" w:eastAsia="仿宋" w:cs="仿宋"/>
          <w:b/>
          <w:bCs/>
          <w:sz w:val="24"/>
          <w:szCs w:val="24"/>
          <w:highlight w:val="none"/>
          <w:lang w:eastAsia="zh-CN"/>
        </w:rPr>
        <w:t xml:space="preserve">江宁区竹山路</w:t>
      </w:r>
      <w:r>
        <w:rPr>
          <w:rFonts w:hint="eastAsia" w:ascii="仿宋" w:hAnsi="仿宋" w:eastAsia="仿宋" w:cs="仿宋"/>
          <w:b/>
          <w:bCs/>
          <w:sz w:val="24"/>
          <w:szCs w:val="24"/>
          <w:highlight w:val="none"/>
          <w:lang w:val="en-US" w:eastAsia="zh-CN"/>
        </w:rPr>
        <w:t xml:space="preserve">78-2号</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乙方（供应商）：</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住所地：</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丙方（监管方）：</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住所地：</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根据《中华人民共和国民法典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中华人民共和国政府采购法》等法律法规规定，甲乙丙三方按照“</w:t>
      </w:r>
      <w:r>
        <w:rPr>
          <w:rFonts w:hint="eastAsia" w:ascii="仿宋" w:hAnsi="仿宋" w:eastAsia="仿宋" w:cs="仿宋"/>
          <w:sz w:val="24"/>
          <w:szCs w:val="24"/>
          <w:highlight w:val="none"/>
          <w:lang w:eastAsia="zh-CN"/>
        </w:rPr>
        <w:t xml:space="preserve">2026年度江宁区第十二届公益创投项目</w:t>
      </w:r>
      <w:r>
        <w:rPr>
          <w:rFonts w:hint="eastAsia" w:ascii="仿宋" w:hAnsi="仿宋" w:eastAsia="仿宋" w:cs="仿宋"/>
          <w:sz w:val="24"/>
          <w:szCs w:val="24"/>
          <w:highlight w:val="none"/>
        </w:rPr>
        <w:t xml:space="preserve">”公开招标结果签订本合同。</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一、</w:t>
      </w:r>
      <w:r>
        <w:rPr>
          <w:rFonts w:hint="eastAsia" w:ascii="仿宋" w:hAnsi="仿宋" w:eastAsia="仿宋" w:cs="仿宋"/>
          <w:sz w:val="24"/>
          <w:szCs w:val="24"/>
          <w:highlight w:val="none"/>
        </w:rPr>
        <w:t xml:space="preserve">采购内容</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合同编号：</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采购项目：</w:t>
      </w:r>
      <w:r>
        <w:rPr>
          <w:rFonts w:hint="eastAsia" w:ascii="仿宋" w:hAnsi="仿宋" w:eastAsia="仿宋" w:cs="仿宋"/>
          <w:sz w:val="24"/>
          <w:szCs w:val="24"/>
          <w:highlight w:val="none"/>
          <w:u w:val="single"/>
          <w:lang w:val="en-US" w:eastAsia="zh-CN"/>
        </w:rPr>
        <w:t xml:space="preserve">2026年度江宁区第十二届公益创投项目分包()</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项目执行日期：</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val="en-US" w:eastAsia="zh-CN"/>
        </w:rPr>
        <w:t xml:space="preserve">需求</w:t>
      </w:r>
      <w:r>
        <w:rPr>
          <w:rFonts w:hint="eastAsia" w:ascii="仿宋" w:hAnsi="仿宋" w:eastAsia="仿宋" w:cs="仿宋"/>
          <w:sz w:val="24"/>
          <w:szCs w:val="24"/>
          <w:highlight w:val="none"/>
          <w:lang w:eastAsia="zh-CN"/>
        </w:rPr>
        <w:t xml:space="preserve">：</w:t>
      </w:r>
      <w:bookmarkStart w:id="118" w:name="Text1"/>
      <w:r/>
      <w:bookmarkEnd w:id="118"/>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 xml:space="preserve">复制公开招标文件中需求</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二、付款标准、付款流程和付款方式</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2026年度江宁区第十二届公益创投项目</w:t>
      </w:r>
      <w:r>
        <w:rPr>
          <w:rFonts w:hint="eastAsia" w:ascii="仿宋" w:hAnsi="仿宋" w:eastAsia="仿宋" w:cs="仿宋"/>
          <w:sz w:val="24"/>
          <w:szCs w:val="24"/>
          <w:highlight w:val="none"/>
        </w:rPr>
        <w:t xml:space="preserve">，项目资金为万元，大写</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rPr>
        <w:t xml:space="preserve">。</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南京市江宁区公益创投项目管理办法(试行)(修订)》规定，公益创投项目资金计划分三次拨付：立项评审后拨付第一批资金(总资金的50%),项目通过中期评估合格后，项目执行进度达到50%且资金使用达到40%的项目，拨付第二批资金(总资金的30%),项目通过结项评估合格后，拨付第三批资金(总资金的20%,根据财务审计情况，据实拨付)。</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甲方已拨付给乙方资金高于其实际使用资金的，乙方应予以退回甲方。</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三、三方权责</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1.</w:t>
      </w:r>
      <w:r>
        <w:rPr>
          <w:rFonts w:hint="eastAsia" w:ascii="仿宋" w:hAnsi="仿宋" w:eastAsia="仿宋" w:cs="仿宋"/>
          <w:b/>
          <w:bCs/>
          <w:sz w:val="24"/>
          <w:szCs w:val="24"/>
          <w:highlight w:val="none"/>
        </w:rPr>
        <w:t xml:space="preserve">甲方</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负责公益创投项目具体组织，指导公益创投项目开展。</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组织协调项目运行中的对接、评估、督查等问题。</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按照项目进度及时将项目经费足额拨付给乙方，不得以任何形式挤占、截留、挪用。</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rPr>
        <w:t xml:space="preserve">因财政审批导致的迟延支付，甲方不承担违约责任。</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2.</w:t>
      </w:r>
      <w:r>
        <w:rPr>
          <w:rFonts w:hint="eastAsia" w:ascii="仿宋" w:hAnsi="仿宋" w:eastAsia="仿宋" w:cs="仿宋"/>
          <w:b/>
          <w:bCs/>
          <w:sz w:val="24"/>
          <w:szCs w:val="24"/>
          <w:highlight w:val="none"/>
        </w:rPr>
        <w:t xml:space="preserve">乙方</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乙方应根据项目实施方案（附件）高质量的提供约定的服务。</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乙方应严格按照《江宁区社会组织公益创投项目管理办法》《南京市江宁区公益创投项目资金使用管理暂行办法》开展社会服务活动。</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按项目执行期限规定时间内向丙方提供有关资料，积极配合对项目、资金等情况的评估和审计，并自觉接受社会各界的监督。</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rPr>
        <w:t xml:space="preserve">必须严格遵守项目协议的相关规定，不得擅自向其他组织和个人转让项目，不得随意改变项目约定内容，如果发生重大事项变化，需提前提交甲、丙方审批。</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3.</w:t>
      </w:r>
      <w:r>
        <w:rPr>
          <w:rFonts w:hint="eastAsia" w:ascii="仿宋" w:hAnsi="仿宋" w:eastAsia="仿宋" w:cs="仿宋"/>
          <w:b/>
          <w:bCs/>
          <w:sz w:val="24"/>
          <w:szCs w:val="24"/>
          <w:highlight w:val="none"/>
        </w:rPr>
        <w:t xml:space="preserve">丙方</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按照合同约定及项目实施方案严格、客观评估项目质量。</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定期对项目进行满意度调查、实地抽访、监测督查等工作。</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根据甲方要求，开展中期评估和结项评估工作。</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rPr>
        <w:t xml:space="preserve">配合开展资金审查审计工作。</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加强项目指导，适时开展项目运行、财务管理、个性化辅导、项目宣传推广和经验交流培训等活动。</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四、权利保证</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乙方应保证提供的服务内容，未侵犯第三方专利权、版权、商标权或其他权利。一旦出现侵权，乙方应承担全部责任。</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五、质量保证</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乙方提供的服务必须全部达到采购文件各项要求，国家或行业有规定的，还要符合相应规定。项目结项前，乙方应根据甲方要求提供完整的文档资料。</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六、交付使用和验收</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乙方应当在年月日前完成采购文件规定的项目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采购文件有约定的，从其约定。</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甲方自行组织或视情邀请相关专家或国家认可的第三方机构参加验收，乙方提供的服务不符合采购文件和合同规定的，甲方有权拒收。</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七、违约责任</w:t>
      </w:r>
      <w:r>
        <w:rPr>
          <w:rFonts w:hint="eastAsia" w:ascii="仿宋" w:hAnsi="仿宋" w:eastAsia="仿宋" w:cs="仿宋"/>
          <w:sz w:val="24"/>
          <w:szCs w:val="24"/>
          <w:highlight w:val="none"/>
          <w:lang w:val="en-US" w:eastAsia="zh-CN"/>
        </w:rPr>
        <w:tab/>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甲方无正当理由拒收服务、拒付服务款的，甲方向乙方偿付合同总价的</w:t>
      </w: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%违约金。</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本项目经专家组评估，专家组项目评估为不合格，乙方应将已付项目资金的</w:t>
      </w:r>
      <w:r>
        <w:rPr>
          <w:rFonts w:hint="eastAsia" w:ascii="仿宋" w:hAnsi="仿宋" w:eastAsia="仿宋" w:cs="仿宋"/>
          <w:sz w:val="24"/>
          <w:szCs w:val="24"/>
          <w:highlight w:val="none"/>
          <w:lang w:eastAsia="zh-CN"/>
        </w:rPr>
        <w:t xml:space="preserve">10</w:t>
      </w:r>
      <w:r>
        <w:rPr>
          <w:rFonts w:hint="eastAsia" w:ascii="仿宋" w:hAnsi="仿宋" w:eastAsia="仿宋" w:cs="仿宋"/>
          <w:sz w:val="24"/>
          <w:szCs w:val="24"/>
          <w:highlight w:val="none"/>
        </w:rPr>
        <w:t xml:space="preserve">%作为违约金支付给甲方。</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3.因乙方未按本合同的规定或不能按期交付服务，甲方可提出终止项目，经全面审计评估验收后，项目资金依照审计金额结算，给付多余资金，乙方予以退回甲方。</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4.乙方在承担违约责任后，仍应继续履行合同规定的义务（甲方解除合同的除外）。甲方未能及时追究乙方的任何一项违约责任并不表明甲方放弃追究乙方该项或其他违约责任。</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5.如因丙方监督管理问题导致的乙方未能按照合同约定完成服务，应当由丙方承担相应违约责任，并对实际损失承担连带责任。</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八、合同的变更和终止</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本合同一经签订，各方不得擅自变更、中止或终止合同。若需终止、修改合同，需相关方盖章同意。</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除发生法律规定的不能预见、不能避免并不能克服的客观情况外，各方不得放弃或拒绝履行合同。乙方放弃或拒绝履行合同，三年内不得参加江宁区民政局组织的政府采购活动。</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九、合同</w:t>
      </w:r>
      <w:bookmarkStart w:id="119" w:name="OLE_LINK2"/>
      <w:r>
        <w:rPr>
          <w:rFonts w:hint="eastAsia" w:ascii="仿宋" w:hAnsi="仿宋" w:eastAsia="仿宋" w:cs="仿宋"/>
          <w:sz w:val="24"/>
          <w:szCs w:val="24"/>
          <w:highlight w:val="none"/>
          <w:lang w:val="en-US" w:eastAsia="zh-CN"/>
        </w:rPr>
        <w:t xml:space="preserve">的</w:t>
      </w:r>
      <w:bookmarkEnd w:id="119"/>
      <w:r>
        <w:rPr>
          <w:rFonts w:hint="eastAsia" w:ascii="仿宋" w:hAnsi="仿宋" w:eastAsia="仿宋" w:cs="仿宋"/>
          <w:sz w:val="24"/>
          <w:szCs w:val="24"/>
          <w:highlight w:val="none"/>
          <w:lang w:val="en-US" w:eastAsia="zh-CN"/>
        </w:rPr>
        <w:t xml:space="preserve">转让</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乙方不得擅自转让其应履行的合同义务。</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十、不可抗力事件的处置</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在合同有效期内，任何一方因不可抗力事件导致不能履行合同，则合同履行期可延长，其延长期与不可抗力影响期相同。</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不可抗力事件发生后，应立即通知对方，并寄送有关权威机构出具的证明。</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不可抗力事件延续</w:t>
      </w: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rPr>
        <w:t xml:space="preserve">天以上，双方应通过友好协商，确定是否继续履行合同。</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十一、其他事项</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乙方负责承担项目执行中的一切风险和纠纷。</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乙方应严格按照项目约定认真实施项目服务，因项目实施机构自身原因未能完成项目的，</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年内不得参加江宁区民政局组织的公益项目竞标。</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凡提供虚假资料或</w:t>
      </w:r>
      <w:r>
        <w:rPr>
          <w:rFonts w:hint="eastAsia" w:ascii="仿宋" w:hAnsi="仿宋" w:eastAsia="仿宋" w:cs="仿宋"/>
          <w:sz w:val="24"/>
          <w:szCs w:val="24"/>
          <w:highlight w:val="none"/>
          <w:lang w:eastAsia="zh-CN"/>
        </w:rPr>
        <w:t xml:space="preserve">采取其他</w:t>
      </w:r>
      <w:r>
        <w:rPr>
          <w:rFonts w:hint="eastAsia" w:ascii="仿宋" w:hAnsi="仿宋" w:eastAsia="仿宋" w:cs="仿宋"/>
          <w:sz w:val="24"/>
          <w:szCs w:val="24"/>
          <w:highlight w:val="none"/>
        </w:rPr>
        <w:t xml:space="preserve">不正当手段虚假参与、实施公益创投的，一经发现立即取消项目参与资格，追回所获荣誉和奖励，同时在媒体进行通告，</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年内不得参加江宁区</w:t>
      </w:r>
      <w:bookmarkStart w:id="120" w:name="OLE_LINK3"/>
      <w:r>
        <w:rPr>
          <w:rFonts w:hint="eastAsia" w:ascii="仿宋" w:hAnsi="仿宋" w:eastAsia="仿宋" w:cs="仿宋"/>
          <w:sz w:val="24"/>
          <w:szCs w:val="24"/>
          <w:highlight w:val="none"/>
        </w:rPr>
        <w:t xml:space="preserve">公益</w:t>
      </w:r>
      <w:bookmarkEnd w:id="120"/>
      <w:r>
        <w:rPr>
          <w:rFonts w:hint="eastAsia" w:ascii="仿宋" w:hAnsi="仿宋" w:eastAsia="仿宋" w:cs="仿宋"/>
          <w:sz w:val="24"/>
          <w:szCs w:val="24"/>
          <w:highlight w:val="none"/>
        </w:rPr>
        <w:t xml:space="preserve">创投</w:t>
      </w:r>
      <w:r>
        <w:rPr>
          <w:rFonts w:hint="eastAsia" w:ascii="仿宋" w:hAnsi="仿宋" w:eastAsia="仿宋" w:cs="仿宋"/>
          <w:sz w:val="24"/>
          <w:szCs w:val="24"/>
          <w:highlight w:val="none"/>
          <w:lang w:eastAsia="zh-CN"/>
        </w:rPr>
        <w:t xml:space="preserve">或其他</w:t>
      </w:r>
      <w:r>
        <w:rPr>
          <w:rFonts w:hint="eastAsia" w:ascii="仿宋" w:hAnsi="仿宋" w:eastAsia="仿宋" w:cs="仿宋"/>
          <w:sz w:val="24"/>
          <w:szCs w:val="24"/>
          <w:highlight w:val="none"/>
        </w:rPr>
        <w:t xml:space="preserve">类似活动，列入失信名单，并依据相关法律、法规、规章对相关人员或单位予以处理；涉嫌犯罪的，依法移交司法机关。</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十二、合同诉讼</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各方在执行合同中所发生的一切争议，应通过协商解决。如协商不成，向甲方所在地法院起诉。</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bookmarkStart w:id="121" w:name="OLE_LINK1"/>
      <w:r>
        <w:rPr>
          <w:rFonts w:hint="eastAsia" w:ascii="仿宋" w:hAnsi="仿宋" w:eastAsia="仿宋" w:cs="仿宋"/>
          <w:sz w:val="24"/>
          <w:szCs w:val="24"/>
          <w:highlight w:val="none"/>
          <w:lang w:val="en-US" w:eastAsia="zh-CN"/>
        </w:rPr>
        <w:t xml:space="preserve">十三、合同</w:t>
      </w:r>
      <w:bookmarkEnd w:id="121"/>
      <w:r>
        <w:rPr>
          <w:rFonts w:hint="eastAsia" w:ascii="仿宋" w:hAnsi="仿宋" w:eastAsia="仿宋" w:cs="仿宋"/>
          <w:sz w:val="24"/>
          <w:szCs w:val="24"/>
          <w:highlight w:val="none"/>
          <w:lang w:val="en-US" w:eastAsia="zh-CN"/>
        </w:rPr>
        <w:t xml:space="preserve">生效</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合同经各方法定代表人或授权委托代表人签字或加盖单位公章后生效。</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本合同未尽事宜，遵照《中华人民共和国民法典》有关条文执行。</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本合同正本一式</w:t>
      </w:r>
      <w:r>
        <w:rPr>
          <w:rFonts w:hint="eastAsia" w:ascii="仿宋" w:hAnsi="仿宋" w:eastAsia="仿宋" w:cs="仿宋"/>
          <w:sz w:val="24"/>
          <w:szCs w:val="24"/>
          <w:highlight w:val="none"/>
          <w:lang w:val="en-US" w:eastAsia="zh-CN"/>
        </w:rPr>
        <w:t xml:space="preserve">叁</w:t>
      </w:r>
      <w:r>
        <w:rPr>
          <w:rFonts w:hint="eastAsia" w:ascii="仿宋" w:hAnsi="仿宋" w:eastAsia="仿宋" w:cs="仿宋"/>
          <w:sz w:val="24"/>
          <w:szCs w:val="24"/>
          <w:highlight w:val="none"/>
        </w:rPr>
        <w:t xml:space="preserve">份，具有同等法律效力，甲乙丙三方各执</w:t>
      </w:r>
      <w:r>
        <w:rPr>
          <w:rFonts w:hint="eastAsia" w:ascii="仿宋" w:hAnsi="仿宋" w:eastAsia="仿宋" w:cs="仿宋"/>
          <w:sz w:val="24"/>
          <w:szCs w:val="24"/>
          <w:highlight w:val="none"/>
          <w:lang w:val="en-US" w:eastAsia="zh-CN"/>
        </w:rPr>
        <w:t xml:space="preserve">壹</w:t>
      </w:r>
      <w:r>
        <w:rPr>
          <w:rFonts w:hint="eastAsia" w:ascii="仿宋" w:hAnsi="仿宋" w:eastAsia="仿宋" w:cs="仿宋"/>
          <w:sz w:val="24"/>
          <w:szCs w:val="24"/>
          <w:highlight w:val="none"/>
        </w:rPr>
        <w:t xml:space="preserve">份。</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（以下无正文）</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附件</w:t>
      </w:r>
      <w:r>
        <w:rPr>
          <w:rFonts w:hint="eastAsia" w:ascii="仿宋" w:hAnsi="仿宋" w:eastAsia="仿宋" w:cs="仿宋"/>
          <w:sz w:val="24"/>
          <w:szCs w:val="24"/>
          <w:highlight w:val="none"/>
          <w:lang w:eastAsia="zh-CN"/>
        </w:rPr>
        <w:t xml:space="preserve">：2026年度江宁区第十二届公益创投项目</w:t>
      </w:r>
      <w:r>
        <w:rPr>
          <w:rFonts w:hint="eastAsia" w:ascii="仿宋" w:hAnsi="仿宋" w:eastAsia="仿宋" w:cs="仿宋"/>
          <w:sz w:val="24"/>
          <w:szCs w:val="24"/>
          <w:highlight w:val="none"/>
        </w:rPr>
        <w:t xml:space="preserve">申报书</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甲方（江宁区民政局）</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单位公章（授权人）：</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年月日</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乙方（供应商）</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单位公章（授权人）：</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年月日</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开户银行：</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账户：</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丙</w:t>
      </w:r>
      <w:r>
        <w:rPr>
          <w:rFonts w:hint="eastAsia" w:ascii="仿宋" w:hAnsi="仿宋" w:eastAsia="仿宋" w:cs="仿宋"/>
          <w:b/>
          <w:bCs/>
          <w:sz w:val="24"/>
          <w:szCs w:val="24"/>
          <w:highlight w:val="none"/>
        </w:rPr>
        <w:t xml:space="preserve">方（监管方）</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单位公章（授权人）：</w:t>
      </w:r>
      <w:r/>
    </w:p>
    <w:p>
      <w:pPr>
        <w:ind w:left="0" w:firstLine="482"/>
        <w:jc w:val="left"/>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年月日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pStyle w:val="678"/>
        <w:ind w:left="0" w:firstLine="883"/>
        <w:jc w:val="center"/>
        <w:keepLines w:val="0"/>
        <w:pageBreakBefore w:val="0"/>
        <w:spacing w:line="520" w:lineRule="exact"/>
        <w:rPr>
          <w:rFonts w:hint="eastAsia" w:ascii="仿宋" w:hAnsi="仿宋" w:eastAsia="仿宋" w:cs="仿宋"/>
          <w:color w:val="000000" w:themeColor="text1"/>
          <w:sz w:val="44"/>
          <w:szCs w:val="44"/>
          <w14:textFill>
            <w14:solidFill>
              <w14:schemeClr w14:val="tx1"/>
            </w14:solidFill>
          </w14:textFill>
        </w:rPr>
      </w:pPr>
      <w:r/>
      <w:bookmarkStart w:id="122" w:name="_Toc105488538"/>
      <w:r/>
      <w:bookmarkStart w:id="123" w:name="_Toc176528942"/>
      <w:r/>
      <w:bookmarkStart w:id="124" w:name="_Toc176770991"/>
      <w:r/>
      <w:bookmarkStart w:id="125" w:name="_Toc29775"/>
      <w:r/>
      <w:bookmarkStart w:id="126" w:name="_Toc178255257"/>
      <w:r/>
      <w:bookmarkStart w:id="127" w:name="_Toc31140"/>
      <w:r>
        <w:rPr>
          <w:rFonts w:hint="eastAsia" w:ascii="仿宋" w:hAnsi="仿宋" w:eastAsia="仿宋" w:cs="仿宋"/>
          <w:color w:val="000000" w:themeColor="text1"/>
          <w:sz w:val="44"/>
          <w:szCs w:val="44"/>
          <w14:textFill>
            <w14:solidFill>
              <w14:schemeClr w14:val="tx1"/>
            </w14:solidFill>
          </w14:textFill>
        </w:rPr>
        <w:t xml:space="preserve">第六章附件</w:t>
      </w:r>
      <w:bookmarkEnd w:id="122"/>
      <w:r/>
      <w:bookmarkEnd w:id="123"/>
      <w:r/>
      <w:bookmarkEnd w:id="124"/>
      <w:r/>
      <w:bookmarkEnd w:id="125"/>
      <w:r/>
      <w:bookmarkEnd w:id="126"/>
      <w:r/>
      <w:bookmarkEnd w:id="127"/>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keepLines w:val="0"/>
        <w:pageBreakBefore w:val="0"/>
        <w:spacing w:line="520" w:lineRule="exact"/>
        <w:rPr>
          <w:rFonts w:hint="eastAsia" w:ascii="仿宋" w:hAnsi="仿宋" w:eastAsia="仿宋" w:cs="仿宋"/>
          <w:b/>
          <w:bCs/>
          <w:color w:val="000000" w:themeColor="text1"/>
          <w:sz w:val="44"/>
          <w:szCs w:val="44"/>
          <w:lang w:eastAsia="zh-CN"/>
          <w14:textFill>
            <w14:solidFill>
              <w14:schemeClr w14:val="tx1"/>
            </w14:solidFill>
          </w14:textFill>
        </w:rPr>
      </w:pPr>
      <w:r>
        <w:rPr>
          <w:rFonts w:hint="eastAsia" w:ascii="仿宋" w:hAnsi="仿宋" w:eastAsia="仿宋" w:cs="仿宋"/>
          <w:b/>
          <w:bCs/>
          <w:color w:val="000000" w:themeColor="text1"/>
          <w:sz w:val="44"/>
          <w:szCs w:val="44"/>
          <w:lang w:eastAsia="zh-CN"/>
          <w14:textFill>
            <w14:solidFill>
              <w14:schemeClr w14:val="tx1"/>
            </w14:solidFill>
          </w14:textFill>
        </w:rPr>
        <w:t xml:space="preserve">2026年度江宁区第十二届公益创投项目</w:t>
      </w:r>
      <w:r/>
    </w:p>
    <w:p>
      <w:pPr>
        <w:jc w:val="center"/>
        <w:keepLines w:val="0"/>
        <w:pageBreakBefore w:val="0"/>
        <w:spacing w:line="52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lang w:eastAsia="zh-CN"/>
          <w14:textFill>
            <w14:solidFill>
              <w14:schemeClr w14:val="tx1"/>
            </w14:solidFill>
          </w14:textFill>
        </w:rPr>
        <w:t xml:space="preserve">公开招标</w:t>
      </w:r>
      <w:r>
        <w:rPr>
          <w:rFonts w:hint="eastAsia" w:ascii="仿宋" w:hAnsi="仿宋" w:eastAsia="仿宋" w:cs="仿宋"/>
          <w:b/>
          <w:bCs/>
          <w:color w:val="000000" w:themeColor="text1"/>
          <w:sz w:val="44"/>
          <w:szCs w:val="44"/>
          <w14:textFill>
            <w14:solidFill>
              <w14:schemeClr w14:val="tx1"/>
            </w14:solidFill>
          </w14:textFill>
        </w:rPr>
        <w:t xml:space="preserve">响应文件</w:t>
      </w:r>
      <w:r/>
    </w:p>
    <w:p>
      <w:pPr>
        <w:ind w:left="0" w:firstLine="480"/>
        <w:jc w:val="center"/>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（分包号）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880"/>
        <w:jc w:val="left"/>
        <w:keepLines w:val="0"/>
        <w:pageBreakBefore w:val="0"/>
        <w:spacing w:line="520" w:lineRule="exact"/>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ind w:left="0" w:firstLine="600"/>
        <w:jc w:val="center"/>
        <w:keepLines w:val="0"/>
        <w:pageBreakBefore w:val="0"/>
        <w:spacing w:line="520" w:lineRule="exact"/>
        <w:rPr>
          <w:rFonts w:hint="eastAsia" w:ascii="仿宋" w:hAnsi="仿宋" w:eastAsia="仿宋" w:cs="仿宋"/>
          <w:color w:val="000000" w:themeColor="text1"/>
          <w:sz w:val="30"/>
          <w:szCs w:val="30"/>
          <w:u w:val="singl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供应商：（加盖公章）</w:t>
      </w:r>
      <w:r/>
    </w:p>
    <w:p>
      <w:pPr>
        <w:ind w:left="0" w:firstLine="600"/>
        <w:jc w:val="center"/>
        <w:keepLines w:val="0"/>
        <w:pageBreakBefore w:val="0"/>
        <w:spacing w:line="520" w:lineRule="exact"/>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年月日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keepLines w:val="0"/>
        <w:pageBreakBefore w:val="0"/>
        <w:spacing w:line="52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r>
      <w:r/>
    </w:p>
    <w:p>
      <w:pPr>
        <w:jc w:val="left"/>
        <w:keepLines w:val="0"/>
        <w:pageBreakBefore w:val="0"/>
        <w:spacing w:line="52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r>
      <w:r/>
    </w:p>
    <w:p>
      <w:pPr>
        <w:jc w:val="center"/>
        <w:keepLines w:val="0"/>
        <w:pageBreakBefore w:val="0"/>
        <w:spacing w:line="52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t xml:space="preserve">目录</w:t>
      </w:r>
      <w:r/>
    </w:p>
    <w:p>
      <w:pPr>
        <w:ind w:left="0" w:firstLine="482"/>
        <w:jc w:val="left"/>
        <w:keepLines w:val="0"/>
        <w:pageBreakBefore w:val="0"/>
        <w:spacing w:line="520" w:lineRule="exact"/>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（注：供应商可根据附件顺序编制响应文件并制作目录（须生成页码））</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clear="all"/>
      </w:r>
      <w:bookmarkStart w:id="128" w:name="_Toc504056868"/>
      <w:r/>
      <w:bookmarkEnd w:id="128"/>
      <w:r/>
      <w:bookmarkStart w:id="129" w:name="_Toc504044380"/>
      <w:r/>
      <w:bookmarkEnd w:id="129"/>
      <w:r/>
      <w:bookmarkStart w:id="130" w:name="_Toc504573083"/>
      <w:r/>
      <w:bookmarkEnd w:id="130"/>
      <w:r/>
      <w:bookmarkStart w:id="131" w:name="_Toc490133028"/>
      <w:r/>
      <w:bookmarkEnd w:id="131"/>
      <w:r/>
      <w:bookmarkStart w:id="132" w:name="_Toc534273677"/>
      <w:r/>
      <w:bookmarkStart w:id="133" w:name="_Toc534273800"/>
      <w:r>
        <w:rPr>
          <w:rFonts w:hint="eastAsia" w:ascii="仿宋" w:hAnsi="仿宋" w:eastAsia="仿宋" w:cs="仿宋"/>
          <w:b/>
          <w:color w:val="000000" w:themeColor="text1"/>
          <w:sz w:val="24"/>
          <w:szCs w:val="24"/>
          <w14:textFill>
            <w14:solidFill>
              <w14:schemeClr w14:val="tx1"/>
            </w14:solidFill>
          </w14:textFill>
        </w:rPr>
        <w:t xml:space="preserve">附件一、</w:t>
      </w:r>
      <w:bookmarkEnd w:id="132"/>
      <w:r/>
      <w:bookmarkEnd w:id="133"/>
      <w:r>
        <w:rPr>
          <w:rFonts w:hint="eastAsia" w:ascii="仿宋" w:hAnsi="仿宋" w:eastAsia="仿宋" w:cs="仿宋"/>
          <w:b/>
          <w:color w:val="000000" w:themeColor="text1"/>
          <w:sz w:val="24"/>
          <w:szCs w:val="24"/>
          <w:lang w:val="en-US" w:eastAsia="zh-CN"/>
          <w14:textFill>
            <w14:solidFill>
              <w14:schemeClr w14:val="tx1"/>
            </w14:solidFill>
          </w14:textFill>
        </w:rPr>
        <w:t xml:space="preserve">投标函</w:t>
      </w:r>
      <w:r/>
    </w:p>
    <w:p>
      <w:pPr>
        <w:ind w:left="0" w:firstLine="482"/>
        <w:jc w:val="center"/>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投标函</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致：</w:t>
      </w:r>
      <w:r>
        <w:rPr>
          <w:rFonts w:hint="eastAsia" w:ascii="仿宋" w:hAnsi="仿宋" w:eastAsia="仿宋" w:cs="仿宋"/>
          <w:color w:val="000000" w:themeColor="text1"/>
          <w:sz w:val="24"/>
          <w:szCs w:val="24"/>
          <w:lang w:val="en-US" w:eastAsia="zh-CN"/>
          <w14:textFill>
            <w14:solidFill>
              <w14:schemeClr w14:val="tx1"/>
            </w14:solidFill>
          </w14:textFill>
        </w:rPr>
        <w:t xml:space="preserve">江苏中嘉招投标代理有限公司</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根据贵方的JSZC-320115-ZJDL-G2026-0001</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号招标文件，正式授权下述签字人_____(姓名)代表我方_______（投标人的名称），全权处理本次项目投标的有关事宜。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据此函，__________签字人兹宣布同意如下：</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1.按招标文件规定的各项要求，向买方提供所需货物（包含与货物相关的服务）。</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2.我们完全理解贵方不一定将合同授予最低报价的投标人。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3.我们已详细审核全部招标文件及其有效补充文件，我们知道必须放弃提出含糊不清或误解问题的权利。</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4.我们同意从规定的开标日期起遵循本投标文件，并在规定的投标有效期期满之前均具有约束力。</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7.与本投标有关的正式通讯地址为：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          址：</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邮          编：</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          话：</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传          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投标人开户行：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账          号： </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           期：________年____月____日</w:t>
      </w:r>
      <w:r>
        <w:rPr>
          <w:rFonts w:hint="eastAsia" w:ascii="仿宋" w:hAnsi="仿宋" w:eastAsia="仿宋" w:cs="仿宋"/>
          <w:color w:val="000000" w:themeColor="text1"/>
          <w:sz w:val="24"/>
          <w:szCs w:val="24"/>
          <w14:textFill>
            <w14:solidFill>
              <w14:schemeClr w14:val="tx1"/>
            </w14:solidFill>
          </w14:textFill>
        </w:rPr>
        <w:br w:type="page" w:clear="all"/>
      </w:r>
      <w:bookmarkStart w:id="134" w:name="_Toc534273801"/>
      <w:r/>
      <w:bookmarkStart w:id="135" w:name="_Toc534273678"/>
      <w:r/>
      <w:bookmarkStart w:id="136" w:name="_Toc504056869"/>
      <w:r/>
      <w:bookmarkStart w:id="137" w:name="_Toc490133029"/>
      <w:r/>
      <w:bookmarkStart w:id="138" w:name="_Toc504573084"/>
      <w:r/>
      <w:bookmarkStart w:id="139" w:name="_Toc504044381"/>
      <w:r>
        <w:rPr>
          <w:rFonts w:hint="eastAsia" w:ascii="仿宋" w:hAnsi="仿宋" w:eastAsia="仿宋" w:cs="仿宋"/>
          <w:b/>
          <w:color w:val="000000" w:themeColor="text1"/>
          <w:sz w:val="24"/>
          <w:szCs w:val="24"/>
          <w14:textFill>
            <w14:solidFill>
              <w14:schemeClr w14:val="tx1"/>
            </w14:solidFill>
          </w14:textFill>
        </w:rPr>
        <w:t xml:space="preserve">附件二、法定代表人授权书格式</w:t>
      </w:r>
      <w:bookmarkEnd w:id="134"/>
      <w:r/>
      <w:bookmarkEnd w:id="135"/>
      <w:r/>
      <w:bookmarkEnd w:id="136"/>
      <w:r/>
      <w:bookmarkEnd w:id="137"/>
      <w:r/>
      <w:bookmarkEnd w:id="138"/>
      <w:r/>
      <w:bookmarkEnd w:id="139"/>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法定代表人授权书</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致：</w:t>
      </w:r>
      <w:r>
        <w:rPr>
          <w:rFonts w:hint="eastAsia" w:ascii="仿宋" w:hAnsi="仿宋" w:eastAsia="仿宋" w:cs="仿宋"/>
          <w:color w:val="000000" w:themeColor="text1"/>
          <w:sz w:val="24"/>
          <w:szCs w:val="24"/>
          <w:lang w:eastAsia="zh-CN"/>
          <w14:textFill>
            <w14:solidFill>
              <w14:schemeClr w14:val="tx1"/>
            </w14:solidFill>
          </w14:textFill>
        </w:rPr>
        <w:t xml:space="preserve">南京市江宁区民政局</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江苏中嘉招投标代理有限公司</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w:t>
      </w:r>
      <w:r>
        <w:rPr>
          <w:rFonts w:hint="eastAsia" w:ascii="仿宋" w:hAnsi="仿宋" w:eastAsia="仿宋" w:cs="仿宋"/>
          <w:bCs/>
          <w:color w:val="000000" w:themeColor="text1"/>
          <w:sz w:val="24"/>
          <w:szCs w:val="24"/>
          <w:u w:val="single"/>
          <w:lang w:eastAsia="zh-CN"/>
          <w14:textFill>
            <w14:solidFill>
              <w14:schemeClr w14:val="tx1"/>
            </w14:solidFill>
          </w14:textFill>
        </w:rPr>
        <w:t xml:space="preserve">2026年度江宁区第十二届公益创投项目</w:t>
      </w: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s="仿宋"/>
          <w:color w:val="000000" w:themeColor="text1"/>
          <w:sz w:val="24"/>
          <w:szCs w:val="24"/>
          <w:u w:val="single"/>
          <w:lang w:eastAsia="zh-CN"/>
          <w14:textFill>
            <w14:solidFill>
              <w14:schemeClr w14:val="tx1"/>
            </w14:solidFill>
          </w14:textFill>
        </w:rPr>
        <w:t xml:space="preserve">JSZC-320115-ZJDL-G2026-0001</w:t>
      </w:r>
      <w:r>
        <w:rPr>
          <w:rFonts w:hint="eastAsia" w:ascii="仿宋" w:hAnsi="仿宋" w:eastAsia="仿宋" w:cs="仿宋"/>
          <w:color w:val="000000" w:themeColor="text1"/>
          <w:sz w:val="24"/>
          <w:szCs w:val="24"/>
          <w14:textFill>
            <w14:solidFill>
              <w14:schemeClr w14:val="tx1"/>
            </w14:solidFill>
          </w14:textFill>
        </w:rPr>
        <w:t xml:space="preserve">，分包号：</w:t>
      </w:r>
      <w:r>
        <w:rPr>
          <w:rFonts w:hint="eastAsia" w:ascii="仿宋" w:hAnsi="仿宋" w:eastAsia="仿宋" w:cs="仿宋"/>
          <w:color w:val="000000" w:themeColor="text1"/>
          <w:sz w:val="24"/>
          <w:szCs w:val="24"/>
          <w:lang w:eastAsia="zh-CN"/>
          <w14:textFill>
            <w14:solidFill>
              <w14:schemeClr w14:val="tx1"/>
            </w14:solidFill>
          </w14:textFill>
        </w:rPr>
        <w:t xml:space="preserve">公开招标</w:t>
      </w:r>
      <w:r>
        <w:rPr>
          <w:rFonts w:hint="eastAsia" w:ascii="仿宋" w:hAnsi="仿宋" w:eastAsia="仿宋" w:cs="仿宋"/>
          <w:color w:val="000000" w:themeColor="text1"/>
          <w:sz w:val="24"/>
          <w:szCs w:val="24"/>
          <w14:textFill>
            <w14:solidFill>
              <w14:schemeClr w14:val="tx1"/>
            </w14:solidFill>
          </w14:textFill>
        </w:rPr>
        <w:t xml:space="preserve">，以本公司名义处理一切与之有关的事务。</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本授权书于年月日签字或签章生效，特此声明。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法定代表人签字或签章：</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被授权人签字：</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供应商盖章：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被授权人的身份证明文件的复印件：</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bookmarkStart w:id="140" w:name="_Toc504573085"/>
      <w:r/>
      <w:bookmarkStart w:id="141" w:name="_Toc490133030"/>
      <w:r/>
      <w:bookmarkStart w:id="142" w:name="_Toc504056870"/>
      <w:r/>
      <w:bookmarkStart w:id="143" w:name="_Toc534273679"/>
      <w:r/>
      <w:bookmarkStart w:id="144" w:name="_Toc534273802"/>
      <w:r/>
      <w:bookmarkStart w:id="145" w:name="_Toc504044382"/>
      <w:r>
        <w:rPr>
          <w:rFonts w:hint="eastAsia" w:ascii="仿宋" w:hAnsi="仿宋" w:eastAsia="仿宋" w:cs="仿宋"/>
          <w:b/>
          <w:color w:val="000000" w:themeColor="text1"/>
          <w:sz w:val="24"/>
          <w:szCs w:val="24"/>
          <w14:textFill>
            <w14:solidFill>
              <w14:schemeClr w14:val="tx1"/>
            </w14:solidFill>
          </w14:textFill>
        </w:rPr>
        <w:t xml:space="preserve">附件三、</w:t>
      </w:r>
      <w:bookmarkEnd w:id="140"/>
      <w:r/>
      <w:bookmarkEnd w:id="141"/>
      <w:r/>
      <w:bookmarkEnd w:id="142"/>
      <w:r/>
      <w:bookmarkEnd w:id="143"/>
      <w:r/>
      <w:bookmarkEnd w:id="144"/>
      <w:r/>
      <w:bookmarkEnd w:id="145"/>
      <w:r>
        <w:rPr>
          <w:rFonts w:hint="eastAsia" w:ascii="仿宋" w:hAnsi="仿宋" w:eastAsia="仿宋" w:cs="仿宋"/>
          <w:b/>
          <w:color w:val="000000" w:themeColor="text1"/>
          <w:sz w:val="24"/>
          <w:szCs w:val="24"/>
          <w14:textFill>
            <w14:solidFill>
              <w14:schemeClr w14:val="tx1"/>
            </w14:solidFill>
          </w14:textFill>
        </w:rPr>
        <w:t xml:space="preserve">开标一览表</w:t>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开标一览表</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投标人全称（加盖CA电子签章）：</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2026年度江宁区第十二届公益创投项目</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s="仿宋"/>
          <w:color w:val="000000" w:themeColor="text1"/>
          <w:sz w:val="24"/>
          <w:szCs w:val="24"/>
          <w:lang w:eastAsia="zh-CN"/>
          <w14:textFill>
            <w14:solidFill>
              <w14:schemeClr w14:val="tx1"/>
            </w14:solidFill>
          </w14:textFill>
        </w:rPr>
        <w:t xml:space="preserve">JSZC-320115-ZJDL-G2026-0001</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分包号：</w:t>
      </w:r>
      <w:r/>
    </w:p>
    <w:tbl>
      <w:tblPr>
        <w:tblStyle w:val="688"/>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0"/>
        <w:gridCol w:w="6131"/>
        <w:gridCol w:w="3042"/>
      </w:tblGrid>
      <w:tr>
        <w:trPr>
          <w:cantSplit/>
          <w:jc w:val="center"/>
          <w:trHeight w:val="1075"/>
        </w:trPr>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投标总</w:t>
            </w:r>
            <w:r>
              <w:rPr>
                <w:rFonts w:hint="eastAsia" w:ascii="仿宋" w:hAnsi="仿宋" w:eastAsia="仿宋" w:cs="仿宋"/>
                <w:color w:val="000000" w:themeColor="text1"/>
                <w:szCs w:val="21"/>
                <w14:textFill>
                  <w14:solidFill>
                    <w14:schemeClr w14:val="tx1"/>
                  </w14:solidFill>
                </w14:textFill>
              </w:rPr>
              <w:t xml:space="preserve">报价</w:t>
            </w:r>
            <w:r/>
          </w:p>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6131"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元（大写）</w:t>
            </w:r>
            <w:r/>
          </w:p>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元（小写）</w:t>
            </w:r>
            <w:r/>
          </w:p>
        </w:tc>
        <w:tc>
          <w:tcPr>
            <w:tcBorders>
              <w:top w:val="single" w:color="auto" w:sz="4" w:space="0"/>
              <w:left w:val="single" w:color="auto" w:sz="4" w:space="0"/>
              <w:bottom w:val="single" w:color="auto" w:sz="4" w:space="0"/>
              <w:right w:val="single" w:color="auto" w:sz="4" w:space="0"/>
            </w:tcBorders>
            <w:tcW w:w="30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744"/>
        </w:trPr>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服务时间/交付使用时间</w:t>
            </w:r>
            <w:r/>
          </w:p>
        </w:tc>
        <w:tc>
          <w:tcPr>
            <w:tcBorders>
              <w:top w:val="single" w:color="auto" w:sz="4" w:space="0"/>
              <w:left w:val="single" w:color="auto" w:sz="4" w:space="0"/>
              <w:bottom w:val="single" w:color="auto" w:sz="4" w:space="0"/>
              <w:right w:val="single" w:color="auto" w:sz="4" w:space="0"/>
            </w:tcBorders>
            <w:tcW w:w="6131"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t xml:space="preserve">满足</w:t>
            </w:r>
            <w:r>
              <w:rPr>
                <w:rFonts w:hint="eastAsia" w:ascii="仿宋" w:hAnsi="仿宋" w:eastAsia="仿宋" w:cs="仿宋"/>
                <w:color w:val="000000" w:themeColor="text1"/>
                <w:szCs w:val="21"/>
                <w:u w:val="single"/>
                <w:lang w:eastAsia="zh-CN"/>
                <w14:textFill>
                  <w14:solidFill>
                    <w14:schemeClr w14:val="tx1"/>
                  </w14:solidFill>
                </w14:textFill>
              </w:rPr>
              <w:t xml:space="preserve">招标</w:t>
            </w:r>
            <w:r>
              <w:rPr>
                <w:rFonts w:hint="eastAsia" w:ascii="仿宋" w:hAnsi="仿宋" w:eastAsia="仿宋" w:cs="仿宋"/>
                <w:color w:val="000000" w:themeColor="text1"/>
                <w:szCs w:val="21"/>
                <w:u w:val="single"/>
                <w14:textFill>
                  <w14:solidFill>
                    <w14:schemeClr w14:val="tx1"/>
                  </w14:solidFill>
                </w14:textFill>
              </w:rPr>
              <w:t xml:space="preserve">文件要求。</w:t>
            </w:r>
            <w:r/>
          </w:p>
        </w:tc>
        <w:tc>
          <w:tcPr>
            <w:tcBorders>
              <w:top w:val="single" w:color="auto" w:sz="4" w:space="0"/>
              <w:left w:val="single" w:color="auto" w:sz="4" w:space="0"/>
              <w:bottom w:val="single" w:color="auto" w:sz="4" w:space="0"/>
              <w:right w:val="single" w:color="auto" w:sz="4" w:space="0"/>
            </w:tcBorders>
            <w:tcW w:w="30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br w:type="page" w:clear="all"/>
      </w:r>
      <w:bookmarkStart w:id="146" w:name="_Toc504044383"/>
      <w:r/>
      <w:bookmarkStart w:id="147" w:name="_Toc490133031"/>
      <w:r/>
      <w:bookmarkStart w:id="148" w:name="_Toc504056871"/>
      <w:r/>
      <w:bookmarkStart w:id="149" w:name="_Toc534273803"/>
      <w:r/>
      <w:bookmarkStart w:id="150" w:name="_Toc534273680"/>
      <w:r/>
      <w:bookmarkStart w:id="151" w:name="_Toc504573086"/>
      <w:r>
        <w:rPr>
          <w:rFonts w:hint="eastAsia" w:ascii="仿宋" w:hAnsi="仿宋" w:eastAsia="仿宋" w:cs="仿宋"/>
          <w:b/>
          <w:color w:val="000000" w:themeColor="text1"/>
          <w:sz w:val="24"/>
          <w:szCs w:val="24"/>
          <w14:textFill>
            <w14:solidFill>
              <w14:schemeClr w14:val="tx1"/>
            </w14:solidFill>
          </w14:textFill>
        </w:rPr>
        <w:t xml:space="preserve">附件四、分项报价表</w:t>
      </w:r>
      <w:bookmarkEnd w:id="146"/>
      <w:r/>
      <w:bookmarkEnd w:id="147"/>
      <w:r/>
      <w:bookmarkEnd w:id="148"/>
      <w:r/>
      <w:bookmarkEnd w:id="149"/>
      <w:r/>
      <w:bookmarkEnd w:id="150"/>
      <w:r/>
      <w:bookmarkEnd w:id="151"/>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bookmarkStart w:id="152" w:name="_Toc534273682"/>
      <w:r/>
      <w:bookmarkStart w:id="153" w:name="_Toc534273804"/>
      <w:r/>
      <w:bookmarkStart w:id="154" w:name="_Toc534273681"/>
      <w:r/>
      <w:bookmarkStart w:id="155" w:name="_Toc504573087"/>
      <w:r/>
      <w:bookmarkStart w:id="156" w:name="_Toc504044384"/>
      <w:r/>
      <w:bookmarkStart w:id="157" w:name="_Toc504056872"/>
      <w:r/>
      <w:bookmarkStart w:id="158" w:name="_Toc534273805"/>
      <w:r/>
      <w:bookmarkStart w:id="159" w:name="_Toc490133032"/>
      <w:r>
        <w:rPr>
          <w:rFonts w:hint="eastAsia" w:ascii="仿宋" w:hAnsi="仿宋" w:eastAsia="仿宋" w:cs="仿宋"/>
          <w:b/>
          <w:color w:val="000000" w:themeColor="text1"/>
          <w:sz w:val="24"/>
          <w:szCs w:val="24"/>
          <w14:textFill>
            <w14:solidFill>
              <w14:schemeClr w14:val="tx1"/>
            </w14:solidFill>
          </w14:textFill>
        </w:rPr>
        <w:t xml:space="preserve">分项报价表</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（格式自拟）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说明：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1、投标报价采用总承包方式，“投标总报价”应包括所投货物（包含与</w:t>
      </w:r>
      <w:r>
        <w:rPr>
          <w:rFonts w:hint="eastAsia" w:ascii="仿宋" w:hAnsi="仿宋" w:eastAsia="仿宋" w:cs="仿宋"/>
          <w:color w:val="000000" w:themeColor="text1"/>
          <w:sz w:val="24"/>
          <w:szCs w:val="24"/>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14:textFill>
            <w14:solidFill>
              <w14:schemeClr w14:val="tx1"/>
            </w14:solidFill>
          </w14:textFill>
        </w:rPr>
        <w:t xml:space="preserve">相关的服务）费用、，招标文件中另有规定的除外。“投标总报价”数额为各“分项总价”之和。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2.“投标分项报价表”中“投标总报价”数额应当与“开标一览表”中“投标总报价”数额一致。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3、行数不够请自行增加</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供应商（盖章）:</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法定代表人或其授权代表（签字）：</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rPr>
          <w:rFonts w:hint="eastAsia" w:ascii="仿宋" w:hAnsi="仿宋" w:eastAsia="仿宋" w:cs="仿宋"/>
          <w:b/>
          <w:color w:val="000000" w:themeColor="text1"/>
          <w:sz w:val="24"/>
          <w:szCs w:val="24"/>
          <w14:textFill>
            <w14:solidFill>
              <w14:schemeClr w14:val="tx1"/>
            </w14:solidFill>
          </w14:textFill>
        </w:rPr>
        <w:t xml:space="preserve">附件五、商务条款偏离表格式</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商务条款偏离表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bl>
      <w:tblPr>
        <w:tblStyle w:val="688"/>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836"/>
        <w:gridCol w:w="3217"/>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rPr>
                <w:rFonts w:hint="eastAsia" w:ascii="仿宋" w:hAnsi="仿宋" w:eastAsia="仿宋" w:cs="仿宋"/>
                <w:color w:val="000000" w:themeColor="text1"/>
                <w:szCs w:val="21"/>
                <w:lang w:eastAsia="zh-CN"/>
                <w14:textFill>
                  <w14:solidFill>
                    <w14:schemeClr w14:val="tx1"/>
                  </w14:solidFill>
                </w14:textFill>
              </w:rPr>
              <w:t xml:space="preserve">2026年度江宁区第十二届公益创投项目</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项目编号：</w:t>
            </w:r>
            <w:r>
              <w:rPr>
                <w:rFonts w:hint="eastAsia" w:ascii="仿宋" w:hAnsi="仿宋" w:eastAsia="仿宋" w:cs="仿宋"/>
                <w:color w:val="000000" w:themeColor="text1"/>
                <w:szCs w:val="21"/>
                <w:lang w:eastAsia="zh-CN"/>
                <w14:textFill>
                  <w14:solidFill>
                    <w14:schemeClr w14:val="tx1"/>
                  </w14:solidFill>
                </w14:textFill>
              </w:rPr>
              <w:t xml:space="preserve">JSZC-320115-ZJDL-G2026-0001</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分包号：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2"/>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2"/>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lang w:val="en-US" w:eastAsia="zh-CN"/>
                <w14:textFill>
                  <w14:solidFill>
                    <w14:schemeClr w14:val="tx1"/>
                  </w14:solidFill>
                </w14:textFill>
              </w:rPr>
              <w:t xml:space="preserve">投标</w:t>
            </w:r>
            <w:r>
              <w:rPr>
                <w:rFonts w:hint="eastAsia" w:ascii="仿宋" w:hAnsi="仿宋" w:eastAsia="仿宋" w:cs="仿宋"/>
                <w:b/>
                <w:bCs/>
                <w:color w:val="000000" w:themeColor="text1"/>
                <w:szCs w:val="21"/>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供应商（盖章）:</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法定代表人或其授权代表（签字）：</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clear="all"/>
      </w:r>
      <w:r>
        <w:rPr>
          <w:rFonts w:hint="eastAsia" w:ascii="仿宋" w:hAnsi="仿宋" w:eastAsia="仿宋" w:cs="仿宋"/>
          <w:b/>
          <w:color w:val="000000" w:themeColor="text1"/>
          <w:sz w:val="24"/>
          <w:szCs w:val="24"/>
          <w14:textFill>
            <w14:solidFill>
              <w14:schemeClr w14:val="tx1"/>
            </w14:solidFill>
          </w14:textFill>
        </w:rPr>
        <w:t xml:space="preserve">附件六、采购需求条款偏离表格式</w:t>
      </w:r>
      <w:bookmarkEnd w:id="152"/>
      <w:r/>
      <w:bookmarkEnd w:id="153"/>
      <w:r/>
      <w:bookmarkEnd w:id="154"/>
      <w:r/>
      <w:bookmarkEnd w:id="155"/>
      <w:r/>
      <w:bookmarkEnd w:id="156"/>
      <w:r/>
      <w:bookmarkEnd w:id="157"/>
      <w:r/>
      <w:bookmarkEnd w:id="158"/>
      <w:r/>
      <w:bookmarkEnd w:id="159"/>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技术条款</w:t>
      </w:r>
      <w:r>
        <w:rPr>
          <w:rFonts w:hint="eastAsia" w:ascii="仿宋" w:hAnsi="仿宋" w:eastAsia="仿宋" w:cs="仿宋"/>
          <w:b/>
          <w:color w:val="000000" w:themeColor="text1"/>
          <w:sz w:val="24"/>
          <w:szCs w:val="24"/>
          <w14:textFill>
            <w14:solidFill>
              <w14:schemeClr w14:val="tx1"/>
            </w14:solidFill>
          </w14:textFill>
        </w:rPr>
        <w:t xml:space="preserve">偏离表</w:t>
      </w:r>
      <w:r/>
    </w:p>
    <w:tbl>
      <w:tblPr>
        <w:tblStyle w:val="688"/>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rPr>
                <w:rFonts w:hint="eastAsia" w:ascii="仿宋" w:hAnsi="仿宋" w:eastAsia="仿宋" w:cs="仿宋"/>
                <w:color w:val="000000" w:themeColor="text1"/>
                <w:szCs w:val="21"/>
                <w:lang w:eastAsia="zh-CN"/>
                <w14:textFill>
                  <w14:solidFill>
                    <w14:schemeClr w14:val="tx1"/>
                  </w14:solidFill>
                </w14:textFill>
              </w:rPr>
              <w:t xml:space="preserve">2026年度江宁区第十二届公益创投项目</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项目编号：</w:t>
            </w:r>
            <w:r>
              <w:rPr>
                <w:rFonts w:hint="eastAsia" w:ascii="仿宋" w:hAnsi="仿宋" w:eastAsia="仿宋" w:cs="仿宋"/>
                <w:color w:val="000000" w:themeColor="text1"/>
                <w:szCs w:val="21"/>
                <w:lang w:eastAsia="zh-CN"/>
                <w14:textFill>
                  <w14:solidFill>
                    <w14:schemeClr w14:val="tx1"/>
                  </w14:solidFill>
                </w14:textFill>
              </w:rPr>
              <w:t xml:space="preserve">JSZC-320115-ZJDL-G2026-0001</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分包号：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2"/>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2"/>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lang w:val="en-US" w:eastAsia="zh-CN"/>
                <w14:textFill>
                  <w14:solidFill>
                    <w14:schemeClr w14:val="tx1"/>
                  </w14:solidFill>
                </w14:textFill>
              </w:rPr>
              <w:t xml:space="preserve">投标</w:t>
            </w:r>
            <w:r>
              <w:rPr>
                <w:rFonts w:hint="eastAsia" w:ascii="仿宋" w:hAnsi="仿宋" w:eastAsia="仿宋" w:cs="仿宋"/>
                <w:b/>
                <w:bCs/>
                <w:color w:val="000000" w:themeColor="text1"/>
                <w:szCs w:val="21"/>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供应商（盖章）:</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法定代表人或其授权代表（签字）：</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sectPr>
          <w:footnotePr/>
          <w:endnotePr/>
          <w:type w:val="nextPage"/>
          <w:pgSz w:w="11906" w:h="16838" w:orient="portrait"/>
          <w:pgMar w:top="1418" w:right="1418" w:bottom="1418" w:left="1418" w:header="851" w:footer="992" w:gutter="0"/>
          <w:cols w:num="1" w:sep="0" w:space="425" w:equalWidth="1"/>
          <w:docGrid w:linePitch="360"/>
        </w:sectPr>
      </w:pPr>
      <w:r>
        <w:rPr>
          <w:rFonts w:hint="eastAsia" w:ascii="仿宋" w:hAnsi="仿宋" w:eastAsia="仿宋" w:cs="仿宋"/>
          <w:color w:val="000000" w:themeColor="text1"/>
          <w:sz w:val="24"/>
          <w:szCs w:val="24"/>
          <w14:textFill>
            <w14:solidFill>
              <w14:schemeClr w14:val="tx1"/>
            </w14:solidFill>
          </w14:textFill>
        </w:rPr>
        <w:br w:type="page" w:clear="all"/>
      </w:r>
      <w:bookmarkStart w:id="160" w:name="_Toc504573088"/>
      <w:r/>
      <w:bookmarkEnd w:id="160"/>
      <w:r/>
      <w:bookmarkStart w:id="161" w:name="_Toc504056873"/>
      <w:r/>
      <w:bookmarkEnd w:id="161"/>
      <w:r/>
      <w:bookmarkStart w:id="162" w:name="_Toc490133033"/>
      <w:r/>
      <w:bookmarkEnd w:id="162"/>
      <w:r/>
      <w:bookmarkStart w:id="163" w:name="_Toc504044385"/>
      <w:r/>
      <w:bookmarkEnd w:id="163"/>
      <w:r/>
      <w:bookmarkStart w:id="164" w:name="_Toc504056874"/>
      <w:r/>
      <w:bookmarkStart w:id="165" w:name="_Toc504573089"/>
      <w:r/>
      <w:bookmarkStart w:id="166" w:name="_Toc504044386"/>
      <w:r/>
      <w:bookmarkStart w:id="167" w:name="_Toc490133034"/>
      <w:r/>
      <w:bookmarkStart w:id="168" w:name="_Toc534273806"/>
      <w:r/>
      <w:bookmarkStart w:id="169" w:name="_Toc534273683"/>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七、</w:t>
      </w:r>
      <w:r>
        <w:rPr>
          <w:rFonts w:hint="eastAsia" w:ascii="仿宋" w:hAnsi="仿宋" w:eastAsia="仿宋" w:cs="仿宋"/>
          <w:b/>
          <w:color w:val="000000" w:themeColor="text1"/>
          <w:sz w:val="24"/>
          <w:szCs w:val="24"/>
          <w14:textFill>
            <w14:solidFill>
              <w14:schemeClr w14:val="tx1"/>
            </w14:solidFill>
          </w14:textFill>
        </w:rPr>
        <w:t xml:space="preserve">实质性要求响应及偏离表</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实质性要求响应及偏离表</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rPr>
          <w:rFonts w:hint="eastAsia" w:ascii="仿宋" w:hAnsi="仿宋" w:eastAsia="仿宋" w:cs="仿宋"/>
          <w:color w:val="000000" w:themeColor="text1"/>
          <w:szCs w:val="21"/>
          <w:lang w:eastAsia="zh-CN"/>
          <w14:textFill>
            <w14:solidFill>
              <w14:schemeClr w14:val="tx1"/>
            </w14:solidFill>
          </w14:textFill>
        </w:rPr>
        <w:t xml:space="preserve">2026年度江宁区第十二届公益创投项目</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项目编号：</w:t>
      </w:r>
      <w:r>
        <w:rPr>
          <w:rFonts w:hint="eastAsia" w:ascii="仿宋" w:hAnsi="仿宋" w:eastAsia="仿宋" w:cs="仿宋"/>
          <w:color w:val="000000" w:themeColor="text1"/>
          <w:szCs w:val="21"/>
          <w:lang w:eastAsia="zh-CN"/>
          <w14:textFill>
            <w14:solidFill>
              <w14:schemeClr w14:val="tx1"/>
            </w14:solidFill>
          </w14:textFill>
        </w:rPr>
        <w:t xml:space="preserve">JSZC-320115-ZJDL-G2026-0001</w:t>
      </w:r>
      <w:r/>
    </w:p>
    <w:p>
      <w:pPr>
        <w:ind w:left="0" w:firstLine="42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分包号：</w:t>
      </w:r>
      <w:r/>
    </w:p>
    <w:tbl>
      <w:tblPr>
        <w:tblStyle w:val="68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仿宋" w:hAnsi="仿宋" w:eastAsia="仿宋" w:cs="仿宋"/>
                <w:b/>
                <w:bCs/>
                <w:color w:val="000000" w:themeColor="text1"/>
                <w:szCs w:val="21"/>
                <w14:textFill>
                  <w14:solidFill>
                    <w14:schemeClr w14:val="tx1"/>
                  </w14:solidFill>
                </w14:textFill>
              </w:rPr>
              <w:t xml:space="preserve">招标文件（含技术要求和商务要求）中的实质性要求（斜体且有下划线部分或加*号条款）</w:t>
            </w:r>
            <w:r/>
          </w:p>
        </w:tc>
        <w:tc>
          <w:tcPr>
            <w:tcW w:w="3317" w:type="dxa"/>
            <w:vAlign w:val="center"/>
            <w:textDirection w:val="lrTb"/>
            <w:noWrap w:val="false"/>
          </w:tcPr>
          <w:p>
            <w:pPr>
              <w:jc w:val="center"/>
              <w:spacing w:line="4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投标响应情况</w:t>
            </w:r>
            <w:r/>
          </w:p>
        </w:tc>
        <w:tc>
          <w:tcPr>
            <w:tcW w:w="1526" w:type="dxa"/>
            <w:vAlign w:val="center"/>
            <w:textDirection w:val="lrTb"/>
            <w:noWrap w:val="false"/>
          </w:tcPr>
          <w:p>
            <w:pPr>
              <w:jc w:val="center"/>
              <w:spacing w:line="4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附件</w:t>
      </w:r>
      <w:r>
        <w:rPr>
          <w:rFonts w:hint="eastAsia" w:ascii="仿宋" w:hAnsi="仿宋" w:eastAsia="仿宋" w:cs="仿宋"/>
          <w:color w:val="000000" w:themeColor="text1"/>
          <w:szCs w:val="21"/>
          <w:lang w:val="en-US" w:eastAsia="zh-CN"/>
          <w14:textFill>
            <w14:solidFill>
              <w14:schemeClr w14:val="tx1"/>
            </w14:solidFill>
          </w14:textFill>
        </w:rPr>
        <w:t xml:space="preserve">7</w:t>
      </w:r>
      <w:r>
        <w:rPr>
          <w:rFonts w:hint="eastAsia" w:ascii="仿宋" w:hAnsi="仿宋" w:eastAsia="仿宋" w:cs="仿宋"/>
          <w:color w:val="000000" w:themeColor="text1"/>
          <w:szCs w:val="21"/>
          <w14:textFill>
            <w14:solidFill>
              <w14:schemeClr w14:val="tx1"/>
            </w14:solidFill>
          </w14:textFill>
        </w:rPr>
        <w:t xml:space="preserve">-1 证明材料1，证明材料2，……</w:t>
      </w:r>
      <w:r/>
    </w:p>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备注：</w:t>
      </w:r>
      <w:r/>
    </w:p>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1.投标人必须对招标文件（含技术要求和商务要求）中的实质性要求（斜体且有下划线部分或加*号条款）逐条做出明确响应。</w:t>
      </w:r>
      <w:r/>
    </w:p>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2.如果招标文件要求提供证明材料，投标人必须将证明材料列于该表之下。</w:t>
      </w:r>
      <w:r/>
    </w:p>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sectPr>
          <w:footnotePr/>
          <w:endnotePr/>
          <w:type w:val="nextPage"/>
          <w:pgSz w:w="11906" w:h="16838" w:orient="portrait"/>
          <w:pgMar w:top="1418" w:right="1418" w:bottom="1418" w:left="1418" w:header="851" w:footer="992" w:gutter="0"/>
          <w:cols w:num="1" w:sep="0" w:space="425" w:equalWidth="1"/>
          <w:docGrid w:linePitch="360"/>
        </w:sectPr>
      </w:pPr>
      <w:r>
        <w:rPr>
          <w:rFonts w:hint="eastAsia" w:ascii="仿宋" w:hAnsi="仿宋" w:eastAsia="仿宋" w:cs="仿宋"/>
          <w:color w:val="000000" w:themeColor="text1"/>
          <w:szCs w:val="21"/>
          <w14:textFill>
            <w14:solidFill>
              <w14:schemeClr w14:val="tx1"/>
            </w14:solidFill>
          </w14:textFill>
        </w:rPr>
        <w:t xml:space="preserve">3.投标人未对实质性要求逐条作出明确响应的，或未按招标文件要求提供证明材料的，该采购包作无效投标处理。</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八</w:t>
      </w:r>
      <w:r>
        <w:rPr>
          <w:rFonts w:hint="eastAsia" w:ascii="仿宋" w:hAnsi="仿宋" w:eastAsia="仿宋" w:cs="仿宋"/>
          <w:b/>
          <w:color w:val="000000" w:themeColor="text1"/>
          <w:sz w:val="24"/>
          <w:szCs w:val="24"/>
          <w14:textFill>
            <w14:solidFill>
              <w14:schemeClr w14:val="tx1"/>
            </w14:solidFill>
          </w14:textFill>
        </w:rPr>
        <w:t xml:space="preserve">、拟参与本项目人员一览表</w:t>
      </w:r>
      <w:bookmarkEnd w:id="164"/>
      <w:r/>
      <w:bookmarkEnd w:id="165"/>
      <w:r/>
      <w:bookmarkEnd w:id="166"/>
      <w:r/>
      <w:bookmarkEnd w:id="167"/>
      <w:r/>
      <w:bookmarkEnd w:id="168"/>
      <w:r/>
      <w:bookmarkEnd w:id="169"/>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拟参与本项目服务人员一览表</w:t>
      </w:r>
      <w:r/>
    </w:p>
    <w:p>
      <w:pPr>
        <w:ind w:left="0" w:firstLine="422"/>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rPr>
          <w:rFonts w:hint="eastAsia" w:ascii="仿宋" w:hAnsi="仿宋" w:eastAsia="仿宋" w:cs="仿宋"/>
          <w:color w:val="000000" w:themeColor="text1"/>
          <w:szCs w:val="21"/>
          <w:lang w:eastAsia="zh-CN"/>
          <w14:textFill>
            <w14:solidFill>
              <w14:schemeClr w14:val="tx1"/>
            </w14:solidFill>
          </w14:textFill>
        </w:rPr>
        <w:t xml:space="preserve">2026年度江宁区第十二届公益创投项目</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项目编号：</w:t>
      </w:r>
      <w:r>
        <w:rPr>
          <w:rFonts w:hint="eastAsia" w:ascii="仿宋" w:hAnsi="仿宋" w:eastAsia="仿宋" w:cs="仿宋"/>
          <w:color w:val="000000" w:themeColor="text1"/>
          <w:szCs w:val="21"/>
          <w:lang w:eastAsia="zh-CN"/>
          <w14:textFill>
            <w14:solidFill>
              <w14:schemeClr w14:val="tx1"/>
            </w14:solidFill>
          </w14:textFill>
        </w:rPr>
        <w:t xml:space="preserve">JSZC-320115-ZJDL-G2026-0001</w:t>
      </w:r>
      <w:r/>
    </w:p>
    <w:p>
      <w:pPr>
        <w:ind w:left="0" w:firstLine="42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分包号：</w:t>
      </w:r>
      <w:r/>
    </w:p>
    <w:tbl>
      <w:tblPr>
        <w:tblStyle w:val="688"/>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ind w:left="0" w:firstLine="422"/>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注：1、按</w:t>
      </w:r>
      <w:r>
        <w:rPr>
          <w:rFonts w:hint="eastAsia" w:ascii="仿宋" w:hAnsi="仿宋" w:eastAsia="仿宋" w:cs="仿宋"/>
          <w:color w:val="000000" w:themeColor="text1"/>
          <w:sz w:val="24"/>
          <w:szCs w:val="24"/>
          <w:lang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文件要求及评审标准的要求，提供人员证书等，附后。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2、“备注”栏，可填写该人员擅长的工程（或工作）种类；</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3、如果行数不够，请自行增加。</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供应商（盖章）:</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法定代表人或其授权代表（签字）：</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bookmarkStart w:id="170" w:name="_Toc504044387"/>
      <w:r/>
      <w:bookmarkStart w:id="171" w:name="_Toc534273684"/>
      <w:r/>
      <w:bookmarkStart w:id="172" w:name="_Toc504573090"/>
      <w:r/>
      <w:bookmarkStart w:id="173" w:name="_Toc504056875"/>
      <w:r/>
      <w:bookmarkStart w:id="174" w:name="_Toc490133035"/>
      <w:r/>
      <w:bookmarkStart w:id="175" w:name="_Toc534273807"/>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九</w:t>
      </w:r>
      <w:r>
        <w:rPr>
          <w:rFonts w:hint="eastAsia" w:ascii="仿宋" w:hAnsi="仿宋" w:eastAsia="仿宋" w:cs="仿宋"/>
          <w:b/>
          <w:color w:val="000000" w:themeColor="text1"/>
          <w:sz w:val="24"/>
          <w:szCs w:val="24"/>
          <w14:textFill>
            <w14:solidFill>
              <w14:schemeClr w14:val="tx1"/>
            </w14:solidFill>
          </w14:textFill>
        </w:rPr>
        <w:t xml:space="preserve">、供应商业绩情况表</w:t>
      </w:r>
      <w:bookmarkEnd w:id="170"/>
      <w:r/>
      <w:bookmarkEnd w:id="171"/>
      <w:r/>
      <w:bookmarkEnd w:id="172"/>
      <w:r/>
      <w:bookmarkEnd w:id="173"/>
      <w:r/>
      <w:bookmarkEnd w:id="174"/>
      <w:r/>
      <w:bookmarkEnd w:id="175"/>
      <w:r>
        <w:rPr>
          <w:rFonts w:hint="eastAsia" w:ascii="仿宋" w:hAnsi="仿宋" w:eastAsia="仿宋" w:cs="仿宋"/>
          <w:b/>
          <w:bCs/>
          <w:color w:val="000000" w:themeColor="text1"/>
          <w:sz w:val="24"/>
          <w:szCs w:val="24"/>
          <w14:textFill>
            <w14:solidFill>
              <w14:schemeClr w14:val="tx1"/>
            </w14:solidFill>
          </w14:textFill>
        </w:rPr>
        <w:t xml:space="preserve">（及证明材料）</w:t>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业绩情况表</w:t>
      </w:r>
      <w:r/>
    </w:p>
    <w:tbl>
      <w:tblPr>
        <w:tblStyle w:val="688"/>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注：按</w:t>
      </w:r>
      <w:r>
        <w:rPr>
          <w:rFonts w:hint="eastAsia" w:ascii="仿宋" w:hAnsi="仿宋" w:eastAsia="仿宋" w:cs="仿宋"/>
          <w:color w:val="000000" w:themeColor="text1"/>
          <w:sz w:val="24"/>
          <w:szCs w:val="24"/>
          <w:lang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文件要求及评审标准的要求，提供业绩证明材料等，附后。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供应商（盖章）：</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授权代表（签字）：</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both"/>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bookmarkStart w:id="176" w:name="_Toc504056877"/>
      <w:r/>
      <w:bookmarkStart w:id="177" w:name="_Toc534273809"/>
      <w:r/>
      <w:bookmarkStart w:id="178" w:name="_Toc504044389"/>
      <w:r/>
      <w:bookmarkStart w:id="179" w:name="_Toc8704"/>
      <w:r/>
      <w:bookmarkStart w:id="180" w:name="_Toc504573092"/>
      <w:r/>
      <w:bookmarkStart w:id="181" w:name="_Toc534273686"/>
      <w:r/>
      <w:bookmarkStart w:id="182" w:name="_Toc490133037"/>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十</w:t>
      </w:r>
      <w:r>
        <w:rPr>
          <w:rFonts w:hint="eastAsia" w:ascii="仿宋" w:hAnsi="仿宋" w:eastAsia="仿宋" w:cs="仿宋"/>
          <w:b/>
          <w:color w:val="000000" w:themeColor="text1"/>
          <w:sz w:val="24"/>
          <w:szCs w:val="24"/>
          <w14:textFill>
            <w14:solidFill>
              <w14:schemeClr w14:val="tx1"/>
            </w14:solidFill>
          </w14:textFill>
        </w:rPr>
        <w:t xml:space="preserve">、无重大违法记录声明格式</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center"/>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无重大违法记录声明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致：</w:t>
      </w:r>
      <w:r>
        <w:rPr>
          <w:rFonts w:hint="eastAsia" w:ascii="仿宋" w:hAnsi="仿宋" w:eastAsia="仿宋" w:cs="仿宋"/>
          <w:color w:val="000000" w:themeColor="text1"/>
          <w:sz w:val="24"/>
          <w:szCs w:val="24"/>
          <w:lang w:eastAsia="zh-CN"/>
          <w14:textFill>
            <w14:solidFill>
              <w14:schemeClr w14:val="tx1"/>
            </w14:solidFill>
          </w14:textFill>
        </w:rPr>
        <w:t xml:space="preserve">南京市江宁区民政局</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江苏中嘉招投标代理有限公司</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我单位（供应商名称）宣布声明和承诺如下：</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我单位参加本次采购活动前3年内在经营活动中</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b/>
          <w:i/>
          <w:color w:val="000000" w:themeColor="text1"/>
          <w:sz w:val="24"/>
          <w:szCs w:val="24"/>
          <w:u w:val="single"/>
          <w14:textFill>
            <w14:solidFill>
              <w14:schemeClr w14:val="tx1"/>
            </w14:solidFill>
          </w14:textFill>
        </w:rPr>
        <w:t xml:space="preserve">在下划线上如实填写：有或没有</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重大违法记录，且不是失信被执行人、重大税收违法案件当事人名单、政府采购严重违法失信行为记录名单的供应商。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声明人：（公章）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w:t>
      </w:r>
      <w:bookmarkEnd w:id="176"/>
      <w:r/>
      <w:bookmarkEnd w:id="177"/>
      <w:r/>
      <w:bookmarkEnd w:id="178"/>
      <w:r/>
      <w:bookmarkEnd w:id="179"/>
      <w:r/>
      <w:bookmarkEnd w:id="180"/>
      <w:r/>
      <w:bookmarkEnd w:id="181"/>
      <w:r/>
      <w:bookmarkEnd w:id="182"/>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附件十</w:t>
      </w:r>
      <w:r>
        <w:rPr>
          <w:rFonts w:hint="eastAsia" w:ascii="仿宋" w:hAnsi="仿宋" w:eastAsia="仿宋" w:cs="仿宋"/>
          <w:b/>
          <w:color w:val="000000" w:themeColor="text1"/>
          <w:sz w:val="24"/>
          <w:szCs w:val="24"/>
          <w:lang w:val="en-US" w:eastAsia="zh-CN"/>
          <w14:textFill>
            <w14:solidFill>
              <w14:schemeClr w14:val="tx1"/>
            </w14:solidFill>
          </w14:textFill>
        </w:rPr>
        <w:t xml:space="preserve">一</w:t>
      </w:r>
      <w:r>
        <w:rPr>
          <w:rFonts w:hint="eastAsia" w:ascii="仿宋" w:hAnsi="仿宋" w:eastAsia="仿宋" w:cs="仿宋"/>
          <w:b/>
          <w:color w:val="000000" w:themeColor="text1"/>
          <w:sz w:val="24"/>
          <w:szCs w:val="24"/>
          <w14:textFill>
            <w14:solidFill>
              <w14:schemeClr w14:val="tx1"/>
            </w14:solidFill>
          </w14:textFill>
        </w:rPr>
        <w:t xml:space="preserve">、资格资信证明文件</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附件十</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技术说明或服务方案（根据文件要求自行编制）</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附件十</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14:textFill>
            <w14:solidFill>
              <w14:schemeClr w14:val="tx1"/>
            </w14:solidFill>
          </w14:textFill>
        </w:rPr>
        <w:t xml:space="preserve">：《南京市政府采购供应商信用记录表暨信用承诺书》</w:t>
      </w:r>
      <w:r/>
    </w:p>
    <w:p>
      <w:pPr>
        <w:ind w:left="0" w:firstLine="42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474980</wp:posOffset>
                </wp:positionV>
                <wp:extent cx="5274310" cy="5819775"/>
                <wp:effectExtent l="0" t="0" r="2540" b="952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rcRect l="0" t="13206" r="0" b="8661"/>
                        <a:stretch/>
                      </pic:blipFill>
                      <pic:spPr bwMode="auto">
                        <a:xfrm>
                          <a:off x="0" y="0"/>
                          <a:ext cx="5274310" cy="581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2pt;mso-position-horizontal:absolute;mso-position-vertical-relative:text;margin-top:37.4pt;mso-position-vertical:absolute;width:415.3pt;height:458.2pt;mso-wrap-distance-left:9.0pt;mso-wrap-distance-top:0.0pt;mso-wrap-distance-right:9.0pt;mso-wrap-distance-bottom:0.0pt;" stroked="f">
                <v:path textboxrect="0,0,0,0"/>
                <w10:wrap type="topAndBottom"/>
                <v:imagedata r:id="rId12" o:title=""/>
              </v:shape>
            </w:pict>
          </mc:Fallback>
        </mc:AlternateContent>
      </w:r>
      <w:r>
        <w:rPr>
          <w:rFonts w:hint="eastAsia" w:ascii="仿宋" w:hAnsi="仿宋" w:eastAsia="仿宋" w:cs="仿宋"/>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5759450" cy="712660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rcRect l="0" t="12427" r="0" b="0"/>
                        <a:stretch/>
                      </pic:blipFill>
                      <pic:spPr bwMode="auto">
                        <a:xfrm>
                          <a:off x="0" y="0"/>
                          <a:ext cx="5759450" cy="712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5pt;height:561.1pt;mso-wrap-distance-left:0.0pt;mso-wrap-distance-top:0.0pt;mso-wrap-distance-right:0.0pt;mso-wrap-distance-bottom:0.0pt;" stroked="f">
                <v:path textboxrect="0,0,0,0"/>
                <v:imagedata r:id="rId13" o:title=""/>
              </v:shape>
            </w:pict>
          </mc:Fallback>
        </mc:AlternateConten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ind w:left="0" w:firstLine="482"/>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附件十</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14:textFill>
            <w14:solidFill>
              <w14:schemeClr w14:val="tx1"/>
            </w14:solidFill>
          </w14:textFill>
        </w:rPr>
        <w:t xml:space="preserve">、项目申报书（模板）</w:t>
      </w:r>
      <w:r/>
    </w:p>
    <w:p>
      <w:pPr>
        <w:ind w:left="0" w:firstLine="1044"/>
        <w:jc w:val="left"/>
        <w:keepLines w:val="0"/>
        <w:pageBreakBefore w:val="0"/>
        <w:spacing w:line="520" w:lineRule="exact"/>
        <w:rPr>
          <w:rFonts w:hint="eastAsia" w:ascii="仿宋" w:hAnsi="仿宋" w:eastAsia="仿宋" w:cs="仿宋"/>
          <w:b/>
          <w:bCs/>
          <w:color w:val="000000" w:themeColor="text1"/>
          <w:sz w:val="52"/>
          <w:szCs w:val="52"/>
          <w14:textFill>
            <w14:solidFill>
              <w14:schemeClr w14:val="tx1"/>
            </w14:solidFill>
          </w14:textFill>
        </w:rPr>
      </w:pPr>
      <w:r>
        <w:rPr>
          <w:rFonts w:hint="eastAsia" w:ascii="仿宋" w:hAnsi="仿宋" w:eastAsia="仿宋" w:cs="仿宋"/>
          <w:b/>
          <w:bCs/>
          <w:color w:val="000000" w:themeColor="text1"/>
          <w:sz w:val="52"/>
          <w:szCs w:val="52"/>
          <w14:textFill>
            <w14:solidFill>
              <w14:schemeClr w14:val="tx1"/>
            </w14:solidFill>
          </w14:textFill>
        </w:rPr>
      </w:r>
      <w:r/>
    </w:p>
    <w:p>
      <w:pPr>
        <w:ind w:left="0" w:firstLine="883"/>
        <w:jc w:val="left"/>
        <w:keepLines w:val="0"/>
        <w:pageBreakBefore w:val="0"/>
        <w:spacing w:line="520" w:lineRule="exact"/>
        <w:widowControl/>
        <w:rPr>
          <w:rFonts w:hint="eastAsia" w:ascii="方正公文小标宋" w:hAnsi="方正公文小标宋" w:eastAsia="方正公文小标宋" w:cs="方正公文小标宋"/>
          <w:b/>
          <w:sz w:val="44"/>
          <w:szCs w:val="44"/>
          <w:highlight w:val="none"/>
          <w:lang w:eastAsia="zh-CN"/>
        </w:rPr>
      </w:pPr>
      <w:r>
        <w:rPr>
          <w:rFonts w:hint="eastAsia" w:ascii="方正公文小标宋" w:hAnsi="方正公文小标宋" w:eastAsia="方正公文小标宋" w:cs="方正公文小标宋"/>
          <w:b/>
          <w:sz w:val="44"/>
          <w:szCs w:val="44"/>
          <w:highlight w:val="none"/>
          <w:lang w:eastAsia="zh-CN"/>
        </w:rPr>
      </w:r>
      <w:r/>
    </w:p>
    <w:p>
      <w:pPr>
        <w:ind w:left="0" w:firstLine="883"/>
        <w:jc w:val="left"/>
        <w:keepLines w:val="0"/>
        <w:pageBreakBefore w:val="0"/>
        <w:spacing w:line="520" w:lineRule="exact"/>
        <w:widowControl/>
        <w:rPr>
          <w:rFonts w:hint="eastAsia" w:ascii="方正公文小标宋" w:hAnsi="方正公文小标宋" w:eastAsia="方正公文小标宋" w:cs="方正公文小标宋"/>
          <w:b/>
          <w:sz w:val="44"/>
          <w:szCs w:val="44"/>
          <w:highlight w:val="none"/>
          <w:lang w:eastAsia="zh-CN"/>
        </w:rPr>
      </w:pPr>
      <w:r>
        <w:rPr>
          <w:rFonts w:hint="eastAsia" w:ascii="方正公文小标宋" w:hAnsi="方正公文小标宋" w:eastAsia="方正公文小标宋" w:cs="方正公文小标宋"/>
          <w:b/>
          <w:sz w:val="44"/>
          <w:szCs w:val="44"/>
          <w:highlight w:val="none"/>
          <w:lang w:eastAsia="zh-CN"/>
        </w:rPr>
      </w:r>
      <w:r/>
    </w:p>
    <w:p>
      <w:pPr>
        <w:ind w:left="0" w:firstLine="883"/>
        <w:jc w:val="center"/>
        <w:keepLines w:val="0"/>
        <w:pageBreakBefore w:val="0"/>
        <w:spacing w:line="520" w:lineRule="exact"/>
        <w:widowControl/>
        <w:rPr>
          <w:rFonts w:hint="eastAsia" w:ascii="方正公文小标宋" w:hAnsi="方正公文小标宋" w:eastAsia="方正公文小标宋" w:cs="方正公文小标宋"/>
          <w:b/>
          <w:sz w:val="44"/>
          <w:szCs w:val="44"/>
          <w:highlight w:val="none"/>
          <w:lang w:eastAsia="zh-CN"/>
        </w:rPr>
      </w:pPr>
      <w:r>
        <w:rPr>
          <w:rFonts w:hint="eastAsia" w:ascii="方正公文小标宋" w:hAnsi="方正公文小标宋" w:eastAsia="方正公文小标宋" w:cs="方正公文小标宋"/>
          <w:b/>
          <w:sz w:val="44"/>
          <w:szCs w:val="44"/>
          <w:highlight w:val="none"/>
          <w:lang w:val="en-US" w:eastAsia="zh-CN"/>
        </w:rPr>
        <w:t xml:space="preserve">202</w:t>
      </w:r>
      <w:r>
        <w:rPr>
          <w:rFonts w:hint="eastAsia" w:ascii="方正公文小标宋" w:hAnsi="方正公文小标宋" w:eastAsia="方正公文小标宋" w:cs="方正公文小标宋"/>
          <w:b/>
          <w:sz w:val="48"/>
          <w:szCs w:val="48"/>
          <w:highlight w:val="none"/>
          <w:lang w:val="en-US" w:eastAsia="zh-CN"/>
        </w:rPr>
        <w:t xml:space="preserve">6</w:t>
      </w:r>
      <w:r>
        <w:rPr>
          <w:rFonts w:hint="eastAsia" w:ascii="方正公文小标宋" w:hAnsi="方正公文小标宋" w:eastAsia="方正公文小标宋" w:cs="方正公文小标宋"/>
          <w:b/>
          <w:sz w:val="44"/>
          <w:szCs w:val="44"/>
          <w:highlight w:val="none"/>
          <w:lang w:val="en-US" w:eastAsia="zh-CN"/>
        </w:rPr>
        <w:t xml:space="preserve">年度</w:t>
      </w:r>
      <w:r>
        <w:rPr>
          <w:rFonts w:hint="eastAsia" w:ascii="方正公文小标宋" w:hAnsi="方正公文小标宋" w:eastAsia="方正公文小标宋" w:cs="方正公文小标宋"/>
          <w:b/>
          <w:sz w:val="44"/>
          <w:szCs w:val="44"/>
          <w:highlight w:val="none"/>
          <w:lang w:eastAsia="zh-CN"/>
        </w:rPr>
        <w:t xml:space="preserve">江宁区第</w:t>
      </w:r>
      <w:r>
        <w:rPr>
          <w:rFonts w:hint="eastAsia" w:ascii="方正公文小标宋" w:hAnsi="方正公文小标宋" w:eastAsia="方正公文小标宋" w:cs="方正公文小标宋"/>
          <w:b/>
          <w:sz w:val="44"/>
          <w:szCs w:val="44"/>
          <w:highlight w:val="none"/>
          <w:lang w:val="en-US" w:eastAsia="zh-CN"/>
        </w:rPr>
        <w:t xml:space="preserve">十二</w:t>
      </w:r>
      <w:r>
        <w:rPr>
          <w:rFonts w:hint="eastAsia" w:ascii="方正公文小标宋" w:hAnsi="方正公文小标宋" w:eastAsia="方正公文小标宋" w:cs="方正公文小标宋"/>
          <w:b/>
          <w:sz w:val="44"/>
          <w:szCs w:val="44"/>
          <w:highlight w:val="none"/>
          <w:lang w:eastAsia="zh-CN"/>
        </w:rPr>
        <w:t xml:space="preserve">届公益创投</w:t>
      </w:r>
      <w:r/>
    </w:p>
    <w:p>
      <w:pPr>
        <w:ind w:left="0" w:firstLine="883"/>
        <w:jc w:val="center"/>
        <w:keepLines w:val="0"/>
        <w:pageBreakBefore w:val="0"/>
        <w:spacing w:line="520" w:lineRule="exact"/>
        <w:widowControl/>
        <w:rPr>
          <w:rFonts w:hint="eastAsia" w:ascii="方正公文小标宋" w:hAnsi="方正公文小标宋" w:eastAsia="方正公文小标宋" w:cs="方正公文小标宋"/>
          <w:b/>
          <w:sz w:val="44"/>
          <w:szCs w:val="44"/>
          <w:highlight w:val="none"/>
        </w:rPr>
      </w:pPr>
      <w:r>
        <w:rPr>
          <w:rFonts w:hint="eastAsia" w:ascii="方正公文小标宋" w:hAnsi="方正公文小标宋" w:eastAsia="方正公文小标宋" w:cs="方正公文小标宋"/>
          <w:b/>
          <w:sz w:val="44"/>
          <w:szCs w:val="44"/>
          <w:highlight w:val="none"/>
          <w:lang w:eastAsia="zh-CN"/>
        </w:rPr>
        <w:t xml:space="preserve">项目</w:t>
      </w:r>
      <w:r>
        <w:rPr>
          <w:rFonts w:hint="eastAsia" w:ascii="方正公文小标宋" w:hAnsi="方正公文小标宋" w:eastAsia="方正公文小标宋" w:cs="方正公文小标宋"/>
          <w:b/>
          <w:sz w:val="44"/>
          <w:szCs w:val="44"/>
          <w:highlight w:val="none"/>
        </w:rPr>
        <w:t xml:space="preserve">申报书</w:t>
      </w:r>
      <w:r/>
    </w:p>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0" w:firstLine="480"/>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jc w:val="left"/>
        <w:keepLines w:val="0"/>
        <w:pageBreakBefore w:val="0"/>
        <w:spacing w:line="60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分包</w:t>
      </w:r>
      <w:r>
        <w:rPr>
          <w:rFonts w:hint="eastAsia" w:ascii="仿宋" w:hAnsi="仿宋" w:eastAsia="仿宋" w:cs="仿宋"/>
          <w:sz w:val="24"/>
          <w:szCs w:val="24"/>
          <w:highlight w:val="none"/>
        </w:rPr>
        <w:t xml:space="preserve">号：</w:t>
      </w:r>
      <w:r/>
    </w:p>
    <w:p>
      <w:pPr>
        <w:ind w:firstLine="480"/>
        <w:jc w:val="left"/>
        <w:keepLines w:val="0"/>
        <w:pageBreakBefore w:val="0"/>
        <w:spacing w:line="60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自拟</w:t>
      </w:r>
      <w:r>
        <w:rPr>
          <w:rFonts w:hint="eastAsia" w:ascii="仿宋" w:hAnsi="仿宋" w:eastAsia="仿宋" w:cs="仿宋"/>
          <w:sz w:val="24"/>
          <w:szCs w:val="24"/>
          <w:highlight w:val="none"/>
          <w:lang w:eastAsia="zh-CN"/>
        </w:rPr>
        <w:t xml:space="preserve">）</w:t>
      </w:r>
      <w:r/>
    </w:p>
    <w:p>
      <w:pPr>
        <w:ind w:firstLine="480"/>
        <w:jc w:val="left"/>
        <w:keepLines w:val="0"/>
        <w:pageBreakBefore w:val="0"/>
        <w:spacing w:line="60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申报单位</w:t>
      </w:r>
      <w:r>
        <w:rPr>
          <w:rFonts w:hint="eastAsia" w:ascii="仿宋" w:hAnsi="仿宋" w:eastAsia="仿宋" w:cs="仿宋"/>
          <w:sz w:val="24"/>
          <w:szCs w:val="24"/>
          <w:highlight w:val="none"/>
          <w:lang w:eastAsia="zh-CN"/>
        </w:rPr>
        <w:t xml:space="preserve">：</w:t>
      </w:r>
      <w:r/>
    </w:p>
    <w:p>
      <w:pPr>
        <w:ind w:firstLine="480"/>
        <w:jc w:val="left"/>
        <w:keepLines w:val="0"/>
        <w:pageBreakBefore w:val="0"/>
        <w:spacing w:line="60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填表日期：</w:t>
      </w:r>
      <w:r/>
    </w:p>
    <w:p>
      <w:pPr>
        <w:ind w:left="0" w:firstLine="480"/>
        <w:jc w:val="left"/>
        <w:keepLines w:val="0"/>
        <w:pageBreakBefore w:val="0"/>
        <w:spacing w:line="520" w:lineRule="exact"/>
        <w:widowControl/>
        <w:tabs>
          <w:tab w:val="left" w:pos="291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0" w:firstLine="482"/>
        <w:jc w:val="left"/>
        <w:keepLines w:val="0"/>
        <w:pageBreakBefore w:val="0"/>
        <w:spacing w:line="520" w:lineRule="exact"/>
        <w:widowControl/>
        <w:tabs>
          <w:tab w:val="left" w:pos="2910" w:leader="none"/>
        </w:tabs>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r>
      <w:r/>
    </w:p>
    <w:p>
      <w:pPr>
        <w:jc w:val="left"/>
        <w:keepLines w:val="0"/>
        <w:pageBreakBefore w:val="0"/>
        <w:spacing w:line="520" w:lineRule="exact"/>
        <w:widowControl/>
        <w:tabs>
          <w:tab w:val="left" w:pos="2910" w:leader="none"/>
        </w:tabs>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r>
      <w:r/>
    </w:p>
    <w:p>
      <w:pPr>
        <w:ind w:left="0" w:firstLine="482"/>
        <w:jc w:val="center"/>
        <w:keepLines w:val="0"/>
        <w:pageBreakBefore w:val="0"/>
        <w:spacing w:line="520" w:lineRule="exact"/>
        <w:widowControl/>
        <w:tabs>
          <w:tab w:val="left" w:pos="2910" w:leader="none"/>
        </w:tabs>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r>
      <w:r/>
    </w:p>
    <w:p>
      <w:pPr>
        <w:ind w:left="0" w:firstLine="482"/>
        <w:jc w:val="center"/>
        <w:keepLines w:val="0"/>
        <w:pageBreakBefore w:val="0"/>
        <w:spacing w:line="520" w:lineRule="exact"/>
        <w:widowControl/>
        <w:tabs>
          <w:tab w:val="left" w:pos="2910" w:leader="none"/>
        </w:tabs>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r>
      <w:r/>
    </w:p>
    <w:p>
      <w:pPr>
        <w:ind w:left="0" w:firstLine="482"/>
        <w:jc w:val="center"/>
        <w:keepLines w:val="0"/>
        <w:pageBreakBefore w:val="0"/>
        <w:spacing w:line="520" w:lineRule="exact"/>
        <w:widowControl/>
        <w:tabs>
          <w:tab w:val="left" w:pos="2910" w:leader="none"/>
        </w:tabs>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r>
      <w:r/>
    </w:p>
    <w:p>
      <w:pPr>
        <w:ind w:left="0" w:firstLine="482"/>
        <w:jc w:val="center"/>
        <w:keepLines w:val="0"/>
        <w:pageBreakBefore w:val="0"/>
        <w:spacing w:line="520" w:lineRule="exact"/>
        <w:widowControl/>
        <w:tabs>
          <w:tab w:val="left" w:pos="2910" w:leader="none"/>
        </w:tabs>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r>
      <w:r/>
    </w:p>
    <w:p>
      <w:pPr>
        <w:ind w:left="0" w:firstLine="482"/>
        <w:jc w:val="center"/>
        <w:keepLines w:val="0"/>
        <w:pageBreakBefore w:val="0"/>
        <w:spacing w:line="520" w:lineRule="exact"/>
        <w:widowControl/>
        <w:tabs>
          <w:tab w:val="left" w:pos="2910" w:leader="none"/>
        </w:tabs>
        <w:rPr>
          <w:rFonts w:hint="eastAsia" w:ascii="仿宋" w:hAnsi="仿宋" w:eastAsia="仿宋" w:cs="仿宋"/>
          <w:b/>
          <w:sz w:val="24"/>
          <w:szCs w:val="24"/>
          <w:highlight w:val="none"/>
        </w:rPr>
        <w:sectPr>
          <w:footnotePr/>
          <w:endnotePr/>
          <w:type w:val="nextPage"/>
          <w:pgSz w:w="11906" w:h="16838" w:orient="portrait"/>
          <w:pgMar w:top="1418" w:right="1418" w:bottom="1418" w:left="1418" w:header="851" w:footer="992" w:gutter="0"/>
          <w:cols w:num="1" w:sep="0" w:space="425" w:equalWidth="1"/>
          <w:docGrid w:linePitch="360"/>
        </w:sectPr>
      </w:pPr>
      <w:r>
        <w:rPr>
          <w:rFonts w:hint="eastAsia" w:ascii="仿宋" w:hAnsi="仿宋" w:eastAsia="仿宋" w:cs="仿宋"/>
          <w:b/>
          <w:sz w:val="24"/>
          <w:szCs w:val="24"/>
          <w:highlight w:val="none"/>
          <w:lang w:eastAsia="zh-CN"/>
        </w:rPr>
        <w:t xml:space="preserve">南京市江宁区民政局</w:t>
      </w:r>
      <w:r>
        <w:rPr>
          <w:rFonts w:hint="eastAsia" w:ascii="仿宋" w:hAnsi="仿宋" w:eastAsia="仿宋" w:cs="仿宋"/>
          <w:b/>
          <w:sz w:val="24"/>
          <w:szCs w:val="24"/>
          <w:highlight w:val="none"/>
        </w:rPr>
        <w:t xml:space="preserve">（监制）</w:t>
      </w:r>
      <w:r/>
    </w:p>
    <w:tbl>
      <w:tblPr>
        <w:tblStyle w:val="688"/>
        <w:tblpPr w:horzAnchor="page" w:tblpXSpec="center" w:vertAnchor="text" w:tblpY="313" w:leftFromText="180" w:topFromText="0" w:rightFromText="180" w:bottomFromText="0"/>
        <w:tblW w:w="8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405"/>
        <w:gridCol w:w="292"/>
        <w:gridCol w:w="795"/>
        <w:gridCol w:w="721"/>
        <w:gridCol w:w="447"/>
        <w:gridCol w:w="1501"/>
        <w:gridCol w:w="140"/>
        <w:gridCol w:w="917"/>
        <w:gridCol w:w="136"/>
        <w:gridCol w:w="589"/>
        <w:gridCol w:w="103"/>
        <w:gridCol w:w="109"/>
        <w:gridCol w:w="8"/>
        <w:gridCol w:w="855"/>
        <w:gridCol w:w="808"/>
      </w:tblGrid>
      <w:tr>
        <w:trPr>
          <w:jc w:val="center"/>
          <w:trHeight w:val="567"/>
        </w:trPr>
        <w:tc>
          <w:tcPr>
            <w:gridSpan w:val="16"/>
            <w:shd w:val="clear" w:color="auto" w:fill="eeece1"/>
            <w:tcW w:w="8855"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申报单位详细</w:t>
            </w:r>
            <w:r>
              <w:rPr>
                <w:rFonts w:hint="eastAsia" w:ascii="仿宋" w:hAnsi="仿宋" w:eastAsia="仿宋" w:cs="仿宋"/>
                <w:b/>
                <w:sz w:val="24"/>
                <w:szCs w:val="24"/>
                <w:highlight w:val="none"/>
              </w:rPr>
              <w:t xml:space="preserve">信息</w:t>
            </w:r>
            <w:r/>
          </w:p>
        </w:tc>
      </w:tr>
      <w:tr>
        <w:trPr>
          <w:jc w:val="center"/>
          <w:trHeight w:val="567"/>
        </w:trPr>
        <w:tc>
          <w:tcPr>
            <w:gridSpan w:val="2"/>
            <w:tcW w:w="1434" w:type="dxa"/>
            <w:vAlign w:val="center"/>
            <w:vMerge w:val="restart"/>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w:t>
            </w:r>
            <w:r/>
          </w:p>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目</w:t>
            </w:r>
            <w:r/>
          </w:p>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申</w:t>
            </w:r>
            <w:r/>
          </w:p>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报</w:t>
            </w:r>
            <w:r/>
          </w:p>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w:t>
            </w:r>
            <w:r/>
          </w:p>
          <w:p>
            <w:pPr>
              <w:ind w:left="0" w:firstLine="482"/>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位</w:t>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单位名称</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通讯地址</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户名</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开户账号</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开户行</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登记机关</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登记时间</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登记证号</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业务范围</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机构愿景与使命</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14"/>
            <w:tcW w:w="7421" w:type="dxa"/>
            <w:vAlign w:val="center"/>
            <w:textDirection w:val="lrTb"/>
            <w:noWrap w:val="false"/>
          </w:tcPr>
          <w:p>
            <w:pPr>
              <w:jc w:val="left"/>
              <w:keepLines w:val="0"/>
              <w:keepNext w:val="0"/>
              <w:pageBreakBefore w:val="0"/>
              <w:spacing w:line="52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党组织建设情况</w:t>
            </w:r>
            <w:r>
              <w:rPr>
                <w:rFonts w:hint="eastAsia" w:ascii="仿宋" w:hAnsi="仿宋" w:eastAsia="仿宋" w:cs="仿宋"/>
                <w:sz w:val="24"/>
                <w:szCs w:val="24"/>
                <w:highlight w:val="none"/>
                <w:lang w:eastAsia="zh-CN"/>
              </w:rPr>
              <w:t xml:space="preserve">：</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社会组织评估等级</w:t>
            </w:r>
            <w:r/>
          </w:p>
        </w:tc>
        <w:tc>
          <w:tcPr>
            <w:gridSpan w:val="11"/>
            <w:tcW w:w="5613" w:type="dxa"/>
            <w:vAlign w:val="center"/>
            <w:textDirection w:val="lrTb"/>
            <w:noWrap w:val="false"/>
          </w:tcPr>
          <w:p>
            <w:pPr>
              <w:ind w:left="0" w:firstLine="480"/>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□5A   □4A   □3A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2A   □1A</w:t>
            </w:r>
            <w:r/>
          </w:p>
        </w:tc>
      </w:tr>
      <w:tr>
        <w:trPr>
          <w:jc w:val="center"/>
          <w:trHeight w:val="567"/>
        </w:trPr>
        <w:tc>
          <w:tcPr>
            <w:gridSpan w:val="2"/>
            <w:tcW w:w="1434" w:type="dxa"/>
            <w:vAlign w:val="center"/>
            <w:vMerge w:val="restart"/>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单位负责人信息</w:t>
            </w:r>
            <w:r/>
          </w:p>
        </w:tc>
        <w:tc>
          <w:tcPr>
            <w:gridSpan w:val="3"/>
            <w:tcW w:w="1808"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姓名</w:t>
            </w:r>
            <w:r/>
          </w:p>
        </w:tc>
        <w:tc>
          <w:tcPr>
            <w:gridSpan w:val="3"/>
            <w:tcW w:w="2088"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职务</w:t>
            </w:r>
            <w:r/>
          </w:p>
        </w:tc>
        <w:tc>
          <w:tcPr>
            <w:gridSpan w:val="4"/>
            <w:tcW w:w="1745"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电子邮箱</w:t>
            </w:r>
            <w:r/>
          </w:p>
        </w:tc>
        <w:tc>
          <w:tcPr>
            <w:gridSpan w:val="4"/>
            <w:tcW w:w="1780"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联系电话</w:t>
            </w:r>
            <w:r/>
          </w:p>
        </w:tc>
      </w:tr>
      <w:tr>
        <w:trPr>
          <w:jc w:val="center"/>
          <w:trHeight w:val="565"/>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2088"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45"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0"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5"/>
        </w:trPr>
        <w:tc>
          <w:tcPr>
            <w:gridSpan w:val="2"/>
            <w:tcW w:w="1434" w:type="dxa"/>
            <w:vAlign w:val="center"/>
            <w:vMerge w:val="restart"/>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执行</w:t>
            </w:r>
            <w:r/>
          </w:p>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过的</w:t>
            </w:r>
            <w:r/>
          </w:p>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同类</w:t>
            </w:r>
            <w:r/>
          </w:p>
          <w:p>
            <w:pPr>
              <w:ind w:left="0" w:firstLine="482"/>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项目</w:t>
            </w:r>
            <w:r/>
          </w:p>
        </w:tc>
        <w:tc>
          <w:tcPr>
            <w:gridSpan w:val="3"/>
            <w:tcW w:w="1808" w:type="dxa"/>
            <w:vAlign w:val="center"/>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项目名称</w:t>
            </w:r>
            <w:r/>
          </w:p>
        </w:tc>
        <w:tc>
          <w:tcPr>
            <w:gridSpan w:val="3"/>
            <w:tcW w:w="2088" w:type="dxa"/>
            <w:vAlign w:val="center"/>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起止时间</w:t>
            </w:r>
            <w:r/>
          </w:p>
        </w:tc>
        <w:tc>
          <w:tcPr>
            <w:gridSpan w:val="4"/>
            <w:tcW w:w="1745" w:type="dxa"/>
            <w:vAlign w:val="center"/>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项目资金来源</w:t>
            </w:r>
            <w:r/>
          </w:p>
        </w:tc>
        <w:tc>
          <w:tcPr>
            <w:gridSpan w:val="4"/>
            <w:tcW w:w="1780" w:type="dxa"/>
            <w:vAlign w:val="center"/>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项目资金总额</w:t>
            </w:r>
            <w:r/>
          </w:p>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（万元）</w:t>
            </w:r>
            <w:r/>
          </w:p>
        </w:tc>
      </w:tr>
      <w:tr>
        <w:trPr>
          <w:jc w:val="center"/>
          <w:trHeight w:val="565"/>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2088"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45"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0"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5"/>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2088"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45"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0"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5"/>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2088"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45"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0"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5"/>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2088"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45"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0"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5"/>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2088"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45"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0"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5"/>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2088"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45"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0" w:type="dxa"/>
            <w:vAlign w:val="top"/>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16"/>
            <w:shd w:val="clear" w:color="auto" w:fill="eeece1"/>
            <w:tcW w:w="8855"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项目详细信息</w:t>
            </w:r>
            <w:r/>
          </w:p>
        </w:tc>
      </w:tr>
      <w:tr>
        <w:trPr>
          <w:jc w:val="center"/>
          <w:trHeight w:val="567"/>
        </w:trPr>
        <w:tc>
          <w:tcPr>
            <w:gridSpan w:val="2"/>
            <w:tcW w:w="1434"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分包号</w:t>
            </w:r>
            <w:r/>
          </w:p>
        </w:tc>
        <w:tc>
          <w:tcPr>
            <w:gridSpan w:val="14"/>
            <w:tcW w:w="7421"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r>
      <w:tr>
        <w:trPr>
          <w:jc w:val="center"/>
          <w:trHeight w:val="567"/>
        </w:trPr>
        <w:tc>
          <w:tcPr>
            <w:gridSpan w:val="2"/>
            <w:tcW w:w="1434" w:type="dxa"/>
            <w:vAlign w:val="center"/>
            <w:textDirection w:val="lrTb"/>
            <w:noWrap w:val="false"/>
          </w:tcPr>
          <w:p>
            <w:pPr>
              <w:jc w:val="center"/>
              <w:keepLines w:val="0"/>
              <w:pageBreakBefore w:val="0"/>
              <w:spacing w:line="520" w:lineRule="exact"/>
              <w:widowControl/>
              <w:rPr>
                <w:rFonts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项目名称</w:t>
            </w:r>
            <w:r/>
          </w:p>
        </w:tc>
        <w:tc>
          <w:tcPr>
            <w:gridSpan w:val="14"/>
            <w:tcW w:w="7421" w:type="dxa"/>
            <w:vAlign w:val="center"/>
            <w:textDirection w:val="lrTb"/>
            <w:noWrap w:val="false"/>
          </w:tcPr>
          <w:p>
            <w:pPr>
              <w:jc w:val="left"/>
              <w:keepLines w:val="0"/>
              <w:pageBreakBefore w:val="0"/>
              <w:spacing w:line="520" w:lineRule="exact"/>
              <w:widowControl/>
              <w:rPr>
                <w:rFonts w:hint="eastAsia" w:ascii="仿宋" w:hAnsi="仿宋" w:eastAsia="仿宋" w:cs="仿宋"/>
                <w:b/>
                <w:sz w:val="24"/>
                <w:szCs w:val="24"/>
                <w:highlight w:val="none"/>
                <w:lang w:val="en-US" w:eastAsia="zh-CN"/>
              </w:rPr>
            </w:pPr>
            <w:r>
              <w:rPr>
                <w:rFonts w:hint="eastAsia" w:ascii="仿宋" w:hAnsi="仿宋" w:eastAsia="仿宋" w:cs="仿宋"/>
                <w:b w:val="0"/>
                <w:bCs/>
                <w:sz w:val="24"/>
                <w:szCs w:val="24"/>
                <w:highlight w:val="none"/>
                <w:lang w:val="en-US" w:eastAsia="zh-CN"/>
              </w:rPr>
              <w:t xml:space="preserve">（自拟）</w:t>
            </w:r>
            <w:r/>
          </w:p>
        </w:tc>
      </w:tr>
      <w:tr>
        <w:trPr>
          <w:jc w:val="center"/>
          <w:trHeight w:val="2459"/>
        </w:trPr>
        <w:tc>
          <w:tcPr>
            <w:gridSpan w:val="2"/>
            <w:tcW w:w="1434"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招标需求</w:t>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val="0"/>
                <w:bCs/>
                <w:sz w:val="24"/>
                <w:szCs w:val="24"/>
                <w:highlight w:val="none"/>
                <w:lang w:eastAsia="zh-CN"/>
              </w:rPr>
              <w:t xml:space="preserve">（</w:t>
            </w:r>
            <w:r>
              <w:rPr>
                <w:rFonts w:hint="eastAsia" w:ascii="仿宋" w:hAnsi="仿宋" w:eastAsia="仿宋" w:cs="仿宋"/>
                <w:b w:val="0"/>
                <w:bCs/>
                <w:sz w:val="24"/>
                <w:szCs w:val="24"/>
                <w:highlight w:val="none"/>
                <w:lang w:val="en-US" w:eastAsia="zh-CN"/>
              </w:rPr>
              <w:t xml:space="preserve">直接复制招标需求</w:t>
            </w:r>
            <w:r>
              <w:rPr>
                <w:rFonts w:hint="eastAsia" w:ascii="仿宋" w:hAnsi="仿宋" w:eastAsia="仿宋" w:cs="仿宋"/>
                <w:b w:val="0"/>
                <w:bCs/>
                <w:sz w:val="24"/>
                <w:szCs w:val="24"/>
                <w:highlight w:val="none"/>
                <w:lang w:eastAsia="zh-CN"/>
              </w:rPr>
              <w:t xml:space="preserve">）</w:t>
            </w:r>
            <w:r/>
          </w:p>
        </w:tc>
      </w:tr>
      <w:tr>
        <w:trPr>
          <w:jc w:val="center"/>
          <w:trHeight w:val="2254"/>
        </w:trPr>
        <w:tc>
          <w:tcPr>
            <w:gridSpan w:val="2"/>
            <w:tcW w:w="1434" w:type="dxa"/>
            <w:vAlign w:val="center"/>
            <w:textDirection w:val="lrTb"/>
            <w:noWrap w:val="false"/>
          </w:tcPr>
          <w:p>
            <w:pPr>
              <w:jc w:val="center"/>
              <w:keepLines w:val="0"/>
              <w:pageBreakBefore w:val="0"/>
              <w:spacing w:line="520" w:lineRule="exact"/>
              <w:widowControl/>
              <w:rPr>
                <w:rFonts w:ascii="仿宋" w:hAnsi="仿宋" w:eastAsia="仿宋" w:cs="仿宋"/>
                <w:b/>
                <w:sz w:val="24"/>
                <w:szCs w:val="24"/>
                <w:highlight w:val="none"/>
                <w:lang w:val="en-US" w:eastAsia="zh-CN"/>
              </w:rPr>
            </w:pPr>
            <w:r>
              <w:rPr>
                <w:rFonts w:hint="eastAsia" w:ascii="仿宋" w:hAnsi="仿宋" w:eastAsia="仿宋" w:cs="仿宋"/>
                <w:b/>
                <w:bCs/>
                <w:sz w:val="24"/>
                <w:szCs w:val="24"/>
                <w:highlight w:val="none"/>
              </w:rPr>
              <w:t xml:space="preserve">需求</w:t>
            </w:r>
            <w:r>
              <w:rPr>
                <w:rFonts w:hint="eastAsia" w:ascii="仿宋" w:hAnsi="仿宋" w:eastAsia="仿宋" w:cs="仿宋"/>
                <w:b/>
                <w:bCs/>
                <w:sz w:val="24"/>
                <w:szCs w:val="24"/>
                <w:highlight w:val="none"/>
                <w:lang w:val="en-US" w:eastAsia="zh-CN"/>
              </w:rPr>
              <w:t xml:space="preserve">分析</w:t>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b/>
                <w:bCs w:val="0"/>
                <w:sz w:val="24"/>
                <w:szCs w:val="24"/>
                <w:highlight w:val="none"/>
                <w:lang w:eastAsia="zh-CN"/>
              </w:rPr>
            </w:pPr>
            <w:r>
              <w:rPr>
                <w:rFonts w:hint="eastAsia" w:ascii="仿宋" w:hAnsi="仿宋" w:eastAsia="仿宋" w:cs="仿宋"/>
                <w:sz w:val="24"/>
                <w:szCs w:val="24"/>
                <w:highlight w:val="none"/>
              </w:rPr>
              <w:t xml:space="preserve">说明项目针对的问题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现状、</w:t>
            </w:r>
            <w:r>
              <w:rPr>
                <w:rFonts w:hint="eastAsia" w:ascii="仿宋" w:hAnsi="仿宋" w:eastAsia="仿宋" w:cs="仿宋"/>
                <w:sz w:val="24"/>
                <w:szCs w:val="24"/>
                <w:highlight w:val="none"/>
              </w:rPr>
              <w:t xml:space="preserve">产生的背景和原因以及问题存在的广泛性和需求的迫切性</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rPr>
              <w:t xml:space="preserve">。</w:t>
            </w:r>
            <w:r/>
          </w:p>
        </w:tc>
      </w:tr>
      <w:tr>
        <w:trPr>
          <w:jc w:val="center"/>
          <w:trHeight w:val="624"/>
        </w:trPr>
        <w:tc>
          <w:tcPr>
            <w:gridSpan w:val="2"/>
            <w:tcW w:w="1434" w:type="dxa"/>
            <w:vAlign w:val="center"/>
            <w:vMerge w:val="restart"/>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受益群体描述</w:t>
            </w:r>
            <w:r/>
          </w:p>
        </w:tc>
        <w:tc>
          <w:tcPr>
            <w:gridSpan w:val="4"/>
            <w:tcW w:w="2255"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sz w:val="24"/>
                <w:szCs w:val="24"/>
                <w:highlight w:val="none"/>
                <w:lang w:val="en-US" w:eastAsia="zh-CN" w:bidi="ar-SA"/>
              </w:rPr>
              <w:t xml:space="preserve">固定服务对象类型</w:t>
            </w:r>
            <w:r/>
          </w:p>
        </w:tc>
        <w:tc>
          <w:tcPr>
            <w:gridSpan w:val="10"/>
            <w:tcW w:w="5166"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清晰界定本项目服务的人群</w:t>
            </w:r>
            <w:r/>
          </w:p>
        </w:tc>
      </w:tr>
      <w:tr>
        <w:trPr>
          <w:jc w:val="center"/>
          <w:trHeight w:val="624"/>
        </w:trPr>
        <w:tc>
          <w:tcPr>
            <w:gridSpan w:val="2"/>
            <w:tcW w:w="1434" w:type="dxa"/>
            <w:vAlign w:val="center"/>
            <w:vMerge w:val="continue"/>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2255" w:type="dxa"/>
            <w:vAlign w:val="center"/>
            <w:textDirection w:val="lrTb"/>
            <w:noWrap w:val="false"/>
          </w:tcPr>
          <w:p>
            <w:pPr>
              <w:jc w:val="center"/>
              <w:keepLines w:val="0"/>
              <w:pageBreakBefore w:val="0"/>
              <w:spacing w:line="520" w:lineRule="exact"/>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lang w:val="en-US" w:eastAsia="zh-CN" w:bidi="ar-SA"/>
              </w:rPr>
              <w:t xml:space="preserve">固定服务对象人数</w:t>
            </w:r>
            <w:r/>
          </w:p>
        </w:tc>
        <w:tc>
          <w:tcPr>
            <w:gridSpan w:val="10"/>
            <w:tcW w:w="5166" w:type="dxa"/>
            <w:vAlign w:val="center"/>
            <w:textDirection w:val="lrTb"/>
            <w:noWrap w:val="false"/>
          </w:tcPr>
          <w:p>
            <w:pPr>
              <w:ind w:left="0" w:firstLine="480"/>
              <w:jc w:val="left"/>
              <w:keepLines w:val="0"/>
              <w:pageBreakBefore w:val="0"/>
              <w:spacing w:line="52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jc w:val="center"/>
          <w:trHeight w:val="1463"/>
        </w:trPr>
        <w:tc>
          <w:tcPr>
            <w:gridSpan w:val="2"/>
            <w:tcW w:w="1434"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运用的</w:t>
            </w:r>
            <w:r>
              <w:rPr>
                <w:rFonts w:hint="eastAsia" w:ascii="仿宋" w:hAnsi="仿宋" w:eastAsia="仿宋" w:cs="仿宋"/>
                <w:b/>
                <w:bCs/>
                <w:sz w:val="24"/>
                <w:szCs w:val="24"/>
                <w:highlight w:val="none"/>
                <w:lang w:eastAsia="zh-CN"/>
              </w:rPr>
              <w:t xml:space="preserve">社会工作方法和</w:t>
            </w:r>
            <w:r>
              <w:rPr>
                <w:rFonts w:hint="eastAsia" w:ascii="仿宋" w:hAnsi="仿宋" w:eastAsia="仿宋" w:cs="仿宋"/>
                <w:b/>
                <w:bCs/>
                <w:sz w:val="24"/>
                <w:szCs w:val="24"/>
                <w:highlight w:val="none"/>
                <w:lang w:val="en-US" w:eastAsia="zh-CN"/>
              </w:rPr>
              <w:t xml:space="preserve">理论</w:t>
            </w:r>
            <w:r/>
          </w:p>
        </w:tc>
        <w:tc>
          <w:tcPr>
            <w:gridSpan w:val="14"/>
            <w:tcW w:w="7421"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jc w:val="center"/>
          <w:trHeight w:val="609"/>
        </w:trPr>
        <w:tc>
          <w:tcPr>
            <w:gridSpan w:val="16"/>
            <w:shd w:val="clear" w:color="auto" w:fill="eeece1"/>
            <w:tcW w:w="8855"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项目</w:t>
            </w:r>
            <w:r>
              <w:rPr>
                <w:rFonts w:hint="eastAsia" w:ascii="仿宋" w:hAnsi="仿宋" w:eastAsia="仿宋" w:cs="仿宋"/>
                <w:b/>
                <w:bCs/>
                <w:sz w:val="24"/>
                <w:szCs w:val="24"/>
                <w:highlight w:val="none"/>
                <w:lang w:val="en-US" w:eastAsia="zh-CN"/>
              </w:rPr>
              <w:t xml:space="preserve">具体</w:t>
            </w:r>
            <w:r>
              <w:rPr>
                <w:rFonts w:hint="eastAsia" w:ascii="仿宋" w:hAnsi="仿宋" w:eastAsia="仿宋" w:cs="仿宋"/>
                <w:b/>
                <w:bCs/>
                <w:sz w:val="24"/>
                <w:szCs w:val="24"/>
                <w:highlight w:val="none"/>
              </w:rPr>
              <w:t xml:space="preserve">实施计划</w:t>
            </w:r>
            <w:r/>
          </w:p>
        </w:tc>
      </w:tr>
      <w:tr>
        <w:trPr>
          <w:jc w:val="center"/>
          <w:trHeight w:val="642"/>
        </w:trPr>
        <w:tc>
          <w:tcPr>
            <w:gridSpan w:val="2"/>
            <w:tcW w:w="1434" w:type="dxa"/>
            <w:vAlign w:val="center"/>
            <w:textDirection w:val="lrTb"/>
            <w:noWrap w:val="false"/>
          </w:tcPr>
          <w:p>
            <w:pPr>
              <w:jc w:val="center"/>
              <w:keepLines w:val="0"/>
              <w:pageBreakBefore w:val="0"/>
              <w:spacing w:line="520" w:lineRule="exact"/>
              <w:widowControl/>
              <w:rPr>
                <w:rFonts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项目板块</w:t>
            </w:r>
            <w:r/>
          </w:p>
        </w:tc>
        <w:tc>
          <w:tcPr>
            <w:gridSpan w:val="6"/>
            <w:tcW w:w="3896" w:type="dxa"/>
            <w:vAlign w:val="center"/>
            <w:textDirection w:val="lrTb"/>
            <w:noWrap w:val="false"/>
          </w:tcPr>
          <w:p>
            <w:pPr>
              <w:ind w:left="0" w:firstLine="482"/>
              <w:jc w:val="center"/>
              <w:keepLines w:val="0"/>
              <w:pageBreakBefore w:val="0"/>
              <w:spacing w:line="520" w:lineRule="exact"/>
              <w:widowControl/>
              <w:rPr>
                <w:rFonts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具体服务内容</w:t>
            </w:r>
            <w:r/>
          </w:p>
        </w:tc>
        <w:tc>
          <w:tcPr>
            <w:gridSpan w:val="4"/>
            <w:tcW w:w="1745" w:type="dxa"/>
            <w:vAlign w:val="center"/>
            <w:textDirection w:val="lrTb"/>
            <w:noWrap w:val="false"/>
          </w:tcPr>
          <w:p>
            <w:pPr>
              <w:ind w:left="0" w:firstLine="482"/>
              <w:jc w:val="center"/>
              <w:keepLines w:val="0"/>
              <w:pageBreakBefore w:val="0"/>
              <w:spacing w:line="520" w:lineRule="exact"/>
              <w:widowControl/>
              <w:rPr>
                <w:rFonts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服务时间</w:t>
            </w:r>
            <w:r/>
          </w:p>
        </w:tc>
        <w:tc>
          <w:tcPr>
            <w:gridSpan w:val="4"/>
            <w:tcW w:w="1780"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服务频次</w:t>
            </w:r>
            <w:r/>
          </w:p>
        </w:tc>
      </w:tr>
      <w:tr>
        <w:trPr>
          <w:jc w:val="center"/>
          <w:trHeight w:val="567"/>
        </w:trPr>
        <w:tc>
          <w:tcPr>
            <w:gridSpan w:val="2"/>
            <w:tcW w:w="1434"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6"/>
            <w:tcW w:w="389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1745"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1780"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jc w:val="center"/>
          <w:trHeight w:val="567"/>
        </w:trPr>
        <w:tc>
          <w:tcPr>
            <w:gridSpan w:val="2"/>
            <w:tcW w:w="1434"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6"/>
            <w:tcW w:w="389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1745"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1780"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jc w:val="center"/>
          <w:trHeight w:val="567"/>
        </w:trPr>
        <w:tc>
          <w:tcPr>
            <w:gridSpan w:val="2"/>
            <w:tcW w:w="1434"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6"/>
            <w:tcW w:w="389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1745"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1780"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jc w:val="center"/>
          <w:trHeight w:val="567"/>
        </w:trPr>
        <w:tc>
          <w:tcPr>
            <w:gridSpan w:val="2"/>
            <w:tcW w:w="1434"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6"/>
            <w:tcW w:w="389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1745"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1780"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jc w:val="center"/>
          <w:trHeight w:val="567"/>
        </w:trPr>
        <w:tc>
          <w:tcPr>
            <w:gridSpan w:val="2"/>
            <w:tcW w:w="1434" w:type="dxa"/>
            <w:vAlign w:val="center"/>
            <w:textDirection w:val="lrTb"/>
            <w:noWrap w:val="false"/>
          </w:tcPr>
          <w:p>
            <w:pPr>
              <w:jc w:val="both"/>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总服务场次</w:t>
            </w:r>
            <w:r/>
          </w:p>
        </w:tc>
        <w:tc>
          <w:tcPr>
            <w:gridSpan w:val="14"/>
            <w:tcW w:w="7421"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jc w:val="center"/>
          <w:trHeight w:val="2162"/>
        </w:trPr>
        <w:tc>
          <w:tcPr>
            <w:gridSpan w:val="2"/>
            <w:tcW w:w="1434"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项目特色</w:t>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b/>
                <w:sz w:val="24"/>
                <w:szCs w:val="24"/>
                <w:highlight w:val="none"/>
                <w:lang w:eastAsia="zh-CN"/>
              </w:rPr>
            </w:pPr>
            <w:r>
              <w:rPr>
                <w:rFonts w:hint="eastAsia" w:ascii="仿宋" w:hAnsi="仿宋" w:eastAsia="仿宋" w:cs="仿宋"/>
                <w:sz w:val="24"/>
                <w:szCs w:val="24"/>
                <w:highlight w:val="none"/>
              </w:rPr>
              <w:t xml:space="preserve">创新性、示范性、可推广性</w:t>
            </w:r>
            <w:r>
              <w:rPr>
                <w:rFonts w:hint="eastAsia" w:ascii="仿宋" w:hAnsi="仿宋" w:eastAsia="仿宋" w:cs="仿宋"/>
                <w:b/>
                <w:bCs/>
                <w:sz w:val="24"/>
                <w:szCs w:val="24"/>
                <w:highlight w:val="none"/>
                <w:lang w:eastAsia="zh-CN"/>
              </w:rPr>
              <w:t xml:space="preserve">。</w:t>
            </w:r>
            <w:r/>
          </w:p>
        </w:tc>
      </w:tr>
      <w:tr>
        <w:trPr>
          <w:jc w:val="center"/>
          <w:trHeight w:val="2089"/>
        </w:trPr>
        <w:tc>
          <w:tcPr>
            <w:gridSpan w:val="2"/>
            <w:tcW w:w="1434"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风险预计与防控方案</w:t>
            </w:r>
            <w:r/>
          </w:p>
        </w:tc>
        <w:tc>
          <w:tcPr>
            <w:gridSpan w:val="14"/>
            <w:tcW w:w="7421" w:type="dxa"/>
            <w:vAlign w:val="top"/>
            <w:textDirection w:val="lrTb"/>
            <w:noWrap w:val="false"/>
          </w:tcPr>
          <w:p>
            <w:pPr>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分析项目执行中可能遇到的风险及如何应对。</w:t>
            </w:r>
            <w:r/>
          </w:p>
        </w:tc>
      </w:tr>
      <w:tr>
        <w:trPr>
          <w:jc w:val="center"/>
          <w:trHeight w:val="567"/>
        </w:trPr>
        <w:tc>
          <w:tcPr>
            <w:gridSpan w:val="16"/>
            <w:shd w:val="clear" w:color="auto" w:fill="eeece1"/>
            <w:tcW w:w="8855" w:type="dxa"/>
            <w:vAlign w:val="center"/>
            <w:textDirection w:val="lrTb"/>
            <w:noWrap w:val="false"/>
          </w:tcPr>
          <w:p>
            <w:pPr>
              <w:ind w:left="0" w:firstLine="482"/>
              <w:jc w:val="center"/>
              <w:keepLines w:val="0"/>
              <w:pageBreakBefore w:val="0"/>
              <w:spacing w:line="520" w:lineRule="exact"/>
              <w:widowControl/>
              <w:rPr>
                <w:rFonts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 xml:space="preserve">资金预算编制</w:t>
            </w:r>
            <w:r/>
          </w:p>
        </w:tc>
      </w:tr>
      <w:tr>
        <w:trPr>
          <w:jc w:val="center"/>
          <w:trHeight w:val="567"/>
        </w:trPr>
        <w:tc>
          <w:tcPr>
            <w:gridSpan w:val="2"/>
            <w:tcW w:w="1434" w:type="dxa"/>
            <w:vAlign w:val="center"/>
            <w:vMerge w:val="restart"/>
            <w:textDirection w:val="lrTb"/>
            <w:noWrap w:val="false"/>
          </w:tcPr>
          <w:p>
            <w:pPr>
              <w:ind w:left="0" w:firstLine="482"/>
              <w:jc w:val="left"/>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资</w:t>
            </w:r>
            <w:r/>
          </w:p>
          <w:p>
            <w:pPr>
              <w:ind w:left="0" w:firstLine="482"/>
              <w:jc w:val="left"/>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金</w:t>
            </w:r>
            <w:r/>
          </w:p>
          <w:p>
            <w:pPr>
              <w:ind w:left="0" w:firstLine="482"/>
              <w:jc w:val="left"/>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来</w:t>
            </w:r>
            <w:r/>
          </w:p>
          <w:p>
            <w:pPr>
              <w:ind w:left="0" w:firstLine="482"/>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源</w:t>
            </w:r>
            <w:r/>
          </w:p>
        </w:tc>
        <w:tc>
          <w:tcPr>
            <w:gridSpan w:val="7"/>
            <w:tcW w:w="4813" w:type="dxa"/>
            <w:vAlign w:val="center"/>
            <w:textDirection w:val="lrTb"/>
            <w:noWrap w:val="false"/>
          </w:tcPr>
          <w:p>
            <w:pPr>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资金种类</w:t>
            </w:r>
            <w:r/>
          </w:p>
        </w:tc>
        <w:tc>
          <w:tcPr>
            <w:gridSpan w:val="7"/>
            <w:tcW w:w="2608"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金额（万元）</w:t>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7"/>
            <w:tcW w:w="4813" w:type="dxa"/>
            <w:vAlign w:val="center"/>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财政补助资金预算</w:t>
            </w:r>
            <w:r/>
          </w:p>
        </w:tc>
        <w:tc>
          <w:tcPr>
            <w:gridSpan w:val="7"/>
            <w:tcW w:w="26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vMerge w:val="restart"/>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社会配套资金预算（提供证明材料）</w:t>
            </w:r>
            <w:r/>
          </w:p>
        </w:tc>
        <w:tc>
          <w:tcPr>
            <w:gridSpan w:val="4"/>
            <w:tcW w:w="3005"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自有资金</w:t>
            </w:r>
            <w:r/>
          </w:p>
        </w:tc>
        <w:tc>
          <w:tcPr>
            <w:gridSpan w:val="7"/>
            <w:tcW w:w="26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3005"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已接受社会捐赠资金</w:t>
            </w:r>
            <w:r/>
          </w:p>
        </w:tc>
        <w:tc>
          <w:tcPr>
            <w:gridSpan w:val="7"/>
            <w:tcW w:w="26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808"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3005"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预期能接受社会捐赠资金</w:t>
            </w:r>
            <w:r/>
          </w:p>
        </w:tc>
        <w:tc>
          <w:tcPr>
            <w:gridSpan w:val="7"/>
            <w:tcW w:w="26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7"/>
            <w:tcW w:w="4813" w:type="dxa"/>
            <w:vAlign w:val="center"/>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总计</w:t>
            </w:r>
            <w:r/>
          </w:p>
        </w:tc>
        <w:tc>
          <w:tcPr>
            <w:gridSpan w:val="7"/>
            <w:tcW w:w="26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16"/>
            <w:shd w:val="clear" w:color="auto" w:fill="f1f1f1"/>
            <w:tcW w:w="8855" w:type="dxa"/>
            <w:vAlign w:val="center"/>
            <w:textDirection w:val="lrTb"/>
            <w:noWrap w:val="false"/>
          </w:tcPr>
          <w:p>
            <w:pPr>
              <w:ind w:left="0" w:firstLine="482"/>
              <w:jc w:val="center"/>
              <w:keepLines w:val="0"/>
              <w:keepNext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财政补助资金预算支出明细</w:t>
            </w:r>
            <w:r/>
          </w:p>
          <w:p>
            <w:pPr>
              <w:ind w:left="0" w:firstLine="482"/>
              <w:jc w:val="center"/>
              <w:keepLines w:val="0"/>
              <w:keepNext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sz w:val="24"/>
                <w:szCs w:val="24"/>
                <w:highlight w:val="none"/>
              </w:rPr>
              <w:t xml:space="preserve">请严格按照项目资金使用要求编制预算</w:t>
            </w:r>
            <w:r>
              <w:rPr>
                <w:rFonts w:hint="eastAsia" w:ascii="仿宋" w:hAnsi="仿宋" w:eastAsia="仿宋" w:cs="仿宋"/>
                <w:b/>
                <w:sz w:val="24"/>
                <w:szCs w:val="24"/>
                <w:highlight w:val="none"/>
              </w:rPr>
              <w:t xml:space="preserve">）</w:t>
            </w:r>
            <w:r/>
          </w:p>
        </w:tc>
      </w:tr>
      <w:tr>
        <w:trPr>
          <w:jc w:val="center"/>
          <w:trHeight w:val="567"/>
        </w:trPr>
        <w:tc>
          <w:tcPr>
            <w:gridSpan w:val="2"/>
            <w:tcW w:w="1434" w:type="dxa"/>
            <w:vAlign w:val="center"/>
            <w:vMerge w:val="restart"/>
            <w:textDirection w:val="lrTb"/>
            <w:noWrap w:val="false"/>
          </w:tcPr>
          <w:p>
            <w:pPr>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服务项目</w:t>
            </w:r>
            <w:r/>
          </w:p>
        </w:tc>
        <w:tc>
          <w:tcPr>
            <w:gridSpan w:val="2"/>
            <w:tcW w:w="1087" w:type="dxa"/>
            <w:vAlign w:val="center"/>
            <w:vMerge w:val="restart"/>
            <w:textDirection w:val="lrTb"/>
            <w:noWrap w:val="false"/>
          </w:tcPr>
          <w:p>
            <w:pPr>
              <w:jc w:val="left"/>
              <w:keepLines w:val="0"/>
              <w:pageBreakBefore w:val="0"/>
              <w:spacing w:line="520" w:lineRule="exact"/>
              <w:widowControl/>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 xml:space="preserve">序号</w:t>
            </w:r>
            <w:r/>
          </w:p>
        </w:tc>
        <w:tc>
          <w:tcPr>
            <w:gridSpan w:val="6"/>
            <w:tcW w:w="3862" w:type="dxa"/>
            <w:vAlign w:val="center"/>
            <w:vMerge w:val="restart"/>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预算内容</w:t>
            </w:r>
            <w:r/>
          </w:p>
        </w:tc>
        <w:tc>
          <w:tcPr>
            <w:gridSpan w:val="6"/>
            <w:tcW w:w="2472"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预算金额（元）</w:t>
            </w:r>
            <w:r/>
          </w:p>
        </w:tc>
      </w:tr>
      <w:tr>
        <w:trPr>
          <w:jc w:val="center"/>
          <w:trHeight w:val="567"/>
        </w:trPr>
        <w:tc>
          <w:tcPr>
            <w:gridSpan w:val="2"/>
            <w:tcW w:w="1434" w:type="dxa"/>
            <w:vAlign w:val="center"/>
            <w:vMerge w:val="continue"/>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2"/>
            <w:tcW w:w="1087" w:type="dxa"/>
            <w:vAlign w:val="center"/>
            <w:vMerge w:val="continue"/>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6"/>
            <w:tcW w:w="3862" w:type="dxa"/>
            <w:vAlign w:val="center"/>
            <w:vMerge w:val="continue"/>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809"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数量</w:t>
            </w:r>
            <w:r/>
          </w:p>
        </w:tc>
        <w:tc>
          <w:tcPr>
            <w:tcW w:w="855"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单价</w:t>
            </w:r>
            <w:r/>
          </w:p>
        </w:tc>
        <w:tc>
          <w:tcPr>
            <w:tcW w:w="808"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小计</w:t>
            </w:r>
            <w:r/>
          </w:p>
        </w:tc>
      </w:tr>
      <w:tr>
        <w:trPr>
          <w:jc w:val="center"/>
          <w:trHeight w:val="567"/>
        </w:trPr>
        <w:tc>
          <w:tcPr>
            <w:gridSpan w:val="2"/>
            <w:tcW w:w="1434" w:type="dxa"/>
            <w:vAlign w:val="center"/>
            <w:vMerge w:val="restart"/>
            <w:textDirection w:val="lrTb"/>
            <w:noWrap w:val="false"/>
          </w:tcPr>
          <w:p>
            <w:pPr>
              <w:jc w:val="center"/>
              <w:keepLines w:val="0"/>
              <w:pageBreakBefore w:val="0"/>
              <w:spacing w:line="520" w:lineRule="exact"/>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例：</w:t>
            </w:r>
            <w:r>
              <w:rPr>
                <w:rFonts w:hint="eastAsia" w:ascii="仿宋" w:hAnsi="仿宋" w:eastAsia="仿宋" w:cs="仿宋"/>
                <w:sz w:val="24"/>
                <w:szCs w:val="24"/>
                <w:highlight w:val="none"/>
                <w:lang w:val="en-US" w:eastAsia="zh-CN"/>
              </w:rPr>
              <w:t xml:space="preserve">XX小组活动</w:t>
            </w:r>
            <w:r/>
          </w:p>
        </w:tc>
        <w:tc>
          <w:tcPr>
            <w:gridSpan w:val="2"/>
            <w:tcW w:w="1087"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p>
        </w:tc>
        <w:tc>
          <w:tcPr>
            <w:gridSpan w:val="6"/>
            <w:tcW w:w="3862"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例：专职工作人员补贴</w:t>
            </w:r>
            <w:r/>
          </w:p>
        </w:tc>
        <w:tc>
          <w:tcPr>
            <w:gridSpan w:val="4"/>
            <w:tcW w:w="809"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5"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continue"/>
            <w:textDirection w:val="lrTb"/>
            <w:noWrap w:val="false"/>
          </w:tcPr>
          <w:p>
            <w:pPr>
              <w:ind w:left="0" w:firstLine="480"/>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087"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p>
        </w:tc>
        <w:tc>
          <w:tcPr>
            <w:gridSpan w:val="6"/>
            <w:tcW w:w="3862"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例：志愿者补贴</w:t>
            </w:r>
            <w:r/>
          </w:p>
        </w:tc>
        <w:tc>
          <w:tcPr>
            <w:gridSpan w:val="4"/>
            <w:tcW w:w="809"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5"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continue"/>
            <w:textDirection w:val="lrTb"/>
            <w:noWrap w:val="false"/>
          </w:tcPr>
          <w:p>
            <w:pPr>
              <w:ind w:left="0" w:firstLine="480"/>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087"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gridSpan w:val="6"/>
            <w:tcW w:w="3862" w:type="dxa"/>
            <w:vAlign w:val="center"/>
            <w:textDirection w:val="lrTb"/>
            <w:noWrap w:val="false"/>
          </w:tcPr>
          <w:p>
            <w:pPr>
              <w:jc w:val="left"/>
              <w:keepLines w:val="0"/>
              <w:pageBreakBefore w:val="0"/>
              <w:spacing w:line="520" w:lineRule="exact"/>
              <w:widowControl/>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例：专家咨询费</w:t>
            </w:r>
            <w:r>
              <w:rPr>
                <w:rFonts w:hint="eastAsia" w:ascii="仿宋" w:hAnsi="仿宋" w:eastAsia="仿宋" w:cs="仿宋"/>
                <w:sz w:val="24"/>
                <w:szCs w:val="24"/>
                <w:highlight w:val="none"/>
                <w:lang w:val="en-US" w:eastAsia="zh-CN"/>
              </w:rPr>
              <w:t xml:space="preserve">/督导费/讲课费</w:t>
            </w:r>
            <w:r/>
          </w:p>
        </w:tc>
        <w:tc>
          <w:tcPr>
            <w:gridSpan w:val="4"/>
            <w:tcW w:w="809"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5"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restart"/>
            <w:textDirection w:val="lrTb"/>
            <w:noWrap w:val="false"/>
          </w:tcPr>
          <w:p>
            <w:pPr>
              <w:jc w:val="center"/>
              <w:keepLines w:val="0"/>
              <w:pageBreakBefore w:val="0"/>
              <w:spacing w:line="520" w:lineRule="exact"/>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例：</w:t>
            </w:r>
            <w:r>
              <w:rPr>
                <w:rFonts w:hint="eastAsia" w:ascii="仿宋" w:hAnsi="仿宋" w:eastAsia="仿宋" w:cs="仿宋"/>
                <w:sz w:val="24"/>
                <w:szCs w:val="24"/>
                <w:highlight w:val="none"/>
                <w:lang w:val="en-US" w:eastAsia="zh-CN"/>
              </w:rPr>
              <w:t xml:space="preserve">XX个案服务</w:t>
            </w:r>
            <w:r/>
          </w:p>
        </w:tc>
        <w:tc>
          <w:tcPr>
            <w:gridSpan w:val="2"/>
            <w:tcW w:w="1087"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p>
        </w:tc>
        <w:tc>
          <w:tcPr>
            <w:gridSpan w:val="6"/>
            <w:tcW w:w="386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809"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5"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087"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p>
        </w:tc>
        <w:tc>
          <w:tcPr>
            <w:gridSpan w:val="6"/>
            <w:tcW w:w="386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809"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5"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2"/>
            <w:tcW w:w="1434"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087"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gridSpan w:val="6"/>
            <w:tcW w:w="386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809"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5"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5"/>
            <w:tcW w:w="3242"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财政补助资金预算支出合计</w:t>
            </w:r>
            <w:r/>
          </w:p>
        </w:tc>
        <w:tc>
          <w:tcPr>
            <w:gridSpan w:val="11"/>
            <w:tcW w:w="561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16"/>
            <w:shd w:val="clear" w:color="auto" w:fill="f1f1f1"/>
            <w:tcW w:w="8855"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sz w:val="24"/>
                <w:szCs w:val="24"/>
                <w:highlight w:val="none"/>
                <w:shd w:val="clear" w:color="auto" w:fill="f1f1f1"/>
              </w:rPr>
              <w:t xml:space="preserve">社会配套资金预算支出明细</w:t>
            </w:r>
            <w:r/>
          </w:p>
        </w:tc>
      </w:tr>
      <w:tr>
        <w:trPr>
          <w:jc w:val="center"/>
          <w:trHeight w:val="520"/>
        </w:trPr>
        <w:tc>
          <w:tcPr>
            <w:tcW w:w="1029" w:type="dxa"/>
            <w:vAlign w:val="center"/>
            <w:vMerge w:val="restart"/>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预算</w:t>
            </w:r>
            <w:r/>
          </w:p>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科目</w:t>
            </w:r>
            <w:r/>
          </w:p>
        </w:tc>
        <w:tc>
          <w:tcPr>
            <w:gridSpan w:val="3"/>
            <w:tcW w:w="1492" w:type="dxa"/>
            <w:vAlign w:val="center"/>
            <w:vMerge w:val="restart"/>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p>
        </w:tc>
        <w:tc>
          <w:tcPr>
            <w:gridSpan w:val="5"/>
            <w:tcW w:w="3726" w:type="dxa"/>
            <w:vAlign w:val="center"/>
            <w:vMerge w:val="restart"/>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预算内容</w:t>
            </w:r>
            <w:r/>
          </w:p>
        </w:tc>
        <w:tc>
          <w:tcPr>
            <w:gridSpan w:val="7"/>
            <w:tcW w:w="2608"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预算金额（元）</w:t>
            </w:r>
            <w:r/>
          </w:p>
        </w:tc>
      </w:tr>
      <w:tr>
        <w:trPr>
          <w:jc w:val="center"/>
          <w:trHeight w:val="332"/>
        </w:trPr>
        <w:tc>
          <w:tcPr>
            <w:tcW w:w="1029" w:type="dxa"/>
            <w:vAlign w:val="center"/>
            <w:vMerge w:val="continue"/>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3"/>
            <w:tcW w:w="1492" w:type="dxa"/>
            <w:vAlign w:val="center"/>
            <w:vMerge w:val="continue"/>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5"/>
            <w:tcW w:w="3726" w:type="dxa"/>
            <w:vAlign w:val="center"/>
            <w:vMerge w:val="continue"/>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4"/>
            <w:tcW w:w="937"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数量</w:t>
            </w:r>
            <w:r/>
          </w:p>
        </w:tc>
        <w:tc>
          <w:tcPr>
            <w:gridSpan w:val="2"/>
            <w:tcW w:w="863"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单价</w:t>
            </w:r>
            <w:r/>
          </w:p>
        </w:tc>
        <w:tc>
          <w:tcPr>
            <w:tcW w:w="808" w:type="dxa"/>
            <w:vAlign w:val="center"/>
            <w:textDirection w:val="lrTb"/>
            <w:noWrap w:val="false"/>
          </w:tcPr>
          <w:p>
            <w:pPr>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小计</w:t>
            </w:r>
            <w:r/>
          </w:p>
        </w:tc>
      </w:tr>
      <w:tr>
        <w:trPr>
          <w:jc w:val="center"/>
          <w:trHeight w:val="567"/>
        </w:trPr>
        <w:tc>
          <w:tcPr>
            <w:tcW w:w="1029" w:type="dxa"/>
            <w:vAlign w:val="center"/>
            <w:vMerge w:val="restart"/>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gridSpan w:val="3"/>
            <w:tcW w:w="149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p>
        </w:tc>
        <w:tc>
          <w:tcPr>
            <w:gridSpan w:val="5"/>
            <w:tcW w:w="3726"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937"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86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29"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49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p>
        </w:tc>
        <w:tc>
          <w:tcPr>
            <w:gridSpan w:val="5"/>
            <w:tcW w:w="3726"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937"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86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29" w:type="dxa"/>
            <w:vAlign w:val="center"/>
            <w:vMerge w:val="continue"/>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149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gridSpan w:val="5"/>
            <w:tcW w:w="3726"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937"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86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0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5"/>
            <w:tcW w:w="3242" w:type="dxa"/>
            <w:vAlign w:val="center"/>
            <w:textDirection w:val="lrTb"/>
            <w:noWrap w:val="false"/>
          </w:tcPr>
          <w:p>
            <w:pPr>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社会配套资金预算支出合计</w:t>
            </w:r>
            <w:r/>
          </w:p>
        </w:tc>
        <w:tc>
          <w:tcPr>
            <w:gridSpan w:val="11"/>
            <w:tcW w:w="561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40"/>
        </w:trPr>
        <w:tc>
          <w:tcPr>
            <w:gridSpan w:val="16"/>
            <w:shd w:val="clear" w:color="auto" w:fill="eeece1"/>
            <w:tcW w:w="8855" w:type="dxa"/>
            <w:vAlign w:val="center"/>
            <w:textDirection w:val="lrTb"/>
            <w:noWrap w:val="false"/>
          </w:tcPr>
          <w:p>
            <w:pPr>
              <w:ind w:left="0" w:firstLine="482"/>
              <w:jc w:val="center"/>
              <w:keepLines w:val="0"/>
              <w:pageBreakBefore w:val="0"/>
              <w:spacing w:line="520" w:lineRule="exact"/>
              <w:widowControl/>
              <w:rPr>
                <w:rFonts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项目执行团队介绍</w:t>
            </w:r>
            <w:r/>
          </w:p>
        </w:tc>
      </w:tr>
      <w:tr>
        <w:trPr>
          <w:jc w:val="center"/>
          <w:trHeight w:val="567"/>
        </w:trPr>
        <w:tc>
          <w:tcPr>
            <w:gridSpan w:val="3"/>
            <w:tcW w:w="1726"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姓名</w:t>
            </w:r>
            <w:r/>
          </w:p>
        </w:tc>
        <w:tc>
          <w:tcPr>
            <w:gridSpan w:val="2"/>
            <w:tcW w:w="1516" w:type="dxa"/>
            <w:vAlign w:val="center"/>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学历及专业</w:t>
            </w:r>
            <w:r/>
          </w:p>
        </w:tc>
        <w:tc>
          <w:tcPr>
            <w:gridSpan w:val="2"/>
            <w:tcW w:w="1948" w:type="dxa"/>
            <w:vAlign w:val="center"/>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社会工作</w:t>
            </w:r>
            <w:r/>
          </w:p>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职业资格</w:t>
            </w:r>
            <w:r/>
          </w:p>
        </w:tc>
        <w:tc>
          <w:tcPr>
            <w:gridSpan w:val="4"/>
            <w:tcW w:w="1782" w:type="dxa"/>
            <w:vAlign w:val="center"/>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在项目中的</w:t>
            </w:r>
            <w:r/>
          </w:p>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角色分工</w:t>
            </w:r>
            <w:r/>
          </w:p>
        </w:tc>
        <w:tc>
          <w:tcPr>
            <w:gridSpan w:val="5"/>
            <w:tcW w:w="1883" w:type="dxa"/>
            <w:vAlign w:val="center"/>
            <w:textDirection w:val="lrTb"/>
            <w:noWrap w:val="false"/>
          </w:tcPr>
          <w:p>
            <w:pPr>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联系电话</w:t>
            </w:r>
            <w:r/>
          </w:p>
        </w:tc>
      </w:tr>
      <w:tr>
        <w:trPr>
          <w:jc w:val="center"/>
          <w:trHeight w:val="567"/>
        </w:trPr>
        <w:tc>
          <w:tcPr>
            <w:gridSpan w:val="3"/>
            <w:tcW w:w="172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2"/>
            <w:tcW w:w="1516"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94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5"/>
            <w:tcW w:w="188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3"/>
            <w:tcW w:w="172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2"/>
            <w:tcW w:w="1516"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94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5"/>
            <w:tcW w:w="188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3"/>
            <w:tcW w:w="172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2"/>
            <w:tcW w:w="1516"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94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5"/>
            <w:tcW w:w="188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3"/>
            <w:tcW w:w="172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2"/>
            <w:tcW w:w="1516"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94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5"/>
            <w:tcW w:w="188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3"/>
            <w:tcW w:w="1726"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gridSpan w:val="2"/>
            <w:tcW w:w="1516"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W w:w="1948"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1782"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5"/>
            <w:tcW w:w="1883" w:type="dxa"/>
            <w:vAlign w:val="center"/>
            <w:textDirection w:val="lrTb"/>
            <w:noWrap w:val="false"/>
          </w:tcPr>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3"/>
            <w:tcW w:w="1726" w:type="dxa"/>
            <w:vAlign w:val="center"/>
            <w:vMerge w:val="restart"/>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项目负责人</w:t>
            </w:r>
            <w:r/>
          </w:p>
        </w:tc>
        <w:tc>
          <w:tcPr>
            <w:gridSpan w:val="2"/>
            <w:tcW w:w="1516" w:type="dxa"/>
            <w:vAlign w:val="center"/>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姓名</w:t>
            </w:r>
            <w:r/>
          </w:p>
        </w:tc>
        <w:tc>
          <w:tcPr>
            <w:gridSpan w:val="2"/>
            <w:tcW w:w="1948"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gridSpan w:val="4"/>
            <w:tcW w:w="1782" w:type="dxa"/>
            <w:vAlign w:val="center"/>
            <w:textDirection w:val="lrTb"/>
            <w:noWrap w:val="false"/>
          </w:tcPr>
          <w:p>
            <w:pPr>
              <w:jc w:val="center"/>
              <w:keepLines w:val="0"/>
              <w:pageBreakBefore w:val="0"/>
              <w:spacing w:line="520" w:lineRule="exact"/>
              <w:widowControl/>
              <w:rPr>
                <w:rFonts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性别</w:t>
            </w:r>
            <w:r/>
          </w:p>
        </w:tc>
        <w:tc>
          <w:tcPr>
            <w:gridSpan w:val="5"/>
            <w:tcW w:w="1883"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r>
      <w:tr>
        <w:trPr>
          <w:jc w:val="center"/>
          <w:trHeight w:val="567"/>
        </w:trPr>
        <w:tc>
          <w:tcPr>
            <w:gridSpan w:val="3"/>
            <w:tcW w:w="1726" w:type="dxa"/>
            <w:vAlign w:val="center"/>
            <w:vMerge w:val="continue"/>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gridSpan w:val="2"/>
            <w:tcW w:w="1516" w:type="dxa"/>
            <w:vAlign w:val="center"/>
            <w:textDirection w:val="lrTb"/>
            <w:noWrap w:val="false"/>
          </w:tcPr>
          <w:p>
            <w:pPr>
              <w:jc w:val="center"/>
              <w:keepLines w:val="0"/>
              <w:pageBreakBefore w:val="0"/>
              <w:spacing w:line="520" w:lineRule="exact"/>
              <w:widowControl/>
              <w:rPr>
                <w:rFonts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出生年月</w:t>
            </w:r>
            <w:r/>
          </w:p>
        </w:tc>
        <w:tc>
          <w:tcPr>
            <w:gridSpan w:val="2"/>
            <w:tcW w:w="1948"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gridSpan w:val="4"/>
            <w:tcW w:w="1782" w:type="dxa"/>
            <w:vAlign w:val="center"/>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联系方式</w:t>
            </w:r>
            <w:r/>
          </w:p>
        </w:tc>
        <w:tc>
          <w:tcPr>
            <w:gridSpan w:val="5"/>
            <w:tcW w:w="1883"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r>
      <w:tr>
        <w:trPr>
          <w:jc w:val="center"/>
          <w:trHeight w:val="567"/>
        </w:trPr>
        <w:tc>
          <w:tcPr>
            <w:gridSpan w:val="3"/>
            <w:tcW w:w="1726" w:type="dxa"/>
            <w:vAlign w:val="center"/>
            <w:vMerge w:val="continue"/>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gridSpan w:val="2"/>
            <w:tcW w:w="1516" w:type="dxa"/>
            <w:vAlign w:val="center"/>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邮箱</w:t>
            </w:r>
            <w:r/>
          </w:p>
        </w:tc>
        <w:tc>
          <w:tcPr>
            <w:gridSpan w:val="2"/>
            <w:tcW w:w="1948"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gridSpan w:val="4"/>
            <w:tcW w:w="1782" w:type="dxa"/>
            <w:vAlign w:val="center"/>
            <w:textDirection w:val="lrTb"/>
            <w:noWrap w:val="false"/>
          </w:tcPr>
          <w:p>
            <w:pPr>
              <w:jc w:val="center"/>
              <w:keepLines w:val="0"/>
              <w:pageBreakBefore w:val="0"/>
              <w:spacing w:line="520" w:lineRule="exact"/>
              <w:widowControl/>
              <w:rPr>
                <w:rFonts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学历及专业</w:t>
            </w:r>
            <w:r/>
          </w:p>
        </w:tc>
        <w:tc>
          <w:tcPr>
            <w:gridSpan w:val="5"/>
            <w:tcW w:w="1883"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r>
      <w:tr>
        <w:trPr>
          <w:jc w:val="center"/>
          <w:trHeight w:val="567"/>
        </w:trPr>
        <w:tc>
          <w:tcPr>
            <w:gridSpan w:val="3"/>
            <w:tcW w:w="1726" w:type="dxa"/>
            <w:vAlign w:val="center"/>
            <w:vMerge w:val="continue"/>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gridSpan w:val="2"/>
            <w:tcW w:w="1516" w:type="dxa"/>
            <w:vAlign w:val="center"/>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社会工作</w:t>
            </w:r>
            <w:r/>
          </w:p>
          <w:p>
            <w:pPr>
              <w:jc w:val="center"/>
              <w:keepLines w:val="0"/>
              <w:pageBreakBefore w:val="0"/>
              <w:spacing w:line="5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职业资格</w:t>
            </w:r>
            <w:r/>
          </w:p>
        </w:tc>
        <w:tc>
          <w:tcPr>
            <w:gridSpan w:val="2"/>
            <w:tcW w:w="1948"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gridSpan w:val="4"/>
            <w:tcW w:w="1782" w:type="dxa"/>
            <w:vAlign w:val="center"/>
            <w:textDirection w:val="lrTb"/>
            <w:noWrap w:val="false"/>
          </w:tcPr>
          <w:p>
            <w:pPr>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从业年限</w:t>
            </w:r>
            <w:r/>
          </w:p>
        </w:tc>
        <w:tc>
          <w:tcPr>
            <w:gridSpan w:val="5"/>
            <w:tcW w:w="1883"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r>
      <w:tr>
        <w:trPr>
          <w:jc w:val="center"/>
          <w:trHeight w:val="2338"/>
        </w:trPr>
        <w:tc>
          <w:tcPr>
            <w:gridSpan w:val="3"/>
            <w:tcW w:w="1726" w:type="dxa"/>
            <w:vAlign w:val="center"/>
            <w:textDirection w:val="lrTb"/>
            <w:noWrap w:val="false"/>
          </w:tcPr>
          <w:p>
            <w:pPr>
              <w:jc w:val="left"/>
              <w:keepLines w:val="0"/>
              <w:pageBreakBefore w:val="0"/>
              <w:spacing w:line="520" w:lineRule="exact"/>
              <w:widowControl/>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执行项目经验介绍及其他需求介绍的内容</w:t>
            </w:r>
            <w:r/>
          </w:p>
        </w:tc>
        <w:tc>
          <w:tcPr>
            <w:gridSpan w:val="13"/>
            <w:tcW w:w="7129" w:type="dxa"/>
            <w:vAlign w:val="center"/>
            <w:textDirection w:val="lrTb"/>
            <w:noWrap w:val="false"/>
          </w:tcPr>
          <w:p>
            <w:pPr>
              <w:ind w:left="0" w:firstLine="482"/>
              <w:jc w:val="left"/>
              <w:keepLines w:val="0"/>
              <w:pageBreakBefore w:val="0"/>
              <w:spacing w:line="5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r>
      <w:tr>
        <w:trPr>
          <w:jc w:val="center"/>
          <w:trHeight w:val="567"/>
        </w:trPr>
        <w:tc>
          <w:tcPr>
            <w:gridSpan w:val="16"/>
            <w:shd w:val="clear" w:color="auto" w:fill="eeece1"/>
            <w:tcW w:w="8855" w:type="dxa"/>
            <w:vAlign w:val="center"/>
            <w:textDirection w:val="lrTb"/>
            <w:noWrap w:val="false"/>
          </w:tcPr>
          <w:p>
            <w:pPr>
              <w:ind w:left="0" w:firstLine="482"/>
              <w:jc w:val="center"/>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申报单位意见</w:t>
            </w:r>
            <w:r/>
          </w:p>
        </w:tc>
      </w:tr>
      <w:tr>
        <w:trPr>
          <w:jc w:val="center"/>
          <w:trHeight w:val="3614"/>
        </w:trPr>
        <w:tc>
          <w:tcPr>
            <w:gridSpan w:val="16"/>
            <w:tcW w:w="8855" w:type="dxa"/>
            <w:vAlign w:val="center"/>
            <w:textDirection w:val="lrTb"/>
            <w:noWrap w:val="false"/>
          </w:tcPr>
          <w:p>
            <w:pPr>
              <w:ind w:left="0" w:firstLine="480"/>
              <w:jc w:val="left"/>
              <w:keepLines w:val="0"/>
              <w:keepNext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保证项目申报材料真实、合法、有效，已制定项目实施计划、方案，确保项目如期完成；确认申报书中所列配套资金数额真实有效，来源合法可靠，保证配套资金及时到位；将按法律、法规有关规定，接受项目监管、审计、督导和评估，并承担相应责任。</w:t>
            </w:r>
            <w:r/>
          </w:p>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0" w:firstLine="480"/>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                                   （单位盖章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jc w:val="left"/>
              <w:keepLines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年    月    日</w:t>
            </w:r>
            <w:r/>
          </w:p>
        </w:tc>
      </w:tr>
    </w:tbl>
    <w:p>
      <w:pPr>
        <w:ind w:left="0" w:firstLine="420"/>
        <w:jc w:val="left"/>
        <w:keepLines w:val="0"/>
        <w:pageBreakBefore w:val="0"/>
        <w:spacing w:line="520" w:lineRule="exact"/>
      </w:pPr>
      <w:r/>
      <w:r/>
    </w:p>
    <w:p>
      <w:pPr>
        <w:ind w:left="0" w:firstLine="562"/>
        <w:jc w:val="left"/>
        <w:keepLines w:val="0"/>
        <w:keepNext w:val="0"/>
        <w:pageBreakBefore w:val="0"/>
        <w:spacing w:line="520" w:lineRule="exact"/>
        <w:widowControl w:val="off"/>
        <w:rPr>
          <w:rFonts w:hint="eastAsia" w:ascii="仿宋" w:hAnsi="仿宋" w:eastAsia="仿宋" w:cs="仿宋"/>
          <w:b/>
          <w:bCs w:val="0"/>
          <w:sz w:val="28"/>
          <w:szCs w:val="28"/>
          <w:highlight w:val="none"/>
          <w:lang w:val="en-US" w:eastAsia="zh-CN" w:bidi="ar-SA"/>
        </w:rPr>
      </w:pPr>
      <w:r>
        <w:rPr>
          <w:rFonts w:hint="eastAsia" w:ascii="仿宋" w:hAnsi="仿宋" w:eastAsia="仿宋" w:cs="仿宋"/>
          <w:b/>
          <w:bCs w:val="0"/>
          <w:sz w:val="28"/>
          <w:szCs w:val="28"/>
          <w:highlight w:val="none"/>
          <w:lang w:val="en-US" w:eastAsia="zh-CN" w:bidi="ar-SA"/>
        </w:rPr>
      </w:r>
      <w:r/>
    </w:p>
    <w:p>
      <w:pPr>
        <w:ind w:left="0" w:firstLine="562"/>
        <w:jc w:val="left"/>
        <w:keepLines w:val="0"/>
        <w:keepNext w:val="0"/>
        <w:pageBreakBefore w:val="0"/>
        <w:spacing w:line="520" w:lineRule="exact"/>
        <w:widowControl w:val="off"/>
        <w:rPr>
          <w:rFonts w:hint="eastAsia" w:ascii="仿宋" w:hAnsi="仿宋" w:eastAsia="仿宋" w:cs="仿宋"/>
          <w:b/>
          <w:bCs w:val="0"/>
          <w:sz w:val="28"/>
          <w:szCs w:val="28"/>
          <w:highlight w:val="none"/>
          <w:lang w:val="en-US" w:eastAsia="zh-CN" w:bidi="ar-SA"/>
        </w:rPr>
      </w:pPr>
      <w:r>
        <w:rPr>
          <w:rFonts w:hint="eastAsia" w:ascii="仿宋" w:hAnsi="仿宋" w:eastAsia="仿宋" w:cs="仿宋"/>
          <w:b/>
          <w:bCs w:val="0"/>
          <w:sz w:val="28"/>
          <w:szCs w:val="28"/>
          <w:highlight w:val="none"/>
          <w:lang w:val="en-US" w:eastAsia="zh-CN" w:bidi="ar-SA"/>
        </w:rPr>
        <w:t xml:space="preserve">注：公益创投实施过程中应严格遵循以下制度：</w:t>
      </w:r>
      <w:r/>
    </w:p>
    <w:p>
      <w:pPr>
        <w:ind w:left="0" w:firstLine="480"/>
        <w:jc w:val="left"/>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《江宁区社会组织公益创投项目管理办法》</w:t>
      </w:r>
      <w:r/>
    </w:p>
    <w:p>
      <w:pPr>
        <w:ind w:left="0" w:firstLine="482"/>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jc w:val="left"/>
        <w:keepLines w:val="0"/>
        <w:pageBreakBefore w:val="0"/>
        <w:spacing w:line="520" w:lineRule="exact"/>
        <w:shd w:val="clear" w:color="auto" w:fill="ffffff"/>
        <w:widowControl/>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pStyle w:val="732"/>
        <w:spacing w:before="30" w:beforeAutospacing="0" w:after="30" w:afterAutospacing="0" w:line="0" w:lineRule="atLeast"/>
        <w:rPr>
          <w:rFonts w:hint="eastAsia" w:ascii="仿宋" w:hAnsi="仿宋" w:eastAsia="方正魏碑_GBK" w:cs="仿宋"/>
          <w:color w:val="000000" w:themeColor="text1"/>
          <w:sz w:val="22"/>
          <w:szCs w:val="24"/>
          <w:shd w:val="clear" w:color="auto" w:fill="ffffff"/>
          <w:lang w:val="en-US"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附件十</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方正魏碑_GBK" w:hAnsi="方正魏碑_GBK" w:eastAsia="方正魏碑_GBK" w:cs="方正魏碑_GBK"/>
          <w:b/>
          <w:color w:val="000000" w:themeColor="text1"/>
          <w:sz w:val="24"/>
          <w:szCs w:val="24"/>
          <w14:textFill>
            <w14:solidFill>
              <w14:schemeClr w14:val="tx1"/>
            </w14:solidFill>
          </w14:textFill>
        </w:rPr>
        <w:t xml:space="preserve"> </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其他</w:t>
      </w:r>
      <w:r/>
    </w:p>
    <w:p>
      <w:pPr>
        <w:jc w:val="left"/>
        <w:keepLines w:val="0"/>
        <w:pageBreakBefore w:val="0"/>
        <w:spacing w:line="520" w:lineRule="exact"/>
        <w:shd w:val="clear" w:color="auto" w:fill="ffffff"/>
        <w:widowControl/>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sectPr>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公文小标宋">
    <w:panose1 w:val="020B0503020202020204"/>
  </w:font>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仿宋">
    <w:panose1 w:val="02010609060101010101"/>
  </w:font>
  <w:font w:name="等线 Light">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68"/>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8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18"/>
      <w:isLgl w:val="false"/>
      <w:suff w:val="tab"/>
      <w:lvlText w:val="%1"/>
      <w:lvlJc w:val="left"/>
      <w:pPr>
        <w:ind w:left="567" w:hanging="567"/>
        <w:tabs>
          <w:tab w:val="left" w:pos="567" w:leader="none"/>
        </w:tabs>
      </w:pPr>
    </w:lvl>
    <w:lvl w:ilvl="1">
      <w:start w:val="1"/>
      <w:numFmt w:val="decimal"/>
      <w:pStyle w:val="1117"/>
      <w:isLgl w:val="false"/>
      <w:suff w:val="tab"/>
      <w:lvlText w:val="%1.%2"/>
      <w:lvlJc w:val="left"/>
      <w:pPr>
        <w:ind w:left="567" w:hanging="283"/>
        <w:tabs>
          <w:tab w:val="left" w:pos="1004" w:leader="none"/>
        </w:tabs>
      </w:pPr>
    </w:lvl>
    <w:lvl w:ilvl="2">
      <w:start w:val="1"/>
      <w:numFmt w:val="decimal"/>
      <w:pStyle w:val="1123"/>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3">
    <w:multiLevelType w:val="hybridMultilevel"/>
    <w:lvl w:ilvl="0">
      <w:start w:val="1"/>
      <w:numFmt w:val="bullet"/>
      <w:pStyle w:val="101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jc w:val="both"/>
      <w:widowControl w:val="off"/>
    </w:pPr>
    <w:rPr>
      <w:rFonts w:hint="default" w:asciiTheme="minorHAnsi" w:hAnsiTheme="minorHAnsi" w:eastAsiaTheme="minorEastAsia" w:cstheme="minorBidi"/>
      <w:sz w:val="21"/>
      <w:szCs w:val="22"/>
      <w14:ligatures w14:val="standardContextual"/>
    </w:rPr>
  </w:style>
  <w:style w:type="paragraph" w:styleId="678">
    <w:name w:val="Heading 1"/>
    <w:basedOn w:val="677"/>
    <w:next w:val="677"/>
    <w:link w:val="894"/>
    <w:uiPriority w:val="0"/>
    <w:qFormat/>
    <w:pPr>
      <w:ind w:firstLine="2890"/>
      <w:keepNext/>
      <w:tabs>
        <w:tab w:val="left" w:pos="1440" w:leader="none"/>
        <w:tab w:val="left" w:pos="5670" w:leader="none"/>
      </w:tabs>
      <w:outlineLvl w:val="0"/>
    </w:pPr>
    <w:rPr>
      <w:rFonts w:ascii="黑体" w:hAnsi="Times New Roman" w:eastAsia="黑体" w:cs="Times New Roman"/>
      <w:b/>
      <w:sz w:val="24"/>
      <w:szCs w:val="28"/>
      <w14:ligatures w14:val="none"/>
    </w:rPr>
  </w:style>
  <w:style w:type="paragraph" w:styleId="679">
    <w:name w:val="Heading 2"/>
    <w:basedOn w:val="677"/>
    <w:next w:val="677"/>
    <w:link w:val="895"/>
    <w:uiPriority w:val="99"/>
    <w:unhideWhenUsed/>
    <w:qFormat/>
    <w:pPr>
      <w:jc w:val="left"/>
      <w:keepLines/>
      <w:keepNext/>
      <w:spacing w:before="120" w:after="120"/>
      <w:outlineLvl w:val="1"/>
    </w:pPr>
    <w:rPr>
      <w:rFonts w:ascii="宋体" w:hAnsi="宋体" w:eastAsia="宋体" w:cs="Times New Roman"/>
      <w:b/>
      <w:szCs w:val="24"/>
      <w14:ligatures w14:val="none"/>
    </w:rPr>
  </w:style>
  <w:style w:type="paragraph" w:styleId="680">
    <w:name w:val="Heading 3"/>
    <w:basedOn w:val="677"/>
    <w:next w:val="689"/>
    <w:link w:val="896"/>
    <w:uiPriority w:val="0"/>
    <w:semiHidden/>
    <w:unhideWhenUsed/>
    <w:qFormat/>
    <w:pPr>
      <w:keepLines/>
      <w:keepNext/>
      <w:spacing w:line="390" w:lineRule="atLeast"/>
      <w:shd w:val="clear" w:color="auto" w:fill="ffffff"/>
      <w:outlineLvl w:val="2"/>
    </w:pPr>
    <w:rPr>
      <w:rFonts w:ascii="宋体" w:hAnsi="宋体" w:eastAsia="宋体" w:cs="Times New Roman"/>
      <w:b/>
      <w:szCs w:val="21"/>
      <w14:ligatures w14:val="none"/>
    </w:rPr>
  </w:style>
  <w:style w:type="paragraph" w:styleId="681">
    <w:name w:val="Heading 4"/>
    <w:basedOn w:val="677"/>
    <w:next w:val="689"/>
    <w:link w:val="897"/>
    <w:uiPriority w:val="0"/>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682">
    <w:name w:val="Heading 5"/>
    <w:basedOn w:val="677"/>
    <w:next w:val="689"/>
    <w:link w:val="898"/>
    <w:uiPriority w:val="0"/>
    <w:semiHidden/>
    <w:unhideWhenUsed/>
    <w:qFormat/>
    <w:pPr>
      <w:keepNext/>
      <w:outlineLvl w:val="4"/>
    </w:pPr>
    <w:rPr>
      <w:rFonts w:ascii="黑体" w:hAnsi="Times New Roman" w:eastAsia="黑体" w:cs="Times New Roman"/>
      <w:b/>
      <w:color w:val="000000"/>
      <w:sz w:val="28"/>
      <w:szCs w:val="20"/>
      <w14:ligatures w14:val="none"/>
    </w:rPr>
  </w:style>
  <w:style w:type="paragraph" w:styleId="683">
    <w:name w:val="Heading 6"/>
    <w:basedOn w:val="677"/>
    <w:next w:val="677"/>
    <w:link w:val="899"/>
    <w:uiPriority w:val="0"/>
    <w:semiHidden/>
    <w:unhideWhenUsed/>
    <w:qFormat/>
    <w:pPr>
      <w:keepLines/>
      <w:keepNext/>
      <w:spacing w:before="240" w:after="64" w:line="319" w:lineRule="auto"/>
      <w:outlineLvl w:val="5"/>
    </w:pPr>
    <w:rPr>
      <w:rFonts w:ascii="Arial" w:hAnsi="Arial" w:eastAsia="黑体" w:cs="Times New Roman"/>
      <w:b/>
      <w:bCs/>
      <w:sz w:val="24"/>
      <w:szCs w:val="24"/>
      <w14:ligatures w14:val="none"/>
    </w:rPr>
  </w:style>
  <w:style w:type="paragraph" w:styleId="684">
    <w:name w:val="Heading 7"/>
    <w:basedOn w:val="677"/>
    <w:next w:val="677"/>
    <w:link w:val="900"/>
    <w:uiPriority w:val="99"/>
    <w:semiHidden/>
    <w:unhideWhenUsed/>
    <w:qFormat/>
    <w:pPr>
      <w:keepLines/>
      <w:keepNext/>
      <w:spacing w:before="240" w:after="64" w:line="319" w:lineRule="auto"/>
      <w:outlineLvl w:val="6"/>
    </w:pPr>
    <w:rPr>
      <w:rFonts w:ascii="Times New Roman" w:hAnsi="Times New Roman" w:eastAsia="宋体" w:cs="Times New Roman"/>
      <w:b/>
      <w:bCs/>
      <w:sz w:val="24"/>
      <w:szCs w:val="24"/>
      <w14:ligatures w14:val="none"/>
    </w:rPr>
  </w:style>
  <w:style w:type="paragraph" w:styleId="685">
    <w:name w:val="Heading 8"/>
    <w:basedOn w:val="677"/>
    <w:next w:val="677"/>
    <w:link w:val="901"/>
    <w:uiPriority w:val="99"/>
    <w:semiHidden/>
    <w:unhideWhenUsed/>
    <w:qFormat/>
    <w:pPr>
      <w:keepLines/>
      <w:keepNext/>
      <w:spacing w:before="240" w:after="64" w:line="319" w:lineRule="auto"/>
      <w:outlineLvl w:val="7"/>
    </w:pPr>
    <w:rPr>
      <w:rFonts w:ascii="Arial" w:hAnsi="Arial" w:eastAsia="黑体" w:cs="Times New Roman"/>
      <w:sz w:val="24"/>
      <w:szCs w:val="24"/>
      <w14:ligatures w14:val="none"/>
    </w:rPr>
  </w:style>
  <w:style w:type="paragraph" w:styleId="686">
    <w:name w:val="Heading 9"/>
    <w:basedOn w:val="677"/>
    <w:next w:val="677"/>
    <w:link w:val="902"/>
    <w:uiPriority w:val="99"/>
    <w:semiHidden/>
    <w:unhideWhenUsed/>
    <w:qFormat/>
    <w:pPr>
      <w:keepLines/>
      <w:keepNext/>
      <w:spacing w:before="240" w:after="64" w:line="319" w:lineRule="auto"/>
      <w:outlineLvl w:val="8"/>
    </w:pPr>
    <w:rPr>
      <w:rFonts w:ascii="Arial" w:hAnsi="Arial" w:eastAsia="黑体" w:cs="Times New Roman"/>
      <w:szCs w:val="21"/>
      <w14:ligatures w14:val="none"/>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Normal Indent"/>
    <w:basedOn w:val="677"/>
    <w:link w:val="905"/>
    <w:uiPriority w:val="99"/>
    <w:semiHidden/>
    <w:unhideWhenUsed/>
    <w:qFormat/>
    <w:pPr>
      <w:ind w:firstLine="420"/>
    </w:pPr>
    <w:rPr>
      <w:rFonts w:ascii="Times New Roman" w:hAnsi="Times New Roman" w:eastAsia="宋体" w:cs="Times New Roman"/>
      <w:szCs w:val="20"/>
      <w14:ligatures w14:val="none"/>
    </w:rPr>
  </w:style>
  <w:style w:type="paragraph" w:styleId="690">
    <w:name w:val="List 3"/>
    <w:basedOn w:val="677"/>
    <w:uiPriority w:val="99"/>
    <w:semiHidden/>
    <w:unhideWhenUsed/>
    <w:qFormat/>
    <w:pPr>
      <w:ind w:left="1260" w:hanging="420"/>
    </w:pPr>
    <w:rPr>
      <w:rFonts w:ascii="Times New Roman" w:hAnsi="Times New Roman" w:eastAsia="宋体" w:cs="Times New Roman"/>
      <w:szCs w:val="20"/>
      <w14:ligatures w14:val="none"/>
    </w:rPr>
  </w:style>
  <w:style w:type="paragraph" w:styleId="691">
    <w:name w:val="toc 7"/>
    <w:basedOn w:val="677"/>
    <w:next w:val="677"/>
    <w:uiPriority w:val="99"/>
    <w:semiHidden/>
    <w:unhideWhenUsed/>
    <w:qFormat/>
    <w:pPr>
      <w:ind w:left="1260"/>
      <w:jc w:val="left"/>
    </w:pPr>
    <w:rPr>
      <w:rFonts w:ascii="Times New Roman" w:hAnsi="Times New Roman" w:eastAsia="宋体" w:cs="Times New Roman"/>
      <w:sz w:val="18"/>
      <w:szCs w:val="20"/>
      <w14:ligatures w14:val="none"/>
    </w:rPr>
  </w:style>
  <w:style w:type="paragraph" w:styleId="692">
    <w:name w:val="List Number 2"/>
    <w:basedOn w:val="677"/>
    <w:uiPriority w:val="99"/>
    <w:semiHidden/>
    <w:unhideWhenUsed/>
    <w:qFormat/>
    <w:pPr>
      <w:ind w:left="1440" w:hanging="1440"/>
      <w:spacing w:line="360" w:lineRule="auto"/>
      <w:tabs>
        <w:tab w:val="left" w:pos="1440" w:leader="none"/>
      </w:tabs>
    </w:pPr>
    <w:rPr>
      <w:rFonts w:ascii="Times New Roman" w:hAnsi="Times New Roman" w:eastAsia="宋体" w:cs="Times New Roman"/>
      <w:sz w:val="24"/>
      <w:szCs w:val="24"/>
      <w14:ligatures w14:val="none"/>
    </w:rPr>
  </w:style>
  <w:style w:type="paragraph" w:styleId="693">
    <w:name w:val="index 8"/>
    <w:basedOn w:val="677"/>
    <w:next w:val="677"/>
    <w:uiPriority w:val="99"/>
    <w:semiHidden/>
    <w:unhideWhenUsed/>
    <w:qFormat/>
    <w:pPr>
      <w:ind w:left="2940"/>
    </w:pPr>
    <w:rPr>
      <w:rFonts w:ascii="Times New Roman" w:hAnsi="Times New Roman" w:eastAsia="宋体" w:cs="Times New Roman"/>
      <w:szCs w:val="20"/>
      <w14:ligatures w14:val="none"/>
    </w:rPr>
  </w:style>
  <w:style w:type="paragraph" w:styleId="694">
    <w:name w:val="List Number"/>
    <w:basedOn w:val="677"/>
    <w:uiPriority w:val="99"/>
    <w:semiHidden/>
    <w:unhideWhenUsed/>
    <w:qFormat/>
    <w:pPr>
      <w:ind w:left="2952" w:hanging="432"/>
      <w:tabs>
        <w:tab w:val="left" w:pos="2952" w:leader="none"/>
      </w:tabs>
    </w:pPr>
    <w:rPr>
      <w:rFonts w:ascii="Times New Roman" w:hAnsi="Times New Roman" w:eastAsia="宋体" w:cs="Times New Roman"/>
      <w:szCs w:val="24"/>
      <w14:ligatures w14:val="none"/>
    </w:rPr>
  </w:style>
  <w:style w:type="paragraph" w:styleId="695">
    <w:name w:val="Caption"/>
    <w:basedOn w:val="677"/>
    <w:next w:val="67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96">
    <w:name w:val="index 5"/>
    <w:basedOn w:val="677"/>
    <w:next w:val="677"/>
    <w:uiPriority w:val="99"/>
    <w:semiHidden/>
    <w:unhideWhenUsed/>
    <w:qFormat/>
    <w:pPr>
      <w:ind w:left="1680"/>
    </w:pPr>
    <w:rPr>
      <w:rFonts w:ascii="Times New Roman" w:hAnsi="Times New Roman" w:eastAsia="宋体" w:cs="Times New Roman"/>
      <w:szCs w:val="20"/>
      <w14:ligatures w14:val="none"/>
    </w:rPr>
  </w:style>
  <w:style w:type="paragraph" w:styleId="697">
    <w:name w:val="Document Map"/>
    <w:basedOn w:val="677"/>
    <w:link w:val="924"/>
    <w:uiPriority w:val="99"/>
    <w:semiHidden/>
    <w:unhideWhenUsed/>
    <w:qFormat/>
    <w:pPr>
      <w:shd w:val="clear" w:color="auto" w:fill="000080"/>
    </w:pPr>
    <w:rPr>
      <w:rFonts w:ascii="Times New Roman" w:hAnsi="Times New Roman" w:eastAsia="宋体" w:cs="Times New Roman"/>
      <w:szCs w:val="20"/>
      <w14:ligatures w14:val="none"/>
    </w:rPr>
  </w:style>
  <w:style w:type="paragraph" w:styleId="698">
    <w:name w:val="annotation text"/>
    <w:basedOn w:val="677"/>
    <w:link w:val="907"/>
    <w:uiPriority w:val="99"/>
    <w:unhideWhenUsed/>
    <w:qFormat/>
    <w:pPr>
      <w:jc w:val="left"/>
    </w:pPr>
    <w:rPr>
      <w:rFonts w:ascii="Times New Roman" w:hAnsi="Times New Roman" w:eastAsia="宋体" w:cs="Times New Roman"/>
      <w:szCs w:val="20"/>
      <w14:ligatures w14:val="none"/>
    </w:rPr>
  </w:style>
  <w:style w:type="paragraph" w:styleId="699">
    <w:name w:val="index 6"/>
    <w:basedOn w:val="677"/>
    <w:next w:val="677"/>
    <w:uiPriority w:val="99"/>
    <w:semiHidden/>
    <w:unhideWhenUsed/>
    <w:qFormat/>
    <w:pPr>
      <w:ind w:left="2100"/>
    </w:pPr>
    <w:rPr>
      <w:rFonts w:ascii="Times New Roman" w:hAnsi="Times New Roman" w:eastAsia="宋体" w:cs="Times New Roman"/>
      <w:szCs w:val="20"/>
      <w14:ligatures w14:val="none"/>
    </w:rPr>
  </w:style>
  <w:style w:type="paragraph" w:styleId="700">
    <w:name w:val="Salutation"/>
    <w:basedOn w:val="677"/>
    <w:next w:val="677"/>
    <w:link w:val="916"/>
    <w:uiPriority w:val="99"/>
    <w:semiHidden/>
    <w:unhideWhenUsed/>
    <w:qFormat/>
    <w:rPr>
      <w:rFonts w:ascii="仿宋_GB2312" w:hAnsi="Times New Roman" w:eastAsia="仿宋_GB2312" w:cs="Times New Roman"/>
      <w:sz w:val="28"/>
      <w:szCs w:val="20"/>
      <w14:ligatures w14:val="none"/>
    </w:rPr>
  </w:style>
  <w:style w:type="paragraph" w:styleId="701">
    <w:name w:val="Body Text 3"/>
    <w:basedOn w:val="677"/>
    <w:link w:val="921"/>
    <w:uiPriority w:val="99"/>
    <w:semiHidden/>
    <w:unhideWhenUsed/>
    <w:qFormat/>
    <w:rPr>
      <w:rFonts w:ascii="仿宋_GB2312" w:hAnsi="Arial" w:eastAsia="仿宋_GB2312" w:cs="Times New Roman"/>
      <w:sz w:val="32"/>
      <w:szCs w:val="20"/>
      <w14:ligatures w14:val="none"/>
    </w:rPr>
  </w:style>
  <w:style w:type="paragraph" w:styleId="702">
    <w:name w:val="Body Text"/>
    <w:basedOn w:val="677"/>
    <w:next w:val="703"/>
    <w:link w:val="913"/>
    <w:uiPriority w:val="99"/>
    <w:unhideWhenUsed/>
    <w:qFormat/>
    <w:rPr>
      <w:rFonts w:ascii="楷体_GB2312" w:hAnsi="Arial" w:eastAsia="楷体_GB2312" w:cs="Times New Roman"/>
      <w:sz w:val="28"/>
      <w:szCs w:val="20"/>
      <w14:ligatures w14:val="none"/>
    </w:rPr>
  </w:style>
  <w:style w:type="paragraph" w:styleId="703">
    <w:name w:val="Body Text 2"/>
    <w:basedOn w:val="677"/>
    <w:link w:val="920"/>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704">
    <w:name w:val="Body Text Indent"/>
    <w:basedOn w:val="677"/>
    <w:link w:val="914"/>
    <w:uiPriority w:val="99"/>
    <w:semiHidden/>
    <w:unhideWhenUsed/>
    <w:qFormat/>
    <w:pPr>
      <w:ind w:firstLine="645"/>
    </w:pPr>
    <w:rPr>
      <w:rFonts w:ascii="楷体_GB2312" w:hAnsi="Times New Roman" w:eastAsia="楷体_GB2312" w:cs="Times New Roman"/>
      <w:sz w:val="32"/>
      <w:szCs w:val="20"/>
      <w14:ligatures w14:val="none"/>
    </w:rPr>
  </w:style>
  <w:style w:type="paragraph" w:styleId="705">
    <w:name w:val="index 4"/>
    <w:basedOn w:val="677"/>
    <w:next w:val="677"/>
    <w:uiPriority w:val="99"/>
    <w:semiHidden/>
    <w:unhideWhenUsed/>
    <w:qFormat/>
    <w:pPr>
      <w:ind w:left="1260"/>
    </w:pPr>
    <w:rPr>
      <w:rFonts w:ascii="Times New Roman" w:hAnsi="Times New Roman" w:eastAsia="宋体" w:cs="Times New Roman"/>
      <w:szCs w:val="20"/>
      <w14:ligatures w14:val="none"/>
    </w:rPr>
  </w:style>
  <w:style w:type="paragraph" w:styleId="706">
    <w:name w:val="toc 5"/>
    <w:basedOn w:val="677"/>
    <w:next w:val="677"/>
    <w:uiPriority w:val="99"/>
    <w:semiHidden/>
    <w:unhideWhenUsed/>
    <w:qFormat/>
    <w:pPr>
      <w:ind w:left="840"/>
      <w:jc w:val="left"/>
    </w:pPr>
    <w:rPr>
      <w:rFonts w:ascii="Times New Roman" w:hAnsi="Times New Roman" w:eastAsia="宋体" w:cs="Times New Roman"/>
      <w:sz w:val="18"/>
      <w:szCs w:val="20"/>
      <w14:ligatures w14:val="none"/>
    </w:rPr>
  </w:style>
  <w:style w:type="paragraph" w:styleId="707">
    <w:name w:val="toc 3"/>
    <w:basedOn w:val="677"/>
    <w:next w:val="677"/>
    <w:uiPriority w:val="39"/>
    <w:semiHidden/>
    <w:unhideWhenUsed/>
    <w:qFormat/>
    <w:pPr>
      <w:ind w:left="420"/>
      <w:jc w:val="left"/>
    </w:pPr>
    <w:rPr>
      <w:rFonts w:ascii="Times New Roman" w:hAnsi="Times New Roman" w:eastAsia="宋体" w:cs="Times New Roman"/>
      <w:i/>
      <w:sz w:val="20"/>
      <w:szCs w:val="20"/>
      <w14:ligatures w14:val="none"/>
    </w:rPr>
  </w:style>
  <w:style w:type="paragraph" w:styleId="708">
    <w:name w:val="Plain Text"/>
    <w:basedOn w:val="677"/>
    <w:next w:val="702"/>
    <w:link w:val="1148"/>
    <w:uiPriority w:val="0"/>
    <w:unhideWhenUsed/>
    <w:qFormat/>
    <w:rPr>
      <w:rFonts w:ascii="宋体" w:hAnsi="Courier New" w:eastAsia="宋体" w:cs="Times New Roman"/>
      <w:szCs w:val="20"/>
      <w14:ligatures w14:val="none"/>
    </w:rPr>
  </w:style>
  <w:style w:type="paragraph" w:styleId="709">
    <w:name w:val="toc 8"/>
    <w:basedOn w:val="677"/>
    <w:next w:val="677"/>
    <w:uiPriority w:val="99"/>
    <w:semiHidden/>
    <w:unhideWhenUsed/>
    <w:qFormat/>
    <w:pPr>
      <w:ind w:left="1470"/>
      <w:jc w:val="left"/>
    </w:pPr>
    <w:rPr>
      <w:rFonts w:ascii="Times New Roman" w:hAnsi="Times New Roman" w:eastAsia="宋体" w:cs="Times New Roman"/>
      <w:sz w:val="18"/>
      <w:szCs w:val="20"/>
      <w14:ligatures w14:val="none"/>
    </w:rPr>
  </w:style>
  <w:style w:type="paragraph" w:styleId="710">
    <w:name w:val="index 3"/>
    <w:basedOn w:val="677"/>
    <w:next w:val="677"/>
    <w:uiPriority w:val="99"/>
    <w:semiHidden/>
    <w:unhideWhenUsed/>
    <w:qFormat/>
    <w:pPr>
      <w:ind w:left="840"/>
    </w:pPr>
    <w:rPr>
      <w:rFonts w:ascii="Times New Roman" w:hAnsi="Times New Roman" w:eastAsia="宋体" w:cs="Times New Roman"/>
      <w:szCs w:val="20"/>
      <w14:ligatures w14:val="none"/>
    </w:rPr>
  </w:style>
  <w:style w:type="paragraph" w:styleId="711">
    <w:name w:val="Date"/>
    <w:basedOn w:val="677"/>
    <w:next w:val="677"/>
    <w:link w:val="917"/>
    <w:uiPriority w:val="99"/>
    <w:semiHidden/>
    <w:unhideWhenUsed/>
    <w:qFormat/>
    <w:pPr>
      <w:ind w:left="100"/>
    </w:pPr>
    <w:rPr>
      <w:rFonts w:ascii="Times New Roman" w:hAnsi="Times New Roman" w:eastAsia="宋体" w:cs="Times New Roman"/>
      <w:sz w:val="28"/>
      <w:szCs w:val="20"/>
      <w14:ligatures w14:val="none"/>
    </w:rPr>
  </w:style>
  <w:style w:type="paragraph" w:styleId="712">
    <w:name w:val="Body Text Indent 2"/>
    <w:basedOn w:val="677"/>
    <w:link w:val="922"/>
    <w:uiPriority w:val="99"/>
    <w:semiHidden/>
    <w:unhideWhenUsed/>
    <w:qFormat/>
    <w:pPr>
      <w:ind w:left="630" w:firstLine="645"/>
    </w:pPr>
    <w:rPr>
      <w:rFonts w:ascii="Arial" w:hAnsi="Arial" w:eastAsia="仿宋_GB2312" w:cs="Times New Roman"/>
      <w:sz w:val="32"/>
      <w:szCs w:val="20"/>
      <w14:ligatures w14:val="none"/>
    </w:rPr>
  </w:style>
  <w:style w:type="paragraph" w:styleId="713">
    <w:name w:val="endnote text"/>
    <w:basedOn w:val="677"/>
    <w:link w:val="910"/>
    <w:uiPriority w:val="99"/>
    <w:semiHidden/>
    <w:unhideWhenUsed/>
    <w:qFormat/>
    <w:pPr>
      <w:jc w:val="left"/>
    </w:pPr>
    <w:rPr>
      <w:rFonts w:ascii="Times New Roman" w:hAnsi="Times New Roman" w:eastAsia="宋体" w:cs="Times New Roman"/>
      <w:sz w:val="20"/>
      <w:szCs w:val="24"/>
      <w14:ligatures w14:val="none"/>
    </w:rPr>
  </w:style>
  <w:style w:type="paragraph" w:styleId="714">
    <w:name w:val="Balloon Text"/>
    <w:basedOn w:val="677"/>
    <w:link w:val="927"/>
    <w:uiPriority w:val="99"/>
    <w:semiHidden/>
    <w:unhideWhenUsed/>
    <w:qFormat/>
    <w:rPr>
      <w:rFonts w:ascii="Times New Roman" w:hAnsi="Times New Roman" w:eastAsia="宋体" w:cs="Times New Roman"/>
      <w:sz w:val="18"/>
      <w:szCs w:val="18"/>
      <w14:ligatures w14:val="none"/>
    </w:rPr>
  </w:style>
  <w:style w:type="paragraph" w:styleId="715">
    <w:name w:val="Footer"/>
    <w:basedOn w:val="677"/>
    <w:link w:val="909"/>
    <w:uiPriority w:val="99"/>
    <w:unhideWhenUsed/>
    <w:qFormat/>
    <w:pPr>
      <w:jc w:val="left"/>
      <w:tabs>
        <w:tab w:val="center" w:pos="4153" w:leader="none"/>
        <w:tab w:val="right" w:pos="8306" w:leader="none"/>
      </w:tabs>
    </w:pPr>
    <w:rPr>
      <w:rFonts w:ascii="Times New Roman" w:hAnsi="Times New Roman" w:eastAsia="宋体" w:cs="Times New Roman"/>
      <w:sz w:val="18"/>
      <w:szCs w:val="20"/>
      <w14:ligatures w14:val="none"/>
    </w:rPr>
  </w:style>
  <w:style w:type="paragraph" w:styleId="716">
    <w:name w:val="Header"/>
    <w:basedOn w:val="677"/>
    <w:link w:val="908"/>
    <w:uiPriority w:val="99"/>
    <w:unhideWhenUsed/>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14:ligatures w14:val="none"/>
    </w:rPr>
  </w:style>
  <w:style w:type="paragraph" w:styleId="717">
    <w:name w:val="Signature"/>
    <w:basedOn w:val="677"/>
    <w:link w:val="912"/>
    <w:uiPriority w:val="99"/>
    <w:semiHidden/>
    <w:unhideWhenUsed/>
    <w:qFormat/>
    <w:pPr>
      <w:jc w:val="center"/>
      <w:spacing w:after="600" w:line="312" w:lineRule="atLeast"/>
    </w:pPr>
    <w:rPr>
      <w:rFonts w:ascii="Times New Roman" w:hAnsi="Times New Roman" w:eastAsia="仿宋_GB2312" w:cs="Times New Roman"/>
      <w:sz w:val="24"/>
      <w:szCs w:val="20"/>
      <w14:ligatures w14:val="none"/>
    </w:rPr>
  </w:style>
  <w:style w:type="paragraph" w:styleId="718">
    <w:name w:val="toc 1"/>
    <w:basedOn w:val="677"/>
    <w:next w:val="677"/>
    <w:uiPriority w:val="39"/>
    <w:unhideWhenUsed/>
    <w:qFormat/>
    <w:pPr>
      <w:jc w:val="left"/>
      <w:spacing w:before="120" w:after="120"/>
    </w:pPr>
    <w:rPr>
      <w:rFonts w:ascii="Times New Roman" w:hAnsi="Times New Roman" w:eastAsia="宋体" w:cs="Times New Roman"/>
      <w:b/>
      <w:caps/>
      <w:sz w:val="20"/>
      <w:szCs w:val="20"/>
      <w14:ligatures w14:val="none"/>
    </w:rPr>
  </w:style>
  <w:style w:type="paragraph" w:styleId="719">
    <w:name w:val="toc 4"/>
    <w:basedOn w:val="677"/>
    <w:next w:val="677"/>
    <w:uiPriority w:val="99"/>
    <w:semiHidden/>
    <w:unhideWhenUsed/>
    <w:qFormat/>
    <w:pPr>
      <w:ind w:left="630"/>
      <w:jc w:val="left"/>
    </w:pPr>
    <w:rPr>
      <w:rFonts w:ascii="Times New Roman" w:hAnsi="Times New Roman" w:eastAsia="宋体" w:cs="Times New Roman"/>
      <w:sz w:val="18"/>
      <w:szCs w:val="20"/>
      <w14:ligatures w14:val="none"/>
    </w:rPr>
  </w:style>
  <w:style w:type="paragraph" w:styleId="720">
    <w:name w:val="index heading"/>
    <w:basedOn w:val="677"/>
    <w:next w:val="721"/>
    <w:uiPriority w:val="99"/>
    <w:semiHidden/>
    <w:unhideWhenUsed/>
    <w:qFormat/>
    <w:rPr>
      <w:rFonts w:ascii="Times New Roman" w:hAnsi="Times New Roman" w:eastAsia="宋体" w:cs="Times New Roman"/>
      <w:szCs w:val="20"/>
      <w14:ligatures w14:val="none"/>
    </w:rPr>
  </w:style>
  <w:style w:type="paragraph" w:styleId="721">
    <w:name w:val="index 1"/>
    <w:basedOn w:val="677"/>
    <w:next w:val="677"/>
    <w:uiPriority w:val="99"/>
    <w:semiHidden/>
    <w:unhideWhenUsed/>
    <w:qFormat/>
    <w:rPr>
      <w:rFonts w:ascii="Times New Roman" w:hAnsi="Times New Roman" w:eastAsia="宋体" w:cs="Times New Roman"/>
      <w:szCs w:val="20"/>
      <w14:ligatures w14:val="none"/>
    </w:rPr>
  </w:style>
  <w:style w:type="paragraph" w:styleId="722">
    <w:name w:val="Subtitle"/>
    <w:basedOn w:val="677"/>
    <w:next w:val="677"/>
    <w:link w:val="915"/>
    <w:uiPriority w:val="99"/>
    <w:qFormat/>
    <w:pPr>
      <w:jc w:val="left"/>
      <w:spacing w:after="600" w:line="276" w:lineRule="auto"/>
      <w:widowControl/>
    </w:pPr>
    <w:rPr>
      <w:rFonts w:ascii="Cambria" w:hAnsi="Cambria" w:eastAsia="宋体" w:cs="Times New Roman"/>
      <w:i/>
      <w:iCs/>
      <w:spacing w:val="13"/>
      <w:sz w:val="24"/>
      <w:szCs w:val="24"/>
      <w:lang w:eastAsia="en-US" w:bidi="en-US"/>
      <w14:ligatures w14:val="none"/>
    </w:rPr>
  </w:style>
  <w:style w:type="paragraph" w:styleId="723">
    <w:name w:val="footnote text"/>
    <w:basedOn w:val="677"/>
    <w:link w:val="906"/>
    <w:uiPriority w:val="99"/>
    <w:semiHidden/>
    <w:unhideWhenUsed/>
    <w:qFormat/>
    <w:pPr>
      <w:jc w:val="left"/>
    </w:pPr>
    <w:rPr>
      <w:rFonts w:ascii="Times New Roman" w:hAnsi="Times New Roman" w:eastAsia="宋体" w:cs="Times New Roman"/>
      <w:sz w:val="18"/>
      <w:szCs w:val="18"/>
      <w14:ligatures w14:val="none"/>
    </w:rPr>
  </w:style>
  <w:style w:type="paragraph" w:styleId="724">
    <w:name w:val="toc 6"/>
    <w:basedOn w:val="677"/>
    <w:next w:val="677"/>
    <w:uiPriority w:val="99"/>
    <w:semiHidden/>
    <w:unhideWhenUsed/>
    <w:qFormat/>
    <w:pPr>
      <w:ind w:left="1050"/>
      <w:jc w:val="left"/>
    </w:pPr>
    <w:rPr>
      <w:rFonts w:ascii="Times New Roman" w:hAnsi="Times New Roman" w:eastAsia="宋体" w:cs="Times New Roman"/>
      <w:sz w:val="18"/>
      <w:szCs w:val="20"/>
      <w14:ligatures w14:val="none"/>
    </w:rPr>
  </w:style>
  <w:style w:type="paragraph" w:styleId="725">
    <w:name w:val="Body Text Indent 3"/>
    <w:basedOn w:val="677"/>
    <w:link w:val="923"/>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726">
    <w:name w:val="index 7"/>
    <w:basedOn w:val="677"/>
    <w:next w:val="677"/>
    <w:uiPriority w:val="99"/>
    <w:semiHidden/>
    <w:unhideWhenUsed/>
    <w:qFormat/>
    <w:pPr>
      <w:ind w:left="2520"/>
    </w:pPr>
    <w:rPr>
      <w:rFonts w:ascii="Times New Roman" w:hAnsi="Times New Roman" w:eastAsia="宋体" w:cs="Times New Roman"/>
      <w:szCs w:val="20"/>
      <w14:ligatures w14:val="none"/>
    </w:rPr>
  </w:style>
  <w:style w:type="paragraph" w:styleId="727">
    <w:name w:val="index 9"/>
    <w:basedOn w:val="677"/>
    <w:next w:val="677"/>
    <w:uiPriority w:val="99"/>
    <w:semiHidden/>
    <w:unhideWhenUsed/>
    <w:qFormat/>
    <w:pPr>
      <w:ind w:left="3360"/>
    </w:pPr>
    <w:rPr>
      <w:rFonts w:ascii="Times New Roman" w:hAnsi="Times New Roman" w:eastAsia="宋体" w:cs="Times New Roman"/>
      <w:szCs w:val="20"/>
      <w14:ligatures w14:val="none"/>
    </w:rPr>
  </w:style>
  <w:style w:type="paragraph" w:styleId="728">
    <w:name w:val="table of figures"/>
    <w:basedOn w:val="677"/>
    <w:next w:val="677"/>
    <w:uiPriority w:val="99"/>
    <w:semiHidden/>
    <w:unhideWhenUsed/>
    <w:qFormat/>
    <w:pPr>
      <w:ind w:left="840" w:hanging="420"/>
    </w:pPr>
    <w:rPr>
      <w:rFonts w:ascii="Times New Roman" w:hAnsi="Times New Roman" w:eastAsia="宋体" w:cs="Times New Roman"/>
      <w:szCs w:val="20"/>
      <w14:ligatures w14:val="none"/>
    </w:rPr>
  </w:style>
  <w:style w:type="paragraph" w:styleId="729">
    <w:name w:val="toc 2"/>
    <w:basedOn w:val="677"/>
    <w:next w:val="677"/>
    <w:uiPriority w:val="39"/>
    <w:semiHidden/>
    <w:unhideWhenUsed/>
    <w:qFormat/>
    <w:pPr>
      <w:ind w:left="210"/>
      <w:jc w:val="left"/>
    </w:pPr>
    <w:rPr>
      <w:rFonts w:ascii="Times New Roman" w:hAnsi="Times New Roman" w:eastAsia="宋体" w:cs="Times New Roman"/>
      <w:smallCaps/>
      <w:sz w:val="20"/>
      <w:szCs w:val="20"/>
      <w14:ligatures w14:val="none"/>
    </w:rPr>
  </w:style>
  <w:style w:type="paragraph" w:styleId="730">
    <w:name w:val="toc 9"/>
    <w:basedOn w:val="677"/>
    <w:next w:val="677"/>
    <w:uiPriority w:val="99"/>
    <w:semiHidden/>
    <w:unhideWhenUsed/>
    <w:qFormat/>
    <w:pPr>
      <w:ind w:left="1680"/>
      <w:jc w:val="left"/>
    </w:pPr>
    <w:rPr>
      <w:rFonts w:ascii="Times New Roman" w:hAnsi="Times New Roman" w:eastAsia="宋体" w:cs="Times New Roman"/>
      <w:sz w:val="18"/>
      <w:szCs w:val="20"/>
      <w14:ligatures w14:val="none"/>
    </w:rPr>
  </w:style>
  <w:style w:type="paragraph" w:styleId="731">
    <w:name w:val="HTML Preformatted"/>
    <w:basedOn w:val="677"/>
    <w:link w:val="903"/>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732">
    <w:name w:val="Normal (Web)"/>
    <w:basedOn w:val="677"/>
    <w:uiPriority w:val="99"/>
    <w:semiHidden/>
    <w:unhideWhenUsed/>
    <w:qFormat/>
    <w:pPr>
      <w:jc w:val="left"/>
      <w:spacing w:before="100" w:beforeAutospacing="1" w:after="100" w:afterAutospacing="1"/>
      <w:widowControl/>
    </w:pPr>
    <w:rPr>
      <w:rFonts w:ascii="Arial" w:hAnsi="Arial" w:eastAsia="Arial Unicode MS" w:cs="Arial"/>
      <w:sz w:val="24"/>
      <w:szCs w:val="24"/>
      <w14:ligatures w14:val="none"/>
    </w:rPr>
  </w:style>
  <w:style w:type="paragraph" w:styleId="733">
    <w:name w:val="index 2"/>
    <w:basedOn w:val="677"/>
    <w:next w:val="677"/>
    <w:uiPriority w:val="99"/>
    <w:semiHidden/>
    <w:unhideWhenUsed/>
    <w:qFormat/>
    <w:pPr>
      <w:ind w:left="420"/>
    </w:pPr>
    <w:rPr>
      <w:rFonts w:ascii="Times New Roman" w:hAnsi="Times New Roman" w:eastAsia="宋体" w:cs="Times New Roman"/>
      <w:szCs w:val="20"/>
      <w14:ligatures w14:val="none"/>
    </w:rPr>
  </w:style>
  <w:style w:type="paragraph" w:styleId="734">
    <w:name w:val="Title"/>
    <w:basedOn w:val="677"/>
    <w:link w:val="911"/>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735">
    <w:name w:val="annotation subject"/>
    <w:basedOn w:val="698"/>
    <w:next w:val="698"/>
    <w:link w:val="926"/>
    <w:uiPriority w:val="99"/>
    <w:semiHidden/>
    <w:unhideWhenUsed/>
    <w:qFormat/>
    <w:rPr>
      <w:b/>
      <w:bCs/>
    </w:rPr>
  </w:style>
  <w:style w:type="paragraph" w:styleId="736">
    <w:name w:val="Body Text First Indent"/>
    <w:basedOn w:val="702"/>
    <w:link w:val="918"/>
    <w:uiPriority w:val="99"/>
    <w:semiHidden/>
    <w:unhideWhenUsed/>
    <w:qFormat/>
    <w:pPr>
      <w:ind w:firstLine="420"/>
      <w:spacing w:after="120"/>
    </w:pPr>
    <w:rPr>
      <w:rFonts w:ascii="Times New Roman" w:hAnsi="Times New Roman" w:eastAsia="宋体"/>
      <w:sz w:val="21"/>
      <w:szCs w:val="24"/>
    </w:rPr>
  </w:style>
  <w:style w:type="paragraph" w:styleId="737">
    <w:name w:val="Body Text First Indent 2"/>
    <w:basedOn w:val="704"/>
    <w:link w:val="919"/>
    <w:uiPriority w:val="99"/>
    <w:semiHidden/>
    <w:unhideWhenUsed/>
    <w:qFormat/>
    <w:pPr>
      <w:ind w:left="420" w:firstLine="420"/>
      <w:spacing w:after="120"/>
    </w:pPr>
    <w:rPr>
      <w:sz w:val="21"/>
    </w:rPr>
  </w:style>
  <w:style w:type="table" w:styleId="738">
    <w:name w:val="Table Grid"/>
    <w:basedOn w:val="6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endnote reference"/>
    <w:uiPriority w:val="0"/>
    <w:semiHidden/>
    <w:unhideWhenUsed/>
    <w:qFormat/>
    <w:rPr>
      <w:vertAlign w:val="superscript"/>
    </w:rPr>
  </w:style>
  <w:style w:type="character" w:styleId="740">
    <w:name w:val="FollowedHyperlink"/>
    <w:uiPriority w:val="0"/>
    <w:semiHidden/>
    <w:unhideWhenUsed/>
    <w:qFormat/>
    <w:rPr>
      <w:color w:val="800080"/>
      <w:u w:val="single"/>
    </w:rPr>
  </w:style>
  <w:style w:type="character" w:styleId="741">
    <w:name w:val="Emphasis"/>
    <w:uiPriority w:val="0"/>
    <w:qFormat/>
    <w:rPr>
      <w:b/>
      <w:bCs/>
      <w:i/>
      <w:iCs/>
      <w:spacing w:val="10"/>
    </w:rPr>
  </w:style>
  <w:style w:type="character" w:styleId="742">
    <w:name w:val="HTML Typewriter"/>
    <w:uiPriority w:val="0"/>
    <w:unhideWhenUsed/>
    <w:qFormat/>
    <w:rPr>
      <w:rFonts w:hint="eastAsia" w:ascii="宋体" w:hAnsi="宋体" w:eastAsia="宋体" w:cs="宋体"/>
      <w:sz w:val="24"/>
      <w:szCs w:val="24"/>
    </w:rPr>
  </w:style>
  <w:style w:type="character" w:styleId="743">
    <w:name w:val="Hyperlink"/>
    <w:uiPriority w:val="99"/>
    <w:unhideWhenUsed/>
    <w:qFormat/>
    <w:rPr>
      <w:color w:val="0000ff"/>
      <w:u w:val="single"/>
    </w:rPr>
  </w:style>
  <w:style w:type="character" w:styleId="744">
    <w:name w:val="annotation reference"/>
    <w:uiPriority w:val="0"/>
    <w:unhideWhenUsed/>
    <w:qFormat/>
    <w:rPr>
      <w:sz w:val="21"/>
    </w:rPr>
  </w:style>
  <w:style w:type="character" w:styleId="745">
    <w:name w:val="footnote reference"/>
    <w:uiPriority w:val="0"/>
    <w:semiHidden/>
    <w:unhideWhenUsed/>
    <w:qFormat/>
    <w:rPr>
      <w:vertAlign w:val="superscript"/>
    </w:rPr>
  </w:style>
  <w:style w:type="character" w:styleId="746">
    <w:name w:val="HTML Sample"/>
    <w:uiPriority w:val="0"/>
    <w:semiHidden/>
    <w:unhideWhenUsed/>
    <w:qFormat/>
    <w:rPr>
      <w:rFonts w:hint="default" w:ascii="Courier New" w:hAnsi="宋体" w:eastAsia="宋体" w:cs="Courier New"/>
    </w:rPr>
  </w:style>
  <w:style w:type="character" w:styleId="747" w:customStyle="1">
    <w:name w:val="Heading 1 Char"/>
    <w:basedOn w:val="687"/>
    <w:uiPriority w:val="9"/>
    <w:qFormat/>
    <w:rPr>
      <w:rFonts w:ascii="Arial" w:hAnsi="Arial" w:eastAsia="Arial" w:cs="Arial"/>
      <w:sz w:val="40"/>
      <w:szCs w:val="40"/>
    </w:rPr>
  </w:style>
  <w:style w:type="character" w:styleId="748" w:customStyle="1">
    <w:name w:val="Heading 2 Char"/>
    <w:basedOn w:val="687"/>
    <w:uiPriority w:val="9"/>
    <w:qFormat/>
    <w:rPr>
      <w:rFonts w:ascii="Arial" w:hAnsi="Arial" w:eastAsia="Arial" w:cs="Arial"/>
      <w:sz w:val="34"/>
    </w:rPr>
  </w:style>
  <w:style w:type="character" w:styleId="749" w:customStyle="1">
    <w:name w:val="Heading 3 Char"/>
    <w:basedOn w:val="687"/>
    <w:uiPriority w:val="9"/>
    <w:qFormat/>
    <w:rPr>
      <w:rFonts w:ascii="Arial" w:hAnsi="Arial" w:eastAsia="Arial" w:cs="Arial"/>
      <w:sz w:val="30"/>
      <w:szCs w:val="30"/>
    </w:rPr>
  </w:style>
  <w:style w:type="character" w:styleId="750" w:customStyle="1">
    <w:name w:val="Heading 4 Char"/>
    <w:basedOn w:val="687"/>
    <w:uiPriority w:val="9"/>
    <w:qFormat/>
    <w:rPr>
      <w:rFonts w:ascii="Arial" w:hAnsi="Arial" w:eastAsia="Arial" w:cs="Arial"/>
      <w:b/>
      <w:bCs/>
      <w:sz w:val="26"/>
      <w:szCs w:val="26"/>
    </w:rPr>
  </w:style>
  <w:style w:type="character" w:styleId="751" w:customStyle="1">
    <w:name w:val="Heading 5 Char"/>
    <w:basedOn w:val="687"/>
    <w:uiPriority w:val="9"/>
    <w:qFormat/>
    <w:rPr>
      <w:rFonts w:ascii="Arial" w:hAnsi="Arial" w:eastAsia="Arial" w:cs="Arial"/>
      <w:b/>
      <w:bCs/>
      <w:sz w:val="24"/>
      <w:szCs w:val="24"/>
    </w:rPr>
  </w:style>
  <w:style w:type="character" w:styleId="752" w:customStyle="1">
    <w:name w:val="Heading 6 Char"/>
    <w:basedOn w:val="687"/>
    <w:uiPriority w:val="9"/>
    <w:qFormat/>
    <w:rPr>
      <w:rFonts w:ascii="Arial" w:hAnsi="Arial" w:eastAsia="Arial" w:cs="Arial"/>
      <w:b/>
      <w:bCs/>
      <w:sz w:val="22"/>
      <w:szCs w:val="22"/>
    </w:rPr>
  </w:style>
  <w:style w:type="character" w:styleId="753" w:customStyle="1">
    <w:name w:val="Heading 7 Char"/>
    <w:basedOn w:val="687"/>
    <w:uiPriority w:val="9"/>
    <w:qFormat/>
    <w:rPr>
      <w:rFonts w:ascii="Arial" w:hAnsi="Arial" w:eastAsia="Arial" w:cs="Arial"/>
      <w:b/>
      <w:bCs/>
      <w:i/>
      <w:iCs/>
      <w:sz w:val="22"/>
      <w:szCs w:val="22"/>
    </w:rPr>
  </w:style>
  <w:style w:type="character" w:styleId="754" w:customStyle="1">
    <w:name w:val="Heading 8 Char"/>
    <w:basedOn w:val="687"/>
    <w:uiPriority w:val="9"/>
    <w:qFormat/>
    <w:rPr>
      <w:rFonts w:ascii="Arial" w:hAnsi="Arial" w:eastAsia="Arial" w:cs="Arial"/>
      <w:i/>
      <w:iCs/>
      <w:sz w:val="22"/>
      <w:szCs w:val="22"/>
    </w:rPr>
  </w:style>
  <w:style w:type="character" w:styleId="755" w:customStyle="1">
    <w:name w:val="Heading 9 Char"/>
    <w:basedOn w:val="687"/>
    <w:uiPriority w:val="9"/>
    <w:qFormat/>
    <w:rPr>
      <w:rFonts w:ascii="Arial" w:hAnsi="Arial" w:eastAsia="Arial" w:cs="Arial"/>
      <w:i/>
      <w:iCs/>
      <w:sz w:val="21"/>
      <w:szCs w:val="21"/>
    </w:rPr>
  </w:style>
  <w:style w:type="character" w:styleId="756" w:customStyle="1">
    <w:name w:val="Title Char"/>
    <w:basedOn w:val="687"/>
    <w:uiPriority w:val="10"/>
    <w:qFormat/>
    <w:rPr>
      <w:sz w:val="48"/>
      <w:szCs w:val="48"/>
    </w:rPr>
  </w:style>
  <w:style w:type="character" w:styleId="757" w:customStyle="1">
    <w:name w:val="Subtitle Char"/>
    <w:basedOn w:val="687"/>
    <w:uiPriority w:val="11"/>
    <w:qFormat/>
    <w:rPr>
      <w:sz w:val="24"/>
      <w:szCs w:val="24"/>
    </w:rPr>
  </w:style>
  <w:style w:type="paragraph" w:styleId="758">
    <w:name w:val="Quote"/>
    <w:basedOn w:val="677"/>
    <w:next w:val="677"/>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677"/>
    <w:next w:val="677"/>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basedOn w:val="687"/>
    <w:uiPriority w:val="99"/>
    <w:qFormat/>
  </w:style>
  <w:style w:type="character" w:styleId="763" w:customStyle="1">
    <w:name w:val="Footer Char"/>
    <w:basedOn w:val="687"/>
    <w:uiPriority w:val="99"/>
    <w:qFormat/>
  </w:style>
  <w:style w:type="character" w:styleId="764" w:customStyle="1">
    <w:name w:val="Caption Char"/>
    <w:uiPriority w:val="99"/>
    <w:qFormat/>
  </w:style>
  <w:style w:type="table" w:styleId="765"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68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68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68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68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68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68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68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4" w:customStyle="1">
    <w:name w:val="Grid Table 4 - Accent 2"/>
    <w:basedOn w:val="6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5" w:customStyle="1">
    <w:name w:val="Grid Table 4 - Accent 3"/>
    <w:basedOn w:val="68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6" w:customStyle="1">
    <w:name w:val="Grid Table 4 - Accent 4"/>
    <w:basedOn w:val="68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7" w:customStyle="1">
    <w:name w:val="Grid Table 4 - Accent 5"/>
    <w:basedOn w:val="68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98" w:customStyle="1">
    <w:name w:val="Grid Table 4 - Accent 6"/>
    <w:basedOn w:val="68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9"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1" w:customStyle="1">
    <w:name w:val="Grid Table 5 Dark - Accent 2"/>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2" w:customStyle="1">
    <w:name w:val="Grid Table 5 Dark - Accent 3"/>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3" w:customStyle="1">
    <w:name w:val="Grid Table 5 Dark- Accent 4"/>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4" w:customStyle="1">
    <w:name w:val="Grid Table 5 Dark - Accent 5"/>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5" w:customStyle="1">
    <w:name w:val="Grid Table 5 Dark - Accent 6"/>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6"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68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68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0" w:customStyle="1">
    <w:name w:val="Grid Table 6 Colorful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68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2" w:customStyle="1">
    <w:name w:val="Grid Table 6 Colorful - Accent 6"/>
    <w:basedOn w:val="68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3"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68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68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68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68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68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68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68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68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68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68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68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68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68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29" w:customStyle="1">
    <w:name w:val="List Table 2 - Accent 2"/>
    <w:basedOn w:val="68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68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68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2" w:customStyle="1">
    <w:name w:val="List Table 2 - Accent 5"/>
    <w:basedOn w:val="68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3" w:customStyle="1">
    <w:name w:val="List Table 2 - Accent 6"/>
    <w:basedOn w:val="68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68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6" w:customStyle="1">
    <w:name w:val="List Table 3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68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68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68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1"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68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3" w:customStyle="1">
    <w:name w:val="List Table 4 - Accent 2"/>
    <w:basedOn w:val="68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4" w:customStyle="1">
    <w:name w:val="List Table 4 - Accent 3"/>
    <w:basedOn w:val="68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List Table 4 - Accent 4"/>
    <w:basedOn w:val="68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6" w:customStyle="1">
    <w:name w:val="List Table 4 - Accent 5"/>
    <w:basedOn w:val="68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47" w:customStyle="1">
    <w:name w:val="List Table 4 - Accent 6"/>
    <w:basedOn w:val="68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8"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68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68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68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68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68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68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68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57" w:customStyle="1">
    <w:name w:val="List Table 6 Colorful - Accent 2"/>
    <w:basedOn w:val="68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8" w:customStyle="1">
    <w:name w:val="List Table 6 Colorful - Accent 3"/>
    <w:basedOn w:val="68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9" w:customStyle="1">
    <w:name w:val="List Table 6 Colorful - Accent 4"/>
    <w:basedOn w:val="68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0" w:customStyle="1">
    <w:name w:val="List Table 6 Colorful - Accent 5"/>
    <w:basedOn w:val="68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1" w:customStyle="1">
    <w:name w:val="List Table 6 Colorful - Accent 6"/>
    <w:basedOn w:val="68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2"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688"/>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8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8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8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88"/>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8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1" w:customStyle="1">
    <w:name w:val="Lined - Accent 2"/>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5" w:customStyle="1">
    <w:name w:val="Lined - Accent 6"/>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6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68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8" w:customStyle="1">
    <w:name w:val="Bordered &amp; Lined - Accent 2"/>
    <w:basedOn w:val="68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68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68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68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2" w:customStyle="1">
    <w:name w:val="Bordered &amp; Lined - Accent 6"/>
    <w:basedOn w:val="68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6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68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5" w:customStyle="1">
    <w:name w:val="Bordered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68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89" w:customStyle="1">
    <w:name w:val="Bordered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Footnote Text Char"/>
    <w:uiPriority w:val="99"/>
    <w:qFormat/>
    <w:rPr>
      <w:sz w:val="18"/>
    </w:rPr>
  </w:style>
  <w:style w:type="character" w:styleId="891" w:customStyle="1">
    <w:name w:val="Endnote Text Char"/>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正文1"/>
    <w:basedOn w:val="677"/>
    <w:next w:val="677"/>
    <w:uiPriority w:val="99"/>
    <w:qFormat/>
    <w:rPr>
      <w:rFonts w:ascii="Calibri" w:hAnsi="Calibri" w:eastAsia="Calibri" w:cs="宋体"/>
      <w:szCs w:val="20"/>
      <w:lang w:val="zh-CN"/>
      <w14:ligatures w14:val="none"/>
    </w:rPr>
  </w:style>
  <w:style w:type="character" w:styleId="894" w:customStyle="1">
    <w:name w:val="标题 1 字符"/>
    <w:basedOn w:val="687"/>
    <w:link w:val="678"/>
    <w:uiPriority w:val="0"/>
    <w:qFormat/>
    <w:rPr>
      <w:rFonts w:ascii="黑体" w:hAnsi="Times New Roman" w:eastAsia="黑体" w:cs="Times New Roman"/>
      <w:b/>
      <w:sz w:val="24"/>
      <w:szCs w:val="28"/>
      <w14:ligatures w14:val="none"/>
    </w:rPr>
  </w:style>
  <w:style w:type="character" w:styleId="895" w:customStyle="1">
    <w:name w:val="标题 2 字符"/>
    <w:basedOn w:val="687"/>
    <w:link w:val="679"/>
    <w:uiPriority w:val="99"/>
    <w:qFormat/>
    <w:rPr>
      <w:rFonts w:ascii="宋体" w:hAnsi="宋体" w:eastAsia="宋体" w:cs="Times New Roman"/>
      <w:b/>
      <w:szCs w:val="24"/>
      <w14:ligatures w14:val="none"/>
    </w:rPr>
  </w:style>
  <w:style w:type="character" w:styleId="896" w:customStyle="1">
    <w:name w:val="标题 3 字符"/>
    <w:basedOn w:val="687"/>
    <w:link w:val="680"/>
    <w:uiPriority w:val="0"/>
    <w:semiHidden/>
    <w:qFormat/>
    <w:rPr>
      <w:rFonts w:ascii="宋体" w:hAnsi="宋体" w:eastAsia="宋体" w:cs="Times New Roman"/>
      <w:b/>
      <w:szCs w:val="21"/>
      <w:shd w:val="clear" w:color="auto" w:fill="ffffff"/>
      <w14:ligatures w14:val="none"/>
    </w:rPr>
  </w:style>
  <w:style w:type="character" w:styleId="897" w:customStyle="1">
    <w:name w:val="标题 4 字符"/>
    <w:basedOn w:val="687"/>
    <w:link w:val="681"/>
    <w:uiPriority w:val="0"/>
    <w:semiHidden/>
    <w:qFormat/>
    <w:rPr>
      <w:rFonts w:ascii="Arial" w:hAnsi="Arial" w:eastAsia="黑体" w:cs="Times New Roman"/>
      <w:b/>
      <w:sz w:val="28"/>
      <w:szCs w:val="20"/>
      <w14:ligatures w14:val="none"/>
    </w:rPr>
  </w:style>
  <w:style w:type="character" w:styleId="898" w:customStyle="1">
    <w:name w:val="标题 5 字符"/>
    <w:basedOn w:val="687"/>
    <w:link w:val="682"/>
    <w:uiPriority w:val="0"/>
    <w:semiHidden/>
    <w:qFormat/>
    <w:rPr>
      <w:rFonts w:ascii="黑体" w:hAnsi="Times New Roman" w:eastAsia="黑体" w:cs="Times New Roman"/>
      <w:b/>
      <w:color w:val="000000"/>
      <w:sz w:val="28"/>
      <w:szCs w:val="20"/>
      <w14:ligatures w14:val="none"/>
    </w:rPr>
  </w:style>
  <w:style w:type="character" w:styleId="899" w:customStyle="1">
    <w:name w:val="标题 6 字符"/>
    <w:basedOn w:val="687"/>
    <w:link w:val="683"/>
    <w:uiPriority w:val="0"/>
    <w:semiHidden/>
    <w:qFormat/>
    <w:rPr>
      <w:rFonts w:ascii="Arial" w:hAnsi="Arial" w:eastAsia="黑体" w:cs="Times New Roman"/>
      <w:b/>
      <w:bCs/>
      <w:sz w:val="24"/>
      <w:szCs w:val="24"/>
      <w14:ligatures w14:val="none"/>
    </w:rPr>
  </w:style>
  <w:style w:type="character" w:styleId="900" w:customStyle="1">
    <w:name w:val="标题 7 字符"/>
    <w:basedOn w:val="687"/>
    <w:link w:val="684"/>
    <w:uiPriority w:val="99"/>
    <w:semiHidden/>
    <w:qFormat/>
    <w:rPr>
      <w:rFonts w:ascii="Times New Roman" w:hAnsi="Times New Roman" w:eastAsia="宋体" w:cs="Times New Roman"/>
      <w:b/>
      <w:bCs/>
      <w:sz w:val="24"/>
      <w:szCs w:val="24"/>
      <w14:ligatures w14:val="none"/>
    </w:rPr>
  </w:style>
  <w:style w:type="character" w:styleId="901" w:customStyle="1">
    <w:name w:val="标题 8 字符"/>
    <w:basedOn w:val="687"/>
    <w:link w:val="685"/>
    <w:uiPriority w:val="99"/>
    <w:semiHidden/>
    <w:qFormat/>
    <w:rPr>
      <w:rFonts w:ascii="Arial" w:hAnsi="Arial" w:eastAsia="黑体" w:cs="Times New Roman"/>
      <w:sz w:val="24"/>
      <w:szCs w:val="24"/>
      <w14:ligatures w14:val="none"/>
    </w:rPr>
  </w:style>
  <w:style w:type="character" w:styleId="902" w:customStyle="1">
    <w:name w:val="标题 9 字符"/>
    <w:basedOn w:val="687"/>
    <w:link w:val="686"/>
    <w:uiPriority w:val="99"/>
    <w:semiHidden/>
    <w:qFormat/>
    <w:rPr>
      <w:rFonts w:ascii="Arial" w:hAnsi="Arial" w:eastAsia="黑体" w:cs="Times New Roman"/>
      <w:szCs w:val="21"/>
      <w14:ligatures w14:val="none"/>
    </w:rPr>
  </w:style>
  <w:style w:type="character" w:styleId="903" w:customStyle="1">
    <w:name w:val="HTML 预设格式 字符"/>
    <w:basedOn w:val="687"/>
    <w:link w:val="731"/>
    <w:uiPriority w:val="0"/>
    <w:semiHidden/>
    <w:qFormat/>
    <w:rPr>
      <w:rFonts w:ascii="黑体" w:hAnsi="Courier New" w:eastAsia="黑体" w:cs="Courier New"/>
      <w:sz w:val="20"/>
      <w:szCs w:val="20"/>
      <w14:ligatures w14:val="none"/>
    </w:rPr>
  </w:style>
  <w:style w:type="paragraph" w:styleId="904" w:customStyle="1">
    <w:name w:val="msonormal"/>
    <w:basedOn w:val="677"/>
    <w:uiPriority w:val="99"/>
    <w:qFormat/>
    <w:pPr>
      <w:jc w:val="left"/>
      <w:spacing w:before="100" w:beforeAutospacing="1" w:after="100" w:afterAutospacing="1"/>
      <w:widowControl/>
    </w:pPr>
    <w:rPr>
      <w:rFonts w:ascii="Arial" w:hAnsi="Arial" w:eastAsia="Arial Unicode MS" w:cs="Arial"/>
      <w:sz w:val="24"/>
      <w:szCs w:val="24"/>
      <w14:ligatures w14:val="none"/>
    </w:rPr>
  </w:style>
  <w:style w:type="character" w:styleId="905" w:customStyle="1">
    <w:name w:val="正文缩进 字符"/>
    <w:link w:val="689"/>
    <w:uiPriority w:val="99"/>
    <w:semiHidden/>
    <w:qFormat/>
    <w:rPr>
      <w:rFonts w:ascii="Times New Roman" w:hAnsi="Times New Roman" w:eastAsia="宋体" w:cs="Times New Roman"/>
      <w:szCs w:val="20"/>
      <w14:ligatures w14:val="none"/>
    </w:rPr>
  </w:style>
  <w:style w:type="character" w:styleId="906" w:customStyle="1">
    <w:name w:val="脚注文本 字符"/>
    <w:basedOn w:val="687"/>
    <w:link w:val="723"/>
    <w:uiPriority w:val="99"/>
    <w:semiHidden/>
    <w:qFormat/>
    <w:rPr>
      <w:rFonts w:ascii="Times New Roman" w:hAnsi="Times New Roman" w:eastAsia="宋体" w:cs="Times New Roman"/>
      <w:sz w:val="18"/>
      <w:szCs w:val="18"/>
      <w14:ligatures w14:val="none"/>
    </w:rPr>
  </w:style>
  <w:style w:type="character" w:styleId="907" w:customStyle="1">
    <w:name w:val="批注文字 字符"/>
    <w:basedOn w:val="687"/>
    <w:link w:val="698"/>
    <w:uiPriority w:val="99"/>
    <w:qFormat/>
    <w:rPr>
      <w:rFonts w:ascii="Times New Roman" w:hAnsi="Times New Roman" w:eastAsia="宋体" w:cs="Times New Roman"/>
      <w:szCs w:val="20"/>
      <w14:ligatures w14:val="none"/>
    </w:rPr>
  </w:style>
  <w:style w:type="character" w:styleId="908" w:customStyle="1">
    <w:name w:val="页眉 字符"/>
    <w:basedOn w:val="687"/>
    <w:link w:val="716"/>
    <w:uiPriority w:val="99"/>
    <w:qFormat/>
    <w:rPr>
      <w:rFonts w:ascii="Times New Roman" w:hAnsi="Times New Roman" w:eastAsia="宋体" w:cs="Times New Roman"/>
      <w:sz w:val="18"/>
      <w:szCs w:val="20"/>
      <w14:ligatures w14:val="none"/>
    </w:rPr>
  </w:style>
  <w:style w:type="character" w:styleId="909" w:customStyle="1">
    <w:name w:val="页脚 字符"/>
    <w:basedOn w:val="687"/>
    <w:link w:val="715"/>
    <w:uiPriority w:val="99"/>
    <w:qFormat/>
    <w:rPr>
      <w:rFonts w:ascii="Times New Roman" w:hAnsi="Times New Roman" w:eastAsia="宋体" w:cs="Times New Roman"/>
      <w:sz w:val="18"/>
      <w:szCs w:val="20"/>
      <w14:ligatures w14:val="none"/>
    </w:rPr>
  </w:style>
  <w:style w:type="character" w:styleId="910" w:customStyle="1">
    <w:name w:val="尾注文本 字符"/>
    <w:basedOn w:val="687"/>
    <w:link w:val="713"/>
    <w:uiPriority w:val="99"/>
    <w:semiHidden/>
    <w:qFormat/>
    <w:rPr>
      <w:rFonts w:ascii="Times New Roman" w:hAnsi="Times New Roman" w:eastAsia="宋体" w:cs="Times New Roman"/>
      <w:sz w:val="20"/>
      <w:szCs w:val="24"/>
      <w14:ligatures w14:val="none"/>
    </w:rPr>
  </w:style>
  <w:style w:type="character" w:styleId="911" w:customStyle="1">
    <w:name w:val="标题 字符"/>
    <w:basedOn w:val="687"/>
    <w:link w:val="734"/>
    <w:uiPriority w:val="99"/>
    <w:qFormat/>
    <w:rPr>
      <w:rFonts w:ascii="Times New Roman" w:hAnsi="Times New Roman" w:eastAsia="黑体" w:cs="Times New Roman"/>
      <w:b/>
      <w:sz w:val="28"/>
      <w:szCs w:val="20"/>
      <w:lang w:val="en-GB"/>
      <w14:ligatures w14:val="none"/>
    </w:rPr>
  </w:style>
  <w:style w:type="character" w:styleId="912" w:customStyle="1">
    <w:name w:val="签名 字符"/>
    <w:basedOn w:val="687"/>
    <w:link w:val="717"/>
    <w:uiPriority w:val="99"/>
    <w:semiHidden/>
    <w:qFormat/>
    <w:rPr>
      <w:rFonts w:ascii="Times New Roman" w:hAnsi="Times New Roman" w:eastAsia="仿宋_GB2312" w:cs="Times New Roman"/>
      <w:sz w:val="24"/>
      <w:szCs w:val="20"/>
      <w14:ligatures w14:val="none"/>
    </w:rPr>
  </w:style>
  <w:style w:type="character" w:styleId="913" w:customStyle="1">
    <w:name w:val="正文文本 字符"/>
    <w:basedOn w:val="687"/>
    <w:link w:val="702"/>
    <w:uiPriority w:val="99"/>
    <w:qFormat/>
    <w:rPr>
      <w:rFonts w:ascii="楷体_GB2312" w:hAnsi="Arial" w:eastAsia="楷体_GB2312" w:cs="Times New Roman"/>
      <w:sz w:val="28"/>
      <w:szCs w:val="20"/>
      <w14:ligatures w14:val="none"/>
    </w:rPr>
  </w:style>
  <w:style w:type="character" w:styleId="914" w:customStyle="1">
    <w:name w:val="正文文本缩进 字符"/>
    <w:basedOn w:val="687"/>
    <w:link w:val="704"/>
    <w:uiPriority w:val="99"/>
    <w:semiHidden/>
    <w:qFormat/>
    <w:rPr>
      <w:rFonts w:ascii="楷体_GB2312" w:hAnsi="Times New Roman" w:eastAsia="楷体_GB2312" w:cs="Times New Roman"/>
      <w:sz w:val="32"/>
      <w:szCs w:val="20"/>
      <w14:ligatures w14:val="none"/>
    </w:rPr>
  </w:style>
  <w:style w:type="character" w:styleId="915" w:customStyle="1">
    <w:name w:val="副标题 字符"/>
    <w:basedOn w:val="687"/>
    <w:link w:val="722"/>
    <w:uiPriority w:val="99"/>
    <w:qFormat/>
    <w:rPr>
      <w:rFonts w:ascii="Cambria" w:hAnsi="Cambria" w:eastAsia="宋体" w:cs="Times New Roman"/>
      <w:i/>
      <w:iCs/>
      <w:spacing w:val="13"/>
      <w:sz w:val="24"/>
      <w:szCs w:val="24"/>
      <w:lang w:eastAsia="en-US" w:bidi="en-US"/>
      <w14:ligatures w14:val="none"/>
    </w:rPr>
  </w:style>
  <w:style w:type="character" w:styleId="916" w:customStyle="1">
    <w:name w:val="称呼 字符"/>
    <w:basedOn w:val="687"/>
    <w:link w:val="700"/>
    <w:uiPriority w:val="99"/>
    <w:semiHidden/>
    <w:qFormat/>
    <w:rPr>
      <w:rFonts w:ascii="仿宋_GB2312" w:hAnsi="Times New Roman" w:eastAsia="仿宋_GB2312" w:cs="Times New Roman"/>
      <w:sz w:val="28"/>
      <w:szCs w:val="20"/>
      <w14:ligatures w14:val="none"/>
    </w:rPr>
  </w:style>
  <w:style w:type="character" w:styleId="917" w:customStyle="1">
    <w:name w:val="日期 字符"/>
    <w:basedOn w:val="687"/>
    <w:link w:val="711"/>
    <w:uiPriority w:val="99"/>
    <w:semiHidden/>
    <w:qFormat/>
    <w:rPr>
      <w:rFonts w:ascii="Times New Roman" w:hAnsi="Times New Roman" w:eastAsia="宋体" w:cs="Times New Roman"/>
      <w:sz w:val="28"/>
      <w:szCs w:val="20"/>
      <w14:ligatures w14:val="none"/>
    </w:rPr>
  </w:style>
  <w:style w:type="character" w:styleId="918" w:customStyle="1">
    <w:name w:val="正文文本首行缩进 字符"/>
    <w:basedOn w:val="913"/>
    <w:link w:val="736"/>
    <w:uiPriority w:val="99"/>
    <w:semiHidden/>
    <w:qFormat/>
    <w:rPr>
      <w:rFonts w:ascii="Times New Roman" w:hAnsi="Times New Roman" w:eastAsia="宋体" w:cs="Times New Roman"/>
      <w:sz w:val="28"/>
      <w:szCs w:val="24"/>
      <w14:ligatures w14:val="none"/>
    </w:rPr>
  </w:style>
  <w:style w:type="character" w:styleId="919" w:customStyle="1">
    <w:name w:val="正文文本首行缩进 2 字符"/>
    <w:basedOn w:val="914"/>
    <w:link w:val="737"/>
    <w:uiPriority w:val="99"/>
    <w:semiHidden/>
    <w:qFormat/>
    <w:rPr>
      <w:rFonts w:ascii="楷体_GB2312" w:hAnsi="Times New Roman" w:eastAsia="楷体_GB2312" w:cs="Times New Roman"/>
      <w:sz w:val="32"/>
      <w:szCs w:val="20"/>
      <w14:ligatures w14:val="none"/>
    </w:rPr>
  </w:style>
  <w:style w:type="character" w:styleId="920" w:customStyle="1">
    <w:name w:val="正文文本 2 字符"/>
    <w:basedOn w:val="687"/>
    <w:link w:val="703"/>
    <w:uiPriority w:val="99"/>
    <w:semiHidden/>
    <w:qFormat/>
    <w:rPr>
      <w:rFonts w:ascii="楷体_GB2312" w:hAnsi="Times New Roman" w:eastAsia="楷体_GB2312" w:cs="Times New Roman"/>
      <w:sz w:val="28"/>
      <w:szCs w:val="20"/>
      <w14:ligatures w14:val="none"/>
    </w:rPr>
  </w:style>
  <w:style w:type="character" w:styleId="921" w:customStyle="1">
    <w:name w:val="正文文本 3 字符"/>
    <w:basedOn w:val="687"/>
    <w:link w:val="701"/>
    <w:uiPriority w:val="99"/>
    <w:semiHidden/>
    <w:qFormat/>
    <w:rPr>
      <w:rFonts w:ascii="仿宋_GB2312" w:hAnsi="Arial" w:eastAsia="仿宋_GB2312" w:cs="Times New Roman"/>
      <w:sz w:val="32"/>
      <w:szCs w:val="20"/>
      <w14:ligatures w14:val="none"/>
    </w:rPr>
  </w:style>
  <w:style w:type="character" w:styleId="922" w:customStyle="1">
    <w:name w:val="正文文本缩进 2 字符"/>
    <w:basedOn w:val="687"/>
    <w:link w:val="712"/>
    <w:uiPriority w:val="99"/>
    <w:semiHidden/>
    <w:qFormat/>
    <w:rPr>
      <w:rFonts w:ascii="Arial" w:hAnsi="Arial" w:eastAsia="仿宋_GB2312" w:cs="Times New Roman"/>
      <w:sz w:val="32"/>
      <w:szCs w:val="20"/>
      <w14:ligatures w14:val="none"/>
    </w:rPr>
  </w:style>
  <w:style w:type="character" w:styleId="923" w:customStyle="1">
    <w:name w:val="正文文本缩进 3 字符"/>
    <w:basedOn w:val="687"/>
    <w:link w:val="725"/>
    <w:uiPriority w:val="99"/>
    <w:semiHidden/>
    <w:qFormat/>
    <w:rPr>
      <w:rFonts w:ascii="Arial" w:hAnsi="Arial" w:eastAsia="仿宋_GB2312" w:cs="Times New Roman"/>
      <w:color w:val="ffff00"/>
      <w:sz w:val="32"/>
      <w:szCs w:val="20"/>
      <w14:ligatures w14:val="none"/>
    </w:rPr>
  </w:style>
  <w:style w:type="character" w:styleId="924" w:customStyle="1">
    <w:name w:val="文档结构图 字符"/>
    <w:basedOn w:val="687"/>
    <w:link w:val="697"/>
    <w:uiPriority w:val="99"/>
    <w:semiHidden/>
    <w:qFormat/>
    <w:rPr>
      <w:rFonts w:ascii="Times New Roman" w:hAnsi="Times New Roman" w:eastAsia="宋体" w:cs="Times New Roman"/>
      <w:szCs w:val="20"/>
      <w:shd w:val="clear" w:color="auto" w:fill="000080"/>
      <w14:ligatures w14:val="none"/>
    </w:rPr>
  </w:style>
  <w:style w:type="character" w:styleId="925" w:customStyle="1">
    <w:name w:val="纯文本 字符"/>
    <w:basedOn w:val="687"/>
    <w:uiPriority w:val="0"/>
    <w:semiHidden/>
    <w:qFormat/>
    <w:rPr>
      <w:rFonts w:hAnsi="Courier New" w:cs="Courier New" w:asciiTheme="minorEastAsia"/>
    </w:rPr>
  </w:style>
  <w:style w:type="character" w:styleId="926" w:customStyle="1">
    <w:name w:val="批注主题 字符"/>
    <w:basedOn w:val="907"/>
    <w:link w:val="735"/>
    <w:uiPriority w:val="99"/>
    <w:semiHidden/>
    <w:qFormat/>
    <w:rPr>
      <w:rFonts w:ascii="Times New Roman" w:hAnsi="Times New Roman" w:eastAsia="宋体" w:cs="Times New Roman"/>
      <w:b/>
      <w:bCs/>
      <w:szCs w:val="20"/>
      <w14:ligatures w14:val="none"/>
    </w:rPr>
  </w:style>
  <w:style w:type="character" w:styleId="927" w:customStyle="1">
    <w:name w:val="批注框文本 字符"/>
    <w:basedOn w:val="687"/>
    <w:link w:val="714"/>
    <w:uiPriority w:val="99"/>
    <w:semiHidden/>
    <w:qFormat/>
    <w:rPr>
      <w:rFonts w:ascii="Times New Roman" w:hAnsi="Times New Roman" w:eastAsia="宋体" w:cs="Times New Roman"/>
      <w:sz w:val="18"/>
      <w:szCs w:val="18"/>
      <w14:ligatures w14:val="none"/>
    </w:rPr>
  </w:style>
  <w:style w:type="character" w:styleId="928" w:customStyle="1">
    <w:name w:val="无间隔 字符"/>
    <w:link w:val="929"/>
    <w:uiPriority w:val="0"/>
    <w:qFormat/>
    <w:rPr>
      <w:rFonts w:ascii="Calibri" w:hAnsi="Calibri" w:eastAsia="微软雅黑" w:cs="Calibri"/>
      <w:sz w:val="24"/>
    </w:rPr>
  </w:style>
  <w:style w:type="paragraph" w:styleId="929">
    <w:name w:val="No Spacing"/>
    <w:link w:val="928"/>
    <w:uiPriority w:val="0"/>
    <w:qFormat/>
    <w:pPr>
      <w:jc w:val="both"/>
      <w:widowControl w:val="off"/>
    </w:pPr>
    <w:rPr>
      <w:rFonts w:hint="default" w:ascii="Calibri" w:hAnsi="Calibri" w:eastAsia="微软雅黑" w:cs="Calibri"/>
      <w:sz w:val="24"/>
      <w:szCs w:val="22"/>
      <w14:ligatures w14:val="standardContextual"/>
    </w:rPr>
  </w:style>
  <w:style w:type="paragraph" w:styleId="930" w:customStyle="1">
    <w:name w:val="修订1"/>
    <w:uiPriority w:val="99"/>
    <w:semiHidden/>
    <w:qFormat/>
    <w:rPr>
      <w:rFonts w:hint="default" w:ascii="Times New Roman" w:hAnsi="Times New Roman" w:eastAsia="宋体" w:cs="Times New Roman"/>
      <w:sz w:val="21"/>
    </w:rPr>
  </w:style>
  <w:style w:type="paragraph" w:styleId="931">
    <w:name w:val="List Paragraph"/>
    <w:basedOn w:val="677"/>
    <w:uiPriority w:val="99"/>
    <w:qFormat/>
    <w:pPr>
      <w:ind w:firstLine="420"/>
    </w:pPr>
    <w:rPr>
      <w:rFonts w:ascii="Calibri" w:hAnsi="Calibri" w:eastAsia="宋体" w:cs="宋体"/>
      <w14:ligatures w14:val="none"/>
    </w:rPr>
  </w:style>
  <w:style w:type="paragraph" w:styleId="932" w:customStyle="1">
    <w:name w:val="TOC 标题1"/>
    <w:basedOn w:val="678"/>
    <w:next w:val="677"/>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33" w:customStyle="1">
    <w:name w:val="首行缩进"/>
    <w:basedOn w:val="677"/>
    <w:uiPriority w:val="99"/>
    <w:qFormat/>
    <w:pPr>
      <w:ind w:firstLine="480"/>
      <w:jc w:val="left"/>
      <w:spacing w:line="360" w:lineRule="auto"/>
    </w:pPr>
    <w:rPr>
      <w:rFonts w:ascii="宋体" w:hAnsi="宋体" w:eastAsia="宋体" w:cs="Times New Roman"/>
      <w:sz w:val="24"/>
      <w:szCs w:val="20"/>
      <w14:ligatures w14:val="none"/>
    </w:rPr>
  </w:style>
  <w:style w:type="character" w:styleId="934" w:customStyle="1">
    <w:name w:val="样式 首行缩进:  2 字符 Char Char"/>
    <w:link w:val="935"/>
    <w:uiPriority w:val="0"/>
    <w:qFormat/>
    <w:rPr>
      <w:rFonts w:ascii="宋体" w:hAnsi="宋体" w:eastAsia="宋体" w:cs="宋体"/>
      <w:sz w:val="24"/>
    </w:rPr>
  </w:style>
  <w:style w:type="paragraph" w:styleId="935" w:customStyle="1">
    <w:name w:val="样式 首行缩进:  2 字符"/>
    <w:basedOn w:val="677"/>
    <w:link w:val="934"/>
    <w:uiPriority w:val="0"/>
    <w:qFormat/>
    <w:pPr>
      <w:ind w:firstLine="480"/>
      <w:spacing w:line="360" w:lineRule="auto"/>
    </w:pPr>
    <w:rPr>
      <w:rFonts w:ascii="宋体" w:hAnsi="宋体" w:eastAsia="宋体" w:cs="宋体"/>
      <w:sz w:val="24"/>
    </w:rPr>
  </w:style>
  <w:style w:type="character" w:styleId="936" w:customStyle="1">
    <w:name w:val="仿宋正文 Char"/>
    <w:link w:val="937"/>
    <w:uiPriority w:val="0"/>
    <w:qFormat/>
    <w:rPr>
      <w:rFonts w:ascii="仿宋_GB2312" w:eastAsia="仿宋_GB2312"/>
      <w:sz w:val="24"/>
    </w:rPr>
  </w:style>
  <w:style w:type="paragraph" w:styleId="937" w:customStyle="1">
    <w:name w:val="仿宋正文"/>
    <w:basedOn w:val="677"/>
    <w:link w:val="936"/>
    <w:uiPriority w:val="0"/>
    <w:qFormat/>
    <w:pPr>
      <w:ind w:firstLine="480"/>
      <w:spacing w:line="360" w:lineRule="auto"/>
    </w:pPr>
    <w:rPr>
      <w:rFonts w:ascii="仿宋_GB2312" w:eastAsia="仿宋_GB2312"/>
      <w:sz w:val="24"/>
    </w:rPr>
  </w:style>
  <w:style w:type="character" w:styleId="938" w:customStyle="1">
    <w:name w:val="正文2 Char Char"/>
    <w:link w:val="939"/>
    <w:uiPriority w:val="0"/>
    <w:qFormat/>
    <w:rPr>
      <w:sz w:val="24"/>
    </w:rPr>
  </w:style>
  <w:style w:type="paragraph" w:styleId="939" w:customStyle="1">
    <w:name w:val="正文2"/>
    <w:basedOn w:val="677"/>
    <w:link w:val="938"/>
    <w:uiPriority w:val="0"/>
    <w:qFormat/>
    <w:pPr>
      <w:ind w:firstLine="510"/>
      <w:spacing w:before="156" w:line="360" w:lineRule="auto"/>
    </w:pPr>
    <w:rPr>
      <w:sz w:val="24"/>
    </w:rPr>
  </w:style>
  <w:style w:type="character" w:styleId="940" w:customStyle="1">
    <w:name w:val="表格抬头 Char"/>
    <w:link w:val="941"/>
    <w:uiPriority w:val="0"/>
    <w:qFormat/>
    <w:rPr>
      <w:rFonts w:ascii="黑体" w:hAnsi="黑体" w:eastAsia="黑体"/>
      <w:b/>
    </w:rPr>
  </w:style>
  <w:style w:type="paragraph" w:styleId="941" w:customStyle="1">
    <w:name w:val="表格抬头"/>
    <w:basedOn w:val="677"/>
    <w:link w:val="940"/>
    <w:uiPriority w:val="0"/>
    <w:qFormat/>
    <w:pPr>
      <w:jc w:val="center"/>
    </w:pPr>
    <w:rPr>
      <w:rFonts w:ascii="黑体" w:hAnsi="黑体" w:eastAsia="黑体"/>
      <w:b/>
    </w:rPr>
  </w:style>
  <w:style w:type="character" w:styleId="942" w:customStyle="1">
    <w:name w:val="彩色网格字符"/>
    <w:link w:val="943"/>
    <w:uiPriority w:val="0"/>
    <w:qFormat/>
    <w:rPr>
      <w:rFonts w:ascii="Calibri" w:hAnsi="Calibri" w:cs="Calibri"/>
      <w:i/>
      <w:iCs/>
      <w:sz w:val="22"/>
      <w:lang w:eastAsia="en-US" w:bidi="en-US"/>
    </w:rPr>
  </w:style>
  <w:style w:type="paragraph" w:styleId="943" w:customStyle="1">
    <w:name w:val="彩色网格1"/>
    <w:basedOn w:val="677"/>
    <w:next w:val="677"/>
    <w:link w:val="942"/>
    <w:uiPriority w:val="0"/>
    <w:qFormat/>
    <w:pPr>
      <w:ind w:left="360" w:right="360"/>
      <w:jc w:val="left"/>
      <w:spacing w:before="200" w:line="276" w:lineRule="auto"/>
      <w:widowControl/>
    </w:pPr>
    <w:rPr>
      <w:rFonts w:ascii="Calibri" w:hAnsi="Calibri" w:cs="Calibri"/>
      <w:i/>
      <w:iCs/>
      <w:sz w:val="22"/>
      <w:lang w:eastAsia="en-US" w:bidi="en-US"/>
    </w:rPr>
  </w:style>
  <w:style w:type="character" w:styleId="944" w:customStyle="1">
    <w:name w:val="正文缩进 Char1"/>
    <w:link w:val="945"/>
    <w:uiPriority w:val="0"/>
    <w:qFormat/>
  </w:style>
  <w:style w:type="paragraph" w:styleId="945" w:customStyle="1">
    <w:name w:val="正文缩进1"/>
    <w:basedOn w:val="677"/>
    <w:link w:val="944"/>
    <w:uiPriority w:val="0"/>
    <w:qFormat/>
    <w:pPr>
      <w:ind w:firstLine="420"/>
    </w:pPr>
  </w:style>
  <w:style w:type="character" w:styleId="946" w:customStyle="1">
    <w:name w:val="浅色底纹 - 强调文字颜色 1字符"/>
    <w:link w:val="947"/>
    <w:uiPriority w:val="0"/>
    <w:qFormat/>
    <w:rPr>
      <w:rFonts w:ascii="Calibri" w:hAnsi="Calibri" w:cs="Calibri"/>
      <w:b/>
      <w:bCs/>
      <w:i/>
      <w:iCs/>
      <w:sz w:val="22"/>
      <w:lang w:eastAsia="en-US" w:bidi="en-US"/>
    </w:rPr>
  </w:style>
  <w:style w:type="paragraph" w:styleId="947" w:customStyle="1">
    <w:name w:val="浅色底纹 - 强调文字颜色 11"/>
    <w:basedOn w:val="677"/>
    <w:next w:val="677"/>
    <w:link w:val="946"/>
    <w:uiPriority w:val="0"/>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948" w:customStyle="1">
    <w:name w:val="新图表正文 Char Char"/>
    <w:link w:val="949"/>
    <w:uiPriority w:val="0"/>
    <w:qFormat/>
    <w:rPr>
      <w:rFonts w:ascii="宋体" w:hAnsi="宋体" w:eastAsia="宋体"/>
      <w:sz w:val="18"/>
      <w:szCs w:val="21"/>
    </w:rPr>
  </w:style>
  <w:style w:type="paragraph" w:styleId="949" w:customStyle="1">
    <w:name w:val="新图表正文"/>
    <w:link w:val="948"/>
    <w:uiPriority w:val="0"/>
    <w:qFormat/>
    <w:pPr>
      <w:jc w:val="both"/>
    </w:pPr>
    <w:rPr>
      <w:rFonts w:hint="default" w:ascii="宋体" w:hAnsi="宋体" w:eastAsia="宋体" w:cstheme="minorBidi"/>
      <w:sz w:val="18"/>
      <w:szCs w:val="21"/>
      <w14:ligatures w14:val="standardContextual"/>
    </w:rPr>
  </w:style>
  <w:style w:type="character" w:styleId="950" w:customStyle="1">
    <w:name w:val="111111 Char"/>
    <w:link w:val="951"/>
    <w:uiPriority w:val="0"/>
    <w:qFormat/>
    <w:rPr>
      <w:rFonts w:ascii="宋体" w:hAnsi="宋体" w:eastAsia="黑体" w:cs="宋体"/>
      <w:b/>
      <w:bCs/>
      <w:szCs w:val="21"/>
    </w:rPr>
  </w:style>
  <w:style w:type="paragraph" w:styleId="951" w:customStyle="1">
    <w:name w:val="111111"/>
    <w:basedOn w:val="677"/>
    <w:link w:val="950"/>
    <w:uiPriority w:val="0"/>
    <w:qFormat/>
    <w:pPr>
      <w:jc w:val="center"/>
      <w:spacing w:before="120" w:after="120"/>
    </w:pPr>
    <w:rPr>
      <w:rFonts w:ascii="宋体" w:hAnsi="宋体" w:eastAsia="黑体" w:cs="宋体"/>
      <w:b/>
      <w:bCs/>
      <w:szCs w:val="21"/>
    </w:rPr>
  </w:style>
  <w:style w:type="paragraph" w:styleId="952" w:customStyle="1">
    <w:name w:val="表格内容"/>
    <w:basedOn w:val="677"/>
    <w:uiPriority w:val="99"/>
    <w:qFormat/>
    <w:pPr>
      <w:jc w:val="center"/>
      <w:spacing w:before="60" w:line="300" w:lineRule="auto"/>
      <w:widowControl/>
    </w:pPr>
    <w:rPr>
      <w:rFonts w:ascii="Times New Roman" w:hAnsi="Times New Roman" w:eastAsia="宋体" w:cs="Times New Roman"/>
      <w:szCs w:val="20"/>
      <w14:ligatures w14:val="none"/>
    </w:rPr>
  </w:style>
  <w:style w:type="paragraph" w:styleId="953" w:customStyle="1">
    <w:name w:val="greytypebeni"/>
    <w:basedOn w:val="677"/>
    <w:uiPriority w:val="99"/>
    <w:qFormat/>
    <w:pPr>
      <w:jc w:val="left"/>
      <w:widowControl/>
    </w:pPr>
    <w:rPr>
      <w:rFonts w:ascii="宋体" w:hAnsi="宋体" w:eastAsia="宋体" w:cs="宋体"/>
      <w:sz w:val="24"/>
      <w:szCs w:val="24"/>
      <w14:ligatures w14:val="none"/>
    </w:rPr>
  </w:style>
  <w:style w:type="paragraph" w:styleId="954" w:customStyle="1">
    <w:name w:val="中等深浅网格 21"/>
    <w:uiPriority w:val="1"/>
    <w:qFormat/>
    <w:pPr>
      <w:jc w:val="both"/>
      <w:widowControl w:val="off"/>
    </w:pPr>
    <w:rPr>
      <w:rFonts w:hint="default" w:ascii="Times New Roman" w:hAnsi="Times New Roman" w:eastAsia="宋体" w:cs="Times New Roman"/>
      <w:sz w:val="21"/>
      <w:szCs w:val="24"/>
    </w:rPr>
  </w:style>
  <w:style w:type="paragraph" w:styleId="955" w:customStyle="1">
    <w:name w:val="xl40"/>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956" w:customStyle="1">
    <w:name w:val="Char Char Char"/>
    <w:basedOn w:val="697"/>
    <w:uiPriority w:val="99"/>
    <w:qFormat/>
    <w:pPr>
      <w:spacing w:line="436" w:lineRule="exact"/>
    </w:pPr>
    <w:rPr>
      <w:szCs w:val="24"/>
    </w:rPr>
  </w:style>
  <w:style w:type="paragraph" w:styleId="957" w:customStyle="1">
    <w:name w:val="小四 段落 宋体 Char Char"/>
    <w:basedOn w:val="677"/>
    <w:uiPriority w:val="99"/>
    <w:qFormat/>
    <w:pPr>
      <w:ind w:firstLine="480"/>
      <w:spacing w:line="360" w:lineRule="auto"/>
    </w:pPr>
    <w:rPr>
      <w:rFonts w:ascii="宋体" w:hAnsi="宋体" w:eastAsia="宋体" w:cs="Times New Roman"/>
      <w:sz w:val="24"/>
      <w:szCs w:val="24"/>
      <w14:ligatures w14:val="none"/>
    </w:rPr>
  </w:style>
  <w:style w:type="paragraph" w:styleId="958" w:customStyle="1">
    <w:name w:val="xl59"/>
    <w:basedOn w:val="6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959" w:customStyle="1">
    <w:name w:val="xl37"/>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14:ligatures w14:val="none"/>
    </w:rPr>
  </w:style>
  <w:style w:type="paragraph" w:styleId="960" w:customStyle="1">
    <w:name w:val="xl63"/>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14:ligatures w14:val="none"/>
    </w:rPr>
  </w:style>
  <w:style w:type="paragraph" w:styleId="961" w:customStyle="1">
    <w:name w:val="af17cgridlangnp1033langf"/>
    <w:uiPriority w:val="99"/>
    <w:qFormat/>
    <w:pPr>
      <w:ind w:left="567" w:firstLine="510"/>
      <w:jc w:val="both"/>
      <w:spacing w:before="156" w:line="360" w:lineRule="atLeast"/>
      <w:widowControl w:val="off"/>
    </w:pPr>
    <w:rPr>
      <w:rFonts w:hint="default" w:ascii="Times New Roman" w:hAnsi="Times New Roman" w:eastAsia="宋体" w:cs="Times New Roman"/>
    </w:rPr>
  </w:style>
  <w:style w:type="paragraph" w:styleId="962" w:customStyle="1">
    <w:name w:val="普通正文"/>
    <w:basedOn w:val="677"/>
    <w:uiPriority w:val="99"/>
    <w:qFormat/>
    <w:pPr>
      <w:ind w:firstLine="480"/>
      <w:jc w:val="left"/>
      <w:spacing w:before="120" w:after="120" w:line="360" w:lineRule="auto"/>
    </w:pPr>
    <w:rPr>
      <w:rFonts w:ascii="Arial" w:hAnsi="Arial" w:eastAsia="宋体" w:cs="Arial"/>
      <w:sz w:val="24"/>
      <w:szCs w:val="24"/>
      <w14:ligatures w14:val="none"/>
    </w:rPr>
  </w:style>
  <w:style w:type="paragraph" w:styleId="963" w:customStyle="1">
    <w:name w:val="正文 居中"/>
    <w:basedOn w:val="677"/>
    <w:uiPriority w:val="99"/>
    <w:qFormat/>
    <w:pPr>
      <w:jc w:val="center"/>
      <w:spacing w:line="360" w:lineRule="auto"/>
    </w:pPr>
    <w:rPr>
      <w:rFonts w:ascii="Times New Roman" w:hAnsi="Times New Roman" w:eastAsia="宋体" w:cs="Times New Roman"/>
      <w:sz w:val="24"/>
      <w:szCs w:val="20"/>
      <w14:ligatures w14:val="none"/>
    </w:rPr>
  </w:style>
  <w:style w:type="paragraph" w:styleId="964" w:customStyle="1">
    <w:name w:val="font12"/>
    <w:basedOn w:val="677"/>
    <w:uiPriority w:val="99"/>
    <w:qFormat/>
    <w:pPr>
      <w:jc w:val="left"/>
      <w:spacing w:before="100" w:beforeAutospacing="1" w:after="100" w:afterAutospacing="1"/>
      <w:widowControl/>
    </w:pPr>
    <w:rPr>
      <w:rFonts w:ascii="宋体" w:hAnsi="宋体" w:eastAsia="宋体" w:cs="宋体"/>
      <w:sz w:val="36"/>
      <w:szCs w:val="36"/>
      <w14:ligatures w14:val="none"/>
    </w:rPr>
  </w:style>
  <w:style w:type="paragraph" w:styleId="965" w:customStyle="1">
    <w:name w:val="retrait3"/>
    <w:basedOn w:val="677"/>
    <w:uiPriority w:val="99"/>
    <w:qFormat/>
    <w:pPr>
      <w:ind w:left="851"/>
      <w:jc w:val="left"/>
      <w:spacing w:before="20" w:after="20"/>
      <w:widowControl/>
    </w:pPr>
    <w:rPr>
      <w:rFonts w:ascii="Arial" w:hAnsi="Arial" w:eastAsia="宋体" w:cs="Times New Roman"/>
      <w:sz w:val="24"/>
      <w:szCs w:val="20"/>
      <w:lang w:val="en-GB"/>
      <w14:ligatures w14:val="none"/>
    </w:rPr>
  </w:style>
  <w:style w:type="paragraph" w:styleId="966" w:customStyle="1">
    <w:name w:val="中等深浅网格 1 - 强调文字颜色 21"/>
    <w:basedOn w:val="677"/>
    <w:uiPriority w:val="99"/>
    <w:qFormat/>
    <w:pPr>
      <w:ind w:firstLine="420"/>
    </w:pPr>
    <w:rPr>
      <w:rFonts w:ascii="Calibri" w:hAnsi="Calibri" w:eastAsia="宋体" w:cs="Times New Roman"/>
      <w14:ligatures w14:val="none"/>
    </w:rPr>
  </w:style>
  <w:style w:type="paragraph" w:styleId="967" w:customStyle="1">
    <w:name w:val="Char Char Char Char"/>
    <w:basedOn w:val="697"/>
    <w:uiPriority w:val="99"/>
    <w:qFormat/>
    <w:pPr>
      <w:spacing w:line="360" w:lineRule="auto"/>
    </w:pPr>
    <w:rPr>
      <w:rFonts w:ascii="Tahoma" w:hAnsi="Tahoma"/>
      <w:sz w:val="24"/>
      <w:szCs w:val="24"/>
    </w:rPr>
  </w:style>
  <w:style w:type="paragraph" w:styleId="968" w:customStyle="1">
    <w:name w:val="Item Step in Table"/>
    <w:uiPriority w:val="99"/>
    <w:qFormat/>
    <w:pPr>
      <w:numPr>
        <w:ilvl w:val="0"/>
        <w:numId w:val="1"/>
      </w:numPr>
      <w:jc w:val="both"/>
      <w:spacing w:before="40" w:after="40"/>
    </w:pPr>
    <w:rPr>
      <w:rFonts w:hint="default" w:ascii="Arial" w:hAnsi="Arial" w:eastAsia="宋体" w:cs="Arial"/>
      <w:sz w:val="18"/>
      <w:szCs w:val="18"/>
    </w:rPr>
  </w:style>
  <w:style w:type="paragraph" w:styleId="969" w:customStyle="1">
    <w:name w:val="符号与编号 Char"/>
    <w:basedOn w:val="677"/>
    <w:uiPriority w:val="99"/>
    <w:qFormat/>
    <w:pPr>
      <w:ind w:left="720"/>
      <w:spacing w:line="400" w:lineRule="atLeast"/>
      <w:tabs>
        <w:tab w:val="left" w:pos="720" w:leader="none"/>
      </w:tabs>
    </w:pPr>
    <w:rPr>
      <w:rFonts w:ascii="Times New Roman" w:hAnsi="Times New Roman" w:eastAsia="宋体" w:cs="Times New Roman"/>
      <w:sz w:val="24"/>
      <w:szCs w:val="24"/>
      <w14:ligatures w14:val="none"/>
    </w:rPr>
  </w:style>
  <w:style w:type="paragraph" w:styleId="970" w:customStyle="1">
    <w:name w:val="小四 段落 宋体 Char Char Char"/>
    <w:basedOn w:val="694"/>
    <w:uiPriority w:val="99"/>
    <w:qFormat/>
    <w:pPr>
      <w:ind w:left="0" w:right="-33" w:firstLine="545"/>
      <w:jc w:val="left"/>
      <w:spacing w:line="360" w:lineRule="auto"/>
      <w:tabs>
        <w:tab w:val="clear" w:pos="2952" w:leader="none"/>
      </w:tabs>
    </w:pPr>
    <w:rPr>
      <w:sz w:val="24"/>
    </w:rPr>
  </w:style>
  <w:style w:type="paragraph" w:styleId="971" w:customStyle="1">
    <w:name w:val="Default"/>
    <w:next w:val="708"/>
    <w:uiPriority w:val="99"/>
    <w:qFormat/>
    <w:pPr>
      <w:widowControl w:val="off"/>
    </w:pPr>
    <w:rPr>
      <w:rFonts w:hint="default" w:ascii="宋体" w:hAnsi="Times New Roman" w:eastAsia="宋体" w:cs="宋体"/>
      <w:color w:val="000000"/>
      <w:sz w:val="24"/>
      <w:szCs w:val="24"/>
    </w:rPr>
  </w:style>
  <w:style w:type="paragraph" w:styleId="972" w:customStyle="1">
    <w:name w:val="Char Char Char Char Char Char Char Char Char Char Char Char Char Char Char Char Char Char Char Char Char"/>
    <w:basedOn w:val="677"/>
    <w:uiPriority w:val="99"/>
    <w:qFormat/>
    <w:rPr>
      <w:rFonts w:ascii="Tahoma" w:hAnsi="Tahoma" w:eastAsia="宋体" w:cs="Tahoma"/>
      <w:sz w:val="24"/>
      <w:szCs w:val="20"/>
      <w14:ligatures w14:val="none"/>
    </w:rPr>
  </w:style>
  <w:style w:type="paragraph" w:styleId="973" w:customStyle="1">
    <w:name w:val="正文文本 New New"/>
    <w:basedOn w:val="677"/>
    <w:uiPriority w:val="99"/>
    <w:qFormat/>
    <w:pPr>
      <w:ind w:firstLine="200"/>
      <w:spacing w:before="60" w:after="60" w:line="360" w:lineRule="auto"/>
      <w:widowControl/>
    </w:pPr>
    <w:rPr>
      <w:rFonts w:ascii="Times New Roman" w:hAnsi="Times New Roman" w:eastAsia="华文楷体" w:cs="Times New Roman"/>
      <w:sz w:val="24"/>
      <w:szCs w:val="24"/>
      <w14:ligatures w14:val="none"/>
    </w:rPr>
  </w:style>
  <w:style w:type="paragraph" w:styleId="974" w:customStyle="1">
    <w:name w:val="xl39"/>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975" w:customStyle="1">
    <w:name w:val="Char Char Char Char Char"/>
    <w:basedOn w:val="677"/>
    <w:uiPriority w:val="99"/>
    <w:qFormat/>
    <w:rPr>
      <w:rFonts w:ascii="Tahoma" w:hAnsi="Tahoma" w:eastAsia="宋体" w:cs="Tahoma"/>
      <w:sz w:val="24"/>
      <w:szCs w:val="20"/>
      <w14:ligatures w14:val="none"/>
    </w:rPr>
  </w:style>
  <w:style w:type="paragraph" w:styleId="976" w:customStyle="1">
    <w:name w:val="Default Text"/>
    <w:basedOn w:val="677"/>
    <w:uiPriority w:val="99"/>
    <w:qFormat/>
    <w:pPr>
      <w:jc w:val="left"/>
      <w:widowControl/>
    </w:pPr>
    <w:rPr>
      <w:rFonts w:ascii="Times New Roman" w:hAnsi="Times New Roman" w:eastAsia="宋体" w:cs="Times New Roman"/>
      <w:sz w:val="24"/>
      <w:szCs w:val="20"/>
      <w:lang w:eastAsia="en-US"/>
      <w14:ligatures w14:val="none"/>
    </w:rPr>
  </w:style>
  <w:style w:type="paragraph" w:styleId="977" w:customStyle="1">
    <w:name w:val="xl34"/>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978" w:customStyle="1">
    <w:name w:val="公文正文"/>
    <w:basedOn w:val="704"/>
    <w:uiPriority w:val="99"/>
    <w:qFormat/>
    <w:pPr>
      <w:ind w:firstLine="200"/>
    </w:pPr>
    <w:rPr>
      <w:rFonts w:ascii="仿宋_GB2312" w:hAnsi="宋体" w:eastAsia="仿宋_GB2312"/>
      <w:sz w:val="28"/>
      <w:szCs w:val="24"/>
    </w:rPr>
  </w:style>
  <w:style w:type="paragraph" w:styleId="979" w:customStyle="1">
    <w:name w:val="xl61"/>
    <w:basedOn w:val="67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980" w:customStyle="1">
    <w:name w:val="Char Char"/>
    <w:basedOn w:val="677"/>
    <w:uiPriority w:val="99"/>
    <w:qFormat/>
    <w:rPr>
      <w:rFonts w:ascii="Tahoma" w:hAnsi="Tahoma" w:eastAsia="宋体" w:cs="Times New Roman"/>
      <w:sz w:val="24"/>
      <w:szCs w:val="20"/>
      <w14:ligatures w14:val="none"/>
    </w:rPr>
  </w:style>
  <w:style w:type="paragraph" w:styleId="981" w:customStyle="1">
    <w:name w:val="标题 4宋体"/>
    <w:basedOn w:val="681"/>
    <w:uiPriority w:val="99"/>
    <w:qFormat/>
    <w:pPr>
      <w:jc w:val="left"/>
      <w:keepLines w:val="0"/>
      <w:spacing w:before="0" w:after="0" w:line="360" w:lineRule="auto"/>
    </w:pPr>
    <w:rPr>
      <w:rFonts w:ascii="宋体" w:hAnsi="宋体" w:eastAsia="宋体"/>
      <w:bCs/>
      <w:color w:val="000000"/>
      <w:sz w:val="24"/>
    </w:rPr>
  </w:style>
  <w:style w:type="paragraph" w:styleId="982" w:customStyle="1">
    <w:name w:val="Body Text 21"/>
    <w:basedOn w:val="677"/>
    <w:uiPriority w:val="99"/>
    <w:qFormat/>
    <w:pPr>
      <w:ind w:left="720" w:hanging="720"/>
      <w:widowControl/>
    </w:pPr>
    <w:rPr>
      <w:rFonts w:ascii="Times New Roman" w:hAnsi="Times New Roman" w:eastAsia="宋体" w:cs="Times New Roman"/>
      <w:sz w:val="24"/>
      <w:szCs w:val="20"/>
      <w:lang w:val="en-GB"/>
      <w14:ligatures w14:val="none"/>
    </w:rPr>
  </w:style>
  <w:style w:type="paragraph" w:styleId="983" w:customStyle="1">
    <w:name w:val="样式 加点正文 + 段前: 0.5 行 段后: 0.5 行1"/>
    <w:basedOn w:val="677"/>
    <w:uiPriority w:val="99"/>
    <w:qFormat/>
    <w:pPr>
      <w:ind w:left="1268" w:hanging="420"/>
      <w:spacing w:line="300" w:lineRule="auto"/>
      <w:tabs>
        <w:tab w:val="left" w:pos="420" w:leader="none"/>
        <w:tab w:val="left" w:pos="1268" w:leader="none"/>
      </w:tabs>
    </w:pPr>
    <w:rPr>
      <w:rFonts w:ascii="Times New Roman" w:hAnsi="Times New Roman" w:eastAsia="宋体" w:cs="Times New Roman"/>
      <w:sz w:val="24"/>
      <w:szCs w:val="20"/>
      <w14:ligatures w14:val="none"/>
    </w:rPr>
  </w:style>
  <w:style w:type="paragraph" w:styleId="984" w:customStyle="1">
    <w:name w:val="我的正文"/>
    <w:basedOn w:val="677"/>
    <w:uiPriority w:val="99"/>
    <w:qFormat/>
    <w:pPr>
      <w:ind w:firstLine="420"/>
      <w:jc w:val="left"/>
      <w:spacing w:line="360" w:lineRule="auto"/>
      <w:widowControl/>
    </w:pPr>
    <w:rPr>
      <w:rFonts w:ascii="宋体" w:hAnsi="宋体" w:eastAsia="宋体" w:cs="宋体"/>
      <w:szCs w:val="21"/>
      <w14:ligatures w14:val="none"/>
    </w:rPr>
  </w:style>
  <w:style w:type="paragraph" w:styleId="985" w:customStyle="1">
    <w:name w:val="Char1 Char Char Char"/>
    <w:basedOn w:val="677"/>
    <w:uiPriority w:val="99"/>
    <w:qFormat/>
    <w:rPr>
      <w:rFonts w:ascii="Tahoma" w:hAnsi="Tahoma" w:eastAsia="宋体" w:cs="Times New Roman"/>
      <w:sz w:val="24"/>
      <w:szCs w:val="20"/>
      <w14:ligatures w14:val="none"/>
    </w:rPr>
  </w:style>
  <w:style w:type="paragraph" w:styleId="986" w:customStyle="1">
    <w:name w:val="标题3"/>
    <w:basedOn w:val="680"/>
    <w:uiPriority w:val="99"/>
    <w:qFormat/>
    <w:pPr>
      <w:keepLines w:val="0"/>
      <w:keepNext w:val="0"/>
      <w:spacing w:line="360" w:lineRule="auto"/>
    </w:pPr>
    <w:rPr>
      <w:rFonts w:eastAsia="仿宋_GB2312"/>
      <w:b w:val="0"/>
      <w:bCs/>
      <w:sz w:val="30"/>
      <w:szCs w:val="32"/>
    </w:rPr>
  </w:style>
  <w:style w:type="paragraph" w:styleId="987" w:customStyle="1">
    <w:name w:val="表格文字"/>
    <w:basedOn w:val="677"/>
    <w:uiPriority w:val="99"/>
    <w:qFormat/>
    <w:pPr>
      <w:ind w:firstLine="200"/>
      <w:jc w:val="left"/>
      <w:spacing w:line="360" w:lineRule="auto"/>
    </w:pPr>
    <w:rPr>
      <w:rFonts w:ascii="Arial" w:hAnsi="Arial" w:eastAsia="宋体" w:cs="Times New Roman"/>
      <w:sz w:val="24"/>
      <w:szCs w:val="20"/>
      <w14:ligatures w14:val="none"/>
    </w:rPr>
  </w:style>
  <w:style w:type="paragraph" w:styleId="988" w:customStyle="1">
    <w:name w:val="xl44"/>
    <w:basedOn w:val="6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14:ligatures w14:val="none"/>
    </w:rPr>
  </w:style>
  <w:style w:type="paragraph" w:styleId="989" w:customStyle="1">
    <w:name w:val="样式 段后: 0.5 行 左  0.75 字符"/>
    <w:basedOn w:val="677"/>
    <w:uiPriority w:val="99"/>
    <w:qFormat/>
    <w:pPr>
      <w:ind w:firstLine="420"/>
      <w:spacing w:line="360" w:lineRule="auto"/>
      <w:widowControl/>
    </w:pPr>
    <w:rPr>
      <w:rFonts w:ascii="Times New Roman" w:hAnsi="Arial" w:eastAsia="宋体" w:cs="Arial"/>
      <w:szCs w:val="21"/>
      <w14:ligatures w14:val="none"/>
    </w:rPr>
  </w:style>
  <w:style w:type="paragraph" w:styleId="990" w:customStyle="1">
    <w:name w:val="样式 标题 2第一章 标题 2Heading 2 HiddenHeading 2 CCBSheading 2H2h2..."/>
    <w:basedOn w:val="679"/>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91" w:customStyle="1">
    <w:name w:val="Char Char Char Char Char Char Char Char Char Char Char Char Char Char"/>
    <w:basedOn w:val="677"/>
    <w:uiPriority w:val="99"/>
    <w:qFormat/>
    <w:rPr>
      <w:rFonts w:ascii="Tahoma" w:hAnsi="Tahoma" w:eastAsia="宋体" w:cs="Times New Roman"/>
      <w:sz w:val="24"/>
      <w:szCs w:val="20"/>
      <w14:ligatures w14:val="none"/>
    </w:rPr>
  </w:style>
  <w:style w:type="paragraph" w:styleId="992" w:customStyle="1">
    <w:name w:val="Char Char1 Char Char Char Char Char Char Char"/>
    <w:basedOn w:val="677"/>
    <w:uiPriority w:val="99"/>
    <w:qFormat/>
    <w:rPr>
      <w:rFonts w:ascii="Tahoma" w:hAnsi="Tahoma" w:eastAsia="宋体" w:cs="Tahoma"/>
      <w:sz w:val="24"/>
      <w:szCs w:val="20"/>
      <w14:ligatures w14:val="none"/>
    </w:rPr>
  </w:style>
  <w:style w:type="paragraph" w:styleId="993" w:customStyle="1">
    <w:name w:val="Char Char Char Char Char Char Char Char Char Char Char"/>
    <w:basedOn w:val="677"/>
    <w:uiPriority w:val="99"/>
    <w:qFormat/>
    <w:rPr>
      <w:rFonts w:ascii="Tahoma" w:hAnsi="Tahoma" w:eastAsia="宋体" w:cs="Times New Roman"/>
      <w:sz w:val="24"/>
      <w:szCs w:val="20"/>
      <w14:ligatures w14:val="none"/>
    </w:rPr>
  </w:style>
  <w:style w:type="paragraph" w:styleId="994" w:customStyle="1">
    <w:name w:val="条1"/>
    <w:basedOn w:val="677"/>
    <w:uiPriority w:val="99"/>
    <w:qFormat/>
    <w:pPr>
      <w:ind w:left="780" w:hanging="360"/>
      <w:spacing w:before="156" w:line="360" w:lineRule="auto"/>
      <w:tabs>
        <w:tab w:val="left" w:pos="780" w:leader="none"/>
      </w:tabs>
    </w:pPr>
    <w:rPr>
      <w:rFonts w:ascii="Times New Roman" w:hAnsi="Times New Roman" w:eastAsia="黑体" w:cs="Times New Roman"/>
      <w:sz w:val="24"/>
      <w:szCs w:val="20"/>
      <w14:ligatures w14:val="none"/>
    </w:rPr>
  </w:style>
  <w:style w:type="paragraph" w:styleId="995" w:customStyle="1">
    <w:name w:val="font8"/>
    <w:basedOn w:val="677"/>
    <w:uiPriority w:val="99"/>
    <w:qFormat/>
    <w:pPr>
      <w:jc w:val="left"/>
      <w:spacing w:before="100" w:beforeAutospacing="1" w:after="100" w:afterAutospacing="1"/>
      <w:widowControl/>
    </w:pPr>
    <w:rPr>
      <w:rFonts w:ascii="宋体" w:hAnsi="宋体" w:eastAsia="宋体" w:cs="宋体"/>
      <w:b/>
      <w:bCs/>
      <w:i/>
      <w:iCs/>
      <w:sz w:val="20"/>
      <w:szCs w:val="20"/>
      <w14:ligatures w14:val="none"/>
    </w:rPr>
  </w:style>
  <w:style w:type="paragraph" w:styleId="996" w:customStyle="1">
    <w:name w:val="a0"/>
    <w:basedOn w:val="677"/>
    <w:uiPriority w:val="99"/>
    <w:qFormat/>
    <w:pPr>
      <w:spacing w:before="100" w:beforeAutospacing="1" w:after="100" w:afterAutospacing="1"/>
      <w:widowControl/>
    </w:pPr>
    <w:rPr>
      <w:rFonts w:ascii="宋体" w:hAnsi="宋体" w:eastAsia="宋体" w:cs="宋体"/>
      <w:sz w:val="24"/>
      <w:szCs w:val="24"/>
      <w14:ligatures w14:val="none"/>
    </w:rPr>
  </w:style>
  <w:style w:type="paragraph" w:styleId="997" w:customStyle="1">
    <w:name w:val="xl58"/>
    <w:basedOn w:val="67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998" w:customStyle="1">
    <w:name w:val="xl43"/>
    <w:basedOn w:val="6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999" w:customStyle="1">
    <w:name w:val="Char"/>
    <w:basedOn w:val="677"/>
    <w:uiPriority w:val="99"/>
    <w:semiHidden/>
    <w:qFormat/>
    <w:pPr>
      <w:spacing w:line="360" w:lineRule="auto"/>
    </w:pPr>
    <w:rPr>
      <w:rFonts w:ascii="Tahoma" w:hAnsi="Tahoma" w:eastAsia="宋体" w:cs="Times New Roman"/>
      <w:sz w:val="24"/>
      <w:szCs w:val="20"/>
      <w14:ligatures w14:val="none"/>
    </w:rPr>
  </w:style>
  <w:style w:type="paragraph" w:styleId="1000" w:customStyle="1">
    <w:name w:val="Char2 Char Char Char Char Char Char1"/>
    <w:basedOn w:val="677"/>
    <w:uiPriority w:val="99"/>
    <w:qFormat/>
    <w:pPr>
      <w:ind w:hanging="425"/>
      <w:keepNext/>
      <w:spacing w:before="80" w:after="80"/>
      <w:widowControl/>
      <w:tabs>
        <w:tab w:val="left" w:pos="425" w:leader="none"/>
      </w:tabs>
    </w:pPr>
    <w:rPr>
      <w:rFonts w:ascii="Arial" w:hAnsi="Arial" w:eastAsia="宋体" w:cs="Arial"/>
      <w:sz w:val="20"/>
      <w:szCs w:val="20"/>
      <w14:ligatures w14:val="none"/>
    </w:rPr>
  </w:style>
  <w:style w:type="paragraph" w:styleId="1001" w:customStyle="1">
    <w:name w:val="font7"/>
    <w:basedOn w:val="677"/>
    <w:uiPriority w:val="99"/>
    <w:qFormat/>
    <w:pPr>
      <w:jc w:val="left"/>
      <w:spacing w:before="100" w:beforeAutospacing="1" w:after="100" w:afterAutospacing="1"/>
      <w:widowControl/>
    </w:pPr>
    <w:rPr>
      <w:rFonts w:ascii="宋体" w:hAnsi="宋体" w:eastAsia="宋体" w:cs="Times New Roman"/>
      <w:b/>
      <w:bCs/>
      <w:sz w:val="24"/>
      <w:szCs w:val="24"/>
      <w14:ligatures w14:val="none"/>
    </w:rPr>
  </w:style>
  <w:style w:type="paragraph" w:styleId="1002" w:customStyle="1">
    <w:name w:val="正文文本缩进1"/>
    <w:basedOn w:val="677"/>
    <w:uiPriority w:val="99"/>
    <w:qFormat/>
    <w:pPr>
      <w:ind w:left="420"/>
      <w:spacing w:after="120"/>
    </w:pPr>
    <w:rPr>
      <w:rFonts w:ascii="Times New Roman" w:hAnsi="Times New Roman" w:eastAsia="宋体" w:cs="Times New Roman"/>
      <w:szCs w:val="24"/>
      <w14:ligatures w14:val="none"/>
    </w:rPr>
  </w:style>
  <w:style w:type="paragraph" w:styleId="1003" w:customStyle="1">
    <w:name w:val="默认段落字体 Para Char"/>
    <w:basedOn w:val="677"/>
    <w:uiPriority w:val="99"/>
    <w:qFormat/>
    <w:rPr>
      <w:rFonts w:ascii="Times New Roman" w:hAnsi="Times New Roman" w:eastAsia="宋体" w:cs="Times New Roman"/>
      <w:sz w:val="24"/>
      <w:szCs w:val="24"/>
      <w14:ligatures w14:val="none"/>
    </w:rPr>
  </w:style>
  <w:style w:type="paragraph" w:styleId="1004" w:customStyle="1">
    <w:name w:val="Char Char Char Char Char Char Char"/>
    <w:basedOn w:val="677"/>
    <w:uiPriority w:val="99"/>
    <w:qFormat/>
    <w:pPr>
      <w:jc w:val="left"/>
    </w:pPr>
    <w:rPr>
      <w:rFonts w:ascii="Tahoma" w:hAnsi="Tahoma" w:eastAsia="宋体" w:cs="Times New Roman"/>
      <w:sz w:val="24"/>
      <w:szCs w:val="20"/>
      <w14:ligatures w14:val="none"/>
    </w:rPr>
  </w:style>
  <w:style w:type="paragraph" w:styleId="1005" w:customStyle="1">
    <w:name w:val="符号与编号 Char Char"/>
    <w:basedOn w:val="677"/>
    <w:uiPriority w:val="99"/>
    <w:qFormat/>
    <w:pPr>
      <w:ind w:left="839" w:hanging="419"/>
      <w:spacing w:line="400" w:lineRule="atLeast"/>
      <w:tabs>
        <w:tab w:val="left" w:pos="840" w:leader="none"/>
      </w:tabs>
    </w:pPr>
    <w:rPr>
      <w:rFonts w:ascii="Times New Roman" w:hAnsi="Times New Roman" w:eastAsia="宋体" w:cs="Times New Roman"/>
      <w:sz w:val="24"/>
      <w:szCs w:val="24"/>
      <w14:ligatures w14:val="none"/>
    </w:rPr>
  </w:style>
  <w:style w:type="paragraph" w:styleId="1006" w:customStyle="1">
    <w:name w:val="Char1"/>
    <w:basedOn w:val="677"/>
    <w:uiPriority w:val="99"/>
    <w:qFormat/>
    <w:rPr>
      <w:rFonts w:ascii="仿宋_GB2312" w:hAnsi="宋体" w:eastAsia="仿宋_GB2312" w:cs="宋体"/>
      <w:b/>
      <w:sz w:val="32"/>
      <w:szCs w:val="32"/>
      <w14:ligatures w14:val="none"/>
    </w:rPr>
  </w:style>
  <w:style w:type="paragraph" w:styleId="1007" w:customStyle="1">
    <w:name w:val="样式2"/>
    <w:basedOn w:val="677"/>
    <w:uiPriority w:val="99"/>
    <w:qFormat/>
    <w:pPr>
      <w:ind w:left="200"/>
      <w:spacing w:line="360" w:lineRule="auto"/>
    </w:pPr>
    <w:rPr>
      <w:rFonts w:ascii="宋体" w:hAnsi="宋体" w:eastAsia="宋体" w:cs="Times New Roman"/>
      <w:b/>
      <w:sz w:val="24"/>
      <w:szCs w:val="24"/>
      <w14:ligatures w14:val="none"/>
    </w:rPr>
  </w:style>
  <w:style w:type="paragraph" w:styleId="1008" w:customStyle="1">
    <w:name w:val="正文 + 宋体"/>
    <w:basedOn w:val="677"/>
    <w:uiPriority w:val="99"/>
    <w:qFormat/>
    <w:pPr>
      <w:ind w:firstLine="420"/>
      <w:spacing w:line="360" w:lineRule="auto"/>
    </w:pPr>
    <w:rPr>
      <w:rFonts w:ascii="Times New Roman" w:hAnsi="Times New Roman" w:eastAsia="宋体" w:cs="Times New Roman"/>
      <w:szCs w:val="24"/>
      <w14:ligatures w14:val="none"/>
    </w:rPr>
  </w:style>
  <w:style w:type="paragraph" w:styleId="1009" w:customStyle="1">
    <w:name w:val="样式 段后: 0.25 行"/>
    <w:basedOn w:val="677"/>
    <w:uiPriority w:val="99"/>
    <w:qFormat/>
    <w:pPr>
      <w:ind w:firstLine="420"/>
      <w:jc w:val="left"/>
      <w:spacing w:line="300" w:lineRule="auto"/>
      <w:widowControl/>
    </w:pPr>
    <w:rPr>
      <w:rFonts w:ascii="Arial" w:hAnsi="Arial" w:eastAsia="宋体" w:cs="宋体"/>
      <w:sz w:val="22"/>
      <w:szCs w:val="20"/>
      <w:lang w:eastAsia="en-US" w:bidi="en-US"/>
      <w14:ligatures w14:val="none"/>
    </w:rPr>
  </w:style>
  <w:style w:type="paragraph" w:styleId="1010" w:customStyle="1">
    <w:name w:val="小四 段落 宋体 Char Char Char Char"/>
    <w:basedOn w:val="677"/>
    <w:uiPriority w:val="99"/>
    <w:qFormat/>
    <w:pPr>
      <w:ind w:right="-33" w:firstLine="480"/>
      <w:jc w:val="left"/>
      <w:spacing w:line="360" w:lineRule="auto"/>
    </w:pPr>
    <w:rPr>
      <w:rFonts w:ascii="Times New Roman" w:hAnsi="Times New Roman" w:eastAsia="宋体" w:cs="Times New Roman"/>
      <w:sz w:val="24"/>
      <w:szCs w:val="24"/>
      <w14:ligatures w14:val="none"/>
    </w:rPr>
  </w:style>
  <w:style w:type="paragraph" w:styleId="1011" w:customStyle="1">
    <w:name w:val="xl25"/>
    <w:basedOn w:val="677"/>
    <w:uiPriority w:val="99"/>
    <w:qFormat/>
    <w:pPr>
      <w:jc w:val="center"/>
      <w:spacing w:before="100" w:beforeAutospacing="1" w:after="100" w:afterAutospacing="1"/>
      <w:widowControl/>
      <w:pBdr>
        <w:right w:val="single" w:color="auto" w:sz="4" w:space="0"/>
      </w:pBdr>
    </w:pPr>
    <w:rPr>
      <w:rFonts w:ascii="Times New Roman" w:hAnsi="Times New Roman" w:eastAsia="宋体" w:cs="Times New Roman"/>
      <w:szCs w:val="21"/>
      <w14:ligatures w14:val="none"/>
    </w:rPr>
  </w:style>
  <w:style w:type="paragraph" w:styleId="1012" w:customStyle="1">
    <w:name w:val="xl47"/>
    <w:basedOn w:val="6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013" w:customStyle="1">
    <w:name w:val="Table Text Char"/>
    <w:uiPriority w:val="99"/>
    <w:qFormat/>
    <w:pPr>
      <w:spacing w:before="80" w:after="80"/>
    </w:pPr>
    <w:rPr>
      <w:rFonts w:hint="default" w:ascii="Arial" w:hAnsi="Arial" w:eastAsia="宋体" w:cs="Arial"/>
      <w:sz w:val="18"/>
      <w:szCs w:val="28"/>
    </w:rPr>
  </w:style>
  <w:style w:type="paragraph" w:styleId="1014" w:customStyle="1">
    <w:name w:val="Bullets L1"/>
    <w:basedOn w:val="677"/>
    <w:uiPriority w:val="99"/>
    <w:qFormat/>
    <w:pPr>
      <w:numPr>
        <w:ilvl w:val="0"/>
        <w:numId w:val="2"/>
      </w:numPr>
      <w:jc w:val="left"/>
      <w:spacing w:before="60" w:after="60"/>
      <w:widowControl/>
    </w:pPr>
    <w:rPr>
      <w:rFonts w:ascii="Arial" w:hAnsi="Arial" w:eastAsia="宋体" w:cs="Times New Roman"/>
      <w:sz w:val="20"/>
      <w:szCs w:val="20"/>
      <w14:ligatures w14:val="none"/>
    </w:rPr>
  </w:style>
  <w:style w:type="paragraph" w:styleId="1015" w:customStyle="1">
    <w:name w:val="正文格式"/>
    <w:basedOn w:val="677"/>
    <w:uiPriority w:val="99"/>
    <w:qFormat/>
    <w:pPr>
      <w:ind w:left="178" w:right="44" w:hanging="178"/>
      <w:jc w:val="left"/>
      <w:spacing w:line="360" w:lineRule="auto"/>
      <w:widowControl/>
    </w:pPr>
    <w:rPr>
      <w:rFonts w:ascii="宋体" w:hAnsi="宋体" w:eastAsia="宋体" w:cs="Times New Roman"/>
      <w:bCs/>
      <w:szCs w:val="21"/>
      <w14:ligatures w14:val="none"/>
    </w:rPr>
  </w:style>
  <w:style w:type="paragraph" w:styleId="1016" w:customStyle="1">
    <w:name w:val="正文文本 21"/>
    <w:basedOn w:val="677"/>
    <w:uiPriority w:val="99"/>
    <w:qFormat/>
    <w:pPr>
      <w:ind w:left="720" w:hanging="720"/>
      <w:widowControl/>
    </w:pPr>
    <w:rPr>
      <w:rFonts w:ascii="Times New Roman" w:hAnsi="Times New Roman" w:eastAsia="宋体" w:cs="Times New Roman"/>
      <w:sz w:val="24"/>
      <w:szCs w:val="20"/>
      <w:lang w:val="en-GB"/>
      <w14:ligatures w14:val="none"/>
    </w:rPr>
  </w:style>
  <w:style w:type="paragraph" w:styleId="1017" w:customStyle="1">
    <w:name w:val="flNote"/>
    <w:basedOn w:val="677"/>
    <w:uiPriority w:val="99"/>
    <w:qFormat/>
    <w:pPr>
      <w:jc w:val="center"/>
      <w:spacing w:before="567" w:line="360" w:lineRule="atLeast"/>
    </w:pPr>
    <w:rPr>
      <w:rFonts w:ascii="Times New Roman" w:hAnsi="Times New Roman" w:eastAsia="黑体" w:cs="Times New Roman"/>
      <w:b/>
      <w:sz w:val="24"/>
      <w:szCs w:val="20"/>
      <w14:ligatures w14:val="none"/>
    </w:rPr>
  </w:style>
  <w:style w:type="paragraph" w:styleId="1018" w:customStyle="1">
    <w:name w:val="样式 标题 3H3sect1.2.3BOD 0Heading 3 - oldh3l3CTLevel 3 Head..."/>
    <w:basedOn w:val="680"/>
    <w:uiPriority w:val="99"/>
    <w:qFormat/>
    <w:pPr>
      <w:jc w:val="left"/>
    </w:pPr>
    <w:rPr>
      <w:rFonts w:cs="宋体"/>
      <w:bCs/>
      <w:sz w:val="30"/>
    </w:rPr>
  </w:style>
  <w:style w:type="paragraph" w:styleId="1019" w:customStyle="1">
    <w:name w:val="xl60"/>
    <w:basedOn w:val="6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20" w:customStyle="1">
    <w:name w:val="a"/>
    <w:basedOn w:val="677"/>
    <w:uiPriority w:val="99"/>
    <w:qFormat/>
    <w:pPr>
      <w:spacing w:before="100" w:beforeAutospacing="1" w:after="100" w:afterAutospacing="1"/>
      <w:widowControl/>
    </w:pPr>
    <w:rPr>
      <w:rFonts w:ascii="宋体" w:hAnsi="宋体" w:eastAsia="宋体" w:cs="宋体"/>
      <w:sz w:val="24"/>
      <w:szCs w:val="24"/>
      <w14:ligatures w14:val="none"/>
    </w:rPr>
  </w:style>
  <w:style w:type="paragraph" w:styleId="1021" w:customStyle="1">
    <w:name w:val="项目符号，二级"/>
    <w:basedOn w:val="1015"/>
    <w:next w:val="1015"/>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022" w:customStyle="1">
    <w:name w:val="方案正文"/>
    <w:basedOn w:val="677"/>
    <w:uiPriority w:val="99"/>
    <w:qFormat/>
    <w:pPr>
      <w:ind w:firstLine="359"/>
      <w:jc w:val="left"/>
      <w:spacing w:before="156" w:line="360" w:lineRule="auto"/>
    </w:pPr>
    <w:rPr>
      <w:rFonts w:ascii="Arial" w:hAnsi="Arial" w:eastAsia="宋体" w:cs="宋体"/>
      <w:sz w:val="24"/>
      <w:szCs w:val="21"/>
      <w14:ligatures w14:val="none"/>
    </w:rPr>
  </w:style>
  <w:style w:type="paragraph" w:styleId="1023" w:customStyle="1">
    <w:name w:val="标题3，章节第三层"/>
    <w:basedOn w:val="677"/>
    <w:next w:val="1015"/>
    <w:uiPriority w:val="99"/>
    <w:qFormat/>
    <w:pPr>
      <w:spacing w:before="78" w:line="300" w:lineRule="auto"/>
      <w:outlineLvl w:val="2"/>
    </w:pPr>
    <w:rPr>
      <w:rFonts w:ascii="Arial" w:hAnsi="Arial" w:eastAsia="华文细黑" w:cs="Times New Roman"/>
      <w:sz w:val="30"/>
      <w:szCs w:val="24"/>
      <w14:ligatures w14:val="none"/>
    </w:rPr>
  </w:style>
  <w:style w:type="paragraph" w:styleId="1024" w:customStyle="1">
    <w:name w:val="段落"/>
    <w:basedOn w:val="677"/>
    <w:uiPriority w:val="99"/>
    <w:qFormat/>
    <w:pPr>
      <w:ind w:firstLine="480"/>
      <w:spacing w:line="460" w:lineRule="exact"/>
    </w:pPr>
    <w:rPr>
      <w:rFonts w:ascii="Times New Roman" w:hAnsi="Times New Roman" w:eastAsia="宋体" w:cs="Times New Roman"/>
      <w:sz w:val="24"/>
      <w:szCs w:val="20"/>
      <w14:ligatures w14:val="none"/>
    </w:rPr>
  </w:style>
  <w:style w:type="paragraph" w:styleId="1025" w:customStyle="1">
    <w:name w:val="正文11"/>
    <w:basedOn w:val="677"/>
    <w:next w:val="677"/>
    <w:uiPriority w:val="99"/>
    <w:qFormat/>
    <w:pPr>
      <w:ind w:firstLine="510"/>
      <w:spacing w:before="156" w:line="360" w:lineRule="auto"/>
    </w:pPr>
    <w:rPr>
      <w:rFonts w:ascii="Times New Roman" w:hAnsi="Times New Roman" w:eastAsia="宋体" w:cs="Times New Roman"/>
      <w:sz w:val="24"/>
      <w:szCs w:val="20"/>
      <w14:ligatures w14:val="none"/>
    </w:rPr>
  </w:style>
  <w:style w:type="paragraph" w:styleId="1026" w:customStyle="1">
    <w:name w:val="样式3"/>
    <w:basedOn w:val="677"/>
    <w:next w:val="677"/>
    <w:uiPriority w:val="99"/>
    <w:qFormat/>
    <w:pPr>
      <w:spacing w:line="360" w:lineRule="auto"/>
    </w:pPr>
    <w:rPr>
      <w:rFonts w:ascii="Times New Roman" w:hAnsi="Times New Roman" w:eastAsia="宋体" w:cs="Times New Roman"/>
      <w:szCs w:val="20"/>
      <w14:ligatures w14:val="none"/>
    </w:rPr>
  </w:style>
  <w:style w:type="paragraph" w:styleId="1027" w:customStyle="1">
    <w:name w:val="font6"/>
    <w:basedOn w:val="677"/>
    <w:uiPriority w:val="99"/>
    <w:qFormat/>
    <w:pPr>
      <w:jc w:val="left"/>
      <w:spacing w:before="100" w:beforeAutospacing="1" w:after="100" w:afterAutospacing="1"/>
      <w:widowControl/>
    </w:pPr>
    <w:rPr>
      <w:rFonts w:ascii="宋体" w:hAnsi="宋体" w:eastAsia="宋体" w:cs="宋体"/>
      <w:b/>
      <w:bCs/>
      <w:sz w:val="20"/>
      <w:szCs w:val="20"/>
      <w14:ligatures w14:val="none"/>
    </w:rPr>
  </w:style>
  <w:style w:type="paragraph" w:styleId="1028" w:customStyle="1">
    <w:name w:val="普通文字"/>
    <w:basedOn w:val="677"/>
    <w:next w:val="677"/>
    <w:uiPriority w:val="99"/>
    <w:qFormat/>
    <w:rPr>
      <w:rFonts w:ascii="宋体" w:hAnsi="宋体" w:eastAsia="宋体" w:cs="宋体"/>
      <w:sz w:val="24"/>
      <w:szCs w:val="20"/>
      <w14:ligatures w14:val="none"/>
    </w:rPr>
  </w:style>
  <w:style w:type="paragraph" w:styleId="1029" w:customStyle="1">
    <w:name w:val="标准文本"/>
    <w:basedOn w:val="677"/>
    <w:uiPriority w:val="99"/>
    <w:qFormat/>
    <w:pPr>
      <w:ind w:firstLine="480"/>
      <w:spacing w:line="360" w:lineRule="auto"/>
    </w:pPr>
    <w:rPr>
      <w:rFonts w:ascii="Times New Roman" w:hAnsi="Times New Roman" w:eastAsia="宋体" w:cs="宋体"/>
      <w:sz w:val="24"/>
      <w:szCs w:val="24"/>
      <w14:ligatures w14:val="none"/>
    </w:rPr>
  </w:style>
  <w:style w:type="paragraph" w:styleId="1030" w:customStyle="1">
    <w:name w:val="段"/>
    <w:uiPriority w:val="99"/>
    <w:qFormat/>
    <w:pPr>
      <w:ind w:firstLine="200"/>
      <w:jc w:val="both"/>
    </w:pPr>
    <w:rPr>
      <w:rFonts w:hint="default" w:ascii="宋体" w:hAnsi="Times New Roman" w:eastAsia="宋体" w:cs="Times New Roman"/>
      <w:sz w:val="21"/>
    </w:rPr>
  </w:style>
  <w:style w:type="paragraph" w:styleId="1031" w:customStyle="1">
    <w:name w:val="正文表标题"/>
    <w:next w:val="1030"/>
    <w:uiPriority w:val="99"/>
    <w:qFormat/>
    <w:pPr>
      <w:ind w:left="900" w:hanging="420"/>
      <w:jc w:val="center"/>
      <w:tabs>
        <w:tab w:val="left" w:pos="900" w:leader="none"/>
      </w:tabs>
    </w:pPr>
    <w:rPr>
      <w:rFonts w:hint="default" w:ascii="黑体" w:hAnsi="Times New Roman" w:eastAsia="黑体" w:cs="Times New Roman"/>
      <w:sz w:val="21"/>
    </w:rPr>
  </w:style>
  <w:style w:type="paragraph" w:styleId="1032" w:customStyle="1">
    <w:name w:val="xl33"/>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33" w:customStyle="1">
    <w:name w:val="表格1"/>
    <w:basedOn w:val="677"/>
    <w:uiPriority w:val="99"/>
    <w:qFormat/>
    <w:rPr>
      <w:rFonts w:ascii="宋体" w:hAnsi="Times New Roman" w:eastAsia="宋体" w:cs="Times New Roman"/>
      <w:szCs w:val="21"/>
      <w14:ligatures w14:val="none"/>
    </w:rPr>
  </w:style>
  <w:style w:type="paragraph" w:styleId="1034" w:customStyle="1">
    <w:name w:val="正文--表格内正文"/>
    <w:basedOn w:val="677"/>
    <w:uiPriority w:val="99"/>
    <w:qFormat/>
    <w:pPr>
      <w:jc w:val="center"/>
      <w:spacing w:line="0" w:lineRule="atLeast"/>
    </w:pPr>
    <w:rPr>
      <w:rFonts w:ascii="宋体" w:hAnsi="宋体" w:eastAsia="宋体" w:cs="Times New Roman"/>
      <w:color w:val="000000"/>
      <w:sz w:val="24"/>
      <w:szCs w:val="24"/>
      <w14:ligatures w14:val="none"/>
    </w:rPr>
  </w:style>
  <w:style w:type="paragraph" w:styleId="1035" w:customStyle="1">
    <w:name w:val="font9"/>
    <w:basedOn w:val="677"/>
    <w:uiPriority w:val="99"/>
    <w:qFormat/>
    <w:pPr>
      <w:jc w:val="left"/>
      <w:spacing w:before="100" w:beforeAutospacing="1" w:after="100" w:afterAutospacing="1"/>
      <w:widowControl/>
    </w:pPr>
    <w:rPr>
      <w:rFonts w:ascii="Times New Roman" w:hAnsi="Times New Roman" w:eastAsia="宋体" w:cs="Times New Roman"/>
      <w:b/>
      <w:bCs/>
      <w:sz w:val="20"/>
      <w:szCs w:val="20"/>
      <w14:ligatures w14:val="none"/>
    </w:rPr>
  </w:style>
  <w:style w:type="paragraph" w:styleId="1036" w:customStyle="1">
    <w:name w:val="xl27"/>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37" w:customStyle="1">
    <w:name w:val="标题4，章节第四层"/>
    <w:basedOn w:val="677"/>
    <w:next w:val="677"/>
    <w:uiPriority w:val="99"/>
    <w:qFormat/>
    <w:pPr>
      <w:spacing w:line="360" w:lineRule="auto"/>
      <w:tabs>
        <w:tab w:val="left" w:pos="0" w:leader="none"/>
      </w:tabs>
      <w:outlineLvl w:val="3"/>
    </w:pPr>
    <w:rPr>
      <w:rFonts w:ascii="宋体" w:hAnsi="宋体" w:eastAsia="宋体" w:cs="Times New Roman"/>
      <w:b/>
      <w:sz w:val="24"/>
      <w:szCs w:val="24"/>
      <w14:ligatures w14:val="none"/>
    </w:rPr>
  </w:style>
  <w:style w:type="paragraph" w:styleId="1038" w:customStyle="1">
    <w:name w:val="Char Char1 Char"/>
    <w:basedOn w:val="677"/>
    <w:uiPriority w:val="99"/>
    <w:qFormat/>
    <w:pPr>
      <w:jc w:val="left"/>
      <w:spacing w:after="160" w:line="240" w:lineRule="exact"/>
      <w:widowControl/>
    </w:pPr>
    <w:rPr>
      <w:rFonts w:ascii="Verdana" w:hAnsi="Verdana" w:eastAsia="宋体" w:cs="Times New Roman"/>
      <w:sz w:val="20"/>
      <w:szCs w:val="20"/>
      <w:lang w:eastAsia="en-US"/>
      <w14:ligatures w14:val="none"/>
    </w:rPr>
  </w:style>
  <w:style w:type="paragraph" w:styleId="1039" w:customStyle="1">
    <w:name w:val="无间隔1"/>
    <w:uiPriority w:val="99"/>
    <w:qFormat/>
    <w:pPr>
      <w:jc w:val="both"/>
      <w:widowControl w:val="off"/>
    </w:pPr>
    <w:rPr>
      <w:rFonts w:hint="default" w:ascii="Calibri" w:hAnsi="Calibri" w:eastAsia="微软雅黑" w:cs="Times New Roman"/>
      <w:sz w:val="24"/>
      <w:szCs w:val="22"/>
    </w:rPr>
  </w:style>
  <w:style w:type="paragraph" w:styleId="1040" w:customStyle="1">
    <w:name w:val="xl54"/>
    <w:basedOn w:val="6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14:ligatures w14:val="none"/>
    </w:rPr>
  </w:style>
  <w:style w:type="paragraph" w:styleId="1041" w:customStyle="1">
    <w:name w:val="Char Char1"/>
    <w:basedOn w:val="677"/>
    <w:uiPriority w:val="99"/>
    <w:qFormat/>
    <w:rPr>
      <w:rFonts w:ascii="Tahoma" w:hAnsi="Tahoma" w:eastAsia="宋体" w:cs="Tahoma"/>
      <w:sz w:val="24"/>
      <w:szCs w:val="20"/>
      <w14:ligatures w14:val="none"/>
    </w:rPr>
  </w:style>
  <w:style w:type="paragraph" w:styleId="1042" w:customStyle="1">
    <w:name w:val="正文 首行缩进:  2 字符 Char Char"/>
    <w:basedOn w:val="677"/>
    <w:uiPriority w:val="99"/>
    <w:qFormat/>
    <w:pPr>
      <w:ind w:firstLine="480"/>
      <w:spacing w:line="360" w:lineRule="auto"/>
    </w:pPr>
    <w:rPr>
      <w:rFonts w:ascii="楷体_GB2312" w:hAnsi="Times New Roman" w:eastAsia="楷体_GB2312" w:cs="Times New Roman"/>
      <w:bCs/>
      <w:sz w:val="24"/>
      <w:szCs w:val="24"/>
      <w14:ligatures w14:val="none"/>
    </w:rPr>
  </w:style>
  <w:style w:type="paragraph" w:styleId="1043" w:customStyle="1">
    <w:name w:val="项目符号：一级"/>
    <w:basedOn w:val="1015"/>
    <w:next w:val="1015"/>
    <w:uiPriority w:val="99"/>
    <w:qFormat/>
    <w:pPr>
      <w:ind w:right="-134"/>
    </w:pPr>
    <w:rPr>
      <w:bCs w:val="0"/>
    </w:rPr>
  </w:style>
  <w:style w:type="paragraph" w:styleId="1044" w:customStyle="1">
    <w:name w:val="xl62"/>
    <w:basedOn w:val="6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45" w:customStyle="1">
    <w:name w:val="Char Char Char Char Char Char Char Char Char Char Char Char Char Char Char Char Char Char Char Char Char Char Char"/>
    <w:basedOn w:val="677"/>
    <w:uiPriority w:val="99"/>
    <w:qFormat/>
    <w:rPr>
      <w:rFonts w:ascii="Tahoma" w:hAnsi="Tahoma" w:eastAsia="宋体" w:cs="Times New Roman"/>
      <w:sz w:val="24"/>
      <w:szCs w:val="20"/>
      <w14:ligatures w14:val="none"/>
    </w:rPr>
  </w:style>
  <w:style w:type="paragraph" w:styleId="1046" w:customStyle="1">
    <w:name w:val="xl28"/>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47" w:customStyle="1">
    <w:name w:val="xl56"/>
    <w:basedOn w:val="6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48" w:customStyle="1">
    <w:name w:val="font14"/>
    <w:basedOn w:val="677"/>
    <w:uiPriority w:val="99"/>
    <w:qFormat/>
    <w:pPr>
      <w:jc w:val="left"/>
      <w:spacing w:before="100" w:beforeAutospacing="1" w:after="100" w:afterAutospacing="1"/>
      <w:widowControl/>
    </w:pPr>
    <w:rPr>
      <w:rFonts w:ascii="Times New Roman" w:hAnsi="Times New Roman" w:eastAsia="宋体" w:cs="Times New Roman"/>
      <w:sz w:val="36"/>
      <w:szCs w:val="36"/>
      <w14:ligatures w14:val="none"/>
    </w:rPr>
  </w:style>
  <w:style w:type="paragraph" w:styleId="1049" w:customStyle="1">
    <w:name w:val="大标题"/>
    <w:basedOn w:val="677"/>
    <w:next w:val="677"/>
    <w:uiPriority w:val="99"/>
    <w:qFormat/>
    <w:pPr>
      <w:ind w:hanging="420"/>
      <w:pageBreakBefore/>
      <w:spacing w:line="360" w:lineRule="auto"/>
      <w:tabs>
        <w:tab w:val="left" w:pos="420" w:leader="none"/>
      </w:tabs>
      <w:outlineLvl w:val="0"/>
    </w:pPr>
    <w:rPr>
      <w:rFonts w:ascii="Times New Roman" w:hAnsi="Times New Roman" w:eastAsia="宋体" w:cs="Times New Roman"/>
      <w:b/>
      <w:iCs/>
      <w:sz w:val="44"/>
      <w:szCs w:val="24"/>
      <w14:ligatures w14:val="none"/>
    </w:rPr>
  </w:style>
  <w:style w:type="paragraph" w:styleId="1050" w:customStyle="1">
    <w:name w:val="正文缩进2字符"/>
    <w:basedOn w:val="677"/>
    <w:uiPriority w:val="99"/>
    <w:qFormat/>
    <w:pPr>
      <w:ind w:firstLine="200"/>
      <w:spacing w:line="300" w:lineRule="auto"/>
    </w:pPr>
    <w:rPr>
      <w:rFonts w:ascii="仿宋_GB2312" w:hAnsi="Times New Roman" w:eastAsia="仿宋_GB2312" w:cs="Times New Roman"/>
      <w:sz w:val="32"/>
      <w:szCs w:val="32"/>
      <w14:ligatures w14:val="none"/>
    </w:rPr>
  </w:style>
  <w:style w:type="paragraph" w:styleId="1051" w:customStyle="1">
    <w:name w:val="彩色底纹1"/>
    <w:uiPriority w:val="99"/>
    <w:semiHidden/>
    <w:qFormat/>
    <w:rPr>
      <w:rFonts w:hint="default" w:ascii="Times New Roman" w:hAnsi="Times New Roman" w:eastAsia="宋体" w:cs="Times New Roman"/>
      <w:sz w:val="21"/>
      <w:szCs w:val="24"/>
    </w:rPr>
  </w:style>
  <w:style w:type="paragraph" w:styleId="1052" w:customStyle="1">
    <w:name w:val="xl48"/>
    <w:basedOn w:val="6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53" w:customStyle="1">
    <w:name w:val="默认段落字体 Para Char Char Char Char Char Char Char Char Char1 Char Char Char Char Char Char Char"/>
    <w:basedOn w:val="697"/>
    <w:uiPriority w:val="99"/>
    <w:qFormat/>
  </w:style>
  <w:style w:type="paragraph" w:styleId="1054" w:customStyle="1">
    <w:name w:val="Char Char Char Char Char Char Char Char"/>
    <w:basedOn w:val="677"/>
    <w:uiPriority w:val="99"/>
    <w:qFormat/>
    <w:rPr>
      <w:rFonts w:ascii="Tahoma" w:hAnsi="Tahoma" w:eastAsia="宋体" w:cs="Tahoma"/>
      <w:sz w:val="24"/>
      <w:szCs w:val="20"/>
      <w14:ligatures w14:val="none"/>
    </w:rPr>
  </w:style>
  <w:style w:type="paragraph" w:styleId="1055" w:customStyle="1">
    <w:name w:val="xl49"/>
    <w:basedOn w:val="67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56" w:customStyle="1">
    <w:name w:val="xl42"/>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57" w:customStyle="1">
    <w:name w:val="xl38"/>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58" w:customStyle="1">
    <w:name w:val="7"/>
    <w:basedOn w:val="677"/>
    <w:next w:val="732"/>
    <w:uiPriority w:val="99"/>
    <w:qFormat/>
    <w:pPr>
      <w:jc w:val="left"/>
      <w:spacing w:before="100" w:beforeAutospacing="1" w:after="100" w:afterAutospacing="1"/>
      <w:widowControl/>
    </w:pPr>
    <w:rPr>
      <w:rFonts w:ascii="宋体" w:hAnsi="宋体" w:eastAsia="宋体" w:cs="Times New Roman"/>
      <w:sz w:val="24"/>
      <w:szCs w:val="20"/>
      <w14:ligatures w14:val="none"/>
    </w:rPr>
  </w:style>
  <w:style w:type="paragraph" w:styleId="1059" w:customStyle="1">
    <w:name w:val="p0"/>
    <w:basedOn w:val="677"/>
    <w:uiPriority w:val="99"/>
    <w:qFormat/>
    <w:pPr>
      <w:jc w:val="left"/>
      <w:spacing w:before="100" w:beforeAutospacing="1" w:after="100" w:afterAutospacing="1"/>
      <w:widowControl/>
    </w:pPr>
    <w:rPr>
      <w:rFonts w:ascii="宋体" w:hAnsi="宋体" w:eastAsia="宋体" w:cs="宋体"/>
      <w:sz w:val="24"/>
      <w:szCs w:val="24"/>
      <w14:ligatures w14:val="none"/>
    </w:rPr>
  </w:style>
  <w:style w:type="paragraph" w:styleId="1060" w:customStyle="1">
    <w:name w:val="列出段落2"/>
    <w:basedOn w:val="677"/>
    <w:uiPriority w:val="99"/>
    <w:qFormat/>
    <w:pPr>
      <w:ind w:left="720"/>
      <w:jc w:val="left"/>
      <w:widowControl/>
    </w:pPr>
    <w:rPr>
      <w:rFonts w:ascii="Arial" w:hAnsi="Arial" w:eastAsia="黑体" w:cs="Arial"/>
      <w:sz w:val="24"/>
      <w:szCs w:val="24"/>
      <w:lang w:eastAsia="en-US"/>
      <w14:ligatures w14:val="none"/>
    </w:rPr>
  </w:style>
  <w:style w:type="paragraph" w:styleId="1061" w:customStyle="1">
    <w:name w:val="Pa6"/>
    <w:basedOn w:val="677"/>
    <w:next w:val="677"/>
    <w:uiPriority w:val="99"/>
    <w:qFormat/>
    <w:pPr>
      <w:jc w:val="left"/>
      <w:spacing w:line="241" w:lineRule="atLeast"/>
    </w:pPr>
    <w:rPr>
      <w:rFonts w:ascii="汉仪大黑简" w:hAnsi="Times New Roman" w:eastAsia="汉仪大黑简" w:cs="Times New Roman"/>
      <w:sz w:val="24"/>
      <w:szCs w:val="24"/>
      <w14:ligatures w14:val="none"/>
    </w:rPr>
  </w:style>
  <w:style w:type="paragraph" w:styleId="1062" w:customStyle="1">
    <w:name w:val="马刚标题3"/>
    <w:basedOn w:val="677"/>
    <w:next w:val="677"/>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 w:val="24"/>
      <w:szCs w:val="20"/>
      <w14:ligatures w14:val="none"/>
    </w:rPr>
  </w:style>
  <w:style w:type="paragraph" w:styleId="1063" w:customStyle="1">
    <w:name w:val="样式4 Char"/>
    <w:basedOn w:val="677"/>
    <w:uiPriority w:val="99"/>
    <w:qFormat/>
    <w:pPr>
      <w:ind w:firstLine="480"/>
      <w:jc w:val="left"/>
      <w:spacing w:line="360" w:lineRule="auto"/>
      <w:widowControl/>
    </w:pPr>
    <w:rPr>
      <w:rFonts w:ascii="Times New Roman" w:hAnsi="Times New Roman" w:eastAsia="宋体" w:cs="宋体"/>
      <w:color w:val="000000"/>
      <w:sz w:val="24"/>
      <w:szCs w:val="24"/>
      <w14:ligatures w14:val="none"/>
    </w:rPr>
  </w:style>
  <w:style w:type="paragraph" w:styleId="1064" w:customStyle="1">
    <w:name w:val="正文文本 22"/>
    <w:basedOn w:val="677"/>
    <w:uiPriority w:val="99"/>
    <w:qFormat/>
    <w:pPr>
      <w:ind w:left="720" w:hanging="720"/>
      <w:widowControl/>
    </w:pPr>
    <w:rPr>
      <w:rFonts w:ascii="Times New Roman" w:hAnsi="Times New Roman" w:eastAsia="宋体" w:cs="Times New Roman"/>
      <w:sz w:val="24"/>
      <w:szCs w:val="20"/>
      <w:lang w:val="en-GB"/>
      <w14:ligatures w14:val="none"/>
    </w:rPr>
  </w:style>
  <w:style w:type="paragraph" w:styleId="1065" w:customStyle="1">
    <w:name w:val="font13"/>
    <w:basedOn w:val="677"/>
    <w:uiPriority w:val="99"/>
    <w:qFormat/>
    <w:pPr>
      <w:jc w:val="left"/>
      <w:spacing w:before="100" w:beforeAutospacing="1" w:after="100" w:afterAutospacing="1"/>
      <w:widowControl/>
    </w:pPr>
    <w:rPr>
      <w:rFonts w:ascii="Times New Roman" w:hAnsi="Times New Roman" w:eastAsia="宋体" w:cs="Times New Roman"/>
      <w:i/>
      <w:iCs/>
      <w:sz w:val="36"/>
      <w:szCs w:val="36"/>
      <w14:ligatures w14:val="none"/>
    </w:rPr>
  </w:style>
  <w:style w:type="paragraph" w:styleId="1066" w:customStyle="1">
    <w:name w:val="章标题"/>
    <w:next w:val="1030"/>
    <w:uiPriority w:val="99"/>
    <w:qFormat/>
    <w:pPr>
      <w:jc w:val="both"/>
      <w:outlineLvl w:val="1"/>
    </w:pPr>
    <w:rPr>
      <w:rFonts w:hint="default" w:ascii="Times New Roman" w:hAnsi="Times New Roman" w:eastAsia="黑体" w:cs="Times New Roman"/>
      <w:sz w:val="21"/>
    </w:rPr>
  </w:style>
  <w:style w:type="paragraph" w:styleId="1067" w:customStyle="1">
    <w:name w:val="xl36"/>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68" w:customStyle="1">
    <w:name w:val="Char Char Char Char Char Char"/>
    <w:basedOn w:val="677"/>
    <w:uiPriority w:val="99"/>
    <w:qFormat/>
    <w:rPr>
      <w:rFonts w:ascii="Tahoma" w:hAnsi="Tahoma" w:eastAsia="宋体" w:cs="Tahoma"/>
      <w:sz w:val="24"/>
      <w:szCs w:val="20"/>
      <w14:ligatures w14:val="none"/>
    </w:rPr>
  </w:style>
  <w:style w:type="paragraph" w:styleId="1069" w:customStyle="1">
    <w:name w:val="正文lzq"/>
    <w:basedOn w:val="677"/>
    <w:uiPriority w:val="99"/>
    <w:qFormat/>
    <w:pPr>
      <w:ind w:firstLine="480"/>
      <w:spacing w:line="360" w:lineRule="auto"/>
    </w:pPr>
    <w:rPr>
      <w:rFonts w:ascii="Times New Roman" w:hAnsi="Times New Roman" w:eastAsia="宋体" w:cs="Times New Roman"/>
      <w:sz w:val="24"/>
      <w:szCs w:val="20"/>
      <w14:ligatures w14:val="none"/>
    </w:rPr>
  </w:style>
  <w:style w:type="paragraph" w:styleId="1070" w:customStyle="1">
    <w:name w:val="xl51"/>
    <w:basedOn w:val="6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71" w:customStyle="1">
    <w:name w:val="小四 段落 宋体"/>
    <w:basedOn w:val="694"/>
    <w:uiPriority w:val="99"/>
    <w:qFormat/>
    <w:pPr>
      <w:ind w:left="113" w:right="113" w:firstLine="425"/>
      <w:jc w:val="left"/>
      <w:spacing w:line="360" w:lineRule="auto"/>
      <w:tabs>
        <w:tab w:val="clear" w:pos="2952" w:leader="none"/>
      </w:tabs>
    </w:pPr>
    <w:rPr>
      <w:sz w:val="24"/>
    </w:rPr>
  </w:style>
  <w:style w:type="paragraph" w:styleId="1072" w:customStyle="1">
    <w:name w:val="符号与编号"/>
    <w:basedOn w:val="677"/>
    <w:uiPriority w:val="99"/>
    <w:qFormat/>
    <w:pPr>
      <w:ind w:left="900" w:hanging="420"/>
      <w:spacing w:line="400" w:lineRule="atLeast"/>
      <w:tabs>
        <w:tab w:val="left" w:pos="900" w:leader="none"/>
      </w:tabs>
    </w:pPr>
    <w:rPr>
      <w:rFonts w:ascii="Times New Roman" w:hAnsi="Times New Roman" w:eastAsia="宋体" w:cs="Times New Roman"/>
      <w:sz w:val="24"/>
      <w:szCs w:val="24"/>
      <w14:ligatures w14:val="none"/>
    </w:rPr>
  </w:style>
  <w:style w:type="paragraph" w:styleId="1073" w:customStyle="1">
    <w:name w:val="Normal1"/>
    <w:basedOn w:val="677"/>
    <w:uiPriority w:val="99"/>
    <w:qFormat/>
    <w:rPr>
      <w:rFonts w:ascii="Calibri" w:hAnsi="Calibri" w:eastAsia="Calibri" w:cs="宋体"/>
      <w:szCs w:val="20"/>
      <w:lang w:val="zh-CN"/>
      <w14:ligatures w14:val="none"/>
    </w:rPr>
  </w:style>
  <w:style w:type="paragraph" w:styleId="1074" w:customStyle="1">
    <w:name w:val="标题6"/>
    <w:basedOn w:val="682"/>
    <w:uiPriority w:val="99"/>
    <w:qFormat/>
    <w:pPr>
      <w:numPr>
        <w:ilvl w:val="0"/>
        <w:numId w:val="3"/>
      </w:numPr>
      <w:ind w:left="840"/>
      <w:keepLines/>
    </w:pPr>
    <w:rPr>
      <w:rFonts w:ascii="Times New Roman"/>
      <w:b w:val="0"/>
      <w:bCs/>
      <w:color w:val="auto"/>
      <w:sz w:val="24"/>
      <w:szCs w:val="28"/>
    </w:rPr>
  </w:style>
  <w:style w:type="paragraph" w:styleId="1075" w:customStyle="1">
    <w:name w:val="xl31"/>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14:ligatures w14:val="none"/>
    </w:rPr>
  </w:style>
  <w:style w:type="paragraph" w:styleId="1076" w:customStyle="1">
    <w:name w:val="Pa5"/>
    <w:basedOn w:val="677"/>
    <w:next w:val="677"/>
    <w:uiPriority w:val="99"/>
    <w:qFormat/>
    <w:pPr>
      <w:jc w:val="left"/>
      <w:spacing w:line="241" w:lineRule="atLeast"/>
    </w:pPr>
    <w:rPr>
      <w:rFonts w:ascii="汉仪大黑简" w:hAnsi="Times New Roman" w:eastAsia="汉仪大黑简" w:cs="Times New Roman"/>
      <w:sz w:val="24"/>
      <w:szCs w:val="24"/>
      <w14:ligatures w14:val="none"/>
    </w:rPr>
  </w:style>
  <w:style w:type="paragraph" w:styleId="1077" w:customStyle="1">
    <w:name w:val="1"/>
    <w:basedOn w:val="677"/>
    <w:next w:val="703"/>
    <w:uiPriority w:val="99"/>
    <w:qFormat/>
    <w:pPr>
      <w:spacing w:line="360" w:lineRule="auto"/>
    </w:pPr>
    <w:rPr>
      <w:rFonts w:ascii="Times New Roman" w:hAnsi="Times New Roman" w:eastAsia="仿宋_GB2312" w:cs="Times New Roman"/>
      <w:sz w:val="24"/>
      <w:szCs w:val="24"/>
      <w14:ligatures w14:val="none"/>
    </w:rPr>
  </w:style>
  <w:style w:type="paragraph" w:styleId="1078" w:customStyle="1">
    <w:name w:val="段 Char"/>
    <w:uiPriority w:val="99"/>
    <w:qFormat/>
    <w:pPr>
      <w:ind w:firstLine="200"/>
      <w:jc w:val="both"/>
    </w:pPr>
    <w:rPr>
      <w:rFonts w:hint="default" w:ascii="宋体" w:hAnsi="Times New Roman" w:eastAsia="宋体" w:cs="Times New Roman"/>
      <w:sz w:val="21"/>
    </w:rPr>
  </w:style>
  <w:style w:type="paragraph" w:styleId="1079" w:customStyle="1">
    <w:name w:val="二级条标题"/>
    <w:basedOn w:val="677"/>
    <w:next w:val="1030"/>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1080" w:customStyle="1">
    <w:name w:val="标题2，章节第二层"/>
    <w:basedOn w:val="677"/>
    <w:next w:val="1015"/>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szCs w:val="24"/>
      <w14:ligatures w14:val="none"/>
    </w:rPr>
  </w:style>
  <w:style w:type="paragraph" w:styleId="1081" w:customStyle="1">
    <w:name w:val="Char Char Char Char Char Char Char1 Char"/>
    <w:basedOn w:val="677"/>
    <w:uiPriority w:val="99"/>
    <w:qFormat/>
    <w:rPr>
      <w:rFonts w:ascii="Tahoma" w:hAnsi="Tahoma" w:eastAsia="宋体" w:cs="Tahoma"/>
      <w:sz w:val="24"/>
      <w:szCs w:val="20"/>
      <w14:ligatures w14:val="none"/>
    </w:rPr>
  </w:style>
  <w:style w:type="paragraph" w:styleId="1082" w:customStyle="1">
    <w:name w:val="样式 样式 首行缩进:  0.74 厘米 行距: 1.5 倍行距 + 段后: 0.5 行"/>
    <w:basedOn w:val="677"/>
    <w:uiPriority w:val="99"/>
    <w:qFormat/>
    <w:pPr>
      <w:ind w:firstLine="420"/>
      <w:spacing w:line="360" w:lineRule="auto"/>
    </w:pPr>
    <w:rPr>
      <w:rFonts w:ascii="楷体_GB2312" w:hAnsi="Times New Roman" w:eastAsia="楷体_GB2312" w:cs="Times New Roman"/>
      <w:bCs/>
      <w:sz w:val="24"/>
      <w:szCs w:val="20"/>
      <w14:ligatures w14:val="none"/>
    </w:rPr>
  </w:style>
  <w:style w:type="paragraph" w:styleId="1083" w:customStyle="1">
    <w:name w:val="彩色列表1"/>
    <w:basedOn w:val="677"/>
    <w:uiPriority w:val="34"/>
    <w:qFormat/>
    <w:pPr>
      <w:ind w:firstLine="420"/>
    </w:pPr>
    <w:rPr>
      <w:rFonts w:ascii="Times New Roman" w:hAnsi="Times New Roman" w:eastAsia="宋体" w:cs="Times New Roman"/>
      <w:szCs w:val="24"/>
      <w14:ligatures w14:val="none"/>
    </w:rPr>
  </w:style>
  <w:style w:type="paragraph" w:styleId="1084" w:customStyle="1">
    <w:name w:val="样式 样式 标题 3H3sect1.2.3BOD 0Heading 3 - oldh3l3CTLevel 3 Head... +..."/>
    <w:basedOn w:val="677"/>
    <w:uiPriority w:val="99"/>
    <w:qFormat/>
    <w:pPr>
      <w:jc w:val="left"/>
      <w:keepLines/>
      <w:keepNext/>
      <w:outlineLvl w:val="2"/>
    </w:pPr>
    <w:rPr>
      <w:rFonts w:ascii="Times New Roman" w:hAnsi="Times New Roman" w:eastAsia="宋体" w:cs="宋体"/>
      <w:b/>
      <w:bCs/>
      <w:sz w:val="24"/>
      <w:szCs w:val="20"/>
      <w14:ligatures w14:val="none"/>
    </w:rPr>
  </w:style>
  <w:style w:type="paragraph" w:styleId="1085" w:customStyle="1">
    <w:name w:val="丁华正文"/>
    <w:basedOn w:val="725"/>
    <w:uiPriority w:val="99"/>
    <w:qFormat/>
    <w:pPr>
      <w:ind w:left="0" w:firstLine="510"/>
      <w:spacing w:line="360" w:lineRule="auto"/>
    </w:pPr>
    <w:rPr>
      <w:rFonts w:ascii="Times New Roman" w:hAnsi="Times New Roman" w:eastAsia="宋体"/>
      <w:color w:val="auto"/>
      <w:sz w:val="24"/>
      <w:szCs w:val="16"/>
    </w:rPr>
  </w:style>
  <w:style w:type="paragraph" w:styleId="1086" w:customStyle="1">
    <w:name w:val="Char Char Char Char Char Char Char Char Char Char Char Char Char"/>
    <w:basedOn w:val="677"/>
    <w:uiPriority w:val="99"/>
    <w:qFormat/>
    <w:pPr>
      <w:jc w:val="left"/>
      <w:spacing w:after="160" w:line="240" w:lineRule="exact"/>
      <w:widowControl/>
    </w:pPr>
    <w:rPr>
      <w:rFonts w:ascii="Times New Roman" w:hAnsi="Times New Roman" w:eastAsia="宋体" w:cs="Times New Roman"/>
      <w:szCs w:val="24"/>
      <w14:ligatures w14:val="none"/>
    </w:rPr>
  </w:style>
  <w:style w:type="paragraph" w:styleId="1087" w:customStyle="1">
    <w:name w:val="列表段落1"/>
    <w:basedOn w:val="677"/>
    <w:uiPriority w:val="99"/>
    <w:qFormat/>
    <w:pPr>
      <w:contextualSpacing/>
      <w:ind w:left="720"/>
      <w:jc w:val="left"/>
      <w:widowControl/>
    </w:pPr>
    <w:rPr>
      <w:rFonts w:ascii="Arial" w:hAnsi="Arial" w:eastAsia="黑体" w:cs="Times New Roman"/>
      <w:sz w:val="24"/>
      <w:szCs w:val="24"/>
      <w:lang w:eastAsia="en-US"/>
      <w14:ligatures w14:val="none"/>
    </w:rPr>
  </w:style>
  <w:style w:type="paragraph" w:styleId="1088" w:customStyle="1">
    <w:name w:val="文档正文"/>
    <w:basedOn w:val="677"/>
    <w:uiPriority w:val="99"/>
    <w:qFormat/>
    <w:pPr>
      <w:spacing w:line="360" w:lineRule="auto"/>
    </w:pPr>
    <w:rPr>
      <w:rFonts w:ascii="宋体" w:hAnsi="宋体" w:eastAsia="宋体" w:cs="Times New Roman"/>
      <w:b/>
      <w:bCs/>
      <w:szCs w:val="24"/>
      <w14:ligatures w14:val="none"/>
    </w:rPr>
  </w:style>
  <w:style w:type="paragraph" w:styleId="1089" w:customStyle="1">
    <w:name w:val="表蕊"/>
    <w:basedOn w:val="677"/>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1090" w:customStyle="1">
    <w:name w:val="Char Char1 Char Char Char Char"/>
    <w:basedOn w:val="697"/>
    <w:uiPriority w:val="99"/>
    <w:qFormat/>
    <w:pPr>
      <w:ind w:left="357"/>
      <w:jc w:val="left"/>
      <w:spacing w:line="436" w:lineRule="exact"/>
      <w:outlineLvl w:val="3"/>
    </w:pPr>
    <w:rPr>
      <w:rFonts w:ascii="Tahoma" w:hAnsi="Tahoma" w:cs="Tahoma"/>
      <w:b/>
      <w:sz w:val="24"/>
      <w:szCs w:val="24"/>
    </w:rPr>
  </w:style>
  <w:style w:type="paragraph" w:styleId="1091" w:customStyle="1">
    <w:name w:val="Char Char Char Char Char Char Char Char Char"/>
    <w:basedOn w:val="677"/>
    <w:uiPriority w:val="99"/>
    <w:qFormat/>
    <w:pPr>
      <w:ind w:left="360" w:hanging="360"/>
      <w:tabs>
        <w:tab w:val="left" w:pos="360" w:leader="none"/>
      </w:tabs>
    </w:pPr>
    <w:rPr>
      <w:rFonts w:ascii="Times New Roman" w:hAnsi="Times New Roman" w:eastAsia="宋体" w:cs="Times New Roman"/>
      <w:sz w:val="24"/>
      <w:szCs w:val="24"/>
      <w14:ligatures w14:val="none"/>
    </w:rPr>
  </w:style>
  <w:style w:type="paragraph" w:styleId="1092" w:customStyle="1">
    <w:name w:val="xl52"/>
    <w:basedOn w:val="67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93" w:customStyle="1">
    <w:name w:val="xl50"/>
    <w:basedOn w:val="6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94" w:customStyle="1">
    <w:name w:val="_Style 42"/>
    <w:basedOn w:val="677"/>
    <w:next w:val="702"/>
    <w:uiPriority w:val="99"/>
    <w:qFormat/>
    <w:rPr>
      <w:rFonts w:ascii="楷体_GB2312" w:hAnsi="Arial" w:eastAsia="楷体_GB2312" w:cs="Times New Roman"/>
      <w:sz w:val="28"/>
      <w:szCs w:val="20"/>
      <w14:ligatures w14:val="none"/>
    </w:rPr>
  </w:style>
  <w:style w:type="paragraph" w:styleId="1095" w:customStyle="1">
    <w:name w:val="标题5，章节第五层"/>
    <w:basedOn w:val="677"/>
    <w:next w:val="677"/>
    <w:uiPriority w:val="99"/>
    <w:qFormat/>
    <w:pPr>
      <w:ind w:left="2100" w:hanging="420"/>
      <w:spacing w:before="78"/>
      <w:tabs>
        <w:tab w:val="left" w:pos="1050" w:leader="none"/>
        <w:tab w:val="left" w:pos="2100" w:leader="none"/>
      </w:tabs>
      <w:outlineLvl w:val="4"/>
    </w:pPr>
    <w:rPr>
      <w:rFonts w:ascii="Arial" w:hAnsi="Arial" w:eastAsia="华文细黑" w:cs="Times New Roman"/>
      <w:sz w:val="30"/>
      <w:szCs w:val="24"/>
      <w14:ligatures w14:val="none"/>
    </w:rPr>
  </w:style>
  <w:style w:type="paragraph" w:styleId="1096" w:customStyle="1">
    <w:name w:val="xl26"/>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97" w:customStyle="1">
    <w:name w:val="qw"/>
    <w:uiPriority w:val="99"/>
    <w:qFormat/>
    <w:pPr>
      <w:jc w:val="both"/>
      <w:spacing w:line="312" w:lineRule="atLeast"/>
      <w:widowControl w:val="off"/>
    </w:pPr>
    <w:rPr>
      <w:rFonts w:hint="default" w:ascii="宋体" w:hAnsi="Times New Roman" w:eastAsia="宋体" w:cs="Times New Roman"/>
      <w:sz w:val="24"/>
    </w:rPr>
  </w:style>
  <w:style w:type="paragraph" w:styleId="1098" w:customStyle="1">
    <w:name w:val="正文 + Arial Char"/>
    <w:basedOn w:val="677"/>
    <w:uiPriority w:val="99"/>
    <w:qFormat/>
    <w:pPr>
      <w:ind w:left="315" w:hanging="315"/>
      <w:spacing w:line="300" w:lineRule="auto"/>
      <w:widowControl/>
      <w:tabs>
        <w:tab w:val="left" w:pos="315" w:leader="none"/>
      </w:tabs>
    </w:pPr>
    <w:rPr>
      <w:rFonts w:ascii="Arial" w:hAnsi="Arial" w:eastAsia="宋体" w:cs="Arial"/>
      <w:b/>
      <w:color w:val="000000"/>
      <w:szCs w:val="20"/>
      <w14:ligatures w14:val="none"/>
    </w:rPr>
  </w:style>
  <w:style w:type="paragraph" w:styleId="1099" w:customStyle="1">
    <w:name w:val="xl55"/>
    <w:basedOn w:val="67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14:ligatures w14:val="none"/>
    </w:rPr>
  </w:style>
  <w:style w:type="paragraph" w:styleId="1100" w:customStyle="1">
    <w:name w:val="Char Char1 Char Char Char Char1 Char Char Char Char Char Char"/>
    <w:basedOn w:val="677"/>
    <w:uiPriority w:val="99"/>
    <w:qFormat/>
    <w:rPr>
      <w:rFonts w:ascii="Tahoma" w:hAnsi="Tahoma" w:eastAsia="宋体" w:cs="Times New Roman"/>
      <w:sz w:val="24"/>
      <w:szCs w:val="20"/>
      <w14:ligatures w14:val="none"/>
    </w:rPr>
  </w:style>
  <w:style w:type="paragraph" w:styleId="1101" w:customStyle="1">
    <w:name w:val="标题1，章节第一层"/>
    <w:basedOn w:val="1015"/>
    <w:next w:val="1015"/>
    <w:uiPriority w:val="99"/>
    <w:qFormat/>
    <w:pPr>
      <w:ind w:left="482"/>
      <w:tabs>
        <w:tab w:val="left" w:pos="693" w:leader="none"/>
      </w:tabs>
      <w:outlineLvl w:val="0"/>
    </w:pPr>
    <w:rPr>
      <w:color w:val="000000"/>
      <w:sz w:val="24"/>
      <w:szCs w:val="24"/>
    </w:rPr>
  </w:style>
  <w:style w:type="paragraph" w:styleId="1102" w:customStyle="1">
    <w:name w:val="列出段落1"/>
    <w:basedOn w:val="677"/>
    <w:uiPriority w:val="99"/>
    <w:qFormat/>
    <w:pPr>
      <w:contextualSpacing/>
      <w:ind w:left="720"/>
      <w:jc w:val="left"/>
      <w:widowControl/>
    </w:pPr>
    <w:rPr>
      <w:rFonts w:ascii="Arial" w:hAnsi="Arial" w:eastAsia="黑体" w:cs="Times New Roman"/>
      <w:sz w:val="24"/>
      <w:szCs w:val="24"/>
      <w:lang w:eastAsia="en-US"/>
      <w14:ligatures w14:val="none"/>
    </w:rPr>
  </w:style>
  <w:style w:type="paragraph" w:styleId="1103" w:customStyle="1">
    <w:name w:val="默认段落字体 Para Char Char Char Char Char Char Char"/>
    <w:basedOn w:val="677"/>
    <w:uiPriority w:val="99"/>
    <w:qFormat/>
    <w:rPr>
      <w:rFonts w:ascii="Times New Roman" w:hAnsi="Times New Roman" w:eastAsia="宋体" w:cs="Times New Roman"/>
      <w:szCs w:val="20"/>
      <w14:ligatures w14:val="none"/>
    </w:rPr>
  </w:style>
  <w:style w:type="paragraph" w:styleId="1104" w:customStyle="1">
    <w:name w:val="xl45"/>
    <w:basedOn w:val="67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14:ligatures w14:val="none"/>
    </w:rPr>
  </w:style>
  <w:style w:type="paragraph" w:styleId="1105" w:customStyle="1">
    <w:name w:val="Char Char Char Char Char Char Char Char Char Char Char1 Char Char Char1"/>
    <w:basedOn w:val="677"/>
    <w:uiPriority w:val="99"/>
    <w:semiHidden/>
    <w:qFormat/>
    <w:pPr>
      <w:ind w:firstLine="200"/>
      <w:jc w:val="left"/>
    </w:pPr>
    <w:rPr>
      <w:rFonts w:ascii="Tahoma" w:hAnsi="Tahoma" w:eastAsia="宋体" w:cs="Times New Roman"/>
      <w:sz w:val="24"/>
      <w:szCs w:val="24"/>
      <w14:ligatures w14:val="none"/>
    </w:rPr>
  </w:style>
  <w:style w:type="paragraph" w:styleId="1106" w:customStyle="1">
    <w:name w:val="样式1"/>
    <w:basedOn w:val="677"/>
    <w:uiPriority w:val="99"/>
    <w:qFormat/>
    <w:pPr>
      <w:ind w:firstLine="480"/>
      <w:spacing w:line="300" w:lineRule="auto"/>
    </w:pPr>
    <w:rPr>
      <w:rFonts w:ascii="Times New Roman" w:hAnsi="Times New Roman" w:eastAsia="宋体" w:cs="Times New Roman"/>
      <w:sz w:val="24"/>
      <w:szCs w:val="24"/>
      <w14:ligatures w14:val="none"/>
    </w:rPr>
  </w:style>
  <w:style w:type="paragraph" w:styleId="1107" w:customStyle="1">
    <w:name w:val="xl24"/>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108" w:customStyle="1">
    <w:name w:val="正文 New New New New New New New New New New New New New New"/>
    <w:uiPriority w:val="99"/>
    <w:qFormat/>
    <w:pPr>
      <w:jc w:val="both"/>
      <w:widowControl w:val="off"/>
    </w:pPr>
    <w:rPr>
      <w:rFonts w:hint="default" w:ascii="Calibri" w:hAnsi="Calibri" w:eastAsia="宋体" w:cs="Times New Roman"/>
      <w:sz w:val="21"/>
    </w:rPr>
  </w:style>
  <w:style w:type="paragraph" w:styleId="1109" w:customStyle="1">
    <w:name w:val="Test2"/>
    <w:basedOn w:val="679"/>
    <w:uiPriority w:val="99"/>
    <w:qFormat/>
    <w:pPr>
      <w:jc w:val="center"/>
      <w:spacing w:before="0" w:after="0" w:line="480" w:lineRule="exact"/>
      <w:widowControl/>
    </w:pPr>
    <w:rPr>
      <w:rFonts w:ascii="黑体" w:hAnsi="Arial" w:eastAsia="黑体"/>
      <w:bCs/>
      <w:sz w:val="24"/>
    </w:rPr>
  </w:style>
  <w:style w:type="paragraph" w:styleId="1110" w:customStyle="1">
    <w:name w:val="xl30"/>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111" w:customStyle="1">
    <w:name w:val="xl41"/>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112" w:customStyle="1">
    <w:name w:val="tableau"/>
    <w:basedOn w:val="677"/>
    <w:uiPriority w:val="99"/>
    <w:qFormat/>
    <w:pPr>
      <w:jc w:val="center"/>
      <w:spacing w:before="20" w:after="20"/>
      <w:widowControl/>
    </w:pPr>
    <w:rPr>
      <w:rFonts w:ascii="Arial" w:hAnsi="Arial" w:eastAsia="宋体" w:cs="Times New Roman"/>
      <w:sz w:val="16"/>
      <w:szCs w:val="20"/>
      <w:lang w:val="en-GB" w:eastAsia="en-US"/>
      <w14:ligatures w14:val="none"/>
    </w:rPr>
  </w:style>
  <w:style w:type="paragraph" w:styleId="1113" w:customStyle="1">
    <w:name w:val="样式 样式 首行缩进:  2 字符 + 行距: 1.5 倍行距"/>
    <w:basedOn w:val="677"/>
    <w:uiPriority w:val="99"/>
    <w:qFormat/>
    <w:pPr>
      <w:ind w:firstLine="470"/>
      <w:spacing w:line="360" w:lineRule="auto"/>
    </w:pPr>
    <w:rPr>
      <w:rFonts w:ascii="Times New Roman" w:hAnsi="Times New Roman" w:eastAsia="宋体" w:cs="Times New Roman"/>
      <w:sz w:val="24"/>
      <w:szCs w:val="20"/>
      <w14:ligatures w14:val="none"/>
    </w:rPr>
  </w:style>
  <w:style w:type="paragraph" w:styleId="1114" w:customStyle="1">
    <w:name w:val="Item List Char Char"/>
    <w:uiPriority w:val="99"/>
    <w:qFormat/>
    <w:pPr>
      <w:jc w:val="both"/>
      <w:spacing w:line="288" w:lineRule="auto"/>
    </w:pPr>
    <w:rPr>
      <w:rFonts w:hint="default" w:ascii="Arial" w:hAnsi="Arial" w:eastAsia="宋体" w:cs="Arial"/>
      <w:b/>
      <w:bCs/>
      <w:sz w:val="21"/>
      <w:szCs w:val="28"/>
    </w:rPr>
  </w:style>
  <w:style w:type="paragraph" w:styleId="1115" w:customStyle="1">
    <w:name w:val="插图"/>
    <w:basedOn w:val="677"/>
    <w:uiPriority w:val="99"/>
    <w:qFormat/>
    <w:pPr>
      <w:jc w:val="center"/>
      <w:tabs>
        <w:tab w:val="left" w:pos="1620" w:leader="none"/>
      </w:tabs>
    </w:pPr>
    <w:rPr>
      <w:rFonts w:ascii="Times New Roman" w:hAnsi="Times New Roman" w:eastAsia="宋体" w:cs="Times New Roman"/>
      <w:bCs/>
      <w:color w:val="000000"/>
      <w14:ligatures w14:val="none"/>
    </w:rPr>
  </w:style>
  <w:style w:type="paragraph" w:styleId="1116" w:customStyle="1">
    <w:name w:val="zw"/>
    <w:basedOn w:val="677"/>
    <w:uiPriority w:val="99"/>
    <w:qFormat/>
    <w:pPr>
      <w:ind w:firstLine="480"/>
      <w:jc w:val="left"/>
      <w:spacing w:line="360" w:lineRule="auto"/>
      <w:widowControl/>
    </w:pPr>
    <w:rPr>
      <w:rFonts w:ascii="宋体" w:hAnsi="宋体" w:eastAsia="宋体" w:cs="Times New Roman"/>
      <w:bCs/>
      <w:sz w:val="24"/>
      <w:szCs w:val="20"/>
      <w14:ligatures w14:val="none"/>
    </w:rPr>
  </w:style>
  <w:style w:type="paragraph" w:styleId="1117" w:customStyle="1">
    <w:name w:val="丁华标题2"/>
    <w:basedOn w:val="679"/>
    <w:next w:val="1085"/>
    <w:uiPriority w:val="99"/>
    <w:qFormat/>
    <w:pPr>
      <w:numPr>
        <w:ilvl w:val="1"/>
        <w:numId w:val="4"/>
      </w:numPr>
      <w:spacing w:line="412" w:lineRule="auto"/>
    </w:pPr>
    <w:rPr>
      <w:rFonts w:ascii="Arial" w:hAnsi="Arial" w:eastAsia="黑体"/>
      <w:b w:val="0"/>
      <w:sz w:val="28"/>
      <w:szCs w:val="20"/>
    </w:rPr>
  </w:style>
  <w:style w:type="paragraph" w:styleId="1118" w:customStyle="1">
    <w:name w:val="丁华标题1"/>
    <w:basedOn w:val="678"/>
    <w:next w:val="1085"/>
    <w:uiPriority w:val="99"/>
    <w:qFormat/>
    <w:pPr>
      <w:numPr>
        <w:ilvl w:val="0"/>
        <w:numId w:val="4"/>
      </w:numPr>
      <w:ind w:firstLine="0"/>
      <w:jc w:val="left"/>
      <w:keepLines/>
      <w:spacing w:before="600" w:after="120" w:line="576" w:lineRule="auto"/>
      <w:tabs>
        <w:tab w:val="clear" w:pos="5670" w:leader="none"/>
      </w:tabs>
    </w:pPr>
    <w:rPr>
      <w:rFonts w:ascii="Times New Roman"/>
      <w:b w:val="0"/>
      <w:sz w:val="32"/>
      <w:szCs w:val="20"/>
    </w:rPr>
  </w:style>
  <w:style w:type="paragraph" w:styleId="1119" w:customStyle="1">
    <w:name w:val="论文正文"/>
    <w:basedOn w:val="712"/>
    <w:uiPriority w:val="99"/>
    <w:qFormat/>
    <w:pPr>
      <w:ind w:left="0" w:firstLine="200"/>
      <w:jc w:val="left"/>
      <w:spacing w:line="360" w:lineRule="auto"/>
    </w:pPr>
    <w:rPr>
      <w:rFonts w:ascii="Times New Roman" w:hAnsi="Times New Roman"/>
      <w:sz w:val="28"/>
      <w:szCs w:val="24"/>
    </w:rPr>
  </w:style>
  <w:style w:type="paragraph" w:styleId="1120" w:customStyle="1">
    <w:name w:val="content_lineheight"/>
    <w:basedOn w:val="677"/>
    <w:uiPriority w:val="99"/>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1121" w:customStyle="1">
    <w:name w:val="表格内文字"/>
    <w:basedOn w:val="677"/>
    <w:uiPriority w:val="99"/>
    <w:qFormat/>
    <w:pPr>
      <w:spacing w:line="300" w:lineRule="atLeast"/>
    </w:pPr>
    <w:rPr>
      <w:rFonts w:ascii="Times New Roman" w:hAnsi="Times New Roman" w:eastAsia="宋体" w:cs="Times New Roman"/>
      <w:sz w:val="18"/>
      <w:szCs w:val="24"/>
      <w14:ligatures w14:val="none"/>
    </w:rPr>
  </w:style>
  <w:style w:type="paragraph" w:styleId="1122" w:customStyle="1">
    <w:name w:val="样式"/>
    <w:basedOn w:val="677"/>
    <w:uiPriority w:val="99"/>
    <w:qFormat/>
    <w:pPr>
      <w:spacing w:before="120" w:after="120" w:line="360" w:lineRule="auto"/>
    </w:pPr>
    <w:rPr>
      <w:rFonts w:ascii="宋体" w:hAnsi="Times New Roman" w:eastAsia="宋体" w:cs="Times New Roman"/>
      <w:sz w:val="24"/>
      <w:szCs w:val="20"/>
      <w14:ligatures w14:val="none"/>
    </w:rPr>
  </w:style>
  <w:style w:type="paragraph" w:styleId="1123" w:customStyle="1">
    <w:name w:val="丁华标题3"/>
    <w:basedOn w:val="1117"/>
    <w:next w:val="1085"/>
    <w:uiPriority w:val="99"/>
    <w:qFormat/>
    <w:pPr>
      <w:numPr>
        <w:ilvl w:val="2"/>
      </w:numPr>
      <w:ind w:left="1980" w:hanging="420"/>
      <w:spacing w:after="0"/>
      <w:tabs>
        <w:tab w:val="left" w:pos="1470" w:leader="none"/>
        <w:tab w:val="left" w:pos="1980" w:leader="none"/>
      </w:tabs>
      <w:outlineLvl w:val="2"/>
    </w:pPr>
    <w:rPr>
      <w:sz w:val="24"/>
    </w:rPr>
  </w:style>
  <w:style w:type="paragraph" w:styleId="1124" w:customStyle="1">
    <w:name w:val="font10"/>
    <w:basedOn w:val="677"/>
    <w:uiPriority w:val="99"/>
    <w:qFormat/>
    <w:pPr>
      <w:jc w:val="left"/>
      <w:spacing w:before="100" w:beforeAutospacing="1" w:after="100" w:afterAutospacing="1"/>
      <w:widowControl/>
    </w:pPr>
    <w:rPr>
      <w:rFonts w:ascii="楷体_GB2312" w:hAnsi="宋体" w:eastAsia="楷体_GB2312" w:cs="宋体"/>
      <w:b/>
      <w:bCs/>
      <w:sz w:val="18"/>
      <w:szCs w:val="18"/>
      <w14:ligatures w14:val="none"/>
    </w:rPr>
  </w:style>
  <w:style w:type="paragraph" w:styleId="1125" w:customStyle="1">
    <w:name w:val="font11"/>
    <w:basedOn w:val="677"/>
    <w:uiPriority w:val="99"/>
    <w:qFormat/>
    <w:pPr>
      <w:jc w:val="left"/>
      <w:spacing w:before="100" w:beforeAutospacing="1" w:after="100" w:afterAutospacing="1"/>
      <w:widowControl/>
    </w:pPr>
    <w:rPr>
      <w:rFonts w:ascii="Times New Roman" w:hAnsi="Times New Roman" w:eastAsia="宋体" w:cs="Times New Roman"/>
      <w:b/>
      <w:bCs/>
      <w:sz w:val="18"/>
      <w:szCs w:val="18"/>
      <w14:ligatures w14:val="none"/>
    </w:rPr>
  </w:style>
  <w:style w:type="paragraph" w:styleId="1126" w:customStyle="1">
    <w:name w:val="部分1"/>
    <w:basedOn w:val="677"/>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1127" w:customStyle="1">
    <w:name w:val="xl57"/>
    <w:basedOn w:val="6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28" w:customStyle="1">
    <w:name w:val="小四 段落 宋体 Char"/>
    <w:basedOn w:val="694"/>
    <w:uiPriority w:val="99"/>
    <w:qFormat/>
    <w:pPr>
      <w:ind w:left="0" w:right="-33" w:firstLine="600"/>
      <w:jc w:val="left"/>
      <w:tabs>
        <w:tab w:val="clear" w:pos="2952" w:leader="none"/>
      </w:tabs>
    </w:pPr>
    <w:rPr>
      <w:rFonts w:ascii="仿宋_GB2312" w:eastAsia="仿宋_GB2312"/>
      <w:sz w:val="30"/>
      <w:szCs w:val="30"/>
    </w:rPr>
  </w:style>
  <w:style w:type="paragraph" w:styleId="1129" w:customStyle="1">
    <w:name w:val="表头_5"/>
    <w:basedOn w:val="677"/>
    <w:uiPriority w:val="99"/>
    <w:qFormat/>
    <w:pPr>
      <w:spacing w:line="360" w:lineRule="auto"/>
    </w:pPr>
    <w:rPr>
      <w:rFonts w:ascii="Times New Roman" w:hAnsi="Times New Roman" w:eastAsia="宋体" w:cs="Times New Roman"/>
      <w:b/>
      <w:bCs/>
      <w:sz w:val="28"/>
      <w:szCs w:val="21"/>
      <w14:ligatures w14:val="none"/>
    </w:rPr>
  </w:style>
  <w:style w:type="paragraph" w:styleId="1130" w:customStyle="1">
    <w:name w:val="表格"/>
    <w:basedOn w:val="677"/>
    <w:uiPriority w:val="99"/>
    <w:qFormat/>
    <w:pPr>
      <w:ind w:firstLine="21"/>
    </w:pPr>
    <w:rPr>
      <w:rFonts w:ascii="宋体" w:hAnsi="宋体" w:eastAsia="宋体" w:cs="宋体"/>
      <w:sz w:val="20"/>
      <w:szCs w:val="20"/>
      <w14:ligatures w14:val="none"/>
    </w:rPr>
  </w:style>
  <w:style w:type="paragraph" w:styleId="1131" w:customStyle="1">
    <w:name w:val="华宇段落1 Char"/>
    <w:basedOn w:val="677"/>
    <w:uiPriority w:val="99"/>
    <w:qFormat/>
    <w:pPr>
      <w:ind w:firstLine="200"/>
      <w:spacing w:line="360" w:lineRule="auto"/>
    </w:pPr>
    <w:rPr>
      <w:rFonts w:ascii="Times New Roman" w:hAnsi="Times New Roman" w:eastAsia="宋体" w:cs="Times New Roman"/>
      <w:bCs/>
      <w:sz w:val="24"/>
      <w:szCs w:val="24"/>
      <w14:ligatures w14:val="none"/>
    </w:rPr>
  </w:style>
  <w:style w:type="paragraph" w:styleId="1132" w:customStyle="1">
    <w:name w:val="Table Paragraph"/>
    <w:basedOn w:val="677"/>
    <w:uiPriority w:val="1"/>
    <w:qFormat/>
    <w:pPr>
      <w:jc w:val="left"/>
      <w:spacing w:line="360" w:lineRule="auto"/>
    </w:pPr>
    <w:rPr>
      <w:rFonts w:ascii="宋体" w:hAnsi="宋体" w:eastAsia="宋体" w:cs="宋体"/>
      <w:sz w:val="24"/>
      <w:lang w:eastAsia="en-US"/>
      <w14:ligatures w14:val="none"/>
    </w:rPr>
  </w:style>
  <w:style w:type="paragraph" w:styleId="1133" w:customStyle="1">
    <w:name w:val="xl29"/>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134" w:customStyle="1">
    <w:name w:val="xl35"/>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14:ligatures w14:val="none"/>
    </w:rPr>
  </w:style>
  <w:style w:type="paragraph" w:styleId="1135" w:customStyle="1">
    <w:name w:val="xl32"/>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36" w:customStyle="1">
    <w:name w:val="xl53"/>
    <w:basedOn w:val="6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37" w:customStyle="1">
    <w:name w:val="xl46"/>
    <w:basedOn w:val="67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14:ligatures w14:val="none"/>
    </w:rPr>
  </w:style>
  <w:style w:type="paragraph" w:styleId="1138" w:customStyle="1">
    <w:name w:val="font5"/>
    <w:basedOn w:val="677"/>
    <w:uiPriority w:val="99"/>
    <w:qFormat/>
    <w:pPr>
      <w:jc w:val="left"/>
      <w:spacing w:before="100" w:beforeAutospacing="1" w:after="100" w:afterAutospacing="1"/>
      <w:widowControl/>
    </w:pPr>
    <w:rPr>
      <w:rFonts w:ascii="宋体" w:hAnsi="宋体" w:eastAsia="宋体" w:cs="宋体"/>
      <w:sz w:val="18"/>
      <w:szCs w:val="18"/>
      <w14:ligatures w14:val="none"/>
    </w:rPr>
  </w:style>
  <w:style w:type="paragraph" w:styleId="1139" w:customStyle="1">
    <w:name w:val="彩色底纹 - 强调文字颜色 61"/>
    <w:basedOn w:val="678"/>
    <w:next w:val="677"/>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40" w:customStyle="1">
    <w:name w:val="马刚标题1"/>
    <w:basedOn w:val="678"/>
    <w:next w:val="677"/>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1" w:customStyle="1">
    <w:name w:val="纯文本1"/>
    <w:basedOn w:val="677"/>
    <w:uiPriority w:val="99"/>
    <w:qFormat/>
    <w:rPr>
      <w:rFonts w:ascii="宋体" w:hAnsi="宋体" w:eastAsia="楷体_GB2312" w:cs="宋体"/>
      <w:sz w:val="28"/>
      <w:szCs w:val="20"/>
      <w14:ligatures w14:val="none"/>
    </w:rPr>
  </w:style>
  <w:style w:type="paragraph" w:styleId="1142" w:customStyle="1">
    <w:name w:val="一级标题"/>
    <w:basedOn w:val="677"/>
    <w:uiPriority w:val="99"/>
    <w:qFormat/>
    <w:pPr>
      <w:ind w:left="900" w:hanging="420"/>
      <w:spacing w:line="360" w:lineRule="auto"/>
      <w:tabs>
        <w:tab w:val="left" w:pos="903" w:leader="none"/>
      </w:tabs>
    </w:pPr>
    <w:rPr>
      <w:rFonts w:ascii="Arial" w:hAnsi="Arial" w:eastAsia="宋体" w:cs="Arial"/>
      <w:sz w:val="24"/>
      <w:szCs w:val="20"/>
      <w14:ligatures w14:val="none"/>
    </w:rPr>
  </w:style>
  <w:style w:type="paragraph" w:styleId="1143" w:customStyle="1">
    <w:name w:val="列表内容"/>
    <w:basedOn w:val="677"/>
    <w:next w:val="677"/>
    <w:uiPriority w:val="99"/>
    <w:qFormat/>
    <w:pPr>
      <w:ind w:left="840" w:hanging="420"/>
      <w:jc w:val="left"/>
      <w:widowControl/>
      <w:tabs>
        <w:tab w:val="left" w:pos="840" w:leader="none"/>
      </w:tabs>
    </w:pPr>
    <w:rPr>
      <w:rFonts w:ascii="Times New Roman" w:hAnsi="Times New Roman" w:eastAsia="宋体" w:cs="Times New Roman"/>
      <w:sz w:val="18"/>
      <w:szCs w:val="24"/>
      <w14:ligatures w14:val="none"/>
    </w:rPr>
  </w:style>
  <w:style w:type="paragraph" w:styleId="1144" w:customStyle="1">
    <w:name w:val="标准小四"/>
    <w:basedOn w:val="677"/>
    <w:uiPriority w:val="99"/>
    <w:qFormat/>
    <w:pPr>
      <w:ind w:firstLine="480"/>
      <w:spacing w:line="360" w:lineRule="auto"/>
    </w:pPr>
    <w:rPr>
      <w:rFonts w:ascii="Arial" w:hAnsi="Arial" w:eastAsia="宋体" w:cs="Times New Roman"/>
      <w:sz w:val="24"/>
      <w:szCs w:val="21"/>
      <w14:ligatures w14:val="none"/>
    </w:rPr>
  </w:style>
  <w:style w:type="paragraph" w:styleId="1145" w:customStyle="1">
    <w:name w:val="公文标题 2"/>
    <w:basedOn w:val="677"/>
    <w:next w:val="978"/>
    <w:uiPriority w:val="99"/>
    <w:qFormat/>
    <w:pPr>
      <w:outlineLvl w:val="1"/>
    </w:pPr>
    <w:rPr>
      <w:rFonts w:ascii="仿宋_GB2312" w:hAnsi="宋体" w:eastAsia="仿宋_GB2312" w:cs="Times New Roman"/>
      <w:sz w:val="28"/>
      <w:szCs w:val="24"/>
      <w14:ligatures w14:val="none"/>
    </w:rPr>
  </w:style>
  <w:style w:type="paragraph" w:styleId="1146" w:customStyle="1">
    <w:name w:val="正文 首行缩进:  2 字符 Char"/>
    <w:basedOn w:val="677"/>
    <w:uiPriority w:val="99"/>
    <w:qFormat/>
    <w:pPr>
      <w:ind w:firstLine="480"/>
      <w:spacing w:line="360" w:lineRule="auto"/>
    </w:pPr>
    <w:rPr>
      <w:rFonts w:ascii="Times New Roman" w:hAnsi="Times New Roman" w:eastAsia="宋体" w:cs="宋体"/>
      <w:sz w:val="24"/>
      <w:szCs w:val="20"/>
      <w14:ligatures w14:val="none"/>
    </w:rPr>
  </w:style>
  <w:style w:type="paragraph" w:styleId="1147" w:customStyle="1">
    <w:name w:val="*正文"/>
    <w:basedOn w:val="677"/>
    <w:uiPriority w:val="99"/>
    <w:qFormat/>
    <w:pPr>
      <w:ind w:firstLine="480"/>
      <w:jc w:val="left"/>
      <w:spacing w:line="360" w:lineRule="auto"/>
      <w:widowControl/>
    </w:pPr>
    <w:rPr>
      <w:rFonts w:ascii="Times New Roman" w:hAnsi="宋体" w:eastAsia="宋体" w:cs="Times New Roman"/>
      <w:sz w:val="24"/>
      <w:szCs w:val="20"/>
      <w:lang w:val="zh-CN"/>
      <w14:ligatures w14:val="none"/>
    </w:rPr>
  </w:style>
  <w:style w:type="character" w:styleId="1148" w:customStyle="1">
    <w:name w:val="纯文本 字符1"/>
    <w:link w:val="708"/>
    <w:uiPriority w:val="99"/>
    <w:semiHidden/>
    <w:qFormat/>
    <w:rPr>
      <w:rFonts w:ascii="宋体" w:hAnsi="Courier New" w:eastAsia="宋体" w:cs="Times New Roman"/>
      <w:szCs w:val="20"/>
      <w14:ligatures w14:val="none"/>
    </w:rPr>
  </w:style>
  <w:style w:type="character" w:styleId="1149" w:customStyle="1">
    <w:name w:val="font61"/>
    <w:uiPriority w:val="0"/>
    <w:qFormat/>
    <w:rPr>
      <w:rFonts w:hint="default" w:ascii="Times New Roman" w:hAnsi="Times New Roman" w:cs="Times New Roman"/>
      <w:color w:val="000000"/>
      <w:sz w:val="24"/>
      <w:szCs w:val="24"/>
      <w:u w:val="none"/>
    </w:rPr>
  </w:style>
  <w:style w:type="character" w:styleId="1150" w:customStyle="1">
    <w:name w:val="font111"/>
    <w:basedOn w:val="687"/>
    <w:uiPriority w:val="0"/>
    <w:qFormat/>
    <w:rPr>
      <w:rFonts w:hint="default" w:ascii="Times New Roman" w:hAnsi="Times New Roman" w:cs="Times New Roman"/>
      <w:color w:val="ff0000"/>
      <w:sz w:val="22"/>
      <w:szCs w:val="22"/>
      <w:u w:val="none"/>
    </w:rPr>
  </w:style>
  <w:style w:type="character" w:styleId="1151" w:customStyle="1">
    <w:name w:val="华宇段落1 Char Char"/>
    <w:uiPriority w:val="0"/>
    <w:qFormat/>
    <w:rPr>
      <w:rFonts w:hint="eastAsia" w:ascii="宋体" w:hAnsi="宋体" w:eastAsia="宋体"/>
      <w:bCs/>
      <w:sz w:val="24"/>
      <w:szCs w:val="24"/>
      <w:lang w:val="en-US" w:eastAsia="zh-CN" w:bidi="ar-SA"/>
    </w:rPr>
  </w:style>
  <w:style w:type="character" w:styleId="1152" w:customStyle="1">
    <w:name w:val="Char Char22"/>
    <w:uiPriority w:val="0"/>
    <w:qFormat/>
    <w:rPr>
      <w:b/>
      <w:bCs/>
      <w:sz w:val="24"/>
      <w:szCs w:val="24"/>
    </w:rPr>
  </w:style>
  <w:style w:type="character" w:styleId="1153" w:customStyle="1">
    <w:name w:val="华宇段落1 Char Char Char"/>
    <w:uiPriority w:val="0"/>
    <w:qFormat/>
    <w:rPr>
      <w:rFonts w:hint="eastAsia" w:ascii="宋体" w:hAnsi="宋体" w:eastAsia="宋体"/>
      <w:bCs/>
      <w:sz w:val="24"/>
      <w:szCs w:val="24"/>
      <w:lang w:val="en-US" w:eastAsia="zh-CN" w:bidi="ar-SA"/>
    </w:rPr>
  </w:style>
  <w:style w:type="character" w:styleId="1154" w:customStyle="1">
    <w:name w:val="纯文本 Char Char Char1"/>
    <w:uiPriority w:val="0"/>
    <w:qFormat/>
    <w:rPr>
      <w:rFonts w:hint="eastAsia" w:ascii="宋体" w:hAnsi="Courier New" w:eastAsia="宋体"/>
      <w:sz w:val="21"/>
      <w:szCs w:val="21"/>
      <w:lang w:val="en-US" w:eastAsia="zh-CN" w:bidi="ar-SA"/>
    </w:rPr>
  </w:style>
  <w:style w:type="character" w:styleId="1155" w:customStyle="1">
    <w:name w:val="标准小四 Char Char"/>
    <w:uiPriority w:val="0"/>
    <w:qFormat/>
    <w:rPr>
      <w:rFonts w:hint="default" w:ascii="Arial" w:hAnsi="Arial" w:eastAsia="宋体" w:cs="Arial"/>
      <w:sz w:val="24"/>
      <w:szCs w:val="21"/>
      <w:lang w:val="en-US" w:eastAsia="zh-CN" w:bidi="ar-SA"/>
    </w:rPr>
  </w:style>
  <w:style w:type="character" w:styleId="1156" w:customStyle="1">
    <w:name w:val="font151"/>
    <w:basedOn w:val="687"/>
    <w:uiPriority w:val="0"/>
    <w:qFormat/>
    <w:rPr>
      <w:rFonts w:hint="eastAsia" w:ascii="方正仿宋_GBK" w:hAnsi="方正仿宋_GBK" w:eastAsia="方正仿宋_GBK" w:cs="方正仿宋_GBK"/>
      <w:color w:val="ff0000"/>
      <w:sz w:val="22"/>
      <w:szCs w:val="22"/>
      <w:u w:val="none"/>
    </w:rPr>
  </w:style>
  <w:style w:type="character" w:styleId="1157" w:customStyle="1">
    <w:name w:val="h Char Char"/>
    <w:uiPriority w:val="0"/>
    <w:qFormat/>
    <w:rPr>
      <w:rFonts w:hint="eastAsia" w:ascii="宋体" w:hAnsi="宋体" w:eastAsia="宋体"/>
      <w:sz w:val="18"/>
      <w:szCs w:val="18"/>
      <w:lang w:val="en-US" w:eastAsia="zh-CN" w:bidi="ar-SA"/>
    </w:rPr>
  </w:style>
  <w:style w:type="character" w:styleId="1158" w:customStyle="1">
    <w:name w:val="content_lineheight1"/>
    <w:uiPriority w:val="0"/>
    <w:qFormat/>
  </w:style>
  <w:style w:type="character" w:styleId="1159" w:customStyle="1">
    <w:name w:val="case31"/>
    <w:uiPriority w:val="0"/>
    <w:qFormat/>
    <w:rPr>
      <w:sz w:val="21"/>
      <w:szCs w:val="21"/>
    </w:rPr>
  </w:style>
  <w:style w:type="character" w:styleId="1160" w:customStyle="1">
    <w:name w:val="小四 段落 宋体 Char Char Char1"/>
    <w:uiPriority w:val="0"/>
    <w:qFormat/>
    <w:rPr>
      <w:rFonts w:hint="eastAsia" w:ascii="宋体" w:hAnsi="宋体" w:eastAsia="宋体"/>
      <w:sz w:val="24"/>
      <w:szCs w:val="24"/>
      <w:lang w:val="en-US" w:eastAsia="zh-CN" w:bidi="ar-SA"/>
    </w:rPr>
  </w:style>
  <w:style w:type="character" w:styleId="1161" w:customStyle="1">
    <w:name w:val="批注文字 Char"/>
    <w:uiPriority w:val="99"/>
    <w:qFormat/>
    <w:rPr>
      <w:rFonts w:hint="eastAsia" w:ascii="宋体" w:hAnsi="宋体" w:eastAsia="宋体"/>
      <w:sz w:val="21"/>
      <w:lang w:val="en-US" w:eastAsia="zh-CN" w:bidi="ar-SA"/>
    </w:rPr>
  </w:style>
  <w:style w:type="character" w:styleId="1162" w:customStyle="1">
    <w:name w:val="Char Char2"/>
    <w:uiPriority w:val="0"/>
    <w:qFormat/>
    <w:rPr>
      <w:rFonts w:hint="eastAsia" w:ascii="宋体" w:hAnsi="Courier New" w:eastAsia="宋体"/>
      <w:sz w:val="21"/>
      <w:szCs w:val="21"/>
      <w:lang w:val="en-US" w:eastAsia="zh-CN" w:bidi="ar-SA"/>
    </w:rPr>
  </w:style>
  <w:style w:type="character" w:styleId="1163" w:customStyle="1">
    <w:name w:val="Char Char27"/>
    <w:uiPriority w:val="0"/>
    <w:qFormat/>
    <w:rPr>
      <w:b/>
      <w:bCs/>
      <w:sz w:val="44"/>
      <w:szCs w:val="44"/>
    </w:rPr>
  </w:style>
  <w:style w:type="character" w:styleId="1164" w:customStyle="1">
    <w:name w:val="font71"/>
    <w:basedOn w:val="687"/>
    <w:uiPriority w:val="0"/>
    <w:qFormat/>
    <w:rPr>
      <w:rFonts w:hint="eastAsia" w:ascii="方正仿宋_GBK" w:hAnsi="方正仿宋_GBK" w:eastAsia="方正仿宋_GBK" w:cs="方正仿宋_GBK"/>
      <w:b/>
      <w:color w:val="000000"/>
      <w:sz w:val="28"/>
      <w:szCs w:val="28"/>
      <w:u w:val="none"/>
    </w:rPr>
  </w:style>
  <w:style w:type="character" w:styleId="1165" w:customStyle="1">
    <w:name w:val="font171"/>
    <w:basedOn w:val="687"/>
    <w:uiPriority w:val="0"/>
    <w:qFormat/>
    <w:rPr>
      <w:rFonts w:hint="eastAsia" w:ascii="方正仿宋_GBK" w:hAnsi="方正仿宋_GBK" w:eastAsia="方正仿宋_GBK" w:cs="方正仿宋_GBK"/>
      <w:color w:val="000000"/>
      <w:sz w:val="22"/>
      <w:szCs w:val="22"/>
      <w:u w:val="none"/>
    </w:rPr>
  </w:style>
  <w:style w:type="character" w:styleId="1166" w:customStyle="1">
    <w:name w:val="正文 + 宋体 Char"/>
    <w:uiPriority w:val="0"/>
    <w:qFormat/>
    <w:rPr>
      <w:rFonts w:hint="eastAsia" w:ascii="宋体" w:hAnsi="宋体" w:eastAsia="宋体"/>
      <w:sz w:val="21"/>
      <w:szCs w:val="24"/>
      <w:lang w:val="en-US" w:eastAsia="zh-CN" w:bidi="ar-SA"/>
    </w:rPr>
  </w:style>
  <w:style w:type="character" w:styleId="1167" w:customStyle="1">
    <w:name w:val="style131"/>
    <w:uiPriority w:val="0"/>
    <w:qFormat/>
    <w:rPr>
      <w:rFonts w:hint="default" w:ascii="Times New Roman" w:hAnsi="Times New Roman" w:cs="Times New Roman"/>
      <w:sz w:val="18"/>
      <w:szCs w:val="18"/>
    </w:rPr>
  </w:style>
  <w:style w:type="character" w:styleId="1168" w:customStyle="1">
    <w:name w:val="标准文本 Char"/>
    <w:uiPriority w:val="0"/>
    <w:qFormat/>
    <w:rPr>
      <w:rFonts w:hint="eastAsia" w:ascii="宋体" w:hAnsi="宋体" w:eastAsia="宋体" w:cs="宋体"/>
      <w:sz w:val="24"/>
      <w:szCs w:val="24"/>
      <w:lang w:val="en-US" w:eastAsia="zh-CN" w:bidi="ar-SA"/>
    </w:rPr>
  </w:style>
  <w:style w:type="character" w:styleId="1169" w:customStyle="1">
    <w:name w:val="Char Char20"/>
    <w:uiPriority w:val="0"/>
    <w:qFormat/>
    <w:rPr>
      <w:rFonts w:hint="default" w:ascii="Arial" w:hAnsi="Arial" w:eastAsia="黑体" w:cs="Arial"/>
      <w:sz w:val="21"/>
      <w:szCs w:val="21"/>
    </w:rPr>
  </w:style>
  <w:style w:type="character" w:styleId="1170" w:customStyle="1">
    <w:name w:val="ih151"/>
    <w:uiPriority w:val="0"/>
    <w:qFormat/>
    <w:rPr>
      <w:color w:val="666666"/>
      <w:sz w:val="18"/>
      <w:szCs w:val="18"/>
      <w:u w:val="none"/>
    </w:rPr>
  </w:style>
  <w:style w:type="character" w:styleId="1171" w:customStyle="1">
    <w:name w:val="特点 Char1"/>
    <w:uiPriority w:val="0"/>
    <w:qFormat/>
    <w:rPr>
      <w:rFonts w:hint="eastAsia" w:ascii="宋体" w:hAnsi="宋体" w:eastAsia="宋体"/>
      <w:sz w:val="21"/>
      <w:lang w:val="en-US" w:eastAsia="zh-CN" w:bidi="ar-SA"/>
    </w:rPr>
  </w:style>
  <w:style w:type="character" w:styleId="1172" w:customStyle="1">
    <w:name w:val="已访问的超链接1"/>
    <w:uiPriority w:val="0"/>
    <w:qFormat/>
    <w:rPr>
      <w:color w:val="auto"/>
      <w:u w:val="none"/>
    </w:rPr>
  </w:style>
  <w:style w:type="character" w:styleId="1173" w:customStyle="1">
    <w:name w:val="普通文字1 Char"/>
    <w:uiPriority w:val="0"/>
    <w:qFormat/>
    <w:rPr>
      <w:rFonts w:hint="eastAsia" w:ascii="宋体" w:hAnsi="宋体" w:eastAsia="宋体"/>
      <w:sz w:val="21"/>
      <w:szCs w:val="21"/>
      <w:lang w:val="en-US" w:eastAsia="zh-CN" w:bidi="ar-SA"/>
    </w:rPr>
  </w:style>
  <w:style w:type="character" w:styleId="1174" w:customStyle="1">
    <w:name w:val="Char Char26"/>
    <w:uiPriority w:val="0"/>
    <w:qFormat/>
    <w:rPr>
      <w:b/>
      <w:bCs/>
      <w:sz w:val="32"/>
      <w:szCs w:val="32"/>
    </w:rPr>
  </w:style>
  <w:style w:type="character" w:styleId="1175" w:customStyle="1">
    <w:name w:val="中等深浅列表 2 - 强调文字颜色 61"/>
    <w:uiPriority w:val="0"/>
    <w:qFormat/>
    <w:rPr>
      <w:b/>
      <w:bCs/>
    </w:rPr>
  </w:style>
  <w:style w:type="character" w:styleId="1176" w:customStyle="1">
    <w:name w:val="小四 段落 宋体 Char Char Char Char1"/>
    <w:uiPriority w:val="0"/>
    <w:qFormat/>
    <w:rPr>
      <w:rFonts w:hint="eastAsia" w:ascii="宋体" w:hAnsi="宋体" w:eastAsia="宋体"/>
      <w:sz w:val="24"/>
      <w:szCs w:val="24"/>
      <w:lang w:val="en-US" w:eastAsia="zh-CN" w:bidi="ar-SA"/>
    </w:rPr>
  </w:style>
  <w:style w:type="character" w:styleId="1177" w:customStyle="1">
    <w:name w:val="样式 宋体 小四"/>
    <w:uiPriority w:val="0"/>
    <w:qFormat/>
    <w:rPr>
      <w:rFonts w:hint="eastAsia" w:ascii="宋体" w:hAnsi="宋体" w:eastAsia="宋体"/>
      <w:sz w:val="24"/>
    </w:rPr>
  </w:style>
  <w:style w:type="character" w:styleId="1178" w:customStyle="1">
    <w:name w:val="para_small"/>
    <w:uiPriority w:val="0"/>
    <w:qFormat/>
  </w:style>
  <w:style w:type="character" w:styleId="1179" w:customStyle="1">
    <w:name w:val="小四 段落 宋体 Char Char Char Char Char Char"/>
    <w:uiPriority w:val="0"/>
    <w:qFormat/>
    <w:rPr>
      <w:rFonts w:hint="eastAsia" w:ascii="宋体" w:hAnsi="宋体" w:eastAsia="宋体"/>
      <w:sz w:val="24"/>
      <w:szCs w:val="24"/>
      <w:lang w:val="en-US" w:eastAsia="zh-CN" w:bidi="ar-SA"/>
    </w:rPr>
  </w:style>
  <w:style w:type="character" w:styleId="1180" w:customStyle="1">
    <w:name w:val="标题 Char1"/>
    <w:uiPriority w:val="0"/>
    <w:qFormat/>
    <w:rPr>
      <w:rFonts w:hint="default" w:ascii="Cambria" w:hAnsi="Cambria" w:eastAsia="宋体" w:cs="Times New Roman"/>
      <w:b/>
      <w:bCs/>
      <w:sz w:val="32"/>
      <w:szCs w:val="32"/>
    </w:rPr>
  </w:style>
  <w:style w:type="character" w:styleId="1181" w:customStyle="1">
    <w:name w:val="Char Char17"/>
    <w:uiPriority w:val="0"/>
    <w:qFormat/>
    <w:rPr>
      <w:rFonts w:hint="eastAsia" w:ascii="宋体" w:hAnsi="Courier New" w:eastAsia="宋体"/>
      <w:sz w:val="21"/>
      <w:szCs w:val="21"/>
    </w:rPr>
  </w:style>
  <w:style w:type="character" w:styleId="1182" w:customStyle="1">
    <w:name w:val="style13"/>
    <w:uiPriority w:val="0"/>
    <w:qFormat/>
    <w:rPr>
      <w:sz w:val="18"/>
      <w:szCs w:val="18"/>
    </w:rPr>
  </w:style>
  <w:style w:type="character" w:styleId="1183" w:customStyle="1">
    <w:name w:val="A2"/>
    <w:uiPriority w:val="0"/>
    <w:qFormat/>
    <w:rPr>
      <w:rFonts w:hint="default" w:ascii="Helvetica" w:hAnsi="Helvetica" w:cs="Helvetica"/>
      <w:color w:val="000000"/>
      <w:sz w:val="18"/>
      <w:szCs w:val="18"/>
    </w:rPr>
  </w:style>
  <w:style w:type="character" w:styleId="1184" w:customStyle="1">
    <w:name w:val="中等深浅网格 2 - 强调文字颜色 61"/>
    <w:uiPriority w:val="0"/>
    <w:qFormat/>
    <w:rPr>
      <w:smallCaps/>
      <w:spacing w:val="5"/>
      <w:u w:val="single"/>
    </w:rPr>
  </w:style>
  <w:style w:type="character" w:styleId="1185"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186" w:customStyle="1">
    <w:name w:val="Char Char25"/>
    <w:uiPriority w:val="0"/>
    <w:qFormat/>
    <w:rPr>
      <w:rFonts w:hint="default" w:ascii="Arial" w:hAnsi="Arial" w:eastAsia="黑体" w:cs="Arial"/>
      <w:b/>
      <w:sz w:val="28"/>
    </w:rPr>
  </w:style>
  <w:style w:type="character" w:styleId="1187" w:customStyle="1">
    <w:name w:val="2nd level Char"/>
    <w:uiPriority w:val="0"/>
    <w:qFormat/>
    <w:rPr>
      <w:rFonts w:hint="default" w:ascii="Arial" w:hAnsi="Arial" w:eastAsia="黑体" w:cs="Arial"/>
      <w:b/>
      <w:bCs/>
      <w:sz w:val="32"/>
      <w:szCs w:val="32"/>
      <w:lang w:val="en-US" w:eastAsia="zh-CN" w:bidi="ar-SA"/>
    </w:rPr>
  </w:style>
  <w:style w:type="character" w:styleId="1188" w:customStyle="1">
    <w:name w:val="Char Char28"/>
    <w:uiPriority w:val="0"/>
    <w:qFormat/>
    <w:rPr>
      <w:rFonts w:hint="default" w:ascii="Arial" w:hAnsi="Arial" w:eastAsia="黑体" w:cs="Arial"/>
      <w:b/>
      <w:bCs/>
      <w:sz w:val="32"/>
      <w:szCs w:val="32"/>
    </w:rPr>
  </w:style>
  <w:style w:type="character" w:styleId="1189" w:customStyle="1">
    <w:name w:val="中等深浅网格 1 - 强调文字颜色 61"/>
    <w:uiPriority w:val="0"/>
    <w:qFormat/>
    <w:rPr>
      <w:smallCaps/>
    </w:rPr>
  </w:style>
  <w:style w:type="character" w:styleId="1190" w:customStyle="1">
    <w:name w:val="Char Char23"/>
    <w:uiPriority w:val="0"/>
    <w:qFormat/>
    <w:rPr>
      <w:rFonts w:hint="default" w:ascii="Arial" w:hAnsi="Arial" w:eastAsia="黑体" w:cs="Arial"/>
      <w:b/>
      <w:bCs/>
      <w:sz w:val="24"/>
      <w:szCs w:val="24"/>
    </w:rPr>
  </w:style>
  <w:style w:type="character" w:styleId="1191" w:customStyle="1">
    <w:name w:val="小四 段落 宋体 Char Char Char Char Char"/>
    <w:uiPriority w:val="0"/>
    <w:qFormat/>
    <w:rPr>
      <w:rFonts w:hint="eastAsia" w:ascii="宋体" w:hAnsi="宋体" w:eastAsia="宋体"/>
      <w:sz w:val="24"/>
      <w:szCs w:val="24"/>
      <w:lang w:val="en-US" w:eastAsia="zh-CN" w:bidi="ar-SA"/>
    </w:rPr>
  </w:style>
  <w:style w:type="character" w:styleId="1192" w:customStyle="1">
    <w:name w:val="标题 3 Char"/>
    <w:uiPriority w:val="0"/>
    <w:qFormat/>
    <w:rPr>
      <w:rFonts w:hint="eastAsia" w:ascii="宋体" w:hAnsi="宋体" w:eastAsia="宋体"/>
      <w:b/>
      <w:bCs/>
      <w:sz w:val="24"/>
      <w:szCs w:val="32"/>
      <w:lang w:val="en-US" w:eastAsia="zh-CN" w:bidi="ar-SA"/>
    </w:rPr>
  </w:style>
  <w:style w:type="character" w:styleId="1193" w:customStyle="1">
    <w:name w:val="concon"/>
    <w:uiPriority w:val="0"/>
    <w:qFormat/>
  </w:style>
  <w:style w:type="character" w:styleId="1194" w:customStyle="1">
    <w:name w:val="标准小四 Char"/>
    <w:uiPriority w:val="0"/>
    <w:qFormat/>
    <w:rPr>
      <w:rFonts w:hint="default" w:ascii="Arial" w:hAnsi="Arial" w:eastAsia="宋体" w:cs="Arial"/>
      <w:sz w:val="24"/>
      <w:szCs w:val="21"/>
      <w:lang w:val="en-US" w:eastAsia="zh-CN" w:bidi="ar-SA"/>
    </w:rPr>
  </w:style>
  <w:style w:type="character" w:styleId="1195" w:customStyle="1">
    <w:name w:val="t1"/>
    <w:uiPriority w:val="0"/>
    <w:qFormat/>
  </w:style>
  <w:style w:type="character" w:styleId="1196" w:customStyle="1">
    <w:name w:val="Title1 Char"/>
    <w:uiPriority w:val="0"/>
    <w:qFormat/>
    <w:rPr>
      <w:rFonts w:hint="eastAsia" w:ascii="宋体" w:hAnsi="宋体" w:eastAsia="宋体"/>
      <w:b/>
      <w:bCs/>
      <w:sz w:val="44"/>
      <w:szCs w:val="44"/>
      <w:lang w:val="en-US" w:eastAsia="zh-CN" w:bidi="ar-SA"/>
    </w:rPr>
  </w:style>
  <w:style w:type="character" w:styleId="1197" w:customStyle="1">
    <w:name w:val="纯文本 Char Char"/>
    <w:uiPriority w:val="0"/>
    <w:qFormat/>
    <w:rPr>
      <w:rFonts w:hint="eastAsia" w:ascii="宋体" w:hAnsi="Courier New" w:eastAsia="宋体"/>
      <w:sz w:val="21"/>
      <w:szCs w:val="21"/>
      <w:lang w:val="en-US" w:eastAsia="zh-CN" w:bidi="ar-SA"/>
    </w:rPr>
  </w:style>
  <w:style w:type="character" w:styleId="119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199" w:customStyle="1">
    <w:name w:val="Char Char24"/>
    <w:uiPriority w:val="0"/>
    <w:qFormat/>
    <w:rPr>
      <w:b/>
      <w:bCs/>
      <w:sz w:val="28"/>
      <w:szCs w:val="28"/>
    </w:rPr>
  </w:style>
  <w:style w:type="character" w:styleId="1200" w:customStyle="1">
    <w:name w:val="normalfont1"/>
    <w:uiPriority w:val="0"/>
    <w:qFormat/>
    <w:rPr>
      <w:rFonts w:hint="default" w:ascii="ˎ̥" w:hAnsi="ˎ̥"/>
      <w:sz w:val="18"/>
      <w:szCs w:val="18"/>
      <w:u w:val="none"/>
    </w:rPr>
  </w:style>
  <w:style w:type="character" w:styleId="1201" w:customStyle="1">
    <w:name w:val="param-value"/>
    <w:uiPriority w:val="0"/>
    <w:qFormat/>
  </w:style>
  <w:style w:type="character" w:styleId="1202" w:customStyle="1">
    <w:name w:val="纯文本 Char1"/>
    <w:uiPriority w:val="0"/>
    <w:qFormat/>
    <w:rPr>
      <w:rFonts w:hint="eastAsia" w:ascii="宋体" w:hAnsi="Courier New" w:eastAsia="宋体" w:cs="Courier New"/>
      <w:sz w:val="21"/>
      <w:szCs w:val="21"/>
    </w:rPr>
  </w:style>
  <w:style w:type="character" w:styleId="1203" w:customStyle="1">
    <w:name w:val="小四 段落 宋体 Char1"/>
    <w:uiPriority w:val="0"/>
    <w:qFormat/>
    <w:rPr>
      <w:rFonts w:hint="eastAsia" w:ascii="宋体" w:hAnsi="宋体" w:eastAsia="宋体"/>
      <w:sz w:val="24"/>
      <w:szCs w:val="24"/>
      <w:lang w:val="en-US" w:eastAsia="zh-CN" w:bidi="ar-SA"/>
    </w:rPr>
  </w:style>
  <w:style w:type="character" w:styleId="1204" w:customStyle="1">
    <w:name w:val="中等深浅列表 1 - 强调文字颜色 61"/>
    <w:uiPriority w:val="0"/>
    <w:qFormat/>
    <w:rPr>
      <w:i/>
      <w:iCs/>
    </w:rPr>
  </w:style>
  <w:style w:type="character" w:styleId="1205" w:customStyle="1">
    <w:name w:val="中等深浅网格 3 - 强调文字颜色 61"/>
    <w:uiPriority w:val="0"/>
    <w:qFormat/>
    <w:rPr>
      <w:i/>
      <w:iCs/>
      <w:smallCaps/>
      <w:spacing w:val="5"/>
    </w:rPr>
  </w:style>
  <w:style w:type="character" w:styleId="1206" w:customStyle="1">
    <w:name w:val="content"/>
    <w:uiPriority w:val="0"/>
    <w:qFormat/>
  </w:style>
  <w:style w:type="character" w:styleId="1207" w:customStyle="1">
    <w:name w:val="Char Char29"/>
    <w:uiPriority w:val="0"/>
    <w:qFormat/>
    <w:rPr>
      <w:rFonts w:hint="default" w:ascii="Times New Roman" w:hAnsi="Times New Roman" w:eastAsia="宋体" w:cs="Times New Roman"/>
      <w:b/>
      <w:bCs/>
      <w:sz w:val="44"/>
      <w:szCs w:val="44"/>
    </w:rPr>
  </w:style>
  <w:style w:type="character" w:styleId="1208" w:customStyle="1">
    <w:name w:val="纯文本 Char Char Char"/>
    <w:uiPriority w:val="0"/>
    <w:qFormat/>
    <w:rPr>
      <w:rFonts w:hint="eastAsia" w:ascii="宋体" w:hAnsi="Courier New" w:eastAsia="宋体"/>
      <w:sz w:val="21"/>
      <w:szCs w:val="21"/>
      <w:lang w:val="en-US" w:eastAsia="zh-CN" w:bidi="ar-SA"/>
    </w:rPr>
  </w:style>
  <w:style w:type="character" w:styleId="1209" w:customStyle="1">
    <w:name w:val="样式 首行缩进:  2 字符 Char"/>
    <w:uiPriority w:val="0"/>
    <w:qFormat/>
    <w:rPr>
      <w:rFonts w:hint="eastAsia" w:ascii="宋体" w:hAnsi="宋体" w:eastAsia="宋体" w:cs="宋体"/>
      <w:sz w:val="24"/>
      <w:lang w:val="en-US" w:eastAsia="zh-CN" w:bidi="ar-SA"/>
    </w:rPr>
  </w:style>
  <w:style w:type="character" w:styleId="1210" w:customStyle="1">
    <w:name w:val="Char Char21"/>
    <w:uiPriority w:val="0"/>
    <w:qFormat/>
    <w:rPr>
      <w:rFonts w:hint="default" w:ascii="Arial" w:hAnsi="Arial" w:eastAsia="黑体" w:cs="Arial"/>
      <w:sz w:val="24"/>
      <w:szCs w:val="24"/>
    </w:rPr>
  </w:style>
  <w:style w:type="character" w:styleId="1211" w:customStyle="1">
    <w:name w:val="listbenefit"/>
    <w:uiPriority w:val="0"/>
    <w:qFormat/>
  </w:style>
  <w:style w:type="character" w:styleId="1212" w:customStyle="1">
    <w:name w:val="apple-converted-space"/>
    <w:uiPriority w:val="0"/>
    <w:qFormat/>
  </w:style>
  <w:style w:type="character" w:styleId="1213" w:customStyle="1">
    <w:name w:val="标准文本 Char Char"/>
    <w:uiPriority w:val="0"/>
    <w:qFormat/>
    <w:rPr>
      <w:rFonts w:hint="eastAsia" w:ascii="宋体" w:hAnsi="宋体" w:eastAsia="宋体" w:cs="宋体"/>
      <w:sz w:val="24"/>
      <w:szCs w:val="24"/>
      <w:lang w:val="en-US" w:eastAsia="zh-CN" w:bidi="ar-SA"/>
    </w:rPr>
  </w:style>
  <w:style w:type="character" w:styleId="1214" w:customStyle="1">
    <w:name w:val="subtitle1"/>
    <w:uiPriority w:val="0"/>
    <w:qFormat/>
    <w:rPr>
      <w:rFonts w:hint="default" w:ascii="Georgia" w:hAnsi="Georgia"/>
      <w:b/>
      <w:bCs/>
      <w:color w:val="666666"/>
      <w:sz w:val="18"/>
      <w:szCs w:val="18"/>
    </w:rPr>
  </w:style>
  <w:style w:type="character" w:styleId="1215" w:customStyle="1">
    <w:name w:val="3zw"/>
    <w:uiPriority w:val="0"/>
    <w:qFormat/>
  </w:style>
  <w:style w:type="character" w:styleId="1216" w:customStyle="1">
    <w:name w:val="point_normal1"/>
    <w:uiPriority w:val="0"/>
    <w:qFormat/>
    <w:rPr>
      <w:rFonts w:hint="default" w:ascii="Arial" w:hAnsi="Arial" w:cs="Arial"/>
      <w:sz w:val="18"/>
      <w:szCs w:val="18"/>
    </w:rPr>
  </w:style>
  <w:style w:type="character" w:styleId="1217" w:customStyle="1">
    <w:name w:val="title_emph1"/>
    <w:uiPriority w:val="0"/>
    <w:qFormat/>
    <w:rPr>
      <w:rFonts w:hint="default" w:ascii="Arial" w:hAnsi="Arial" w:cs="Arial"/>
      <w:b/>
      <w:bCs/>
      <w:sz w:val="18"/>
      <w:szCs w:val="18"/>
    </w:rPr>
  </w:style>
  <w:style w:type="character" w:styleId="1218" w:customStyle="1">
    <w:name w:val="textcontents"/>
    <w:uiPriority w:val="0"/>
    <w:qFormat/>
  </w:style>
  <w:style w:type="character" w:styleId="1219" w:customStyle="1">
    <w:name w:val="标题 3 Char Char"/>
    <w:uiPriority w:val="0"/>
    <w:qFormat/>
    <w:rPr>
      <w:rFonts w:hint="eastAsia" w:ascii="仿宋_GB2312" w:eastAsia="仿宋_GB2312"/>
      <w:b/>
      <w:bCs/>
      <w:sz w:val="28"/>
      <w:szCs w:val="32"/>
      <w:lang w:val="en-US" w:eastAsia="zh-CN" w:bidi="ar-SA"/>
    </w:rPr>
  </w:style>
  <w:style w:type="character" w:styleId="1220" w:customStyle="1">
    <w:name w:val="样式 非加粗"/>
    <w:uiPriority w:val="0"/>
    <w:qFormat/>
    <w:rPr>
      <w:rFonts w:hint="eastAsia" w:ascii="宋体" w:hAnsi="宋体" w:eastAsia="宋体"/>
      <w:sz w:val="28"/>
    </w:rPr>
  </w:style>
  <w:style w:type="character" w:styleId="1221" w:customStyle="1">
    <w:name w:val="font81"/>
    <w:basedOn w:val="687"/>
    <w:uiPriority w:val="0"/>
    <w:qFormat/>
    <w:rPr>
      <w:rFonts w:hint="default" w:ascii="Times New Roman" w:hAnsi="Times New Roman" w:cs="Times New Roman"/>
      <w:color w:val="000000"/>
      <w:sz w:val="22"/>
      <w:szCs w:val="22"/>
      <w:u w:val="none"/>
    </w:rPr>
  </w:style>
  <w:style w:type="character" w:styleId="1222" w:customStyle="1">
    <w:name w:val="font112"/>
    <w:uiPriority w:val="0"/>
    <w:qFormat/>
    <w:rPr>
      <w:rFonts w:hint="eastAsia" w:ascii="方正黑体_GBK" w:hAnsi="方正黑体_GBK" w:eastAsia="方正黑体_GBK" w:cs="方正黑体_GBK"/>
      <w:color w:val="000000"/>
      <w:sz w:val="28"/>
      <w:szCs w:val="28"/>
      <w:u w:val="none"/>
    </w:rPr>
  </w:style>
  <w:style w:type="character" w:styleId="1223" w:customStyle="1">
    <w:name w:val="font21"/>
    <w:uiPriority w:val="0"/>
    <w:qFormat/>
    <w:rPr>
      <w:rFonts w:hint="default" w:ascii="Times New Roman" w:hAnsi="Times New Roman" w:cs="Times New Roman"/>
      <w:color w:val="000000"/>
      <w:sz w:val="28"/>
      <w:szCs w:val="28"/>
      <w:u w:val="none"/>
    </w:rPr>
  </w:style>
  <w:style w:type="character" w:styleId="1224" w:customStyle="1">
    <w:name w:val="font51"/>
    <w:basedOn w:val="687"/>
    <w:uiPriority w:val="0"/>
    <w:qFormat/>
    <w:rPr>
      <w:rFonts w:hint="eastAsia" w:ascii="方正仿宋_GBK" w:hAnsi="方正仿宋_GBK" w:eastAsia="方正仿宋_GBK" w:cs="方正仿宋_GBK"/>
      <w:color w:val="000000"/>
      <w:sz w:val="28"/>
      <w:szCs w:val="28"/>
      <w:u w:val="none"/>
    </w:rPr>
  </w:style>
  <w:style w:type="character" w:styleId="1225" w:customStyle="1">
    <w:name w:val="font41"/>
    <w:uiPriority w:val="0"/>
    <w:qFormat/>
    <w:rPr>
      <w:rFonts w:hint="eastAsia" w:ascii="方正仿宋_GBK" w:hAnsi="方正仿宋_GBK" w:eastAsia="方正仿宋_GBK" w:cs="方正仿宋_GBK"/>
      <w:color w:val="000000"/>
      <w:sz w:val="22"/>
      <w:szCs w:val="22"/>
      <w:u w:val="none"/>
    </w:rPr>
  </w:style>
  <w:style w:type="character" w:styleId="1226" w:customStyle="1">
    <w:name w:val="font91"/>
    <w:basedOn w:val="687"/>
    <w:uiPriority w:val="0"/>
    <w:qFormat/>
    <w:rPr>
      <w:rFonts w:hint="default" w:ascii="Times New Roman" w:hAnsi="Times New Roman" w:cs="Times New Roman"/>
      <w:color w:val="000000"/>
      <w:sz w:val="21"/>
      <w:szCs w:val="21"/>
      <w:u w:val="none"/>
    </w:rPr>
  </w:style>
  <w:style w:type="character" w:styleId="1227" w:customStyle="1">
    <w:name w:val="font141"/>
    <w:basedOn w:val="687"/>
    <w:uiPriority w:val="0"/>
    <w:qFormat/>
    <w:rPr>
      <w:rFonts w:hint="default" w:ascii="Times New Roman" w:hAnsi="Times New Roman" w:cs="Times New Roman"/>
      <w:color w:val="000000"/>
      <w:sz w:val="24"/>
      <w:szCs w:val="24"/>
      <w:u w:val="none"/>
    </w:rPr>
  </w:style>
  <w:style w:type="character" w:styleId="1228" w:customStyle="1">
    <w:name w:val="font101"/>
    <w:uiPriority w:val="0"/>
    <w:qFormat/>
    <w:rPr>
      <w:rFonts w:hint="eastAsia" w:ascii="方正仿宋_GBK" w:hAnsi="方正仿宋_GBK" w:eastAsia="方正仿宋_GBK" w:cs="方正仿宋_GBK"/>
      <w:color w:val="000000"/>
      <w:sz w:val="24"/>
      <w:szCs w:val="24"/>
      <w:u w:val="none"/>
    </w:rPr>
  </w:style>
  <w:style w:type="character" w:styleId="1229" w:customStyle="1">
    <w:name w:val="font131"/>
    <w:uiPriority w:val="0"/>
    <w:qFormat/>
    <w:rPr>
      <w:rFonts w:hint="default" w:ascii="Times New Roman" w:hAnsi="Times New Roman" w:cs="Times New Roman"/>
      <w:color w:val="000000"/>
      <w:sz w:val="22"/>
      <w:szCs w:val="22"/>
      <w:u w:val="none"/>
    </w:rPr>
  </w:style>
  <w:style w:type="paragraph" w:styleId="1230" w:customStyle="1">
    <w:name w:val="项目符号，一级"/>
    <w:basedOn w:val="1015"/>
    <w:next w:val="1015"/>
    <w:uiPriority w:val="0"/>
    <w:qFormat/>
    <w:pPr>
      <w:ind w:left="376" w:firstLine="0"/>
      <w:spacing w:line="240" w:lineRule="atLeast"/>
      <w:tabs>
        <w:tab w:val="left" w:pos="1320" w:leader="none"/>
      </w:tabs>
    </w:pPr>
    <w:rPr>
      <w:bCs w:val="0"/>
      <w:color w:val="000000"/>
      <w:szCs w:val="24"/>
    </w:rPr>
  </w:style>
  <w:style w:type="paragraph" w:styleId="1231" w:customStyle="1">
    <w:name w:val="flName"/>
    <w:basedOn w:val="1017"/>
    <w:uiPriority w:val="0"/>
    <w:qFormat/>
    <w:pPr>
      <w:spacing w:before="0" w:line="113" w:lineRule="atLeast"/>
    </w:pPr>
  </w:style>
  <w:style w:type="paragraph" w:styleId="1232" w:customStyle="1">
    <w:name w:val="flType"/>
    <w:basedOn w:val="1231"/>
    <w:uiPriority w:val="0"/>
    <w:qFormat/>
    <w:pPr>
      <w:spacing w:after="284"/>
    </w:pPr>
    <w:rPr>
      <w:rFonts w:eastAsia="宋体"/>
      <w:b w:val="0"/>
    </w:rPr>
  </w:style>
  <w:style w:type="paragraph" w:styleId="1233" w:customStyle="1">
    <w:name w:val="马刚标题4"/>
    <w:basedOn w:val="1062"/>
    <w:next w:val="677"/>
    <w:uiPriority w:val="0"/>
    <w:qFormat/>
    <w:pPr>
      <w:spacing w:before="100" w:after="40"/>
      <w:tabs>
        <w:tab w:val="clear" w:pos="567" w:leader="none"/>
        <w:tab w:val="clear" w:pos="735" w:leader="none"/>
        <w:tab w:val="left" w:pos="1050" w:leader="none"/>
      </w:tabs>
      <w:outlineLvl w:val="3"/>
    </w:pPr>
    <w:rPr>
      <w:b w:val="0"/>
    </w:rPr>
  </w:style>
  <w:style w:type="character" w:styleId="1234" w:customStyle="1">
    <w:name w:val="未处理的提及1"/>
    <w:basedOn w:val="687"/>
    <w:uiPriority w:val="99"/>
    <w:semiHidden/>
    <w:unhideWhenUsed/>
    <w:qFormat/>
    <w:rPr>
      <w:color w:val="605e5c"/>
      <w:shd w:val="clear" w:color="auto" w:fill="e1dfdd"/>
    </w:rPr>
  </w:style>
  <w:style w:type="character" w:styleId="1235" w:customStyle="1">
    <w:name w:val="font201"/>
    <w:basedOn w:val="687"/>
    <w:uiPriority w:val="0"/>
    <w:qFormat/>
    <w:rPr>
      <w:rFonts w:ascii="方正仿宋_GBK" w:hAnsi="方正仿宋_GBK" w:eastAsia="方正仿宋_GBK" w:cs="方正仿宋_GBK"/>
      <w:color w:val="000000"/>
      <w:sz w:val="22"/>
      <w:szCs w:val="22"/>
      <w:u w:val="none"/>
    </w:rPr>
  </w:style>
  <w:style w:type="character" w:styleId="1236" w:customStyle="1">
    <w:name w:val="font331"/>
    <w:basedOn w:val="687"/>
    <w:uiPriority w:val="0"/>
    <w:qFormat/>
    <w:rPr>
      <w:rFonts w:hint="eastAsia" w:ascii="方正仿宋_GBK" w:hAnsi="方正仿宋_GBK" w:eastAsia="方正仿宋_GBK" w:cs="方正仿宋_GBK"/>
      <w:color w:val="5b9bd5"/>
      <w:sz w:val="22"/>
      <w:szCs w:val="22"/>
      <w:u w:val="none"/>
    </w:rPr>
  </w:style>
  <w:style w:type="character" w:styleId="1237" w:customStyle="1">
    <w:name w:val="font181"/>
    <w:basedOn w:val="687"/>
    <w:uiPriority w:val="0"/>
    <w:qFormat/>
    <w:rPr>
      <w:rFonts w:hint="eastAsia" w:ascii="方正仿宋_GBK" w:hAnsi="方正仿宋_GBK" w:eastAsia="方正仿宋_GBK" w:cs="方正仿宋_GBK"/>
      <w:color w:val="ff0000"/>
      <w:sz w:val="22"/>
      <w:szCs w:val="22"/>
      <w:u w:val="none"/>
    </w:rPr>
  </w:style>
  <w:style w:type="character" w:styleId="1238" w:customStyle="1">
    <w:name w:val="font161"/>
    <w:basedOn w:val="687"/>
    <w:uiPriority w:val="0"/>
    <w:qFormat/>
    <w:rPr>
      <w:rFonts w:hint="eastAsia" w:ascii="宋体" w:hAnsi="宋体" w:eastAsia="宋体" w:cs="宋体"/>
      <w:color w:val="000000"/>
      <w:sz w:val="22"/>
      <w:szCs w:val="22"/>
      <w:u w:val="none"/>
    </w:rPr>
  </w:style>
  <w:style w:type="character" w:styleId="1239" w:customStyle="1">
    <w:name w:val="font341"/>
    <w:basedOn w:val="687"/>
    <w:uiPriority w:val="0"/>
    <w:qFormat/>
    <w:rPr>
      <w:rFonts w:hint="eastAsia" w:ascii="宋体" w:hAnsi="宋体" w:eastAsia="宋体" w:cs="宋体"/>
      <w:color w:val="5b9bd5"/>
      <w:sz w:val="22"/>
      <w:szCs w:val="22"/>
      <w:u w:val="none"/>
    </w:rPr>
  </w:style>
  <w:style w:type="character" w:styleId="1240" w:customStyle="1">
    <w:name w:val="font351"/>
    <w:basedOn w:val="687"/>
    <w:uiPriority w:val="0"/>
    <w:qFormat/>
    <w:rPr>
      <w:rFonts w:hint="eastAsia" w:ascii="方正仿宋_GBK" w:hAnsi="方正仿宋_GBK" w:eastAsia="方正仿宋_GBK" w:cs="方正仿宋_GBK"/>
      <w:color w:val="ff0000"/>
      <w:sz w:val="21"/>
      <w:szCs w:val="21"/>
      <w:u w:val="none"/>
    </w:rPr>
  </w:style>
  <w:style w:type="character" w:styleId="1241" w:customStyle="1">
    <w:name w:val="font361"/>
    <w:basedOn w:val="687"/>
    <w:uiPriority w:val="0"/>
    <w:qFormat/>
    <w:rPr>
      <w:rFonts w:hint="eastAsia" w:ascii="方正仿宋_GBK" w:hAnsi="方正仿宋_GBK" w:eastAsia="方正仿宋_GBK" w:cs="方正仿宋_GBK"/>
      <w:color w:val="5b9bd5"/>
      <w:sz w:val="21"/>
      <w:szCs w:val="21"/>
      <w:u w:val="none"/>
    </w:rPr>
  </w:style>
  <w:style w:type="character" w:styleId="1242" w:customStyle="1">
    <w:name w:val="font371"/>
    <w:basedOn w:val="687"/>
    <w:uiPriority w:val="0"/>
    <w:qFormat/>
    <w:rPr>
      <w:rFonts w:hint="default" w:ascii="Times New Roman" w:hAnsi="Times New Roman" w:cs="Times New Roman"/>
      <w:color w:val="5b9bd5"/>
      <w:sz w:val="21"/>
      <w:szCs w:val="21"/>
      <w:u w:val="none"/>
    </w:rPr>
  </w:style>
  <w:style w:type="character" w:styleId="1243" w:customStyle="1">
    <w:name w:val="font381"/>
    <w:basedOn w:val="687"/>
    <w:uiPriority w:val="0"/>
    <w:qFormat/>
    <w:rPr>
      <w:rFonts w:hint="eastAsia" w:ascii="宋体" w:hAnsi="宋体" w:eastAsia="宋体" w:cs="宋体"/>
      <w:color w:val="ff0000"/>
      <w:sz w:val="21"/>
      <w:szCs w:val="21"/>
      <w:u w:val="none"/>
    </w:rPr>
  </w:style>
  <w:style w:type="character" w:styleId="1244" w:customStyle="1">
    <w:name w:val="font212"/>
    <w:basedOn w:val="687"/>
    <w:uiPriority w:val="0"/>
    <w:qFormat/>
    <w:rPr>
      <w:rFonts w:hint="eastAsia" w:ascii="宋体" w:hAnsi="宋体" w:eastAsia="宋体" w:cs="宋体"/>
      <w:color w:val="ff0000"/>
      <w:sz w:val="22"/>
      <w:szCs w:val="22"/>
      <w:u w:val="none"/>
    </w:rPr>
  </w:style>
  <w:style w:type="character" w:styleId="1245" w:customStyle="1">
    <w:name w:val="font391"/>
    <w:basedOn w:val="687"/>
    <w:uiPriority w:val="0"/>
    <w:qFormat/>
    <w:rPr>
      <w:rFonts w:hint="eastAsia" w:ascii="宋体" w:hAnsi="宋体" w:eastAsia="宋体" w:cs="宋体"/>
      <w:color w:val="0070c0"/>
      <w:sz w:val="22"/>
      <w:szCs w:val="22"/>
      <w:u w:val="none"/>
    </w:rPr>
  </w:style>
  <w:style w:type="character" w:styleId="1246" w:customStyle="1">
    <w:name w:val="font122"/>
    <w:basedOn w:val="687"/>
    <w:uiPriority w:val="0"/>
    <w:qFormat/>
    <w:rPr>
      <w:rFonts w:hint="eastAsia" w:ascii="方正仿宋_GBK" w:hAnsi="方正仿宋_GBK" w:eastAsia="方正仿宋_GBK" w:cs="方正仿宋_GBK"/>
      <w:color w:val="833c0c"/>
      <w:sz w:val="21"/>
      <w:szCs w:val="21"/>
      <w:u w:val="none"/>
    </w:rPr>
  </w:style>
  <w:style w:type="character" w:styleId="1247" w:customStyle="1">
    <w:name w:val="font401"/>
    <w:basedOn w:val="687"/>
    <w:uiPriority w:val="0"/>
    <w:qFormat/>
    <w:rPr>
      <w:rFonts w:hint="default" w:ascii="Times New Roman" w:hAnsi="Times New Roman" w:cs="Times New Roman"/>
      <w:color w:val="833c0c"/>
      <w:sz w:val="21"/>
      <w:szCs w:val="21"/>
      <w:u w:val="none"/>
    </w:rPr>
  </w:style>
  <w:style w:type="character" w:styleId="1248" w:customStyle="1">
    <w:name w:val="font412"/>
    <w:basedOn w:val="687"/>
    <w:uiPriority w:val="0"/>
    <w:qFormat/>
    <w:rPr>
      <w:rFonts w:hint="eastAsia" w:ascii="宋体" w:hAnsi="宋体" w:eastAsia="宋体" w:cs="宋体"/>
      <w:color w:val="833c0c"/>
      <w:sz w:val="21"/>
      <w:szCs w:val="21"/>
      <w:u w:val="none"/>
    </w:rPr>
  </w:style>
  <w:style w:type="character" w:styleId="1249" w:customStyle="1">
    <w:name w:val="font301"/>
    <w:basedOn w:val="687"/>
    <w:uiPriority w:val="0"/>
    <w:qFormat/>
    <w:rPr>
      <w:rFonts w:hint="eastAsia" w:ascii="宋体" w:hAnsi="宋体" w:eastAsia="宋体" w:cs="宋体"/>
      <w:color w:val="833c0c"/>
      <w:sz w:val="22"/>
      <w:szCs w:val="22"/>
      <w:u w:val="none"/>
    </w:rPr>
  </w:style>
  <w:style w:type="character" w:styleId="1250" w:customStyle="1">
    <w:name w:val="font221"/>
    <w:basedOn w:val="687"/>
    <w:uiPriority w:val="0"/>
    <w:qFormat/>
    <w:rPr>
      <w:rFonts w:hint="eastAsia" w:ascii="方正仿宋_GBK" w:hAnsi="方正仿宋_GBK" w:eastAsia="方正仿宋_GBK" w:cs="方正仿宋_GBK"/>
      <w:color w:val="833c0c"/>
      <w:sz w:val="22"/>
      <w:szCs w:val="22"/>
      <w:u w:val="none"/>
    </w:rPr>
  </w:style>
  <w:style w:type="character" w:styleId="1251" w:customStyle="1">
    <w:name w:val="font421"/>
    <w:basedOn w:val="687"/>
    <w:uiPriority w:val="0"/>
    <w:qFormat/>
    <w:rPr>
      <w:rFonts w:hint="eastAsia" w:ascii="方正仿宋_GBK" w:hAnsi="方正仿宋_GBK" w:eastAsia="方正仿宋_GBK" w:cs="方正仿宋_GBK"/>
      <w:color w:val="ff0000"/>
      <w:sz w:val="24"/>
      <w:szCs w:val="24"/>
      <w:u w:val="none"/>
    </w:rPr>
  </w:style>
  <w:style w:type="character" w:styleId="1252" w:customStyle="1">
    <w:name w:val="font431"/>
    <w:basedOn w:val="687"/>
    <w:uiPriority w:val="0"/>
    <w:qFormat/>
    <w:rPr>
      <w:rFonts w:hint="eastAsia" w:ascii="方正仿宋_GBK" w:hAnsi="方正仿宋_GBK" w:eastAsia="方正仿宋_GBK" w:cs="方正仿宋_GBK"/>
      <w:color w:val="833c0c"/>
      <w:sz w:val="24"/>
      <w:szCs w:val="24"/>
      <w:u w:val="none"/>
    </w:rPr>
  </w:style>
  <w:style w:type="character" w:styleId="1253" w:customStyle="1">
    <w:name w:val="font441"/>
    <w:basedOn w:val="687"/>
    <w:uiPriority w:val="0"/>
    <w:qFormat/>
    <w:rPr>
      <w:rFonts w:hint="default" w:ascii="Times New Roman" w:hAnsi="Times New Roman" w:cs="Times New Roman"/>
      <w:color w:val="833c0c"/>
      <w:sz w:val="24"/>
      <w:szCs w:val="24"/>
      <w:u w:val="none"/>
    </w:rPr>
  </w:style>
  <w:style w:type="character" w:styleId="1254" w:customStyle="1">
    <w:name w:val="font191"/>
    <w:basedOn w:val="687"/>
    <w:uiPriority w:val="0"/>
    <w:qFormat/>
    <w:rPr>
      <w:rFonts w:hint="default" w:ascii="Times New Roman" w:hAnsi="Times New Roman" w:cs="Times New Roman"/>
      <w:color w:val="000000"/>
      <w:sz w:val="22"/>
      <w:szCs w:val="22"/>
      <w:u w:val="none"/>
    </w:rPr>
  </w:style>
  <w:style w:type="character" w:styleId="1255" w:customStyle="1">
    <w:name w:val="font451"/>
    <w:basedOn w:val="687"/>
    <w:uiPriority w:val="0"/>
    <w:qFormat/>
    <w:rPr>
      <w:rFonts w:hint="eastAsia" w:ascii="方正仿宋_GBK" w:hAnsi="方正仿宋_GBK" w:eastAsia="方正仿宋_GBK" w:cs="方正仿宋_GBK"/>
      <w:color w:val="000000"/>
      <w:sz w:val="22"/>
      <w:szCs w:val="22"/>
      <w:u w:val="none"/>
    </w:rPr>
  </w:style>
  <w:style w:type="character" w:styleId="1256" w:customStyle="1">
    <w:name w:val="font251"/>
    <w:basedOn w:val="687"/>
    <w:uiPriority w:val="0"/>
    <w:qFormat/>
    <w:rPr>
      <w:rFonts w:hint="eastAsia" w:ascii="方正仿宋_GBK" w:hAnsi="方正仿宋_GBK" w:eastAsia="方正仿宋_GBK" w:cs="方正仿宋_GBK"/>
      <w:color w:val="000000"/>
      <w:sz w:val="21"/>
      <w:szCs w:val="21"/>
      <w:u w:val="none"/>
    </w:rPr>
  </w:style>
  <w:style w:type="character" w:styleId="1257" w:customStyle="1">
    <w:name w:val="font281"/>
    <w:basedOn w:val="687"/>
    <w:uiPriority w:val="0"/>
    <w:qFormat/>
    <w:rPr>
      <w:rFonts w:hint="eastAsia" w:ascii="方正仿宋_GBK" w:hAnsi="方正仿宋_GBK" w:eastAsia="方正仿宋_GBK" w:cs="方正仿宋_GBK"/>
      <w:color w:val="0070c0"/>
      <w:sz w:val="22"/>
      <w:szCs w:val="22"/>
      <w:u w:val="none"/>
    </w:rPr>
  </w:style>
  <w:style w:type="character" w:styleId="1258" w:customStyle="1">
    <w:name w:val="font271"/>
    <w:basedOn w:val="687"/>
    <w:uiPriority w:val="0"/>
    <w:qFormat/>
    <w:rPr>
      <w:rFonts w:hint="default" w:ascii="Times New Roman" w:hAnsi="Times New Roman" w:cs="Times New Roman"/>
      <w:color w:val="0070c0"/>
      <w:sz w:val="22"/>
      <w:szCs w:val="22"/>
      <w:u w:val="none"/>
    </w:rPr>
  </w:style>
  <w:style w:type="character" w:styleId="1259" w:customStyle="1">
    <w:name w:val="font461"/>
    <w:basedOn w:val="687"/>
    <w:uiPriority w:val="0"/>
    <w:qFormat/>
    <w:rPr>
      <w:rFonts w:hint="eastAsia" w:ascii="方正仿宋_GBK" w:hAnsi="方正仿宋_GBK" w:eastAsia="方正仿宋_GBK" w:cs="方正仿宋_GBK"/>
      <w:color w:val="2f75b5"/>
      <w:sz w:val="22"/>
      <w:szCs w:val="22"/>
      <w:u w:val="none"/>
    </w:rPr>
  </w:style>
  <w:style w:type="character" w:styleId="1260" w:customStyle="1">
    <w:name w:val="font312"/>
    <w:basedOn w:val="687"/>
    <w:uiPriority w:val="0"/>
    <w:qFormat/>
    <w:rPr>
      <w:rFonts w:hint="default" w:ascii="Times New Roman" w:hAnsi="Times New Roman" w:cs="Times New Roman"/>
      <w:color w:val="4472c4"/>
      <w:sz w:val="22"/>
      <w:szCs w:val="22"/>
      <w:u w:val="none"/>
    </w:rPr>
  </w:style>
  <w:style w:type="character" w:styleId="1261" w:customStyle="1">
    <w:name w:val="font471"/>
    <w:basedOn w:val="687"/>
    <w:uiPriority w:val="0"/>
    <w:qFormat/>
    <w:rPr>
      <w:rFonts w:hint="eastAsia" w:ascii="方正仿宋_GBK" w:hAnsi="方正仿宋_GBK" w:eastAsia="方正仿宋_GBK" w:cs="方正仿宋_GBK"/>
      <w:color w:val="4472c4"/>
      <w:sz w:val="22"/>
      <w:szCs w:val="22"/>
      <w:u w:val="none"/>
    </w:rPr>
  </w:style>
  <w:style w:type="paragraph" w:styleId="1262" w:customStyle="1">
    <w:name w:val="修订2"/>
    <w:hidden/>
    <w:uiPriority w:val="99"/>
    <w:unhideWhenUsed/>
    <w:qFormat/>
    <w:rPr>
      <w:rFonts w:hint="default" w:asciiTheme="minorHAnsi" w:hAnsiTheme="minorHAnsi" w:eastAsiaTheme="minorEastAsia" w:cstheme="minorBidi"/>
      <w:sz w:val="21"/>
      <w:szCs w:val="22"/>
      <w14:ligatures w14:val="standardContextual"/>
    </w:rPr>
  </w:style>
  <w:style w:type="character" w:styleId="1263" w:customStyle="1">
    <w:name w:val="纯文本 Char"/>
    <w:uiPriority w:val="0"/>
    <w:qFormat/>
    <w:rPr>
      <w:rFonts w:ascii="宋体" w:hAnsi="Courier New" w:eastAsia="宋体"/>
      <w:sz w:val="21"/>
      <w:lang w:val="en-US" w:eastAsia="zh-CN" w:bidi="ar-SA"/>
    </w:rPr>
  </w:style>
  <w:style w:type="character" w:styleId="1264" w:customStyle="1">
    <w:name w:val="不明显强调1"/>
    <w:basedOn w:val="687"/>
    <w:uiPriority w:val="19"/>
    <w:qFormat/>
    <w:rPr>
      <w:i/>
      <w:iCs/>
      <w:color w:val="808080" w:themeColor="text1" w:themeTint="80"/>
      <w14:textFill>
        <w14:solidFill>
          <w14:schemeClr w14:val="tx1">
            <w14:lumMod w14:val="50000"/>
            <w14:lumOff w14:val="50000"/>
          </w14:schemeClr>
        </w14:solidFill>
      </w14:textFill>
    </w:rPr>
  </w:style>
  <w:style w:type="character" w:styleId="1265" w:customStyle="1">
    <w:name w:val="15"/>
    <w:basedOn w:val="687"/>
    <w:uiPriority w:val="0"/>
    <w:qFormat/>
    <w:rPr>
      <w:rFonts w:hint="default" w:ascii="Times New Roman" w:hAnsi="Times New Roman" w:cs="Times New Roman"/>
    </w:rPr>
  </w:style>
  <w:style w:type="paragraph" w:styleId="1266" w:customStyle="1">
    <w:name w:val="标题 31"/>
    <w:basedOn w:val="677"/>
    <w:next w:val="945"/>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267" w:customStyle="1">
    <w:name w:val="要点1"/>
    <w:uiPriority w:val="0"/>
    <w:qFormat/>
    <w:rPr>
      <w:sz w:val="22"/>
      <w:szCs w:val="22"/>
      <w:lang w:val="en-US" w:eastAsia="en-US" w:bidi="en-US"/>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3BDD4-7813-4FB0-8D00-8F5903ADDF4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业务经理2</cp:lastModifiedBy>
  <cp:revision>27</cp:revision>
  <dcterms:created xsi:type="dcterms:W3CDTF">2025-01-03T11:08:00Z</dcterms:created>
  <dcterms:modified xsi:type="dcterms:W3CDTF">2026-04-07T09:27:12Z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B3C9554A7AAA40029FB9B2D84D906763_13</vt:lpwstr>
  </property>
  <property fmtid="{D5CDD505-2E9C-101B-9397-08002B2CF9AE}" pid="4" name="KSOTemplateDocerSaveRecord">
    <vt:lpwstr>eyJoZGlkIjoiZTNkMWM5Yzc1MDRmYmZlYjg2YjRkMjQzNmQzMDA3ZmMiLCJ1c2VySWQiOiI1NzQ0NTM4NjAifQ==</vt:lpwstr>
  </property>
</Properties>
</file>