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23"/>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p>
    <w:p>
      <w:pPr>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cs="Times New Roman"/>
          <w:b/>
          <w:bCs w:val="0"/>
          <w:color w:val="000000"/>
          <w:sz w:val="32"/>
          <w:szCs w:val="32"/>
          <w:highlight w:val="none"/>
          <w:u w:val="none"/>
          <w:lang w:val="en-US" w:eastAsia="zh-CN"/>
        </w:rPr>
        <w:t xml:space="preserve">南京市第一医院档案信息化建设</w:t>
      </w:r>
      <w:r>
        <w:rPr>
          <w:rFonts w:hint="eastAsia" w:ascii="Times New Roman" w:hAnsi="Times New Roman" w:eastAsia="宋体" w:cs="Times New Roman"/>
          <w:b/>
          <w:bCs w:val="0"/>
          <w:color w:val="000000"/>
          <w:sz w:val="32"/>
          <w:szCs w:val="32"/>
          <w:highlight w:val="none"/>
          <w:u w:val="none"/>
          <w:lang w:val="en-US" w:eastAsia="zh-CN"/>
        </w:rPr>
        <w:t xml:space="preserve"> </w:t>
      </w:r>
      <w:r/>
    </w:p>
    <w:p>
      <w:pPr>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cs="Times New Roman"/>
          <w:b/>
          <w:bCs w:val="0"/>
          <w:color w:val="000000"/>
          <w:sz w:val="32"/>
          <w:szCs w:val="32"/>
          <w:highlight w:val="none"/>
          <w:u w:val="none"/>
          <w:lang w:val="en-US" w:eastAsia="zh-CN"/>
        </w:rPr>
        <w:t xml:space="preserve">JSZC-320100-JZCG-C2026-0022</w:t>
      </w:r>
      <w:r/>
    </w:p>
    <w:p>
      <w:pPr>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3"/>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1</w:t>
      </w:r>
      <w:r>
        <w:rPr>
          <w:rFonts w:hint="eastAsia" w:ascii="Times New Roman" w:hAnsi="Times New Roman" w:eastAsia="宋体" w:cs="Times New Roman"/>
          <w:b/>
          <w:bCs w:val="0"/>
          <w:color w:val="000000"/>
          <w:sz w:val="32"/>
          <w:szCs w:val="32"/>
          <w:highlight w:val="none"/>
          <w:u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both"/>
        <w:spacing w:line="480" w:lineRule="exact"/>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bookmarkStart w:id="0" w:name="_Toc16938516"/>
      <w:r/>
      <w:bookmarkStart w:id="1" w:name="_Toc523127445"/>
      <w:r/>
      <w:bookmarkStart w:id="2" w:name="_Toc513029200"/>
      <w:r/>
      <w:bookmarkStart w:id="3" w:name="_Toc120614210"/>
      <w:r/>
      <w:bookmarkStart w:id="4" w:name="_Toc20823272"/>
      <w:r/>
      <w:bookmarkStart w:id="5" w:name="_Toc479757206"/>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33</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right="840"/>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p>
    <w:p>
      <w:pPr>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南京市第一医院</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采购</w:t>
      </w:r>
      <w:r>
        <w:rPr>
          <w:rFonts w:hint="eastAsia" w:ascii="宋体" w:hAnsi="宋体"/>
          <w:color w:val="000000"/>
          <w:sz w:val="24"/>
          <w:szCs w:val="24"/>
          <w:highlight w:val="none"/>
          <w:u w:val="none"/>
        </w:rPr>
        <w:t xml:space="preserve">单位</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none"/>
          <w:lang w:val="en-US" w:eastAsia="zh-CN"/>
        </w:rPr>
        <w:t xml:space="preserve">南京市第一医院档案信息化建设</w:t>
      </w:r>
      <w:r>
        <w:rPr>
          <w:rFonts w:hint="eastAsia" w:ascii="宋体" w:hAnsi="宋体"/>
          <w:color w:val="000000"/>
          <w:sz w:val="24"/>
          <w:szCs w:val="24"/>
          <w:highlight w:val="none"/>
        </w:rPr>
        <w:t xml:space="preserve">进行</w:t>
      </w:r>
      <w:r>
        <w:rPr>
          <w:rFonts w:hint="eastAsia" w:ascii="宋体" w:hAnsi="宋体" w:eastAsia="宋体" w:cs="Times New Roman"/>
          <w:color w:val="000000"/>
          <w:sz w:val="24"/>
          <w:szCs w:val="24"/>
          <w:highlight w:val="none"/>
          <w:lang w:val="en-US" w:eastAsia="zh-CN"/>
        </w:rPr>
        <w:t xml:space="preserve">竞争性磋商采购，欢迎符合条件的供应商参加磋商。</w:t>
      </w:r>
      <w:r/>
    </w:p>
    <w:p>
      <w:pPr>
        <w:pStyle w:val="93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p>
    <w:p>
      <w:pPr>
        <w:ind w:firstLine="480"/>
        <w:pageBreakBefore w:val="0"/>
        <w:spacing w:line="264"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JSZC-320100-JZCG-C2026-0022</w:t>
      </w:r>
      <w:r/>
    </w:p>
    <w:p>
      <w:pPr>
        <w:ind w:firstLine="480"/>
        <w:pageBreakBefore w:val="0"/>
        <w:spacing w:line="264" w:lineRule="auto"/>
        <w:widowControl w:val="off"/>
        <w:rPr>
          <w:rFonts w:hint="eastAsia" w:ascii="宋体" w:hAnsi="宋体"/>
          <w:color w:val="000000"/>
          <w:sz w:val="24"/>
          <w:szCs w:val="24"/>
          <w:highlight w:val="none"/>
          <w:u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u w:val="none"/>
          <w:lang w:val="en-US" w:eastAsia="zh-CN"/>
        </w:rPr>
        <w:t xml:space="preserve">南京市第一医院档案信息化建设</w:t>
      </w:r>
      <w:r/>
    </w:p>
    <w:p>
      <w:pPr>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25万元 </w:t>
      </w:r>
      <w:r/>
    </w:p>
    <w:p>
      <w:pPr>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p>
    <w:p>
      <w:pPr>
        <w:ind w:firstLine="480"/>
        <w:pageBreakBefore w:val="0"/>
        <w:spacing w:line="264"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rPr>
        <w:t xml:space="preserve">全面优化医院档案管理流程，提升档案信息资源开发利用水平，为医院的精细化管理、临床决策、科研创新与历史传承提供坚实的信息支撑。（详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文件第四章） </w:t>
      </w:r>
      <w:r/>
    </w:p>
    <w:p>
      <w:pPr>
        <w:ind w:firstLine="48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1095天（系统开发时间为合同签订后60天内，维保时间为验收合格后1035天）</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p>
    <w:p>
      <w:pPr>
        <w:pStyle w:val="93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p>
    <w:p>
      <w:pPr>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本项目专门面向中小微企业采购，供应商应为中小微企业、监狱企业、残疾人福利性单位。（声明函格式见第六章）</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rPr>
        <w:t xml:space="preserve">本项目采购标的对应的中小企业划分标准所属行业为：</w:t>
      </w:r>
      <w:r>
        <w:rPr>
          <w:rFonts w:hint="eastAsia" w:ascii="宋体" w:hAnsi="宋体" w:eastAsia="宋体" w:cs="Times New Roman"/>
          <w:color w:val="000000"/>
          <w:sz w:val="24"/>
          <w:szCs w:val="24"/>
          <w:highlight w:val="none"/>
          <w:lang w:val="en-US" w:eastAsia="zh-CN"/>
        </w:rPr>
        <w:t xml:space="preserve">软件和信息技术服务业。</w:t>
      </w:r>
      <w:r>
        <w:rPr>
          <w:rFonts w:hint="eastAsia" w:ascii="宋体" w:hAnsi="宋体" w:eastAsia="宋体" w:cs="Times New Roman"/>
          <w:color w:val="000000"/>
          <w:sz w:val="24"/>
          <w:szCs w:val="24"/>
          <w:highlight w:val="none"/>
        </w:rPr>
        <w:t xml:space="preserve">根据《中小企业划型标准规定》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工信部联企业〔2011〕300号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00人以下或营业收入</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000万元以下的为中小微型企业。其中，从业人员</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00人及以上，且营业收入</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000万元及以上的为中型企业；从业人员</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人及以上，且营业收入</w:t>
      </w:r>
      <w:r>
        <w:rPr>
          <w:rFonts w:hint="eastAsia" w:ascii="宋体" w:hAnsi="宋体" w:eastAsia="宋体" w:cs="Times New Roman"/>
          <w:color w:val="000000"/>
          <w:sz w:val="24"/>
          <w:szCs w:val="24"/>
          <w:highlight w:val="none"/>
          <w:lang w:val="en-US" w:eastAsia="zh-CN"/>
        </w:rPr>
        <w:t xml:space="preserve">50</w:t>
      </w:r>
      <w:r>
        <w:rPr>
          <w:rFonts w:hint="eastAsia" w:ascii="宋体" w:hAnsi="宋体" w:eastAsia="宋体" w:cs="Times New Roman"/>
          <w:color w:val="000000"/>
          <w:sz w:val="24"/>
          <w:szCs w:val="24"/>
          <w:highlight w:val="none"/>
        </w:rPr>
        <w:t xml:space="preserve">万元及以上的为小型企业；从业人员</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人以下或营业收入</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0万元以下的为微型企业。</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p>
    <w:p>
      <w:pPr>
        <w:pStyle w:val="93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p>
    <w:p>
      <w:pPr>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1.时间：自磋商文件公告发布之日起。</w:t>
      </w:r>
      <w:r/>
    </w:p>
    <w:p>
      <w:pPr>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p>
    <w:p>
      <w:pPr>
        <w:pStyle w:val="93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p>
    <w:p>
      <w:pPr>
        <w:pStyle w:val="936"/>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pPr>
      <w:r>
        <w:rPr>
          <w:rFonts w:hint="eastAsia" w:ascii="宋体" w:hAnsi="宋体" w:eastAsia="宋体" w:cs="宋体"/>
          <w:b/>
          <w:bCs/>
          <w:color w:val="000000"/>
          <w:sz w:val="24"/>
          <w:szCs w:val="24"/>
          <w:highlight w:val="none"/>
          <w:u w:val="none"/>
        </w:rPr>
        <w:t xml:space="preserve"> </w:t>
      </w:r>
      <w:r>
        <w:rPr>
          <w:rFonts w:hint="eastAsia" w:ascii="Times New Roman" w:hAnsi="Times New Roman" w:eastAsia="宋体" w:cs="Times New Roman"/>
          <w:b/>
          <w:bCs/>
          <w:color w:val="000000"/>
          <w:sz w:val="24"/>
          <w:szCs w:val="24"/>
          <w:highlight w:val="none"/>
          <w:u w:val="none"/>
          <w:lang w:val="en-US" w:eastAsia="zh-CN"/>
        </w:rPr>
        <w:t xml:space="preserve">2026</w:t>
      </w:r>
      <w:r>
        <w:rPr>
          <w:rFonts w:hint="eastAsia" w:ascii="Times New Roman" w:hAnsi="Times New Roman" w:eastAsia="Times New Roman" w:cs="Times New Roman"/>
          <w:b/>
          <w:bCs/>
          <w:color w:val="000000"/>
          <w:sz w:val="24"/>
          <w:szCs w:val="24"/>
          <w:highlight w:val="none"/>
          <w:u w:val="none"/>
        </w:rPr>
        <w:t xml:space="preserve">年</w:t>
      </w:r>
      <w:r>
        <w:rPr>
          <w:rFonts w:hint="eastAsia" w:cs="Times New Roman"/>
          <w:b/>
          <w:bCs/>
          <w:color w:val="000000"/>
          <w:sz w:val="24"/>
          <w:szCs w:val="24"/>
          <w:highlight w:val="none"/>
          <w:u w:val="none"/>
          <w:lang w:val="en-US" w:eastAsia="zh-CN"/>
        </w:rPr>
        <w:t xml:space="preserve">2</w:t>
      </w:r>
      <w:r>
        <w:rPr>
          <w:rFonts w:hint="eastAsia" w:ascii="Times New Roman" w:hAnsi="Times New Roman" w:eastAsia="Times New Roman" w:cs="Times New Roman"/>
          <w:b/>
          <w:bCs/>
          <w:color w:val="000000"/>
          <w:sz w:val="24"/>
          <w:szCs w:val="24"/>
          <w:highlight w:val="none"/>
          <w:u w:val="none"/>
        </w:rPr>
        <w:t xml:space="preserve">月10</w:t>
      </w:r>
      <w:r>
        <w:rPr>
          <w:rFonts w:hint="eastAsia" w:ascii="Times New Roman" w:hAnsi="Times New Roman" w:eastAsia="Times New Roman" w:cs="Times New Roman"/>
          <w:b/>
          <w:bCs/>
          <w:color w:val="000000"/>
          <w:sz w:val="24"/>
          <w:szCs w:val="24"/>
          <w:highlight w:val="none"/>
          <w:u w:val="none"/>
        </w:rPr>
        <w:t xml:space="preserve">日</w:t>
      </w:r>
      <w:r>
        <w:rPr>
          <w:rFonts w:hint="eastAsia" w:ascii="Times New Roman" w:hAnsi="Times New Roman" w:eastAsia="宋体" w:cs="Times New Roman"/>
          <w:b/>
          <w:bCs/>
          <w:color w:val="000000"/>
          <w:sz w:val="24"/>
          <w:szCs w:val="24"/>
          <w:highlight w:val="none"/>
          <w:u w:val="none"/>
          <w:lang w:val="en-US" w:eastAsia="zh-CN"/>
        </w:rPr>
        <w:t xml:space="preserve">09</w:t>
      </w:r>
      <w:r>
        <w:rPr>
          <w:rFonts w:hint="eastAsia" w:ascii="Times New Roman" w:hAnsi="Times New Roman" w:eastAsia="Times New Roman" w:cs="Times New Roman"/>
          <w:b/>
          <w:bCs/>
          <w:color w:val="000000"/>
          <w:sz w:val="24"/>
          <w:szCs w:val="24"/>
          <w:highlight w:val="none"/>
          <w:u w:val="none"/>
          <w:lang w:val="en-US" w:eastAsia="zh-CN"/>
        </w:rPr>
        <w:t xml:space="preserve">时</w:t>
      </w:r>
      <w:r>
        <w:rPr>
          <w:rFonts w:hint="eastAsia" w:ascii="Times New Roman" w:hAnsi="Times New Roman" w:eastAsia="宋体" w:cs="Times New Roman"/>
          <w:b/>
          <w:bCs/>
          <w:color w:val="000000"/>
          <w:sz w:val="24"/>
          <w:szCs w:val="24"/>
          <w:highlight w:val="none"/>
          <w:u w:val="none"/>
          <w:lang w:val="en-US" w:eastAsia="zh-CN"/>
        </w:rPr>
        <w:t xml:space="preserve">30</w:t>
      </w:r>
      <w:r>
        <w:rPr>
          <w:rFonts w:hint="eastAsia" w:ascii="Times New Roman" w:hAnsi="Times New Roman" w:eastAsia="Times New Roman" w:cs="Times New Roman"/>
          <w:b/>
          <w:bCs/>
          <w:color w:val="000000"/>
          <w:sz w:val="24"/>
          <w:szCs w:val="24"/>
          <w:highlight w:val="none"/>
          <w:u w:val="none"/>
        </w:rPr>
        <w:t xml:space="preserve">分</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p>
    <w:p>
      <w:pPr>
        <w:pStyle w:val="93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p>
    <w:p>
      <w:pPr>
        <w:ind w:firstLine="48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p>
    <w:p>
      <w:pPr>
        <w:pStyle w:val="93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p>
    <w:p>
      <w:pPr>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2.本项目不组织集中勘察及答疑，供应商如对采购需求有疑问，请咨询采购单位联系人。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spacing w:line="25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s="Times New Roman"/>
          <w:color w:val="auto"/>
          <w:sz w:val="24"/>
          <w:szCs w:val="24"/>
          <w:highlight w:val="none"/>
          <w:u w:val="none"/>
          <w:lang w:val="en-US" w:eastAsia="zh-CN"/>
        </w:rPr>
        <w:t xml:space="preserve">谢老师</w:t>
      </w:r>
      <w:r>
        <w:rPr>
          <w:rFonts w:hint="eastAsia" w:ascii="宋体" w:hAnsi="宋体" w:eastAsia="宋体" w:cs="Times New Roman"/>
          <w:b w:val="0"/>
          <w:bCs w:val="0"/>
          <w:color w:val="auto"/>
          <w:sz w:val="24"/>
          <w:lang w:val="en-US" w:eastAsia="zh-CN"/>
        </w:rPr>
        <w:t xml:space="preserve">，收件地址：南京市秦淮区长乐路68号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eastAsia="宋体" w:cs="Times New Roman"/>
          <w:color w:val="auto"/>
          <w:sz w:val="24"/>
          <w:szCs w:val="24"/>
          <w:highlight w:val="none"/>
          <w:u w:val="none"/>
          <w:lang w:val="en-US" w:eastAsia="zh-CN"/>
        </w:rPr>
        <w:t xml:space="preserve">025-522710179</w:t>
      </w:r>
      <w:r>
        <w:rPr>
          <w:rFonts w:hint="eastAsia" w:ascii="宋体" w:hAnsi="宋体" w:eastAsia="宋体" w:cs="Times New Roman"/>
          <w:b w:val="0"/>
          <w:bCs w:val="0"/>
          <w:color w:val="auto"/>
          <w:sz w:val="24"/>
          <w:lang w:val="en-US" w:eastAsia="zh-CN"/>
        </w:rPr>
        <w:t xml:space="preserve">。</w:t>
      </w:r>
      <w:r/>
    </w:p>
    <w:p>
      <w:pPr>
        <w:ind w:firstLine="48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93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称：南京市第一医院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秦淮区长乐</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68</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谢老师</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联系电话：025-522710179 </w:t>
      </w:r>
      <w:bookmarkStart w:id="6" w:name="_Toc28359086"/>
      <w:r/>
      <w:bookmarkStart w:id="7" w:name="_Toc28359009"/>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p>
    <w:p>
      <w:pPr>
        <w:ind w:firstLine="480"/>
        <w:pageBreakBefore w:val="0"/>
        <w:spacing w:line="264"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孙先生</w:t>
      </w:r>
      <w:r/>
    </w:p>
    <w:p>
      <w:pPr>
        <w:ind w:firstLine="480"/>
        <w:pageBreakBefore w:val="0"/>
        <w:spacing w:line="264" w:lineRule="auto"/>
        <w:widowControl w:val="off"/>
        <w:rPr>
          <w:color w:val="000000"/>
          <w:highlight w:val="none"/>
          <w:u w:val="none"/>
          <w:lang w:val="en-US"/>
        </w:rPr>
      </w:pPr>
      <w:r>
        <w:rPr>
          <w:rFonts w:hint="eastAsia" w:ascii="宋体" w:hAnsi="宋体" w:eastAsia="宋体" w:cs="Times New Roman"/>
          <w:color w:val="000000"/>
          <w:sz w:val="24"/>
          <w:szCs w:val="24"/>
          <w:highlight w:val="none"/>
          <w:u w:val="none"/>
          <w:lang w:val="en-US" w:eastAsia="zh-CN"/>
        </w:rPr>
        <w:t xml:space="preserve">联系电话：025-68505990</w:t>
      </w:r>
      <w:r/>
    </w:p>
    <w:p>
      <w:pPr>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color w:val="000000"/>
          <w:highlight w:val="none"/>
        </w:rPr>
      </w:pPr>
      <w:r>
        <w:rPr>
          <w:rFonts w:hint="eastAsia"/>
          <w:color w:val="000000"/>
          <w:highlight w:val="none"/>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8" w:name="_Toc513029203"/>
      <w:r/>
      <w:bookmarkStart w:id="9" w:name="_Toc120614214"/>
      <w:r/>
      <w:bookmarkStart w:id="10" w:name="_Toc20823275"/>
      <w:r/>
      <w:bookmarkStart w:id="11" w:name="_Toc16938519"/>
      <w:r>
        <w:rPr>
          <w:rFonts w:hint="eastAsia" w:ascii="方正黑体_GBK" w:hAnsi="方正黑体_GBK" w:eastAsia="方正黑体_GBK" w:cs="方正黑体_GBK"/>
          <w:b w:val="0"/>
          <w:bCs w:val="0"/>
          <w:color w:val="000000"/>
          <w:sz w:val="30"/>
          <w:szCs w:val="30"/>
          <w:highlight w:val="none"/>
        </w:rPr>
        <w:t xml:space="preserve">一、总则</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3.适用法律</w:t>
      </w:r>
      <w:r/>
    </w:p>
    <w:p>
      <w:pPr>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二、磋商文件</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12.分项报价表</w:t>
      </w:r>
      <w:r>
        <w:rPr>
          <w:rFonts w:hint="eastAsia" w:ascii="方正楷体_GBK" w:hAnsi="方正楷体_GBK" w:eastAsia="方正楷体_GBK" w:cs="方正楷体_GBK"/>
          <w:b/>
          <w:bCs/>
          <w:color w:val="000000"/>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w:t>
      </w:r>
      <w:r>
        <w:rPr>
          <w:rFonts w:hint="eastAsia" w:ascii="宋体" w:hAnsi="宋体" w:cs="Times New Roman"/>
          <w:color w:val="000000"/>
          <w:sz w:val="24"/>
          <w:szCs w:val="21"/>
          <w:highlight w:val="none"/>
          <w:lang w:val="en-US" w:eastAsia="zh-CN"/>
        </w:rPr>
        <w:t xml:space="preserve">过程</w:t>
      </w:r>
      <w:r>
        <w:rPr>
          <w:rFonts w:hint="eastAsia" w:ascii="宋体" w:hAnsi="宋体" w:eastAsia="宋体" w:cs="Times New Roman"/>
          <w:color w:val="000000"/>
          <w:sz w:val="24"/>
          <w:szCs w:val="21"/>
          <w:highlight w:val="none"/>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w:t>
      </w:r>
      <w:r>
        <w:rPr>
          <w:rFonts w:hint="eastAsia" w:ascii="宋体" w:hAnsi="宋体" w:cs="Times New Roman"/>
          <w:color w:val="000000"/>
          <w:sz w:val="24"/>
          <w:highlight w:val="none"/>
          <w:lang w:val="zh-CN"/>
        </w:rPr>
        <w:t xml:space="preserve">响应</w:t>
      </w:r>
      <w:r>
        <w:rPr>
          <w:rFonts w:hint="eastAsia" w:ascii="宋体" w:hAnsi="宋体" w:eastAsia="宋体" w:cs="Times New Roman"/>
          <w:color w:val="000000"/>
          <w:sz w:val="24"/>
          <w:highlight w:val="none"/>
          <w:lang w:val="zh-CN"/>
        </w:rPr>
        <w:t xml:space="preserve">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eastAsia="zh-CN"/>
        </w:rPr>
        <w:t xml:space="preserve">发现</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报价低于采购项目预算50%，或者低于采购项目最高限价45%，或者</w:t>
      </w:r>
      <w:r>
        <w:rPr>
          <w:rFonts w:hint="eastAsia" w:ascii="宋体" w:hAnsi="宋体" w:eastAsia="宋体" w:cs="Times New Roman"/>
          <w:color w:val="000000"/>
          <w:sz w:val="24"/>
          <w:highlight w:val="none"/>
          <w:lang w:val="zh-CN"/>
        </w:rPr>
        <w:t xml:space="preserve">认为</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rPr>
        <w:t xml:space="preserve">应当将其作为无效</w:t>
      </w:r>
      <w:r>
        <w:rPr>
          <w:rFonts w:hint="eastAsia" w:ascii="宋体" w:hAnsi="宋体" w:eastAsia="宋体" w:cs="Times New Roman"/>
          <w:color w:val="000000"/>
          <w:sz w:val="24"/>
          <w:highlight w:val="none"/>
          <w:lang w:val="en-US" w:eastAsia="zh-CN"/>
        </w:rPr>
        <w:t xml:space="preserve">响应</w:t>
      </w:r>
      <w:r>
        <w:rPr>
          <w:rFonts w:hint="eastAsia" w:ascii="宋体" w:hAnsi="宋体" w:eastAsia="宋体" w:cs="Times New Roman"/>
          <w:color w:val="000000"/>
          <w:sz w:val="24"/>
          <w:highlight w:val="none"/>
          <w:lang w:val="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24.6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szCs w:val="22"/>
          <w:highlight w:val="none"/>
          <w:lang w:val="zh-CN" w:eastAsia="zh-CN" w:bidi="ar"/>
        </w:rPr>
      </w:pPr>
      <w:r>
        <w:rPr>
          <w:rFonts w:hint="eastAsia" w:ascii="宋体" w:hAnsi="宋体" w:eastAsia="宋体" w:cs="Times New Roman"/>
          <w:color w:val="000000"/>
          <w:sz w:val="24"/>
          <w:highlight w:val="none"/>
          <w:lang w:val="zh-CN" w:eastAsia="zh-CN"/>
        </w:rPr>
        <w:t xml:space="preserve">25.4 如出现25.</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或25.3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情形，</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活动失败，</w:t>
      </w:r>
      <w:r>
        <w:rPr>
          <w:rFonts w:hint="eastAsia" w:ascii="宋体" w:hAnsi="宋体" w:eastAsia="宋体" w:cs="Times New Roman"/>
          <w:color w:val="000000"/>
          <w:sz w:val="24"/>
          <w:highlight w:val="none"/>
          <w:lang w:val="en-US" w:eastAsia="zh-CN"/>
        </w:rPr>
        <w:t xml:space="preserve">磋商小组应</w:t>
      </w:r>
      <w:r>
        <w:rPr>
          <w:rFonts w:hint="eastAsia" w:ascii="宋体" w:hAnsi="宋体" w:eastAsia="宋体" w:cs="Times New Roman"/>
          <w:b w:val="0"/>
          <w:bCs w:val="0"/>
          <w:color w:val="000000"/>
          <w:sz w:val="24"/>
          <w:szCs w:val="22"/>
          <w:highlight w:val="none"/>
          <w:lang w:val="en-US" w:eastAsia="zh-CN" w:bidi="ar"/>
        </w:rPr>
        <w:t xml:space="preserve">对磋商</w:t>
      </w:r>
      <w:r>
        <w:rPr>
          <w:rFonts w:hint="eastAsia" w:ascii="宋体" w:hAnsi="宋体" w:eastAsia="宋体" w:cs="Times New Roman"/>
          <w:b w:val="0"/>
          <w:bCs w:val="0"/>
          <w:color w:val="000000"/>
          <w:sz w:val="24"/>
          <w:szCs w:val="22"/>
          <w:highlight w:val="none"/>
          <w:lang w:val="zh-CN" w:eastAsia="zh-CN" w:bidi="ar"/>
        </w:rPr>
        <w:t xml:space="preserve">文件是否存在不合理条款</w:t>
      </w:r>
      <w:r>
        <w:rPr>
          <w:rFonts w:hint="eastAsia" w:ascii="宋体" w:hAnsi="宋体" w:eastAsia="宋体" w:cs="Times New Roman"/>
          <w:b w:val="0"/>
          <w:bCs w:val="0"/>
          <w:color w:val="000000"/>
          <w:sz w:val="24"/>
          <w:szCs w:val="22"/>
          <w:highlight w:val="none"/>
          <w:lang w:val="en-US" w:eastAsia="zh-CN" w:bidi="ar"/>
        </w:rPr>
        <w:t xml:space="preserve">进行论证，并在评审报告中写明</w:t>
      </w:r>
      <w:r>
        <w:rPr>
          <w:rFonts w:hint="eastAsia" w:ascii="宋体" w:hAnsi="宋体" w:eastAsia="宋体" w:cs="Times New Roman"/>
          <w:b w:val="0"/>
          <w:bCs w:val="0"/>
          <w:color w:val="000000"/>
          <w:sz w:val="24"/>
          <w:szCs w:val="22"/>
          <w:highlight w:val="none"/>
          <w:lang w:val="zh-CN" w:eastAsia="zh-CN" w:bidi="ar"/>
        </w:rPr>
        <w:t xml:space="preserve">论证意见。</w:t>
      </w:r>
      <w:r/>
    </w:p>
    <w:p>
      <w:pPr>
        <w:ind w:firstLine="420"/>
        <w:keepLines w:val="0"/>
        <w:keepNext w:val="0"/>
        <w:pageBreakBefore w:val="0"/>
        <w:spacing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3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p>
    <w:p>
      <w:pPr>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rPr>
          <w:rFonts w:hint="eastAsia" w:ascii="宋体" w:hAnsi="宋体" w:eastAsia="宋体" w:cs="Times New Roman"/>
          <w:b w:val="0"/>
          <w:bCs w:val="0"/>
          <w:color w:val="000000"/>
          <w:sz w:val="24"/>
          <w:highlight w:val="none"/>
          <w:lang w:val="en-US" w:eastAsia="zh-CN"/>
        </w:rPr>
        <w:t xml:space="preserve">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p>
    <w:p>
      <w:pPr>
        <w:pStyle w:val="93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937"/>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bookmarkEnd w:id="8"/>
      <w:r/>
      <w:bookmarkEnd w:id="9"/>
      <w:r/>
      <w:bookmarkEnd w:id="10"/>
      <w:r/>
      <w:bookmarkEnd w:id="11"/>
      <w:r/>
      <w:r/>
    </w:p>
    <w:p>
      <w:pPr>
        <w:pStyle w:val="937"/>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en-US"/>
        </w:rPr>
        <w:t xml:space="preserve">）。</w:t>
      </w:r>
      <w:r/>
    </w:p>
    <w:p>
      <w:pPr>
        <w:pStyle w:val="937"/>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40.绿色采购</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hAnsi="宋体" w:eastAsia="宋体" w:cs="Times New Roman"/>
          <w:bCs w:val="0"/>
          <w:color w:val="000000"/>
          <w:sz w:val="24"/>
          <w:szCs w:val="22"/>
          <w:highlight w:val="none"/>
          <w:lang w:val="en-US" w:eastAsia="zh-CN"/>
        </w:rPr>
        <w:t xml:space="preserve">中</w:t>
      </w:r>
      <w:r>
        <w:rPr>
          <w:rFonts w:hint="eastAsia" w:ascii="宋体" w:hAnsi="宋体" w:eastAsia="宋体" w:cs="Times New Roman"/>
          <w:bCs w:val="0"/>
          <w:color w:val="000000"/>
          <w:sz w:val="24"/>
          <w:szCs w:val="22"/>
          <w:highlight w:val="none"/>
        </w:rPr>
        <w:t xml:space="preserve">涉及商品包装、快递包装要求的</w:t>
      </w:r>
      <w:r>
        <w:rPr>
          <w:rFonts w:hint="eastAsia" w:ascii="宋体" w:hAnsi="宋体" w:eastAsia="宋体" w:cs="Times New Roman"/>
          <w:bCs w:val="0"/>
          <w:color w:val="000000"/>
          <w:sz w:val="24"/>
          <w:szCs w:val="22"/>
          <w:highlight w:val="none"/>
          <w:lang w:eastAsia="zh-CN"/>
        </w:rPr>
        <w:t xml:space="preserve">，</w:t>
      </w:r>
      <w:r>
        <w:rPr>
          <w:rFonts w:hint="eastAsia" w:ascii="宋体" w:hAnsi="宋体" w:eastAsia="宋体" w:cs="Times New Roman"/>
          <w:bCs w:val="0"/>
          <w:color w:val="000000"/>
          <w:sz w:val="24"/>
          <w:szCs w:val="22"/>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hAnsi="宋体" w:eastAsia="宋体" w:cs="Times New Roman"/>
          <w:bCs w:val="0"/>
          <w:color w:val="000000"/>
          <w:sz w:val="24"/>
          <w:szCs w:val="22"/>
          <w:highlight w:val="none"/>
        </w:rPr>
        <w:t xml:space="preserve">商品包装和快递包装</w:t>
      </w:r>
      <w:r>
        <w:rPr>
          <w:rFonts w:hint="eastAsia" w:ascii="宋体" w:hAnsi="宋体" w:eastAsia="宋体" w:cs="Times New Roman"/>
          <w:bCs w:val="0"/>
          <w:color w:val="000000"/>
          <w:sz w:val="24"/>
          <w:szCs w:val="22"/>
          <w:highlight w:val="none"/>
          <w:lang w:val="en-US" w:eastAsia="zh-CN"/>
        </w:rPr>
        <w:t xml:space="preserve">有</w:t>
      </w:r>
      <w:r>
        <w:rPr>
          <w:rFonts w:hint="eastAsia" w:ascii="宋体" w:hAnsi="宋体" w:eastAsia="宋体" w:cs="Times New Roman"/>
          <w:bCs w:val="0"/>
          <w:color w:val="000000"/>
          <w:sz w:val="24"/>
          <w:szCs w:val="22"/>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p>
    <w:p>
      <w:pPr>
        <w:pStyle w:val="937"/>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p>
    <w:p>
      <w:pPr>
        <w:pStyle w:val="937"/>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42.1 本</w:t>
      </w:r>
      <w:r>
        <w:rPr>
          <w:rFonts w:hint="eastAsia" w:ascii="宋体" w:hAnsi="宋体" w:eastAsia="宋体" w:cs="Times New Roman"/>
          <w:color w:val="000000"/>
          <w:sz w:val="24"/>
          <w:highlight w:val="none"/>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75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4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color w:val="000000"/>
          <w:highlight w:val="none"/>
          <w:lang w:val="zh-CN" w:eastAsia="zh-CN"/>
        </w:rPr>
      </w:pPr>
      <w:r>
        <w:rPr>
          <w:rFonts w:hint="eastAsia"/>
          <w:color w:val="000000"/>
          <w:highlight w:val="none"/>
          <w:lang w:val="zh-CN"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shd w:val="clear" w:color="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br w:type="page" w:clear="all"/>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0"/>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p>
    <w:p>
      <w:pPr>
        <w:pStyle w:val="1012"/>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0"/>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0"/>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97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本合同金额为（大写）：____________________圆（____________________元）人民币。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97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8.1.2 软件完全交付并上线正式运行，经甲方验收合格后，</w:t>
      </w:r>
      <w:r>
        <w:rPr>
          <w:rFonts w:hint="eastAsia" w:ascii="宋体" w:hAnsi="宋体" w:eastAsia="宋体" w:cs="Courier New"/>
          <w:color w:val="000000"/>
          <w:sz w:val="24"/>
          <w:szCs w:val="24"/>
          <w:highlight w:val="none"/>
          <w:lang w:val="en-US" w:eastAsia="zh-CN"/>
        </w:rPr>
        <w:t xml:space="preserve">结清</w:t>
      </w:r>
      <w:r>
        <w:rPr>
          <w:rFonts w:hint="eastAsia" w:ascii="宋体" w:hAnsi="宋体" w:eastAsia="宋体" w:cs="Courier New"/>
          <w:color w:val="000000"/>
          <w:sz w:val="24"/>
          <w:szCs w:val="24"/>
          <w:highlight w:val="none"/>
        </w:rPr>
        <w:t xml:space="preserve">系统开发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含硬件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费用。</w:t>
      </w:r>
      <w:r/>
    </w:p>
    <w:p>
      <w:pPr>
        <w:keepLines w:val="0"/>
        <w:keepNext w:val="0"/>
        <w:pageBreakBefore w:val="0"/>
        <w:spacing w:before="0" w:after="0" w:line="240" w:lineRule="auto"/>
        <w:widowControl w:val="off"/>
        <w:rPr>
          <w:rFonts w:hint="eastAsia"/>
          <w:color w:val="000000"/>
          <w:highlight w:val="none"/>
          <w:lang w:val="en-US" w:eastAsia="zh-CN"/>
        </w:rPr>
      </w:pPr>
      <w:r>
        <w:rPr>
          <w:rFonts w:hint="eastAsia" w:ascii="宋体" w:hAnsi="宋体" w:eastAsia="宋体" w:cs="Courier New"/>
          <w:color w:val="000000"/>
          <w:sz w:val="24"/>
          <w:szCs w:val="24"/>
          <w:highlight w:val="none"/>
        </w:rPr>
        <w:t xml:space="preserve">8.1.3 系统验收合格后进入维保期，乙方维保满一年，经甲方考核合格后支付系统维保费用的</w:t>
      </w:r>
      <w:r>
        <w:rPr>
          <w:rFonts w:hint="eastAsia" w:ascii="宋体" w:hAnsi="宋体" w:eastAsia="宋体" w:cs="Courier New"/>
          <w:color w:val="000000"/>
          <w:sz w:val="24"/>
          <w:szCs w:val="24"/>
          <w:highlight w:val="none"/>
          <w:lang w:val="en-US" w:eastAsia="zh-CN"/>
        </w:rPr>
        <w:t xml:space="preserve">30</w:t>
      </w:r>
      <w:r>
        <w:rPr>
          <w:rFonts w:hint="eastAsia" w:ascii="宋体" w:hAnsi="宋体" w:eastAsia="宋体" w:cs="Courier New"/>
          <w:color w:val="000000"/>
          <w:sz w:val="24"/>
          <w:szCs w:val="24"/>
          <w:highlight w:val="none"/>
        </w:rPr>
        <w:t xml:space="preserve">%；乙方维保满两年，经甲方考核合格后支付至系统维保费用的</w:t>
      </w:r>
      <w:r>
        <w:rPr>
          <w:rFonts w:hint="eastAsia" w:ascii="宋体" w:hAnsi="宋体" w:eastAsia="宋体" w:cs="Courier New"/>
          <w:color w:val="000000"/>
          <w:sz w:val="24"/>
          <w:szCs w:val="24"/>
          <w:highlight w:val="none"/>
          <w:lang w:val="en-US" w:eastAsia="zh-CN"/>
        </w:rPr>
        <w:t xml:space="preserve">30</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乙方维保期满</w:t>
      </w:r>
      <w:r>
        <w:rPr>
          <w:rFonts w:hint="eastAsia" w:ascii="宋体" w:hAnsi="宋体" w:eastAsia="宋体" w:cs="Courier New"/>
          <w:color w:val="000000"/>
          <w:sz w:val="24"/>
          <w:szCs w:val="24"/>
          <w:highlight w:val="none"/>
          <w:lang w:val="en-US" w:eastAsia="zh-CN"/>
        </w:rPr>
        <w:t xml:space="preserve">1035</w:t>
      </w:r>
      <w:r>
        <w:rPr>
          <w:rFonts w:hint="eastAsia" w:ascii="宋体" w:hAnsi="宋体" w:eastAsia="宋体" w:cs="Courier New"/>
          <w:color w:val="000000"/>
          <w:sz w:val="24"/>
          <w:szCs w:val="24"/>
          <w:highlight w:val="none"/>
        </w:rPr>
        <w:t xml:space="preserve">天，经甲方考核合格后支付至系统维保费用的100%。（维保要求详见第四章，全部达到为考核合格）以上款项均为无息支付。</w:t>
      </w:r>
      <w:r/>
    </w:p>
    <w:p>
      <w:pPr>
        <w:pStyle w:val="97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p>
    <w:p>
      <w:pPr>
        <w:pStyle w:val="97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网络安全、市场准入要求：严格遵守《网络安全法》、《数据安全法》《个人信息保护法》等相关法律法规要求，保障项目服务中所涉及的网络安全、数据安全。系统需在结合网络等基础设施安全的基础上从应用安全、服务安全、数据安全和隐私安全等多个层面采用安全技术，从数据存储、数据服务到数据浏览应用全面保证数据的安全性和使用的合法性。</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p>
    <w:p>
      <w:pPr>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p>
    <w:p>
      <w:pPr>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p>
    <w:p>
      <w:pPr>
        <w:pStyle w:val="97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974"/>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p>
    <w:p>
      <w:pPr>
        <w:pStyle w:val="97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p>
    <w:p>
      <w:pPr>
        <w:pStyle w:val="97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p>
    <w:p>
      <w:pPr>
        <w:pStyle w:val="974"/>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p>
    <w:p>
      <w:pPr>
        <w:pStyle w:val="97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974"/>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年    月   日</w:t>
      </w:r>
      <w:r/>
    </w:p>
    <w:p>
      <w:pPr>
        <w:pStyle w:val="974"/>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0"/>
      </w:pPr>
      <w:r>
        <w:rPr>
          <w:rFonts w:hint="eastAsia" w:ascii="宋体" w:hAnsi="宋体" w:eastAsia="宋体" w:cs="Times New Roman"/>
          <w:b/>
          <w:bCs w:val="0"/>
          <w:color w:val="000000"/>
          <w:sz w:val="30"/>
          <w:szCs w:val="21"/>
          <w:highlight w:val="none"/>
        </w:rPr>
        <w:t xml:space="preserve">《*******合同》补充协议（合同附件）</w:t>
      </w:r>
      <w:r/>
    </w:p>
    <w:p>
      <w:pPr>
        <w:pStyle w:val="974"/>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10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bookmarkStart w:id="12" w:name="_Toc16938590"/>
      <w:r/>
      <w:bookmarkStart w:id="13" w:name="_Toc120614244"/>
      <w:r/>
      <w:bookmarkStart w:id="14" w:name="_Hlt16619350"/>
      <w:r/>
      <w:bookmarkStart w:id="15" w:name="_Toc20823346"/>
      <w:r/>
      <w:bookmarkStart w:id="16" w:name="_Toc479757211"/>
      <w:r/>
      <w:bookmarkStart w:id="17" w:name="_Toc462564139"/>
      <w:r>
        <w:rPr>
          <w:rFonts w:hint="eastAsia" w:ascii="宋体" w:hAnsi="宋体" w:eastAsia="宋体" w:cs="Courier New"/>
          <w:color w:val="000000"/>
          <w:sz w:val="24"/>
          <w:szCs w:val="24"/>
          <w:highlight w:val="none"/>
          <w:lang w:val="en-US" w:eastAsia="zh-CN" w:bidi="ar-SA"/>
        </w:rPr>
        <w:br w:type="page" w:clear="all"/>
      </w:r>
      <w:bookmarkEnd w:id="12"/>
      <w:r/>
      <w:bookmarkEnd w:id="13"/>
      <w:r/>
      <w:bookmarkEnd w:id="14"/>
      <w:r/>
      <w:bookmarkEnd w:id="15"/>
      <w:r/>
      <w:bookmarkStart w:id="18" w:name="_Toc26554093"/>
      <w:r/>
      <w:bookmarkStart w:id="19" w:name="_Toc49090575"/>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随着信息技术的飞速发展和国家“放管服”改革的持续深化，档案管理工作正经历着从传统实体管理向现代数字管理的战略性</w:t>
      </w:r>
      <w:r>
        <w:rPr>
          <w:rFonts w:hint="eastAsia" w:ascii="宋体" w:hAnsi="宋体" w:eastAsia="宋体" w:cs="Times New Roman"/>
          <w:color w:val="000000"/>
          <w:sz w:val="24"/>
          <w:szCs w:val="24"/>
          <w:highlight w:val="none"/>
          <w:lang w:val="en-US" w:eastAsia="zh-CN"/>
        </w:rPr>
        <w:t xml:space="preserve">转型。电子文件归档与电子档案管理已成为提升治理能力和管理现代化水平的核心环节。南京市第一医院作为一所集医疗、教学、科研为一体的综合性医院，在日常运营中产生了大量具有重要保存与利用价值的行政、医疗、科研、基建、设备等各类档案。当前，为积极响应国家档案局关于数字档案室建设的号召，贯彻落实国家及江苏省关于档案信息化建设的最新政策要求，推动医院档案管理数字化转型，严格执行《中华人民共和国档案法》、《数字档案室建设指南》、《电子文件归档与电子档案管理规范》（GB/T 18894）以及江苏省相关数字档案室建设标准与规范</w:t>
      </w:r>
      <w:r>
        <w:rPr>
          <w:rFonts w:hint="eastAsia" w:ascii="宋体" w:hAnsi="宋体" w:eastAsia="宋体" w:cs="Times New Roman"/>
          <w:color w:val="000000"/>
          <w:sz w:val="24"/>
          <w:szCs w:val="24"/>
          <w:highlight w:val="none"/>
          <w:lang w:val="en-US" w:eastAsia="zh-CN"/>
        </w:rPr>
        <w:t xml:space="preserve">，南京市第一医院拟实施数字档案室系统建设项目，建设一个技术先进、功能完善、安全可靠的数字档案室系统，同步构建符合"来源可靠、程序规范、要素合规"标准的电子档案管理体系，实现档案资源的规范化管理与高效利用。本项目的建设，旨在实现医院各业务系统电子文件的规范生成、在线捕获、完整归档、安全存储、高效管理与便捷利用，彻底打通信息孤岛，确保电子档案的真实性、完整性、可用性与安全性。项目建成后，将全面优化医院档案管理流程，提升档案信息资源开发利用水平，为医院的精细化管理、临床决策、科研创新与历史传承提供坚实的信息支撑。</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系统的设计和建设必须严格遵循国家和档案行业的相关法律法规及标准规范，主要包括：</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《中华人民共和国档案法》</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《企业文件材料归档范围和档案保管期限规定》</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《中华人民共和国档案法实施办法》</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《企业电子文件归档和电子档案管理指南》</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《数字档案室建设指南》（2014 年）</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《“十四五”全国档案事业发展规划》</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GB/T 18894-2016 《电子文件归档与电子档案管理规范》</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GB/T 33190-2016 《电子文件存储与交换格式 版式文档》（OFD）</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GB/T 18894-2016 《电子文件归档与电子档案管理规范》</w:t>
      </w:r>
      <w:r/>
    </w:p>
    <w:p>
      <w:pPr>
        <w:ind w:firstLine="480"/>
        <w:spacing w:line="264" w:lineRule="auto"/>
        <w:rPr>
          <w:rFonts w:hint="eastAsia"/>
          <w:color w:val="000000"/>
          <w:highlight w:val="none"/>
          <w:lang w:val="en-US" w:eastAsia="zh-CN"/>
        </w:rPr>
      </w:pPr>
      <w:r>
        <w:rPr>
          <w:rFonts w:hint="eastAsia" w:ascii="宋体" w:hAnsi="宋体" w:eastAsia="宋体" w:cs="Times New Roman"/>
          <w:bCs w:val="0"/>
          <w:color w:val="000000"/>
          <w:sz w:val="24"/>
          <w:szCs w:val="24"/>
          <w:highlight w:val="none"/>
          <w:lang w:val="en-US" w:eastAsia="zh-CN"/>
        </w:rPr>
        <w:t xml:space="preserve">GB/T 29194-2023 《电子文件管理系统通用功能要求》</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GB/T 39784-2021 《电子档案管理系统通用功能要求》</w:t>
      </w:r>
      <w:r/>
    </w:p>
    <w:p>
      <w:pPr>
        <w:ind w:firstLine="480"/>
        <w:spacing w:line="264"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GB/T 39362-2020《基于XML的电子文件封装规范》</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70-2018 《文书类电子档案检测一般要求》</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46-2009 《文书电子文件元数据方案》</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48-2009 《基于XML的电子文件封装规范》</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28-2018 《建设项目档案管理规范》</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13-202</w:t>
      </w:r>
      <w:r>
        <w:rPr>
          <w:rFonts w:hint="eastAsia" w:ascii="宋体" w:hAnsi="宋体" w:cs="Times New Roman"/>
          <w:bCs w:val="0"/>
          <w:color w:val="000000"/>
          <w:sz w:val="24"/>
          <w:szCs w:val="24"/>
          <w:highlight w:val="none"/>
          <w:lang w:val="en-US" w:eastAsia="zh-CN"/>
        </w:rPr>
        <w:t xml:space="preserve">3</w:t>
      </w:r>
      <w:r>
        <w:rPr>
          <w:rFonts w:hint="eastAsia" w:ascii="宋体" w:hAnsi="宋体" w:eastAsia="宋体" w:cs="Times New Roman"/>
          <w:bCs w:val="0"/>
          <w:color w:val="000000"/>
          <w:sz w:val="24"/>
          <w:szCs w:val="24"/>
          <w:highlight w:val="none"/>
          <w:lang w:val="en-US" w:eastAsia="zh-CN"/>
        </w:rPr>
        <w:t xml:space="preserve"> 《档号编制规则》</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18-202</w:t>
      </w:r>
      <w:r>
        <w:rPr>
          <w:rFonts w:hint="eastAsia" w:ascii="宋体" w:hAnsi="宋体" w:cs="Times New Roman"/>
          <w:bCs w:val="0"/>
          <w:color w:val="000000"/>
          <w:sz w:val="24"/>
          <w:szCs w:val="24"/>
          <w:highlight w:val="none"/>
          <w:lang w:val="en-US" w:eastAsia="zh-CN"/>
        </w:rPr>
        <w:t xml:space="preserve">3</w:t>
      </w:r>
      <w:r>
        <w:rPr>
          <w:rFonts w:hint="eastAsia" w:ascii="宋体" w:hAnsi="宋体" w:eastAsia="宋体" w:cs="Times New Roman"/>
          <w:bCs w:val="0"/>
          <w:color w:val="000000"/>
          <w:sz w:val="24"/>
          <w:szCs w:val="24"/>
          <w:highlight w:val="none"/>
          <w:lang w:val="en-US" w:eastAsia="zh-CN"/>
        </w:rPr>
        <w:t xml:space="preserve"> 《档案著录规则》</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22-2015 《归档文件整理规则》</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31-2017 《纸质档案数字化规范》</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46-2009 《文书类电子文件元数据方案》</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50-2014 《数码照片归档与管理规范》</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54-2014 《照片类电子档案元数据方案》</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56-2014 《档案信息系统运行维护规范》</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DA/T 57-2014 《档案关系型数据库转换为XML文件的技术规范》</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关于加强和改进新形势下档案工作的意见 （中办发〔2014〕15号）</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关于进一步加强档案安全工作的意见 （档发〔2016〕6号）</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江苏省“十四五”档案事业发展规划</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《企业档案管理规范》21号令</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《机关档案管理规定》（国家档案局令13号）</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中央办公厅、国务院办公厅《关于加强和改进新形势下档案工作的意见》（中办发〔2014〕15 号）</w:t>
      </w:r>
      <w:r/>
    </w:p>
    <w:p>
      <w:pPr>
        <w:ind w:firstLine="480"/>
        <w:spacing w:line="264" w:lineRule="auto"/>
        <w:rPr>
          <w:rFonts w:hint="eastAsia"/>
          <w:color w:val="000000"/>
          <w:highlight w:val="none"/>
          <w:lang w:eastAsia="zh-CN"/>
        </w:rPr>
      </w:pPr>
      <w:r>
        <w:rPr>
          <w:rFonts w:hint="eastAsia" w:ascii="黑体" w:hAnsi="黑体" w:eastAsia="黑体" w:cs="黑体"/>
          <w:color w:val="000000"/>
          <w:sz w:val="24"/>
          <w:szCs w:val="24"/>
          <w:highlight w:val="none"/>
          <w:lang w:val="en-US" w:eastAsia="zh-CN"/>
        </w:rPr>
        <w:t xml:space="preserve">三、项目</w:t>
      </w:r>
      <w:r>
        <w:rPr>
          <w:rFonts w:hint="eastAsia" w:ascii="黑体" w:hAnsi="黑体" w:eastAsia="黑体" w:cs="黑体"/>
          <w:color w:val="000000"/>
          <w:sz w:val="24"/>
          <w:szCs w:val="24"/>
          <w:highlight w:val="none"/>
          <w:lang w:eastAsia="zh-CN"/>
        </w:rPr>
        <w:t xml:space="preserve">清单</w:t>
      </w:r>
      <w:r/>
    </w:p>
    <w:tbl>
      <w:tblPr>
        <w:tblStyle w:val="1049"/>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0"/>
        <w:gridCol w:w="2048"/>
        <w:gridCol w:w="631"/>
        <w:gridCol w:w="769"/>
        <w:gridCol w:w="1164"/>
        <w:gridCol w:w="1580"/>
        <w:gridCol w:w="1580"/>
        <w:gridCol w:w="1224"/>
      </w:tblGrid>
      <w:tr>
        <w:trPr>
          <w:jc w:val="center"/>
          <w:trHeight w:val="456"/>
        </w:trPr>
        <w:tc>
          <w:tcPr>
            <w:tcW w:w="3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p>
        </w:tc>
        <w:tc>
          <w:tcPr>
            <w:tcW w:w="104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p>
        </w:tc>
        <w:tc>
          <w:tcPr>
            <w:tcW w:w="32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p>
        </w:tc>
        <w:tc>
          <w:tcPr>
            <w:tcW w:w="3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p>
        </w:tc>
        <w:tc>
          <w:tcPr>
            <w:tcW w:w="59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产品类型</w:t>
            </w:r>
            <w:r/>
          </w:p>
        </w:tc>
        <w:tc>
          <w:tcPr>
            <w:tcW w:w="809" w:type="dxa"/>
            <w:vAlign w:val="center"/>
            <w:textDirection w:val="lrTb"/>
            <w:noWrap w:val="false"/>
          </w:tcPr>
          <w:p>
            <w:pPr>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单价上限（元）</w:t>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p>
        </w:tc>
        <w:tc>
          <w:tcPr>
            <w:tcW w:w="6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属性</w:t>
            </w:r>
            <w:r/>
          </w:p>
        </w:tc>
      </w:tr>
      <w:tr>
        <w:trPr>
          <w:jc w:val="center"/>
          <w:trHeight w:val="676"/>
        </w:trPr>
        <w:tc>
          <w:tcPr>
            <w:tcW w:w="3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1049" w:type="dxa"/>
            <w:vAlign w:val="center"/>
            <w:textDirection w:val="lrTb"/>
            <w:noWrap w:val="false"/>
          </w:tcPr>
          <w:p>
            <w:pPr>
              <w:keepLines w:val="0"/>
              <w:keepNext w:val="0"/>
              <w:pageBreakBefore w:val="0"/>
              <w:spacing w:line="264" w:lineRule="auto"/>
              <w:widowControl/>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数字档案综合管理系统</w:t>
            </w:r>
            <w:r/>
          </w:p>
        </w:tc>
        <w:tc>
          <w:tcPr>
            <w:tcW w:w="32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p>
        </w:tc>
        <w:tc>
          <w:tcPr>
            <w:tcW w:w="3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p>
        </w:tc>
        <w:tc>
          <w:tcPr>
            <w:tcW w:w="59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主要产品</w:t>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p>
        </w:tc>
        <w:tc>
          <w:tcPr>
            <w:tcW w:w="6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p>
        </w:tc>
      </w:tr>
      <w:tr>
        <w:trPr>
          <w:jc w:val="center"/>
          <w:trHeight w:val="676"/>
        </w:trPr>
        <w:tc>
          <w:tcPr>
            <w:tcW w:w="3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p>
        </w:tc>
        <w:tc>
          <w:tcPr>
            <w:tcW w:w="1049" w:type="dxa"/>
            <w:vAlign w:val="center"/>
            <w:textDirection w:val="lrTb"/>
            <w:noWrap w:val="false"/>
          </w:tcPr>
          <w:p>
            <w:pPr>
              <w:jc w:val="left"/>
              <w:spacing w:before="0" w:beforeAutospacing="0" w:after="0" w:afterAutospacing="0"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OA办公系统对接</w:t>
            </w:r>
            <w:r/>
          </w:p>
        </w:tc>
        <w:tc>
          <w:tcPr>
            <w:tcW w:w="32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p>
        </w:tc>
        <w:tc>
          <w:tcPr>
            <w:tcW w:w="3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p>
        </w:tc>
        <w:tc>
          <w:tcPr>
            <w:tcW w:w="596" w:type="dxa"/>
            <w:vAlign w:val="center"/>
            <w:textDirection w:val="lrTb"/>
            <w:noWrap w:val="false"/>
          </w:tcPr>
          <w:p>
            <w:pPr>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p>
        </w:tc>
        <w:tc>
          <w:tcPr>
            <w:tcW w:w="6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p>
        </w:tc>
      </w:tr>
      <w:tr>
        <w:trPr>
          <w:jc w:val="center"/>
          <w:trHeight w:val="676"/>
        </w:trPr>
        <w:tc>
          <w:tcPr>
            <w:tcW w:w="3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p>
        </w:tc>
        <w:tc>
          <w:tcPr>
            <w:tcW w:w="1049" w:type="dxa"/>
            <w:vAlign w:val="center"/>
            <w:textDirection w:val="lrTb"/>
            <w:noWrap w:val="false"/>
          </w:tcPr>
          <w:p>
            <w:pPr>
              <w:jc w:val="left"/>
              <w:spacing w:before="0" w:beforeAutospacing="0" w:after="0" w:afterAutospacing="0"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单点登录</w:t>
            </w:r>
            <w:r/>
          </w:p>
        </w:tc>
        <w:tc>
          <w:tcPr>
            <w:tcW w:w="32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p>
        </w:tc>
        <w:tc>
          <w:tcPr>
            <w:tcW w:w="3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p>
        </w:tc>
        <w:tc>
          <w:tcPr>
            <w:tcW w:w="596" w:type="dxa"/>
            <w:vAlign w:val="center"/>
            <w:textDirection w:val="lrTb"/>
            <w:noWrap w:val="false"/>
          </w:tcPr>
          <w:p>
            <w:pPr>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p>
        </w:tc>
        <w:tc>
          <w:tcPr>
            <w:tcW w:w="6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服务</w:t>
            </w:r>
            <w:r/>
          </w:p>
        </w:tc>
      </w:tr>
      <w:tr>
        <w:trPr>
          <w:jc w:val="center"/>
          <w:trHeight w:val="676"/>
        </w:trPr>
        <w:tc>
          <w:tcPr>
            <w:tcW w:w="3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p>
        </w:tc>
        <w:tc>
          <w:tcPr>
            <w:tcW w:w="1049" w:type="dxa"/>
            <w:vAlign w:val="center"/>
            <w:textDirection w:val="lrTb"/>
            <w:noWrap w:val="false"/>
          </w:tcPr>
          <w:p>
            <w:pPr>
              <w:jc w:val="left"/>
              <w:spacing w:before="0" w:beforeAutospacing="0" w:after="0" w:afterAutospacing="0"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数据迁移</w:t>
            </w:r>
            <w:r/>
          </w:p>
        </w:tc>
        <w:tc>
          <w:tcPr>
            <w:tcW w:w="32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p>
        </w:tc>
        <w:tc>
          <w:tcPr>
            <w:tcW w:w="3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p>
        </w:tc>
        <w:tc>
          <w:tcPr>
            <w:tcW w:w="596" w:type="dxa"/>
            <w:vAlign w:val="center"/>
            <w:textDirection w:val="lrTb"/>
            <w:noWrap w:val="false"/>
          </w:tcPr>
          <w:p>
            <w:pPr>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rPr>
            </w:pPr>
            <w:r>
              <w:rPr>
                <w:rFonts w:ascii="宋体" w:hAnsi="宋体" w:eastAsia="宋体" w:cs="Times New Roman"/>
                <w:bCs/>
                <w:color w:val="000000"/>
                <w:sz w:val="24"/>
                <w:szCs w:val="24"/>
                <w:highlight w:val="none"/>
                <w:lang w:val="en-US"/>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p>
        </w:tc>
        <w:tc>
          <w:tcPr>
            <w:tcW w:w="6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服务</w:t>
            </w:r>
            <w:r/>
          </w:p>
        </w:tc>
      </w:tr>
      <w:tr>
        <w:trPr>
          <w:jc w:val="center"/>
          <w:trHeight w:val="676"/>
        </w:trPr>
        <w:tc>
          <w:tcPr>
            <w:tcW w:w="3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p>
        </w:tc>
        <w:tc>
          <w:tcPr>
            <w:tcW w:w="1049"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服务器</w:t>
            </w:r>
            <w:r/>
          </w:p>
        </w:tc>
        <w:tc>
          <w:tcPr>
            <w:tcW w:w="32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p>
        </w:tc>
        <w:tc>
          <w:tcPr>
            <w:tcW w:w="3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p>
        </w:tc>
        <w:tc>
          <w:tcPr>
            <w:tcW w:w="596" w:type="dxa"/>
            <w:vAlign w:val="center"/>
            <w:textDirection w:val="lrTb"/>
            <w:noWrap w:val="false"/>
          </w:tcPr>
          <w:p>
            <w:pPr>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rPr>
            </w:pPr>
            <w:r>
              <w:rPr>
                <w:rFonts w:ascii="宋体" w:hAnsi="宋体" w:eastAsia="宋体" w:cs="Times New Roman"/>
                <w:bCs/>
                <w:color w:val="000000"/>
                <w:sz w:val="24"/>
                <w:szCs w:val="24"/>
                <w:highlight w:val="none"/>
                <w:lang w:val="en-US"/>
              </w:rPr>
            </w:r>
            <w:r/>
          </w:p>
        </w:tc>
        <w:tc>
          <w:tcPr>
            <w:tcW w:w="809" w:type="dxa"/>
            <w:vAlign w:val="center"/>
            <w:textDirection w:val="lrTb"/>
            <w:noWrap w:val="false"/>
          </w:tcPr>
          <w:p>
            <w:pPr>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60000</w:t>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p>
        </w:tc>
        <w:tc>
          <w:tcPr>
            <w:tcW w:w="6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货物</w:t>
            </w:r>
            <w:r/>
          </w:p>
        </w:tc>
      </w:tr>
      <w:tr>
        <w:trPr>
          <w:jc w:val="center"/>
          <w:trHeight w:val="680"/>
        </w:trPr>
        <w:tc>
          <w:tcPr>
            <w:tcW w:w="3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p>
        </w:tc>
        <w:tc>
          <w:tcPr>
            <w:tcW w:w="1049" w:type="dxa"/>
            <w:vAlign w:val="center"/>
            <w:textDirection w:val="lrTb"/>
            <w:noWrap w:val="false"/>
          </w:tcPr>
          <w:p>
            <w:pPr>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软件运维</w:t>
            </w:r>
            <w:r/>
          </w:p>
        </w:tc>
        <w:tc>
          <w:tcPr>
            <w:tcW w:w="32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p>
        </w:tc>
        <w:tc>
          <w:tcPr>
            <w:tcW w:w="3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p>
        </w:tc>
        <w:tc>
          <w:tcPr>
            <w:tcW w:w="59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8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p>
        </w:tc>
        <w:tc>
          <w:tcPr>
            <w:tcW w:w="6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服务</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bookmarkStart w:id="20" w:name="_Toc120614281"/>
      <w:r>
        <w:rPr>
          <w:rFonts w:hint="eastAsia" w:ascii="宋体" w:hAnsi="宋体" w:eastAsia="宋体" w:cs="宋体"/>
          <w:bCs/>
          <w:color w:val="000000"/>
          <w:sz w:val="24"/>
          <w:szCs w:val="24"/>
          <w:highlight w:val="none"/>
        </w:rPr>
        <w:t xml:space="preserve">（一）技术要求</w:t>
      </w:r>
      <w:r/>
    </w:p>
    <w:p>
      <w:pPr>
        <w:pStyle w:val="945"/>
        <w:rPr>
          <w:rFonts w:eastAsia="宋体"/>
          <w:b/>
          <w:bCs/>
          <w:color w:val="000000"/>
          <w:sz w:val="24"/>
          <w:szCs w:val="24"/>
          <w:highlight w:val="none"/>
          <w:lang w:val="en-US" w:eastAsia="zh-CN"/>
        </w:rPr>
      </w:pPr>
      <w:r>
        <w:rPr>
          <w:rFonts w:hint="eastAsia" w:eastAsia="宋体"/>
          <w:b/>
          <w:bCs/>
          <w:color w:val="000000"/>
          <w:sz w:val="24"/>
          <w:szCs w:val="24"/>
          <w:highlight w:val="none"/>
          <w:lang w:val="en-US" w:eastAsia="zh-CN"/>
        </w:rPr>
        <w:t xml:space="preserve"> 软件技术要求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数字档案综合管理系统应提供的主要业务功能包括：平台概览、文件管理、档案管理、资料管理、档案鉴定、档案保管、档案利用、档案统计、系统管理。同时应提供智能分类、智能操作引导、业务指导、工作流程定义等特色化功能，以适应南京市第一医院档案管理需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1、平台概览</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平台概览中应支持对室藏档案数量、本年度归档数量、本月借阅数量、本年度移交数量，以及归档情况统计、本室数量统计的查看。并应提供通知公告、个人待办任务功能。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1.1通知公告：平台概览中应支持平台公告和系统公告的信息浏览。</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1.2个人待办任务：平台概览中应支持待办审批任务的浏览和办理。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2、文件管理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2.1电子文件管理：提供电子文件新增、删除、修改、导入、导出、附件上传、附件预览、附件批量上传、批量处理、预归档、组合检索等功能。档案员可在此对电子文件进行录入并初步整理，接收电子文件。</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2.2电子文件借阅：支持电子文件借阅，并提供借阅的电子文件以及借阅历史查看功能。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2.3数据变动记录：支持对电子文件数据变动记录进行查看。</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2.4回收站：管理在文件管理模块中删除的电子文件，支持还原和彻底删除。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3、档案管理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3.1预归档管理：支持智能分类、手工分类、排序、修改、附件上传、附件预览、生成件号、四性检测、归档章、归档、打印归档登记表、批量处理等功能，实现预归档整理。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智能分类：系统支持嵌入三合一制度。在预归档管理模块中，可根据电子文件内容、档案分类方案、保管期限表自动划定电子文件分类以及电子文件的保管期限。自动分类程序要基于机器学习和文本分析技术，可通过不断学习，优化分类结果。</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3.3档案采集：提供档案新增、修改、删除、导入、导出、附件上传、附件预览、归档等功能。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档案库：档案库提供档案条目新增、删除、修改、导入、导出、附件上传、附件预览、附件批量上传、批量处理、组合检索、打印等功能，并提供元数据编辑、封包维护、四性检测、合并档案、插入归档章、移除归档章、附件名更名、附件清除功能。档案员可在此对档案库档案进行维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3.4.1数据录入：数据录入时可根据国家和我省档案著录规范的著录项进行验证。提供档案录入模板的自定义功能，增加系统的适应性。</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3.4.2目录导入：支持设置档案导入的匹配规则，根据匹配规则对导入目录进行校验，验证失败的数据不可导入，可生成导入失败报表，提示用户导入失败原因，用户可以在报表上修改导入失败的数据，再次导入。数据导入时需记录导入日志，可根据导入日志撤销导入操作，将导入的数据整批删除掉。数据导入需支持EXCEL、TXT、MDB、DBF等主流数据文件格式。数据导入需支持追加、跳过、覆盖三种模式。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3.4.3原文批量挂接：支持各种类型电子文件批量上传挂接；支持整个文件夹不限目录层次的文件批量上传操作。支持同一档案条目的多附件批量挂接。</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3.4.4批量处理：具备满足大批量数据维护的功能，批量修改、批量替换、批量导出、批量格式化、批量删除、字段合并、字段拆分。既可以批量处理选择的一批数据，也可以批量处理检索的整批数据。批量处理的数据可以通过日志撤销，批量删除的数据可以在回收站恢复。</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3.4.5目录打印：提供案卷目录、卷内目录、文件级目录、档案盒封面、背脊的多种格式打印功能，打印样式可以使用EXCEL进行定制。</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3.4.6元数据编辑：支持对档案条目元数据进行编辑。</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3.5</w:t>
      </w:r>
      <w:r>
        <w:rPr>
          <w:rFonts w:ascii="宋体" w:hAnsi="宋体" w:eastAsia="宋体" w:cs="宋体"/>
          <w:color w:val="000000"/>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智能操作引导：在档案库模块为数据导入/导出、组件批量上传、打印、检索等日常档案工作提供一步一步的操作向导指引。</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3.6划控档案：提供档案开放审核功能，支持按工作流开展档案划控工作，支持已开放档案、划控结果查看。</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3.7档案移交：在档案移交之前，档案员需先将要移交的档案生成档案信息包并进行移交前的四性检测，通过后再进行离线移交，将档案信息导出移交给所属档案馆。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3.8业务指导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业务指导应支持在线浏览电子文件数据、档案数据，专职档案员可发现兼职档案员医院档案整理存在问题并在线给予指正，兼职档案员可对专职档案员业务指导发现的问题及时进行整改和反馈。</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3.9档案年报</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系统应根据国家标准提供自动统计上报数据的各项成果并辅以标准化格式录入的方式，提供档案年报功能。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3.10元数据检索：应提供元数据检索功能。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3.11数据变动记录：应支持对档案库档案数据变动记录进行查看。</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3.12数据导入历史：应支持查看数据导入历史，并支持根据该历史撤销数据导入。</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3.13数据批量处理历史：应支持查看数据批量处理历史，并支持根据该历史撤销数据批量处理。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3.14回收站：通过回收站，对在档案整理过程中删除的数据进行还原或彻底删除，避免因误操作造成的数据丢失。</w:t>
      </w:r>
      <w:r/>
    </w:p>
    <w:p>
      <w:pPr>
        <w:ind w:firstLine="480"/>
        <w:keepLines w:val="0"/>
        <w:keepNext w:val="0"/>
        <w:pageBreakBefore w:val="0"/>
        <w:spacing w:line="264" w:lineRule="auto"/>
        <w:widowControl w:val="off"/>
        <w:rPr>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3.15 支持通过OCR文件内容识别功能，对系统内涉密文件进行甄别与预警。</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4、资料管理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4.1资料登记：应支持对期刊、报纸、论文等资料进行维护，提供新增、导入、导出、删除等操作功能。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4.2资料借阅：支持对资料借阅信息登记。</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4.3下载中心：提供下载中心功能，可供单位用户进行文件下载。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5、档案鉴定</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鉴定档案：提供档案的价值鉴定，确定档案保管年限。可通过预先设置的条件自动检索出到期的档案，由鉴定人对档案价值进行预估，对需继续保管的档案进行保管期限提升处理。可查看档案鉴定结果，并支持在审批过程中批量或单个进行保管期限调整，并留存档案鉴定业务工作日志。支持对已销毁档案、鉴定结果查看</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6、档案保管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6.1存储管理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应提供系统电子文件挂接存储数量、路径、总大小、剩余空间等信息显示功能。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6.2库房管理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6.2.1库房定义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应提供虚拟化库房的初始化和自定义配置功能，如虚拟化库房的创建、密集架创建、层号设置等。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6.2.2虚拟库房管理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系统应提供二维库房的浏览查询功能，包括库房的基本信息查看、架位信息查看。</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6.3档案上架</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在库房初始化完成后，可进行档案上架，并支持对上架情况查看功能，实现档案实体与库房存址关联。</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6.4温湿度登记</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系统应提供温湿度登记功能，支持登记库房的温湿度信息。</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6.5档案导出</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档案导出应提供逐类别导出以及跨类别导出功能。通过逐类别导出，可以将某一类别档案数据导出；通过跨类别导出，可以将多个类别的档案数据统一导出，可以选择只导目录数据或者目录+原文或直接导出电子档案封装包。</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6.6库房索引图</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支持库房索引图上传及查看。</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7、档案利用</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7.1档案检索</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系统应提供多种检索方式。对于档案目录，支持多字段组合式检索、跨类别模糊检索、逐类别精确检索，并支持全文检索，全文检索结果标注定位，支持将档案检索结果加入查档车。</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7.2</w:t>
      </w:r>
      <w:r>
        <w:rPr>
          <w:rFonts w:ascii="宋体" w:hAnsi="宋体" w:eastAsia="宋体" w:cs="宋体"/>
          <w:color w:val="000000"/>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档案借阅</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应支持档案借阅功能，包括实体档案借阅和电子档案借阅。支持档案实体借阅登记。医院用户首先检索档案目录，当用户检索到所需的档案数据后，发起电子档案借阅申请，按照预先设置的工作流审批通过后，审批通过后即可对档案进行利用。电子档案借阅支持对电子文件浏览、打印、下载权限进行设置，并支持对打印、下载的原文水印功能，支持审批时对电子原文进行内容屏蔽、页码授权设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7.3智能编研</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系统需支持智能化辅助编研功能，支持设置编研主题及关键词，系统能够通过编研关键词智能推荐档案库中相关档案数据辅助编研。提供素材库管理、编研制作、编研成果功能。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7.4大事记</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可登记每天发生的大事。采用三段式（时间、内容、备注）登记大事信息。当大事积累满一年后，可将整年的大事按照一定的格式导出成word文件。</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7.5专题数据库管理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应提供专题数据库管理功能，支持对专题数据库中的档案导入、导出、编辑、组件批量挂接、批量处理、删除等功能。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7.6内部查档</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紧急查档情况下，需提供内部查档专属功能通道，可跳过正常的登记流程。只需填写查档人姓名、查档人联系信息，然后就可以进入档案查询模块，可在档案查询利用业务完毕后，再补充查档登记信息。</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7.7单位内公开档案</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单位内公开档案可通过关键词对责任者、档案题名、成文日期等信息进行检索，并提供高级组合检索，支持用户设置复杂检索条件，进行公开档案检索。</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8、档案统计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8.1室藏数量统计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应提供室藏数量统计功能，按照门类、归档年度、保管期限、机构或问题、电子文件全文大小等多种维度统计档案数据。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8.2归档情况统计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应提供归档情况统计功能，按照归档年度、本年按月份、本年度环比、本年度归档门类、本年度保管期限、本年度机构或问题等多维度统计归档情况。</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8.3档案利用统计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应提供档案利用统计功能，按照利用年份、本年度月份、利用门类、利用目的、利用方式、利用效果等多维度对利用数据进行统计。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8.4划控鉴定统计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应提供划控鉴定统计功能，按照逐年开放数量、开放比例、完成比例、逐年鉴定数量、销毁比例、完成比例等多维度对档案划控鉴定情况进行统计。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8.5移交情况统计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应提供移交情况统计功能，按照逐年移交情况、移交比例等多维度对档案移交情况进行统计。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8.6系统满意度统计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应提供系统满意度统计功能，按照非常满意、基本满意、不满意等维度统计数据，对不满意的情况进行针对性改进。</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9、系统管理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9.1部门用户管理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维护单位组织架构和用户信息，系统在支持用户口令的基础上也可支持数字证书用户认证。可登记和维护立档单位信息，包括单位名称、编号、状态（正常、停用）、信用代码、全宗号等信息。</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9.2角色管理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系统要具备“三员管理机制”，即系统管理员、安全管理员、安全审计员。三者权限互相独立，互不交叉，不可访问档案数据。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9.3档案门类管理：可对文书、照片、视频、社保等档案门类进行维护，可根据新的档案业务需求添加档案类别。要定制档案类别的著录字段信息，字段定制内容包括：名称、别名、类型、长度、可见性、可否排序、可否检索、数据字段项、录入验证信息、格式转换信息、流水生成规则、自动合并规则等，并支持对著录项的数据类型、录入方式、检索方式、检索界面、档号生成规则等进行定制，并支持表单设置、打印模板设置、元数据定义设置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9.4打印模板配置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需提供打印模板配置自定义功能。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9.5数据字典</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对系统数据字典进行维护，可对保管期限、密级等枚举选项进行维护。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9.6工作流程定义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工作流定义模块维护档案划控、鉴定、借阅等工作流程，支持可视化修改，并支持指定业务节点的操作人、操作角色。</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9.7</w:t>
      </w:r>
      <w:r>
        <w:rPr>
          <w:rFonts w:ascii="宋体" w:hAnsi="宋体" w:eastAsia="宋体" w:cs="宋体"/>
          <w:color w:val="000000"/>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分类方案保管期限处置表设置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可对分类方案保管期限处置表进行维护，系统支持导入方式快速生成保管期限表。同时可以设置分类规则，系统在电子文件预归档时，可以根据分类规则进行自动分类操作。，支持就已划分保管期限档案数据进行训练，提高自动分类精度。</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9.8</w:t>
      </w:r>
      <w:r>
        <w:rPr>
          <w:rFonts w:ascii="宋体" w:hAnsi="宋体" w:eastAsia="宋体" w:cs="宋体"/>
          <w:color w:val="000000"/>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四性检测指标管理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支持对四性检测中的检测指标进行管理，可以根据档案门类、处理阶段（归档、移交接收等）等制定四性检测指标，能够在标准规则的基础上根据实际业务开展需要进行自定义管理。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9.9日志审计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对系统所有涉及数据变更操作记录日志，可全过程记录用户在档案系统的所有操作，支持检索所有系统用户对系统的任何操作信息。</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9.10定时任务管理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通过定时任务管理，管理系统的各个定时任务。支持通过定时任务对档案数据进行备份</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9.11类别授权</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可将不同门类的档案划分给不同用户进行维护，例如文书档案由档案管理部门维护、会计档案由财务部门维护。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9.12公告管理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支持对单位公告或者系统公告进行管理。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9.13存储设置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支持对系统附件存储路径进行设置。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9.14格式自动转换</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支持对附件格式进行转换，转换为pdf格式。</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9.15文件类别管理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支持电子文件类别及其字段、表单、打印模版等进行维护。</w:t>
      </w:r>
      <w:r/>
    </w:p>
    <w:p>
      <w:pPr>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b/>
          <w:bCs/>
          <w:color w:val="000000"/>
          <w:sz w:val="24"/>
          <w:szCs w:val="24"/>
          <w:highlight w:val="none"/>
          <w:lang w:val="en-US" w:eastAsia="zh-CN"/>
        </w:rPr>
        <w:t xml:space="preserve"> 硬件技术要求</w:t>
      </w:r>
      <w:r/>
    </w:p>
    <w:tbl>
      <w:tblPr>
        <w:tblStyle w:val="760"/>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57"/>
        <w:gridCol w:w="1657"/>
        <w:gridCol w:w="6644"/>
      </w:tblGrid>
      <w:tr>
        <w:trPr>
          <w:trHeight w:val="330"/>
        </w:trPr>
        <w:tc>
          <w:tcPr>
            <w:tcW w:w="471" w:type="dxa"/>
            <w:vAlign w:val="center"/>
            <w:textDirection w:val="lrTb"/>
            <w:noWrap w:val="false"/>
          </w:tcPr>
          <w:p>
            <w:pPr>
              <w:jc w:val="center"/>
              <w:keepLines w:val="0"/>
              <w:keepNext w:val="0"/>
              <w:spacing w:after="5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W w:w="774" w:type="dxa"/>
            <w:vAlign w:val="center"/>
            <w:textDirection w:val="lrTb"/>
            <w:noWrap w:val="false"/>
          </w:tcPr>
          <w:p>
            <w:pPr>
              <w:jc w:val="center"/>
              <w:keepLines w:val="0"/>
              <w:keepNext w:val="0"/>
              <w:spacing w:after="5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技术指标</w:t>
            </w:r>
            <w:r/>
          </w:p>
        </w:tc>
        <w:tc>
          <w:tcPr>
            <w:tcW w:w="3753" w:type="dxa"/>
            <w:vAlign w:val="center"/>
            <w:textDirection w:val="lrTb"/>
            <w:noWrap w:val="false"/>
          </w:tcPr>
          <w:p>
            <w:pPr>
              <w:jc w:val="center"/>
              <w:keepLines w:val="0"/>
              <w:keepNext w:val="0"/>
              <w:spacing w:after="5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r>
      <w:tr>
        <w:trPr>
          <w:trHeight w:val="3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p>
        </w:tc>
        <w:tc>
          <w:tcPr>
            <w:tcW w:w="774" w:type="dxa"/>
            <w:vAlign w:val="center"/>
            <w:textDirection w:val="lrTb"/>
            <w:noWrap w:val="false"/>
          </w:tcPr>
          <w:p>
            <w:pPr>
              <w:ind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品牌要求</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产品自主研发和生产，非OEM产品。</w:t>
            </w:r>
            <w:r/>
          </w:p>
        </w:tc>
      </w:tr>
      <w:tr>
        <w:trPr>
          <w:trHeight w:val="33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p>
        </w:tc>
        <w:tc>
          <w:tcPr>
            <w:tcW w:w="774"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机型</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2U机架式服务器，配置导轨。</w:t>
            </w:r>
            <w:r/>
          </w:p>
        </w:tc>
      </w:tr>
      <w:tr>
        <w:trPr>
          <w:trHeight w:val="33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p>
        </w:tc>
        <w:tc>
          <w:tcPr>
            <w:tcW w:w="774"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★处理器</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配置≥2颗国产CPU,每颗CPU核心数≥16核,每颗CPU主频≥2.5GHz。</w:t>
            </w:r>
            <w:r/>
          </w:p>
        </w:tc>
      </w:tr>
      <w:tr>
        <w:trPr>
          <w:trHeight w:val="99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p>
        </w:tc>
        <w:tc>
          <w:tcPr>
            <w:tcW w:w="774"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内存</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配置≥64GB 3200MHz DDR4内存；</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可扩展≥16个内存插槽，支持最大容量2TB，支持内存纠错等高级功能；</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▲签订合同时提供内存ECC功能测试方法的第三方权威机构证明材料。</w:t>
            </w:r>
            <w:r/>
          </w:p>
        </w:tc>
      </w:tr>
      <w:tr>
        <w:trPr>
          <w:trHeight w:val="9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p>
        </w:tc>
        <w:tc>
          <w:tcPr>
            <w:tcW w:w="774"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硬盘</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配置≥3块16T SATA硬盘  2块480G SATA SSD；</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最大可支持前置≥12块硬盘+4块后置硬盘+内置2块M.2 SSD硬盘，前置支持SAS/SATA/NVMe硬盘混插；其中NVMe 硬盘可支持 ≥ 8块。</w:t>
            </w:r>
            <w:r/>
          </w:p>
        </w:tc>
      </w:tr>
      <w:tr>
        <w:trPr>
          <w:trHeight w:val="6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p>
        </w:tc>
        <w:tc>
          <w:tcPr>
            <w:tcW w:w="774" w:type="dxa"/>
            <w:vAlign w:val="center"/>
            <w:textDirection w:val="lrTb"/>
            <w:noWrap w:val="false"/>
          </w:tcPr>
          <w:p>
            <w:pPr>
              <w:ind w:firstLine="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硬盘控制器</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配置与服务器同品牌RAID阵列卡，支持RAID 0/1/10/50等，可配置≥2GB Cache；</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▲签订合同时提供快速RAID5恢复方法的第三方权威机构证明材料。</w:t>
            </w:r>
            <w:r/>
          </w:p>
        </w:tc>
      </w:tr>
      <w:tr>
        <w:trPr>
          <w:trHeight w:val="117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p>
        </w:tc>
        <w:tc>
          <w:tcPr>
            <w:tcW w:w="774"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网卡</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板载≥2个千兆以太网RJ45接口，双口万兆网卡，且采用国产网络芯片， 支持NC-SI、网络唤醒、边带管理等功能，板载1个千兆管理专用以太网口。</w:t>
            </w:r>
            <w:r/>
          </w:p>
        </w:tc>
      </w:tr>
      <w:tr>
        <w:trPr>
          <w:trHeight w:val="3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p>
        </w:tc>
        <w:tc>
          <w:tcPr>
            <w:tcW w:w="774" w:type="dxa"/>
            <w:vAlign w:val="center"/>
            <w:textDirection w:val="lrTb"/>
            <w:noWrap w:val="false"/>
          </w:tcPr>
          <w:p>
            <w:pPr>
              <w:ind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扩展插槽</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最大可支持≥5个标准PCIe 4.0插槽（不含Storage专用插槽和OCP插槽）。</w:t>
            </w:r>
            <w:r/>
          </w:p>
        </w:tc>
      </w:tr>
      <w:tr>
        <w:trPr>
          <w:trHeight w:val="3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w:t>
            </w:r>
            <w:r/>
          </w:p>
        </w:tc>
        <w:tc>
          <w:tcPr>
            <w:tcW w:w="774"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IO接口</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板载≥4个USB接口，其中USB3.0≥3个；≥2个VGA接口（前后面板各1个）。</w:t>
            </w:r>
            <w:r/>
          </w:p>
        </w:tc>
      </w:tr>
      <w:tr>
        <w:trPr>
          <w:trHeight w:val="33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w:t>
            </w:r>
            <w:r/>
          </w:p>
        </w:tc>
        <w:tc>
          <w:tcPr>
            <w:tcW w:w="774"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风扇</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配置≥2个800W热插拔冗余电源模块，配置≥4个热插拔冗余风扇，支持1+1冗余。 </w:t>
            </w:r>
            <w:r/>
          </w:p>
        </w:tc>
      </w:tr>
      <w:tr>
        <w:trPr>
          <w:trHeight w:val="3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w:t>
            </w:r>
            <w:r/>
          </w:p>
        </w:tc>
        <w:tc>
          <w:tcPr>
            <w:tcW w:w="774"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支持TCM和TPM安全模块；配置机箱入侵检测，在外部打开机箱盖时提供报警功能。</w:t>
            </w:r>
            <w:r/>
          </w:p>
        </w:tc>
      </w:tr>
      <w:tr>
        <w:trPr>
          <w:trHeight w:val="6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w:t>
            </w:r>
            <w:r/>
          </w:p>
        </w:tc>
        <w:tc>
          <w:tcPr>
            <w:tcW w:w="774"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故障诊断</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主机前面板提供故障诊断功能，具有对系统/内存/电源/风扇/温度/网络/硬盘等关键部件的故障诊断报警功能；能够分别提示硬盘故障、系统运行故障、风扇及温度故障、网络故障、内存故障和电源故障。</w:t>
            </w:r>
            <w:r/>
          </w:p>
        </w:tc>
      </w:tr>
      <w:tr>
        <w:trPr>
          <w:trHeight w:val="15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w:t>
            </w:r>
            <w:r/>
          </w:p>
        </w:tc>
        <w:tc>
          <w:tcPr>
            <w:tcW w:w="774"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▲系统维护</w:t>
            </w:r>
            <w:r/>
          </w:p>
        </w:tc>
        <w:tc>
          <w:tcPr>
            <w:tcW w:w="3753" w:type="dxa"/>
            <w:vAlign w:val="top"/>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提供同品牌自主研发的服务器管理套件，支持提供资产管理、智能监控、能耗管理、自动巡检与报修等功能；</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支持自定义首页，满足用户对数据中心Top告警、设备健康状态、机房温度趋势、部件健康状态、仓库文件统计、过保统计等自定义展示需求，并提供管理界面截图证明；</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支持3D数据中心设备详细信息展示，支持3D视图固定视角，3D视图、2D视图自由切换，支持数据中心缩略图功能；</w:t>
            </w:r>
            <w:r>
              <w:rPr>
                <w:rFonts w:hint="eastAsia" w:ascii="宋体" w:hAnsi="宋体" w:eastAsia="宋体" w:cs="Times New Roman"/>
                <w:color w:val="000000"/>
                <w:sz w:val="24"/>
                <w:szCs w:val="24"/>
                <w:highlight w:val="none"/>
                <w:lang w:val="en-US" w:eastAsia="zh-CN"/>
              </w:rPr>
              <w:t xml:space="preserve">签订合同时</w:t>
            </w:r>
            <w:r>
              <w:rPr>
                <w:rFonts w:hint="eastAsia" w:ascii="宋体" w:hAnsi="宋体" w:eastAsia="宋体" w:cs="Times New Roman"/>
                <w:color w:val="000000"/>
                <w:sz w:val="24"/>
                <w:szCs w:val="24"/>
                <w:highlight w:val="none"/>
                <w:lang w:val="en-US" w:eastAsia="zh-CN"/>
              </w:rPr>
              <w:t xml:space="preserve">提供管理界面截图证明。</w:t>
            </w:r>
            <w:r/>
          </w:p>
        </w:tc>
      </w:tr>
      <w:tr>
        <w:trPr>
          <w:trHeight w:val="9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w:t>
            </w:r>
            <w:r/>
          </w:p>
        </w:tc>
        <w:tc>
          <w:tcPr>
            <w:tcW w:w="774"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▲主机安全加固软件</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服务器厂商自研的主机安全系统加固软件，从操作系统内核实现对服务器的安全加固，与服务器同一品牌。该系统可实现内核级安全加固，增强型身份认证、服务完整性检测、注册表防篡改机制等功能，签订合同时提供软件功能证明材料。</w:t>
            </w:r>
            <w:r/>
          </w:p>
        </w:tc>
      </w:tr>
      <w:tr>
        <w:trPr>
          <w:trHeight w:val="6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15</w:t>
            </w:r>
            <w:r/>
          </w:p>
        </w:tc>
        <w:tc>
          <w:tcPr>
            <w:tcW w:w="774"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▲第三方MTBF证书及报告</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签订合同时提供CMA或CNAS认可实验室认证的MTBF时间≥20W小时证书及检测报告（需加盖检测机构公章）。</w:t>
            </w:r>
            <w:r/>
          </w:p>
        </w:tc>
      </w:tr>
      <w:tr>
        <w:trPr>
          <w:trHeight w:val="600"/>
        </w:trPr>
        <w:tc>
          <w:tcPr>
            <w:tcW w:w="471" w:type="dxa"/>
            <w:vAlign w:val="center"/>
            <w:textDirection w:val="lrTb"/>
            <w:noWrap/>
          </w:tcPr>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w:t>
            </w:r>
            <w:r/>
          </w:p>
        </w:tc>
        <w:tc>
          <w:tcPr>
            <w:tcW w:w="774"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▲产品认证</w:t>
            </w:r>
            <w:r/>
          </w:p>
        </w:tc>
        <w:tc>
          <w:tcPr>
            <w:tcW w:w="3753"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签订合同时提供≥4款国产中间件兼容性互认证书；签订合同时提供≥4款国产数据库兼容性互认证书。</w:t>
            </w:r>
            <w:r/>
          </w:p>
        </w:tc>
      </w:tr>
    </w:tbl>
    <w:p>
      <w:pPr>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p>
    <w:p>
      <w:pPr>
        <w:ind w:firstLine="480"/>
        <w:keepLines w:val="0"/>
        <w:keepNext w:val="0"/>
        <w:pageBreakBefore w:val="0"/>
        <w:spacing w:line="264" w:lineRule="auto"/>
        <w:widowControl w:val="off"/>
        <w:rPr>
          <w:rFonts w:ascii="宋体" w:hAnsi="宋体" w:eastAsia="宋体" w:cs="宋体"/>
          <w:b/>
          <w:bCs/>
          <w:color w:val="000000"/>
          <w:sz w:val="24"/>
          <w:szCs w:val="24"/>
          <w:highlight w:val="none"/>
          <w:lang w:val="en-US"/>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本项目报价分为系统开发费用和软件运维费用，其中软件运维费用不超过总报价的10%。</w:t>
      </w:r>
      <w:r/>
    </w:p>
    <w:p>
      <w:pPr>
        <w:ind w:firstLine="480"/>
        <w:keepLines w:val="0"/>
        <w:keepNext w:val="0"/>
        <w:pageBreakBefore w:val="0"/>
        <w:spacing w:line="264" w:lineRule="auto"/>
        <w:widowControl w:val="off"/>
        <w:rPr>
          <w:rFonts w:hint="eastAsia"/>
          <w:color w:val="000000"/>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2.建设要求</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1.1成交供应商需提供关于南京市第一医院数字档案室建设的建设方案。方案要求能结合南京市第一医院实际，满足档案相关标准规范，可达到南京市第一医院档案管理要求。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1.2本次项目总共需采购1项应用软件、1项定制开发、1项技术服务、1台服务器。各应用系统及服务项和应用范围详见采购文件第四章采购需求。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1.3应用软件采用标准的、开放的、技术成熟的、先进的信息技术。具有安全高效、功能完善、结构合理、易于扩展、高度自动化的特点。要充分考虑到系统今后纵向和横向的平滑扩展的能力。</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1.4项目采购的应用系统开发架构主体要采用基于B/S模式的三层或多层结构，要做到客户端零维护，B/S架构开发的应用系统要求采用J2EE技术体系和先进的MVC开发模式，以提高系统的可移植性和可扩展性。</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1.5项目采购的应用系统应采用分层架构，各层应采用成熟的、符合技术资信标准，能够适配综合性能较好的Web中间件、数据库产品、操作系统平台，合理分配和控制系统资源，性能稳定，运行高效。</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项目采购的应用系统应具有较好的可扩展性和包容性。在应用需求变化时，能方便调整，易于扩充升级，既能满足当前业务需求，又为今后扩充留有空间。系统应提供扩展接口（例如程序开发接口），供用户自行进行功能扩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项目建设应确保应用系统与档案信息数据安全可靠。按角色和权限实行严格的访问控制。系统操作的重要模块具备全程跟踪、日志查看等安全保障功能。应用系统权限设计支持三员分离管理，避免超级管理员所带来的安全隐患。</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1.8项目采购的应用系统应以XML技术作为支持，提供档案数据各种标准化转换接口，保障现有的档案数据库的迁移和其他系统的数据交换。系统所有预留的接口均基于WebService规范。</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1.9系统建设服务期限要求在签订合同后60日内完成并通过验收，供应商应针对本次项目采购软件提供免费维保期1035天，免费维保期自整体项目完成并通过验收之日起，在免费维保期间：</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（1）供应商须按照采购人要求，为采购人提供及时、便捷的服务，包括但不限于保修和维修等。</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（2）供应商须提供更新、升级和其他技术支持等服务，其方式为上门服务。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（3）供应商须对采购人系统所有相关操作人员进行培训，直到完全掌握如何操作为止。</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（4）供应商须安排不少于1名专职技术人员，为采购人提供技术支持与使用指导，包括故障排除、性能调优、技术咨询、系统维护、跟踪检测等，保证投标产品的正常运行。</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（5）若发现与本次项目采购软件相关的安全漏洞，供应商须在24小时内提供补丁更新，消除安全漏洞。</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应商须提供7*24小时的技术服务热线，通过热线服务处理解决各种软件系统故障，以及对各种突发事件采取应急措施等。服务响应时间为0.5小时。供应商须通过电话提供解决方案，或者利用远程维护方式解决问题。若不能在2小时内解决故障问题，供应商应8小时内到达现场服务、排除故障，并分析故障原因，提出书面故障分析报告及防范措施。</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（2）服务要求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2.1信息化建设要求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本次项目建设内容包括应用软件、定制开发等部分。</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基于上述项目信息化建设内容及相应需求的充分理解及综合分析，制定本项目的信息化建设方案，理清项目建设思路，对应用系统的总体架构进行设计，包括但不限于技术架构、业务架构以及网络架构等方面内容，提供相应的合理化建议，并对各应用系统的功能构成等方面进行设计，形成详实的建设方案。</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同时供应商中标后需充分了解现状和业务需求，与用户等相关方充分沟通后，制定切实可行的质量保障措施，确保项目信息化建设过程的顺利进行，并最大程度地减少对业务或系统的潜在影响，包括制定相应的质量保障管理措施，以及制定项目各阶段质量保障与控制措施等，对本项目的信息化建设工作进行总体管控与保障。</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中标后，在与采购人就信息化建设方案进行充分沟通并达成一致后，遵循相应的信息化建设方案开展项目中相应的信息化建设工作。</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2.2数据迁移要求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南京市第一医院在当前医院内网环境中有一套档案馆业务管理系统。在本项目实施过程中，供应商需进行相应的档案数据的迁移与封装。其中包括对档案馆原数据库系统的档案数据进行分析，按照档案门类体系对档案类型、电子目录和全文数据进行调整、修改、优化与整体迁移。供应商中标后需充分了解本项目数据迁移需求，与用户等相关方充分沟通后，制定详细可行的数据迁移方案。</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（3）实施要求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成交后需充分了解现状和业务需求，与用户等相关方充分沟通后，制定详细可行的项目实施方案，对项目计划与进度、项目质量、风险等进行总体管控与协调，经用户认可后方可开始实施。供应商需针对本项目成立专门的项目团队，积极主动与用户单位进行协调沟通，在规定的时间内，保质保量的完成投标所提供应用系统的研发、安装、调试及投入运行，并完成数据迁移工作，达成项目建设目标。</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选用具有一定的项目管理能力、计算机技术技能及安全保密意识的人员担任项目经理，项目组成员也应具有相应的能力、技能及安全保密意识，供应商需通过组织协调与本项目相适应的关人员对本项目系统进行联调实施，确保项目的顺利完成。系统部署安装、调试所需的工具、仪表及安装材料由供应商自行解决。</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同时供应商成交后需充分了解项目培训需求，与用户等相关方充分沟通后，开展详细可行的培训管理工作，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rPr>
          <w:rFonts w:hint="eastAsia" w:ascii="宋体" w:hAnsi="宋体" w:eastAsia="宋体" w:cs="宋体"/>
          <w:bCs/>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宋体"/>
          <w:color w:val="000000"/>
          <w:sz w:val="24"/>
          <w:szCs w:val="24"/>
          <w:highlight w:val="none"/>
          <w:lang w:val="en-US" w:eastAsia="zh-CN" w:bidi="ar"/>
        </w:rPr>
        <w:t xml:space="preserve">形成验收文件作</w:t>
      </w:r>
      <w:r>
        <w:rPr>
          <w:rFonts w:hint="eastAsia" w:ascii="宋体" w:hAnsi="宋体" w:eastAsia="宋体" w:cs="宋体"/>
          <w:bCs w:val="0"/>
          <w:color w:val="000000"/>
          <w:sz w:val="24"/>
          <w:szCs w:val="24"/>
          <w:highlight w:val="none"/>
          <w:lang w:val="en-US" w:eastAsia="zh-CN"/>
        </w:rPr>
        <w:t xml:space="preserve">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内，本合同项目所有技术和服务发生任何非人为故障，由供应商负责恢复。故障报修的响应时间为0.5小时，到达现场的时间为12小时，小型故障恢复时间为12个小时，严重故障恢复时间为48小时内，并及时有效的提供解决方案。</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内，对采购单位提出的合理服务要求，供应商必须即时进行电话、邮件及远程网络支持，如以上方式无法解决问题，供应商需在12小时内到场服务。如不到场，采购单位有权自行处理，相关费用由供应商负责。</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①项目经理：1人，具有至少3年以上信息化项目管理工作经验，不得兼任其他岗位。 </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②技术负责人1人，具有至少3年以上信息化技术管理工作经验，不得兼任其他岗位。  </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③项目实施人员：不少于2人，具有信息化工作经验，须至少1人驻场。 </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④项目运维人员：不少于1人，具有信息化工作经验。</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⑤</w:t>
      </w:r>
      <w:r>
        <w:rPr>
          <w:rFonts w:hint="eastAsia" w:ascii="宋体" w:hAnsi="宋体" w:eastAsia="宋体" w:cs="宋体"/>
          <w:color w:val="000000"/>
          <w:sz w:val="24"/>
          <w:szCs w:val="24"/>
          <w:highlight w:val="none"/>
          <w:lang w:val="en-US" w:eastAsia="zh-CN"/>
        </w:rPr>
        <w:t xml:space="preserve">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（6）安全保密要求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档案安全保密是国家安全工作中的重要一环，新档案法及其实施条例对档案安全工作作出明</w:t>
      </w:r>
      <w:r>
        <w:rPr>
          <w:rFonts w:hint="eastAsia" w:ascii="宋体" w:hAnsi="宋体" w:eastAsia="宋体" w:cs="宋体"/>
          <w:color w:val="000000"/>
          <w:sz w:val="24"/>
          <w:szCs w:val="24"/>
          <w:highlight w:val="none"/>
          <w:lang w:val="en-US" w:eastAsia="zh-CN"/>
        </w:rPr>
        <w:t xml:space="preserve">确规定。由于本项目涉及档案信息化建设以及档案数据迁移工作，供应商需充分了解档案行业尤其是其中档案信息化工作以及档案数据迁移工作安全保密，因此供应商也需对档案信息化以及档案数据迁移的安全保密工作具备特定的资质条件。通过安全保密控制，实现本项目实施的安全性，从而保证档案数据和信息安全，防止信息泄密问题的发生。供应商需基于对档案行业及档案信息化、数据迁移的安全保密重要性的充分了解，编制相应的安全保密方案，包括制定详尽的安全保密措施以及安全管理保密制度等，从而满足档案行业及档案信息化以及数据迁移工作的安全保密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④系统实施阶段：系统上线部署方案、软件安装说明书、软件使用说明书、系统安装光盘、系统培训方案、系统培训手册。 </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⑥运行维护阶段：系统维护方案、系统维护手册、系统运行维护记录。</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Times New Roman"/>
          <w:color w:val="000000"/>
          <w:sz w:val="24"/>
          <w:szCs w:val="24"/>
          <w:highlight w:val="none"/>
          <w:lang w:val="en-US" w:eastAsia="zh-CN"/>
        </w:rPr>
        <w:t xml:space="preserve">60</w:t>
      </w:r>
      <w:r>
        <w:rPr>
          <w:rFonts w:ascii="宋体" w:hAnsi="宋体" w:eastAsia="宋体" w:cs="宋体"/>
          <w:color w:val="000000"/>
          <w:sz w:val="24"/>
          <w:szCs w:val="24"/>
          <w:highlight w:val="none"/>
        </w:rPr>
        <w:t xml:space="preserve">天内</w:t>
      </w:r>
      <w:r>
        <w:rPr>
          <w:rFonts w:hint="eastAsia" w:ascii="宋体" w:hAnsi="宋体" w:eastAsia="宋体" w:cs="宋体"/>
          <w:color w:val="000000"/>
          <w:sz w:val="24"/>
          <w:szCs w:val="24"/>
          <w:highlight w:val="none"/>
          <w:lang w:eastAsia="zh-CN"/>
        </w:rPr>
        <w:t xml:space="preserve">完成系统开发</w:t>
      </w:r>
      <w:r>
        <w:rPr>
          <w:rFonts w:ascii="宋体" w:hAnsi="宋体" w:eastAsia="宋体" w:cs="宋体"/>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须将视频文件分段压缩为*.zip文件上传（单个文件不得大于50M，所有文件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不得大于300M）。文件上传方式见《操作手册》，上传的演示视频将作为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视频时长总计不超过</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lang w:eastAsia="zh-CN"/>
        </w:rPr>
        <w:t xml:space="preserve">。</w:t>
      </w:r>
      <w:r/>
    </w:p>
    <w:p>
      <w:pPr>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2.演示内容详见“第五章  评审方法与评审标准”。</w:t>
      </w:r>
      <w:r/>
    </w:p>
    <w:p>
      <w:pPr>
        <w:rPr>
          <w:rFonts w:hint="eastAsia"/>
          <w:color w:val="000000"/>
          <w:highlight w:val="none"/>
          <w:lang w:val="en-US" w:eastAsia="zh-CN"/>
        </w:rPr>
      </w:pPr>
      <w:r>
        <w:rPr>
          <w:rFonts w:hint="eastAsia"/>
          <w:color w:val="000000"/>
          <w:highlight w:val="none"/>
          <w:lang w:val="en-US" w:eastAsia="zh-CN"/>
        </w:rPr>
      </w:r>
      <w:r/>
    </w:p>
    <w:p>
      <w:pPr>
        <w:pStyle w:val="987"/>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pStyle w:val="10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en-US" w:eastAsia="zh-CN"/>
        </w:rPr>
        <w:t xml:space="preserve">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、评审标准</w:t>
      </w:r>
      <w:r>
        <w:rPr>
          <w:rFonts w:hint="eastAsia" w:ascii="宋体" w:hAnsi="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p>
    <w:tbl>
      <w:tblPr>
        <w:tblStyle w:val="104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45"/>
        <w:gridCol w:w="6164"/>
        <w:gridCol w:w="647"/>
        <w:gridCol w:w="900"/>
      </w:tblGrid>
      <w:tr>
        <w:trPr>
          <w:jc w:val="center"/>
          <w:trHeight w:val="793"/>
          <w:tblHeader/>
        </w:trPr>
        <w:tc>
          <w:tcPr>
            <w:tcW w:w="519"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序号</w:t>
            </w:r>
            <w:r/>
          </w:p>
        </w:tc>
        <w:tc>
          <w:tcPr>
            <w:tcW w:w="1345"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评审因素</w:t>
            </w:r>
            <w:r/>
          </w:p>
        </w:tc>
        <w:tc>
          <w:tcPr>
            <w:tcW w:w="6164"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评审细则</w:t>
            </w:r>
            <w:r/>
          </w:p>
        </w:tc>
        <w:tc>
          <w:tcPr>
            <w:tcW w:w="647"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分值</w:t>
            </w:r>
            <w:r/>
          </w:p>
        </w:tc>
        <w:tc>
          <w:tcPr>
            <w:tcW w:w="900"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p>
        </w:tc>
        <w:tc>
          <w:tcPr>
            <w:tcW w:w="1345"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2"/>
                <w:highlight w:val="none"/>
              </w:rPr>
              <w:t xml:space="preserve">价格分</w:t>
            </w:r>
            <w:r/>
          </w:p>
        </w:tc>
        <w:tc>
          <w:tcPr>
            <w:tcW w:w="6164"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ascii="宋体" w:hAnsi="宋体" w:eastAsia="宋体" w:cs="宋体"/>
                <w:color w:val="000000"/>
                <w:spacing w:val="1"/>
                <w:highlight w:val="none"/>
              </w:rPr>
              <w:t xml:space="preserve">采用低价优先</w:t>
            </w:r>
            <w:r>
              <w:rPr>
                <w:rFonts w:ascii="宋体" w:hAnsi="宋体" w:eastAsia="宋体" w:cs="宋体"/>
                <w:color w:val="000000"/>
                <w:highlight w:val="none"/>
              </w:rPr>
              <w:t xml:space="preserve">法计算，即满足</w:t>
            </w: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文件要求且</w:t>
            </w:r>
            <w:r>
              <w:rPr>
                <w:rFonts w:hint="eastAsia" w:ascii="宋体" w:hAnsi="宋体" w:eastAsia="宋体" w:cs="宋体"/>
                <w:color w:val="000000"/>
                <w:highlight w:val="none"/>
                <w:lang w:eastAsia="zh-CN"/>
              </w:rPr>
              <w:t xml:space="preserve">最终报价</w:t>
            </w:r>
            <w:r>
              <w:rPr>
                <w:rFonts w:ascii="宋体" w:hAnsi="宋体" w:eastAsia="宋体" w:cs="宋体"/>
                <w:color w:val="000000"/>
                <w:highlight w:val="none"/>
              </w:rPr>
              <w:t xml:space="preserve">最低的</w:t>
            </w:r>
            <w:r>
              <w:rPr>
                <w:rFonts w:hint="eastAsia" w:ascii="宋体" w:hAnsi="宋体" w:eastAsia="宋体" w:cs="宋体"/>
                <w:color w:val="000000"/>
                <w:highlight w:val="none"/>
                <w:lang w:eastAsia="zh-CN"/>
              </w:rPr>
              <w:t xml:space="preserve">供应商</w:t>
            </w:r>
            <w:r>
              <w:rPr>
                <w:rFonts w:ascii="宋体" w:hAnsi="宋体" w:eastAsia="宋体" w:cs="宋体"/>
                <w:color w:val="000000"/>
                <w:spacing w:val="1"/>
                <w:highlight w:val="none"/>
              </w:rPr>
              <w:t xml:space="preserve">报价为评标基准</w:t>
            </w:r>
            <w:r>
              <w:rPr>
                <w:rFonts w:ascii="宋体" w:hAnsi="宋体" w:eastAsia="宋体" w:cs="宋体"/>
                <w:color w:val="000000"/>
                <w:highlight w:val="none"/>
              </w:rPr>
              <w:t xml:space="preserve">价，其价格分为满分。其他</w:t>
            </w:r>
            <w:r>
              <w:rPr>
                <w:rFonts w:hint="eastAsia" w:ascii="宋体" w:hAnsi="宋体" w:eastAsia="宋体" w:cs="宋体"/>
                <w:color w:val="000000"/>
                <w:highlight w:val="none"/>
                <w:lang w:eastAsia="zh-CN"/>
              </w:rPr>
              <w:t xml:space="preserve">供应商</w:t>
            </w:r>
            <w:r>
              <w:rPr>
                <w:rFonts w:ascii="宋体" w:hAnsi="宋体" w:eastAsia="宋体" w:cs="宋体"/>
                <w:color w:val="000000"/>
                <w:highlight w:val="none"/>
              </w:rPr>
              <w:t xml:space="preserve">的价格分统一按</w:t>
            </w:r>
            <w:r>
              <w:rPr>
                <w:rFonts w:ascii="宋体" w:hAnsi="宋体" w:eastAsia="宋体" w:cs="宋体"/>
                <w:color w:val="000000"/>
                <w:spacing w:val="-1"/>
                <w:highlight w:val="none"/>
              </w:rPr>
              <w:t xml:space="preserve">照下列公</w:t>
            </w:r>
            <w:r>
              <w:rPr>
                <w:rFonts w:ascii="宋体" w:hAnsi="宋体" w:eastAsia="宋体" w:cs="宋体"/>
                <w:color w:val="000000"/>
                <w:highlight w:val="none"/>
              </w:rPr>
              <w:t xml:space="preserve">式计算：报价得分=(评标基准价/</w:t>
            </w:r>
            <w:r>
              <w:rPr>
                <w:rFonts w:hint="eastAsia" w:ascii="宋体" w:hAnsi="宋体" w:eastAsia="宋体" w:cs="宋体"/>
                <w:color w:val="000000"/>
                <w:highlight w:val="none"/>
                <w:lang w:eastAsia="zh-CN"/>
              </w:rPr>
              <w:t xml:space="preserve">最终</w:t>
            </w:r>
            <w:r>
              <w:rPr>
                <w:rFonts w:ascii="宋体" w:hAnsi="宋体" w:eastAsia="宋体" w:cs="宋体"/>
                <w:color w:val="000000"/>
                <w:highlight w:val="none"/>
              </w:rPr>
              <w:t xml:space="preserve">报价)×</w:t>
            </w:r>
            <w:r>
              <w:rPr>
                <w:rFonts w:hint="eastAsia" w:ascii="宋体" w:hAnsi="宋体" w:eastAsia="宋体" w:cs="宋体"/>
                <w:color w:val="000000"/>
                <w:highlight w:val="none"/>
                <w:lang w:val="en-US" w:eastAsia="zh-CN"/>
              </w:rPr>
              <w:t xml:space="preserve">价格分值（小数点保留两位）</w:t>
            </w:r>
            <w:r/>
          </w:p>
          <w:p>
            <w:pPr>
              <w:jc w:val="left"/>
              <w:keepLines w:val="0"/>
              <w:keepNext w:val="0"/>
              <w:pageBreakBefore w:val="0"/>
              <w:spacing w:line="264" w:lineRule="auto"/>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000000"/>
                <w:highlight w:val="none"/>
                <w:lang w:val="en-US"/>
              </w:rPr>
            </w:pPr>
            <w:r>
              <w:rPr>
                <w:rFonts w:hint="eastAsia" w:ascii="宋体" w:hAnsi="宋体" w:eastAsia="宋体" w:cs="宋体"/>
                <w:b/>
                <w:bCs/>
                <w:color w:val="000000"/>
                <w:spacing w:val="-3"/>
                <w:highlight w:val="none"/>
                <w:lang w:val="en-US" w:eastAsia="zh-CN"/>
              </w:rPr>
              <w:t xml:space="preserve">2.技术</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2.1</w:t>
            </w:r>
            <w:r/>
          </w:p>
        </w:tc>
        <w:tc>
          <w:tcPr>
            <w:tcW w:w="1345"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highlight w:val="none"/>
                <w:lang w:eastAsia="zh-CN"/>
              </w:rPr>
            </w:pPr>
            <w:r>
              <w:rPr>
                <w:rFonts w:hint="eastAsia" w:ascii="宋体" w:hAnsi="宋体" w:eastAsia="宋体" w:cs="Times New Roman"/>
                <w:color w:val="000000"/>
                <w:sz w:val="21"/>
                <w:szCs w:val="21"/>
                <w:highlight w:val="none"/>
                <w:lang w:val="en-US" w:eastAsia="zh-CN"/>
              </w:rPr>
              <w:t xml:space="preserve">产品</w:t>
            </w:r>
            <w:r>
              <w:rPr>
                <w:rFonts w:ascii="宋体" w:hAnsi="宋体" w:eastAsia="宋体" w:cs="Times New Roman"/>
                <w:color w:val="000000"/>
                <w:sz w:val="21"/>
                <w:szCs w:val="21"/>
                <w:highlight w:val="none"/>
                <w:lang w:val="en-US" w:eastAsia="zh-CN"/>
              </w:rPr>
              <w:t xml:space="preserve">技术参数</w:t>
            </w:r>
            <w:r/>
          </w:p>
        </w:tc>
        <w:tc>
          <w:tcPr>
            <w:tcW w:w="6164"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w:t>
            </w:r>
            <w:r>
              <w:rPr>
                <w:rFonts w:ascii="宋体" w:hAnsi="宋体" w:eastAsia="宋体" w:cs="宋体"/>
                <w:color w:val="000000"/>
                <w:highlight w:val="none"/>
                <w:lang w:val="en-US" w:eastAsia="zh-CN"/>
              </w:rPr>
              <w:t xml:space="preserve">技术参数全部满足</w:t>
            </w:r>
            <w:r>
              <w:rPr>
                <w:rFonts w:hint="eastAsia" w:ascii="宋体" w:hAnsi="宋体" w:eastAsia="宋体" w:cs="宋体"/>
                <w:color w:val="000000"/>
                <w:highlight w:val="none"/>
                <w:lang w:val="en-US" w:eastAsia="zh-CN"/>
              </w:rPr>
              <w:t xml:space="preserve">磋商文件</w:t>
            </w:r>
            <w:r>
              <w:rPr>
                <w:rFonts w:ascii="宋体" w:hAnsi="宋体" w:eastAsia="宋体" w:cs="宋体"/>
                <w:color w:val="000000"/>
                <w:highlight w:val="none"/>
                <w:lang w:val="en-US" w:eastAsia="zh-CN"/>
              </w:rPr>
              <w:t xml:space="preserve">要求的得满分</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打★指标为必须满足项，如有负偏离将作为无效</w:t>
            </w:r>
            <w:r>
              <w:rPr>
                <w:rFonts w:hint="eastAsia" w:ascii="宋体" w:hAnsi="宋体" w:eastAsia="宋体" w:cs="宋体"/>
                <w:color w:val="000000"/>
                <w:highlight w:val="none"/>
                <w:lang w:val="en-US" w:eastAsia="zh-CN"/>
              </w:rPr>
              <w:t xml:space="preserve">响应，</w:t>
            </w:r>
            <w:r>
              <w:rPr>
                <w:rFonts w:ascii="宋体" w:hAnsi="宋体" w:eastAsia="宋体" w:cs="宋体"/>
                <w:color w:val="000000"/>
                <w:highlight w:val="none"/>
                <w:lang w:val="en-US" w:eastAsia="zh-CN"/>
              </w:rPr>
              <w:t xml:space="preserve">打▲指标为重要指标，有</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项负偏离扣2分</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其余指标有</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项负偏离扣1分，扣完为止。</w:t>
            </w:r>
            <w:r>
              <w:rPr>
                <w:rFonts w:hint="eastAsia" w:ascii="宋体" w:hAnsi="宋体" w:eastAsia="宋体" w:cs="宋体"/>
                <w:color w:val="000000"/>
                <w:highlight w:val="none"/>
                <w:lang w:val="en-US" w:eastAsia="zh-CN"/>
              </w:rPr>
              <w:t xml:space="preserve">（填报《技术要求响应及偏离表》，格式见第六章）</w:t>
            </w:r>
            <w:r/>
          </w:p>
          <w:p>
            <w:pPr>
              <w:jc w:val="left"/>
              <w:keepLines w:val="0"/>
              <w:keepNext w:val="0"/>
              <w:pageBreakBefore w:val="0"/>
              <w:spacing w:line="264" w:lineRule="auto"/>
              <w:widowControl w:val="off"/>
              <w:rPr>
                <w:color w:val="000000"/>
                <w:highlight w:val="none"/>
              </w:rPr>
            </w:pPr>
            <w:r>
              <w:rPr>
                <w:rFonts w:ascii="宋体" w:hAnsi="宋体" w:eastAsia="宋体" w:cs="宋体"/>
                <w:color w:val="000000"/>
                <w:highlight w:val="none"/>
                <w:lang w:val="en-US" w:eastAsia="zh-CN"/>
              </w:rPr>
              <w:t xml:space="preserve">注：打▲指标为重要指标需要提供系统功能截图。</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lang w:eastAsia="zh-CN"/>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.2</w:t>
            </w:r>
            <w:r/>
          </w:p>
        </w:tc>
        <w:tc>
          <w:tcPr>
            <w:tcW w:w="1345" w:type="dxa"/>
            <w:vAlign w:val="center"/>
            <w:textDirection w:val="lrTb"/>
            <w:noWrap w:val="false"/>
          </w:tcPr>
          <w:p>
            <w:pPr>
              <w:jc w:val="both"/>
              <w:keepLines w:val="0"/>
              <w:keepNext w:val="0"/>
              <w:pageBreakBefore w:val="0"/>
              <w:spacing w:line="264" w:lineRule="auto"/>
              <w:widowControl w:val="off"/>
              <w:rPr>
                <w:rFonts w:ascii="宋体" w:hAnsi="宋体" w:eastAsia="宋体" w:cs="宋体"/>
                <w:color w:val="000000"/>
                <w:spacing w:val="-2"/>
                <w:highlight w:val="none"/>
              </w:rPr>
            </w:pPr>
            <w:r>
              <w:rPr>
                <w:rFonts w:hint="eastAsia" w:ascii="Times New Roman" w:hAnsi="Times New Roman" w:eastAsia="宋体" w:cs="Times New Roman"/>
                <w:color w:val="000000"/>
                <w:highlight w:val="none"/>
                <w:lang w:val="en-US" w:eastAsia="zh-CN"/>
              </w:rPr>
              <w:t xml:space="preserve">需求理解</w:t>
            </w:r>
            <w:r/>
          </w:p>
        </w:tc>
        <w:tc>
          <w:tcPr>
            <w:tcW w:w="6164" w:type="dxa"/>
            <w:vAlign w:val="center"/>
            <w:textDirection w:val="lrTb"/>
            <w:noWrap w:val="false"/>
          </w:tcPr>
          <w:p>
            <w:pPr>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评委根据</w:t>
            </w:r>
            <w:r>
              <w:rPr>
                <w:rFonts w:hint="eastAsia" w:ascii="宋体" w:hAnsi="宋体" w:eastAsia="宋体" w:cs="宋体"/>
                <w:color w:val="000000"/>
                <w:highlight w:val="none"/>
                <w:lang w:val="en-US" w:eastAsia="zh-CN"/>
              </w:rPr>
              <w:t xml:space="preserve">供应商</w:t>
            </w:r>
            <w:r>
              <w:rPr>
                <w:rFonts w:ascii="宋体" w:hAnsi="宋体" w:eastAsia="宋体" w:cs="宋体"/>
                <w:color w:val="000000"/>
                <w:highlight w:val="none"/>
                <w:lang w:val="en-US" w:eastAsia="zh-CN"/>
              </w:rPr>
              <w:t xml:space="preserve">提供的需求理解材料</w:t>
            </w:r>
            <w:r>
              <w:rPr>
                <w:rFonts w:hint="eastAsia" w:ascii="宋体" w:hAnsi="宋体" w:eastAsia="宋体" w:cs="宋体"/>
                <w:color w:val="000000"/>
                <w:highlight w:val="none"/>
                <w:lang w:val="en-US" w:eastAsia="zh-CN"/>
              </w:rPr>
              <w:t xml:space="preserve">综合评分，</w:t>
            </w:r>
            <w:r>
              <w:rPr>
                <w:rFonts w:ascii="宋体" w:hAnsi="宋体" w:eastAsia="宋体" w:cs="宋体"/>
                <w:color w:val="000000"/>
                <w:highlight w:val="none"/>
                <w:lang w:val="en-US" w:eastAsia="zh-CN"/>
              </w:rPr>
              <w:t xml:space="preserve">包括</w:t>
            </w:r>
            <w:r>
              <w:rPr>
                <w:rFonts w:hint="eastAsia" w:ascii="宋体" w:hAnsi="宋体" w:eastAsia="宋体" w:cs="宋体"/>
                <w:color w:val="000000"/>
                <w:highlight w:val="none"/>
                <w:lang w:val="en-US" w:eastAsia="zh-CN"/>
              </w:rPr>
              <w:t xml:space="preserve">：1.业务需求分析及</w:t>
            </w:r>
            <w:r>
              <w:rPr>
                <w:rFonts w:ascii="宋体" w:hAnsi="宋体" w:eastAsia="宋体" w:cs="宋体"/>
                <w:color w:val="000000"/>
                <w:highlight w:val="none"/>
                <w:lang w:val="en-US" w:eastAsia="zh-CN"/>
              </w:rPr>
              <w:t xml:space="preserve">重点难点</w:t>
            </w:r>
            <w:r>
              <w:rPr>
                <w:rFonts w:hint="eastAsia" w:ascii="宋体" w:hAnsi="宋体" w:eastAsia="宋体" w:cs="宋体"/>
                <w:color w:val="000000"/>
                <w:highlight w:val="none"/>
                <w:lang w:val="en-US" w:eastAsia="zh-CN"/>
              </w:rPr>
              <w:t xml:space="preserve">分析；2.</w:t>
            </w:r>
            <w:r>
              <w:rPr>
                <w:rFonts w:ascii="宋体" w:hAnsi="宋体" w:eastAsia="宋体" w:cs="宋体"/>
                <w:color w:val="000000"/>
                <w:highlight w:val="none"/>
                <w:lang w:val="en-US" w:eastAsia="zh-CN"/>
              </w:rPr>
              <w:t xml:space="preserve">建设目标</w:t>
            </w:r>
            <w:r>
              <w:rPr>
                <w:rFonts w:hint="eastAsia" w:ascii="宋体" w:hAnsi="宋体" w:eastAsia="宋体" w:cs="宋体"/>
                <w:color w:val="000000"/>
                <w:highlight w:val="none"/>
                <w:lang w:val="en-US" w:eastAsia="zh-CN"/>
              </w:rPr>
              <w:t xml:space="preserve">分析及</w:t>
            </w:r>
            <w:r>
              <w:rPr>
                <w:rFonts w:ascii="宋体" w:hAnsi="宋体" w:eastAsia="宋体" w:cs="宋体"/>
                <w:color w:val="000000"/>
                <w:highlight w:val="none"/>
                <w:lang w:val="en-US" w:eastAsia="zh-CN"/>
              </w:rPr>
              <w:t xml:space="preserve">建设依据、必要性</w:t>
            </w:r>
            <w:r>
              <w:rPr>
                <w:rFonts w:hint="eastAsia" w:ascii="宋体" w:hAnsi="宋体" w:eastAsia="宋体" w:cs="宋体"/>
                <w:color w:val="000000"/>
                <w:highlight w:val="none"/>
                <w:lang w:val="en-US" w:eastAsia="zh-CN"/>
              </w:rPr>
              <w:t xml:space="preserve">分析。</w:t>
            </w:r>
            <w:r>
              <w:rPr>
                <w:rFonts w:hint="eastAsia" w:ascii="宋体" w:hAnsi="宋体" w:eastAsia="宋体" w:cs="宋体"/>
                <w:color w:val="000000"/>
                <w:sz w:val="21"/>
                <w:szCs w:val="21"/>
                <w:highlight w:val="none"/>
                <w:lang w:val="en-US" w:eastAsia="zh-CN" w:bidi="ar-SA"/>
              </w:rPr>
              <w:t xml:space="preserve">以上每项内容逐条阐述。</w:t>
            </w:r>
            <w:r/>
          </w:p>
          <w:p>
            <w:pPr>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完整深刻、针对性强、紧贴采购需求的，得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p>
          <w:p>
            <w:pPr>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较为完整深刻、针对性较强、能够满足采购需求的，得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p>
          <w:p>
            <w:pPr>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基本完整、具有一定针对性、基本符合采购需求的，得 </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p>
          <w:p>
            <w:pPr>
              <w:rPr>
                <w:color w:val="000000"/>
                <w:highlight w:val="none"/>
                <w:lang w:val="en-US"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不符合采购需求或未提供需求理解材料的不得分。。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4"/>
                <w:highlight w:val="none"/>
                <w:lang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2.3</w:t>
            </w:r>
            <w:r/>
          </w:p>
        </w:tc>
        <w:tc>
          <w:tcPr>
            <w:tcW w:w="134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总体技术方案</w:t>
            </w:r>
            <w:r/>
          </w:p>
        </w:tc>
        <w:tc>
          <w:tcPr>
            <w:tcW w:w="6164" w:type="dxa"/>
            <w:vAlign w:val="center"/>
            <w:textDirection w:val="lrTb"/>
            <w:noWrap w:val="false"/>
          </w:tcPr>
          <w:p>
            <w:pPr>
              <w:jc w:val="left"/>
              <w:keepLines w:val="0"/>
              <w:keepNext w:val="0"/>
              <w:pageBreakBefore w:val="0"/>
              <w:spacing w:line="264" w:lineRule="auto"/>
              <w:widowControl/>
              <w:rPr>
                <w:rFonts w:hint="eastAsia"/>
                <w:color w:val="000000"/>
                <w:highlight w:val="none"/>
                <w:lang w:val="en-US" w:eastAsia="zh-CN"/>
              </w:rPr>
            </w:pPr>
            <w:r>
              <w:rPr>
                <w:rFonts w:hint="eastAsia"/>
                <w:color w:val="000000"/>
                <w:highlight w:val="none"/>
                <w:lang w:val="en-US" w:eastAsia="zh-CN"/>
              </w:rPr>
              <w:t xml:space="preserve">评委根据供应商提供的项目总体技术方案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Cs w:val="22"/>
                <w:highlight w:val="none"/>
                <w:lang w:val="en-US" w:eastAsia="zh-CN"/>
              </w:rPr>
              <w:t xml:space="preserve">包括：</w:t>
            </w:r>
            <w:r>
              <w:rPr>
                <w:rFonts w:ascii="宋体" w:hAnsi="宋体" w:eastAsia="宋体" w:cs="宋体"/>
                <w:color w:val="000000"/>
                <w:szCs w:val="22"/>
                <w:highlight w:val="none"/>
                <w:lang w:val="en-US" w:eastAsia="zh-CN"/>
              </w:rPr>
              <w:t xml:space="preserve">1.</w:t>
            </w:r>
            <w:r>
              <w:rPr>
                <w:rFonts w:hint="eastAsia" w:ascii="宋体" w:hAnsi="宋体" w:eastAsia="宋体" w:cs="宋体"/>
                <w:color w:val="000000"/>
                <w:szCs w:val="22"/>
                <w:highlight w:val="none"/>
                <w:lang w:val="en-US" w:eastAsia="zh-CN"/>
              </w:rPr>
              <w:t xml:space="preserve">总体架构和性能设计、技术路线和业务逻辑流程设计；2</w:t>
            </w:r>
            <w:r>
              <w:rPr>
                <w:rFonts w:ascii="宋体" w:hAnsi="宋体" w:eastAsia="宋体" w:cs="宋体"/>
                <w:color w:val="000000"/>
                <w:szCs w:val="22"/>
                <w:highlight w:val="none"/>
                <w:lang w:val="en-US" w:eastAsia="zh-CN"/>
              </w:rPr>
              <w:t xml:space="preserve">.</w:t>
            </w:r>
            <w:r>
              <w:rPr>
                <w:rFonts w:hint="eastAsia" w:ascii="宋体" w:hAnsi="宋体" w:eastAsia="宋体" w:cs="宋体"/>
                <w:color w:val="000000"/>
                <w:szCs w:val="22"/>
                <w:highlight w:val="none"/>
                <w:lang w:val="en-US" w:eastAsia="zh-CN"/>
              </w:rPr>
              <w:t xml:space="preserve">用户界面和应用功能设计、系统部署和安全防护设计。</w:t>
            </w:r>
            <w:r>
              <w:rPr>
                <w:rFonts w:hint="eastAsia" w:ascii="宋体" w:hAnsi="宋体" w:eastAsia="宋体" w:cs="宋体"/>
                <w:color w:val="000000"/>
                <w:sz w:val="21"/>
                <w:szCs w:val="21"/>
                <w:highlight w:val="none"/>
                <w:lang w:val="en-US" w:eastAsia="zh-CN" w:bidi="ar-SA"/>
              </w:rPr>
              <w:t xml:space="preserve">以上每项内容逐条阐述。</w:t>
            </w:r>
            <w:r/>
          </w:p>
          <w:p>
            <w:pPr>
              <w:jc w:val="left"/>
              <w:keepLines w:val="0"/>
              <w:keepNext w:val="0"/>
              <w:spacing w:line="264" w:lineRule="auto"/>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设计思路科学、前瞻性、技术先进可行</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紧贴采购需求的，得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设计思路较科学、前瞻性、技术较先进可行、能够满足采购需求的，得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设计思路基本满足采购需求、具有一定可行性的，得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设计思路不能满足采购需求或未提供方案的不得分。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highlight w:val="none"/>
              </w:rPr>
            </w:pPr>
            <w:r>
              <w:rPr>
                <w:rFonts w:hint="eastAsia" w:ascii="宋体" w:hAnsi="宋体" w:eastAsia="宋体" w:cs="宋体"/>
                <w:color w:val="000000"/>
                <w:spacing w:val="-4"/>
                <w:highlight w:val="none"/>
                <w:lang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2.4</w:t>
            </w:r>
            <w:r/>
          </w:p>
        </w:tc>
        <w:tc>
          <w:tcPr>
            <w:tcW w:w="134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项目实施方案</w:t>
            </w:r>
            <w:r/>
          </w:p>
        </w:tc>
        <w:tc>
          <w:tcPr>
            <w:tcW w:w="6164" w:type="dxa"/>
            <w:vAlign w:val="center"/>
            <w:textDirection w:val="lrTb"/>
            <w:noWrap w:val="false"/>
          </w:tcPr>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hint="eastAsia"/>
                <w:color w:val="000000"/>
                <w:highlight w:val="none"/>
                <w:lang w:val="en-US" w:eastAsia="zh-CN"/>
              </w:rPr>
              <w:t xml:space="preserve">评委根据供应商提供的项目实施方案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highlight w:val="none"/>
                <w:lang w:val="en-US" w:eastAsia="zh-CN"/>
              </w:rPr>
              <w:t xml:space="preserve">包括：</w:t>
            </w:r>
            <w:r>
              <w:rPr>
                <w:rFonts w:ascii="宋体" w:hAnsi="宋体" w:eastAsia="宋体" w:cs="宋体"/>
                <w:color w:val="000000"/>
                <w:szCs w:val="22"/>
                <w:highlight w:val="none"/>
                <w:lang w:val="en-US" w:eastAsia="zh-CN"/>
              </w:rPr>
              <w:t xml:space="preserve">1.实施流程</w:t>
            </w:r>
            <w:r>
              <w:rPr>
                <w:rFonts w:hint="eastAsia" w:ascii="宋体" w:hAnsi="宋体" w:eastAsia="宋体" w:cs="宋体"/>
                <w:color w:val="000000"/>
                <w:szCs w:val="22"/>
                <w:highlight w:val="none"/>
                <w:lang w:val="en-US" w:eastAsia="zh-CN"/>
              </w:rPr>
              <w:t xml:space="preserve">、</w:t>
            </w:r>
            <w:r>
              <w:rPr>
                <w:rFonts w:ascii="宋体" w:hAnsi="宋体" w:eastAsia="宋体" w:cs="宋体"/>
                <w:color w:val="000000"/>
                <w:szCs w:val="22"/>
                <w:highlight w:val="none"/>
                <w:lang w:val="en-US" w:eastAsia="zh-CN"/>
              </w:rPr>
              <w:t xml:space="preserve">实施进度安排；</w:t>
            </w:r>
            <w:r>
              <w:rPr>
                <w:rFonts w:hint="eastAsia" w:ascii="宋体" w:hAnsi="宋体" w:eastAsia="宋体" w:cs="宋体"/>
                <w:color w:val="000000"/>
                <w:szCs w:val="22"/>
                <w:highlight w:val="none"/>
                <w:lang w:val="en-US" w:eastAsia="zh-CN"/>
              </w:rPr>
              <w:t xml:space="preserve">2</w:t>
            </w:r>
            <w:r>
              <w:rPr>
                <w:rFonts w:ascii="宋体" w:hAnsi="宋体" w:eastAsia="宋体" w:cs="宋体"/>
                <w:color w:val="000000"/>
                <w:szCs w:val="22"/>
                <w:highlight w:val="none"/>
                <w:lang w:val="en-US" w:eastAsia="zh-CN"/>
              </w:rPr>
              <w:t xml:space="preserve">.保障措施</w:t>
            </w:r>
            <w:r>
              <w:rPr>
                <w:rFonts w:hint="eastAsia" w:ascii="宋体" w:hAnsi="宋体" w:eastAsia="宋体" w:cs="宋体"/>
                <w:color w:val="000000"/>
                <w:szCs w:val="22"/>
                <w:highlight w:val="none"/>
                <w:lang w:val="en-US" w:eastAsia="zh-CN"/>
              </w:rPr>
              <w:t xml:space="preserve">、</w:t>
            </w:r>
            <w:r>
              <w:rPr>
                <w:rFonts w:ascii="宋体" w:hAnsi="宋体" w:eastAsia="宋体" w:cs="宋体"/>
                <w:color w:val="000000"/>
                <w:szCs w:val="22"/>
                <w:highlight w:val="none"/>
                <w:lang w:val="en-US" w:eastAsia="zh-CN"/>
              </w:rPr>
              <w:t xml:space="preserve">验收措施</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完整深刻、可行性强、紧贴采购需求的，得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较为完整深刻、可行性较强、能够满足采购需求的，得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基本完整、具有一定可行性、基本符合采购需求的，得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p>
          <w:p>
            <w:pPr>
              <w:pStyle w:val="1012"/>
              <w:ind w:left="0"/>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不合理可行或未提供方案的不得分。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pacing w:val="-4"/>
                <w:highlight w:val="none"/>
                <w:lang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lang w:val="en-US" w:eastAsia="zh-CN"/>
              </w:rPr>
              <w:t xml:space="preserve">2.5</w:t>
            </w:r>
            <w:r/>
          </w:p>
        </w:tc>
        <w:tc>
          <w:tcPr>
            <w:tcW w:w="134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系统对接方案</w:t>
            </w:r>
            <w:r/>
          </w:p>
        </w:tc>
        <w:tc>
          <w:tcPr>
            <w:tcW w:w="6164" w:type="dxa"/>
            <w:vAlign w:val="center"/>
            <w:textDirection w:val="lrTb"/>
            <w:noWrap w:val="false"/>
          </w:tcPr>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评委根据供应商提供的系统对接方案综合评分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highlight w:val="none"/>
                <w:lang w:val="en-US" w:eastAsia="zh-CN"/>
              </w:rPr>
              <w:t xml:space="preserve">包括1.接口技术标准与规范及对接安全保障措施；2.联调测试方案及接口运维与监控机制。</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紧贴采购需求、详尽合理、针对性强、技术先进可行的，得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满足采购需求、较为详尽合理、针对性较强、技术较先进可行的，得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基本符合采购需求、基本详尽合理、具有一定的针对性、基本可行的，得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zh-CN"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不合理可行或未提供方案的不得分。</w:t>
            </w:r>
            <w:r/>
          </w:p>
        </w:tc>
        <w:tc>
          <w:tcPr>
            <w:tcW w:w="647"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5</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sz w:val="21"/>
                <w:szCs w:val="22"/>
                <w:highlight w:val="none"/>
                <w:lang w:val="en-US" w:eastAsia="zh-CN" w:bidi="ar-SA"/>
              </w:rPr>
              <w:t xml:space="preserve">2.6</w:t>
            </w:r>
            <w:r/>
          </w:p>
        </w:tc>
        <w:tc>
          <w:tcPr>
            <w:tcW w:w="134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0"/>
                <w:highlight w:val="none"/>
                <w:lang w:val="en-US" w:eastAsia="zh-CN"/>
              </w:rPr>
            </w:pPr>
            <w:r>
              <w:rPr>
                <w:rFonts w:hint="eastAsia" w:ascii="Times New Roman" w:hAnsi="Times New Roman" w:eastAsia="宋体" w:cs="Times New Roman"/>
                <w:color w:val="000000"/>
                <w:highlight w:val="none"/>
                <w:lang w:val="en-US" w:eastAsia="zh-CN"/>
              </w:rPr>
              <w:t xml:space="preserve">视频演示</w:t>
            </w:r>
            <w:r/>
          </w:p>
        </w:tc>
        <w:tc>
          <w:tcPr>
            <w:tcW w:w="6164" w:type="dxa"/>
            <w:vAlign w:val="center"/>
            <w:textDirection w:val="lrTb"/>
            <w:noWrap w:val="false"/>
          </w:tcPr>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评委根据供应商提供的演示视频（总演示时间不超过20分钟）综合评分。演示视频包括以下内容：</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（1）电子文件管理（6分）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1）电子文件新增（2分）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支持通过文件类别管理对电子文件录入模板进行定制；支持对电子文件目录条目通过手工方式进行录入；支持对电子文件目录条目进行组件上传；录入的条目数据在挂接组件完成后支持不打开组件预览功能。</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2）数据导入（2分）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目录导入时，支持设置数据导入的匹配规则，根据匹配规则对EXCEL格式数据文件进行目录导入。</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3）组件批量上传（2分）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组件批量上传时，支持设置组件与目录对应规则，根据规则对组件进行批量挂接。</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（2）预归档管理（2分）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包括电子文件自动分类、手工设置类别、按顺序生成件号、自动生成档号、归档前加盖归档章、四性检测。</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（3）档案管理（6分）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1）档案新增（2分）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支持通过档案类别管理对档案录入模板进行定制；支持通过引导式帮助方式对档案目录条目通过手工方式进行录入；支持对电子文件目录条目进行组件上传；录入的条目数据在挂接组件完成后支持不打开组件预览功能。</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2）数据导入（2分）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支持通过引导式帮助方式进行目录导入，支持设置档案数据导入的匹配规则，根据匹配规则对EXCEL格式数据文件进行目录导入。</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3）组件批量上传（2分）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支持通过引导式帮助方式进行组件批量上传，支持设置组件与目录对应规则，根据规则对组件进行批量挂接。</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（4）档案保管期限鉴定（2分）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提供档案保管期限鉴定功能，提供鉴定人对档案进行预鉴定，对需继续保管的档案进行保管期限提升处理，并支持在审批过程中批量或单个档案进行保管期限调整，支持查看档案鉴定结果。</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（5）智能编研（2分）</w:t>
            </w:r>
            <w:r/>
          </w:p>
          <w:p>
            <w:pPr>
              <w:jc w:val="left"/>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可维护档案编研课题;支持根据课题需要从档案库或素材库中提取编研所需的数据推送给用户;支持档案跨门类模糊检索添加编研素材；支持全文检索方式添加编研素材。</w:t>
            </w:r>
            <w:r/>
          </w:p>
          <w:p>
            <w:pPr>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采用类似真实系统演示，每小项功能完整准确演示</w:t>
            </w:r>
            <w:r>
              <w:rPr>
                <w:rFonts w:hint="eastAsia" w:ascii="宋体" w:hAnsi="宋体" w:eastAsia="宋体" w:cs="宋体"/>
                <w:color w:val="000000"/>
                <w:highlight w:val="none"/>
                <w:lang w:val="en-US" w:eastAsia="zh-CN"/>
              </w:rPr>
              <w:t xml:space="preserve">得2分</w:t>
            </w:r>
            <w:r>
              <w:rPr>
                <w:rFonts w:hint="eastAsia" w:ascii="Times New Roman" w:hAnsi="Times New Roman" w:eastAsia="宋体" w:cs="Times New Roman"/>
                <w:color w:val="000000"/>
                <w:highlight w:val="none"/>
                <w:lang w:val="en-US" w:eastAsia="zh-CN"/>
              </w:rPr>
              <w:t xml:space="preserve">，最多</w:t>
            </w:r>
            <w:r>
              <w:rPr>
                <w:rFonts w:hint="eastAsia" w:ascii="宋体" w:hAnsi="宋体" w:eastAsia="宋体" w:cs="宋体"/>
                <w:color w:val="000000"/>
                <w:highlight w:val="none"/>
                <w:lang w:val="en-US" w:eastAsia="zh-CN"/>
              </w:rPr>
              <w:t xml:space="preserve">得18分</w:t>
            </w:r>
            <w:r>
              <w:rPr>
                <w:rFonts w:hint="eastAsia" w:ascii="Times New Roman" w:hAnsi="Times New Roman" w:eastAsia="宋体" w:cs="Times New Roman"/>
                <w:color w:val="000000"/>
                <w:highlight w:val="none"/>
                <w:lang w:val="en-US" w:eastAsia="zh-CN"/>
              </w:rPr>
              <w:t xml:space="preserve">；</w:t>
            </w:r>
            <w:r/>
          </w:p>
          <w:p>
            <w:pPr>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采用系统原型（</w:t>
            </w:r>
            <w:r>
              <w:rPr>
                <w:rFonts w:ascii="Times New Roman" w:hAnsi="Times New Roman" w:eastAsia="宋体" w:cs="Times New Roman"/>
                <w:color w:val="000000"/>
                <w:highlight w:val="none"/>
                <w:lang w:val="en-US" w:eastAsia="zh-CN"/>
              </w:rPr>
              <w:t xml:space="preserve">DEMO</w:t>
            </w:r>
            <w:r>
              <w:rPr>
                <w:rFonts w:hint="eastAsia" w:ascii="Times New Roman" w:hAnsi="Times New Roman" w:eastAsia="宋体" w:cs="Times New Roman"/>
                <w:color w:val="000000"/>
                <w:highlight w:val="none"/>
                <w:lang w:val="en-US" w:eastAsia="zh-CN"/>
              </w:rPr>
              <w:t xml:space="preserve">）演示，每小项功能完整准确演示</w:t>
            </w:r>
            <w:r>
              <w:rPr>
                <w:rFonts w:hint="eastAsia" w:ascii="宋体" w:hAnsi="宋体" w:eastAsia="宋体" w:cs="宋体"/>
                <w:color w:val="000000"/>
                <w:highlight w:val="none"/>
                <w:lang w:val="en-US" w:eastAsia="zh-CN"/>
              </w:rPr>
              <w:t xml:space="preserve">得1分</w:t>
            </w:r>
            <w:r>
              <w:rPr>
                <w:rFonts w:hint="eastAsia" w:ascii="Times New Roman" w:hAnsi="Times New Roman" w:eastAsia="宋体" w:cs="Times New Roman"/>
                <w:color w:val="000000"/>
                <w:highlight w:val="none"/>
                <w:lang w:val="en-US" w:eastAsia="zh-CN"/>
              </w:rPr>
              <w:t xml:space="preserve">，最多</w:t>
            </w:r>
            <w:r>
              <w:rPr>
                <w:rFonts w:hint="eastAsia" w:ascii="宋体" w:hAnsi="宋体" w:eastAsia="宋体" w:cs="宋体"/>
                <w:color w:val="000000"/>
                <w:highlight w:val="none"/>
                <w:lang w:val="en-US" w:eastAsia="zh-CN"/>
              </w:rPr>
              <w:t xml:space="preserve">得9分</w:t>
            </w:r>
            <w:r>
              <w:rPr>
                <w:rFonts w:hint="eastAsia" w:ascii="Times New Roman" w:hAnsi="Times New Roman" w:eastAsia="宋体" w:cs="Times New Roman"/>
                <w:color w:val="000000"/>
                <w:highlight w:val="none"/>
                <w:lang w:val="en-US" w:eastAsia="zh-CN"/>
              </w:rPr>
              <w:t xml:space="preserve">；</w:t>
            </w:r>
            <w:r/>
          </w:p>
          <w:p>
            <w:pPr>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采用PPT等方式演示，每小项功能完整准确演示得0.5分，最多得4.5分。 </w:t>
            </w:r>
            <w:r/>
          </w:p>
          <w:p>
            <w:pPr>
              <w:jc w:val="left"/>
              <w:spacing w:line="264" w:lineRule="auto"/>
              <w:rPr>
                <w:rFonts w:hint="eastAsia"/>
                <w:color w:val="000000"/>
                <w:highlight w:val="none"/>
                <w:lang w:val="en-US" w:eastAsia="zh-CN"/>
              </w:rPr>
            </w:pPr>
            <w:r>
              <w:rPr>
                <w:rFonts w:hint="eastAsia" w:ascii="Times New Roman" w:hAnsi="Times New Roman" w:eastAsia="宋体" w:cs="Times New Roman"/>
                <w:color w:val="000000"/>
                <w:highlight w:val="none"/>
                <w:lang w:val="en-US" w:eastAsia="zh-CN"/>
              </w:rPr>
              <w:t xml:space="preserve">（未提供视频文件或因供应商自身原因视频文件无法打开或视频画面不清晰无法辨认的不得分。）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highlight w:val="none"/>
                <w:lang w:eastAsia="zh-CN"/>
              </w:rPr>
            </w:pPr>
            <w:r>
              <w:rPr>
                <w:rFonts w:hint="eastAsia" w:ascii="宋体" w:hAnsi="宋体" w:eastAsia="宋体" w:cs="宋体"/>
                <w:color w:val="000000"/>
                <w:spacing w:val="-6"/>
                <w:highlight w:val="none"/>
                <w:lang w:val="en-US" w:eastAsia="zh-CN"/>
              </w:rPr>
              <w:t xml:space="preserve">客</w:t>
            </w:r>
            <w:r>
              <w:rPr>
                <w:rFonts w:hint="eastAsia" w:ascii="宋体" w:hAnsi="宋体" w:eastAsia="宋体" w:cs="宋体"/>
                <w:color w:val="000000"/>
                <w:spacing w:val="-6"/>
                <w:highlight w:val="none"/>
                <w:lang w:eastAsia="zh-CN"/>
              </w:rPr>
              <w:t xml:space="preserve">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3.1</w:t>
            </w:r>
            <w:r/>
          </w:p>
        </w:tc>
        <w:tc>
          <w:tcPr>
            <w:tcW w:w="1345" w:type="dxa"/>
            <w:vAlign w:val="center"/>
            <w:textDirection w:val="lrTb"/>
            <w:noWrap w:val="false"/>
          </w:tcPr>
          <w:p>
            <w:pPr>
              <w:jc w:val="both"/>
              <w:keepLines w:val="0"/>
              <w:keepNext w:val="0"/>
              <w:pageBreakBefore w:val="0"/>
              <w:spacing w:before="0" w:line="264" w:lineRule="auto"/>
              <w:widowControl w:val="off"/>
              <w:rPr>
                <w:rFonts w:hint="eastAsia" w:ascii="宋体" w:hAnsi="宋体" w:eastAsia="宋体" w:cs="宋体"/>
                <w:color w:val="000000"/>
                <w:spacing w:val="-2"/>
                <w:highlight w:val="none"/>
                <w:lang w:val="en-US" w:eastAsia="zh-CN"/>
              </w:rPr>
            </w:pPr>
            <w:r>
              <w:rPr>
                <w:rFonts w:hint="eastAsia" w:ascii="Times New Roman" w:hAnsi="Times New Roman" w:eastAsia="宋体" w:cs="Times New Roman"/>
                <w:color w:val="000000"/>
                <w:spacing w:val="0"/>
                <w:highlight w:val="none"/>
                <w:lang w:val="en-US" w:eastAsia="zh-CN"/>
              </w:rPr>
              <w:t xml:space="preserve">维保服务方案</w:t>
            </w:r>
            <w:r/>
          </w:p>
        </w:tc>
        <w:tc>
          <w:tcPr>
            <w:tcW w:w="6164" w:type="dxa"/>
            <w:vAlign w:val="center"/>
            <w:textDirection w:val="lrTb"/>
            <w:noWrap w:val="false"/>
          </w:tcPr>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评委根据</w:t>
            </w:r>
            <w:r>
              <w:rPr>
                <w:rFonts w:hint="eastAsia" w:ascii="宋体" w:hAnsi="宋体" w:eastAsia="宋体" w:cs="宋体"/>
                <w:color w:val="000000"/>
                <w:highlight w:val="none"/>
                <w:lang w:val="en-US" w:eastAsia="zh-CN"/>
              </w:rPr>
              <w:t xml:space="preserve">供应商</w:t>
            </w:r>
            <w:r>
              <w:rPr>
                <w:rFonts w:ascii="宋体" w:hAnsi="宋体" w:eastAsia="宋体" w:cs="宋体"/>
                <w:color w:val="000000"/>
                <w:highlight w:val="none"/>
                <w:lang w:val="en-US" w:eastAsia="zh-CN"/>
              </w:rPr>
              <w:t xml:space="preserve">提供的维保服务方案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highlight w:val="none"/>
                <w:lang w:val="en-US" w:eastAsia="zh-CN"/>
              </w:rPr>
              <w:t xml:space="preserve">包括</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服务措施</w:t>
            </w:r>
            <w:r>
              <w:rPr>
                <w:rFonts w:hint="eastAsia" w:ascii="宋体" w:hAnsi="宋体" w:eastAsia="宋体" w:cs="宋体"/>
                <w:color w:val="000000"/>
                <w:highlight w:val="none"/>
                <w:lang w:val="en-US" w:eastAsia="zh-CN"/>
              </w:rPr>
              <w:t xml:space="preserve">及</w:t>
            </w:r>
            <w:r>
              <w:rPr>
                <w:rFonts w:ascii="宋体" w:hAnsi="宋体" w:eastAsia="宋体" w:cs="宋体"/>
                <w:color w:val="000000"/>
                <w:highlight w:val="none"/>
                <w:lang w:val="en-US" w:eastAsia="zh-CN"/>
              </w:rPr>
              <w:t xml:space="preserve">应急举措</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t xml:space="preserve">服务流程及服务保障体系</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紧贴采购需求、详尽合理、针对性强、技术先进可行的，得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满足采购需求、较为详尽合理、针对性较强、技术较先进可行的，得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基本符合采购需求、基本详尽合理、具有一定的针对性、基本可行的，得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p>
          <w:p>
            <w:pPr>
              <w:pStyle w:val="1012"/>
              <w:ind w:left="0"/>
              <w:spacing w:line="264" w:lineRule="auto"/>
              <w:rPr>
                <w:rFonts w:ascii="宋体" w:hAnsi="宋体" w:eastAsia="宋体" w:cs="宋体"/>
                <w:color w:val="000000"/>
                <w:highlight w:val="none"/>
                <w:lang w:val="zh-CN"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不合理可行或未提供方案的不得分。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ascii="宋体" w:hAnsi="宋体" w:eastAsia="宋体" w:cs="宋体"/>
                <w:color w:val="000000"/>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ascii="宋体" w:hAnsi="宋体" w:eastAsia="宋体" w:cs="宋体"/>
                <w:color w:val="000000"/>
                <w:spacing w:val="-6"/>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3.2</w:t>
            </w:r>
            <w:r/>
          </w:p>
        </w:tc>
        <w:tc>
          <w:tcPr>
            <w:tcW w:w="1345" w:type="dxa"/>
            <w:vAlign w:val="center"/>
            <w:textDirection w:val="lrTb"/>
            <w:noWrap w:val="false"/>
          </w:tcPr>
          <w:p>
            <w:pPr>
              <w:jc w:val="both"/>
              <w:keepLines w:val="0"/>
              <w:keepNext w:val="0"/>
              <w:pageBreakBefore w:val="0"/>
              <w:spacing w:before="0" w:line="264" w:lineRule="auto"/>
              <w:widowControl w:val="off"/>
              <w:rPr>
                <w:rFonts w:hint="eastAsia" w:ascii="宋体" w:hAnsi="宋体" w:eastAsia="宋体" w:cs="宋体"/>
                <w:color w:val="000000"/>
                <w:spacing w:val="-2"/>
                <w:highlight w:val="none"/>
                <w:lang w:val="en-US" w:eastAsia="zh-CN"/>
              </w:rPr>
            </w:pPr>
            <w:r>
              <w:rPr>
                <w:rFonts w:hint="eastAsia" w:ascii="Times New Roman" w:hAnsi="Times New Roman" w:eastAsia="宋体" w:cs="Times New Roman"/>
                <w:color w:val="000000"/>
                <w:spacing w:val="0"/>
                <w:highlight w:val="none"/>
                <w:lang w:val="en-US" w:eastAsia="zh-CN"/>
              </w:rPr>
              <w:t xml:space="preserve">培训方案</w:t>
            </w:r>
            <w:r/>
          </w:p>
        </w:tc>
        <w:tc>
          <w:tcPr>
            <w:tcW w:w="6164" w:type="dxa"/>
            <w:vAlign w:val="center"/>
            <w:textDirection w:val="lrTb"/>
            <w:noWrap w:val="false"/>
          </w:tcPr>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评委根据</w:t>
            </w:r>
            <w:r>
              <w:rPr>
                <w:rFonts w:hint="eastAsia" w:ascii="宋体" w:hAnsi="宋体" w:eastAsia="宋体" w:cs="宋体"/>
                <w:color w:val="000000"/>
                <w:highlight w:val="none"/>
                <w:lang w:val="en-US" w:eastAsia="zh-CN"/>
              </w:rPr>
              <w:t xml:space="preserve">供应商</w:t>
            </w:r>
            <w:r>
              <w:rPr>
                <w:rFonts w:ascii="宋体" w:hAnsi="宋体" w:eastAsia="宋体" w:cs="宋体"/>
                <w:color w:val="000000"/>
                <w:highlight w:val="none"/>
                <w:lang w:val="en-US" w:eastAsia="zh-CN"/>
              </w:rPr>
              <w:t xml:space="preserve">提供的项目培训方案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包括</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培训计划</w:t>
            </w:r>
            <w:r>
              <w:rPr>
                <w:rFonts w:hint="eastAsia" w:ascii="宋体" w:hAnsi="宋体" w:eastAsia="宋体" w:cs="宋体"/>
                <w:color w:val="000000"/>
                <w:sz w:val="21"/>
                <w:szCs w:val="21"/>
                <w:highlight w:val="none"/>
                <w:lang w:val="en-US" w:eastAsia="zh-CN" w:bidi="ar-SA"/>
              </w:rPr>
              <w:t xml:space="preserve">及.</w:t>
            </w:r>
            <w:r>
              <w:rPr>
                <w:rFonts w:ascii="宋体" w:hAnsi="宋体" w:eastAsia="宋体" w:cs="宋体"/>
                <w:color w:val="000000"/>
                <w:sz w:val="21"/>
                <w:szCs w:val="21"/>
                <w:highlight w:val="none"/>
                <w:lang w:val="en-US" w:eastAsia="zh-CN" w:bidi="ar-SA"/>
              </w:rPr>
              <w:t xml:space="preserve">培训内容</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师资力量</w:t>
            </w:r>
            <w:r>
              <w:rPr>
                <w:rFonts w:hint="eastAsia" w:ascii="宋体" w:hAnsi="宋体" w:eastAsia="宋体" w:cs="宋体"/>
                <w:color w:val="000000"/>
                <w:sz w:val="21"/>
                <w:szCs w:val="21"/>
                <w:highlight w:val="none"/>
                <w:lang w:val="en-US" w:eastAsia="zh-CN" w:bidi="ar-SA"/>
              </w:rPr>
              <w:t xml:space="preserve">及培训材料</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紧贴采购需求、详尽合理、针对性强、先进可行的，得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满足采购需求、较为详尽合理、针对性较强、较先进可行的，得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基本符合采购需求、基本详尽合理、具有一定的针对性、基本可行的，得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p>
          <w:p>
            <w:pPr>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不合理可行或未提供方案的不得分。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ascii="宋体" w:hAnsi="宋体" w:eastAsia="宋体" w:cs="宋体"/>
                <w:color w:val="000000"/>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ascii="宋体" w:hAnsi="宋体" w:eastAsia="宋体" w:cs="宋体"/>
                <w:color w:val="000000"/>
                <w:spacing w:val="-6"/>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3.3</w:t>
            </w:r>
            <w:r/>
          </w:p>
        </w:tc>
        <w:tc>
          <w:tcPr>
            <w:tcW w:w="1345"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p>
        </w:tc>
        <w:tc>
          <w:tcPr>
            <w:tcW w:w="6164"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highlight w:val="none"/>
                <w:lang w:val="en-US" w:eastAsia="zh-CN"/>
              </w:rPr>
              <w:t xml:space="preserve">供应商具有本地化服务能力的得</w:t>
            </w: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分。（提供承诺书或有效证明材料）</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4.业绩</w:t>
            </w:r>
            <w:r/>
          </w:p>
        </w:tc>
      </w:tr>
      <w:tr>
        <w:trPr>
          <w:jc w:val="center"/>
          <w:trHeight w:val="146"/>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p>
        </w:tc>
        <w:tc>
          <w:tcPr>
            <w:tcW w:w="1345"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1"/>
                <w:highlight w:val="none"/>
                <w:lang w:eastAsia="zh-CN"/>
              </w:rPr>
              <w:t xml:space="preserve">供应商</w:t>
            </w:r>
            <w:r>
              <w:rPr>
                <w:rFonts w:ascii="宋体" w:hAnsi="宋体" w:eastAsia="宋体" w:cs="宋体"/>
                <w:color w:val="000000"/>
                <w:spacing w:val="-1"/>
                <w:highlight w:val="none"/>
              </w:rPr>
              <w:t xml:space="preserve">业绩</w:t>
            </w:r>
            <w:r/>
          </w:p>
        </w:tc>
        <w:tc>
          <w:tcPr>
            <w:tcW w:w="6164" w:type="dxa"/>
            <w:vAlign w:val="center"/>
            <w:textDirection w:val="lrTb"/>
            <w:noWrap w:val="false"/>
          </w:tcPr>
          <w:p>
            <w:pPr>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eastAsia="宋体" w:cs="宋体"/>
                <w:color w:val="000000"/>
                <w:highlight w:val="none"/>
                <w:lang w:val="en-US" w:eastAsia="zh-CN"/>
              </w:rPr>
              <w:t xml:space="preserve">供应商提供2022年1月1日至今（以合同签订日期为准）与本项目类似的档案管理系统建设业绩，每提供一个业绩得2分，满分6分。</w:t>
            </w:r>
            <w:r>
              <w:rPr>
                <w:rFonts w:ascii="宋体" w:hAnsi="宋体" w:eastAsia="宋体" w:cs="宋体"/>
                <w:color w:val="000000"/>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highlight w:val="none"/>
                <w:lang w:val="en-US" w:eastAsia="zh-CN"/>
              </w:rPr>
              <w:t xml:space="preserve">提供有效合同，合同</w:t>
            </w:r>
            <w:r>
              <w:rPr>
                <w:rFonts w:hint="eastAsia" w:ascii="宋体" w:hAnsi="宋体" w:eastAsia="宋体" w:cs="宋体"/>
                <w:color w:val="000000"/>
                <w:highlight w:val="none"/>
                <w:lang w:val="en-US" w:eastAsia="zh-CN"/>
              </w:rPr>
              <w:t xml:space="preserve">页</w:t>
            </w:r>
            <w:r>
              <w:rPr>
                <w:rFonts w:ascii="宋体" w:hAnsi="宋体" w:eastAsia="宋体" w:cs="宋体"/>
                <w:color w:val="000000"/>
                <w:highlight w:val="none"/>
                <w:lang w:val="en-US" w:eastAsia="zh-CN"/>
              </w:rPr>
              <w:t xml:space="preserve">须清晰可见相应内容</w:t>
            </w:r>
            <w:r>
              <w:rPr>
                <w:rFonts w:ascii="宋体" w:hAnsi="宋体" w:eastAsia="宋体" w:cs="宋体"/>
                <w:color w:val="000000"/>
                <w:sz w:val="21"/>
                <w:szCs w:val="22"/>
                <w:highlight w:val="none"/>
                <w:lang w:val="en-US" w:eastAsia="zh-CN" w:bidi="ar-SA"/>
              </w:rPr>
              <w:t xml:space="preserve">）</w:t>
            </w:r>
            <w:r/>
          </w:p>
        </w:tc>
        <w:tc>
          <w:tcPr>
            <w:tcW w:w="64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.1</w:t>
            </w:r>
            <w:r/>
          </w:p>
        </w:tc>
        <w:tc>
          <w:tcPr>
            <w:tcW w:w="1345" w:type="dxa"/>
            <w:vAlign w:val="center"/>
            <w:textDirection w:val="lrTb"/>
            <w:noWrap w:val="false"/>
          </w:tcPr>
          <w:p>
            <w:pPr>
              <w:jc w:val="both"/>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履约能力1</w:t>
            </w:r>
            <w:r/>
          </w:p>
        </w:tc>
        <w:tc>
          <w:tcPr>
            <w:tcW w:w="6164" w:type="dxa"/>
            <w:vAlign w:val="center"/>
            <w:textDirection w:val="lrTb"/>
            <w:noWrap w:val="false"/>
          </w:tcPr>
          <w:p>
            <w:pPr>
              <w:numPr>
                <w:ilvl w:val="0"/>
                <w:numId w:val="5"/>
              </w:numPr>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项目经理能力：</w:t>
            </w:r>
            <w:r/>
          </w:p>
          <w:p>
            <w:pPr>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具有人力资源和社会保障厅颁发的高级信息系统项目管理师证书、计算机应用技术高级专业技术资格证书，每提供1个证书得2分，最多得4分。</w:t>
            </w:r>
            <w:r/>
          </w:p>
          <w:p>
            <w:pPr>
              <w:numPr>
                <w:ilvl w:val="0"/>
                <w:numId w:val="5"/>
              </w:numPr>
              <w:ind w:left="0" w:firstLine="0"/>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技术负责人能力：</w:t>
            </w:r>
            <w:r/>
          </w:p>
          <w:p>
            <w:pPr>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具有人力资源和社会保障厅颁发的高级信息系统项目管理师证书、高级系统架构设计师证书、高级系统规划与管理师证书，每提供1个证书得2分，最多得6分。</w:t>
            </w:r>
            <w:r/>
          </w:p>
          <w:p>
            <w:pPr>
              <w:jc w:val="both"/>
              <w:keepLines w:val="0"/>
              <w:keepNext w:val="0"/>
              <w:pageBreakBefore w:val="0"/>
              <w:spacing w:line="264" w:lineRule="auto"/>
              <w:widowControl w:val="off"/>
              <w:rPr>
                <w:color w:val="000000"/>
                <w:highlight w:val="none"/>
                <w:lang w:val="en-US" w:eastAsia="zh-CN"/>
              </w:rPr>
            </w:pPr>
            <w:r>
              <w:rPr>
                <w:rFonts w:ascii="宋体" w:hAnsi="宋体" w:eastAsia="宋体" w:cs="宋体"/>
                <w:color w:val="000000"/>
                <w:highlight w:val="none"/>
                <w:lang w:val="zh-CN" w:eastAsia="zh-CN"/>
              </w:rPr>
              <w:t xml:space="preserve">（提供上述</w:t>
            </w:r>
            <w:r>
              <w:rPr>
                <w:rFonts w:hint="eastAsia" w:ascii="宋体" w:hAnsi="宋体" w:eastAsia="宋体" w:cs="宋体"/>
                <w:color w:val="000000"/>
                <w:highlight w:val="none"/>
                <w:lang w:val="zh-CN" w:eastAsia="zh-CN"/>
              </w:rPr>
              <w:t xml:space="preserve">人员</w:t>
            </w:r>
            <w:r>
              <w:rPr>
                <w:rFonts w:ascii="宋体" w:hAnsi="宋体" w:eastAsia="宋体" w:cs="宋体"/>
                <w:color w:val="000000"/>
                <w:highlight w:val="none"/>
                <w:lang w:val="zh-CN" w:eastAsia="zh-CN"/>
              </w:rPr>
              <w:t xml:space="preserve">证书</w:t>
            </w:r>
            <w:r>
              <w:rPr>
                <w:rFonts w:hint="eastAsia" w:ascii="宋体" w:hAnsi="宋体" w:eastAsia="宋体" w:cs="宋体"/>
                <w:color w:val="000000"/>
                <w:highlight w:val="none"/>
                <w:lang w:val="zh-CN" w:eastAsia="zh-CN"/>
              </w:rPr>
              <w:t xml:space="preserve">，供应商</w:t>
            </w:r>
            <w:r>
              <w:rPr>
                <w:rFonts w:ascii="宋体" w:hAnsi="宋体" w:eastAsia="宋体" w:cs="宋体"/>
                <w:color w:val="000000"/>
                <w:highlight w:val="none"/>
                <w:lang w:val="zh-CN" w:eastAsia="zh-CN"/>
              </w:rPr>
              <w:t xml:space="preserve">为其缴纳的</w:t>
            </w:r>
            <w:r>
              <w:rPr>
                <w:rFonts w:ascii="宋体" w:hAnsi="宋体" w:eastAsia="宋体" w:cs="宋体"/>
                <w:color w:val="000000"/>
                <w:szCs w:val="22"/>
                <w:highlight w:val="none"/>
                <w:lang w:val="en-US" w:eastAsia="zh-CN"/>
              </w:rPr>
              <w:t xml:space="preserve">20</w:t>
            </w:r>
            <w:r>
              <w:rPr>
                <w:rFonts w:hint="eastAsia" w:ascii="宋体" w:hAnsi="宋体" w:eastAsia="宋体" w:cs="宋体"/>
                <w:color w:val="000000"/>
                <w:szCs w:val="22"/>
                <w:highlight w:val="none"/>
                <w:lang w:val="en-US" w:eastAsia="zh-CN"/>
              </w:rPr>
              <w:t xml:space="preserve">25</w:t>
            </w:r>
            <w:r>
              <w:rPr>
                <w:rFonts w:ascii="宋体" w:hAnsi="宋体" w:eastAsia="宋体" w:cs="宋体"/>
                <w:color w:val="000000"/>
                <w:szCs w:val="22"/>
                <w:highlight w:val="none"/>
                <w:lang w:val="zh-CN" w:eastAsia="zh-CN"/>
              </w:rPr>
              <w:t xml:space="preserve">年</w:t>
            </w:r>
            <w:r>
              <w:rPr>
                <w:rFonts w:hint="eastAsia" w:ascii="宋体" w:hAnsi="宋体" w:eastAsia="宋体" w:cs="宋体"/>
                <w:color w:val="000000"/>
                <w:szCs w:val="22"/>
                <w:highlight w:val="none"/>
                <w:lang w:val="en-US" w:eastAsia="zh-CN"/>
              </w:rPr>
              <w:t xml:space="preserve">9</w:t>
            </w:r>
            <w:r>
              <w:rPr>
                <w:rFonts w:ascii="宋体" w:hAnsi="宋体" w:eastAsia="宋体" w:cs="宋体"/>
                <w:color w:val="000000"/>
                <w:szCs w:val="22"/>
                <w:highlight w:val="none"/>
                <w:lang w:val="zh-CN" w:eastAsia="zh-CN"/>
              </w:rPr>
              <w:t xml:space="preserve">月</w:t>
            </w:r>
            <w:r>
              <w:rPr>
                <w:rFonts w:ascii="宋体" w:hAnsi="宋体" w:eastAsia="宋体" w:cs="宋体"/>
                <w:color w:val="000000"/>
                <w:highlight w:val="none"/>
                <w:lang w:val="zh-CN" w:eastAsia="zh-CN"/>
              </w:rPr>
              <w:t xml:space="preserve">以来任意一个月的社保证明</w:t>
            </w:r>
            <w:r>
              <w:rPr>
                <w:rFonts w:hint="eastAsia" w:ascii="宋体" w:hAnsi="宋体" w:eastAsia="宋体" w:cs="宋体"/>
                <w:color w:val="000000"/>
                <w:highlight w:val="none"/>
                <w:lang w:val="zh-CN" w:eastAsia="zh-CN"/>
              </w:rPr>
              <w:t xml:space="preserve">材料</w:t>
            </w:r>
            <w:r>
              <w:rPr>
                <w:rFonts w:ascii="宋体" w:hAnsi="宋体" w:eastAsia="宋体" w:cs="宋体"/>
                <w:color w:val="000000"/>
                <w:highlight w:val="none"/>
                <w:lang w:val="zh-CN" w:eastAsia="zh-CN"/>
              </w:rPr>
              <w:t xml:space="preserve">，缺一不可）</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.2</w:t>
            </w:r>
            <w:r/>
          </w:p>
        </w:tc>
        <w:tc>
          <w:tcPr>
            <w:tcW w:w="1345" w:type="dxa"/>
            <w:vAlign w:val="center"/>
            <w:textDirection w:val="lrTb"/>
            <w:noWrap w:val="false"/>
          </w:tcPr>
          <w:p>
            <w:pPr>
              <w:jc w:val="both"/>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履约能力2</w:t>
            </w:r>
            <w:r/>
          </w:p>
        </w:tc>
        <w:tc>
          <w:tcPr>
            <w:tcW w:w="6164"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项目实施团队能力（不含项目经理和技术负责人）：</w:t>
            </w:r>
            <w:r/>
          </w:p>
          <w:p>
            <w:pPr>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团队成员具有</w:t>
            </w:r>
            <w:r>
              <w:rPr>
                <w:rFonts w:hint="eastAsia" w:ascii="宋体" w:hAnsi="宋体" w:eastAsia="宋体" w:cs="宋体"/>
                <w:color w:val="000000"/>
                <w:szCs w:val="22"/>
                <w:highlight w:val="none"/>
                <w:lang w:val="en-US" w:eastAsia="zh-CN"/>
              </w:rPr>
              <w:t xml:space="preserve">档案局颁发的档案专业初级专业技术资格</w:t>
            </w:r>
            <w:r>
              <w:rPr>
                <w:rFonts w:hint="eastAsia" w:ascii="宋体" w:hAnsi="宋体" w:eastAsia="宋体" w:cs="宋体"/>
                <w:color w:val="000000"/>
                <w:highlight w:val="none"/>
                <w:lang w:val="en-US" w:eastAsia="zh-CN"/>
              </w:rPr>
              <w:t xml:space="preserve">证书，每提供1人得2分，最高得4分。</w:t>
            </w:r>
            <w:r/>
          </w:p>
          <w:p>
            <w:pPr>
              <w:jc w:val="both"/>
              <w:keepLines w:val="0"/>
              <w:keepNext w:val="0"/>
              <w:pageBreakBefore w:val="0"/>
              <w:spacing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（提供团队成员证书，供应商为其缴纳的 </w:t>
            </w:r>
            <w:r>
              <w:rPr>
                <w:rFonts w:ascii="宋体" w:hAnsi="宋体" w:eastAsia="宋体" w:cs="宋体"/>
                <w:color w:val="000000"/>
                <w:szCs w:val="22"/>
                <w:highlight w:val="none"/>
                <w:lang w:val="en-US" w:eastAsia="zh-CN"/>
              </w:rPr>
              <w:t xml:space="preserve">20</w:t>
            </w:r>
            <w:r>
              <w:rPr>
                <w:rFonts w:hint="eastAsia" w:ascii="宋体" w:hAnsi="宋体" w:eastAsia="宋体" w:cs="宋体"/>
                <w:color w:val="000000"/>
                <w:szCs w:val="22"/>
                <w:highlight w:val="none"/>
                <w:lang w:val="en-US" w:eastAsia="zh-CN"/>
              </w:rPr>
              <w:t xml:space="preserve">25年9月</w:t>
            </w:r>
            <w:r>
              <w:rPr>
                <w:rFonts w:hint="eastAsia" w:ascii="宋体" w:hAnsi="宋体" w:eastAsia="宋体" w:cs="宋体"/>
                <w:color w:val="000000"/>
                <w:highlight w:val="none"/>
                <w:lang w:val="en-US" w:eastAsia="zh-CN"/>
              </w:rPr>
              <w:t xml:space="preserve">以来任意一个月的社保证明材料，缺一不可）</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5.3</w:t>
            </w:r>
            <w:r/>
          </w:p>
        </w:tc>
        <w:tc>
          <w:tcPr>
            <w:tcW w:w="1345" w:type="dxa"/>
            <w:vAlign w:val="center"/>
            <w:textDirection w:val="lrTb"/>
            <w:noWrap w:val="false"/>
          </w:tcPr>
          <w:p>
            <w:pPr>
              <w:jc w:val="both"/>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履约能力3</w:t>
            </w:r>
            <w:r/>
          </w:p>
        </w:tc>
        <w:tc>
          <w:tcPr>
            <w:tcW w:w="6164" w:type="dxa"/>
            <w:vAlign w:val="center"/>
            <w:textDirection w:val="lrTb"/>
            <w:noWrap w:val="false"/>
          </w:tcPr>
          <w:p>
            <w:pPr>
              <w:jc w:val="both"/>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（1）供应商具有数字档案综合管理平台软件、电子档案长期保存系统、电子档案数据移交接收系统等软著证书，每提供一个得1分，最多得3分。</w:t>
            </w:r>
            <w:r/>
          </w:p>
          <w:p>
            <w:pPr>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（2）供应商具有档案类或数据类专利证书的，每提供一个得2分，最多得6分。</w:t>
            </w:r>
            <w:r/>
          </w:p>
          <w:p>
            <w:pPr>
              <w:jc w:val="both"/>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color w:val="000000"/>
                <w:highlight w:val="none"/>
                <w:lang w:val="en-US" w:eastAsia="zh-CN"/>
              </w:rPr>
              <w:t xml:space="preserve">（提供上述相关有效证书，所提供证书“软件名称”与评分细则规定不同时，应提供符合上述要求的内容（功能）说明及关键信息，否则不予认可。）</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9</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p>
        </w:tc>
      </w:tr>
      <w:tr>
        <w:trPr>
          <w:jc w:val="center"/>
          <w:trHeight w:val="431"/>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pacing w:val="-6"/>
                <w:highlight w:val="none"/>
              </w:rPr>
            </w:pPr>
            <w:r>
              <w:rPr>
                <w:rFonts w:hint="eastAsia" w:ascii="宋体" w:hAnsi="宋体" w:eastAsia="宋体" w:cs="宋体"/>
                <w:b/>
                <w:bCs/>
                <w:color w:val="000000"/>
                <w:spacing w:val="-3"/>
                <w:highlight w:val="none"/>
                <w:lang w:val="en-US" w:eastAsia="zh-CN"/>
              </w:rPr>
              <w:t xml:space="preserve">6.环保</w:t>
            </w:r>
            <w:r/>
          </w:p>
        </w:tc>
      </w:tr>
      <w:tr>
        <w:trPr>
          <w:jc w:val="center"/>
          <w:trHeight w:val="676"/>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6.1</w:t>
            </w:r>
            <w:r/>
          </w:p>
        </w:tc>
        <w:tc>
          <w:tcPr>
            <w:tcW w:w="1345"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00"/>
                <w:spacing w:val="-1"/>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环保</w:t>
            </w:r>
            <w:r/>
          </w:p>
        </w:tc>
        <w:tc>
          <w:tcPr>
            <w:tcW w:w="6164" w:type="dxa"/>
            <w:vAlign w:val="center"/>
            <w:textDirection w:val="lrTb"/>
            <w:noWrap w:val="false"/>
          </w:tcPr>
          <w:p>
            <w:pPr>
              <w:jc w:val="both"/>
              <w:keepLines w:val="0"/>
              <w:keepNext w:val="0"/>
              <w:pageBreakBefore w:val="0"/>
              <w:spacing w:line="264" w:lineRule="auto"/>
              <w:widowControl w:val="off"/>
              <w:rPr>
                <w:color w:val="000000"/>
                <w:highlight w:val="none"/>
                <w:lang w:val="en-US" w:eastAsia="zh-CN"/>
              </w:rPr>
            </w:pPr>
            <w:r>
              <w:rPr>
                <w:rFonts w:ascii="宋体" w:hAnsi="宋体" w:eastAsia="宋体" w:cs="宋体"/>
                <w:color w:val="000000"/>
                <w:highlight w:val="none"/>
                <w:lang w:val="en-US" w:eastAsia="zh-CN"/>
              </w:rPr>
              <w:t xml:space="preserve">投标产品属于财政部、生态环境部公布的“环境标志产品品目清单”范围内的，</w:t>
            </w:r>
            <w:r>
              <w:rPr>
                <w:rFonts w:hint="eastAsia" w:ascii="宋体" w:hAnsi="宋体" w:eastAsia="宋体" w:cs="宋体"/>
                <w:color w:val="000000"/>
                <w:highlight w:val="none"/>
                <w:lang w:val="en-US" w:eastAsia="zh-CN"/>
              </w:rPr>
              <w:t xml:space="preserve">供应商</w:t>
            </w:r>
            <w:r>
              <w:rPr>
                <w:rFonts w:ascii="宋体" w:hAnsi="宋体" w:eastAsia="宋体" w:cs="宋体"/>
                <w:color w:val="000000"/>
                <w:highlight w:val="none"/>
                <w:lang w:val="en-US" w:eastAsia="zh-CN"/>
              </w:rPr>
              <w:t xml:space="preserve">提供国家确定的认证机构出具的、处于有效期内的该环保产品认证证书的，得1分。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1</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547" w:type="dxa"/>
            <w:vAlign w:val="center"/>
            <w:textDirection w:val="lrTb"/>
            <w:noWrap w:val="false"/>
          </w:tcPr>
          <w:p>
            <w:pPr>
              <w:jc w:val="center"/>
              <w:keepLines w:val="0"/>
              <w:keepNext w:val="0"/>
              <w:pageBreakBefore w:val="0"/>
              <w:spacing w:line="264" w:lineRule="auto"/>
              <w:widowControl w:val="off"/>
              <w:rPr>
                <w:color w:val="000000"/>
                <w:highlight w:val="none"/>
              </w:rPr>
            </w:pPr>
            <w:r>
              <w:rPr>
                <w:rFonts w:ascii="宋体" w:hAnsi="宋体" w:eastAsia="宋体" w:cs="宋体"/>
                <w:color w:val="000000"/>
                <w:spacing w:val="-11"/>
                <w:highlight w:val="none"/>
              </w:rPr>
              <w:t xml:space="preserve">100分</w:t>
            </w:r>
            <w:r/>
          </w:p>
        </w:tc>
      </w:tr>
    </w:tbl>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highlight w:val="none"/>
          <w:lang w:val="en-US" w:eastAsia="zh-CN"/>
        </w:rPr>
        <w:t xml:space="preserve">响应文件格式</w:t>
      </w:r>
      <w:r/>
    </w:p>
    <w:p>
      <w:pPr>
        <w:jc w:val="center"/>
        <w:rPr>
          <w:rFonts w:hint="eastAsia" w:ascii="宋体" w:hAnsi="宋体"/>
          <w:b/>
          <w:color w:val="000000"/>
          <w:sz w:val="72"/>
          <w:szCs w:val="21"/>
          <w:highlight w:val="none"/>
        </w:rPr>
      </w:pPr>
      <w:r/>
      <w:bookmarkStart w:id="21" w:name="_Hlt26671244"/>
      <w:r/>
      <w:bookmarkEnd w:id="21"/>
      <w:r/>
      <w:bookmarkStart w:id="22" w:name="_Hlt26955039"/>
      <w:r/>
      <w:bookmarkEnd w:id="22"/>
      <w:r/>
      <w:bookmarkStart w:id="23" w:name="_Toc120614282"/>
      <w:r/>
      <w:bookmarkStart w:id="24" w:name="_Toc26554094"/>
      <w:r/>
      <w:bookmarkStart w:id="25"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p>
    <w:p>
      <w:pPr>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p>
    <w:p>
      <w:pPr>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50"/>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spacing w:line="44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1012"/>
        <w:rPr>
          <w:rFonts w:hint="eastAsia"/>
          <w:color w:val="000000"/>
          <w:highlight w:val="none"/>
        </w:rPr>
      </w:pPr>
      <w:r>
        <w:rPr>
          <w:rFonts w:hint="eastAsia"/>
          <w:color w:val="000000"/>
          <w:highlight w:val="none"/>
        </w:rPr>
      </w:r>
      <w:bookmarkEnd w:id="23"/>
      <w:r/>
      <w:bookmarkEnd w:id="24"/>
      <w:r/>
      <w:bookmarkEnd w:id="25"/>
      <w:r/>
      <w:r/>
    </w:p>
    <w:p>
      <w:pPr>
        <w:rPr>
          <w:rFonts w:hint="eastAsia" w:ascii="黑体" w:hAnsi="黑体" w:eastAsia="黑体" w:cs="Times New Roman"/>
          <w:i w:val="0"/>
          <w:color w:val="000000"/>
          <w:sz w:val="32"/>
          <w:szCs w:val="32"/>
          <w:highlight w:val="none"/>
          <w:u w:val="none"/>
          <w:lang w:val="en-US" w:eastAsia="zh-CN"/>
        </w:rPr>
      </w:pPr>
      <w:r/>
      <w:bookmarkStart w:id="26" w:name="_Toc120614284"/>
      <w:r>
        <w:rPr>
          <w:rFonts w:hint="eastAsia" w:ascii="黑体" w:hAnsi="黑体" w:eastAsia="黑体" w:cs="Times New Roman"/>
          <w:i w:val="0"/>
          <w:color w:val="000000"/>
          <w:sz w:val="32"/>
          <w:szCs w:val="32"/>
          <w:highlight w:val="none"/>
          <w:u w:val="none"/>
          <w:lang w:val="en-US" w:eastAsia="zh-CN"/>
        </w:rPr>
        <w:t xml:space="preserve">二、特定资格要求的证明文件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0"/>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p>
    <w:p>
      <w:pPr>
        <w:pStyle w:val="1021"/>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项目采购活动的合法代理人，以本单位名义全权处理一切与该项目采购有关的事务。</w:t>
      </w:r>
      <w:r/>
    </w:p>
    <w:p>
      <w:pPr>
        <w:pStyle w:val="1021"/>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p>
    <w:p>
      <w:pPr>
        <w:pStyle w:val="1021"/>
        <w:ind w:firstLine="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1021"/>
        <w:ind w:firstLine="48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1021"/>
        <w:ind w:firstLine="480"/>
        <w:keepLines w:val="0"/>
        <w:keepNext w:val="0"/>
        <w:pageBreakBefore w:val="0"/>
        <w:spacing w:line="48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1021"/>
        <w:ind w:firstLine="48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单位地址：</w:t>
      </w:r>
      <w:r/>
    </w:p>
    <w:p>
      <w:pPr>
        <w:pStyle w:val="1021"/>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7" w:name="_Hlt26671380"/>
      <w:r/>
      <w:bookmarkEnd w:id="27"/>
      <w:r/>
      <w:bookmarkStart w:id="28" w:name="_Hlt26955070"/>
      <w:r/>
      <w:bookmarkEnd w:id="28"/>
      <w:r/>
      <w:bookmarkStart w:id="29" w:name="_格式3__银行出具的资信证明"/>
      <w:r/>
      <w:bookmarkEnd w:id="29"/>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南京市公共资源交易中心</w:t>
      </w:r>
      <w:r/>
    </w:p>
    <w:p>
      <w:pPr>
        <w:pStyle w:val="1023"/>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.我方与本磋商有关的正式通讯地址为：</w:t>
      </w:r>
      <w:r/>
    </w:p>
    <w:p>
      <w:pPr>
        <w:pStyle w:val="1023"/>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1023"/>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1023"/>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1023"/>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1023"/>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1023"/>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1023"/>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p>
    <w:p>
      <w:pP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p>
    <w:p>
      <w:pPr>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分包号：                                 </w:t>
      </w:r>
      <w:r/>
    </w:p>
    <w:tbl>
      <w:tblPr>
        <w:tblStyle w:val="760"/>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80"/>
        </w:trPr>
        <w:tc>
          <w:tcPr>
            <w:tcW w:w="9748" w:type="dxa"/>
            <w:vAlign w:val="center"/>
            <w:textDirection w:val="lrTb"/>
            <w:noWrap w:val="false"/>
          </w:tcPr>
          <w:p>
            <w:pPr>
              <w:pStyle w:val="1023"/>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备注：供应商报价低于采购项目预算50%，或者低于采购项目最高限价45%，或者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磋商小组将启动异常低价投标审查机制，供应商应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磋商小组规定的合理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w:t>
      </w:r>
      <w:r>
        <w:rPr>
          <w:rFonts w:hint="eastAsia" w:ascii="宋体" w:hAnsi="宋体" w:eastAsia="宋体" w:cs="Times New Roman"/>
          <w:b/>
          <w:bCs/>
          <w:color w:val="000000"/>
          <w:sz w:val="24"/>
          <w:szCs w:val="24"/>
          <w:highlight w:val="none"/>
          <w:lang w:val="en-US" w:eastAsia="zh-CN"/>
        </w:rPr>
        <w:t xml:space="preserve">供应商不提供书面说明及证明材料，或者书面说明、证明材料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w:t>
      </w:r>
      <w:r>
        <w:rPr>
          <w:rFonts w:hint="eastAsia" w:ascii="宋体" w:hAnsi="宋体" w:eastAsia="宋体" w:cs="Times New Roman"/>
          <w:b/>
          <w:bCs/>
          <w:color w:val="000000"/>
          <w:sz w:val="24"/>
          <w:szCs w:val="24"/>
          <w:highlight w:val="none"/>
          <w:lang w:val="en-US" w:eastAsia="zh-CN"/>
        </w:rPr>
        <w:t xml:space="preserve">响应</w:t>
      </w:r>
      <w:r>
        <w:rPr>
          <w:rFonts w:hint="eastAsia" w:ascii="宋体" w:hAnsi="宋体" w:eastAsia="宋体" w:cs="Times New Roman"/>
          <w:b/>
          <w:bCs/>
          <w:color w:val="000000"/>
          <w:sz w:val="24"/>
          <w:szCs w:val="24"/>
          <w:highlight w:val="none"/>
          <w:lang w:val="zh-CN"/>
        </w:rPr>
        <w:t xml:space="preserve">处理。</w:t>
      </w:r>
      <w:r/>
    </w:p>
    <w:p>
      <w:pPr>
        <w:pStyle w:val="1012"/>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101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101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101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101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p>
    <w:p>
      <w:pPr>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p>
    <w:tbl>
      <w:tblPr>
        <w:tblStyle w:val="760"/>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06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455" w:type="dxa"/>
            <w:vAlign w:val="center"/>
            <w:textDirection w:val="lrTb"/>
            <w:noWrap w:val="false"/>
          </w:tcPr>
          <w:p>
            <w:pPr>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p>
        </w:tc>
        <w:tc>
          <w:tcPr>
            <w:tcW w:w="1155"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p>
        </w:tc>
        <w:tc>
          <w:tcPr>
            <w:tcW w:w="1695"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w:t>
            </w:r>
            <w:r/>
          </w:p>
        </w:tc>
      </w:tr>
      <w:tr>
        <w:trPr>
          <w:cantSplit/>
          <w:trHeight w:val="436"/>
        </w:trPr>
        <w:tc>
          <w:tcPr>
            <w:tcW w:w="581"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6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p>
        </w:tc>
        <w:tc>
          <w:tcPr>
            <w:tcW w:w="1455"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p>
        </w:tc>
        <w:tc>
          <w:tcPr>
            <w:tcW w:w="1320" w:type="dxa"/>
            <w:vAlign w:val="center"/>
            <w:textDirection w:val="lrTb"/>
            <w:noWrap w:val="false"/>
          </w:tcPr>
          <w:p>
            <w:pPr>
              <w:jc w:val="center"/>
              <w:spacing w:line="0" w:lineRule="atLeast"/>
              <w:rPr>
                <w:color w:val="000000"/>
                <w:highlight w:val="none"/>
                <w:lang w:val="en-US" w:eastAsia="zh-CN"/>
              </w:rPr>
            </w:pPr>
            <w:r>
              <w:rPr>
                <w:rFonts w:hint="eastAsia" w:ascii="宋体" w:hAnsi="宋体" w:cs="Times New Roman"/>
                <w:color w:val="000000"/>
                <w:sz w:val="24"/>
                <w:szCs w:val="24"/>
                <w:highlight w:val="none"/>
                <w:lang w:val="en-US" w:eastAsia="zh-CN"/>
              </w:rPr>
              <w:t xml:space="preserve">单</w:t>
            </w:r>
            <w:r>
              <w:rPr>
                <w:rFonts w:hint="eastAsia" w:ascii="宋体" w:hAnsi="宋体" w:eastAsia="宋体" w:cs="Times New Roman"/>
                <w:color w:val="000000"/>
                <w:sz w:val="24"/>
                <w:szCs w:val="24"/>
                <w:highlight w:val="none"/>
                <w:lang w:val="en-US" w:eastAsia="zh-CN"/>
              </w:rPr>
              <w:t xml:space="preserve">价</w:t>
            </w:r>
            <w:r/>
          </w:p>
        </w:tc>
        <w:tc>
          <w:tcPr>
            <w:tcW w:w="1695"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206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5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5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9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206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5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5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9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206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5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5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9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2062"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总报价（元）</w:t>
            </w:r>
            <w:r/>
          </w:p>
        </w:tc>
        <w:tc>
          <w:tcPr>
            <w:gridSpan w:val="5"/>
            <w:tcW w:w="697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9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9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p>
    <w:p>
      <w:pPr>
        <w:pStyle w:val="99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p>
    <w:p>
      <w:pPr>
        <w:pStyle w:val="99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3.《分项报价表》中的分项名称须与“第四章-</w:t>
      </w:r>
      <w:r>
        <w:rPr>
          <w:rFonts w:hint="eastAsia"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清单”中的名称一一对应，如有缺项、漏项</w:t>
      </w:r>
      <w:r>
        <w:rPr>
          <w:rFonts w:hint="eastAsia" w:cs="宋体"/>
          <w:color w:val="000000"/>
          <w:sz w:val="24"/>
          <w:szCs w:val="24"/>
          <w:highlight w:val="none"/>
          <w:lang w:val="en-US" w:eastAsia="zh-CN"/>
        </w:rPr>
        <w:t xml:space="preserve">或者超出单价上限的</w:t>
      </w:r>
      <w:r>
        <w:rPr>
          <w:rFonts w:hint="eastAsia" w:ascii="宋体" w:hAnsi="宋体" w:eastAsia="宋体" w:cs="宋体"/>
          <w:color w:val="000000"/>
          <w:sz w:val="24"/>
          <w:szCs w:val="24"/>
          <w:highlight w:val="none"/>
          <w:lang w:val="en-US" w:eastAsia="zh-CN"/>
        </w:rPr>
        <w:t xml:space="preserve">，视为无效响应。</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p>
    <w:p>
      <w:pPr>
        <w:pStyle w:val="99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6"/>
      <w:r/>
      <w:bookmarkEnd w:id="17"/>
      <w:r/>
      <w:bookmarkEnd w:id="26"/>
      <w:r>
        <w:rPr>
          <w:rFonts w:hint="eastAsia" w:ascii="黑体" w:hAnsi="黑体" w:eastAsia="黑体" w:cs="Times New Roman"/>
          <w:i w:val="0"/>
          <w:iCs/>
          <w:color w:val="000000"/>
          <w:sz w:val="32"/>
          <w:szCs w:val="32"/>
          <w:highlight w:val="none"/>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6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9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1.供应商须对磋商文件技术要求中的实质性要求（斜体下划线内容或打“★”内容）及其他要求做出明确响应，否则视为无效响应。</w:t>
      </w:r>
      <w:r/>
    </w:p>
    <w:p>
      <w:pPr>
        <w:pStyle w:val="99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的实质性要求或打“▲”要求，成交供应商签订合同时应按磋商文件要求和响应文件响应内容向采购人提供相应证明材料核验（如：白皮书、彩页、手册、网站截图、具有CMA标识的检测报告等）。成交供应商未按磋商文件要求和响应文件响应内容提供相应证明材料或者提供的证明材料不符合磋商文件要求的，视为提供虚假材料谋取成交，采购人将取消其成交资格。</w:t>
      </w:r>
      <w:r/>
    </w:p>
    <w:p>
      <w:pPr>
        <w:pStyle w:val="99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bookmarkStart w:id="30" w:name="_Hlt26955054"/>
      <w:r/>
      <w:bookmarkEnd w:id="30"/>
      <w:r>
        <w:rPr>
          <w:rFonts w:hint="eastAsia" w:ascii="黑体" w:hAnsi="黑体" w:eastAsia="黑体" w:cs="Times New Roman"/>
          <w:i w:val="0"/>
          <w:iCs/>
          <w:color w:val="000000"/>
          <w:sz w:val="32"/>
          <w:szCs w:val="32"/>
          <w:highlight w:val="none"/>
          <w:u w:val="none"/>
          <w:lang w:val="en-US" w:eastAsia="zh-CN"/>
        </w:rPr>
        <w:br w:type="page" w:clear="all"/>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bookmarkStart w:id="31" w:name="_Hlt26955056"/>
            <w:r/>
            <w:bookmarkEnd w:id="31"/>
            <w:r/>
            <w:bookmarkStart w:id="32" w:name="_Hlt26955064"/>
            <w:r/>
            <w:bookmarkEnd w:id="32"/>
            <w:r/>
            <w:bookmarkStart w:id="33" w:name="_Hlt26609391"/>
            <w:r/>
            <w:bookmarkEnd w:id="33"/>
            <w:r/>
            <w:bookmarkStart w:id="34" w:name="_Hlt26782999"/>
            <w:r/>
            <w:bookmarkEnd w:id="34"/>
            <w:r/>
            <w:bookmarkStart w:id="35" w:name="_Hlt24879081"/>
            <w:r/>
            <w:bookmarkEnd w:id="35"/>
            <w:r/>
            <w:bookmarkStart w:id="36" w:name="_Hlt26580838"/>
            <w:r/>
            <w:bookmarkEnd w:id="36"/>
            <w:r/>
            <w:bookmarkStart w:id="37" w:name="_Hlt26671343"/>
            <w:r/>
            <w:bookmarkEnd w:id="37"/>
            <w:r/>
            <w:bookmarkStart w:id="38" w:name="_Hlt26671372"/>
            <w:r/>
            <w:bookmarkEnd w:id="38"/>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9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p>
    <w:p>
      <w:pPr>
        <w:pStyle w:val="99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color w:val="000000"/>
          <w:highlight w:val="none"/>
        </w:rPr>
      </w:pPr>
      <w:r>
        <w:rPr>
          <w:color w:val="000000"/>
          <w:highlight w:val="none"/>
        </w:rPr>
      </w:r>
      <w:r/>
    </w:p>
    <w:p>
      <w:pPr>
        <w:pStyle w:val="945"/>
        <w:rPr>
          <w:color w:val="000000"/>
          <w:highlight w:val="none"/>
        </w:rPr>
      </w:pPr>
      <w:r>
        <w:rPr>
          <w:color w:val="000000"/>
          <w:highlight w:val="none"/>
        </w:rPr>
      </w:r>
      <w:r/>
    </w:p>
    <w:p>
      <w:pPr>
        <w:rPr>
          <w:color w:val="000000"/>
          <w:highlight w:val="none"/>
        </w:rPr>
      </w:pPr>
      <w:r>
        <w:rPr>
          <w:color w:val="000000"/>
          <w:highlight w:val="none"/>
        </w:rPr>
      </w:r>
      <w:r/>
    </w:p>
    <w:p>
      <w:pPr>
        <w:pStyle w:val="945"/>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1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p>
    <w:p>
      <w:pPr>
        <w:rPr>
          <w:rFonts w:hint="eastAsia" w:ascii="黑体" w:hAnsi="黑体" w:eastAsia="黑体" w:cs="Times New Roman"/>
          <w:i w:val="0"/>
          <w:iCs/>
          <w:color w:val="000000"/>
          <w:sz w:val="32"/>
          <w:szCs w:val="32"/>
          <w:highlight w:val="none"/>
          <w:u w:val="none"/>
          <w:lang w:val="en-US" w:eastAsia="zh-CN"/>
        </w:rPr>
      </w:pPr>
      <w:r/>
      <w:bookmarkStart w:id="39" w:name="_GoBack"/>
      <w:r/>
      <w:bookmarkEnd w:id="39"/>
      <w:r>
        <w:rPr>
          <w:rFonts w:hint="eastAsia" w:ascii="黑体" w:hAnsi="黑体" w:eastAsia="黑体" w:cs="Times New Roman"/>
          <w:i w:val="0"/>
          <w:iCs/>
          <w:color w:val="000000"/>
          <w:sz w:val="32"/>
          <w:szCs w:val="32"/>
          <w:highlight w:val="none"/>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p>
    <w:p>
      <w:pPr>
        <w:pStyle w:val="1012"/>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p>
    <w:p>
      <w:pPr>
        <w:pStyle w:val="1012"/>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如不提供此声明函，价格将不做相应扣除。</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结果同时公告，接受社会监督</w:t>
      </w:r>
      <w:r>
        <w:rPr>
          <w:rFonts w:hint="eastAsia" w:ascii="宋体" w:hAnsi="宋体"/>
          <w:color w:val="000000"/>
          <w:sz w:val="24"/>
          <w:highlight w:val="none"/>
          <w:lang w:eastAsia="zh-CN"/>
        </w:rPr>
        <w:t xml:space="preserve">。</w:t>
      </w:r>
      <w:r/>
    </w:p>
    <w:p>
      <w:pPr>
        <w:ind w:firstLine="480"/>
        <w:spacing w:line="48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分</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p>
    <w:p>
      <w:pPr>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对项目的某一分包进行质疑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rPr>
        <w:t xml:space="preserve">分包号。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7340"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07255" cy="301572"/>
                      </a:xfrm>
                      <a:prstGeom prst="rect">
                        <a:avLst/>
                      </a:prstGeom>
                      <a:noFill/>
                      <a:ln>
                        <a:noFill/>
                      </a:ln>
                    </wps:spPr>
                    <wps:txbx>
                      <w:txbxContent>
                        <w:p>
                          <w:pPr>
                            <w:pStyle w:val="983"/>
                            <w:tabs>
                              <w:tab w:val="clear" w:pos="4153" w:leader="none"/>
                              <w:tab w:val="clear" w:pos="8306" w:leader="none"/>
                            </w:tabs>
                            <w:rPr>
                              <w:rStyle w:val="1006"/>
                              <w:rFonts w:ascii="宋体" w:hAnsi="宋体"/>
                            </w:rPr>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３９</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2pt;height:23.8pt;mso-wrap-distance-left:9.0pt;mso-wrap-distance-top:0.0pt;mso-wrap-distance-right:9.0pt;mso-wrap-distance-bottom:0.0pt;visibility:visible;" filled="f" stroked="f">
              <v:textbox inset="0,0,0,0">
                <w:txbxContent>
                  <w:p>
                    <w:pPr>
                      <w:pStyle w:val="983"/>
                      <w:tabs>
                        <w:tab w:val="clear" w:pos="4153" w:leader="none"/>
                        <w:tab w:val="clear" w:pos="8306" w:leader="none"/>
                      </w:tabs>
                      <w:rPr>
                        <w:rStyle w:val="1006"/>
                        <w:rFonts w:ascii="宋体" w:hAnsi="宋体"/>
                      </w:rPr>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３９</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0"/>
      <w:isLgl w:val="false"/>
      <w:suff w:val="nothing"/>
      <w:lvlText w:val=""/>
      <w:lvlJc w:val="left"/>
      <w:pPr>
        <w:ind w:left="0" w:firstLine="0"/>
      </w:pPr>
      <w:rPr>
        <w:rFonts w:hint="eastAsia"/>
      </w:rPr>
    </w:lvl>
    <w:lvl w:ilvl="7">
      <w:start w:val="1"/>
      <w:numFmt w:val="decimal"/>
      <w:pStyle w:val="941"/>
      <w:isLgl w:val="false"/>
      <w:suff w:val="nothing"/>
      <w:lvlText w:val=""/>
      <w:lvlJc w:val="left"/>
      <w:pPr>
        <w:ind w:left="0" w:firstLine="0"/>
      </w:pPr>
      <w:rPr>
        <w:rFonts w:hint="eastAsia"/>
      </w:rPr>
    </w:lvl>
    <w:lvl w:ilvl="8">
      <w:start w:val="1"/>
      <w:numFmt w:val="decimal"/>
      <w:pStyle w:val="942"/>
      <w:isLgl w:val="false"/>
      <w:suff w:val="nothing"/>
      <w:lvlText w:val=""/>
      <w:lvlJc w:val="left"/>
      <w:pPr>
        <w:ind w:left="0" w:firstLine="0"/>
      </w:pPr>
      <w:rPr>
        <w:rFonts w:hint="eastAsia"/>
      </w:rPr>
    </w:lvl>
  </w:abstractNum>
  <w:abstractNum w:abstractNumId="4">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link w:val="101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0">
    <w:name w:val="Heading 1"/>
    <w:basedOn w:val="749"/>
    <w:next w:val="749"/>
    <w:link w:val="787"/>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88"/>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89"/>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64"/>
    <w:link w:val="790"/>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1"/>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2"/>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4"/>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5"/>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Body Text First Indent 2"/>
    <w:basedOn w:val="762"/>
    <w:next w:val="749"/>
    <w:uiPriority w:val="0"/>
    <w:pPr>
      <w:ind w:left="0" w:firstLine="420"/>
      <w:spacing w:after="0" w:line="360" w:lineRule="auto"/>
    </w:pPr>
    <w:rPr>
      <w:rFonts w:ascii="宋体" w:hAnsi="宋体" w:eastAsia="宋体" w:cs="Times New Roman"/>
      <w:szCs w:val="20"/>
    </w:rPr>
  </w:style>
  <w:style w:type="paragraph" w:styleId="762">
    <w:name w:val="Body Text Indent"/>
    <w:basedOn w:val="749"/>
    <w:next w:val="763"/>
    <w:uiPriority w:val="0"/>
    <w:unhideWhenUsed/>
    <w:qFormat/>
    <w:pPr>
      <w:ind w:left="420"/>
      <w:spacing w:after="120"/>
    </w:pPr>
  </w:style>
  <w:style w:type="paragraph" w:styleId="763">
    <w:name w:val="envelope return"/>
    <w:basedOn w:val="749"/>
    <w:uiPriority w:val="0"/>
    <w:qFormat/>
    <w:rPr>
      <w:rFonts w:ascii="Arial" w:hAnsi="Arial" w:eastAsia="宋体" w:cs="宋体"/>
    </w:rPr>
  </w:style>
  <w:style w:type="paragraph" w:styleId="764">
    <w:name w:val="Normal Indent"/>
    <w:basedOn w:val="749"/>
    <w:uiPriority w:val="0"/>
    <w:qFormat/>
    <w:pPr>
      <w:ind w:firstLine="420"/>
    </w:pPr>
    <w:rPr>
      <w:szCs w:val="21"/>
    </w:rPr>
  </w:style>
  <w:style w:type="paragraph" w:styleId="765">
    <w:name w:val="toc 7"/>
    <w:basedOn w:val="749"/>
    <w:next w:val="749"/>
    <w:uiPriority w:val="39"/>
    <w:unhideWhenUsed/>
    <w:qFormat/>
    <w:pPr>
      <w:ind w:left="1701" w:right="0" w:firstLine="0"/>
      <w:spacing w:after="57"/>
    </w:pPr>
  </w:style>
  <w:style w:type="paragraph" w:styleId="766">
    <w:name w:val="Caption"/>
    <w:basedOn w:val="749"/>
    <w:next w:val="749"/>
    <w:uiPriority w:val="35"/>
    <w:semiHidden/>
    <w:unhideWhenUsed/>
    <w:qFormat/>
    <w:pPr>
      <w:spacing w:line="276" w:lineRule="auto"/>
    </w:pPr>
    <w:rPr>
      <w:b/>
      <w:bCs/>
      <w:color w:val="4f81bd" w:themeColor="accent1"/>
      <w:sz w:val="18"/>
      <w:szCs w:val="18"/>
    </w:rPr>
  </w:style>
  <w:style w:type="paragraph" w:styleId="767">
    <w:name w:val="annotation text"/>
    <w:basedOn w:val="749"/>
    <w:uiPriority w:val="0"/>
    <w:unhideWhenUsed/>
    <w:pPr>
      <w:jc w:val="left"/>
    </w:pPr>
  </w:style>
  <w:style w:type="paragraph" w:styleId="768">
    <w:name w:val="toc 5"/>
    <w:basedOn w:val="749"/>
    <w:next w:val="749"/>
    <w:uiPriority w:val="39"/>
    <w:unhideWhenUsed/>
    <w:qFormat/>
    <w:pPr>
      <w:ind w:left="1134" w:right="0" w:firstLine="0"/>
      <w:spacing w:after="57"/>
    </w:pPr>
  </w:style>
  <w:style w:type="paragraph" w:styleId="769">
    <w:name w:val="toc 3"/>
    <w:basedOn w:val="749"/>
    <w:next w:val="749"/>
    <w:uiPriority w:val="39"/>
    <w:unhideWhenUsed/>
    <w:qFormat/>
    <w:pPr>
      <w:ind w:left="567" w:right="0" w:firstLine="0"/>
      <w:spacing w:after="57"/>
    </w:pPr>
  </w:style>
  <w:style w:type="paragraph" w:styleId="770">
    <w:name w:val="toc 8"/>
    <w:basedOn w:val="749"/>
    <w:next w:val="749"/>
    <w:uiPriority w:val="39"/>
    <w:unhideWhenUsed/>
    <w:qFormat/>
    <w:pPr>
      <w:ind w:left="1984" w:right="0" w:firstLine="0"/>
      <w:spacing w:after="57"/>
    </w:pPr>
  </w:style>
  <w:style w:type="paragraph" w:styleId="771">
    <w:name w:val="endnote text"/>
    <w:basedOn w:val="749"/>
    <w:link w:val="931"/>
    <w:uiPriority w:val="99"/>
    <w:semiHidden/>
    <w:unhideWhenUsed/>
    <w:qFormat/>
    <w:pPr>
      <w:spacing w:after="0" w:line="240" w:lineRule="auto"/>
    </w:pPr>
    <w:rPr>
      <w:sz w:val="20"/>
    </w:rPr>
  </w:style>
  <w:style w:type="paragraph" w:styleId="772">
    <w:name w:val="Footer"/>
    <w:basedOn w:val="749"/>
    <w:link w:val="804"/>
    <w:uiPriority w:val="99"/>
    <w:unhideWhenUsed/>
    <w:qFormat/>
    <w:pPr>
      <w:spacing w:after="0" w:line="240" w:lineRule="auto"/>
      <w:tabs>
        <w:tab w:val="center" w:pos="7143" w:leader="none"/>
        <w:tab w:val="right" w:pos="14287" w:leader="none"/>
      </w:tabs>
    </w:pPr>
  </w:style>
  <w:style w:type="paragraph" w:styleId="773">
    <w:name w:val="Header"/>
    <w:basedOn w:val="749"/>
    <w:link w:val="802"/>
    <w:uiPriority w:val="99"/>
    <w:unhideWhenUsed/>
    <w:qFormat/>
    <w:pPr>
      <w:spacing w:after="0" w:line="240" w:lineRule="auto"/>
      <w:tabs>
        <w:tab w:val="center" w:pos="7143" w:leader="none"/>
        <w:tab w:val="right" w:pos="14287" w:leader="none"/>
      </w:tabs>
    </w:pPr>
  </w:style>
  <w:style w:type="paragraph" w:styleId="774">
    <w:name w:val="toc 1"/>
    <w:basedOn w:val="749"/>
    <w:next w:val="749"/>
    <w:uiPriority w:val="39"/>
    <w:unhideWhenUsed/>
    <w:qFormat/>
    <w:pPr>
      <w:ind w:left="0" w:right="0" w:firstLine="0"/>
      <w:spacing w:after="57"/>
    </w:pPr>
  </w:style>
  <w:style w:type="paragraph" w:styleId="775">
    <w:name w:val="toc 4"/>
    <w:basedOn w:val="749"/>
    <w:next w:val="749"/>
    <w:uiPriority w:val="39"/>
    <w:unhideWhenUsed/>
    <w:qFormat/>
    <w:pPr>
      <w:ind w:left="850" w:right="0" w:firstLine="0"/>
      <w:spacing w:after="57"/>
    </w:pPr>
  </w:style>
  <w:style w:type="paragraph" w:styleId="776">
    <w:name w:val="Subtitle"/>
    <w:basedOn w:val="749"/>
    <w:next w:val="749"/>
    <w:link w:val="797"/>
    <w:uiPriority w:val="11"/>
    <w:qFormat/>
    <w:pPr>
      <w:spacing w:before="200" w:after="200"/>
    </w:pPr>
    <w:rPr>
      <w:sz w:val="24"/>
      <w:szCs w:val="24"/>
    </w:rPr>
  </w:style>
  <w:style w:type="paragraph" w:styleId="777">
    <w:name w:val="footnote text"/>
    <w:basedOn w:val="749"/>
    <w:link w:val="930"/>
    <w:uiPriority w:val="99"/>
    <w:semiHidden/>
    <w:unhideWhenUsed/>
    <w:qFormat/>
    <w:pPr>
      <w:spacing w:after="40" w:line="240" w:lineRule="auto"/>
    </w:pPr>
    <w:rPr>
      <w:sz w:val="18"/>
    </w:rPr>
  </w:style>
  <w:style w:type="paragraph" w:styleId="778">
    <w:name w:val="toc 6"/>
    <w:basedOn w:val="749"/>
    <w:next w:val="749"/>
    <w:uiPriority w:val="39"/>
    <w:unhideWhenUsed/>
    <w:qFormat/>
    <w:pPr>
      <w:ind w:left="1417" w:right="0" w:firstLine="0"/>
      <w:spacing w:after="57"/>
    </w:pPr>
  </w:style>
  <w:style w:type="paragraph" w:styleId="779">
    <w:name w:val="table of figures"/>
    <w:basedOn w:val="749"/>
    <w:next w:val="749"/>
    <w:uiPriority w:val="99"/>
    <w:unhideWhenUsed/>
    <w:pPr>
      <w:spacing w:after="0" w:afterAutospacing="0"/>
    </w:pPr>
  </w:style>
  <w:style w:type="paragraph" w:styleId="780">
    <w:name w:val="toc 2"/>
    <w:basedOn w:val="749"/>
    <w:next w:val="749"/>
    <w:uiPriority w:val="39"/>
    <w:unhideWhenUsed/>
    <w:qFormat/>
    <w:pPr>
      <w:ind w:left="283" w:right="0" w:firstLine="0"/>
      <w:spacing w:after="57"/>
    </w:pPr>
  </w:style>
  <w:style w:type="paragraph" w:styleId="781">
    <w:name w:val="toc 9"/>
    <w:basedOn w:val="749"/>
    <w:next w:val="749"/>
    <w:uiPriority w:val="39"/>
    <w:unhideWhenUsed/>
    <w:qFormat/>
    <w:pPr>
      <w:ind w:left="2268" w:right="0" w:firstLine="0"/>
      <w:spacing w:after="57"/>
    </w:pPr>
  </w:style>
  <w:style w:type="paragraph" w:styleId="782">
    <w:name w:val="Title"/>
    <w:basedOn w:val="749"/>
    <w:next w:val="749"/>
    <w:link w:val="796"/>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rPr>
  </w:style>
  <w:style w:type="character" w:styleId="786">
    <w:name w:val="footnote reference"/>
    <w:uiPriority w:val="99"/>
    <w:unhideWhenUsed/>
    <w:qFormat/>
    <w:rPr>
      <w:vertAlign w:val="superscript"/>
    </w:rPr>
  </w:style>
  <w:style w:type="character" w:styleId="787" w:customStyle="1">
    <w:name w:val="Heading 1 Char"/>
    <w:link w:val="750"/>
    <w:uiPriority w:val="9"/>
    <w:qFormat/>
    <w:rPr>
      <w:rFonts w:ascii="Arial" w:hAnsi="Arial" w:eastAsia="Arial" w:cs="Arial"/>
      <w:sz w:val="40"/>
      <w:szCs w:val="40"/>
    </w:rPr>
  </w:style>
  <w:style w:type="character" w:styleId="788" w:customStyle="1">
    <w:name w:val="Heading 2 Char"/>
    <w:link w:val="751"/>
    <w:uiPriority w:val="9"/>
    <w:rPr>
      <w:rFonts w:ascii="Arial" w:hAnsi="Arial" w:eastAsia="Arial" w:cs="Arial"/>
      <w:sz w:val="34"/>
    </w:rPr>
  </w:style>
  <w:style w:type="character" w:styleId="789" w:customStyle="1">
    <w:name w:val="Heading 3 Char"/>
    <w:link w:val="752"/>
    <w:uiPriority w:val="9"/>
    <w:rPr>
      <w:rFonts w:ascii="Arial" w:hAnsi="Arial" w:eastAsia="Arial" w:cs="Arial"/>
      <w:sz w:val="30"/>
      <w:szCs w:val="30"/>
    </w:rPr>
  </w:style>
  <w:style w:type="character" w:styleId="790" w:customStyle="1">
    <w:name w:val="Heading 4 Char"/>
    <w:link w:val="753"/>
    <w:uiPriority w:val="9"/>
    <w:qFormat/>
    <w:rPr>
      <w:rFonts w:ascii="Arial" w:hAnsi="Arial" w:eastAsia="Arial" w:cs="Arial"/>
      <w:b/>
      <w:bCs/>
      <w:sz w:val="26"/>
      <w:szCs w:val="26"/>
    </w:rPr>
  </w:style>
  <w:style w:type="character" w:styleId="791" w:customStyle="1">
    <w:name w:val="Heading 5 Char"/>
    <w:link w:val="754"/>
    <w:uiPriority w:val="9"/>
    <w:qFormat/>
    <w:rPr>
      <w:rFonts w:ascii="Arial" w:hAnsi="Arial" w:eastAsia="Arial" w:cs="Arial"/>
      <w:b/>
      <w:bCs/>
      <w:sz w:val="24"/>
      <w:szCs w:val="24"/>
    </w:rPr>
  </w:style>
  <w:style w:type="character" w:styleId="792" w:customStyle="1">
    <w:name w:val="Heading 6 Char"/>
    <w:link w:val="755"/>
    <w:uiPriority w:val="9"/>
    <w:qFormat/>
    <w:rPr>
      <w:rFonts w:ascii="Arial" w:hAnsi="Arial" w:eastAsia="Arial" w:cs="Arial"/>
      <w:b/>
      <w:bCs/>
      <w:sz w:val="22"/>
      <w:szCs w:val="22"/>
    </w:rPr>
  </w:style>
  <w:style w:type="character" w:styleId="793" w:customStyle="1">
    <w:name w:val="Heading 7 Char"/>
    <w:link w:val="756"/>
    <w:uiPriority w:val="9"/>
    <w:qFormat/>
    <w:rPr>
      <w:rFonts w:ascii="Arial" w:hAnsi="Arial" w:eastAsia="Arial" w:cs="Arial"/>
      <w:b/>
      <w:bCs/>
      <w:i/>
      <w:iCs/>
      <w:sz w:val="22"/>
      <w:szCs w:val="22"/>
    </w:rPr>
  </w:style>
  <w:style w:type="character" w:styleId="794" w:customStyle="1">
    <w:name w:val="Heading 8 Char"/>
    <w:link w:val="757"/>
    <w:uiPriority w:val="9"/>
    <w:qFormat/>
    <w:rPr>
      <w:rFonts w:ascii="Arial" w:hAnsi="Arial" w:eastAsia="Arial" w:cs="Arial"/>
      <w:i/>
      <w:iCs/>
      <w:sz w:val="22"/>
      <w:szCs w:val="22"/>
    </w:rPr>
  </w:style>
  <w:style w:type="character" w:styleId="795" w:customStyle="1">
    <w:name w:val="Heading 9 Char"/>
    <w:link w:val="758"/>
    <w:uiPriority w:val="9"/>
    <w:qFormat/>
    <w:rPr>
      <w:rFonts w:ascii="Arial" w:hAnsi="Arial" w:eastAsia="Arial" w:cs="Arial"/>
      <w:i/>
      <w:iCs/>
      <w:sz w:val="21"/>
      <w:szCs w:val="21"/>
    </w:rPr>
  </w:style>
  <w:style w:type="character" w:styleId="796" w:customStyle="1">
    <w:name w:val="Title Char"/>
    <w:link w:val="782"/>
    <w:uiPriority w:val="10"/>
    <w:qFormat/>
    <w:rPr>
      <w:sz w:val="48"/>
      <w:szCs w:val="48"/>
    </w:rPr>
  </w:style>
  <w:style w:type="character" w:styleId="797" w:customStyle="1">
    <w:name w:val="Subtitle Char"/>
    <w:link w:val="776"/>
    <w:uiPriority w:val="11"/>
    <w:qFormat/>
    <w:rPr>
      <w:sz w:val="24"/>
      <w:szCs w:val="24"/>
    </w:rPr>
  </w:style>
  <w:style w:type="paragraph" w:styleId="798">
    <w:name w:val="Quote"/>
    <w:basedOn w:val="749"/>
    <w:next w:val="749"/>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9"/>
    <w:next w:val="749"/>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link w:val="773"/>
    <w:uiPriority w:val="99"/>
    <w:qFormat/>
  </w:style>
  <w:style w:type="character" w:styleId="803" w:customStyle="1">
    <w:name w:val="Footer Char"/>
    <w:link w:val="772"/>
    <w:uiPriority w:val="99"/>
    <w:qFormat/>
  </w:style>
  <w:style w:type="character" w:styleId="804" w:customStyle="1">
    <w:name w:val="Caption Char"/>
    <w:link w:val="772"/>
    <w:uiPriority w:val="99"/>
    <w:qFormat/>
  </w:style>
  <w:style w:type="table" w:styleId="8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77"/>
    <w:uiPriority w:val="99"/>
    <w:qFormat/>
    <w:rPr>
      <w:sz w:val="18"/>
    </w:rPr>
  </w:style>
  <w:style w:type="character" w:styleId="931" w:customStyle="1">
    <w:name w:val="Endnote Text Char"/>
    <w:link w:val="771"/>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标题 11"/>
    <w:basedOn w:val="749"/>
    <w:next w:val="749"/>
    <w:link w:val="950"/>
    <w:uiPriority w:val="0"/>
    <w:qFormat/>
    <w:pPr>
      <w:jc w:val="center"/>
      <w:keepNext/>
      <w:outlineLvl w:val="0"/>
    </w:pPr>
    <w:rPr>
      <w:rFonts w:ascii="楷体_GB2312" w:hAnsi="Times New Roman" w:eastAsia="楷体_GB2312" w:cs="Times New Roman"/>
      <w:sz w:val="28"/>
      <w:szCs w:val="28"/>
    </w:rPr>
  </w:style>
  <w:style w:type="paragraph" w:styleId="934" w:customStyle="1">
    <w:name w:val="标题 21"/>
    <w:basedOn w:val="749"/>
    <w:next w:val="935"/>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customStyle="1">
    <w:name w:val="正文缩进1"/>
    <w:basedOn w:val="749"/>
    <w:link w:val="952"/>
    <w:uiPriority w:val="0"/>
    <w:qFormat/>
    <w:pPr>
      <w:ind w:firstLine="420"/>
    </w:pPr>
    <w:rPr>
      <w:szCs w:val="21"/>
    </w:rPr>
  </w:style>
  <w:style w:type="paragraph" w:styleId="936" w:customStyle="1">
    <w:name w:val="标题 31"/>
    <w:basedOn w:val="749"/>
    <w:next w:val="749"/>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7" w:customStyle="1">
    <w:name w:val="标题 41"/>
    <w:basedOn w:val="749"/>
    <w:next w:val="935"/>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38" w:customStyle="1">
    <w:name w:val="标题 51"/>
    <w:basedOn w:val="749"/>
    <w:next w:val="935"/>
    <w:link w:val="955"/>
    <w:uiPriority w:val="0"/>
    <w:qFormat/>
    <w:pPr>
      <w:keepNext/>
      <w:outlineLvl w:val="4"/>
    </w:pPr>
    <w:rPr>
      <w:rFonts w:ascii="宋体" w:hAnsi="Times New Roman" w:eastAsia="宋体" w:cs="Times New Roman"/>
      <w:color w:val="000000"/>
      <w:sz w:val="28"/>
      <w:szCs w:val="28"/>
    </w:rPr>
  </w:style>
  <w:style w:type="paragraph" w:styleId="939" w:customStyle="1">
    <w:name w:val="标题 61"/>
    <w:basedOn w:val="749"/>
    <w:next w:val="749"/>
    <w:link w:val="95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0" w:customStyle="1">
    <w:name w:val="标题 71"/>
    <w:basedOn w:val="749"/>
    <w:next w:val="749"/>
    <w:link w:val="9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1" w:customStyle="1">
    <w:name w:val="标题 81"/>
    <w:basedOn w:val="749"/>
    <w:next w:val="749"/>
    <w:link w:val="9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2" w:customStyle="1">
    <w:name w:val="标题 91"/>
    <w:basedOn w:val="749"/>
    <w:next w:val="749"/>
    <w:link w:val="95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3" w:customStyle="1">
    <w:name w:val="默认段落字体1"/>
    <w:link w:val="749"/>
    <w:uiPriority w:val="1"/>
    <w:unhideWhenUsed/>
    <w:qFormat/>
  </w:style>
  <w:style w:type="table" w:styleId="944" w:customStyle="1">
    <w:name w:val="普通表格11"/>
    <w:uiPriority w:val="99"/>
    <w:unhideWhenUsed/>
    <w:qFormat/>
    <w:tblPr/>
  </w:style>
  <w:style w:type="paragraph" w:styleId="945" w:customStyle="1">
    <w:name w:val="正文首行缩进 21"/>
    <w:basedOn w:val="946"/>
    <w:next w:val="749"/>
    <w:link w:val="949"/>
    <w:uiPriority w:val="0"/>
    <w:qFormat/>
    <w:pPr>
      <w:ind w:left="0" w:firstLine="420"/>
      <w:spacing w:after="0" w:line="360" w:lineRule="auto"/>
    </w:pPr>
    <w:rPr>
      <w:rFonts w:ascii="宋体" w:hAnsi="宋体" w:eastAsia="宋体" w:cs="Times New Roman"/>
      <w:szCs w:val="20"/>
    </w:rPr>
  </w:style>
  <w:style w:type="paragraph" w:styleId="946" w:customStyle="1">
    <w:name w:val="正文文本缩进11"/>
    <w:basedOn w:val="749"/>
    <w:next w:val="947"/>
    <w:link w:val="948"/>
    <w:uiPriority w:val="0"/>
    <w:unhideWhenUsed/>
    <w:qFormat/>
    <w:pPr>
      <w:ind w:left="420"/>
      <w:spacing w:after="120"/>
    </w:pPr>
  </w:style>
  <w:style w:type="paragraph" w:styleId="947" w:customStyle="1">
    <w:name w:val="寄信人地址1"/>
    <w:basedOn w:val="749"/>
    <w:uiPriority w:val="0"/>
    <w:qFormat/>
    <w:rPr>
      <w:rFonts w:ascii="Arial" w:hAnsi="Arial" w:eastAsia="宋体" w:cs="宋体"/>
    </w:rPr>
  </w:style>
  <w:style w:type="character" w:styleId="948" w:customStyle="1">
    <w:name w:val="正文文本缩进 Char"/>
    <w:basedOn w:val="943"/>
    <w:link w:val="946"/>
    <w:uiPriority w:val="99"/>
    <w:semiHidden/>
    <w:qFormat/>
  </w:style>
  <w:style w:type="character" w:styleId="949" w:customStyle="1">
    <w:name w:val="正文首行缩进 2 Char"/>
    <w:link w:val="945"/>
    <w:uiPriority w:val="0"/>
    <w:qFormat/>
    <w:rPr>
      <w:rFonts w:ascii="宋体" w:hAnsi="宋体" w:eastAsia="宋体" w:cs="Times New Roman"/>
      <w:szCs w:val="20"/>
    </w:rPr>
  </w:style>
  <w:style w:type="character" w:styleId="950" w:customStyle="1">
    <w:name w:val="标题 1 Char"/>
    <w:link w:val="933"/>
    <w:uiPriority w:val="0"/>
    <w:rPr>
      <w:rFonts w:ascii="楷体_GB2312" w:hAnsi="Times New Roman" w:eastAsia="楷体_GB2312" w:cs="Times New Roman"/>
      <w:sz w:val="28"/>
      <w:szCs w:val="28"/>
    </w:rPr>
  </w:style>
  <w:style w:type="character" w:styleId="951" w:customStyle="1">
    <w:name w:val="标题 2 Char"/>
    <w:link w:val="934"/>
    <w:uiPriority w:val="0"/>
    <w:qFormat/>
    <w:rPr>
      <w:rFonts w:ascii="Arial" w:hAnsi="Arial" w:eastAsia="幼圆" w:cs="Arial"/>
      <w:b/>
      <w:bCs/>
      <w:sz w:val="44"/>
      <w:szCs w:val="44"/>
    </w:rPr>
  </w:style>
  <w:style w:type="character" w:styleId="952" w:customStyle="1">
    <w:name w:val="正文缩进 Char"/>
    <w:link w:val="935"/>
    <w:uiPriority w:val="0"/>
    <w:qFormat/>
    <w:rPr>
      <w:szCs w:val="21"/>
    </w:rPr>
  </w:style>
  <w:style w:type="character" w:styleId="953" w:customStyle="1">
    <w:name w:val="标题 3 Char"/>
    <w:link w:val="936"/>
    <w:uiPriority w:val="0"/>
    <w:qFormat/>
    <w:rPr>
      <w:rFonts w:ascii="Times New Roman" w:hAnsi="Times New Roman" w:eastAsia="宋体" w:cs="Times New Roman"/>
      <w:b/>
      <w:bCs/>
      <w:sz w:val="32"/>
      <w:szCs w:val="32"/>
    </w:rPr>
  </w:style>
  <w:style w:type="character" w:styleId="954" w:customStyle="1">
    <w:name w:val="标题 4 Char"/>
    <w:link w:val="937"/>
    <w:uiPriority w:val="0"/>
    <w:qFormat/>
    <w:rPr>
      <w:rFonts w:ascii="Arial" w:hAnsi="Arial" w:eastAsia="黑体" w:cs="Arial"/>
      <w:b/>
      <w:bCs/>
      <w:sz w:val="28"/>
      <w:szCs w:val="28"/>
    </w:rPr>
  </w:style>
  <w:style w:type="character" w:styleId="955" w:customStyle="1">
    <w:name w:val="标题 5 Char"/>
    <w:link w:val="938"/>
    <w:uiPriority w:val="0"/>
    <w:qFormat/>
    <w:rPr>
      <w:rFonts w:ascii="宋体" w:hAnsi="Times New Roman" w:eastAsia="宋体" w:cs="Times New Roman"/>
      <w:color w:val="000000"/>
      <w:sz w:val="28"/>
      <w:szCs w:val="28"/>
    </w:rPr>
  </w:style>
  <w:style w:type="character" w:styleId="956" w:customStyle="1">
    <w:name w:val="标题 6 Char"/>
    <w:link w:val="939"/>
    <w:uiPriority w:val="0"/>
    <w:qFormat/>
    <w:rPr>
      <w:rFonts w:ascii="Arial" w:hAnsi="Arial" w:eastAsia="黑体" w:cs="Times New Roman"/>
      <w:b/>
      <w:bCs/>
      <w:sz w:val="24"/>
      <w:szCs w:val="24"/>
    </w:rPr>
  </w:style>
  <w:style w:type="character" w:styleId="957" w:customStyle="1">
    <w:name w:val="标题 7 Char"/>
    <w:link w:val="940"/>
    <w:uiPriority w:val="0"/>
    <w:qFormat/>
    <w:rPr>
      <w:rFonts w:ascii="Times New Roman" w:hAnsi="Times New Roman" w:eastAsia="宋体" w:cs="Times New Roman"/>
      <w:b/>
      <w:bCs/>
      <w:sz w:val="24"/>
      <w:szCs w:val="24"/>
    </w:rPr>
  </w:style>
  <w:style w:type="character" w:styleId="958" w:customStyle="1">
    <w:name w:val="标题 8 Char"/>
    <w:link w:val="941"/>
    <w:uiPriority w:val="0"/>
    <w:qFormat/>
    <w:rPr>
      <w:rFonts w:ascii="Arial" w:hAnsi="Arial" w:eastAsia="黑体" w:cs="Times New Roman"/>
      <w:sz w:val="24"/>
      <w:szCs w:val="24"/>
    </w:rPr>
  </w:style>
  <w:style w:type="character" w:styleId="959" w:customStyle="1">
    <w:name w:val="标题 9 Char"/>
    <w:link w:val="942"/>
    <w:uiPriority w:val="0"/>
    <w:qFormat/>
    <w:rPr>
      <w:rFonts w:ascii="Arial" w:hAnsi="Arial" w:eastAsia="黑体" w:cs="Times New Roman"/>
      <w:szCs w:val="21"/>
    </w:rPr>
  </w:style>
  <w:style w:type="paragraph" w:styleId="960" w:customStyle="1">
    <w:name w:val="列表 31"/>
    <w:basedOn w:val="749"/>
    <w:uiPriority w:val="0"/>
    <w:pPr>
      <w:ind w:left="100" w:hanging="200"/>
    </w:pPr>
    <w:rPr>
      <w:rFonts w:ascii="Times New Roman" w:hAnsi="Times New Roman" w:eastAsia="宋体" w:cs="Times New Roman"/>
      <w:szCs w:val="21"/>
    </w:rPr>
  </w:style>
  <w:style w:type="paragraph" w:styleId="961" w:customStyle="1">
    <w:name w:val="目录 71"/>
    <w:basedOn w:val="749"/>
    <w:next w:val="749"/>
    <w:uiPriority w:val="0"/>
    <w:semiHidden/>
    <w:qFormat/>
    <w:pPr>
      <w:ind w:left="1260"/>
      <w:jc w:val="left"/>
    </w:pPr>
    <w:rPr>
      <w:rFonts w:ascii="Times New Roman" w:hAnsi="Times New Roman" w:eastAsia="宋体" w:cs="Times New Roman"/>
      <w:szCs w:val="21"/>
    </w:rPr>
  </w:style>
  <w:style w:type="paragraph" w:styleId="962" w:customStyle="1">
    <w:name w:val="文档结构图1"/>
    <w:basedOn w:val="749"/>
    <w:link w:val="963"/>
    <w:uiPriority w:val="0"/>
    <w:semiHidden/>
    <w:pPr>
      <w:shd w:val="clear" w:color="auto" w:fill="000080"/>
    </w:pPr>
    <w:rPr>
      <w:rFonts w:ascii="Times New Roman" w:hAnsi="Times New Roman" w:eastAsia="宋体" w:cs="Times New Roman"/>
      <w:szCs w:val="21"/>
    </w:rPr>
  </w:style>
  <w:style w:type="character" w:styleId="963"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4" w:customStyle="1">
    <w:name w:val="批注文字1"/>
    <w:basedOn w:val="749"/>
    <w:link w:val="965"/>
    <w:uiPriority w:val="0"/>
    <w:unhideWhenUsed/>
    <w:qFormat/>
    <w:pPr>
      <w:jc w:val="left"/>
    </w:pPr>
  </w:style>
  <w:style w:type="character" w:styleId="965" w:customStyle="1">
    <w:name w:val="批注文字 Char"/>
    <w:basedOn w:val="943"/>
    <w:link w:val="964"/>
    <w:uiPriority w:val="99"/>
    <w:semiHidden/>
    <w:qFormat/>
  </w:style>
  <w:style w:type="paragraph" w:styleId="966" w:customStyle="1">
    <w:name w:val="正文文本 31"/>
    <w:basedOn w:val="749"/>
    <w:link w:val="967"/>
    <w:uiPriority w:val="0"/>
    <w:rPr>
      <w:rFonts w:ascii="仿宋_GB2312" w:hAnsi="Arial" w:eastAsia="仿宋_GB2312" w:cs="Times New Roman"/>
      <w:sz w:val="32"/>
      <w:szCs w:val="32"/>
    </w:rPr>
  </w:style>
  <w:style w:type="character" w:styleId="967" w:customStyle="1">
    <w:name w:val="正文文本 3 Char"/>
    <w:link w:val="966"/>
    <w:uiPriority w:val="0"/>
    <w:qFormat/>
    <w:rPr>
      <w:rFonts w:ascii="仿宋_GB2312" w:hAnsi="Arial" w:eastAsia="仿宋_GB2312" w:cs="Times New Roman"/>
      <w:sz w:val="32"/>
      <w:szCs w:val="32"/>
    </w:rPr>
  </w:style>
  <w:style w:type="paragraph" w:styleId="968" w:customStyle="1">
    <w:name w:val="正文文本11"/>
    <w:basedOn w:val="749"/>
    <w:link w:val="969"/>
    <w:uiPriority w:val="0"/>
    <w:qFormat/>
    <w:rPr>
      <w:rFonts w:ascii="楷体_GB2312" w:hAnsi="Arial" w:eastAsia="楷体_GB2312" w:cs="Times New Roman"/>
      <w:sz w:val="28"/>
      <w:szCs w:val="28"/>
    </w:rPr>
  </w:style>
  <w:style w:type="character" w:styleId="969" w:customStyle="1">
    <w:name w:val="正文文本 Char"/>
    <w:link w:val="968"/>
    <w:uiPriority w:val="0"/>
    <w:rPr>
      <w:rFonts w:ascii="楷体_GB2312" w:hAnsi="Arial" w:eastAsia="楷体_GB2312" w:cs="Times New Roman"/>
      <w:sz w:val="28"/>
      <w:szCs w:val="28"/>
    </w:rPr>
  </w:style>
  <w:style w:type="paragraph" w:styleId="970" w:customStyle="1">
    <w:name w:val="列表 21"/>
    <w:basedOn w:val="749"/>
    <w:uiPriority w:val="0"/>
    <w:qFormat/>
    <w:pPr>
      <w:ind w:left="100" w:hanging="200"/>
    </w:pPr>
    <w:rPr>
      <w:rFonts w:ascii="Times New Roman" w:hAnsi="Times New Roman" w:eastAsia="宋体" w:cs="Times New Roman"/>
      <w:szCs w:val="21"/>
    </w:rPr>
  </w:style>
  <w:style w:type="paragraph" w:styleId="971" w:customStyle="1">
    <w:name w:val="索引 411"/>
    <w:basedOn w:val="749"/>
    <w:next w:val="749"/>
    <w:uiPriority w:val="0"/>
    <w:semiHidden/>
    <w:qFormat/>
    <w:pPr>
      <w:ind w:left="1260"/>
    </w:pPr>
    <w:rPr>
      <w:rFonts w:ascii="Calibri" w:hAnsi="Calibri" w:eastAsia="Calibri" w:cs="宋体"/>
      <w:sz w:val="20"/>
      <w:lang w:val="zh-CN"/>
    </w:rPr>
  </w:style>
  <w:style w:type="paragraph" w:styleId="972" w:customStyle="1">
    <w:name w:val="目录 51"/>
    <w:basedOn w:val="749"/>
    <w:next w:val="749"/>
    <w:uiPriority w:val="0"/>
    <w:semiHidden/>
    <w:qFormat/>
    <w:pPr>
      <w:ind w:left="840"/>
      <w:jc w:val="left"/>
    </w:pPr>
    <w:rPr>
      <w:rFonts w:ascii="Times New Roman" w:hAnsi="Times New Roman" w:eastAsia="宋体" w:cs="Times New Roman"/>
      <w:szCs w:val="21"/>
    </w:rPr>
  </w:style>
  <w:style w:type="paragraph" w:styleId="973" w:customStyle="1">
    <w:name w:val="目录 31"/>
    <w:basedOn w:val="749"/>
    <w:next w:val="749"/>
    <w:uiPriority w:val="0"/>
    <w:semiHidden/>
    <w:qFormat/>
    <w:pPr>
      <w:ind w:left="420"/>
      <w:jc w:val="left"/>
    </w:pPr>
    <w:rPr>
      <w:rFonts w:ascii="Times New Roman" w:hAnsi="Times New Roman" w:eastAsia="宋体" w:cs="Times New Roman"/>
      <w:i/>
      <w:iCs/>
      <w:szCs w:val="24"/>
    </w:rPr>
  </w:style>
  <w:style w:type="paragraph" w:styleId="974" w:customStyle="1">
    <w:name w:val="纯文本11"/>
    <w:basedOn w:val="749"/>
    <w:link w:val="975"/>
    <w:uiPriority w:val="0"/>
    <w:qFormat/>
    <w:rPr>
      <w:rFonts w:ascii="宋体" w:hAnsi="Courier New" w:eastAsia="宋体" w:cs="Courier New"/>
      <w:szCs w:val="21"/>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749"/>
    <w:next w:val="749"/>
    <w:uiPriority w:val="0"/>
    <w:semiHidden/>
    <w:qFormat/>
    <w:pPr>
      <w:ind w:left="1470"/>
      <w:jc w:val="left"/>
    </w:pPr>
    <w:rPr>
      <w:rFonts w:ascii="Times New Roman" w:hAnsi="Times New Roman" w:eastAsia="宋体" w:cs="Times New Roman"/>
      <w:szCs w:val="21"/>
    </w:rPr>
  </w:style>
  <w:style w:type="paragraph" w:styleId="977" w:customStyle="1">
    <w:name w:val="日期1"/>
    <w:basedOn w:val="749"/>
    <w:next w:val="749"/>
    <w:link w:val="978"/>
    <w:uiPriority w:val="0"/>
    <w:qFormat/>
    <w:rPr>
      <w:rFonts w:ascii="Times New Roman" w:hAnsi="Times New Roman" w:eastAsia="宋体" w:cs="Times New Roman"/>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749"/>
    <w:link w:val="980"/>
    <w:uiPriority w:val="0"/>
    <w:qFormat/>
    <w:pPr>
      <w:ind w:left="630" w:firstLine="645"/>
    </w:pPr>
    <w:rPr>
      <w:rFonts w:ascii="Arial" w:hAnsi="Arial" w:eastAsia="仿宋_GB2312" w:cs="Arial"/>
      <w:sz w:val="32"/>
      <w:szCs w:val="32"/>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749"/>
    <w:link w:val="982"/>
    <w:uiPriority w:val="0"/>
    <w:semiHidden/>
    <w:rPr>
      <w:rFonts w:ascii="Times New Roman" w:hAnsi="Times New Roman" w:eastAsia="宋体" w:cs="Times New Roman"/>
      <w:sz w:val="18"/>
      <w:szCs w:val="18"/>
    </w:rPr>
  </w:style>
  <w:style w:type="character" w:styleId="982" w:customStyle="1">
    <w:name w:val="批注框文本 Char"/>
    <w:link w:val="981"/>
    <w:uiPriority w:val="0"/>
    <w:semiHidden/>
    <w:qFormat/>
    <w:rPr>
      <w:rFonts w:ascii="Times New Roman" w:hAnsi="Times New Roman" w:eastAsia="宋体" w:cs="Times New Roman"/>
      <w:sz w:val="18"/>
      <w:szCs w:val="18"/>
    </w:rPr>
  </w:style>
  <w:style w:type="paragraph" w:styleId="983" w:customStyle="1">
    <w:name w:val="页脚1"/>
    <w:basedOn w:val="749"/>
    <w:link w:val="98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页眉1"/>
    <w:basedOn w:val="749"/>
    <w:link w:val="98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6" w:customStyle="1">
    <w:name w:val="页眉 Char"/>
    <w:link w:val="985"/>
    <w:uiPriority w:val="0"/>
    <w:rPr>
      <w:rFonts w:ascii="Times New Roman" w:hAnsi="Times New Roman" w:eastAsia="宋体" w:cs="Times New Roman"/>
      <w:sz w:val="18"/>
      <w:szCs w:val="18"/>
    </w:rPr>
  </w:style>
  <w:style w:type="paragraph" w:styleId="987" w:customStyle="1">
    <w:name w:val="目录 11"/>
    <w:basedOn w:val="749"/>
    <w:next w:val="749"/>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8" w:customStyle="1">
    <w:name w:val="目录 41"/>
    <w:basedOn w:val="749"/>
    <w:next w:val="749"/>
    <w:uiPriority w:val="0"/>
    <w:semiHidden/>
    <w:pPr>
      <w:ind w:left="630"/>
      <w:jc w:val="left"/>
    </w:pPr>
    <w:rPr>
      <w:rFonts w:ascii="Times New Roman" w:hAnsi="Times New Roman" w:eastAsia="宋体" w:cs="Times New Roman"/>
      <w:szCs w:val="21"/>
    </w:rPr>
  </w:style>
  <w:style w:type="paragraph" w:styleId="989" w:customStyle="1">
    <w:name w:val="列表1"/>
    <w:basedOn w:val="749"/>
    <w:uiPriority w:val="0"/>
    <w:qFormat/>
    <w:pPr>
      <w:ind w:left="200" w:hanging="200"/>
    </w:pPr>
    <w:rPr>
      <w:rFonts w:ascii="Times New Roman" w:hAnsi="Times New Roman" w:eastAsia="宋体" w:cs="Times New Roman"/>
      <w:szCs w:val="21"/>
    </w:rPr>
  </w:style>
  <w:style w:type="paragraph" w:styleId="990" w:customStyle="1">
    <w:name w:val="目录 61"/>
    <w:basedOn w:val="749"/>
    <w:next w:val="749"/>
    <w:uiPriority w:val="0"/>
    <w:semiHidden/>
    <w:qFormat/>
    <w:pPr>
      <w:ind w:left="1050"/>
      <w:jc w:val="left"/>
    </w:pPr>
    <w:rPr>
      <w:rFonts w:ascii="Times New Roman" w:hAnsi="Times New Roman" w:eastAsia="宋体" w:cs="Times New Roman"/>
      <w:szCs w:val="21"/>
    </w:rPr>
  </w:style>
  <w:style w:type="paragraph" w:styleId="991" w:customStyle="1">
    <w:name w:val="正文文本缩进 31"/>
    <w:basedOn w:val="749"/>
    <w:link w:val="992"/>
    <w:uiPriority w:val="0"/>
    <w:pPr>
      <w:ind w:left="645" w:firstLine="645"/>
    </w:pPr>
    <w:rPr>
      <w:rFonts w:ascii="Arial" w:hAnsi="Arial" w:eastAsia="仿宋_GB2312" w:cs="Arial"/>
      <w:color w:val="ffff00"/>
      <w:sz w:val="32"/>
      <w:szCs w:val="32"/>
    </w:rPr>
  </w:style>
  <w:style w:type="character" w:styleId="992" w:customStyle="1">
    <w:name w:val="正文文本缩进 3 Char"/>
    <w:link w:val="991"/>
    <w:uiPriority w:val="0"/>
    <w:rPr>
      <w:rFonts w:ascii="Arial" w:hAnsi="Arial" w:eastAsia="仿宋_GB2312" w:cs="Arial"/>
      <w:color w:val="ffff00"/>
      <w:sz w:val="32"/>
      <w:szCs w:val="32"/>
    </w:rPr>
  </w:style>
  <w:style w:type="paragraph" w:styleId="993" w:customStyle="1">
    <w:name w:val="图表目录1"/>
    <w:basedOn w:val="749"/>
    <w:next w:val="749"/>
    <w:uiPriority w:val="0"/>
    <w:semiHidden/>
    <w:qFormat/>
    <w:pPr>
      <w:ind w:left="840" w:hanging="420"/>
    </w:pPr>
    <w:rPr>
      <w:rFonts w:ascii="Times New Roman" w:hAnsi="Times New Roman" w:eastAsia="宋体" w:cs="Times New Roman"/>
      <w:szCs w:val="21"/>
    </w:rPr>
  </w:style>
  <w:style w:type="paragraph" w:styleId="994" w:customStyle="1">
    <w:name w:val="目录 21"/>
    <w:basedOn w:val="749"/>
    <w:next w:val="749"/>
    <w:uiPriority w:val="0"/>
    <w:semiHidden/>
    <w:pPr>
      <w:ind w:left="210"/>
      <w:jc w:val="left"/>
    </w:pPr>
    <w:rPr>
      <w:rFonts w:ascii="Times New Roman" w:hAnsi="Times New Roman" w:eastAsia="宋体" w:cs="Times New Roman"/>
      <w:smallCaps/>
      <w:szCs w:val="24"/>
    </w:rPr>
  </w:style>
  <w:style w:type="paragraph" w:styleId="995" w:customStyle="1">
    <w:name w:val="目录 91"/>
    <w:basedOn w:val="749"/>
    <w:next w:val="749"/>
    <w:uiPriority w:val="0"/>
    <w:semiHidden/>
    <w:pPr>
      <w:ind w:left="1680"/>
      <w:jc w:val="left"/>
    </w:pPr>
    <w:rPr>
      <w:rFonts w:ascii="Times New Roman" w:hAnsi="Times New Roman" w:eastAsia="宋体" w:cs="Times New Roman"/>
      <w:szCs w:val="21"/>
    </w:rPr>
  </w:style>
  <w:style w:type="paragraph" w:styleId="996" w:customStyle="1">
    <w:name w:val="正文文本 21"/>
    <w:basedOn w:val="749"/>
    <w:link w:val="997"/>
    <w:uiPriority w:val="0"/>
    <w:qFormat/>
    <w:pPr>
      <w:jc w:val="center"/>
      <w:widowControl/>
    </w:pPr>
    <w:rPr>
      <w:rFonts w:ascii="楷体_GB2312" w:hAnsi="Times New Roman" w:eastAsia="楷体_GB2312" w:cs="Times New Roman"/>
      <w:sz w:val="28"/>
      <w:szCs w:val="28"/>
    </w:rPr>
  </w:style>
  <w:style w:type="character" w:styleId="997" w:customStyle="1">
    <w:name w:val="正文文本 2 Char"/>
    <w:link w:val="996"/>
    <w:uiPriority w:val="0"/>
    <w:qFormat/>
    <w:rPr>
      <w:rFonts w:ascii="楷体_GB2312" w:hAnsi="Times New Roman" w:eastAsia="楷体_GB2312" w:cs="Times New Roman"/>
      <w:sz w:val="28"/>
      <w:szCs w:val="28"/>
    </w:rPr>
  </w:style>
  <w:style w:type="paragraph" w:styleId="998" w:customStyle="1">
    <w:name w:val="普通(网站)1"/>
    <w:basedOn w:val="749"/>
    <w:uiPriority w:val="99"/>
    <w:qFormat/>
    <w:pPr>
      <w:jc w:val="left"/>
      <w:spacing w:before="100" w:beforeAutospacing="1" w:after="100" w:afterAutospacing="1"/>
      <w:widowControl/>
    </w:pPr>
    <w:rPr>
      <w:rFonts w:ascii="宋体" w:hAnsi="宋体" w:eastAsia="宋体" w:cs="宋体"/>
      <w:sz w:val="24"/>
      <w:szCs w:val="24"/>
    </w:rPr>
  </w:style>
  <w:style w:type="paragraph" w:styleId="999" w:customStyle="1">
    <w:name w:val="索引 11"/>
    <w:basedOn w:val="749"/>
    <w:next w:val="749"/>
    <w:uiPriority w:val="0"/>
    <w:semiHidden/>
    <w:pPr>
      <w:spacing w:line="240" w:lineRule="atLeast"/>
    </w:pPr>
    <w:rPr>
      <w:rFonts w:ascii="Times New Roman" w:hAnsi="Times New Roman" w:eastAsia="宋体" w:cs="Times New Roman"/>
      <w:b/>
      <w:bCs/>
      <w:szCs w:val="21"/>
    </w:rPr>
  </w:style>
  <w:style w:type="paragraph" w:styleId="1000" w:customStyle="1">
    <w:name w:val="批注主题1"/>
    <w:basedOn w:val="964"/>
    <w:next w:val="964"/>
    <w:link w:val="1001"/>
    <w:uiPriority w:val="0"/>
    <w:semiHidden/>
    <w:qFormat/>
    <w:rPr>
      <w:rFonts w:ascii="Times New Roman" w:hAnsi="Times New Roman" w:eastAsia="宋体" w:cs="Times New Roman"/>
      <w:b/>
      <w:bCs/>
      <w:szCs w:val="21"/>
    </w:rPr>
  </w:style>
  <w:style w:type="character" w:styleId="1001" w:customStyle="1">
    <w:name w:val="批注主题 Char"/>
    <w:link w:val="1000"/>
    <w:uiPriority w:val="0"/>
    <w:semiHidden/>
    <w:qFormat/>
    <w:rPr>
      <w:rFonts w:ascii="Times New Roman" w:hAnsi="Times New Roman" w:eastAsia="宋体" w:cs="Times New Roman"/>
      <w:b/>
      <w:bCs/>
      <w:szCs w:val="21"/>
    </w:rPr>
  </w:style>
  <w:style w:type="paragraph" w:styleId="1002" w:customStyle="1">
    <w:name w:val="正文首行缩进1"/>
    <w:basedOn w:val="749"/>
    <w:link w:val="1003"/>
    <w:uiPriority w:val="0"/>
    <w:qFormat/>
    <w:pPr>
      <w:ind w:firstLine="200"/>
      <w:spacing w:line="360" w:lineRule="auto"/>
    </w:pPr>
    <w:rPr>
      <w:rFonts w:ascii="仿宋_GB2312" w:hAnsi="Times New Roman" w:eastAsia="仿宋_GB2312" w:cs="Times New Roman"/>
      <w:sz w:val="30"/>
      <w:szCs w:val="30"/>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table" w:styleId="1004" w:customStyle="1">
    <w:name w:val="网格型11"/>
    <w:basedOn w:val="944"/>
    <w:uiPriority w:val="0"/>
    <w:qFormat/>
    <w:pPr>
      <w:jc w:val="both"/>
      <w:widowControl w:val="off"/>
    </w:pPr>
    <w:rPr>
      <w:rFonts w:ascii="Times New Roman" w:hAnsi="Times New Roman" w:eastAsia="宋体" w:cs="Times New Roman"/>
      <w:sz w:val="20"/>
      <w:szCs w:val="20"/>
    </w:rPr>
    <w:tblPr/>
  </w:style>
  <w:style w:type="character" w:styleId="1005" w:customStyle="1">
    <w:name w:val="要点1"/>
    <w:link w:val="749"/>
    <w:uiPriority w:val="0"/>
    <w:qFormat/>
    <w:rPr>
      <w:b/>
      <w:bCs/>
    </w:rPr>
  </w:style>
  <w:style w:type="character" w:styleId="1006" w:customStyle="1">
    <w:name w:val="页码1"/>
    <w:link w:val="749"/>
    <w:uiPriority w:val="0"/>
    <w:qFormat/>
  </w:style>
  <w:style w:type="character" w:styleId="1007" w:customStyle="1">
    <w:name w:val="已访问的超链接1"/>
    <w:link w:val="749"/>
    <w:uiPriority w:val="0"/>
    <w:qFormat/>
    <w:rPr>
      <w:color w:val="800080"/>
      <w:u w:val="single"/>
    </w:rPr>
  </w:style>
  <w:style w:type="character" w:styleId="1008" w:customStyle="1">
    <w:name w:val="超链接1"/>
    <w:link w:val="749"/>
    <w:uiPriority w:val="0"/>
    <w:rPr>
      <w:color w:val="0000ff"/>
      <w:u w:val="single"/>
    </w:rPr>
  </w:style>
  <w:style w:type="character" w:styleId="1009" w:customStyle="1">
    <w:name w:val="批注引用1"/>
    <w:link w:val="749"/>
    <w:uiPriority w:val="0"/>
    <w:semiHidden/>
    <w:qFormat/>
    <w:rPr>
      <w:sz w:val="21"/>
      <w:szCs w:val="21"/>
    </w:rPr>
  </w:style>
  <w:style w:type="paragraph" w:styleId="1010" w:customStyle="1">
    <w:name w:val="正文文本缩进1"/>
    <w:basedOn w:val="749"/>
    <w:next w:val="1011"/>
    <w:uiPriority w:val="0"/>
    <w:unhideWhenUsed/>
    <w:qFormat/>
    <w:pPr>
      <w:ind w:left="420"/>
      <w:spacing w:after="120"/>
    </w:pPr>
  </w:style>
  <w:style w:type="paragraph" w:styleId="1011" w:customStyle="1">
    <w:name w:val="正文文本首行缩进 2"/>
    <w:basedOn w:val="1010"/>
    <w:uiPriority w:val="0"/>
    <w:qFormat/>
    <w:pPr>
      <w:ind w:left="0" w:firstLine="420"/>
      <w:spacing w:after="0" w:line="360" w:lineRule="auto"/>
    </w:pPr>
    <w:rPr>
      <w:rFonts w:ascii="宋体" w:hAnsi="宋体"/>
      <w:sz w:val="20"/>
      <w:szCs w:val="20"/>
      <w:lang w:val="en-US" w:eastAsia="en-US"/>
    </w:rPr>
  </w:style>
  <w:style w:type="paragraph" w:styleId="1012" w:customStyle="1">
    <w:name w:val="索引 41"/>
    <w:basedOn w:val="749"/>
    <w:next w:val="749"/>
    <w:uiPriority w:val="0"/>
    <w:semiHidden/>
    <w:qFormat/>
    <w:pPr>
      <w:ind w:left="1260"/>
    </w:pPr>
    <w:rPr>
      <w:rFonts w:ascii="Calibri" w:hAnsi="Calibri" w:eastAsia="Calibri" w:cs="宋体"/>
      <w:sz w:val="20"/>
      <w:lang w:val="zh-CN"/>
    </w:rPr>
  </w:style>
  <w:style w:type="character" w:styleId="1013" w:customStyle="1">
    <w:name w:val="font5 Char"/>
    <w:link w:val="749"/>
    <w:uiPriority w:val="0"/>
    <w:qFormat/>
    <w:rPr>
      <w:rFonts w:ascii="宋体" w:hAnsi="宋体" w:eastAsia="宋体"/>
      <w:sz w:val="28"/>
      <w:szCs w:val="28"/>
      <w:lang w:val="en-US" w:eastAsia="zh-CN" w:bidi="ar-SA"/>
    </w:rPr>
  </w:style>
  <w:style w:type="character" w:styleId="1014" w:customStyle="1">
    <w:name w:val="二级目录 Char"/>
    <w:link w:val="1015"/>
    <w:uiPriority w:val="0"/>
    <w:qFormat/>
    <w:rPr>
      <w:b/>
      <w:sz w:val="30"/>
      <w:szCs w:val="28"/>
    </w:rPr>
  </w:style>
  <w:style w:type="paragraph" w:styleId="1015" w:customStyle="1">
    <w:name w:val="二级目录"/>
    <w:next w:val="749"/>
    <w:link w:val="101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749"/>
    <w:link w:val="1016"/>
    <w:uiPriority w:val="0"/>
    <w:qFormat/>
    <w:pPr>
      <w:contextualSpacing/>
      <w:ind w:left="720"/>
      <w:jc w:val="left"/>
      <w:widowControl/>
    </w:pPr>
    <w:rPr>
      <w:rFonts w:ascii="Calibri" w:hAnsi="Calibri"/>
      <w:sz w:val="24"/>
      <w:szCs w:val="24"/>
      <w:lang w:eastAsia="en-US" w:bidi="en-US"/>
    </w:rPr>
  </w:style>
  <w:style w:type="paragraph" w:styleId="1018" w:customStyle="1">
    <w:name w:val="Body Text(ch)"/>
    <w:basedOn w:val="749"/>
    <w:next w:val="968"/>
    <w:uiPriority w:val="0"/>
    <w:qFormat/>
    <w:pPr>
      <w:spacing w:after="120"/>
    </w:pPr>
    <w:rPr>
      <w:rFonts w:ascii="宋体" w:hAnsi="Arial" w:eastAsia="宋体" w:cs="Times New Roman"/>
      <w:bCs/>
      <w:iCs/>
      <w:szCs w:val="24"/>
    </w:rPr>
  </w:style>
  <w:style w:type="paragraph" w:styleId="1019" w:customStyle="1">
    <w:name w:val="xl2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customStyle="1">
    <w:name w:val="xl2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customStyle="1">
    <w:name w:val="Char"/>
    <w:basedOn w:val="749"/>
    <w:uiPriority w:val="0"/>
    <w:qFormat/>
    <w:pPr>
      <w:ind w:firstLine="200"/>
      <w:tabs>
        <w:tab w:val="left" w:pos="360" w:leader="none"/>
      </w:tabs>
    </w:pPr>
    <w:rPr>
      <w:rFonts w:ascii="Times New Roman" w:hAnsi="Times New Roman" w:eastAsia="宋体" w:cs="Times New Roman"/>
      <w:sz w:val="28"/>
      <w:szCs w:val="30"/>
    </w:rPr>
  </w:style>
  <w:style w:type="paragraph" w:styleId="1022" w:customStyle="1">
    <w:name w:val=" Char"/>
    <w:basedOn w:val="962"/>
    <w:uiPriority w:val="0"/>
    <w:rPr>
      <w:rFonts w:ascii="Tahoma" w:hAnsi="Tahoma"/>
      <w:sz w:val="24"/>
      <w:szCs w:val="24"/>
    </w:rPr>
  </w:style>
  <w:style w:type="paragraph" w:styleId="1023" w:customStyle="1">
    <w:name w:val="普通正文"/>
    <w:basedOn w:val="749"/>
    <w:uiPriority w:val="0"/>
    <w:qFormat/>
    <w:pPr>
      <w:ind w:firstLine="480"/>
      <w:jc w:val="left"/>
      <w:spacing w:before="120" w:after="120" w:line="360" w:lineRule="auto"/>
    </w:pPr>
    <w:rPr>
      <w:rFonts w:ascii="Arial" w:hAnsi="Arial" w:eastAsia="宋体" w:cs="Times New Roman"/>
      <w:sz w:val="24"/>
      <w:szCs w:val="24"/>
    </w:rPr>
  </w:style>
  <w:style w:type="paragraph" w:styleId="1024" w:customStyle="1">
    <w:name w:val="table_lines"/>
    <w:basedOn w:val="749"/>
    <w:uiPriority w:val="0"/>
    <w:qFormat/>
    <w:pPr>
      <w:jc w:val="left"/>
      <w:widowControl/>
    </w:pPr>
    <w:rPr>
      <w:rFonts w:ascii="Times New Roman" w:hAnsi="Times New Roman" w:eastAsia="宋体" w:cs="Times New Roman"/>
      <w:sz w:val="20"/>
      <w:szCs w:val="20"/>
      <w:lang w:val="de-DE" w:eastAsia="de-DE"/>
    </w:rPr>
  </w:style>
  <w:style w:type="paragraph" w:styleId="10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6" w:customStyle="1">
    <w:name w:val="font7"/>
    <w:basedOn w:val="749"/>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027" w:customStyle="1">
    <w:name w:val=" Char Char Char Char"/>
    <w:basedOn w:val="962"/>
    <w:uiPriority w:val="0"/>
    <w:qFormat/>
    <w:pPr>
      <w:spacing w:line="360" w:lineRule="auto"/>
    </w:pPr>
    <w:rPr>
      <w:rFonts w:ascii="Tahoma" w:hAnsi="Tahoma"/>
      <w:sz w:val="24"/>
      <w:szCs w:val="24"/>
    </w:rPr>
  </w:style>
  <w:style w:type="paragraph" w:styleId="1028">
    <w:name w:val="List Paragraph"/>
    <w:basedOn w:val="749"/>
    <w:uiPriority w:val="0"/>
    <w:qFormat/>
    <w:pPr>
      <w:contextualSpacing/>
      <w:ind w:left="720"/>
      <w:jc w:val="left"/>
      <w:widowControl/>
    </w:pPr>
    <w:rPr>
      <w:rFonts w:ascii="Calibri" w:hAnsi="Calibri" w:eastAsia="宋体" w:cs="Times New Roman"/>
      <w:sz w:val="24"/>
      <w:szCs w:val="24"/>
      <w:lang w:eastAsia="en-US" w:bidi="en-US"/>
    </w:rPr>
  </w:style>
  <w:style w:type="paragraph" w:styleId="1029" w:customStyle="1">
    <w:name w:val="4"/>
    <w:basedOn w:val="749"/>
    <w:next w:val="991"/>
    <w:uiPriority w:val="0"/>
    <w:qFormat/>
    <w:pPr>
      <w:ind w:firstLine="420"/>
      <w:spacing w:line="360" w:lineRule="auto"/>
    </w:pPr>
    <w:rPr>
      <w:rFonts w:ascii="Times New Roman" w:hAnsi="Times New Roman" w:eastAsia="宋体" w:cs="Times New Roman"/>
      <w:color w:val="ff0000"/>
      <w:sz w:val="24"/>
      <w:szCs w:val="24"/>
    </w:rPr>
  </w:style>
  <w:style w:type="paragraph" w:styleId="1030" w:customStyle="1">
    <w:name w:val="普通 (Web)"/>
    <w:basedOn w:val="749"/>
    <w:uiPriority w:val="0"/>
    <w:qFormat/>
    <w:pPr>
      <w:jc w:val="left"/>
      <w:spacing w:before="100" w:beforeAutospacing="1" w:after="100" w:afterAutospacing="1"/>
      <w:widowControl/>
    </w:pPr>
    <w:rPr>
      <w:rFonts w:ascii="宋体" w:hAnsi="宋体" w:eastAsia="宋体" w:cs="Times New Roman"/>
      <w:sz w:val="24"/>
      <w:szCs w:val="24"/>
    </w:rPr>
  </w:style>
  <w:style w:type="paragraph" w:styleId="1031" w:customStyle="1">
    <w:name w:val=" Char Char Char Char Char Char Char Char Char Char"/>
    <w:basedOn w:val="749"/>
    <w:uiPriority w:val="0"/>
    <w:qFormat/>
    <w:pPr>
      <w:spacing w:line="360" w:lineRule="auto"/>
    </w:pPr>
    <w:rPr>
      <w:rFonts w:ascii="Times New Roman" w:hAnsi="Times New Roman" w:eastAsia="宋体" w:cs="Times New Roman"/>
      <w:sz w:val="24"/>
      <w:szCs w:val="20"/>
    </w:rPr>
  </w:style>
  <w:style w:type="paragraph" w:styleId="1032" w:customStyle="1">
    <w:name w:val="样式1"/>
    <w:basedOn w:val="749"/>
    <w:uiPriority w:val="0"/>
    <w:pPr>
      <w:numPr>
        <w:ilvl w:val="0"/>
        <w:numId w:val="3"/>
      </w:numPr>
    </w:pPr>
    <w:rPr>
      <w:rFonts w:ascii="宋体" w:hAnsi="宋体" w:eastAsia="宋体" w:cs="Times New Roman"/>
      <w:szCs w:val="21"/>
    </w:rPr>
  </w:style>
  <w:style w:type="paragraph" w:styleId="1033" w:customStyle="1">
    <w:name w:val="font6"/>
    <w:basedOn w:val="74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749"/>
    <w:next w:val="749"/>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6" w:customStyle="1">
    <w:name w:val="标题3"/>
    <w:basedOn w:val="749"/>
    <w:next w:val="749"/>
    <w:uiPriority w:val="0"/>
    <w:pPr>
      <w:ind w:firstLine="624"/>
      <w:spacing w:line="590" w:lineRule="atLeast"/>
    </w:pPr>
    <w:rPr>
      <w:rFonts w:ascii="方正黑体_GBK" w:hAnsi="Times New Roman" w:eastAsia="方正黑体_GBK" w:cs="Times New Roman"/>
      <w:sz w:val="32"/>
      <w:szCs w:val="32"/>
    </w:rPr>
  </w:style>
  <w:style w:type="paragraph" w:styleId="1037" w:customStyle="1">
    <w:name w:val="xl24"/>
    <w:basedOn w:val="749"/>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customStyle="1">
    <w:name w:val="xl29"/>
    <w:basedOn w:val="74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9" w:customStyle="1">
    <w:name w:val="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40"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1" w:customStyle="1">
    <w:name w:val=" 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42" w:customStyle="1">
    <w:name w:val="xl30"/>
    <w:basedOn w:val="74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3" w:customStyle="1">
    <w:name w:val="Char Char Char Char"/>
    <w:basedOn w:val="962"/>
    <w:uiPriority w:val="0"/>
    <w:qFormat/>
    <w:pPr>
      <w:spacing w:line="360" w:lineRule="auto"/>
    </w:pPr>
    <w:rPr>
      <w:rFonts w:ascii="Tahoma" w:hAnsi="Tahoma"/>
      <w:sz w:val="24"/>
      <w:szCs w:val="24"/>
    </w:rPr>
  </w:style>
  <w:style w:type="paragraph" w:styleId="1044" w:customStyle="1">
    <w:name w:val="table_1stline"/>
    <w:basedOn w:val="74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5" w:customStyle="1">
    <w:name w:val="font5"/>
    <w:basedOn w:val="74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6" w:customStyle="1">
    <w:name w:val="标题1"/>
    <w:basedOn w:val="749"/>
    <w:next w:val="749"/>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7"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104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9" w:customStyle="1">
    <w:name w:val="Table Normal"/>
    <w:uiPriority w:val="0"/>
    <w:qFormat/>
    <w:tblPr/>
  </w:style>
  <w:style w:type="paragraph" w:styleId="1050" w:customStyle="1">
    <w:name w:val="正文文本 211"/>
    <w:basedOn w:val="749"/>
    <w:uiPriority w:val="99"/>
    <w:qFormat/>
    <w:pPr>
      <w:jc w:val="center"/>
    </w:pPr>
    <w:rPr>
      <w:b/>
      <w:bCs/>
      <w:sz w:val="20"/>
      <w:szCs w:val="20"/>
    </w:rPr>
  </w:style>
  <w:style w:type="paragraph" w:styleId="1051" w:customStyle="1">
    <w:name w:val="正文文本1"/>
    <w:basedOn w:val="749"/>
    <w:next w:val="749"/>
    <w:uiPriority w:val="0"/>
    <w:semiHidden/>
    <w:qFormat/>
    <w:rPr>
      <w:rFonts w:ascii="Arial" w:hAnsi="Arial" w:eastAsia="Arial" w:cs="Arial"/>
      <w:sz w:val="21"/>
      <w:szCs w:val="21"/>
      <w:lang w:val="en-US" w:eastAsia="en-US" w:bidi="ar-SA"/>
    </w:rPr>
  </w:style>
  <w:style w:type="paragraph" w:styleId="1052" w:customStyle="1">
    <w:name w:val="正文文本12"/>
    <w:basedOn w:val="749"/>
    <w:uiPriority w:val="1"/>
    <w:qFormat/>
    <w:pPr>
      <w:ind w:left="120"/>
    </w:pPr>
    <w:rPr>
      <w:rFonts w:ascii="宋体" w:hAnsi="宋体" w:eastAsia="宋体" w:cs="宋体"/>
      <w:sz w:val="21"/>
      <w:szCs w:val="21"/>
      <w:lang w:val="zh-CN" w:eastAsia="zh-CN" w:bidi="zh-CN"/>
    </w:rPr>
  </w:style>
  <w:style w:type="paragraph" w:styleId="1053" w:customStyle="1">
    <w:name w:val="纯文本1"/>
    <w:basedOn w:val="749"/>
    <w:uiPriority w:val="0"/>
    <w:qFormat/>
    <w:rPr>
      <w:rFonts w:ascii="宋体" w:hAnsi="Courier New" w:cs="Courier New"/>
    </w:rPr>
  </w:style>
  <w:style w:type="table" w:styleId="1054" w:customStyle="1">
    <w:name w:val="网格型1"/>
    <w:basedOn w:val="1055"/>
    <w:uiPriority w:val="0"/>
    <w:qFormat/>
    <w:pPr>
      <w:jc w:val="both"/>
      <w:widowControl w:val="off"/>
    </w:pPr>
    <w:tblPr/>
  </w:style>
  <w:style w:type="table" w:styleId="1055" w:customStyle="1">
    <w:name w:val="普通表格1"/>
    <w:uiPriority w:val="99"/>
    <w:unhideWhenUsed/>
    <w:qFormat/>
    <w:tblPr/>
  </w:style>
  <w:style w:type="paragraph" w:styleId="1056" w:customStyle="1">
    <w:name w:val="p0"/>
    <w:basedOn w:val="749"/>
    <w:uiPriority w:val="0"/>
    <w:qFormat/>
    <w:pPr>
      <w:jc w:val="left"/>
      <w:spacing w:before="100" w:beforeAutospacing="1" w:after="100" w:afterAutospacing="1"/>
      <w:widowControl/>
    </w:pPr>
    <w:rPr>
      <w:rFonts w:ascii="宋体" w:hAnsi="宋体" w:cs="宋体"/>
      <w:sz w:val="24"/>
      <w:szCs w:val="24"/>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5</cp:revision>
  <dcterms:created xsi:type="dcterms:W3CDTF">2023-03-27T07:28:00Z</dcterms:created>
  <dcterms:modified xsi:type="dcterms:W3CDTF">2026-01-26T08:55:41Z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72323C8FE88846F988F2CA9E95DCB79A</vt:lpwstr>
  </property>
</Properties>
</file>