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8"/>
        <w:ind w:firstLine="0"/>
        <w:rPr>
          <w:rFonts w:hint="eastAsia" w:ascii="宋体" w:hAnsi="宋体" w:cs="宋体"/>
          <w:b w:val="0"/>
          <w:bCs/>
          <w:color w:val="000000"/>
          <w:sz w:val="72"/>
          <w:szCs w:val="72"/>
          <w:highlight w:val="none"/>
        </w:rPr>
      </w:pPr>
      <w:r>
        <w:rPr>
          <w:rFonts w:hint="eastAsia" w:ascii="宋体" w:hAnsi="宋体" w:cs="宋体"/>
          <w:b w:val="0"/>
          <w:bCs/>
          <w:color w:val="000000"/>
          <w:sz w:val="72"/>
          <w:szCs w:val="72"/>
          <w:highlight w:val="none"/>
        </w:rPr>
      </w:r>
      <w:r/>
    </w:p>
    <w:p>
      <w:pPr>
        <w:pStyle w:val="1086"/>
        <w:jc w:val="center"/>
        <w:spacing w:after="156"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t xml:space="preserve">第五十四中学等校办公及教室家具更新</w:t>
      </w:r>
      <w:r>
        <w:rPr>
          <w:rFonts w:hint="eastAsia" w:ascii="宋体" w:hAnsi="宋体" w:cs="宋体"/>
          <w:b/>
          <w:bCs/>
          <w:color w:val="000000"/>
          <w:sz w:val="72"/>
          <w:szCs w:val="72"/>
          <w:highlight w:val="none"/>
        </w:rPr>
      </w:r>
      <w:r/>
    </w:p>
    <w:p>
      <w:pPr>
        <w:pStyle w:val="1086"/>
        <w:jc w:val="center"/>
        <w:spacing w:after="156"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1086"/>
        <w:jc w:val="center"/>
        <w:spacing w:line="360" w:lineRule="auto"/>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 xml:space="preserve">招 标 文 件</w:t>
      </w:r>
      <w:r>
        <w:rPr>
          <w:rFonts w:hint="eastAsia" w:ascii="宋体" w:hAnsi="宋体" w:cs="宋体"/>
          <w:b/>
          <w:bCs/>
          <w:color w:val="000000"/>
          <w:sz w:val="96"/>
          <w:szCs w:val="96"/>
          <w:highlight w:val="none"/>
        </w:rPr>
      </w:r>
      <w:r/>
    </w:p>
    <w:p>
      <w:pPr>
        <w:pStyle w:val="1086"/>
        <w:jc w:val="center"/>
        <w:spacing w:line="360" w:lineRule="auto"/>
        <w:rPr>
          <w:rFonts w:hint="eastAsia" w:ascii="宋体" w:hAnsi="宋体" w:eastAsia="宋体" w:cs="宋体"/>
          <w:b/>
          <w:bCs/>
          <w:color w:val="000000"/>
          <w:sz w:val="36"/>
          <w:szCs w:val="22"/>
          <w:highlight w:val="none"/>
          <w:lang w:eastAsia="zh-CN"/>
        </w:rPr>
      </w:pPr>
      <w:r>
        <w:rPr>
          <w:rFonts w:hint="eastAsia" w:ascii="宋体" w:hAnsi="宋体" w:cs="宋体"/>
          <w:b/>
          <w:bCs/>
          <w:color w:val="000000"/>
          <w:sz w:val="36"/>
          <w:highlight w:val="none"/>
        </w:rPr>
        <w:t xml:space="preserve">招标编号</w:t>
      </w:r>
      <w:r>
        <w:rPr>
          <w:rFonts w:hint="eastAsia" w:ascii="宋体" w:hAnsi="宋体" w:cs="宋体"/>
          <w:b/>
          <w:bCs/>
          <w:color w:val="000000"/>
          <w:sz w:val="36"/>
          <w:szCs w:val="22"/>
          <w:highlight w:val="none"/>
        </w:rPr>
        <w:t xml:space="preserve">：</w:t>
      </w:r>
      <w:r>
        <w:rPr>
          <w:rFonts w:hint="eastAsia" w:ascii="宋体" w:hAnsi="宋体" w:cs="宋体"/>
          <w:b/>
          <w:bCs/>
          <w:color w:val="000000"/>
          <w:sz w:val="36"/>
          <w:szCs w:val="22"/>
          <w:highlight w:val="none"/>
          <w:lang w:eastAsia="zh-CN"/>
        </w:rPr>
        <w:t xml:space="preserve">JSZC-320102-SMDG-G2026-0052</w:t>
      </w:r>
      <w:r>
        <w:rPr>
          <w:rFonts w:hint="eastAsia" w:ascii="宋体" w:hAnsi="宋体" w:eastAsia="宋体" w:cs="宋体"/>
          <w:b/>
          <w:bCs/>
          <w:color w:val="000000"/>
          <w:sz w:val="36"/>
          <w:szCs w:val="22"/>
          <w:highlight w:val="none"/>
          <w:lang w:eastAsia="zh-CN"/>
        </w:rPr>
      </w:r>
      <w:r/>
    </w:p>
    <w:p>
      <w:pPr>
        <w:pStyle w:val="1086"/>
        <w:jc w:val="center"/>
        <w:spacing w:line="440" w:lineRule="exact"/>
        <w:rPr>
          <w:rFonts w:ascii="Arial" w:hAnsi="Arial" w:eastAsia="黑体" w:cs="Arial"/>
          <w:b/>
          <w:color w:val="000000"/>
          <w:sz w:val="52"/>
          <w:highlight w:val="none"/>
        </w:rPr>
      </w:pPr>
      <w:r>
        <w:rPr>
          <w:rFonts w:ascii="Arial" w:hAnsi="Arial" w:eastAsia="黑体" w:cs="Arial"/>
          <w:b/>
          <w:color w:val="000000"/>
          <w:sz w:val="52"/>
          <w:highlight w:val="none"/>
        </w:rPr>
      </w:r>
      <w:r/>
    </w:p>
    <w:p>
      <w:pPr>
        <w:pStyle w:val="1086"/>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1086"/>
        <w:jc w:val="center"/>
        <w:spacing w:line="440" w:lineRule="exact"/>
        <w:rPr>
          <w:rFonts w:ascii="Arial" w:hAnsi="Arial" w:eastAsia="楷体_GB2312" w:cs="Arial"/>
          <w:b/>
          <w:color w:val="000000"/>
          <w:sz w:val="32"/>
          <w:highlight w:val="none"/>
        </w:rPr>
      </w:pPr>
      <w:r>
        <w:rPr>
          <w:rFonts w:ascii="Arial" w:hAnsi="Arial" w:eastAsia="楷体_GB2312" w:cs="Arial"/>
          <w:b/>
          <w:color w:val="000000"/>
          <w:sz w:val="32"/>
          <w:highlight w:val="none"/>
        </w:rPr>
      </w:r>
      <w:r/>
    </w:p>
    <w:p>
      <w:pPr>
        <w:pStyle w:val="1086"/>
        <w:jc w:val="center"/>
        <w:spacing w:line="360" w:lineRule="auto"/>
        <w:rPr>
          <w:rFonts w:ascii="Arial" w:hAnsi="Arial" w:eastAsia="楷体_GB2312" w:cs="Arial"/>
          <w:b/>
          <w:color w:val="000000"/>
          <w:sz w:val="32"/>
          <w:highlight w:val="none"/>
        </w:rPr>
      </w:pPr>
      <w:r>
        <w:rPr>
          <w:rFonts w:ascii="Arial" w:hAnsi="Arial" w:cs="Arial"/>
          <w:color w:val="000000"/>
          <w:szCs w:val="21"/>
          <w:highlight w:val="none"/>
        </w:rPr>
        <w:object w:dxaOrig="5952" w:dyaOrig="115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0pt;height:22.8pt;mso-wrap-distance-left:0.0pt;mso-wrap-distance-top:0.0pt;mso-wrap-distance-right:0.0pt;mso-wrap-distance-bottom:0.0pt;" filled="f" stroked="f">
            <v:path textboxrect="0,0,0,0"/>
            <v:imagedata r:id="rId22" o:title=""/>
          </v:shape>
          <o:OLEObject DrawAspect="Content" r:id="rId23" ObjectID="_1525047" ProgID="PBrush" ShapeID="_x0000_i7" Type="Embed"/>
        </w:object>
      </w:r>
      <w:r>
        <w:rPr>
          <w:rFonts w:ascii="Arial" w:hAnsi="Arial" w:eastAsia="楷体_GB2312" w:cs="Arial"/>
          <w:b/>
          <w:color w:val="000000"/>
          <w:sz w:val="32"/>
          <w:highlight w:val="none"/>
        </w:rPr>
      </w:r>
      <w:r/>
    </w:p>
    <w:p>
      <w:pPr>
        <w:pStyle w:val="1086"/>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采购代理机构：苏美达国际技术贸易有限公司</w:t>
      </w:r>
      <w:r>
        <w:rPr>
          <w:rFonts w:hint="eastAsia" w:ascii="宋体" w:hAnsi="宋体" w:cs="宋体"/>
          <w:b/>
          <w:color w:val="000000"/>
          <w:sz w:val="32"/>
          <w:highlight w:val="none"/>
        </w:rPr>
      </w:r>
      <w:r/>
    </w:p>
    <w:p>
      <w:pPr>
        <w:pStyle w:val="1086"/>
        <w:jc w:val="center"/>
        <w:spacing w:line="360" w:lineRule="auto"/>
        <w:rPr>
          <w:rFonts w:ascii="Arial" w:hAnsi="Arial" w:eastAsia="黑体" w:cs="Arial"/>
          <w:b/>
          <w:color w:val="000000"/>
          <w:sz w:val="32"/>
          <w:highlight w:val="none"/>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000000"/>
          <w:sz w:val="32"/>
          <w:szCs w:val="22"/>
          <w:highlight w:val="none"/>
        </w:rPr>
        <w:t xml:space="preserve">2026年6月</w:t>
      </w:r>
      <w:r>
        <w:rPr>
          <w:rFonts w:ascii="Arial" w:hAnsi="Arial" w:eastAsia="黑体" w:cs="Arial"/>
          <w:b/>
          <w:color w:val="000000"/>
          <w:sz w:val="32"/>
          <w:highlight w:val="none"/>
        </w:rPr>
      </w:r>
      <w:r/>
    </w:p>
    <w:p>
      <w:pPr>
        <w:pStyle w:val="1086"/>
        <w:jc w:val="center"/>
        <w:spacing w:line="440" w:lineRule="exact"/>
        <w:rPr>
          <w:rFonts w:ascii="Arial" w:hAnsi="Arial" w:eastAsia="黑体" w:cs="Arial"/>
          <w:b/>
          <w:color w:val="000000"/>
          <w:sz w:val="32"/>
          <w:highlight w:val="none"/>
        </w:rPr>
      </w:pPr>
      <w:r>
        <w:rPr>
          <w:rFonts w:ascii="Arial" w:hAnsi="Arial" w:eastAsia="黑体" w:cs="Arial"/>
          <w:b/>
          <w:color w:val="000000"/>
          <w:sz w:val="32"/>
          <w:highlight w:val="none"/>
        </w:rPr>
        <w:t xml:space="preserve">目   录</w:t>
      </w:r>
      <w:r>
        <w:rPr>
          <w:rFonts w:ascii="Arial" w:hAnsi="Arial" w:eastAsia="黑体" w:cs="Arial"/>
          <w:b/>
          <w:color w:val="000000"/>
          <w:sz w:val="32"/>
          <w:highlight w:val="none"/>
        </w:rPr>
      </w:r>
      <w:r/>
    </w:p>
    <w:p>
      <w:pPr>
        <w:pStyle w:val="1086"/>
        <w:spacing w:line="440" w:lineRule="exact"/>
        <w:rPr>
          <w:rFonts w:hint="eastAsia" w:ascii="Arial" w:hAnsi="Arial" w:cs="Arial"/>
          <w:color w:val="000000"/>
          <w:szCs w:val="21"/>
          <w:highlight w:val="none"/>
        </w:rPr>
      </w:pP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hint="eastAsia" w:ascii="Arial" w:hAnsi="Arial" w:cs="Arial"/>
          <w:color w:val="000000"/>
          <w:szCs w:val="21"/>
          <w:highlight w:val="none"/>
        </w:rPr>
        <w:t xml:space="preserve">第一章  招标公告</w:t>
      </w:r>
      <w:r>
        <w:rPr>
          <w:rFonts w:hint="eastAsia" w:ascii="Arial" w:hAnsi="Arial" w:cs="Arial"/>
          <w:color w:val="000000"/>
          <w:szCs w:val="21"/>
          <w:highlight w:val="none"/>
        </w:rPr>
      </w:r>
      <w:r/>
    </w:p>
    <w:p>
      <w:pPr>
        <w:pStyle w:val="1086"/>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第二章  </w:t>
      </w:r>
      <w:r>
        <w:rPr>
          <w:rFonts w:ascii="Arial" w:hAnsi="Arial" w:cs="Arial"/>
          <w:color w:val="000000"/>
          <w:szCs w:val="21"/>
          <w:highlight w:val="none"/>
        </w:rPr>
        <w:t xml:space="preserve">投标人须知</w:t>
      </w:r>
      <w:r>
        <w:rPr>
          <w:rFonts w:ascii="Arial" w:hAnsi="Arial" w:cs="Arial"/>
          <w:color w:val="000000"/>
          <w:szCs w:val="21"/>
          <w:highlight w:val="none"/>
        </w:rPr>
      </w:r>
      <w:r/>
    </w:p>
    <w:p>
      <w:pPr>
        <w:pStyle w:val="1086"/>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第三章  评标方法、评分标准</w:t>
      </w:r>
      <w:r>
        <w:rPr>
          <w:rFonts w:ascii="Arial" w:hAnsi="Arial" w:cs="Arial"/>
          <w:color w:val="000000"/>
          <w:szCs w:val="21"/>
          <w:highlight w:val="none"/>
        </w:rPr>
      </w:r>
      <w:r/>
    </w:p>
    <w:p>
      <w:pPr>
        <w:pStyle w:val="1086"/>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第四章  采购需求</w:t>
      </w:r>
      <w:r>
        <w:rPr>
          <w:rFonts w:ascii="Arial" w:hAnsi="Arial" w:cs="Arial"/>
          <w:color w:val="000000"/>
          <w:szCs w:val="21"/>
          <w:highlight w:val="none"/>
        </w:rPr>
      </w:r>
      <w:r/>
    </w:p>
    <w:p>
      <w:pPr>
        <w:pStyle w:val="1086"/>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第五章  合同一般条款</w:t>
      </w:r>
      <w:r>
        <w:rPr>
          <w:rFonts w:ascii="Arial" w:hAnsi="Arial" w:cs="Arial"/>
          <w:color w:val="000000"/>
          <w:szCs w:val="21"/>
          <w:highlight w:val="none"/>
        </w:rPr>
      </w:r>
      <w:r/>
    </w:p>
    <w:p>
      <w:pPr>
        <w:pStyle w:val="1086"/>
        <w:spacing w:line="440" w:lineRule="exact"/>
        <w:rPr>
          <w:rFonts w:ascii="Arial" w:hAnsi="Arial" w:cs="Arial"/>
          <w:color w:val="000000"/>
          <w:szCs w:val="21"/>
          <w:highlight w:val="none"/>
        </w:rPr>
      </w:pPr>
      <w:r>
        <w:rPr>
          <w:rFonts w:hint="eastAsia" w:ascii="Arial" w:hAnsi="Arial" w:cs="Arial"/>
          <w:color w:val="000000"/>
          <w:szCs w:val="21"/>
          <w:highlight w:val="none"/>
        </w:rPr>
        <w:t xml:space="preserve">第六章  合同主要条款</w:t>
      </w:r>
      <w:r>
        <w:rPr>
          <w:rFonts w:ascii="Arial" w:hAnsi="Arial" w:cs="Arial"/>
          <w:color w:val="000000"/>
          <w:szCs w:val="21"/>
          <w:highlight w:val="none"/>
        </w:rPr>
      </w:r>
      <w:r/>
    </w:p>
    <w:p>
      <w:pPr>
        <w:pStyle w:val="1086"/>
        <w:spacing w:line="440" w:lineRule="exact"/>
        <w:rPr>
          <w:rFonts w:hint="eastAsia" w:ascii="Arial" w:hAnsi="Arial" w:cs="Arial"/>
          <w:color w:val="000000"/>
          <w:szCs w:val="21"/>
          <w:highlight w:val="none"/>
        </w:rPr>
      </w:pPr>
      <w:r>
        <w:rPr>
          <w:rFonts w:hint="eastAsia" w:ascii="Arial" w:hAnsi="Arial" w:cs="Arial"/>
          <w:color w:val="000000"/>
          <w:szCs w:val="21"/>
          <w:highlight w:val="none"/>
        </w:rPr>
        <w:t xml:space="preserve">第六章  投标文件格式及附件</w:t>
      </w:r>
      <w:r>
        <w:rPr>
          <w:rFonts w:hint="eastAsia" w:ascii="Arial" w:hAnsi="Arial" w:cs="Arial"/>
          <w:color w:val="000000"/>
          <w:szCs w:val="21"/>
          <w:highlight w:val="none"/>
        </w:rPr>
      </w:r>
      <w:r/>
    </w:p>
    <w:p>
      <w:pPr>
        <w:pStyle w:val="1086"/>
        <w:spacing w:line="440" w:lineRule="exact"/>
        <w:rPr>
          <w:rFonts w:ascii="Arial" w:hAnsi="Arial" w:cs="Arial"/>
          <w:color w:val="000000"/>
          <w:szCs w:val="21"/>
          <w:highlight w:val="none"/>
        </w:rPr>
      </w:pPr>
      <w:r>
        <w:rPr>
          <w:rFonts w:ascii="Arial" w:hAnsi="Arial" w:cs="Arial"/>
          <w:color w:val="000000"/>
          <w:szCs w:val="21"/>
          <w:highlight w:val="none"/>
        </w:rPr>
      </w:r>
      <w:r/>
    </w:p>
    <w:p>
      <w:pPr>
        <w:pStyle w:val="1289"/>
        <w:spacing w:line="480" w:lineRule="auto"/>
        <w:tabs>
          <w:tab w:val="right" w:pos="9638" w:leader="dot"/>
        </w:tabs>
        <w:rPr>
          <w:color w:val="000000"/>
          <w:highlight w:val="none"/>
        </w:rPr>
      </w:pPr>
      <w:r>
        <w:rPr>
          <w:color w:val="000000"/>
          <w:highlight w:val="none"/>
        </w:rPr>
      </w:r>
      <w:r/>
    </w:p>
    <w:p>
      <w:pPr>
        <w:pStyle w:val="1290"/>
        <w:tabs>
          <w:tab w:val="right" w:pos="9638" w:leader="dot"/>
        </w:tabs>
        <w:rPr>
          <w:color w:val="000000"/>
          <w:highlight w:val="none"/>
        </w:rPr>
      </w:pPr>
      <w:r>
        <w:rPr>
          <w:color w:val="000000"/>
          <w:highlight w:val="none"/>
        </w:rPr>
      </w:r>
      <w:r/>
    </w:p>
    <w:p>
      <w:pPr>
        <w:pStyle w:val="1086"/>
        <w:spacing w:line="440" w:lineRule="exact"/>
        <w:rPr>
          <w:rFonts w:ascii="Arial" w:hAnsi="Arial" w:cs="Arial"/>
          <w:color w:val="000000"/>
          <w:szCs w:val="21"/>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fldChar w:fldCharType="begin"/>
      </w:r>
      <w:r>
        <w:rPr>
          <w:rFonts w:ascii="Arial" w:hAnsi="Arial" w:eastAsia="黑体" w:cs="Arial"/>
          <w:bCs/>
          <w:color w:val="000000"/>
          <w:sz w:val="24"/>
          <w:highlight w:val="none"/>
        </w:rPr>
        <w:instrText xml:space="preserve">TOC \o "1-3" \h \u </w:instrText>
      </w:r>
      <w:r>
        <w:rPr>
          <w:rFonts w:ascii="Arial" w:hAnsi="Arial" w:eastAsia="黑体" w:cs="Arial"/>
          <w:bCs/>
          <w:color w:val="000000"/>
          <w:sz w:val="24"/>
          <w:highlight w:val="none"/>
        </w:rPr>
        <w:fldChar w:fldCharType="separate"/>
      </w:r>
      <w:r>
        <w:rPr>
          <w:rFonts w:ascii="Arial" w:hAnsi="Arial" w:cs="Arial"/>
          <w:color w:val="000000"/>
          <w:szCs w:val="21"/>
          <w:highlight w:val="none"/>
        </w:rPr>
      </w:r>
      <w:r/>
    </w:p>
    <w:p>
      <w:pPr>
        <w:pStyle w:val="1289"/>
        <w:spacing w:line="480" w:lineRule="auto"/>
        <w:tabs>
          <w:tab w:val="right" w:pos="9638" w:leader="dot"/>
        </w:tabs>
        <w:rPr>
          <w:color w:val="000000"/>
          <w:highlight w:val="none"/>
        </w:rPr>
      </w:pPr>
      <w:r>
        <w:rPr>
          <w:color w:val="000000"/>
          <w:highlight w:val="none"/>
        </w:rPr>
      </w:r>
      <w:r/>
    </w:p>
    <w:p>
      <w:pPr>
        <w:pStyle w:val="1290"/>
        <w:jc w:val="left"/>
        <w:tabs>
          <w:tab w:val="right" w:pos="9638" w:leader="dot"/>
        </w:tabs>
        <w:rPr>
          <w:color w:val="000000"/>
          <w:highlight w:val="none"/>
        </w:rPr>
      </w:pPr>
      <w:r>
        <w:rPr>
          <w:color w:val="000000"/>
          <w:highlight w:val="none"/>
        </w:rPr>
      </w:r>
      <w:r/>
    </w:p>
    <w:p>
      <w:pPr>
        <w:pStyle w:val="1086"/>
        <w:spacing w:line="440" w:lineRule="exact"/>
        <w:rPr>
          <w:rFonts w:ascii="Arial" w:hAnsi="Arial" w:eastAsia="黑体" w:cs="Arial"/>
          <w:bCs/>
          <w:color w:val="000000"/>
          <w:sz w:val="24"/>
          <w:highlight w:val="none"/>
        </w:rPr>
      </w:pPr>
      <w:r>
        <w:rPr>
          <w:rFonts w:ascii="Arial" w:hAnsi="Arial" w:eastAsia="黑体" w:cs="Arial"/>
          <w:bCs/>
          <w:color w:val="000000"/>
          <w:highlight w:val="none"/>
        </w:rPr>
        <w:fldChar w:fldCharType="end"/>
      </w:r>
      <w:r>
        <w:rPr>
          <w:rFonts w:ascii="Arial" w:hAnsi="Arial" w:eastAsia="黑体" w:cs="Arial"/>
          <w:bCs/>
          <w:color w:val="000000"/>
          <w:sz w:val="24"/>
          <w:highlight w:val="none"/>
        </w:rPr>
      </w:r>
      <w:r/>
    </w:p>
    <w:p>
      <w:pPr>
        <w:pStyle w:val="1086"/>
        <w:jc w:val="center"/>
        <w:spacing w:line="440" w:lineRule="exact"/>
        <w:rPr>
          <w:rFonts w:ascii="Arial" w:hAnsi="Arial" w:eastAsia="黑体" w:cs="Arial"/>
          <w:b/>
          <w:color w:val="000000"/>
          <w:sz w:val="28"/>
          <w:szCs w:val="28"/>
          <w:highlight w:val="none"/>
        </w:rPr>
      </w:pPr>
      <w:r>
        <w:rPr>
          <w:rFonts w:ascii="Arial" w:hAnsi="Arial" w:eastAsia="黑体" w:cs="Arial"/>
          <w:b/>
          <w:color w:val="000000"/>
          <w:sz w:val="28"/>
          <w:szCs w:val="28"/>
          <w:highlight w:val="none"/>
        </w:rPr>
      </w:r>
      <w:r/>
    </w:p>
    <w:p>
      <w:pPr>
        <w:pStyle w:val="1086"/>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1086"/>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1086"/>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1086"/>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1086"/>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1086"/>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1086"/>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1086"/>
        <w:jc w:val="center"/>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1086"/>
        <w:rPr>
          <w:rFonts w:ascii="Arial" w:hAnsi="Arial" w:eastAsia="黑体" w:cs="Arial"/>
          <w:color w:val="000000"/>
          <w:sz w:val="28"/>
          <w:szCs w:val="28"/>
          <w:highlight w:val="none"/>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000000"/>
          <w:sz w:val="28"/>
          <w:szCs w:val="28"/>
          <w:highlight w:val="none"/>
        </w:rPr>
      </w:r>
      <w:r/>
    </w:p>
    <w:p>
      <w:pPr>
        <w:pStyle w:val="1291"/>
        <w:ind w:right="420" w:firstLine="321"/>
        <w:jc w:val="center"/>
        <w:spacing w:line="360" w:lineRule="auto"/>
        <w:rPr>
          <w:rFonts w:hint="eastAsia" w:eastAsia="黑体"/>
          <w:color w:val="000000"/>
          <w:szCs w:val="24"/>
          <w:highlight w:val="none"/>
        </w:rPr>
        <w:outlineLvl w:val="0"/>
      </w:pPr>
      <w:r>
        <w:rPr>
          <w:rFonts w:hint="eastAsia" w:ascii="黑体" w:hAnsi="宋体" w:eastAsia="黑体"/>
          <w:color w:val="000000"/>
          <w:sz w:val="32"/>
          <w:szCs w:val="32"/>
          <w:highlight w:val="none"/>
        </w:rPr>
        <w:t xml:space="preserve">第一章 招标公告</w:t>
      </w:r>
      <w:r>
        <w:rPr>
          <w:rFonts w:hint="eastAsia" w:eastAsia="黑体"/>
          <w:color w:val="000000"/>
          <w:szCs w:val="24"/>
          <w:highlight w:val="none"/>
        </w:rPr>
      </w:r>
      <w:r/>
    </w:p>
    <w:p>
      <w:pPr>
        <w:pStyle w:val="1086"/>
        <w:ind w:right="-159" w:firstLine="420"/>
        <w:spacing w:line="360" w:lineRule="auto"/>
        <w:rPr>
          <w:rFonts w:hint="eastAsia"/>
          <w:color w:val="000000"/>
          <w:highlight w:val="none"/>
        </w:rPr>
      </w:pPr>
      <w:r>
        <w:rPr>
          <w:rFonts w:hint="eastAsia"/>
          <w:color w:val="000000"/>
          <w:highlight w:val="none"/>
        </w:rPr>
      </w:r>
      <w:r/>
    </w:p>
    <w:p>
      <w:pPr>
        <w:pStyle w:val="1292"/>
        <w:ind w:firstLine="420"/>
        <w:spacing w:before="0" w:beforeAutospacing="0" w:after="0" w:afterAutospacing="0" w:line="360" w:lineRule="auto"/>
        <w:rPr>
          <w:rFonts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苏美达国际技术贸易有限公司</w:t>
      </w:r>
      <w:r>
        <w:rPr>
          <w:rFonts w:ascii="Arial" w:hAnsi="Arial" w:eastAsia="宋体" w:cs="Arial"/>
          <w:color w:val="000000"/>
          <w:sz w:val="21"/>
          <w:szCs w:val="21"/>
          <w:highlight w:val="none"/>
        </w:rPr>
        <w:t xml:space="preserve">受</w:t>
      </w:r>
      <w:r>
        <w:rPr>
          <w:rFonts w:hint="eastAsia" w:ascii="Arial" w:hAnsi="Arial" w:eastAsia="宋体" w:cs="Arial"/>
          <w:color w:val="000000"/>
          <w:sz w:val="21"/>
          <w:szCs w:val="21"/>
          <w:highlight w:val="none"/>
        </w:rPr>
        <w:t xml:space="preserve">南京市玄武区教育局</w:t>
      </w:r>
      <w:r>
        <w:rPr>
          <w:rFonts w:ascii="Arial" w:hAnsi="Arial" w:eastAsia="宋体" w:cs="Arial"/>
          <w:color w:val="000000"/>
          <w:sz w:val="21"/>
          <w:szCs w:val="21"/>
          <w:highlight w:val="none"/>
        </w:rPr>
        <w:t xml:space="preserve">委托，就</w:t>
      </w:r>
      <w:r>
        <w:rPr>
          <w:rFonts w:hint="eastAsia" w:ascii="Arial" w:hAnsi="Arial" w:eastAsia="宋体" w:cs="Arial"/>
          <w:color w:val="000000"/>
          <w:sz w:val="21"/>
          <w:szCs w:val="21"/>
          <w:highlight w:val="none"/>
        </w:rPr>
        <w:t xml:space="preserve">第五十四中学等校办公及教室家具更新</w:t>
      </w:r>
      <w:r>
        <w:rPr>
          <w:rFonts w:ascii="Arial" w:hAnsi="Arial" w:eastAsia="宋体" w:cs="Arial"/>
          <w:color w:val="000000"/>
          <w:sz w:val="21"/>
          <w:szCs w:val="21"/>
          <w:highlight w:val="none"/>
        </w:rPr>
        <w:t xml:space="preserve">进行公开招标，现欢迎符合相关条件的</w:t>
      </w:r>
      <w:r>
        <w:rPr>
          <w:rFonts w:hint="eastAsia" w:ascii="Arial" w:hAnsi="Arial" w:eastAsia="宋体" w:cs="Arial"/>
          <w:color w:val="000000"/>
          <w:sz w:val="21"/>
          <w:szCs w:val="21"/>
          <w:highlight w:val="none"/>
        </w:rPr>
        <w:t xml:space="preserve">供应商</w:t>
      </w:r>
      <w:r>
        <w:rPr>
          <w:rFonts w:ascii="Arial" w:hAnsi="Arial" w:eastAsia="宋体" w:cs="Arial"/>
          <w:color w:val="000000"/>
          <w:sz w:val="21"/>
          <w:szCs w:val="21"/>
          <w:highlight w:val="none"/>
        </w:rPr>
        <w:t xml:space="preserve">参加投标。</w:t>
      </w:r>
      <w:r>
        <w:rPr>
          <w:rFonts w:ascii="Arial" w:hAnsi="Arial" w:eastAsia="宋体" w:cs="Arial"/>
          <w:color w:val="000000"/>
          <w:sz w:val="21"/>
          <w:szCs w:val="21"/>
          <w:highlight w:val="none"/>
        </w:rPr>
      </w:r>
      <w:r/>
    </w:p>
    <w:p>
      <w:pPr>
        <w:pStyle w:val="1086"/>
        <w:spacing w:line="360" w:lineRule="auto"/>
        <w:rPr>
          <w:rFonts w:hint="eastAsia"/>
          <w:b/>
          <w:bCs/>
          <w:color w:val="000000"/>
          <w:highlight w:val="none"/>
        </w:rPr>
      </w:pPr>
      <w:r/>
      <w:bookmarkStart w:id="0" w:name="_Toc35393790"/>
      <w:r/>
      <w:bookmarkStart w:id="1" w:name="_Toc35393621"/>
      <w:r/>
      <w:bookmarkStart w:id="2" w:name="_Toc28359002"/>
      <w:r/>
      <w:bookmarkStart w:id="3" w:name="_Toc28359079"/>
      <w:r>
        <w:rPr>
          <w:rFonts w:hint="eastAsia"/>
          <w:b/>
          <w:bCs/>
          <w:color w:val="000000"/>
          <w:highlight w:val="none"/>
        </w:rPr>
        <w:t xml:space="preserve">一、项目基本情况</w:t>
      </w:r>
      <w:bookmarkEnd w:id="0"/>
      <w:r/>
      <w:bookmarkEnd w:id="1"/>
      <w:r/>
      <w:bookmarkEnd w:id="2"/>
      <w:r/>
      <w:bookmarkEnd w:id="3"/>
      <w:r>
        <w:rPr>
          <w:rFonts w:hint="eastAsia"/>
          <w:b/>
          <w:bCs/>
          <w:color w:val="000000"/>
          <w:highlight w:val="none"/>
        </w:rPr>
        <w:t xml:space="preserve">及采购需求</w:t>
      </w:r>
      <w:r>
        <w:rPr>
          <w:rFonts w:hint="eastAsia"/>
          <w:b/>
          <w:bCs/>
          <w:color w:val="000000"/>
          <w:highlight w:val="none"/>
        </w:rPr>
      </w:r>
      <w:r/>
    </w:p>
    <w:p>
      <w:pPr>
        <w:pStyle w:val="1086"/>
        <w:spacing w:line="360" w:lineRule="auto"/>
        <w:rPr>
          <w:rFonts w:hint="eastAsia" w:ascii="Arial" w:hAnsi="Arial" w:eastAsia="宋体" w:cs="Arial"/>
          <w:color w:val="000000"/>
          <w:szCs w:val="21"/>
          <w:highlight w:val="none"/>
          <w:lang w:eastAsia="zh-CN"/>
        </w:rPr>
      </w:pPr>
      <w:r>
        <w:rPr>
          <w:rFonts w:hint="eastAsia"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JSZC-320102-SMDG-G2026-0052</w:t>
      </w:r>
      <w:r>
        <w:rPr>
          <w:rFonts w:hint="eastAsia" w:ascii="Arial" w:hAnsi="Arial" w:eastAsia="宋体" w:cs="Arial"/>
          <w:color w:val="000000"/>
          <w:szCs w:val="21"/>
          <w:highlight w:val="none"/>
          <w:lang w:eastAsia="zh-CN"/>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项目名称：第五十四中学等校办公及教室家具更新</w:t>
      </w: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采购预算：RMB</w:t>
      </w:r>
      <w:r>
        <w:rPr>
          <w:rFonts w:hint="eastAsia" w:ascii="Arial" w:hAnsi="Arial" w:cs="Arial"/>
          <w:color w:val="000000"/>
          <w:szCs w:val="21"/>
          <w:highlight w:val="none"/>
          <w:lang w:eastAsia="zh-CN"/>
        </w:rPr>
        <w:t xml:space="preserve">215万</w:t>
      </w:r>
      <w:r>
        <w:rPr>
          <w:rFonts w:hint="eastAsia" w:ascii="Arial" w:hAnsi="Arial" w:cs="Arial"/>
          <w:color w:val="000000"/>
          <w:szCs w:val="21"/>
          <w:highlight w:val="none"/>
        </w:rPr>
        <w:t xml:space="preserve">元</w:t>
      </w:r>
      <w:r>
        <w:rPr>
          <w:rFonts w:hint="eastAsia" w:ascii="Arial" w:hAnsi="Arial" w:cs="Arial"/>
          <w:color w:val="000000"/>
          <w:szCs w:val="21"/>
          <w:highlight w:val="none"/>
        </w:rPr>
      </w:r>
      <w:r/>
    </w:p>
    <w:p>
      <w:pPr>
        <w:pStyle w:val="1107"/>
        <w:ind w:firstLine="0"/>
        <w:spacing w:line="360" w:lineRule="auto"/>
        <w:rPr>
          <w:rFonts w:hint="eastAsia" w:ascii="Arial" w:hAnsi="Arial" w:cs="Arial"/>
          <w:color w:val="000000"/>
          <w:szCs w:val="21"/>
          <w:highlight w:val="none"/>
        </w:rPr>
      </w:pPr>
      <w:r>
        <w:rPr>
          <w:rFonts w:hint="eastAsia"/>
          <w:color w:val="000000"/>
          <w:highlight w:val="none"/>
        </w:rPr>
        <w:t xml:space="preserve">最高限价：</w:t>
      </w:r>
      <w:r>
        <w:rPr>
          <w:rFonts w:hint="eastAsia" w:ascii="Arial" w:hAnsi="Arial" w:cs="Arial"/>
          <w:color w:val="000000"/>
          <w:szCs w:val="21"/>
          <w:highlight w:val="none"/>
        </w:rPr>
        <w:t xml:space="preserve">RMB208.5万元，超过预算或对应产品单价最高限价，作无效投标处理。</w:t>
      </w: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采购需求：根据学校需求，更新配置教师办公、学生教室、功能教室家具，保障开学日常教育教学管理需求。</w:t>
      </w:r>
      <w:r>
        <w:rPr>
          <w:rFonts w:hint="eastAsia" w:ascii="Arial" w:hAnsi="Arial" w:cs="Arial"/>
          <w:color w:val="000000"/>
          <w:szCs w:val="21"/>
          <w:highlight w:val="none"/>
        </w:rPr>
        <w:t xml:space="preserve">（详细内容见本招标文件第四章）</w:t>
      </w: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合同履行期限：合同签订后45天内交付并完成安装调试及验收等相关工作。</w:t>
      </w: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本项目采购标的对应的中小企业划分标准所属行业为：工业</w:t>
      </w:r>
      <w:r>
        <w:rPr>
          <w:rFonts w:hint="eastAsia" w:ascii="Arial" w:hAnsi="Arial" w:cs="Arial"/>
          <w:color w:val="000000"/>
          <w:szCs w:val="21"/>
          <w:highlight w:val="none"/>
        </w:rPr>
      </w:r>
      <w:r/>
    </w:p>
    <w:p>
      <w:pPr>
        <w:pStyle w:val="1086"/>
        <w:spacing w:line="360" w:lineRule="auto"/>
        <w:rPr>
          <w:rFonts w:ascii="Arial" w:hAnsi="Arial" w:cs="Arial"/>
          <w:color w:val="000000"/>
          <w:szCs w:val="21"/>
          <w:highlight w:val="none"/>
        </w:rPr>
      </w:pPr>
      <w:r>
        <w:rPr>
          <w:rFonts w:hint="eastAsia" w:ascii="Arial" w:hAnsi="Arial" w:cs="Arial"/>
          <w:color w:val="000000"/>
          <w:szCs w:val="21"/>
          <w:highlight w:val="none"/>
        </w:rPr>
        <w:t xml:space="preserve">本项目不接受进口产品投标。</w:t>
      </w:r>
      <w:r>
        <w:rPr>
          <w:rFonts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本项目不接受联合体投标。</w:t>
      </w:r>
      <w:r>
        <w:rPr>
          <w:rFonts w:hint="eastAsia" w:ascii="Arial" w:hAnsi="Arial" w:cs="Arial"/>
          <w:color w:val="000000"/>
          <w:szCs w:val="21"/>
          <w:highlight w:val="none"/>
        </w:rPr>
      </w:r>
      <w:r/>
    </w:p>
    <w:p>
      <w:pPr>
        <w:pStyle w:val="1086"/>
        <w:spacing w:line="360" w:lineRule="auto"/>
        <w:rPr>
          <w:rFonts w:ascii="Arial" w:hAnsi="Arial" w:cs="Arial"/>
          <w:color w:val="000000"/>
          <w:szCs w:val="21"/>
          <w:highlight w:val="none"/>
        </w:rPr>
      </w:pPr>
      <w:r>
        <w:rPr>
          <w:rFonts w:hint="eastAsia" w:ascii="Arial" w:hAnsi="Arial" w:cs="Arial"/>
          <w:color w:val="000000"/>
          <w:szCs w:val="21"/>
          <w:highlight w:val="none"/>
        </w:rPr>
        <w:t xml:space="preserve">本项目</w:t>
      </w:r>
      <w:r>
        <w:rPr>
          <w:rFonts w:hint="eastAsia" w:ascii="Arial" w:hAnsi="Arial" w:cs="Arial"/>
          <w:b/>
          <w:bCs/>
          <w:color w:val="000000"/>
          <w:szCs w:val="21"/>
          <w:highlight w:val="none"/>
        </w:rPr>
        <w:t xml:space="preserve">专门</w:t>
      </w:r>
      <w:r>
        <w:rPr>
          <w:rFonts w:hint="eastAsia" w:ascii="Arial" w:hAnsi="Arial" w:cs="Arial"/>
          <w:color w:val="000000"/>
          <w:szCs w:val="21"/>
          <w:highlight w:val="none"/>
        </w:rPr>
        <w:t xml:space="preserve">面向中小企业（残疾人福利性单位、监狱企业）采购</w:t>
      </w:r>
      <w:r>
        <w:rPr>
          <w:rFonts w:ascii="Arial" w:hAnsi="Arial" w:cs="Arial"/>
          <w:color w:val="000000"/>
          <w:szCs w:val="21"/>
          <w:highlight w:val="none"/>
        </w:rPr>
      </w:r>
      <w:r/>
    </w:p>
    <w:p>
      <w:pPr>
        <w:pStyle w:val="1086"/>
        <w:numPr>
          <w:ilvl w:val="0"/>
          <w:numId w:val="2"/>
        </w:numPr>
        <w:spacing w:line="360" w:lineRule="auto"/>
        <w:rPr>
          <w:rFonts w:hint="eastAsia"/>
          <w:b/>
          <w:bCs/>
          <w:color w:val="000000"/>
          <w:highlight w:val="none"/>
        </w:rPr>
      </w:pPr>
      <w:r>
        <w:rPr>
          <w:rFonts w:hint="eastAsia"/>
          <w:b/>
          <w:bCs/>
          <w:color w:val="000000"/>
          <w:highlight w:val="none"/>
        </w:rPr>
        <w:t xml:space="preserve">申请人的资格要求：</w:t>
      </w:r>
      <w:r>
        <w:rPr>
          <w:rFonts w:hint="eastAsia"/>
          <w:b/>
          <w:bCs/>
          <w:color w:val="000000"/>
          <w:highlight w:val="none"/>
        </w:rPr>
      </w:r>
      <w:r/>
    </w:p>
    <w:p>
      <w:pPr>
        <w:pStyle w:val="1086"/>
        <w:spacing w:line="360" w:lineRule="auto"/>
        <w:rPr>
          <w:rFonts w:hint="eastAsia"/>
          <w:b/>
          <w:bCs/>
          <w:color w:val="000000"/>
          <w:highlight w:val="none"/>
        </w:rPr>
      </w:pPr>
      <w:r/>
      <w:bookmarkStart w:id="4" w:name="_Toc28359084"/>
      <w:r/>
      <w:bookmarkStart w:id="5" w:name="_Toc35393794"/>
      <w:r/>
      <w:bookmarkStart w:id="6" w:name="_Toc35393625"/>
      <w:r/>
      <w:bookmarkStart w:id="7" w:name="_Toc28359007"/>
      <w:r>
        <w:rPr>
          <w:rFonts w:hint="eastAsia"/>
          <w:b/>
          <w:bCs/>
          <w:color w:val="000000"/>
          <w:highlight w:val="none"/>
        </w:rPr>
        <w:t xml:space="preserve">1、满足《中华人民共和国政府采购法》第二十二条规定:</w:t>
      </w:r>
      <w:r>
        <w:rPr>
          <w:rFonts w:hint="eastAsia"/>
          <w:b/>
          <w:bCs/>
          <w:color w:val="000000"/>
          <w:highlight w:val="none"/>
        </w:rPr>
      </w:r>
      <w:r/>
    </w:p>
    <w:p>
      <w:pPr>
        <w:pStyle w:val="1086"/>
        <w:spacing w:line="360" w:lineRule="auto"/>
        <w:rPr>
          <w:rFonts w:hint="eastAsia" w:ascii="宋体" w:hAnsi="宋体"/>
          <w:color w:val="000000"/>
          <w:highlight w:val="none"/>
        </w:rPr>
      </w:pPr>
      <w:r>
        <w:rPr>
          <w:rFonts w:hint="eastAsia" w:ascii="宋体" w:hAnsi="宋体"/>
          <w:b/>
          <w:bCs/>
          <w:color w:val="000000"/>
          <w:highlight w:val="none"/>
        </w:rPr>
        <w:t xml:space="preserve">1.1</w:t>
      </w:r>
      <w:r>
        <w:rPr>
          <w:rFonts w:hint="eastAsia" w:ascii="宋体" w:hAnsi="宋体"/>
          <w:color w:val="000000"/>
          <w:highlight w:val="none"/>
        </w:rPr>
        <w:t xml:space="preserve">根据《中华人民共和国政府采购法》第二十二条规定，投标人可提供《南京市政府采购供应商信用记录表暨信用承诺书》。</w:t>
      </w:r>
      <w:r>
        <w:rPr>
          <w:rFonts w:hint="eastAsia" w:ascii="宋体" w:hAnsi="宋体"/>
          <w:color w:val="000000"/>
          <w:highlight w:val="none"/>
        </w:rPr>
      </w:r>
      <w:r/>
    </w:p>
    <w:p>
      <w:pPr>
        <w:pStyle w:val="1086"/>
        <w:spacing w:line="360" w:lineRule="auto"/>
        <w:rPr>
          <w:rFonts w:hint="eastAsia" w:ascii="宋体" w:hAnsi="宋体"/>
          <w:b/>
          <w:bCs/>
          <w:color w:val="000000"/>
          <w:highlight w:val="none"/>
        </w:rPr>
      </w:pPr>
      <w:r>
        <w:rPr>
          <w:rFonts w:hint="eastAsia" w:ascii="宋体" w:hAnsi="宋体"/>
          <w:b/>
          <w:bCs/>
          <w:color w:val="000000"/>
          <w:highlight w:val="none"/>
        </w:rPr>
        <w:t xml:space="preserve">其中不适用信用承诺的情形:</w:t>
      </w:r>
      <w:r>
        <w:rPr>
          <w:rFonts w:hint="eastAsia" w:ascii="宋体" w:hAnsi="宋体"/>
          <w:b/>
          <w:bCs/>
          <w:color w:val="000000"/>
          <w:highlight w:val="none"/>
        </w:rPr>
      </w:r>
      <w:r/>
    </w:p>
    <w:p>
      <w:pPr>
        <w:pStyle w:val="1086"/>
        <w:spacing w:line="360" w:lineRule="auto"/>
        <w:rPr>
          <w:rFonts w:hint="eastAsia" w:ascii="宋体" w:hAnsi="宋体"/>
          <w:color w:val="000000"/>
          <w:highlight w:val="none"/>
        </w:rPr>
      </w:pPr>
      <w:r>
        <w:rPr>
          <w:rFonts w:hint="eastAsia" w:ascii="宋体" w:hAnsi="宋体"/>
          <w:color w:val="000000"/>
          <w:highlight w:val="none"/>
        </w:rPr>
        <w:t xml:space="preserve">1）供应商被列入严重失信主体名单；</w:t>
      </w:r>
      <w:r>
        <w:rPr>
          <w:rFonts w:hint="eastAsia" w:ascii="宋体" w:hAnsi="宋体"/>
          <w:color w:val="000000"/>
          <w:highlight w:val="none"/>
        </w:rPr>
      </w:r>
      <w:r/>
    </w:p>
    <w:p>
      <w:pPr>
        <w:pStyle w:val="1086"/>
        <w:spacing w:line="360" w:lineRule="auto"/>
        <w:rPr>
          <w:rFonts w:hint="eastAsia" w:ascii="宋体" w:hAnsi="宋体"/>
          <w:color w:val="000000"/>
          <w:highlight w:val="none"/>
        </w:rPr>
      </w:pPr>
      <w:r>
        <w:rPr>
          <w:rFonts w:hint="eastAsia" w:ascii="宋体" w:hAnsi="宋体"/>
          <w:color w:val="000000"/>
          <w:highlight w:val="none"/>
        </w:rPr>
        <w:t xml:space="preserve">2）被相关监督部门作出行政处罚且尚处在处罚有效期内；</w:t>
      </w:r>
      <w:r>
        <w:rPr>
          <w:rFonts w:hint="eastAsia" w:ascii="宋体" w:hAnsi="宋体"/>
          <w:color w:val="000000"/>
          <w:highlight w:val="none"/>
        </w:rPr>
      </w:r>
      <w:r/>
    </w:p>
    <w:p>
      <w:pPr>
        <w:pStyle w:val="1086"/>
        <w:spacing w:line="360" w:lineRule="auto"/>
        <w:rPr>
          <w:rFonts w:hint="eastAsia" w:ascii="宋体" w:hAnsi="宋体"/>
          <w:color w:val="000000"/>
          <w:highlight w:val="none"/>
        </w:rPr>
      </w:pPr>
      <w:r>
        <w:rPr>
          <w:rFonts w:hint="eastAsia" w:ascii="宋体" w:hAnsi="宋体"/>
          <w:color w:val="000000"/>
          <w:highlight w:val="none"/>
        </w:rPr>
        <w:t xml:space="preserve">3）其他法律、行政法规规定的不适用信用承诺的情形。</w:t>
      </w:r>
      <w:r>
        <w:rPr>
          <w:rFonts w:hint="eastAsia" w:ascii="宋体" w:hAnsi="宋体"/>
          <w:color w:val="000000"/>
          <w:highlight w:val="none"/>
        </w:rPr>
      </w:r>
      <w:r/>
    </w:p>
    <w:p>
      <w:pPr>
        <w:pStyle w:val="1086"/>
        <w:spacing w:line="360" w:lineRule="auto"/>
        <w:rPr>
          <w:rFonts w:ascii="宋体" w:hAnsi="宋体"/>
          <w:color w:val="000000"/>
          <w:highlight w:val="none"/>
        </w:rPr>
      </w:pPr>
      <w:r>
        <w:rPr>
          <w:rFonts w:hint="eastAsia" w:ascii="宋体" w:hAnsi="宋体"/>
          <w:b/>
          <w:bCs/>
          <w:color w:val="000000"/>
          <w:highlight w:val="none"/>
        </w:rPr>
        <w:t xml:space="preserve">1.2</w:t>
      </w:r>
      <w:r>
        <w:rPr>
          <w:rFonts w:hint="eastAsia" w:ascii="宋体" w:hAnsi="宋体"/>
          <w:color w:val="000000"/>
          <w:highlight w:val="none"/>
        </w:rPr>
        <w:t xml:space="preserve">投标人提供在有效经营期内的营业执照。</w:t>
      </w:r>
      <w:r>
        <w:rPr>
          <w:rFonts w:ascii="宋体" w:hAnsi="宋体"/>
          <w:color w:val="000000"/>
          <w:highlight w:val="none"/>
        </w:rPr>
      </w:r>
      <w:r/>
    </w:p>
    <w:p>
      <w:pPr>
        <w:pStyle w:val="1086"/>
        <w:spacing w:line="360" w:lineRule="auto"/>
        <w:rPr>
          <w:rFonts w:ascii="宋体" w:hAnsi="宋体"/>
          <w:color w:val="000000"/>
          <w:highlight w:val="none"/>
        </w:rPr>
      </w:pPr>
      <w:r>
        <w:rPr>
          <w:rFonts w:hint="eastAsia" w:ascii="宋体" w:hAnsi="宋体"/>
          <w:b/>
          <w:bCs/>
          <w:color w:val="000000"/>
          <w:highlight w:val="none"/>
        </w:rPr>
        <w:t xml:space="preserve">2、落实政府采购政策需满足的资格要求：</w:t>
      </w:r>
      <w:r>
        <w:rPr>
          <w:rFonts w:hint="eastAsia" w:ascii="宋体" w:hAnsi="宋体" w:cs="宋体"/>
          <w:color w:val="000000"/>
          <w:szCs w:val="21"/>
          <w:highlight w:val="none"/>
        </w:rPr>
        <w:t xml:space="preserve">本项目属于专门面向中型、小型、微型企业采购的项目，如属于专门面向中小企业采购的包，供应商必须提供所投产品制造商均是中型或小型或微型企业或监狱企业或残疾人福利性单位的《中小企业声明函》或《残疾人福利性单位声明函》或《监狱企业证明材料》，否则属于无效投标。</w:t>
      </w:r>
      <w:r>
        <w:rPr>
          <w:rFonts w:ascii="宋体" w:hAnsi="宋体"/>
          <w:color w:val="000000"/>
          <w:highlight w:val="none"/>
        </w:rPr>
      </w:r>
      <w:r/>
    </w:p>
    <w:p>
      <w:pPr>
        <w:pStyle w:val="1086"/>
        <w:spacing w:line="360" w:lineRule="auto"/>
        <w:rPr>
          <w:rFonts w:hint="eastAsia" w:ascii="宋体" w:hAnsi="宋体"/>
          <w:b/>
          <w:bCs/>
          <w:color w:val="000000"/>
          <w:highlight w:val="none"/>
        </w:rPr>
      </w:pPr>
      <w:r>
        <w:rPr>
          <w:rFonts w:hint="eastAsia" w:ascii="宋体" w:hAnsi="宋体"/>
          <w:b/>
          <w:bCs/>
          <w:color w:val="000000"/>
          <w:highlight w:val="none"/>
        </w:rPr>
        <w:t xml:space="preserve">3、本项目的特定资格要求：无</w:t>
      </w:r>
      <w:r>
        <w:rPr>
          <w:rFonts w:hint="eastAsia" w:ascii="宋体" w:hAnsi="宋体"/>
          <w:b/>
          <w:bCs/>
          <w:color w:val="000000"/>
          <w:highlight w:val="none"/>
        </w:rPr>
      </w:r>
      <w:r/>
    </w:p>
    <w:p>
      <w:pPr>
        <w:pStyle w:val="1086"/>
        <w:spacing w:line="360" w:lineRule="auto"/>
        <w:rPr>
          <w:rFonts w:hint="eastAsia" w:ascii="宋体" w:hAnsi="宋体"/>
          <w:b/>
          <w:bCs/>
          <w:color w:val="000000"/>
          <w:highlight w:val="none"/>
        </w:rPr>
      </w:pPr>
      <w:r/>
      <w:bookmarkStart w:id="8" w:name="_Toc35393792"/>
      <w:r/>
      <w:bookmarkStart w:id="9" w:name="_Toc35393623"/>
      <w:r>
        <w:rPr>
          <w:rFonts w:hint="eastAsia" w:ascii="宋体" w:hAnsi="宋体"/>
          <w:b/>
          <w:bCs/>
          <w:color w:val="000000"/>
          <w:highlight w:val="none"/>
        </w:rPr>
        <w:t xml:space="preserve">4、拒绝下述供应商参加本次采购活动的情形：</w:t>
      </w:r>
      <w:r>
        <w:rPr>
          <w:rFonts w:hint="eastAsia" w:ascii="宋体" w:hAnsi="宋体"/>
          <w:b/>
          <w:bCs/>
          <w:color w:val="000000"/>
          <w:highlight w:val="none"/>
        </w:rPr>
      </w:r>
      <w:r/>
    </w:p>
    <w:p>
      <w:pPr>
        <w:pStyle w:val="1086"/>
        <w:spacing w:line="360" w:lineRule="auto"/>
        <w:rPr>
          <w:rFonts w:hint="eastAsia" w:ascii="宋体" w:hAnsi="宋体"/>
          <w:color w:val="000000"/>
          <w:highlight w:val="none"/>
        </w:rPr>
      </w:pPr>
      <w:r>
        <w:rPr>
          <w:rFonts w:hint="eastAsia" w:ascii="宋体" w:hAnsi="宋体"/>
          <w:color w:val="000000"/>
          <w:highlight w:val="none"/>
        </w:rPr>
        <w:t xml:space="preserve">1）供应商单位负责人为同一人或者存在直接控股、管理关系的不同供应商，不得参加同一合同项下的政府采购活动；</w:t>
      </w:r>
      <w:r>
        <w:rPr>
          <w:rFonts w:hint="eastAsia" w:ascii="宋体" w:hAnsi="宋体"/>
          <w:color w:val="000000"/>
          <w:highlight w:val="none"/>
        </w:rPr>
      </w:r>
      <w:r/>
    </w:p>
    <w:p>
      <w:pPr>
        <w:pStyle w:val="1086"/>
        <w:spacing w:line="360" w:lineRule="auto"/>
        <w:rPr>
          <w:rFonts w:hint="eastAsia" w:ascii="宋体" w:hAnsi="宋体"/>
          <w:color w:val="000000"/>
          <w:highlight w:val="none"/>
        </w:rPr>
      </w:pPr>
      <w:r>
        <w:rPr>
          <w:rFonts w:hint="eastAsia" w:ascii="宋体" w:hAnsi="宋体"/>
          <w:color w:val="000000"/>
          <w:highlight w:val="none"/>
        </w:rPr>
        <w:t xml:space="preserve">2）凡为采购项目提供整体设计、规范编制或者项目管理、监理、检测等服务的供应商，不得再参加本项目的采购活动；</w:t>
      </w:r>
      <w:r>
        <w:rPr>
          <w:rFonts w:hint="eastAsia" w:ascii="宋体" w:hAnsi="宋体"/>
          <w:color w:val="000000"/>
          <w:highlight w:val="none"/>
        </w:rPr>
      </w:r>
      <w:r/>
    </w:p>
    <w:p>
      <w:pPr>
        <w:pStyle w:val="1288"/>
        <w:ind w:firstLine="0"/>
        <w:spacing w:line="360" w:lineRule="auto"/>
        <w:rPr>
          <w:rFonts w:hint="eastAsia" w:ascii="宋体" w:hAnsi="宋体"/>
          <w:b w:val="0"/>
          <w:color w:val="000000"/>
          <w:sz w:val="21"/>
          <w:highlight w:val="none"/>
        </w:rPr>
      </w:pPr>
      <w:r/>
      <w:bookmarkEnd w:id="8"/>
      <w:r/>
      <w:bookmarkEnd w:id="9"/>
      <w:r>
        <w:rPr>
          <w:rFonts w:hint="eastAsia" w:ascii="宋体" w:hAnsi="宋体"/>
          <w:b w:val="0"/>
          <w:color w:val="000000"/>
          <w:sz w:val="21"/>
          <w:highlight w:val="none"/>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rPr>
          <w:rFonts w:hint="eastAsia" w:ascii="宋体" w:hAnsi="宋体"/>
          <w:b w:val="0"/>
          <w:color w:val="000000"/>
          <w:sz w:val="21"/>
          <w:highlight w:val="none"/>
        </w:rPr>
      </w:r>
      <w:r/>
    </w:p>
    <w:p>
      <w:pPr>
        <w:pStyle w:val="1288"/>
        <w:ind w:firstLine="0"/>
        <w:spacing w:line="360" w:lineRule="auto"/>
        <w:rPr>
          <w:rFonts w:hint="eastAsia"/>
          <w:bCs/>
          <w:color w:val="000000"/>
          <w:sz w:val="21"/>
          <w:highlight w:val="none"/>
        </w:rPr>
      </w:pPr>
      <w:r>
        <w:rPr>
          <w:rFonts w:hint="eastAsia"/>
          <w:bCs/>
          <w:color w:val="000000"/>
          <w:sz w:val="21"/>
          <w:highlight w:val="none"/>
        </w:rPr>
        <w:t xml:space="preserve">三、获取招标文件</w:t>
      </w:r>
      <w:r>
        <w:rPr>
          <w:rFonts w:hint="eastAsia"/>
          <w:bCs/>
          <w:color w:val="000000"/>
          <w:sz w:val="21"/>
          <w:highlight w:val="none"/>
        </w:rPr>
      </w:r>
      <w:r/>
    </w:p>
    <w:p>
      <w:pPr>
        <w:pStyle w:val="1288"/>
        <w:ind w:firstLine="0"/>
        <w:spacing w:line="360" w:lineRule="auto"/>
        <w:rPr>
          <w:rFonts w:hint="eastAsia" w:ascii="宋体" w:hAnsi="宋体"/>
          <w:b w:val="0"/>
          <w:color w:val="000000"/>
          <w:sz w:val="21"/>
          <w:highlight w:val="none"/>
        </w:rPr>
      </w:pPr>
      <w:r>
        <w:rPr>
          <w:rFonts w:hint="eastAsia" w:ascii="宋体" w:hAnsi="宋体"/>
          <w:b w:val="0"/>
          <w:color w:val="000000"/>
          <w:sz w:val="21"/>
          <w:highlight w:val="none"/>
        </w:rPr>
        <w:t xml:space="preserve">1、时间：自招标文件公告发布之日起5个工作日。</w:t>
      </w:r>
      <w:r>
        <w:rPr>
          <w:rFonts w:hint="eastAsia" w:ascii="宋体" w:hAnsi="宋体"/>
          <w:b w:val="0"/>
          <w:color w:val="000000"/>
          <w:sz w:val="21"/>
          <w:highlight w:val="none"/>
        </w:rPr>
      </w:r>
      <w:r/>
    </w:p>
    <w:p>
      <w:pPr>
        <w:pStyle w:val="1288"/>
        <w:ind w:firstLine="0"/>
        <w:spacing w:line="360" w:lineRule="auto"/>
        <w:rPr>
          <w:rFonts w:hint="eastAsia" w:ascii="宋体" w:hAnsi="宋体"/>
          <w:b w:val="0"/>
          <w:color w:val="000000"/>
          <w:sz w:val="21"/>
          <w:highlight w:val="none"/>
        </w:rPr>
      </w:pPr>
      <w:r>
        <w:rPr>
          <w:rFonts w:hint="eastAsia" w:ascii="宋体" w:hAnsi="宋体"/>
          <w:b w:val="0"/>
          <w:color w:val="000000"/>
          <w:sz w:val="21"/>
          <w:highlight w:val="none"/>
        </w:rPr>
        <w:t xml:space="preserve">2、方式：在“苏采云”系统自行免费下载招标文件。</w:t>
      </w:r>
      <w:r>
        <w:rPr>
          <w:rFonts w:hint="eastAsia" w:ascii="宋体" w:hAnsi="宋体"/>
          <w:b w:val="0"/>
          <w:color w:val="000000"/>
          <w:sz w:val="21"/>
          <w:highlight w:val="none"/>
        </w:rPr>
      </w:r>
      <w:r/>
    </w:p>
    <w:p>
      <w:pPr>
        <w:pStyle w:val="1086"/>
        <w:spacing w:line="360" w:lineRule="auto"/>
        <w:rPr>
          <w:rFonts w:hint="eastAsia"/>
          <w:b/>
          <w:bCs/>
          <w:color w:val="000000"/>
          <w:highlight w:val="none"/>
        </w:rPr>
      </w:pPr>
      <w:r/>
      <w:bookmarkStart w:id="10" w:name="_Toc28359005"/>
      <w:r/>
      <w:bookmarkStart w:id="11" w:name="_Toc28359082"/>
      <w:r/>
      <w:bookmarkStart w:id="12" w:name="_Toc35393624"/>
      <w:r/>
      <w:bookmarkStart w:id="13" w:name="_Toc35393793"/>
      <w:r>
        <w:rPr>
          <w:rFonts w:hint="eastAsia"/>
          <w:b/>
          <w:bCs/>
          <w:color w:val="000000"/>
          <w:highlight w:val="none"/>
        </w:rPr>
        <w:t xml:space="preserve">四、投标</w:t>
      </w:r>
      <w:bookmarkEnd w:id="10"/>
      <w:r/>
      <w:bookmarkEnd w:id="11"/>
      <w:r>
        <w:rPr>
          <w:rFonts w:hint="eastAsia"/>
          <w:b/>
          <w:bCs/>
          <w:color w:val="000000"/>
          <w:highlight w:val="none"/>
        </w:rPr>
        <w:t xml:space="preserve">截止时间、开标时间和地点</w:t>
      </w:r>
      <w:bookmarkEnd w:id="12"/>
      <w:r/>
      <w:bookmarkEnd w:id="13"/>
      <w:r>
        <w:rPr>
          <w:rFonts w:hint="eastAsia"/>
          <w:b/>
          <w:bCs/>
          <w:color w:val="000000"/>
          <w:highlight w:val="none"/>
        </w:rPr>
      </w:r>
      <w:r/>
    </w:p>
    <w:p>
      <w:pPr>
        <w:pStyle w:val="1293"/>
        <w:ind w:firstLine="0"/>
        <w:rPr>
          <w:rFonts w:hint="eastAsia" w:ascii="宋体" w:hAnsi="宋体"/>
          <w:color w:val="000000"/>
          <w:sz w:val="21"/>
          <w:szCs w:val="20"/>
          <w:highlight w:val="none"/>
        </w:rPr>
      </w:pPr>
      <w:r>
        <w:rPr>
          <w:rFonts w:hint="eastAsia" w:ascii="宋体" w:hAnsi="宋体"/>
          <w:color w:val="000000"/>
          <w:sz w:val="21"/>
          <w:szCs w:val="20"/>
          <w:highlight w:val="none"/>
        </w:rPr>
        <w:t xml:space="preserve">1、投标截止时间：</w:t>
      </w:r>
      <w:r>
        <w:rPr>
          <w:rFonts w:hint="eastAsia" w:ascii="宋体" w:hAnsi="宋体"/>
          <w:color w:val="000000"/>
          <w:sz w:val="21"/>
          <w:szCs w:val="20"/>
          <w:highlight w:val="none"/>
          <w:lang w:eastAsia="zh-CN"/>
        </w:rPr>
        <w:t xml:space="preserve">2026年7月6日14:00</w:t>
      </w:r>
      <w:r>
        <w:rPr>
          <w:rFonts w:hint="eastAsia" w:ascii="宋体" w:hAnsi="宋体"/>
          <w:color w:val="000000"/>
          <w:sz w:val="21"/>
          <w:szCs w:val="20"/>
          <w:highlight w:val="none"/>
        </w:rPr>
        <w:t xml:space="preserve">（北京时间）</w:t>
      </w:r>
      <w:r>
        <w:rPr>
          <w:rFonts w:hint="eastAsia" w:ascii="宋体" w:hAnsi="宋体"/>
          <w:color w:val="000000"/>
          <w:sz w:val="21"/>
          <w:szCs w:val="20"/>
          <w:highlight w:val="none"/>
        </w:rPr>
      </w:r>
      <w:r/>
    </w:p>
    <w:p>
      <w:pPr>
        <w:pStyle w:val="1293"/>
        <w:ind w:firstLine="0"/>
        <w:rPr>
          <w:rFonts w:ascii="宋体" w:hAnsi="宋体"/>
          <w:color w:val="000000"/>
          <w:sz w:val="21"/>
          <w:szCs w:val="20"/>
          <w:highlight w:val="none"/>
        </w:rPr>
      </w:pPr>
      <w:r>
        <w:rPr>
          <w:rFonts w:hint="eastAsia" w:ascii="宋体" w:hAnsi="宋体"/>
          <w:color w:val="000000"/>
          <w:sz w:val="21"/>
          <w:szCs w:val="20"/>
          <w:highlight w:val="none"/>
        </w:rPr>
        <w:t xml:space="preserve">2、开标时间：</w:t>
      </w:r>
      <w:r>
        <w:rPr>
          <w:rFonts w:hint="eastAsia" w:ascii="宋体" w:hAnsi="宋体"/>
          <w:color w:val="000000"/>
          <w:sz w:val="21"/>
          <w:szCs w:val="20"/>
          <w:highlight w:val="none"/>
          <w:lang w:eastAsia="zh-CN"/>
        </w:rPr>
        <w:t xml:space="preserve">2026年7月6日14:00</w:t>
      </w:r>
      <w:r>
        <w:rPr>
          <w:rFonts w:hint="eastAsia" w:ascii="宋体" w:hAnsi="宋体"/>
          <w:color w:val="000000"/>
          <w:sz w:val="21"/>
          <w:szCs w:val="20"/>
          <w:highlight w:val="none"/>
        </w:rPr>
        <w:t xml:space="preserve">（北京时间）  </w:t>
      </w:r>
      <w:r>
        <w:rPr>
          <w:rFonts w:ascii="宋体" w:hAnsi="宋体"/>
          <w:color w:val="000000"/>
          <w:sz w:val="21"/>
          <w:szCs w:val="20"/>
          <w:highlight w:val="none"/>
        </w:rPr>
      </w:r>
      <w:r/>
    </w:p>
    <w:p>
      <w:pPr>
        <w:pStyle w:val="1293"/>
        <w:ind w:firstLine="0"/>
        <w:rPr>
          <w:rFonts w:hint="eastAsia" w:ascii="宋体" w:hAnsi="宋体"/>
          <w:color w:val="000000"/>
          <w:sz w:val="21"/>
          <w:szCs w:val="20"/>
          <w:highlight w:val="none"/>
        </w:rPr>
      </w:pPr>
      <w:r>
        <w:rPr>
          <w:rFonts w:hint="eastAsia" w:ascii="宋体" w:hAnsi="宋体"/>
          <w:color w:val="000000"/>
          <w:sz w:val="21"/>
          <w:szCs w:val="20"/>
          <w:highlight w:val="none"/>
        </w:rPr>
        <w:t xml:space="preserve">3、开标地点：“苏采云”系统（网址： http://jszfcg.jsczt.cn/）“开标大厅”，点击“苏采云”进入系统“开标大厅”。</w:t>
      </w:r>
      <w:r>
        <w:rPr>
          <w:rFonts w:hint="eastAsia" w:ascii="宋体" w:hAnsi="宋体"/>
          <w:color w:val="000000"/>
          <w:sz w:val="21"/>
          <w:szCs w:val="20"/>
          <w:highlight w:val="none"/>
        </w:rPr>
      </w:r>
      <w:r/>
    </w:p>
    <w:p>
      <w:pPr>
        <w:pStyle w:val="1086"/>
        <w:spacing w:line="360" w:lineRule="auto"/>
        <w:rPr>
          <w:rFonts w:hint="eastAsia"/>
          <w:color w:val="000000"/>
          <w:highlight w:val="none"/>
        </w:rPr>
      </w:pPr>
      <w:r>
        <w:rPr>
          <w:rFonts w:hint="eastAsia"/>
          <w:color w:val="000000"/>
          <w:highlight w:val="none"/>
        </w:rPr>
        <w:t xml:space="preserve">注：各供应商请关注开标大厅交流区，在开标结束后，请勿离开开标大厅。</w:t>
      </w:r>
      <w:r>
        <w:rPr>
          <w:rFonts w:hint="eastAsia"/>
          <w:color w:val="000000"/>
          <w:highlight w:val="none"/>
        </w:rPr>
      </w:r>
      <w:r/>
    </w:p>
    <w:p>
      <w:pPr>
        <w:pStyle w:val="1086"/>
        <w:spacing w:line="360" w:lineRule="auto"/>
        <w:rPr>
          <w:rFonts w:hint="eastAsia"/>
          <w:color w:val="000000"/>
          <w:highlight w:val="none"/>
        </w:rPr>
      </w:pPr>
      <w:r>
        <w:rPr>
          <w:rFonts w:hint="eastAsia"/>
          <w:color w:val="000000"/>
          <w:highlight w:val="none"/>
        </w:rPr>
        <w:t xml:space="preserve">4、投标文件的解密：开标当天各供应商及时登录不见面开标大厅，响应文件递交截止时间后，采购人将在系统内公布投标</w:t>
      </w:r>
      <w:r>
        <w:rPr>
          <w:rFonts w:hint="eastAsia"/>
          <w:color w:val="000000"/>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color w:val="000000"/>
          <w:highlight w:val="none"/>
        </w:rPr>
      </w:r>
      <w:r/>
    </w:p>
    <w:p>
      <w:pPr>
        <w:pStyle w:val="1086"/>
        <w:spacing w:line="360" w:lineRule="auto"/>
        <w:rPr>
          <w:rFonts w:hint="eastAsia"/>
          <w:b/>
          <w:bCs/>
          <w:color w:val="000000"/>
          <w:highlight w:val="none"/>
        </w:rPr>
      </w:pPr>
      <w:r>
        <w:rPr>
          <w:rFonts w:hint="eastAsia"/>
          <w:b/>
          <w:bCs/>
          <w:color w:val="000000"/>
          <w:highlight w:val="none"/>
        </w:rPr>
        <w:t xml:space="preserve">五、公告期限</w:t>
      </w:r>
      <w:bookmarkEnd w:id="4"/>
      <w:r/>
      <w:bookmarkEnd w:id="5"/>
      <w:r/>
      <w:bookmarkEnd w:id="6"/>
      <w:r/>
      <w:bookmarkEnd w:id="7"/>
      <w:r>
        <w:rPr>
          <w:rFonts w:hint="eastAsia"/>
          <w:b/>
          <w:bCs/>
          <w:color w:val="000000"/>
          <w:highlight w:val="none"/>
        </w:rPr>
      </w:r>
      <w:r/>
    </w:p>
    <w:p>
      <w:pPr>
        <w:pStyle w:val="1086"/>
        <w:spacing w:line="360" w:lineRule="auto"/>
        <w:rPr>
          <w:rFonts w:hint="eastAsia"/>
          <w:color w:val="000000"/>
          <w:highlight w:val="none"/>
        </w:rPr>
      </w:pPr>
      <w:r>
        <w:rPr>
          <w:rFonts w:hint="eastAsia"/>
          <w:color w:val="000000"/>
          <w:highlight w:val="none"/>
        </w:rPr>
        <w:t xml:space="preserve">自本公告发布之日起5个工作日。</w:t>
      </w:r>
      <w:r>
        <w:rPr>
          <w:rFonts w:hint="eastAsia"/>
          <w:color w:val="000000"/>
          <w:highlight w:val="none"/>
        </w:rPr>
      </w:r>
      <w:r/>
    </w:p>
    <w:p>
      <w:pPr>
        <w:pStyle w:val="1086"/>
        <w:numPr>
          <w:ilvl w:val="0"/>
          <w:numId w:val="3"/>
        </w:numPr>
        <w:spacing w:line="360" w:lineRule="auto"/>
        <w:rPr>
          <w:rFonts w:hint="eastAsia"/>
          <w:b/>
          <w:bCs/>
          <w:color w:val="000000"/>
          <w:highlight w:val="none"/>
        </w:rPr>
      </w:pPr>
      <w:r/>
      <w:bookmarkStart w:id="14" w:name="_Toc35393626"/>
      <w:r/>
      <w:bookmarkStart w:id="15" w:name="_Toc35393795"/>
      <w:r>
        <w:rPr>
          <w:rFonts w:hint="eastAsia"/>
          <w:b/>
          <w:bCs/>
          <w:color w:val="000000"/>
          <w:highlight w:val="none"/>
        </w:rPr>
        <w:t xml:space="preserve">其他补充事宜</w:t>
      </w:r>
      <w:bookmarkEnd w:id="14"/>
      <w:r/>
      <w:bookmarkEnd w:id="15"/>
      <w:r>
        <w:rPr>
          <w:rFonts w:hint="eastAsia"/>
          <w:b/>
          <w:bCs/>
          <w:color w:val="000000"/>
          <w:highlight w:val="none"/>
        </w:rPr>
      </w:r>
      <w:r/>
    </w:p>
    <w:p>
      <w:pPr>
        <w:pStyle w:val="1288"/>
        <w:ind w:firstLine="0"/>
        <w:spacing w:line="360" w:lineRule="auto"/>
        <w:rPr>
          <w:rFonts w:hint="eastAsia" w:ascii="宋体" w:hAnsi="宋体" w:cs="宋体"/>
          <w:b w:val="0"/>
          <w:color w:val="000000"/>
          <w:sz w:val="21"/>
          <w:highlight w:val="none"/>
        </w:rPr>
      </w:pPr>
      <w:r>
        <w:rPr>
          <w:rFonts w:hint="eastAsia" w:ascii="宋体" w:hAnsi="宋体" w:cs="宋体"/>
          <w:b w:val="0"/>
          <w:color w:val="000000"/>
          <w:sz w:val="21"/>
          <w:highlight w:val="none"/>
        </w:rPr>
        <w:t xml:space="preserve">1、本项目公告媒体：江苏省政府采购网（http://www.ccgp-jiangsu.gov.cn/）、南京公共采购信息网（https://njgc.jfh.com/）</w:t>
      </w:r>
      <w:r>
        <w:rPr>
          <w:rFonts w:hint="eastAsia" w:ascii="宋体" w:hAnsi="宋体" w:cs="宋体"/>
          <w:b w:val="0"/>
          <w:color w:val="000000"/>
          <w:sz w:val="21"/>
          <w:highlight w:val="none"/>
        </w:rPr>
      </w:r>
      <w:r/>
    </w:p>
    <w:p>
      <w:pPr>
        <w:pStyle w:val="1288"/>
        <w:ind w:firstLine="0"/>
        <w:spacing w:line="360" w:lineRule="auto"/>
        <w:rPr>
          <w:rFonts w:hint="eastAsia" w:ascii="宋体" w:hAnsi="宋体" w:cs="宋体"/>
          <w:b w:val="0"/>
          <w:color w:val="000000"/>
          <w:sz w:val="21"/>
          <w:highlight w:val="none"/>
        </w:rPr>
      </w:pPr>
      <w:r>
        <w:rPr>
          <w:rFonts w:hint="eastAsia" w:ascii="宋体" w:hAnsi="宋体" w:cs="宋体"/>
          <w:b w:val="0"/>
          <w:color w:val="000000"/>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b w:val="0"/>
          <w:color w:val="000000"/>
          <w:sz w:val="21"/>
          <w:highlight w:val="none"/>
        </w:rPr>
      </w:r>
      <w:r/>
    </w:p>
    <w:p>
      <w:pPr>
        <w:pStyle w:val="1288"/>
        <w:ind w:firstLine="0"/>
        <w:spacing w:line="360" w:lineRule="auto"/>
        <w:rPr>
          <w:rFonts w:hint="eastAsia" w:ascii="宋体" w:hAnsi="宋体" w:cs="宋体"/>
          <w:b w:val="0"/>
          <w:color w:val="000000"/>
          <w:sz w:val="21"/>
          <w:highlight w:val="none"/>
        </w:rPr>
      </w:pPr>
      <w:r>
        <w:rPr>
          <w:rFonts w:hint="eastAsia" w:ascii="宋体" w:hAnsi="宋体" w:cs="宋体"/>
          <w:b w:val="0"/>
          <w:color w:val="000000"/>
          <w:sz w:val="21"/>
          <w:highlight w:val="none"/>
        </w:rPr>
        <w:t xml:space="preserve">http://www.ccgp-jiangsu.gov.cn/jiangsu/zlxz/ee/ee3a4bc5a3454aa2b0d9312230633ce9.html。</w:t>
      </w:r>
      <w:r>
        <w:rPr>
          <w:rFonts w:hint="eastAsia" w:ascii="宋体" w:hAnsi="宋体" w:cs="宋体"/>
          <w:b w:val="0"/>
          <w:color w:val="000000"/>
          <w:sz w:val="21"/>
          <w:highlight w:val="none"/>
        </w:rPr>
      </w:r>
      <w:r/>
    </w:p>
    <w:p>
      <w:pPr>
        <w:pStyle w:val="1288"/>
        <w:ind w:firstLine="0"/>
        <w:spacing w:line="360" w:lineRule="auto"/>
        <w:rPr>
          <w:rFonts w:hint="eastAsia" w:ascii="宋体" w:hAnsi="宋体" w:cs="宋体"/>
          <w:b w:val="0"/>
          <w:color w:val="000000"/>
          <w:sz w:val="21"/>
          <w:highlight w:val="none"/>
        </w:rPr>
      </w:pPr>
      <w:r>
        <w:rPr>
          <w:rFonts w:hint="eastAsia" w:ascii="宋体" w:hAnsi="宋体" w:cs="宋体"/>
          <w:b w:val="0"/>
          <w:color w:val="000000"/>
          <w:sz w:val="21"/>
          <w:highlight w:val="none"/>
        </w:rPr>
        <w:t xml:space="preserve">领取CA和办理电子签章（请至南京市建邺区汉中门大街145号省公共资源交易中心三楼开标区受理台1号窗口办理，联系电话：025- 83668701或南京市建邺区江东中路265号苏美达国际技术贸易有限公司北门外1255室（一楼）办理，联系电话：025-68505941)；</w:t>
      </w:r>
      <w:r>
        <w:rPr>
          <w:rFonts w:hint="eastAsia" w:ascii="宋体" w:hAnsi="宋体" w:cs="宋体"/>
          <w:b w:val="0"/>
          <w:color w:val="000000"/>
          <w:sz w:val="21"/>
          <w:highlight w:val="none"/>
        </w:rPr>
      </w:r>
      <w:r/>
    </w:p>
    <w:p>
      <w:pPr>
        <w:pStyle w:val="1086"/>
        <w:spacing w:line="360" w:lineRule="auto"/>
        <w:rPr>
          <w:rFonts w:hint="eastAsia"/>
          <w:color w:val="000000"/>
          <w:highlight w:val="none"/>
        </w:rPr>
      </w:pPr>
      <w:r>
        <w:rPr>
          <w:rFonts w:hint="eastAsia"/>
          <w:color w:val="000000"/>
          <w:highlight w:val="none"/>
        </w:rPr>
        <w:t xml:space="preserve">3、</w:t>
      </w:r>
      <w:r>
        <w:rPr>
          <w:b/>
          <w:bCs/>
          <w:color w:val="000000"/>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b/>
          <w:bCs/>
          <w:color w:val="000000"/>
          <w:highlight w:val="none"/>
        </w:rPr>
        <w:t xml:space="preserve">；</w:t>
      </w:r>
      <w:r>
        <w:rPr>
          <w:rFonts w:hint="eastAsia"/>
          <w:color w:val="000000"/>
          <w:highlight w:val="none"/>
        </w:rPr>
      </w:r>
      <w:r/>
    </w:p>
    <w:p>
      <w:pPr>
        <w:pStyle w:val="1086"/>
        <w:numPr>
          <w:ilvl w:val="0"/>
          <w:numId w:val="4"/>
        </w:numPr>
        <w:spacing w:line="360" w:lineRule="auto"/>
        <w:rPr>
          <w:rFonts w:hint="eastAsia"/>
          <w:color w:val="000000"/>
          <w:highlight w:val="none"/>
        </w:rPr>
      </w:pPr>
      <w:r>
        <w:rPr>
          <w:rFonts w:hint="eastAsia"/>
          <w:color w:val="000000"/>
          <w:highlight w:val="none"/>
        </w:rPr>
        <w:t xml:space="preserve">有关本次招标的事项若存在变动或修改，敬请及时关注在“江苏政府采购网”发布的更正公告。</w:t>
      </w:r>
      <w:r>
        <w:rPr>
          <w:rFonts w:hint="eastAsia"/>
          <w:color w:val="000000"/>
          <w:highlight w:val="none"/>
        </w:rPr>
      </w:r>
      <w:r/>
    </w:p>
    <w:p>
      <w:pPr>
        <w:pStyle w:val="1086"/>
        <w:spacing w:line="360" w:lineRule="auto"/>
        <w:rPr>
          <w:rFonts w:hint="eastAsia"/>
          <w:b/>
          <w:bCs/>
          <w:color w:val="000000"/>
          <w:highlight w:val="none"/>
        </w:rPr>
      </w:pPr>
      <w:r/>
      <w:bookmarkStart w:id="16" w:name="_Toc28359085"/>
      <w:r/>
      <w:bookmarkStart w:id="17" w:name="_Toc35393627"/>
      <w:r/>
      <w:bookmarkStart w:id="18" w:name="_Toc35393796"/>
      <w:r/>
      <w:bookmarkStart w:id="19" w:name="_Toc28359008"/>
      <w:r>
        <w:rPr>
          <w:rFonts w:hint="eastAsia"/>
          <w:b/>
          <w:bCs/>
          <w:color w:val="000000"/>
          <w:highlight w:val="none"/>
        </w:rPr>
        <w:t xml:space="preserve">七、对本次招标提出询问，请按以下方式联系</w:t>
      </w:r>
      <w:bookmarkEnd w:id="16"/>
      <w:r/>
      <w:bookmarkEnd w:id="17"/>
      <w:r/>
      <w:bookmarkEnd w:id="18"/>
      <w:r/>
      <w:bookmarkEnd w:id="19"/>
      <w:r>
        <w:rPr>
          <w:rFonts w:hint="eastAsia"/>
          <w:b/>
          <w:bCs/>
          <w:color w:val="000000"/>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w:t>
      </w:r>
      <w:r>
        <w:rPr>
          <w:rFonts w:hint="eastAsia" w:ascii="宋体" w:hAnsi="宋体" w:cs="宋体"/>
          <w:color w:val="000000"/>
          <w:szCs w:val="21"/>
          <w:highlight w:val="none"/>
        </w:rPr>
        <w:t xml:space="preserve">人信息</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称：南京市玄武区教育局　　　　　　　　　　　</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地址：南京市玄武区如意里20号   　</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bookmarkStart w:id="20" w:name="_Toc28359009"/>
      <w:r/>
      <w:bookmarkStart w:id="21" w:name="_Toc28359086"/>
      <w:r>
        <w:rPr>
          <w:rFonts w:hint="eastAsia" w:ascii="宋体" w:hAnsi="宋体" w:cs="宋体"/>
          <w:color w:val="000000"/>
          <w:szCs w:val="21"/>
          <w:highlight w:val="none"/>
        </w:rPr>
        <w:t xml:space="preserve">联系人：严老师  </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联系方式：025-84550122  </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bookmarkEnd w:id="20"/>
      <w:r/>
      <w:bookmarkEnd w:id="21"/>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称：苏美达国际技术贸易有限公司</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 南京市长江路198号苏美达大厦9F</w:t>
      </w:r>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w:t>
      </w:r>
      <w:bookmarkStart w:id="22" w:name="_Toc28359010"/>
      <w:r/>
      <w:bookmarkStart w:id="23" w:name="_Toc28359087"/>
      <w:r>
        <w:rPr>
          <w:rFonts w:hint="eastAsia" w:ascii="宋体" w:hAnsi="宋体" w:cs="宋体"/>
          <w:color w:val="000000"/>
          <w:szCs w:val="21"/>
          <w:highlight w:val="none"/>
        </w:rPr>
        <w:t xml:space="preserve">人：</w:t>
      </w:r>
      <w:r>
        <w:rPr>
          <w:rFonts w:hint="eastAsia" w:ascii="宋体" w:hAnsi="宋体" w:cs="宋体"/>
          <w:color w:val="000000"/>
          <w:szCs w:val="21"/>
          <w:highlight w:val="none"/>
          <w:lang w:eastAsia="zh-CN"/>
        </w:rPr>
        <w:t xml:space="preserve">冯帆</w:t>
      </w:r>
      <w:r>
        <w:rPr>
          <w:rFonts w:hint="eastAsia" w:ascii="宋体" w:hAnsi="宋体" w:cs="宋体"/>
          <w:color w:val="000000"/>
          <w:szCs w:val="21"/>
          <w:highlight w:val="none"/>
        </w:rPr>
        <w:t xml:space="preserve">、高雅婧、杨扬</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联系电话：025-8453</w:t>
      </w:r>
      <w:r>
        <w:rPr>
          <w:rFonts w:hint="eastAsia" w:ascii="宋体" w:hAnsi="宋体" w:cs="宋体"/>
          <w:color w:val="000000"/>
          <w:szCs w:val="21"/>
          <w:highlight w:val="none"/>
          <w:lang w:eastAsia="zh-CN"/>
        </w:rPr>
        <w:t xml:space="preserve">1327</w:t>
      </w:r>
      <w:r>
        <w:rPr>
          <w:rFonts w:hint="eastAsia" w:ascii="宋体" w:hAnsi="宋体" w:cs="宋体"/>
          <w:color w:val="000000"/>
          <w:szCs w:val="21"/>
          <w:highlight w:val="none"/>
        </w:rPr>
        <w:t xml:space="preserve">、84532452、84532455</w:t>
      </w:r>
      <w:r>
        <w:rPr>
          <w:rFonts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bookmarkEnd w:id="22"/>
      <w:r/>
      <w:bookmarkEnd w:id="23"/>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eastAsia="zh-CN"/>
        </w:rPr>
        <w:t xml:space="preserve">冯帆</w:t>
      </w:r>
      <w:r>
        <w:rPr>
          <w:rFonts w:hint="eastAsia" w:ascii="宋体" w:hAnsi="宋体" w:cs="宋体"/>
          <w:color w:val="000000"/>
          <w:szCs w:val="21"/>
          <w:highlight w:val="none"/>
        </w:rPr>
        <w:t xml:space="preserve">、高雅婧、杨扬</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联系电话：025-8453</w:t>
      </w:r>
      <w:r>
        <w:rPr>
          <w:rFonts w:hint="eastAsia" w:ascii="宋体" w:hAnsi="宋体" w:cs="宋体"/>
          <w:color w:val="000000"/>
          <w:szCs w:val="21"/>
          <w:highlight w:val="none"/>
          <w:lang w:eastAsia="zh-CN"/>
        </w:rPr>
        <w:t xml:space="preserve">1327</w:t>
      </w:r>
      <w:r>
        <w:rPr>
          <w:rFonts w:hint="eastAsia" w:ascii="宋体" w:hAnsi="宋体" w:cs="宋体"/>
          <w:color w:val="000000"/>
          <w:szCs w:val="21"/>
          <w:highlight w:val="none"/>
        </w:rPr>
        <w:t xml:space="preserve">、84532452、84532455</w:t>
      </w:r>
      <w:r>
        <w:rPr>
          <w:rFonts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bookmarkStart w:id="24" w:name="_Toc16975"/>
      <w:r/>
      <w:bookmarkStart w:id="25" w:name="_Toc28996"/>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jc w:val="center"/>
        <w:spacing w:line="440" w:lineRule="exact"/>
        <w:rPr>
          <w:rFonts w:ascii="Arial" w:hAnsi="Arial" w:eastAsia="黑体" w:cs="Arial"/>
          <w:b/>
          <w:color w:val="000000"/>
          <w:sz w:val="28"/>
          <w:szCs w:val="28"/>
          <w:highlight w:val="none"/>
        </w:rPr>
        <w:outlineLvl w:val="0"/>
      </w:pPr>
      <w:r>
        <w:rPr>
          <w:rFonts w:ascii="Arial" w:hAnsi="Arial" w:eastAsia="黑体" w:cs="Arial"/>
          <w:b/>
          <w:color w:val="000000"/>
          <w:sz w:val="28"/>
          <w:szCs w:val="28"/>
          <w:highlight w:val="none"/>
        </w:rPr>
        <w:br w:type="page" w:clear="all"/>
      </w:r>
      <w:r>
        <w:rPr>
          <w:rFonts w:ascii="Arial" w:hAnsi="Arial" w:eastAsia="黑体" w:cs="Arial"/>
          <w:b/>
          <w:color w:val="000000"/>
          <w:sz w:val="28"/>
          <w:szCs w:val="28"/>
          <w:highlight w:val="none"/>
        </w:rPr>
        <w:t xml:space="preserve">第二章 投标人须知</w:t>
      </w:r>
      <w:bookmarkEnd w:id="24"/>
      <w:r/>
      <w:bookmarkEnd w:id="25"/>
      <w:r>
        <w:rPr>
          <w:rFonts w:ascii="Arial" w:hAnsi="Arial" w:eastAsia="黑体" w:cs="Arial"/>
          <w:b/>
          <w:color w:val="000000"/>
          <w:sz w:val="28"/>
          <w:szCs w:val="28"/>
          <w:highlight w:val="none"/>
        </w:rPr>
      </w:r>
      <w:r/>
    </w:p>
    <w:p>
      <w:pPr>
        <w:pStyle w:val="1086"/>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投标人须知前附表</w:t>
      </w:r>
      <w:r>
        <w:rPr>
          <w:rFonts w:hint="eastAsia" w:ascii="宋体" w:hAnsi="宋体" w:cs="宋体"/>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8928"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主要内容</w:t>
            </w:r>
            <w:r>
              <w:rPr>
                <w:rFonts w:hint="eastAsia" w:ascii="宋体" w:hAnsi="宋体" w:cs="宋体"/>
                <w:b/>
                <w:color w:val="000000"/>
                <w:szCs w:val="21"/>
                <w:highlight w:val="none"/>
              </w:rPr>
            </w:r>
            <w:r/>
          </w:p>
        </w:tc>
      </w:tr>
      <w:tr>
        <w:trPr>
          <w:trHeight w:val="240"/>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8928" w:type="dxa"/>
            <w:vAlign w:val="center"/>
            <w:textDirection w:val="lrTb"/>
            <w:noWrap w:val="false"/>
          </w:tcPr>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采购人：南京市玄武区教育局 </w:t>
            </w:r>
            <w:r>
              <w:rPr>
                <w:rFonts w:hint="eastAsia" w:ascii="宋体" w:hAnsi="宋体" w:cs="宋体"/>
                <w:color w:val="000000"/>
                <w:szCs w:val="21"/>
                <w:highlight w:val="none"/>
              </w:rPr>
            </w:r>
            <w:r/>
          </w:p>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联系人：严老师  </w:t>
            </w:r>
            <w:r>
              <w:rPr>
                <w:rFonts w:hint="eastAsia" w:ascii="宋体" w:hAnsi="宋体" w:cs="宋体"/>
                <w:color w:val="000000"/>
                <w:szCs w:val="21"/>
                <w:highlight w:val="none"/>
              </w:rPr>
            </w:r>
            <w:r/>
          </w:p>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电话：025-84550122  </w:t>
            </w:r>
            <w:r>
              <w:rPr>
                <w:rFonts w:hint="eastAsia" w:ascii="宋体" w:hAnsi="宋体" w:cs="宋体"/>
                <w:color w:val="000000"/>
                <w:szCs w:val="21"/>
                <w:highlight w:val="none"/>
              </w:rPr>
            </w:r>
            <w:r/>
          </w:p>
          <w:p>
            <w:pPr>
              <w:pStyle w:val="1086"/>
              <w:spacing w:line="360" w:lineRule="auto"/>
              <w:shd w:val="clear" w:color="auto" w:fill="ffffff"/>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地址：南京市玄武区如意里20号  　 </w:t>
            </w:r>
            <w:r>
              <w:rPr>
                <w:rFonts w:hint="eastAsia" w:ascii="宋体" w:hAnsi="宋体" w:cs="宋体"/>
                <w:b/>
                <w:color w:val="000000"/>
                <w:szCs w:val="21"/>
                <w:highlight w:val="none"/>
              </w:rPr>
            </w:r>
            <w:r/>
          </w:p>
        </w:tc>
      </w:tr>
      <w:tr>
        <w:trPr>
          <w:trHeight w:val="1609"/>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w:t>
            </w:r>
            <w:r>
              <w:rPr>
                <w:rFonts w:hint="eastAsia" w:ascii="宋体" w:hAnsi="宋体" w:cs="宋体"/>
                <w:b/>
                <w:color w:val="000000"/>
                <w:szCs w:val="21"/>
                <w:highlight w:val="none"/>
              </w:rPr>
            </w:r>
            <w:r/>
          </w:p>
        </w:tc>
        <w:tc>
          <w:tcPr>
            <w:tcW w:w="8928" w:type="dxa"/>
            <w:vAlign w:val="center"/>
            <w:textDirection w:val="lrTb"/>
            <w:noWrap w:val="false"/>
          </w:tcPr>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采购代理机构：苏美达国际技术贸易有限公司</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 系 人：</w:t>
            </w:r>
            <w:r>
              <w:rPr>
                <w:rFonts w:hint="eastAsia" w:ascii="宋体" w:hAnsi="宋体" w:cs="宋体"/>
                <w:color w:val="000000"/>
                <w:szCs w:val="21"/>
                <w:highlight w:val="none"/>
                <w:lang w:eastAsia="zh-CN"/>
              </w:rPr>
              <w:t xml:space="preserve">冯帆</w:t>
            </w:r>
            <w:r>
              <w:rPr>
                <w:rFonts w:hint="eastAsia" w:ascii="宋体" w:hAnsi="宋体" w:cs="宋体"/>
                <w:color w:val="000000"/>
                <w:szCs w:val="21"/>
                <w:highlight w:val="none"/>
              </w:rPr>
              <w:t xml:space="preserve">、高雅婧、杨扬</w:t>
            </w:r>
            <w:r>
              <w:rPr>
                <w:rFonts w:hint="eastAsia" w:ascii="宋体" w:hAnsi="宋体" w:cs="宋体"/>
                <w:color w:val="000000"/>
                <w:szCs w:val="21"/>
                <w:highlight w:val="none"/>
              </w:rPr>
            </w:r>
            <w:r/>
          </w:p>
          <w:p>
            <w:pPr>
              <w:pStyle w:val="1086"/>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联系电话：025-8453</w:t>
            </w:r>
            <w:r>
              <w:rPr>
                <w:rFonts w:hint="eastAsia" w:ascii="宋体" w:hAnsi="宋体" w:cs="宋体"/>
                <w:color w:val="000000"/>
                <w:szCs w:val="21"/>
                <w:highlight w:val="none"/>
                <w:lang w:eastAsia="zh-CN"/>
              </w:rPr>
              <w:t xml:space="preserve">1327</w:t>
            </w:r>
            <w:r>
              <w:rPr>
                <w:rFonts w:hint="eastAsia" w:ascii="宋体" w:hAnsi="宋体" w:cs="宋体"/>
                <w:color w:val="000000"/>
                <w:szCs w:val="21"/>
                <w:highlight w:val="none"/>
              </w:rPr>
              <w:t xml:space="preserve">、84532452、84532455</w:t>
            </w:r>
            <w:r>
              <w:rPr>
                <w:rFonts w:hint="eastAsia" w:ascii="宋体" w:hAnsi="宋体" w:cs="宋体"/>
                <w:color w:val="000000"/>
                <w:szCs w:val="21"/>
                <w:highlight w:val="none"/>
              </w:rPr>
            </w:r>
            <w:r/>
          </w:p>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联系地址： 南京市长江路198号苏美达大厦9F</w:t>
            </w:r>
            <w:r>
              <w:rPr>
                <w:rFonts w:hint="eastAsia" w:ascii="宋体" w:hAnsi="宋体" w:cs="宋体"/>
                <w:color w:val="000000"/>
                <w:szCs w:val="21"/>
                <w:highlight w:val="none"/>
              </w:rPr>
            </w:r>
            <w:r/>
          </w:p>
        </w:tc>
      </w:tr>
      <w:tr>
        <w:trPr>
          <w:trHeight w:val="240"/>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3</w:t>
            </w:r>
            <w:r>
              <w:rPr>
                <w:rFonts w:hint="eastAsia" w:ascii="宋体" w:hAnsi="宋体" w:cs="宋体"/>
                <w:b/>
                <w:color w:val="000000"/>
                <w:szCs w:val="21"/>
                <w:highlight w:val="none"/>
              </w:rPr>
            </w:r>
            <w:r/>
          </w:p>
        </w:tc>
        <w:tc>
          <w:tcPr>
            <w:tcW w:w="8928" w:type="dxa"/>
            <w:vAlign w:val="center"/>
            <w:textDirection w:val="lrTb"/>
            <w:noWrap w:val="false"/>
          </w:tcPr>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项目名称：第五十四中学等校办公及教室家具更新  </w:t>
            </w:r>
            <w:r>
              <w:rPr>
                <w:rFonts w:hint="eastAsia" w:ascii="宋体" w:hAnsi="宋体" w:cs="宋体"/>
                <w:color w:val="000000"/>
                <w:szCs w:val="21"/>
                <w:highlight w:val="none"/>
              </w:rPr>
            </w:r>
            <w:r/>
          </w:p>
          <w:p>
            <w:pPr>
              <w:pStyle w:val="1086"/>
              <w:spacing w:line="360" w:lineRule="auto"/>
              <w:shd w:val="clear" w:color="auto" w:fill="ffffff"/>
              <w:widowControl/>
              <w:rPr>
                <w:rFonts w:hint="eastAsia" w:ascii="宋体" w:hAnsi="宋体" w:eastAsia="宋体" w:cs="宋体"/>
                <w:b/>
                <w:color w:val="000000"/>
                <w:szCs w:val="21"/>
                <w:highlight w:val="none"/>
                <w:lang w:eastAsia="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JSZC-320102-SMDG-G2026-0052</w:t>
            </w:r>
            <w:r>
              <w:rPr>
                <w:rFonts w:hint="eastAsia" w:ascii="宋体" w:hAnsi="宋体" w:eastAsia="宋体" w:cs="宋体"/>
                <w:b/>
                <w:color w:val="000000"/>
                <w:szCs w:val="21"/>
                <w:highlight w:val="none"/>
                <w:lang w:eastAsia="zh-CN"/>
              </w:rPr>
            </w:r>
            <w:r/>
          </w:p>
        </w:tc>
      </w:tr>
      <w:tr>
        <w:trPr>
          <w:trHeight w:val="240"/>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4</w:t>
            </w:r>
            <w:r>
              <w:rPr>
                <w:rFonts w:hint="eastAsia" w:ascii="宋体" w:hAnsi="宋体" w:cs="宋体"/>
                <w:b/>
                <w:color w:val="000000"/>
                <w:szCs w:val="21"/>
                <w:highlight w:val="none"/>
              </w:rPr>
            </w:r>
            <w:r/>
          </w:p>
        </w:tc>
        <w:tc>
          <w:tcPr>
            <w:tcW w:w="8928" w:type="dxa"/>
            <w:vAlign w:val="center"/>
            <w:textDirection w:val="lrTb"/>
            <w:noWrap w:val="false"/>
          </w:tcPr>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采购方式：</w:t>
            </w:r>
            <w:r>
              <w:rPr>
                <w:rFonts w:hint="eastAsia" w:ascii="宋体" w:hAnsi="宋体" w:cs="宋体"/>
                <w:b/>
                <w:bCs/>
                <w:color w:val="000000"/>
                <w:szCs w:val="21"/>
                <w:highlight w:val="none"/>
              </w:rPr>
              <w:t xml:space="preserve">公开招标 </w:t>
            </w:r>
            <w:r>
              <w:rPr>
                <w:rFonts w:hint="eastAsia" w:ascii="宋体" w:hAnsi="宋体" w:cs="宋体"/>
                <w:color w:val="000000"/>
                <w:szCs w:val="21"/>
                <w:highlight w:val="none"/>
              </w:rPr>
            </w:r>
            <w:r/>
          </w:p>
        </w:tc>
      </w:tr>
      <w:tr>
        <w:trPr>
          <w:trHeight w:val="240"/>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
                <w:color w:val="000000"/>
                <w:szCs w:val="21"/>
                <w:highlight w:val="none"/>
              </w:rPr>
            </w:r>
            <w:r/>
          </w:p>
        </w:tc>
        <w:tc>
          <w:tcPr>
            <w:tcW w:w="8928" w:type="dxa"/>
            <w:vAlign w:val="center"/>
            <w:textDirection w:val="lrTb"/>
            <w:noWrap w:val="false"/>
          </w:tcPr>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投标有效期</w:t>
            </w:r>
            <w:r>
              <w:rPr>
                <w:rFonts w:hint="eastAsia" w:ascii="宋体" w:hAnsi="宋体" w:cs="宋体"/>
                <w:color w:val="000000"/>
                <w:szCs w:val="21"/>
                <w:highlight w:val="none"/>
              </w:rPr>
              <w:t xml:space="preserve">：开标之日起90天</w:t>
            </w:r>
            <w:r>
              <w:rPr>
                <w:rFonts w:hint="eastAsia" w:ascii="宋体" w:hAnsi="宋体" w:cs="宋体"/>
                <w:color w:val="000000"/>
                <w:szCs w:val="21"/>
                <w:highlight w:val="none"/>
              </w:rPr>
            </w:r>
            <w:r/>
          </w:p>
        </w:tc>
      </w:tr>
      <w:tr>
        <w:trPr>
          <w:trHeight w:val="475"/>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6</w:t>
            </w:r>
            <w:r>
              <w:rPr>
                <w:rFonts w:hint="eastAsia" w:ascii="宋体" w:hAnsi="宋体" w:cs="宋体"/>
                <w:b/>
                <w:color w:val="000000"/>
                <w:szCs w:val="21"/>
                <w:highlight w:val="none"/>
              </w:rPr>
            </w:r>
            <w:r/>
          </w:p>
        </w:tc>
        <w:tc>
          <w:tcPr>
            <w:tcW w:w="8928" w:type="dxa"/>
            <w:vAlign w:val="center"/>
            <w:textDirection w:val="lrTb"/>
            <w:noWrap w:val="false"/>
          </w:tcPr>
          <w:p>
            <w:pPr>
              <w:pStyle w:val="1086"/>
              <w:jc w:val="left"/>
              <w:spacing w:line="360" w:lineRule="auto"/>
              <w:shd w:val="clear" w:color="auto" w:fill="ffffff"/>
              <w:widowControl/>
              <w:rPr>
                <w:rFonts w:hint="eastAsia" w:ascii="宋体" w:hAnsi="宋体" w:cs="宋体"/>
                <w:b/>
                <w:color w:val="000000"/>
                <w:szCs w:val="21"/>
                <w:highlight w:val="none"/>
              </w:rPr>
            </w:pPr>
            <w:r>
              <w:rPr>
                <w:rFonts w:hint="eastAsia" w:ascii="宋体" w:hAnsi="宋体" w:cs="宋体"/>
                <w:b/>
                <w:bCs/>
                <w:color w:val="000000"/>
                <w:szCs w:val="21"/>
                <w:highlight w:val="none"/>
              </w:rPr>
              <w:t xml:space="preserve">投标保证金：本项目无需缴纳投标保证金</w:t>
            </w:r>
            <w:r>
              <w:rPr>
                <w:rFonts w:hint="eastAsia" w:ascii="宋体" w:hAnsi="宋体" w:cs="宋体"/>
                <w:b/>
                <w:color w:val="000000"/>
                <w:szCs w:val="21"/>
                <w:highlight w:val="none"/>
              </w:rPr>
            </w:r>
            <w:r/>
          </w:p>
        </w:tc>
      </w:tr>
      <w:tr>
        <w:trPr>
          <w:trHeight w:val="559"/>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7</w:t>
            </w:r>
            <w:r>
              <w:rPr>
                <w:rFonts w:hint="eastAsia" w:ascii="宋体" w:hAnsi="宋体" w:cs="宋体"/>
                <w:b/>
                <w:color w:val="000000"/>
                <w:szCs w:val="21"/>
                <w:highlight w:val="none"/>
              </w:rPr>
            </w:r>
            <w:r/>
          </w:p>
        </w:tc>
        <w:tc>
          <w:tcPr>
            <w:tcW w:w="8928" w:type="dxa"/>
            <w:vAlign w:val="center"/>
            <w:textDirection w:val="lrTb"/>
            <w:noWrap w:val="false"/>
          </w:tcPr>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投标文件接收截止时间：</w:t>
            </w:r>
            <w:r>
              <w:rPr>
                <w:rFonts w:hint="eastAsia" w:ascii="宋体" w:hAnsi="宋体" w:cs="宋体"/>
                <w:color w:val="000000"/>
                <w:szCs w:val="21"/>
                <w:highlight w:val="none"/>
                <w:lang w:eastAsia="zh-CN"/>
              </w:rPr>
              <w:t xml:space="preserve">2026年7月6日14:00</w:t>
            </w:r>
            <w:r>
              <w:rPr>
                <w:rFonts w:hint="eastAsia" w:ascii="宋体" w:hAnsi="宋体" w:cs="宋体"/>
                <w:color w:val="000000"/>
                <w:szCs w:val="21"/>
                <w:highlight w:val="none"/>
              </w:rPr>
              <w:t xml:space="preserve">（北京时间） </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lang w:eastAsia="zh-CN"/>
              </w:rPr>
              <w:t xml:space="preserve">2026年7月6日14:00</w:t>
            </w:r>
            <w:r>
              <w:rPr>
                <w:rFonts w:hint="eastAsia" w:ascii="宋体" w:hAnsi="宋体" w:cs="宋体"/>
                <w:color w:val="000000"/>
                <w:szCs w:val="21"/>
                <w:highlight w:val="none"/>
              </w:rPr>
              <w:t xml:space="preserve">（北京时间）     </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地点：“苏采云”政府采购交易系统网上开标大厅</w:t>
            </w:r>
            <w:r>
              <w:rPr>
                <w:rFonts w:hint="eastAsia" w:ascii="宋体" w:hAnsi="宋体" w:cs="宋体"/>
                <w:color w:val="000000"/>
                <w:szCs w:val="21"/>
                <w:highlight w:val="none"/>
              </w:rPr>
            </w:r>
            <w:r/>
          </w:p>
        </w:tc>
      </w:tr>
      <w:tr>
        <w:trPr>
          <w:trHeight w:val="390"/>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8</w:t>
            </w:r>
            <w:r>
              <w:rPr>
                <w:rFonts w:hint="eastAsia" w:ascii="宋体" w:hAnsi="宋体" w:cs="宋体"/>
                <w:b/>
                <w:color w:val="000000"/>
                <w:szCs w:val="21"/>
                <w:highlight w:val="none"/>
              </w:rPr>
            </w:r>
            <w:r/>
          </w:p>
        </w:tc>
        <w:tc>
          <w:tcPr>
            <w:tcW w:w="8928" w:type="dxa"/>
            <w:vAlign w:val="center"/>
            <w:textDirection w:val="lrTb"/>
            <w:noWrap w:val="false"/>
          </w:tcPr>
          <w:p>
            <w:pPr>
              <w:pStyle w:val="108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投标报价：</w:t>
            </w:r>
            <w:r>
              <w:rPr>
                <w:rFonts w:hint="eastAsia" w:ascii="宋体" w:hAnsi="宋体" w:cs="宋体"/>
                <w:b/>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所有投标响应均以人民币报价</w:t>
            </w:r>
            <w:r>
              <w:rPr>
                <w:rFonts w:hint="eastAsia" w:ascii="宋体" w:hAnsi="宋体" w:cs="宋体"/>
                <w:color w:val="000000"/>
                <w:szCs w:val="21"/>
                <w:highlight w:val="none"/>
              </w:rPr>
              <w:t xml:space="preserve">。投标人的投标响应报价应遵守“中华人民共和国价格法”。该报价为到项目现场的全部费用，含相关税费，运输费，保险费，安装费及相关服务费等一切可能发生的费用。</w:t>
            </w:r>
            <w:r>
              <w:rPr>
                <w:rFonts w:hint="eastAsia" w:ascii="宋体" w:hAnsi="宋体" w:cs="宋体"/>
                <w:color w:val="000000"/>
                <w:szCs w:val="21"/>
                <w:highlight w:val="none"/>
              </w:rPr>
            </w:r>
            <w:r/>
          </w:p>
        </w:tc>
      </w:tr>
      <w:tr>
        <w:trPr>
          <w:trHeight w:val="540"/>
        </w:trPr>
        <w:tc>
          <w:tcPr>
            <w:tcW w:w="819"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9</w:t>
            </w:r>
            <w:r>
              <w:rPr>
                <w:rFonts w:hint="eastAsia" w:ascii="宋体" w:hAnsi="宋体" w:cs="宋体"/>
                <w:b/>
                <w:color w:val="000000"/>
                <w:szCs w:val="21"/>
                <w:highlight w:val="none"/>
              </w:rPr>
            </w:r>
            <w:r/>
          </w:p>
        </w:tc>
        <w:tc>
          <w:tcPr>
            <w:tcW w:w="8928" w:type="dxa"/>
            <w:vAlign w:val="center"/>
            <w:textDirection w:val="lrTb"/>
            <w:noWrap w:val="false"/>
          </w:tcPr>
          <w:p>
            <w:pPr>
              <w:pStyle w:val="1086"/>
              <w:ind w:firstLine="15"/>
              <w:spacing w:line="360"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现场勘查要求：</w:t>
            </w:r>
            <w:r>
              <w:rPr>
                <w:rFonts w:hint="eastAsia" w:ascii="宋体" w:hAnsi="宋体" w:cs="宋体"/>
                <w:b/>
                <w:color w:val="000000"/>
                <w:szCs w:val="21"/>
                <w:highlight w:val="none"/>
                <w:lang w:val="en-US" w:eastAsia="zh-CN"/>
              </w:rPr>
              <w:t xml:space="preserve">不组织，</w:t>
            </w:r>
            <w:r>
              <w:rPr>
                <w:rFonts w:hint="eastAsia" w:ascii="宋体" w:hAnsi="宋体" w:cs="宋体"/>
                <w:b/>
                <w:color w:val="000000"/>
                <w:szCs w:val="21"/>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rPr>
                <w:rFonts w:hint="eastAsia" w:ascii="宋体" w:hAnsi="宋体" w:cs="宋体"/>
                <w:bCs/>
                <w:color w:val="000000"/>
                <w:szCs w:val="21"/>
                <w:highlight w:val="none"/>
              </w:rPr>
            </w:r>
            <w:r/>
          </w:p>
        </w:tc>
      </w:tr>
      <w:tr>
        <w:trPr>
          <w:trHeight w:val="863"/>
        </w:trPr>
        <w:tc>
          <w:tcPr>
            <w:tcW w:w="819" w:type="dxa"/>
            <w:vAlign w:val="center"/>
            <w:textDirection w:val="lrTb"/>
            <w:noWrap w:val="false"/>
          </w:tcPr>
          <w:p>
            <w:pPr>
              <w:pStyle w:val="1086"/>
              <w:jc w:val="center"/>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8928" w:type="dxa"/>
            <w:vAlign w:val="center"/>
            <w:textDirection w:val="lrTb"/>
            <w:noWrap w:val="false"/>
          </w:tcPr>
          <w:p>
            <w:pPr>
              <w:pStyle w:val="1086"/>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投标报价中的投标价不得超过招标公告、招标文件规定的预算价，超过规定的预算价的投标文件，按无效投标处理。 </w:t>
            </w:r>
            <w:r>
              <w:rPr>
                <w:rFonts w:hint="eastAsia" w:ascii="宋体" w:hAnsi="宋体" w:cs="宋体"/>
                <w:color w:val="000000"/>
                <w:szCs w:val="21"/>
                <w:highlight w:val="none"/>
              </w:rPr>
            </w:r>
            <w:r/>
          </w:p>
        </w:tc>
      </w:tr>
    </w:tbl>
    <w:p>
      <w:pPr>
        <w:pStyle w:val="1086"/>
        <w:spacing w:line="360" w:lineRule="auto"/>
        <w:shd w:val="clear" w:color="auto" w:fill="ffffff"/>
        <w:widowControl/>
        <w:rPr>
          <w:rFonts w:hint="eastAsia" w:ascii="宋体" w:hAnsi="宋体" w:cs="宋体"/>
          <w:b/>
          <w:bCs/>
          <w:color w:val="000000"/>
          <w:szCs w:val="21"/>
          <w:highlight w:val="none"/>
        </w:rPr>
        <w:outlineLvl w:val="1"/>
      </w:pPr>
      <w:r/>
      <w:bookmarkStart w:id="26" w:name="_Toc8539"/>
      <w:r/>
      <w:bookmarkStart w:id="27" w:name="_Toc19726"/>
      <w:r>
        <w:rPr>
          <w:rFonts w:hint="eastAsia" w:ascii="宋体" w:hAnsi="宋体" w:cs="宋体"/>
          <w:b/>
          <w:bCs/>
          <w:color w:val="000000"/>
          <w:szCs w:val="21"/>
          <w:highlight w:val="none"/>
        </w:rPr>
        <w:t xml:space="preserve">一、总 则</w:t>
      </w:r>
      <w:bookmarkEnd w:id="26"/>
      <w:r/>
      <w:bookmarkEnd w:id="27"/>
      <w:r>
        <w:rPr>
          <w:rFonts w:hint="eastAsia" w:ascii="宋体" w:hAnsi="宋体" w:cs="宋体"/>
          <w:b/>
          <w:bCs/>
          <w:color w:val="000000"/>
          <w:szCs w:val="21"/>
          <w:highlight w:val="none"/>
        </w:rPr>
      </w:r>
      <w:r/>
    </w:p>
    <w:p>
      <w:pPr>
        <w:pStyle w:val="1086"/>
        <w:ind w:firstLine="420"/>
        <w:spacing w:line="360" w:lineRule="auto"/>
        <w:rPr>
          <w:rFonts w:hint="eastAsia" w:ascii="宋体" w:hAnsi="宋体" w:cs="宋体"/>
          <w:b/>
          <w:bCs/>
          <w:color w:val="000000"/>
          <w:szCs w:val="21"/>
          <w:highlight w:val="none"/>
          <w:lang w:val="zh-CN"/>
        </w:rPr>
      </w:pPr>
      <w:r/>
      <w:bookmarkStart w:id="28" w:name="_Toc3951"/>
      <w:r/>
      <w:bookmarkStart w:id="29" w:name="_Toc30044"/>
      <w:r/>
      <w:bookmarkStart w:id="30" w:name="_Toc16938520"/>
      <w:r/>
      <w:bookmarkStart w:id="31" w:name="_Toc20823276"/>
      <w:r/>
      <w:bookmarkStart w:id="32" w:name="_Toc513029204"/>
      <w:r/>
      <w:bookmarkStart w:id="33" w:name="_Toc458694821"/>
      <w:r/>
      <w:bookmarkStart w:id="34" w:name="_Toc24947"/>
      <w:r>
        <w:rPr>
          <w:rFonts w:hint="eastAsia" w:ascii="宋体" w:hAnsi="宋体" w:cs="宋体"/>
          <w:b/>
          <w:bCs/>
          <w:color w:val="000000"/>
          <w:szCs w:val="21"/>
          <w:highlight w:val="none"/>
          <w:lang w:val="zh-CN"/>
        </w:rPr>
        <w:t xml:space="preserve">1.适用法律</w:t>
      </w:r>
      <w:bookmarkEnd w:id="28"/>
      <w:r/>
      <w:bookmarkEnd w:id="29"/>
      <w:r>
        <w:rPr>
          <w:rFonts w:hint="eastAsia" w:ascii="宋体" w:hAnsi="宋体" w:cs="宋体"/>
          <w:b/>
          <w:bCs/>
          <w:color w:val="000000"/>
          <w:szCs w:val="21"/>
          <w:highlight w:val="none"/>
          <w:lang w:val="zh-CN"/>
        </w:rPr>
      </w:r>
      <w:r/>
    </w:p>
    <w:p>
      <w:pPr>
        <w:pStyle w:val="1086"/>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1.1 </w:t>
      </w:r>
      <w:r>
        <w:rPr>
          <w:rFonts w:hint="eastAsia" w:ascii="宋体" w:hAnsi="宋体" w:cs="宋体"/>
          <w:color w:val="000000"/>
          <w:szCs w:val="21"/>
          <w:highlight w:val="none"/>
        </w:rPr>
        <w:t xml:space="preserve">《中华人民共和国招标投标法》、</w:t>
      </w:r>
      <w:r>
        <w:rPr>
          <w:rFonts w:hint="eastAsia" w:ascii="宋体" w:hAnsi="宋体" w:cs="宋体"/>
          <w:color w:val="000000"/>
          <w:szCs w:val="21"/>
          <w:highlight w:val="none"/>
          <w:lang w:val="zh-CN"/>
        </w:rPr>
        <w:t xml:space="preserve">《中华人民共和国政府采购法》、《中华人民共和国政府采购法实施条例》、《政府采购货物和服务招标投标管理办法》等有关法律、规章和规定等。</w:t>
      </w:r>
      <w:bookmarkStart w:id="35" w:name="_Toc10994"/>
      <w:r/>
      <w:bookmarkStart w:id="36" w:name="_Toc17176"/>
      <w:r>
        <w:rPr>
          <w:rFonts w:hint="eastAsia" w:ascii="宋体" w:hAnsi="宋体" w:cs="宋体"/>
          <w:color w:val="000000"/>
          <w:szCs w:val="21"/>
          <w:highlight w:val="none"/>
          <w:lang w:val="zh-CN"/>
        </w:rPr>
      </w:r>
      <w:r/>
    </w:p>
    <w:p>
      <w:pPr>
        <w:pStyle w:val="1086"/>
        <w:ind w:firstLine="420"/>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2.定义</w:t>
      </w:r>
      <w:bookmarkEnd w:id="35"/>
      <w:r/>
      <w:bookmarkEnd w:id="36"/>
      <w:r>
        <w:rPr>
          <w:rFonts w:hint="eastAsia" w:ascii="宋体" w:hAnsi="宋体" w:cs="宋体"/>
          <w:b/>
          <w:bCs/>
          <w:color w:val="000000"/>
          <w:szCs w:val="21"/>
          <w:highlight w:val="none"/>
          <w:lang w:val="zh-CN"/>
        </w:rPr>
      </w:r>
      <w:r/>
    </w:p>
    <w:p>
      <w:pPr>
        <w:pStyle w:val="1086"/>
        <w:ind w:firstLine="420"/>
        <w:spacing w:line="360" w:lineRule="auto"/>
        <w:rPr>
          <w:rFonts w:hint="eastAsia" w:ascii="宋体" w:hAnsi="宋体" w:cs="宋体"/>
          <w:bCs/>
          <w:color w:val="000000"/>
          <w:szCs w:val="21"/>
          <w:highlight w:val="none"/>
        </w:rPr>
      </w:pPr>
      <w:r/>
      <w:bookmarkEnd w:id="30"/>
      <w:r/>
      <w:bookmarkEnd w:id="31"/>
      <w:r/>
      <w:bookmarkEnd w:id="32"/>
      <w:r/>
      <w:bookmarkEnd w:id="33"/>
      <w:r/>
      <w:bookmarkEnd w:id="34"/>
      <w:r>
        <w:rPr>
          <w:rFonts w:hint="eastAsia" w:ascii="宋体" w:hAnsi="宋体" w:cs="宋体"/>
          <w:color w:val="000000"/>
          <w:szCs w:val="21"/>
          <w:highlight w:val="none"/>
        </w:rPr>
        <w:t xml:space="preserve">2.1本文件</w:t>
      </w:r>
      <w:r>
        <w:rPr>
          <w:rFonts w:hint="eastAsia" w:ascii="宋体" w:hAnsi="宋体" w:cs="宋体"/>
          <w:bCs/>
          <w:color w:val="000000"/>
          <w:szCs w:val="21"/>
          <w:highlight w:val="none"/>
        </w:rPr>
        <w:t xml:space="preserve">中采购代理机构为 </w:t>
      </w:r>
      <w:r>
        <w:rPr>
          <w:rFonts w:hint="eastAsia" w:ascii="宋体" w:hAnsi="宋体" w:cs="宋体"/>
          <w:b/>
          <w:color w:val="000000"/>
          <w:szCs w:val="21"/>
          <w:highlight w:val="none"/>
          <w:u w:val="single"/>
        </w:rPr>
        <w:t xml:space="preserve">苏美达国际技术贸易有限公司</w:t>
      </w:r>
      <w:r>
        <w:rPr>
          <w:rFonts w:hint="eastAsia" w:ascii="宋体" w:hAnsi="宋体" w:cs="宋体"/>
          <w:bCs/>
          <w:color w:val="000000"/>
          <w:szCs w:val="21"/>
          <w:highlight w:val="none"/>
        </w:rPr>
        <w:t xml:space="preserve">；采购人为</w:t>
      </w:r>
      <w:r>
        <w:rPr>
          <w:rFonts w:hint="eastAsia" w:ascii="宋体" w:hAnsi="宋体" w:cs="宋体"/>
          <w:b/>
          <w:color w:val="000000"/>
          <w:szCs w:val="21"/>
          <w:highlight w:val="none"/>
          <w:u w:val="single"/>
        </w:rPr>
        <w:t xml:space="preserve">南京市玄武区教育局 </w:t>
      </w:r>
      <w:r>
        <w:rPr>
          <w:rFonts w:hint="eastAsia" w:ascii="宋体" w:hAnsi="宋体" w:cs="宋体"/>
          <w:bCs/>
          <w:color w:val="000000"/>
          <w:szCs w:val="21"/>
          <w:highlight w:val="none"/>
        </w:rPr>
        <w:t xml:space="preserve">；投标人（亦称供应商）系指参加投标竞争并满足招标文件资格要求规定的法人、其他组织或者自然人。</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2.2“货物和服务”指本文件中所述产品及相关</w:t>
      </w:r>
      <w:r>
        <w:rPr>
          <w:rFonts w:hint="eastAsia" w:ascii="宋体" w:hAnsi="宋体" w:cs="宋体"/>
          <w:b/>
          <w:color w:val="000000"/>
          <w:szCs w:val="21"/>
          <w:highlight w:val="none"/>
        </w:rPr>
        <w:t xml:space="preserve">货物</w:t>
      </w:r>
      <w:r>
        <w:rPr>
          <w:rFonts w:hint="eastAsia" w:ascii="宋体" w:hAnsi="宋体" w:cs="宋体"/>
          <w:bCs/>
          <w:color w:val="000000"/>
          <w:szCs w:val="21"/>
          <w:highlight w:val="none"/>
        </w:rPr>
        <w:t xml:space="preserve">和服务。</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2.3“用户或使用单位”指使用</w:t>
      </w:r>
      <w:r>
        <w:rPr>
          <w:rFonts w:hint="eastAsia" w:ascii="宋体" w:hAnsi="宋体" w:cs="宋体"/>
          <w:color w:val="000000"/>
          <w:szCs w:val="21"/>
          <w:highlight w:val="none"/>
          <w:lang w:val="zh-CN"/>
        </w:rPr>
        <w:t xml:space="preserve">货物、服务的</w:t>
      </w: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
          <w:bCs/>
          <w:color w:val="000000"/>
          <w:szCs w:val="21"/>
          <w:highlight w:val="none"/>
          <w:lang w:val="zh-CN"/>
        </w:rPr>
      </w:pPr>
      <w:r/>
      <w:bookmarkStart w:id="37" w:name="_Toc18001"/>
      <w:r/>
      <w:bookmarkStart w:id="38" w:name="_Toc25880"/>
      <w:r>
        <w:rPr>
          <w:rFonts w:hint="eastAsia" w:ascii="宋体" w:hAnsi="宋体" w:cs="宋体"/>
          <w:b/>
          <w:bCs/>
          <w:color w:val="000000"/>
          <w:szCs w:val="21"/>
          <w:highlight w:val="none"/>
          <w:lang w:val="zh-CN"/>
        </w:rPr>
        <w:t xml:space="preserve">3.政策功能</w:t>
      </w:r>
      <w:bookmarkEnd w:id="37"/>
      <w:r/>
      <w:bookmarkEnd w:id="38"/>
      <w:r>
        <w:rPr>
          <w:rFonts w:hint="eastAsia" w:ascii="宋体" w:hAnsi="宋体" w:cs="宋体"/>
          <w:b/>
          <w:bCs/>
          <w:color w:val="000000"/>
          <w:szCs w:val="21"/>
          <w:highlight w:val="none"/>
          <w:lang w:val="zh-CN"/>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3.1线上融资</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3.2中小企业、监狱和戒毒企业及残疾人福利性单位</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政府采购促进中小企业发展，在政府采购活动中，供应商提供的货物、工程或者服务符合下列情形的，享受中小企业扶持政策：</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中小企业供应商参加政府采购活动，应当出具《中小企业声明函》（格式见后附件），否则不得享受相关中小企业扶持政策。</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中小企业，是指在中华人民共和国境内依法设立，依据国务院批准的中小企业划分标准（详见《关于印发中小企业划型标准规定的通知》</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注：①参加投标的中小企业，应当按照《政府采购促进中小企业发展管理办法》（财库〔2020〕46号）规定，出具《中小企业声明函》，否则不得享受相关中小企业扶持政策。</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3.3节能产品、信息安全产品、环境标志产品</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3.3.4 提供的产品属于政府强制采购节能产品的，供应商应当选择依据国家标准中二级能效（水效）指标认证的节能产品投标，并提供有效的节能产品认证证书扫描件。</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3.3.5提供的产品属于环境标志产品的,供应商应当选择依据相关标准的最新版本认证的环境标志产品投标,并提供有效的环境标志产品认证证书扫描件。</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3.4进口产品政策</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3.4.2允许进口产品参加的，满足需求的国内产品可以参加。</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3.4.3允许进口产品参加的，优先采购向我国企业转让技术、与我国企业签订消化吸收再创新方案的供应商的进口产品。</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3.5绿色采购</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3.5.2涉及</w:t>
      </w:r>
      <w:r>
        <w:rPr>
          <w:rFonts w:hint="eastAsia" w:ascii="宋体" w:hAnsi="宋体" w:cs="宋体"/>
          <w:color w:val="000000"/>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3.5.5落实政府采购《绿色建筑和绿色建材政府采购需求标准》（财库〔2022〕35号文）和《政府采购支持绿色建材促进建筑品质提升政策项目实施指南》（财办库〔2023〕52号）文件标准。</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3.6创新产品采购</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3.7网络产品、市场准入类产品采购</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3.7.1 本</w:t>
      </w:r>
      <w:r>
        <w:rPr>
          <w:rFonts w:hint="eastAsia" w:ascii="宋体" w:hAnsi="宋体" w:cs="宋体"/>
          <w:color w:val="000000"/>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3.9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3.10落实政府采购领域数字人民币政策</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在政府采购履约保证金、代理服务费和货款资金支付中，鼓励以数字人民币作为支付方式。</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3.11政府采购中实施本国产品标准及相关政策</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3.11.1.本项目对采购本国产品给予政策支持，具体内容见招标文件“第三章 评分标准”。</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highlight w:val="none"/>
        </w:rPr>
      </w:r>
      <w:r/>
    </w:p>
    <w:p>
      <w:pPr>
        <w:pStyle w:val="1086"/>
        <w:ind w:firstLine="48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3.11.3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Cs w:val="21"/>
          <w:highlight w:val="none"/>
        </w:rPr>
      </w:r>
      <w:r/>
    </w:p>
    <w:p>
      <w:pPr>
        <w:pStyle w:val="1086"/>
        <w:ind w:firstLine="482"/>
        <w:spacing w:line="360" w:lineRule="auto"/>
        <w:rPr>
          <w:rFonts w:hint="eastAsia" w:ascii="宋体" w:hAnsi="宋体" w:cs="宋体"/>
          <w:b/>
          <w:color w:val="000000"/>
          <w:szCs w:val="21"/>
          <w:highlight w:val="none"/>
          <w:lang w:val="zh-CN"/>
        </w:rPr>
      </w:pPr>
      <w:r>
        <w:rPr>
          <w:rFonts w:hint="eastAsia" w:ascii="宋体" w:hAnsi="宋体" w:cs="宋体"/>
          <w:b/>
          <w:bCs/>
          <w:color w:val="000000"/>
          <w:szCs w:val="21"/>
          <w:highlight w:val="none"/>
        </w:rPr>
        <w:t xml:space="preserve">注：未按要求提供相关材料的，不享受相关政策。</w:t>
      </w:r>
      <w:r>
        <w:rPr>
          <w:rFonts w:hint="eastAsia" w:ascii="宋体" w:hAnsi="宋体" w:cs="宋体"/>
          <w:b/>
          <w:color w:val="000000"/>
          <w:szCs w:val="21"/>
          <w:highlight w:val="none"/>
          <w:lang w:val="zh-CN"/>
        </w:rPr>
      </w:r>
      <w:r/>
    </w:p>
    <w:p>
      <w:pPr>
        <w:pStyle w:val="1086"/>
        <w:ind w:firstLine="420"/>
        <w:spacing w:line="360" w:lineRule="auto"/>
        <w:rPr>
          <w:rFonts w:hint="eastAsia" w:ascii="宋体" w:hAnsi="宋体" w:cs="宋体"/>
          <w:b/>
          <w:color w:val="000000"/>
          <w:szCs w:val="21"/>
          <w:highlight w:val="none"/>
          <w:lang w:val="zh-CN"/>
        </w:rPr>
      </w:pPr>
      <w:r/>
      <w:bookmarkStart w:id="39" w:name="_Toc25651"/>
      <w:r/>
      <w:bookmarkStart w:id="40" w:name="_Toc513029207"/>
      <w:r/>
      <w:bookmarkStart w:id="41" w:name="_Toc4759"/>
      <w:r/>
      <w:bookmarkStart w:id="42" w:name="_Toc20823279"/>
      <w:r/>
      <w:bookmarkStart w:id="43" w:name="_Toc462564067"/>
      <w:r/>
      <w:bookmarkStart w:id="44" w:name="_Toc16938523"/>
      <w:r/>
      <w:bookmarkStart w:id="45" w:name="_Toc17711"/>
      <w:r>
        <w:rPr>
          <w:rFonts w:hint="eastAsia" w:ascii="宋体" w:hAnsi="宋体" w:cs="宋体"/>
          <w:b/>
          <w:bCs/>
          <w:color w:val="000000"/>
          <w:szCs w:val="21"/>
          <w:highlight w:val="none"/>
          <w:lang w:val="zh-CN"/>
        </w:rPr>
        <w:t xml:space="preserve">4.</w:t>
      </w:r>
      <w:r>
        <w:rPr>
          <w:rFonts w:hint="eastAsia" w:ascii="宋体" w:hAnsi="宋体" w:cs="宋体"/>
          <w:b/>
          <w:color w:val="000000"/>
          <w:szCs w:val="21"/>
          <w:highlight w:val="none"/>
          <w:lang w:val="zh-CN"/>
        </w:rPr>
        <w:t xml:space="preserve">投标费用</w:t>
      </w:r>
      <w:bookmarkEnd w:id="39"/>
      <w:r/>
      <w:bookmarkEnd w:id="40"/>
      <w:r/>
      <w:bookmarkEnd w:id="41"/>
      <w:r/>
      <w:bookmarkEnd w:id="42"/>
      <w:r/>
      <w:bookmarkEnd w:id="43"/>
      <w:r/>
      <w:bookmarkEnd w:id="44"/>
      <w:r/>
      <w:bookmarkEnd w:id="45"/>
      <w:r>
        <w:rPr>
          <w:rFonts w:hint="eastAsia" w:ascii="宋体" w:hAnsi="宋体" w:cs="宋体"/>
          <w:b/>
          <w:color w:val="000000"/>
          <w:szCs w:val="21"/>
          <w:highlight w:val="none"/>
          <w:lang w:val="zh-CN"/>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 供应商应自行承担所有与参加投标有关的费用，无论采购结果如何，代理机构和采购人在任何情况下均无义务和责任承担这些费用。</w:t>
      </w:r>
      <w:r>
        <w:rPr>
          <w:rFonts w:hint="eastAsia" w:ascii="宋体" w:hAnsi="宋体" w:cs="宋体"/>
          <w:color w:val="000000"/>
          <w:szCs w:val="21"/>
          <w:highlight w:val="none"/>
        </w:rPr>
      </w:r>
      <w:r/>
    </w:p>
    <w:p>
      <w:pPr>
        <w:pStyle w:val="1086"/>
        <w:ind w:firstLine="420"/>
        <w:spacing w:line="360" w:lineRule="auto"/>
        <w:rPr>
          <w:rFonts w:hint="eastAsia" w:ascii="宋体" w:hAnsi="宋体" w:cs="宋体"/>
          <w:b/>
          <w:color w:val="000000"/>
          <w:szCs w:val="21"/>
          <w:highlight w:val="none"/>
          <w:lang w:val="zh-CN"/>
        </w:rPr>
      </w:pPr>
      <w:r/>
      <w:bookmarkStart w:id="46" w:name="_Toc25474"/>
      <w:r/>
      <w:bookmarkStart w:id="47" w:name="_Toc344"/>
      <w:r>
        <w:rPr>
          <w:rFonts w:hint="eastAsia" w:ascii="宋体" w:hAnsi="宋体" w:cs="宋体"/>
          <w:b/>
          <w:bCs/>
          <w:color w:val="000000"/>
          <w:szCs w:val="21"/>
          <w:highlight w:val="none"/>
          <w:lang w:val="zh-CN"/>
        </w:rPr>
        <w:t xml:space="preserve">5.</w:t>
      </w:r>
      <w:r>
        <w:rPr>
          <w:rFonts w:hint="eastAsia" w:ascii="宋体" w:hAnsi="宋体" w:cs="宋体"/>
          <w:b/>
          <w:color w:val="000000"/>
          <w:szCs w:val="21"/>
          <w:highlight w:val="none"/>
          <w:lang w:val="zh-CN"/>
        </w:rPr>
        <w:t xml:space="preserve">招标文件的约束力</w:t>
      </w:r>
      <w:bookmarkEnd w:id="46"/>
      <w:r/>
      <w:bookmarkEnd w:id="47"/>
      <w:r>
        <w:rPr>
          <w:rFonts w:hint="eastAsia" w:ascii="宋体" w:hAnsi="宋体" w:cs="宋体"/>
          <w:b/>
          <w:color w:val="000000"/>
          <w:szCs w:val="21"/>
          <w:highlight w:val="none"/>
          <w:lang w:val="zh-CN"/>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供应商一旦参加本项目采购活动，即被认为接受了本招标文件的规定和约束。</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outlineLvl w:val="1"/>
      </w:pPr>
      <w:r/>
      <w:bookmarkStart w:id="48" w:name="_Toc120614215"/>
      <w:r/>
      <w:bookmarkStart w:id="49" w:name="_Toc15035"/>
      <w:r/>
      <w:bookmarkStart w:id="50" w:name="_Toc11232"/>
      <w:r/>
      <w:bookmarkStart w:id="51" w:name="_Toc20823281"/>
      <w:r/>
      <w:bookmarkStart w:id="52" w:name="_Toc513029209"/>
      <w:r/>
      <w:bookmarkStart w:id="53" w:name="_Toc16938525"/>
      <w:r>
        <w:rPr>
          <w:rFonts w:hint="eastAsia" w:ascii="宋体" w:hAnsi="宋体" w:cs="宋体"/>
          <w:b/>
          <w:bCs/>
          <w:color w:val="000000"/>
          <w:szCs w:val="21"/>
          <w:highlight w:val="none"/>
        </w:rPr>
        <w:t xml:space="preserve">二、招标文件</w:t>
      </w:r>
      <w:bookmarkEnd w:id="48"/>
      <w:r/>
      <w:bookmarkEnd w:id="49"/>
      <w:r/>
      <w:bookmarkEnd w:id="50"/>
      <w:r/>
      <w:bookmarkEnd w:id="51"/>
      <w:r/>
      <w:bookmarkEnd w:id="52"/>
      <w:r/>
      <w:bookmarkEnd w:id="53"/>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1086"/>
        <w:ind w:firstLine="420"/>
        <w:spacing w:line="360" w:lineRule="auto"/>
        <w:rPr>
          <w:rFonts w:hint="eastAsia" w:ascii="宋体" w:hAnsi="宋体" w:cs="宋体"/>
          <w:b/>
          <w:color w:val="000000"/>
          <w:szCs w:val="21"/>
          <w:highlight w:val="none"/>
          <w:lang w:val="zh-CN"/>
        </w:rPr>
      </w:pPr>
      <w:r/>
      <w:bookmarkStart w:id="54" w:name="_Toc513029210"/>
      <w:r/>
      <w:bookmarkStart w:id="55" w:name="_Toc31631"/>
      <w:r/>
      <w:bookmarkStart w:id="56" w:name="_Toc16938526"/>
      <w:r/>
      <w:bookmarkStart w:id="57" w:name="_Toc2899"/>
      <w:r/>
      <w:bookmarkStart w:id="58" w:name="_Toc20823282"/>
      <w:r>
        <w:rPr>
          <w:rFonts w:hint="eastAsia" w:ascii="宋体" w:hAnsi="宋体" w:cs="宋体"/>
          <w:b/>
          <w:bCs/>
          <w:color w:val="000000"/>
          <w:szCs w:val="21"/>
          <w:highlight w:val="none"/>
          <w:lang w:val="zh-CN"/>
        </w:rPr>
        <w:t xml:space="preserve">6.</w:t>
      </w:r>
      <w:r>
        <w:rPr>
          <w:rFonts w:hint="eastAsia" w:ascii="宋体" w:hAnsi="宋体" w:cs="宋体"/>
          <w:b/>
          <w:color w:val="000000"/>
          <w:szCs w:val="21"/>
          <w:highlight w:val="none"/>
          <w:lang w:val="zh-CN"/>
        </w:rPr>
        <w:t xml:space="preserve">招标文件构成</w:t>
      </w:r>
      <w:bookmarkEnd w:id="54"/>
      <w:r/>
      <w:bookmarkEnd w:id="55"/>
      <w:r/>
      <w:bookmarkEnd w:id="56"/>
      <w:r/>
      <w:bookmarkEnd w:id="57"/>
      <w:r/>
      <w:bookmarkEnd w:id="58"/>
      <w:r>
        <w:rPr>
          <w:rFonts w:hint="eastAsia" w:ascii="宋体" w:hAnsi="宋体" w:cs="宋体"/>
          <w:b/>
          <w:color w:val="000000"/>
          <w:szCs w:val="21"/>
          <w:highlight w:val="none"/>
          <w:lang w:val="zh-CN"/>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 招标文件由以下部分组成：</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第一章  招标公告</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第三章  评标方法、评分标准</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第四章  采购需求</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第五章  合同条款</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第六章  投标文件格式及附件</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w:t>
      </w:r>
      <w:r>
        <w:rPr>
          <w:rFonts w:hint="eastAsia" w:ascii="宋体" w:hAnsi="宋体" w:cs="宋体"/>
          <w:b/>
          <w:bCs/>
          <w:color w:val="000000"/>
          <w:szCs w:val="21"/>
          <w:highlight w:val="none"/>
        </w:rPr>
        <w:t xml:space="preserve">招标的最小单位是包。采购需求中未分包的，供应商对要求提供的货物不得部分投标；采购需求中已经分包的，以包为单位投标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6.4供应商被视为充分熟悉本招标项目的各种情况以及与履行合同有关的一切其他情况。</w:t>
      </w:r>
      <w:r>
        <w:rPr>
          <w:rFonts w:hint="eastAsia" w:ascii="宋体" w:hAnsi="宋体" w:cs="宋体"/>
          <w:color w:val="000000"/>
          <w:szCs w:val="21"/>
          <w:highlight w:val="none"/>
        </w:rPr>
      </w:r>
      <w:r/>
    </w:p>
    <w:p>
      <w:pPr>
        <w:pStyle w:val="1295"/>
        <w:ind w:left="0" w:firstLine="422"/>
        <w:jc w:val="both"/>
        <w:spacing w:line="360" w:lineRule="auto"/>
        <w:tabs>
          <w:tab w:val="left" w:pos="480" w:leader="none"/>
        </w:tabs>
        <w:rPr>
          <w:rFonts w:hint="eastAsia" w:ascii="宋体" w:hAnsi="宋体" w:eastAsia="宋体" w:cs="宋体"/>
          <w:b/>
          <w:bCs/>
          <w:color w:val="000000"/>
          <w:sz w:val="21"/>
          <w:szCs w:val="21"/>
          <w:highlight w:val="none"/>
        </w:rPr>
        <w:outlineLvl w:val="9"/>
      </w:pPr>
      <w:r/>
      <w:bookmarkStart w:id="59" w:name="_Toc14415"/>
      <w:r/>
      <w:bookmarkStart w:id="60" w:name="_Toc24838"/>
      <w:r>
        <w:rPr>
          <w:rFonts w:hint="eastAsia" w:ascii="宋体" w:hAnsi="宋体" w:eastAsia="宋体" w:cs="宋体"/>
          <w:b/>
          <w:bCs/>
          <w:color w:val="000000"/>
          <w:sz w:val="21"/>
          <w:szCs w:val="21"/>
          <w:highlight w:val="none"/>
        </w:rPr>
        <w:t xml:space="preserve">7.招标文件的澄清、补充或修改</w:t>
      </w:r>
      <w:bookmarkEnd w:id="59"/>
      <w:r/>
      <w:bookmarkEnd w:id="60"/>
      <w:r>
        <w:rPr>
          <w:rFonts w:hint="eastAsia" w:ascii="宋体" w:hAnsi="宋体" w:eastAsia="宋体" w:cs="宋体"/>
          <w:b/>
          <w:bCs/>
          <w:color w:val="000000"/>
          <w:sz w:val="21"/>
          <w:szCs w:val="21"/>
          <w:highlight w:val="none"/>
        </w:rPr>
      </w:r>
      <w:r/>
    </w:p>
    <w:p>
      <w:pPr>
        <w:pStyle w:val="1086"/>
        <w:ind w:firstLine="441"/>
        <w:spacing w:line="360" w:lineRule="auto"/>
        <w:rPr>
          <w:rFonts w:hint="eastAsia" w:ascii="宋体" w:hAnsi="宋体" w:cs="宋体"/>
          <w:color w:val="000000"/>
          <w:szCs w:val="21"/>
          <w:highlight w:val="none"/>
        </w:rPr>
      </w:pPr>
      <w:r/>
      <w:bookmarkStart w:id="61" w:name="_Toc29128"/>
      <w:r>
        <w:rPr>
          <w:rFonts w:hint="eastAsia" w:ascii="宋体" w:hAnsi="宋体" w:cs="宋体"/>
          <w:color w:val="000000"/>
          <w:szCs w:val="21"/>
          <w:highlight w:val="none"/>
        </w:rPr>
        <w:t xml:space="preserve">7.1</w:t>
      </w:r>
      <w:r>
        <w:rPr>
          <w:rFonts w:hint="eastAsia" w:ascii="宋体" w:hAnsi="宋体" w:cs="宋体"/>
          <w:color w:val="000000"/>
          <w:szCs w:val="21"/>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w:t>
      </w:r>
      <w:r>
        <w:rPr>
          <w:rFonts w:hint="eastAsia" w:ascii="宋体" w:hAnsi="宋体" w:cs="宋体"/>
          <w:color w:val="000000"/>
          <w:szCs w:val="21"/>
          <w:highlight w:val="none"/>
        </w:rPr>
        <w:t xml:space="preserve">采购代理机构对已发出的招标文件进行必要的澄清或者修改，将在投标截止时间15日前，在原招标公告媒体公布。不足15日的，采购人或者采购代理机构应当顺延提交投标文件的截止时间。</w:t>
      </w:r>
      <w:r>
        <w:rPr>
          <w:rFonts w:hint="eastAsia" w:ascii="宋体" w:hAnsi="宋体" w:cs="宋体"/>
          <w:color w:val="000000"/>
          <w:szCs w:val="21"/>
          <w:highlight w:val="none"/>
        </w:rPr>
      </w:r>
      <w:r/>
    </w:p>
    <w:p>
      <w:pPr>
        <w:pStyle w:val="1086"/>
        <w:ind w:firstLine="44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 </w:t>
      </w:r>
      <w:r>
        <w:rPr>
          <w:rFonts w:hint="eastAsia" w:ascii="宋体" w:hAnsi="宋体" w:cs="宋体"/>
          <w:color w:val="000000"/>
          <w:szCs w:val="21"/>
          <w:highlight w:val="none"/>
        </w:rPr>
        <w:t xml:space="preserve">采购代理机构在招标文件要求提交投标文件截止时间3日前，有权决定延长投标截止时间和开标时间，并在原招标公告媒体上发布变更公告。</w:t>
      </w:r>
      <w:r>
        <w:rPr>
          <w:rFonts w:hint="eastAsia" w:ascii="宋体" w:hAnsi="宋体" w:cs="宋体"/>
          <w:color w:val="000000"/>
          <w:szCs w:val="21"/>
          <w:highlight w:val="none"/>
        </w:rPr>
      </w:r>
      <w:r/>
    </w:p>
    <w:p>
      <w:pPr>
        <w:pStyle w:val="1086"/>
        <w:ind w:firstLine="44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7.4</w:t>
      </w:r>
      <w:r>
        <w:rPr>
          <w:rFonts w:hint="eastAsia" w:ascii="宋体" w:hAnsi="宋体" w:cs="宋体"/>
          <w:color w:val="000000"/>
          <w:szCs w:val="21"/>
          <w:highlight w:val="none"/>
        </w:rPr>
        <w:t xml:space="preserve"> 为使供应商在准备投标时，有合理的时间考虑招标文件的补充或修改，采购代理机构将视情况可能推迟投标截止时间和开标时间，并将在原招标公告媒体发布更正公告。</w:t>
      </w:r>
      <w:r>
        <w:rPr>
          <w:rFonts w:hint="eastAsia" w:ascii="宋体" w:hAnsi="宋体" w:cs="宋体"/>
          <w:color w:val="000000"/>
          <w:szCs w:val="21"/>
          <w:highlight w:val="none"/>
        </w:rPr>
      </w:r>
      <w:r/>
    </w:p>
    <w:p>
      <w:pPr>
        <w:pStyle w:val="1086"/>
        <w:ind w:firstLine="441"/>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7.5 </w:t>
      </w:r>
      <w:r>
        <w:rPr>
          <w:rFonts w:hint="eastAsia" w:ascii="宋体" w:hAnsi="宋体" w:cs="宋体"/>
          <w:color w:val="000000"/>
          <w:szCs w:val="21"/>
          <w:highlight w:val="none"/>
        </w:rPr>
        <w:t xml:space="preserve">采购代理机构发出的所有补充、修改和变更文件均作为招标文件的组成部分，与招标文件具有同等法律效力，并对投标人具有约束力。 </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outlineLvl w:val="1"/>
      </w:pPr>
      <w:r/>
      <w:bookmarkStart w:id="62" w:name="_Toc27318"/>
      <w:r>
        <w:rPr>
          <w:rFonts w:hint="eastAsia" w:ascii="宋体" w:hAnsi="宋体" w:cs="宋体"/>
          <w:b/>
          <w:bCs/>
          <w:color w:val="000000"/>
          <w:szCs w:val="21"/>
          <w:highlight w:val="none"/>
        </w:rPr>
        <w:t xml:space="preserve">三、投标文件的编制</w:t>
      </w:r>
      <w:bookmarkEnd w:id="61"/>
      <w:r/>
      <w:bookmarkEnd w:id="62"/>
      <w:r>
        <w:rPr>
          <w:rFonts w:hint="eastAsia" w:ascii="宋体" w:hAnsi="宋体" w:cs="宋体"/>
          <w:b/>
          <w:bCs/>
          <w:color w:val="000000"/>
          <w:szCs w:val="21"/>
          <w:highlight w:val="none"/>
        </w:rPr>
      </w:r>
      <w:r/>
    </w:p>
    <w:p>
      <w:pPr>
        <w:pStyle w:val="1295"/>
        <w:ind w:left="0" w:firstLine="422"/>
        <w:jc w:val="both"/>
        <w:spacing w:line="360" w:lineRule="auto"/>
        <w:tabs>
          <w:tab w:val="left" w:pos="480" w:leader="none"/>
        </w:tabs>
        <w:rPr>
          <w:rFonts w:hint="eastAsia" w:ascii="宋体" w:hAnsi="宋体" w:eastAsia="宋体" w:cs="宋体"/>
          <w:b/>
          <w:bCs/>
          <w:color w:val="000000"/>
          <w:sz w:val="21"/>
          <w:szCs w:val="21"/>
          <w:highlight w:val="none"/>
        </w:rPr>
        <w:outlineLvl w:val="9"/>
      </w:pPr>
      <w:r/>
      <w:bookmarkStart w:id="63" w:name="_Toc28127"/>
      <w:r/>
      <w:bookmarkStart w:id="64" w:name="_Toc14460"/>
      <w:r>
        <w:rPr>
          <w:rFonts w:hint="eastAsia" w:ascii="宋体" w:hAnsi="宋体" w:eastAsia="宋体" w:cs="宋体"/>
          <w:b/>
          <w:bCs/>
          <w:color w:val="000000"/>
          <w:sz w:val="21"/>
          <w:szCs w:val="21"/>
          <w:highlight w:val="none"/>
        </w:rPr>
        <w:t xml:space="preserve">8.</w:t>
      </w:r>
      <w:bookmarkEnd w:id="63"/>
      <w:r>
        <w:rPr>
          <w:rFonts w:hint="eastAsia" w:ascii="宋体" w:hAnsi="宋体" w:eastAsia="宋体" w:cs="宋体"/>
          <w:b/>
          <w:bCs/>
          <w:color w:val="000000"/>
          <w:sz w:val="21"/>
          <w:szCs w:val="21"/>
          <w:highlight w:val="none"/>
        </w:rPr>
        <w:t xml:space="preserve">投标文件的语言、计量单位、货币</w:t>
      </w:r>
      <w:bookmarkEnd w:id="64"/>
      <w:r>
        <w:rPr>
          <w:rFonts w:hint="eastAsia" w:ascii="宋体" w:hAnsi="宋体" w:eastAsia="宋体" w:cs="宋体"/>
          <w:b/>
          <w:bCs/>
          <w:color w:val="000000"/>
          <w:sz w:val="21"/>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 供应商提交的投标文件（包括技术文件和资料、图纸中的说明）以及</w:t>
      </w:r>
      <w:r>
        <w:rPr>
          <w:rFonts w:hint="eastAsia" w:ascii="宋体" w:hAnsi="宋体" w:cs="宋体"/>
          <w:color w:val="000000"/>
          <w:szCs w:val="21"/>
          <w:highlight w:val="none"/>
        </w:rPr>
        <w:t xml:space="preserve">供应商与采购代理机构之间</w:t>
      </w:r>
      <w:r>
        <w:rPr>
          <w:rFonts w:hint="eastAsia" w:ascii="宋体" w:hAnsi="宋体" w:cs="宋体"/>
          <w:color w:val="000000"/>
          <w:szCs w:val="21"/>
          <w:highlight w:val="none"/>
        </w:rPr>
        <w:t xml:space="preserve">就有关投标的所有来往函电均应</w:t>
      </w:r>
      <w:r>
        <w:rPr>
          <w:rFonts w:hint="eastAsia" w:ascii="宋体" w:hAnsi="宋体" w:cs="宋体"/>
          <w:color w:val="000000"/>
          <w:szCs w:val="21"/>
          <w:highlight w:val="none"/>
        </w:rPr>
        <w:t xml:space="preserve">以简体中文书写。</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bookmarkStart w:id="65" w:name="_Toc19298"/>
      <w:r>
        <w:rPr>
          <w:rFonts w:hint="eastAsia" w:ascii="宋体" w:hAnsi="宋体" w:cs="宋体"/>
          <w:color w:val="000000"/>
          <w:szCs w:val="21"/>
          <w:highlight w:val="none"/>
        </w:rPr>
        <w:t xml:space="preserve">8.3 除招标文件中有特殊要求外，招标文件中所使用的计量单位应为国家法定计量单位。</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8.4 本招标文件所表述的时间均为北京时间。</w:t>
      </w:r>
      <w:r>
        <w:rPr>
          <w:rFonts w:hint="eastAsia" w:ascii="宋体" w:hAnsi="宋体" w:cs="宋体"/>
          <w:color w:val="000000"/>
          <w:szCs w:val="21"/>
          <w:highlight w:val="none"/>
        </w:rPr>
      </w:r>
      <w:r/>
    </w:p>
    <w:p>
      <w:pPr>
        <w:pStyle w:val="1295"/>
        <w:ind w:left="0" w:firstLine="422"/>
        <w:jc w:val="both"/>
        <w:spacing w:line="360" w:lineRule="auto"/>
        <w:tabs>
          <w:tab w:val="left" w:pos="4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8.5 所有投标响应报价具体详见投标人须知前附表。</w:t>
      </w:r>
      <w:r>
        <w:rPr>
          <w:rFonts w:hint="eastAsia" w:ascii="宋体" w:hAnsi="宋体" w:eastAsia="宋体" w:cs="宋体"/>
          <w:color w:val="000000"/>
          <w:sz w:val="21"/>
          <w:szCs w:val="21"/>
          <w:highlight w:val="none"/>
        </w:rPr>
      </w:r>
      <w:r/>
    </w:p>
    <w:p>
      <w:pPr>
        <w:pStyle w:val="1295"/>
        <w:ind w:left="0" w:firstLine="422"/>
        <w:jc w:val="both"/>
        <w:spacing w:line="360" w:lineRule="auto"/>
        <w:tabs>
          <w:tab w:val="left" w:pos="480" w:leader="none"/>
        </w:tabs>
        <w:rPr>
          <w:rFonts w:hint="eastAsia" w:ascii="宋体" w:hAnsi="宋体" w:eastAsia="宋体" w:cs="宋体"/>
          <w:b/>
          <w:bCs/>
          <w:color w:val="000000"/>
          <w:sz w:val="21"/>
          <w:szCs w:val="21"/>
          <w:highlight w:val="none"/>
          <w:lang w:val="zh-CN"/>
        </w:rPr>
        <w:outlineLvl w:val="9"/>
      </w:pPr>
      <w:r/>
      <w:bookmarkStart w:id="66" w:name="_Toc11547"/>
      <w:r/>
      <w:bookmarkStart w:id="67" w:name="_Toc30894"/>
      <w:r>
        <w:rPr>
          <w:rFonts w:hint="eastAsia" w:ascii="宋体" w:hAnsi="宋体" w:eastAsia="宋体" w:cs="宋体"/>
          <w:b/>
          <w:bCs/>
          <w:color w:val="000000"/>
          <w:sz w:val="21"/>
          <w:szCs w:val="21"/>
          <w:highlight w:val="none"/>
        </w:rPr>
        <w:t xml:space="preserve">9.</w:t>
      </w:r>
      <w:r>
        <w:rPr>
          <w:rFonts w:hint="eastAsia" w:ascii="宋体" w:hAnsi="宋体" w:eastAsia="宋体" w:cs="宋体"/>
          <w:b/>
          <w:bCs/>
          <w:color w:val="000000"/>
          <w:sz w:val="21"/>
          <w:szCs w:val="21"/>
          <w:highlight w:val="none"/>
          <w:lang w:val="zh-CN"/>
        </w:rPr>
        <w:t xml:space="preserve">联合体（根据采购项目是否接受联合体投标而定）</w:t>
      </w:r>
      <w:bookmarkEnd w:id="66"/>
      <w:r/>
      <w:bookmarkEnd w:id="67"/>
      <w:r>
        <w:rPr>
          <w:rFonts w:hint="eastAsia" w:ascii="宋体" w:hAnsi="宋体" w:eastAsia="宋体" w:cs="宋体"/>
          <w:b/>
          <w:bCs/>
          <w:color w:val="000000"/>
          <w:sz w:val="21"/>
          <w:szCs w:val="21"/>
          <w:highlight w:val="none"/>
          <w:lang w:val="zh-CN"/>
        </w:rPr>
      </w:r>
      <w:r/>
    </w:p>
    <w:p>
      <w:pPr>
        <w:pStyle w:val="1295"/>
        <w:ind w:left="0" w:firstLine="422"/>
        <w:jc w:val="both"/>
        <w:spacing w:line="360" w:lineRule="auto"/>
        <w:tabs>
          <w:tab w:val="left" w:pos="4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9.1两个以上的自然人、法人或者其他组织可以组成一个联合体，以一个供应商的身份共同参加政府采购。</w:t>
      </w:r>
      <w:r>
        <w:rPr>
          <w:rFonts w:hint="eastAsia" w:ascii="宋体" w:hAnsi="宋体" w:eastAsia="宋体" w:cs="宋体"/>
          <w:color w:val="000000"/>
          <w:sz w:val="21"/>
          <w:szCs w:val="21"/>
          <w:highlight w:val="none"/>
        </w:rPr>
      </w:r>
      <w:r/>
    </w:p>
    <w:p>
      <w:pPr>
        <w:pStyle w:val="1295"/>
        <w:ind w:left="0" w:firstLine="422"/>
        <w:jc w:val="both"/>
        <w:spacing w:line="360" w:lineRule="auto"/>
        <w:tabs>
          <w:tab w:val="left" w:pos="48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9.2鼓励大中型企业和其他自然人、法人或者其他组织与小型、微型企业组成联合体共同参加非专门面向中小企业的政府采购活动。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9.4 联合体各方之间应当签订联合体协议，明确约定联合体各方承担的工作和相应的责任，并将联合体协议连同响应文件一并提交。</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9.5 以联合体形式参加政府采购活动的，联合体各方不得再单独参加或者与其他供应商另外组成联合体参加同一合同项下的政府采购活动。</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bookmarkEnd w:id="65"/>
      <w:r/>
      <w:bookmarkStart w:id="68" w:name="_Toc22790"/>
      <w:r/>
      <w:bookmarkStart w:id="69" w:name="_Toc6681"/>
      <w:r>
        <w:rPr>
          <w:rFonts w:hint="eastAsia" w:ascii="宋体" w:hAnsi="宋体" w:cs="宋体"/>
          <w:b/>
          <w:bCs/>
          <w:color w:val="000000"/>
          <w:szCs w:val="21"/>
          <w:highlight w:val="none"/>
        </w:rPr>
        <w:t xml:space="preserve">10.投标文件的</w:t>
      </w:r>
      <w:bookmarkEnd w:id="68"/>
      <w:r>
        <w:rPr>
          <w:rFonts w:hint="eastAsia" w:ascii="宋体" w:hAnsi="宋体" w:cs="宋体"/>
          <w:b/>
          <w:bCs/>
          <w:color w:val="000000"/>
          <w:szCs w:val="21"/>
          <w:highlight w:val="none"/>
        </w:rPr>
        <w:t xml:space="preserve">组成</w:t>
      </w:r>
      <w:bookmarkEnd w:id="69"/>
      <w:r>
        <w:rPr>
          <w:rFonts w:hint="eastAsia" w:ascii="宋体" w:hAnsi="宋体" w:cs="宋体"/>
          <w:b/>
          <w:bCs/>
          <w:color w:val="000000"/>
          <w:szCs w:val="21"/>
          <w:highlight w:val="none"/>
        </w:rPr>
        <w:t xml:space="preserve">（相应内容上传至投标客户端，并签电子公章）：</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bookmarkStart w:id="70" w:name="_Hlk529436144"/>
      <w:r/>
      <w:bookmarkStart w:id="71" w:name="_Hlk525992732"/>
      <w:r/>
      <w:bookmarkStart w:id="72" w:name="_Hlk6917373"/>
      <w:r>
        <w:rPr>
          <w:rFonts w:hint="eastAsia" w:ascii="宋体" w:hAnsi="宋体" w:cs="宋体"/>
          <w:color w:val="000000"/>
          <w:szCs w:val="21"/>
          <w:highlight w:val="none"/>
        </w:rPr>
        <w:t xml:space="preserve">10.1.投标函（格式见附件）；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10.2.资格证明文件：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（1）投标人《南京市政府采购供应商信用记录表暨信用承诺书》扫描件；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（2）投标人有效经营期内的营业执照扫描件；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（3）投标人法定代表人授权委托书扫描件（法定代表人亲自参与投标的除外，格式见附件）；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（4）投标人法定代表人身份证（正、反面）扫描件；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（5）投标人法定代表人授权代表身份证（正、反面）扫描件（法定代表人亲自参加投标的除外）；</w:t>
      </w:r>
      <w:bookmarkStart w:id="73" w:name="_Hlk39128912"/>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bookmarkEnd w:id="73"/>
      <w:r>
        <w:rPr>
          <w:rFonts w:hint="eastAsia" w:ascii="宋体" w:hAnsi="宋体" w:cs="宋体"/>
          <w:color w:val="000000"/>
          <w:szCs w:val="21"/>
          <w:highlight w:val="none"/>
        </w:rPr>
        <w:t xml:space="preserve">10.3.开标一览表（格式见附件）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10.4.分项报价表（格式见附件）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bookmarkEnd w:id="70"/>
      <w:r/>
      <w:bookmarkEnd w:id="71"/>
      <w:r/>
      <w:bookmarkEnd w:id="72"/>
      <w:r>
        <w:rPr>
          <w:rFonts w:hint="eastAsia" w:ascii="宋体" w:hAnsi="宋体" w:cs="宋体"/>
          <w:color w:val="000000"/>
          <w:szCs w:val="21"/>
          <w:highlight w:val="none"/>
        </w:rPr>
        <w:t xml:space="preserve">10.5.商务响应偏离表（格式见附件）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10.6.技术响应偏离表（格式见附件）</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w:t>
      </w:r>
      <w:r>
        <w:rPr>
          <w:rFonts w:hint="eastAsia" w:ascii="宋体" w:hAnsi="宋体" w:cs="宋体"/>
          <w:color w:val="000000"/>
          <w:szCs w:val="21"/>
          <w:highlight w:val="none"/>
          <w:lang w:val="zh-CN"/>
        </w:rPr>
        <w:t xml:space="preserve">设备主要性能的</w:t>
      </w:r>
      <w:r>
        <w:rPr>
          <w:rFonts w:hint="eastAsia" w:ascii="宋体" w:hAnsi="宋体" w:cs="宋体"/>
          <w:color w:val="000000"/>
          <w:szCs w:val="21"/>
          <w:highlight w:val="none"/>
        </w:rPr>
        <w:t xml:space="preserve">技术</w:t>
      </w:r>
      <w:r>
        <w:rPr>
          <w:rFonts w:hint="eastAsia" w:ascii="宋体" w:hAnsi="宋体" w:cs="宋体"/>
          <w:color w:val="000000"/>
          <w:szCs w:val="21"/>
          <w:highlight w:val="none"/>
          <w:lang w:val="zh-CN"/>
        </w:rPr>
        <w:t xml:space="preserve">资料</w:t>
      </w:r>
      <w:r>
        <w:rPr>
          <w:rFonts w:hint="eastAsia" w:ascii="宋体" w:hAnsi="宋体" w:cs="宋体"/>
          <w:color w:val="000000"/>
          <w:szCs w:val="21"/>
          <w:highlight w:val="none"/>
        </w:rPr>
        <w:t xml:space="preserve">以及</w:t>
      </w:r>
      <w:r>
        <w:rPr>
          <w:rFonts w:hint="eastAsia" w:ascii="宋体" w:hAnsi="宋体" w:cs="宋体"/>
          <w:color w:val="000000"/>
          <w:szCs w:val="21"/>
          <w:highlight w:val="none"/>
          <w:lang w:val="zh-CN"/>
        </w:rPr>
        <w:t xml:space="preserve">供应商认为需要提供的其他技术资料</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10.8.售后服务实施方案等</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10.9.评分标准中对应的所需证明材料（如有自行添加）</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10.10.要求采购人提供的配合（如有自拟并自行添加）</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10.11.其它（投标人认为有必要提供的声明和文件，如有自拟并自行添加）</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（1）投标供应商简介和经营情况说明；（格式见附件）</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（2）如是小微企业的，提供《中小企业声明函》；（格式见附件）</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（3）残疾人福利性单位声明函；（供应商为残疾人福利性单位的提供，格式见附件）</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（4）由省级以上监狱管理局、戒毒管理局出具的属于监狱企业的证明文件；（如适用）</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b/>
          <w:bCs/>
          <w:i/>
          <w:iCs/>
          <w:color w:val="000000"/>
          <w:szCs w:val="21"/>
          <w:highlight w:val="none"/>
          <w:u w:val="single"/>
        </w:rPr>
        <w:t xml:space="preserve">上述10.1-10.6项必须全部提供,否则投标文件无效。</w:t>
      </w:r>
      <w:r>
        <w:rPr>
          <w:rFonts w:hint="eastAsia" w:ascii="宋体" w:hAnsi="宋体" w:cs="宋体"/>
          <w:color w:val="000000"/>
          <w:szCs w:val="21"/>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其他部分由供应商根据编制投标文件需要提供的其他相关文件。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bookmarkStart w:id="74" w:name="_Toc31206"/>
      <w:r/>
      <w:bookmarkStart w:id="75" w:name="_Toc15215"/>
      <w:r>
        <w:rPr>
          <w:rFonts w:hint="eastAsia" w:ascii="宋体" w:hAnsi="宋体" w:cs="宋体"/>
          <w:b/>
          <w:bCs/>
          <w:color w:val="000000"/>
          <w:szCs w:val="21"/>
          <w:highlight w:val="none"/>
        </w:rPr>
        <w:t xml:space="preserve">11.投标文件的有效期</w:t>
      </w:r>
      <w:bookmarkEnd w:id="74"/>
      <w:r/>
      <w:bookmarkEnd w:id="75"/>
      <w:r>
        <w:rPr>
          <w:rFonts w:hint="eastAsia" w:ascii="宋体" w:hAnsi="宋体" w:cs="宋体"/>
          <w:b/>
          <w:bCs/>
          <w:color w:val="000000"/>
          <w:szCs w:val="21"/>
          <w:highlight w:val="none"/>
        </w:rPr>
      </w:r>
      <w:r/>
    </w:p>
    <w:p>
      <w:pPr>
        <w:pStyle w:val="1086"/>
        <w:ind w:firstLine="420"/>
        <w:jc w:val="left"/>
        <w:spacing w:line="360" w:lineRule="auto"/>
        <w:rPr>
          <w:rFonts w:hint="eastAsia" w:ascii="宋体" w:hAnsi="宋体" w:cs="宋体"/>
          <w:bCs/>
          <w:color w:val="000000"/>
          <w:szCs w:val="21"/>
          <w:highlight w:val="none"/>
        </w:rPr>
      </w:pPr>
      <w:r/>
      <w:bookmarkStart w:id="76" w:name="_Toc6811"/>
      <w:r>
        <w:rPr>
          <w:rFonts w:hint="eastAsia" w:ascii="宋体" w:hAnsi="宋体" w:cs="宋体"/>
          <w:bCs/>
          <w:color w:val="000000"/>
          <w:szCs w:val="21"/>
          <w:highlight w:val="none"/>
        </w:rPr>
        <w:t xml:space="preserve">11.1自开标之日起90天内，投标文件应保持有效，有效期短于此规定的投标文件将视为无效。</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bookmarkStart w:id="77" w:name="_Toc21944"/>
      <w:r>
        <w:rPr>
          <w:rFonts w:hint="eastAsia" w:ascii="宋体" w:hAnsi="宋体" w:cs="宋体"/>
          <w:b/>
          <w:bCs/>
          <w:color w:val="000000"/>
          <w:szCs w:val="21"/>
          <w:highlight w:val="none"/>
        </w:rPr>
        <w:t xml:space="preserve">12.</w:t>
      </w:r>
      <w:bookmarkEnd w:id="76"/>
      <w:r/>
      <w:bookmarkEnd w:id="77"/>
      <w:r>
        <w:rPr>
          <w:rFonts w:hint="eastAsia" w:ascii="宋体" w:hAnsi="宋体" w:cs="宋体"/>
          <w:b/>
          <w:bCs/>
          <w:color w:val="000000"/>
          <w:szCs w:val="21"/>
          <w:highlight w:val="none"/>
        </w:rPr>
        <w:t xml:space="preserve">投标文件的编制要求和签署要求</w:t>
      </w:r>
      <w:r>
        <w:rPr>
          <w:rFonts w:hint="eastAsia" w:ascii="宋体" w:hAnsi="宋体" w:cs="宋体"/>
          <w:b/>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bookmarkStart w:id="78" w:name="_Toc27455"/>
      <w:r>
        <w:rPr>
          <w:rFonts w:hint="eastAsia" w:ascii="宋体" w:hAnsi="宋体" w:cs="宋体"/>
          <w:bCs/>
          <w:color w:val="000000"/>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12.2投标人应对 CA 证书妥善保管，如被他人盗用投标，因此带来的结果均由投标人自行承担。</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12.3投标人应当对招标文件提出的要求和条件作出实质性响应，并在电子投标系统逐条应答。</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12.4投标人应对要求提供的资格证明文件（如资质证书、资格证书）、技术资料（如白皮书、彩页、手册、检测报告等）扫描上传至投标系统。</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outlineLvl w:val="1"/>
      </w:pPr>
      <w:r/>
      <w:bookmarkStart w:id="79" w:name="_Toc9506"/>
      <w:r>
        <w:rPr>
          <w:rFonts w:hint="eastAsia" w:ascii="宋体" w:hAnsi="宋体" w:cs="宋体"/>
          <w:b/>
          <w:bCs/>
          <w:color w:val="000000"/>
          <w:szCs w:val="21"/>
          <w:highlight w:val="none"/>
        </w:rPr>
        <w:t xml:space="preserve">四、投标文件的递交</w:t>
      </w:r>
      <w:bookmarkEnd w:id="78"/>
      <w:r/>
      <w:bookmarkEnd w:id="79"/>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bookmarkStart w:id="80" w:name="_Toc20823297"/>
      <w:r/>
      <w:bookmarkStart w:id="81" w:name="_Toc16938541"/>
      <w:r/>
      <w:bookmarkStart w:id="82" w:name="_Toc462564084"/>
      <w:r/>
      <w:bookmarkStart w:id="83" w:name="_Toc513029225"/>
      <w:r>
        <w:rPr>
          <w:rFonts w:hint="eastAsia" w:ascii="宋体" w:hAnsi="宋体" w:cs="宋体"/>
          <w:b/>
          <w:bCs/>
          <w:color w:val="000000"/>
          <w:szCs w:val="21"/>
          <w:highlight w:val="none"/>
        </w:rPr>
        <w:t xml:space="preserve">13.电子投标文件</w:t>
      </w:r>
      <w:bookmarkEnd w:id="80"/>
      <w:r/>
      <w:bookmarkEnd w:id="81"/>
      <w:r/>
      <w:bookmarkEnd w:id="82"/>
      <w:r/>
      <w:bookmarkEnd w:id="83"/>
      <w:r>
        <w:rPr>
          <w:rFonts w:hint="eastAsia" w:ascii="宋体" w:hAnsi="宋体" w:cs="宋体"/>
          <w:b/>
          <w:bCs/>
          <w:color w:val="000000"/>
          <w:szCs w:val="21"/>
          <w:highlight w:val="none"/>
        </w:rPr>
        <w:t xml:space="preserve">的递交</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13.1投标人应当按照规定，在投标截止时间前制作并上传电子投标文件。</w:t>
      </w:r>
      <w:bookmarkStart w:id="84" w:name="_Toc16938542"/>
      <w:r/>
      <w:bookmarkEnd w:id="84"/>
      <w:r/>
      <w:bookmarkStart w:id="85" w:name="_Toc20823298"/>
      <w:r/>
      <w:bookmarkEnd w:id="85"/>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14.投标截止日期</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14.1 投标人上传电子投标文件的时间不得迟于招标公告中规定的投标截止时间。</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投标人应充分考虑到网络环境、网络带宽等风险因素，如因投标人自身原因造成的电子投标文件上传不成功的做无效投标处理。</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bookmarkStart w:id="86" w:name="_Toc20823299"/>
      <w:r/>
      <w:bookmarkStart w:id="87" w:name="_Toc16938543"/>
      <w:r/>
      <w:bookmarkStart w:id="88" w:name="_Toc513029227"/>
      <w:r>
        <w:rPr>
          <w:rFonts w:hint="eastAsia" w:ascii="宋体" w:hAnsi="宋体" w:cs="宋体"/>
          <w:b/>
          <w:bCs/>
          <w:color w:val="000000"/>
          <w:szCs w:val="21"/>
          <w:highlight w:val="none"/>
        </w:rPr>
        <w:t xml:space="preserve">15.投标文件</w:t>
      </w:r>
      <w:bookmarkEnd w:id="86"/>
      <w:r/>
      <w:bookmarkEnd w:id="87"/>
      <w:r/>
      <w:bookmarkEnd w:id="88"/>
      <w:r>
        <w:rPr>
          <w:rFonts w:hint="eastAsia" w:ascii="宋体" w:hAnsi="宋体" w:cs="宋体"/>
          <w:b/>
          <w:bCs/>
          <w:color w:val="000000"/>
          <w:szCs w:val="21"/>
          <w:highlight w:val="none"/>
        </w:rPr>
        <w:t xml:space="preserve">的拒收</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15.1 采购人及采购代理机构拒绝接收在其规定的投标截止时间后上传的任何投标文件。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bookmarkStart w:id="89" w:name="_Toc513029228"/>
      <w:r/>
      <w:bookmarkStart w:id="90" w:name="_Toc20823300"/>
      <w:r/>
      <w:bookmarkStart w:id="91" w:name="_Toc16938544"/>
      <w:r>
        <w:rPr>
          <w:rFonts w:hint="eastAsia" w:ascii="宋体" w:hAnsi="宋体" w:cs="宋体"/>
          <w:b/>
          <w:bCs/>
          <w:color w:val="000000"/>
          <w:szCs w:val="21"/>
          <w:highlight w:val="none"/>
        </w:rPr>
        <w:t xml:space="preserve">16.投标文件的撤回和修改</w:t>
      </w:r>
      <w:bookmarkEnd w:id="89"/>
      <w:r/>
      <w:bookmarkEnd w:id="90"/>
      <w:r/>
      <w:bookmarkEnd w:id="91"/>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16.1 投标文件的撤回</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16.1.1 电子投标文件的撤回</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投标人可在投标截止时间前，撤回其电子投标文件。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16.1.2 投标人撤回电子投标文件，则认为其不再参与本项目投标活动。</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16.2 投标文件的修改</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16.2.1投标人可在投标截止时间前，对其电子投标文件进行修改。</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16.2.2 在投标截止时间之后，投标人不得对其电子投标文件作任何修改。</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16.3 在投标截止时间至招标文件中规定的投标有效期满之间的这段时间内，投标人不得撤回其投标。</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五、开标与评标</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bookmarkStart w:id="92" w:name="_Toc13829"/>
      <w:r/>
      <w:bookmarkStart w:id="93" w:name="_Toc20683"/>
      <w:r/>
      <w:bookmarkStart w:id="94" w:name="_Toc15345"/>
      <w:r/>
      <w:bookmarkStart w:id="95" w:name="_Toc3679"/>
      <w:r/>
      <w:bookmarkStart w:id="96" w:name="OLE_LINK3"/>
      <w:r/>
      <w:bookmarkStart w:id="97" w:name="OLE_LINK7"/>
      <w:r/>
      <w:bookmarkStart w:id="98" w:name="_Toc6944"/>
      <w:r>
        <w:rPr>
          <w:rFonts w:hint="eastAsia" w:ascii="宋体" w:hAnsi="宋体" w:cs="宋体"/>
          <w:b/>
          <w:bCs/>
          <w:color w:val="000000"/>
          <w:szCs w:val="21"/>
          <w:highlight w:val="none"/>
        </w:rPr>
        <w:t xml:space="preserve">17.开标</w:t>
      </w:r>
      <w:bookmarkEnd w:id="92"/>
      <w:r/>
      <w:bookmarkEnd w:id="93"/>
      <w:r/>
      <w:bookmarkEnd w:id="94"/>
      <w:r/>
      <w:bookmarkEnd w:id="95"/>
      <w:r>
        <w:rPr>
          <w:rFonts w:hint="eastAsia" w:ascii="宋体" w:hAnsi="宋体" w:cs="宋体"/>
          <w:b/>
          <w:bCs/>
          <w:color w:val="000000"/>
          <w:szCs w:val="21"/>
          <w:highlight w:val="none"/>
        </w:rPr>
      </w:r>
      <w:r/>
    </w:p>
    <w:p>
      <w:pPr>
        <w:pStyle w:val="1086"/>
        <w:ind w:firstLine="422"/>
        <w:spacing w:line="360" w:lineRule="auto"/>
        <w:rPr>
          <w:rFonts w:hint="eastAsia" w:ascii="宋体" w:hAnsi="宋体" w:cs="宋体"/>
          <w:color w:val="000000"/>
          <w:szCs w:val="21"/>
          <w:highlight w:val="none"/>
        </w:rPr>
      </w:pPr>
      <w:r/>
      <w:bookmarkEnd w:id="96"/>
      <w:r/>
      <w:bookmarkEnd w:id="97"/>
      <w:r>
        <w:rPr>
          <w:rFonts w:hint="eastAsia" w:ascii="宋体" w:hAnsi="宋体" w:cs="宋体"/>
          <w:color w:val="000000"/>
          <w:szCs w:val="21"/>
          <w:highlight w:val="none"/>
        </w:rPr>
        <w:t xml:space="preserve">17.1开标时间及地点。开标应当在招标文件确定的提交投标文件截止时间的同一时间公开进行；开标地点应当为招标文件中预先确定的地点。</w:t>
      </w:r>
      <w:r>
        <w:rPr>
          <w:rFonts w:hint="eastAsia" w:ascii="宋体" w:hAnsi="宋体" w:cs="宋体"/>
          <w:color w:val="000000"/>
          <w:szCs w:val="21"/>
          <w:highlight w:val="none"/>
        </w:rPr>
      </w:r>
      <w:r/>
    </w:p>
    <w:p>
      <w:pPr>
        <w:pStyle w:val="1086"/>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17.2由电子招标投标交易平台主持，邀请投标人参加。</w:t>
      </w:r>
      <w:r>
        <w:rPr>
          <w:rFonts w:hint="eastAsia" w:ascii="宋体" w:hAnsi="宋体" w:cs="宋体"/>
          <w:color w:val="000000"/>
          <w:szCs w:val="21"/>
          <w:highlight w:val="none"/>
        </w:rPr>
      </w:r>
      <w:r/>
    </w:p>
    <w:p>
      <w:pPr>
        <w:pStyle w:val="1086"/>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17.3所有投标单位使用 CA 证书在开标时间时，解密各自投标文件，由工作人员操作系统进行开标，投标人不足3家的，不得开标。</w:t>
      </w:r>
      <w:r>
        <w:rPr>
          <w:rFonts w:hint="eastAsia" w:ascii="宋体" w:hAnsi="宋体" w:cs="宋体"/>
          <w:b/>
          <w:bCs/>
          <w:color w:val="000000"/>
          <w:szCs w:val="21"/>
          <w:highlight w:val="none"/>
        </w:rPr>
      </w:r>
      <w:r/>
    </w:p>
    <w:p>
      <w:pPr>
        <w:pStyle w:val="1086"/>
        <w:ind w:firstLine="42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18.资格性审查</w:t>
      </w:r>
      <w:r>
        <w:rPr>
          <w:rFonts w:hint="eastAsia" w:ascii="宋体" w:hAnsi="宋体" w:cs="宋体"/>
          <w:b/>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18.2信用信息查询</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18.3</w:t>
      </w:r>
      <w:bookmarkEnd w:id="98"/>
      <w:r/>
      <w:bookmarkStart w:id="99" w:name="_Toc30296"/>
      <w:r/>
      <w:bookmarkStart w:id="100" w:name="_Toc20823303"/>
      <w:r/>
      <w:bookmarkStart w:id="101" w:name="_Toc513029231"/>
      <w:r/>
      <w:bookmarkStart w:id="102" w:name="_Toc29284"/>
      <w:r/>
      <w:bookmarkStart w:id="103" w:name="_Toc16938547"/>
      <w:r>
        <w:rPr>
          <w:rFonts w:hint="eastAsia" w:ascii="宋体" w:hAnsi="宋体" w:cs="宋体"/>
          <w:b/>
          <w:color w:val="000000"/>
          <w:szCs w:val="21"/>
          <w:highlight w:val="none"/>
        </w:rPr>
        <w:t xml:space="preserve">通过资格性审查合格的投标人不足3家的，不得评标。</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19.评标 </w:t>
      </w:r>
      <w:r>
        <w:rPr>
          <w:rFonts w:hint="eastAsia" w:ascii="宋体" w:hAnsi="宋体" w:cs="宋体"/>
          <w:b/>
          <w:bCs/>
          <w:color w:val="000000"/>
          <w:szCs w:val="21"/>
          <w:highlight w:val="none"/>
        </w:rPr>
      </w:r>
      <w:r/>
    </w:p>
    <w:p>
      <w:pPr>
        <w:pStyle w:val="108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19.1评标组织</w:t>
      </w:r>
      <w:r>
        <w:rPr>
          <w:rFonts w:hint="eastAsia" w:ascii="宋体" w:hAnsi="宋体" w:cs="宋体"/>
          <w:b/>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19.1评标工作由采购代理机构负责组织，具体评标事务由依法组建的评标委员会负责，并独立履行下列职责：</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（1）审查、评价投标文件是否符合招标文件的商务、技术等实质性要求；</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（2）要求投标人对投标文件有关事项作出澄清或者说明；</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（3）对投标文件进行比较和评价；</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（4）确定中标候选人名单，以及根据采购人委托直接确定中标人；</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（5）向采购人、采购代理机构或者有关部门报告评标中发现的违法行为。</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19.2评标委员会由采购人代表和有关技术、经济等方面的专家组成，独立开展评审工作且评标委员会人员构成符合有关规定。</w:t>
      </w:r>
      <w:r>
        <w:rPr>
          <w:rFonts w:hint="eastAsia" w:ascii="宋体" w:hAnsi="宋体" w:cs="宋体"/>
          <w:color w:val="000000"/>
          <w:szCs w:val="21"/>
          <w:highlight w:val="none"/>
        </w:rPr>
      </w:r>
      <w:r/>
    </w:p>
    <w:p>
      <w:pPr>
        <w:pStyle w:val="1086"/>
        <w:ind w:firstLine="422"/>
        <w:spacing w:line="360" w:lineRule="auto"/>
        <w:rPr>
          <w:rFonts w:hint="eastAsia" w:ascii="宋体" w:hAnsi="宋体" w:cs="宋体"/>
          <w:b/>
          <w:color w:val="000000"/>
          <w:szCs w:val="21"/>
          <w:highlight w:val="none"/>
        </w:rPr>
      </w:pPr>
      <w:r/>
      <w:bookmarkStart w:id="104" w:name="_Toc16288"/>
      <w:r>
        <w:rPr>
          <w:rFonts w:hint="eastAsia" w:ascii="宋体" w:hAnsi="宋体" w:cs="宋体"/>
          <w:b/>
          <w:color w:val="000000"/>
          <w:szCs w:val="21"/>
          <w:highlight w:val="none"/>
        </w:rPr>
        <w:t xml:space="preserve">19.3 对投标文件的符合性审查</w:t>
      </w:r>
      <w:bookmarkEnd w:id="104"/>
      <w:r>
        <w:rPr>
          <w:rFonts w:hint="eastAsia" w:ascii="宋体" w:hAnsi="宋体" w:cs="宋体"/>
          <w:b/>
          <w:color w:val="000000"/>
          <w:szCs w:val="21"/>
          <w:highlight w:val="none"/>
        </w:rPr>
      </w:r>
      <w:r/>
    </w:p>
    <w:p>
      <w:pPr>
        <w:pStyle w:val="1086"/>
        <w:ind w:firstLine="420"/>
        <w:spacing w:line="360" w:lineRule="auto"/>
        <w:shd w:val="clear" w:color="auto" w:fill="ffffff"/>
        <w:widowControl/>
        <w:rPr>
          <w:rFonts w:hint="eastAsia" w:ascii="宋体" w:hAnsi="宋体" w:cs="宋体"/>
          <w:b/>
          <w:color w:val="000000"/>
          <w:szCs w:val="21"/>
          <w:highlight w:val="none"/>
        </w:rPr>
      </w:pPr>
      <w:r>
        <w:rPr>
          <w:rFonts w:hint="eastAsia" w:ascii="宋体" w:hAnsi="宋体" w:cs="宋体"/>
          <w:bCs/>
          <w:color w:val="000000"/>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
          <w:color w:val="000000"/>
          <w:szCs w:val="21"/>
          <w:highlight w:val="none"/>
        </w:rPr>
        <w:t xml:space="preserve">实质性要求是指本招标文件中用带星号（“★”）的商务和技术要求。</w:t>
      </w:r>
      <w:r>
        <w:rPr>
          <w:rFonts w:hint="eastAsia" w:ascii="宋体" w:hAnsi="宋体" w:cs="宋体"/>
          <w:b/>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19.3.3评审时，投标文件出现不一致情形的，按下列规定执行：</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19.3.3.1投标文件正本与副本不符的，以正本为准。</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19.3.3.2投标文件报价出现前后不一致的，按照下列规定修正：</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（1）投标文件中开标一览表（报价表）内容与投标文件中相应内容不一致的，以开标一览表（报价表）为准；</w:t>
      </w:r>
      <w:r>
        <w:rPr>
          <w:rFonts w:hint="eastAsia" w:ascii="宋体" w:hAnsi="宋体" w:cs="宋体"/>
          <w:bCs/>
          <w:color w:val="000000"/>
          <w:szCs w:val="21"/>
          <w:highlight w:val="none"/>
        </w:rPr>
      </w:r>
      <w:r/>
    </w:p>
    <w:p>
      <w:pPr>
        <w:pStyle w:val="1086"/>
        <w:ind w:firstLine="426"/>
        <w:spacing w:line="360" w:lineRule="auto"/>
        <w:tabs>
          <w:tab w:val="left" w:pos="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（2）大写金额和小写金额不一致的，以大写金额为准；</w:t>
      </w:r>
      <w:r>
        <w:rPr>
          <w:rFonts w:hint="eastAsia" w:ascii="宋体" w:hAnsi="宋体" w:cs="宋体"/>
          <w:bCs/>
          <w:color w:val="000000"/>
          <w:szCs w:val="21"/>
          <w:highlight w:val="none"/>
        </w:rPr>
      </w:r>
      <w:r/>
    </w:p>
    <w:p>
      <w:pPr>
        <w:pStyle w:val="1086"/>
        <w:ind w:firstLine="426"/>
        <w:spacing w:line="360" w:lineRule="auto"/>
        <w:tabs>
          <w:tab w:val="left" w:pos="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（3）单价金额小数点或者百分比有明显错位的，以开标一览表的总价为准，并修改单价；</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（4）总价金额与按单价汇总金额不一致的，以单价金额计算结果为准。</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
          <w:color w:val="000000"/>
          <w:szCs w:val="21"/>
          <w:highlight w:val="none"/>
        </w:rPr>
      </w:pPr>
      <w:r>
        <w:rPr>
          <w:rFonts w:hint="eastAsia" w:ascii="宋体" w:hAnsi="宋体" w:cs="宋体"/>
          <w:bCs/>
          <w:color w:val="000000"/>
          <w:szCs w:val="21"/>
          <w:highlight w:val="none"/>
        </w:rPr>
        <w:t xml:space="preserve">19.3.4</w:t>
      </w:r>
      <w:r>
        <w:rPr>
          <w:rFonts w:hint="eastAsia" w:ascii="宋体" w:hAnsi="宋体" w:cs="宋体"/>
          <w:b/>
          <w:color w:val="000000"/>
          <w:szCs w:val="21"/>
          <w:highlight w:val="none"/>
        </w:rPr>
        <w:t xml:space="preserve">异常低价投标审查</w:t>
      </w:r>
      <w:r>
        <w:rPr>
          <w:rFonts w:hint="eastAsia" w:ascii="宋体" w:hAnsi="宋体" w:cs="宋体"/>
          <w:b/>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评审过程中出现下列情形之一的，评标委员会应当启动异常低价投标审查程序：</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（3）投标（响应）报价低于采购项目最高限价45%的，即投标（响应）报价&lt;采购项目最高限价×45%；</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（4）评审委员会基于专业判断，认为供应商报价过低，有可能影响产品质量或者不能诚信履约的其他情形。</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bCs/>
          <w:color w:val="000000"/>
          <w:szCs w:val="21"/>
          <w:highlight w:val="none"/>
        </w:rPr>
      </w:r>
      <w:r/>
    </w:p>
    <w:p>
      <w:pPr>
        <w:pStyle w:val="1086"/>
        <w:ind w:firstLine="653"/>
        <w:spacing w:line="360" w:lineRule="auto"/>
        <w:tabs>
          <w:tab w:val="left" w:pos="136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异常低价投标（响应）审查的启动原因、审查意见和审查结果应当在评标报告中记录，并随供应商提供的相关书面说明及证明材料，以及评标委员会有关互联网浏览、查询历史一并归档。</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19.3.5在评标期间，出现符合专业条件的供应商或者对招标文件做出实质响应的供应商不足三家情形的，此采购项目应予以废标。</w:t>
      </w:r>
      <w:r>
        <w:rPr>
          <w:rFonts w:hint="eastAsia" w:ascii="宋体" w:hAnsi="宋体" w:cs="宋体"/>
          <w:bCs/>
          <w:color w:val="000000"/>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rPr>
          <w:rFonts w:hint="eastAsia" w:ascii="宋体" w:hAnsi="宋体" w:cs="宋体"/>
          <w:color w:val="000000"/>
          <w:szCs w:val="21"/>
          <w:highlight w:val="none"/>
        </w:rPr>
      </w:r>
      <w:r/>
    </w:p>
    <w:p>
      <w:pPr>
        <w:pStyle w:val="1295"/>
        <w:ind w:left="0" w:firstLine="422"/>
        <w:jc w:val="both"/>
        <w:spacing w:line="360" w:lineRule="auto"/>
        <w:tabs>
          <w:tab w:val="left" w:pos="480" w:leader="none"/>
        </w:tabs>
        <w:rPr>
          <w:rFonts w:hint="eastAsia" w:ascii="宋体" w:hAnsi="宋体" w:eastAsia="宋体" w:cs="宋体"/>
          <w:b/>
          <w:bCs/>
          <w:color w:val="000000"/>
          <w:sz w:val="21"/>
          <w:szCs w:val="21"/>
          <w:highlight w:val="none"/>
        </w:rPr>
        <w:outlineLvl w:val="9"/>
      </w:pPr>
      <w:r/>
      <w:bookmarkEnd w:id="99"/>
      <w:r/>
      <w:bookmarkStart w:id="105" w:name="_Toc26857"/>
      <w:r/>
      <w:bookmarkStart w:id="106" w:name="_Toc13685"/>
      <w:r>
        <w:rPr>
          <w:rFonts w:hint="eastAsia" w:ascii="宋体" w:hAnsi="宋体" w:eastAsia="宋体" w:cs="宋体"/>
          <w:b/>
          <w:bCs/>
          <w:color w:val="000000"/>
          <w:sz w:val="21"/>
          <w:szCs w:val="21"/>
          <w:highlight w:val="none"/>
        </w:rPr>
        <w:t xml:space="preserve">19.4投标文件的澄清</w:t>
      </w:r>
      <w:bookmarkEnd w:id="105"/>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19.4.3供应商澄清、说明或者补正不得超出投标文件的范围或者改变投标文件的实质性内容。供应商拒不按照要求对投标文件进行澄清、说明或者补正的，视其放弃该项权利。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color w:val="000000"/>
          <w:szCs w:val="21"/>
          <w:highlight w:val="none"/>
        </w:rPr>
      </w:r>
      <w:r/>
    </w:p>
    <w:p>
      <w:pPr>
        <w:pStyle w:val="1086"/>
        <w:ind w:firstLine="424"/>
        <w:spacing w:line="360" w:lineRule="auto"/>
        <w:tabs>
          <w:tab w:val="left" w:pos="1365" w:leader="none"/>
        </w:tabs>
        <w:rPr>
          <w:rFonts w:hint="eastAsia" w:ascii="宋体" w:hAnsi="宋体" w:cs="宋体"/>
          <w:b/>
          <w:bCs/>
          <w:color w:val="000000"/>
          <w:szCs w:val="21"/>
          <w:highlight w:val="none"/>
        </w:rPr>
      </w:pPr>
      <w:r/>
      <w:bookmarkEnd w:id="106"/>
      <w:r>
        <w:rPr>
          <w:rFonts w:hint="eastAsia" w:ascii="宋体" w:hAnsi="宋体" w:cs="宋体"/>
          <w:b/>
          <w:bCs/>
          <w:color w:val="000000"/>
          <w:szCs w:val="21"/>
          <w:highlight w:val="none"/>
        </w:rPr>
        <w:t xml:space="preserve">19.5比较与评价</w:t>
      </w:r>
      <w:r>
        <w:rPr>
          <w:rFonts w:hint="eastAsia" w:ascii="宋体" w:hAnsi="宋体" w:cs="宋体"/>
          <w:b/>
          <w:bCs/>
          <w:color w:val="000000"/>
          <w:szCs w:val="21"/>
          <w:highlight w:val="none"/>
        </w:rPr>
      </w:r>
      <w:r/>
    </w:p>
    <w:p>
      <w:pPr>
        <w:pStyle w:val="1086"/>
        <w:ind w:firstLine="420"/>
        <w:spacing w:line="360" w:lineRule="auto"/>
        <w:tabs>
          <w:tab w:val="left" w:pos="136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19.5.1投标文件资格性检查和符合性检查结束后，凡属于“无效投标文件确认”的投标文件不进入比较与评价程序。</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19.5.2评标委员会应当按照招标文件中规定的评标方法和标准，对符合性审查合格的投标文件进行商务和技术评估，综合比较与评价。</w:t>
      </w:r>
      <w:r>
        <w:rPr>
          <w:rFonts w:hint="eastAsia" w:ascii="宋体" w:hAnsi="宋体" w:cs="宋体"/>
          <w:bCs/>
          <w:color w:val="000000"/>
          <w:szCs w:val="21"/>
          <w:highlight w:val="none"/>
        </w:rPr>
      </w:r>
      <w:r/>
    </w:p>
    <w:p>
      <w:pPr>
        <w:pStyle w:val="1086"/>
        <w:ind w:firstLine="420"/>
        <w:jc w:val="left"/>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color w:val="000000"/>
          <w:szCs w:val="21"/>
          <w:highlight w:val="none"/>
        </w:rPr>
        <w:t xml:space="preserve">评标时，评标委员会各成员应当独立对每个投标人的投标文件进行评价，并汇总每个投标人的得分。</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19.5.4评审因素包括投标报价、技术或者服务水平、履约能力、售后服务等。</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19.5.5评标方法和评标标准详见文件第三章。</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bCs/>
          <w:color w:val="000000"/>
          <w:szCs w:val="21"/>
          <w:highlight w:val="none"/>
        </w:rPr>
      </w:r>
      <w:r/>
    </w:p>
    <w:p>
      <w:pPr>
        <w:pStyle w:val="1086"/>
        <w:ind w:firstLine="424"/>
        <w:spacing w:line="360" w:lineRule="auto"/>
        <w:tabs>
          <w:tab w:val="left" w:pos="1365"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19.6投标供应商存在下列情况之一的，其投标无效：</w:t>
      </w:r>
      <w:r>
        <w:rPr>
          <w:rFonts w:hint="eastAsia" w:ascii="宋体" w:hAnsi="宋体" w:cs="宋体"/>
          <w:b/>
          <w:bCs/>
          <w:color w:val="000000"/>
          <w:szCs w:val="21"/>
          <w:highlight w:val="none"/>
        </w:rPr>
      </w:r>
      <w:r/>
    </w:p>
    <w:p>
      <w:pPr>
        <w:pStyle w:val="1086"/>
        <w:ind w:firstLine="420"/>
        <w:jc w:val="left"/>
        <w:spacing w:line="360" w:lineRule="auto"/>
        <w:shd w:val="clear" w:color="auto" w:fill="ffffff"/>
        <w:widowControl/>
        <w:tabs>
          <w:tab w:val="left" w:pos="76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（1）投标人在苏采云系统规定的时间内未成功解密电子投标文件的。</w:t>
      </w:r>
      <w:r>
        <w:rPr>
          <w:rFonts w:hint="eastAsia" w:ascii="宋体" w:hAnsi="宋体" w:cs="宋体"/>
          <w:color w:val="000000"/>
          <w:szCs w:val="21"/>
          <w:highlight w:val="none"/>
        </w:rPr>
      </w:r>
      <w:r/>
    </w:p>
    <w:p>
      <w:pPr>
        <w:pStyle w:val="1086"/>
        <w:ind w:firstLine="420"/>
        <w:jc w:val="left"/>
        <w:spacing w:line="360" w:lineRule="auto"/>
        <w:shd w:val="clear" w:color="auto" w:fill="ffffff"/>
        <w:widowControl/>
        <w:tabs>
          <w:tab w:val="left" w:pos="767"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color w:val="000000"/>
          <w:szCs w:val="21"/>
          <w:highlight w:val="none"/>
        </w:rPr>
        <w:t xml:space="preserve">投标人未按照招标文件要求上传电子投标文件的。</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（3）供应商不具备招标文件中规定资格要求的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（4）供应商在报价时采用选择性报价；</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5</w:t>
      </w:r>
      <w:r>
        <w:rPr>
          <w:rFonts w:hint="eastAsia" w:ascii="宋体" w:hAnsi="宋体" w:cs="宋体"/>
          <w:color w:val="000000"/>
          <w:szCs w:val="21"/>
          <w:highlight w:val="none"/>
        </w:rPr>
        <w:t xml:space="preserve">）报价超过招标文件中规定的预算金额或者单价最高限价的；</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（6）投标文件含有采购人不能接受的附加条件的；</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7</w:t>
      </w:r>
      <w:r>
        <w:rPr>
          <w:rFonts w:hint="eastAsia" w:ascii="宋体" w:hAnsi="宋体" w:cs="宋体"/>
          <w:color w:val="000000"/>
          <w:szCs w:val="21"/>
          <w:highlight w:val="none"/>
        </w:rPr>
        <w:t xml:space="preserve">）不同供应商的投标文件由同一单位或者个人编制；</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（8）不同供应商委托同一单位或者个人办理投标事宜；</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（9）不同供应商的投标文件载明的项目管理成员或联系人员为同一人；</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（10）不同供应商的投标文件异常一致或者投标报价呈规律性差异；</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（11）不同供应商的投标文件相互混装； </w:t>
      </w:r>
      <w:r>
        <w:rPr>
          <w:rFonts w:hint="eastAsia" w:ascii="宋体" w:hAnsi="宋体" w:cs="宋体"/>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（12）不同供应商的负责人为同一人或者存在控股、管理关系的；</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（13）不同供应商的委托代理人(或法定代表人、项目经理、项目总监、项目负责人等)在招标文件发布日上月至投标截止日当月在同一单位缴纳社会保险的；</w:t>
      </w:r>
      <w:r>
        <w:rPr>
          <w:rFonts w:hint="eastAsia" w:ascii="宋体" w:hAnsi="宋体" w:cs="宋体"/>
          <w:bCs/>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14</w:t>
      </w:r>
      <w:r>
        <w:rPr>
          <w:rFonts w:hint="eastAsia" w:ascii="宋体" w:hAnsi="宋体" w:cs="宋体"/>
          <w:color w:val="000000"/>
          <w:szCs w:val="21"/>
          <w:highlight w:val="none"/>
        </w:rPr>
        <w:t xml:space="preserve">）提供虚假材料的（包括工商营业执照、财务报表、资格证明文件等）；</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（15）未通过符合性检查的；</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16</w:t>
      </w:r>
      <w:r>
        <w:rPr>
          <w:rFonts w:hint="eastAsia" w:ascii="宋体" w:hAnsi="宋体" w:cs="宋体"/>
          <w:color w:val="000000"/>
          <w:szCs w:val="21"/>
          <w:highlight w:val="none"/>
        </w:rPr>
        <w:t xml:space="preserve">）不符合招标文件中规定的其它实质性要求的；</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17</w:t>
      </w:r>
      <w:r>
        <w:rPr>
          <w:rFonts w:hint="eastAsia" w:ascii="宋体" w:hAnsi="宋体" w:cs="宋体"/>
          <w:color w:val="000000"/>
          <w:szCs w:val="21"/>
          <w:highlight w:val="none"/>
        </w:rPr>
        <w:t xml:space="preserve">）法律、法规和本招标文件规定的其他无效情形。</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color w:val="000000"/>
          <w:szCs w:val="21"/>
          <w:highlight w:val="none"/>
        </w:rPr>
      </w:pPr>
      <w:r>
        <w:rPr>
          <w:rFonts w:hint="eastAsia" w:ascii="宋体" w:hAnsi="宋体" w:cs="宋体"/>
          <w:b/>
          <w:bCs/>
          <w:color w:val="000000"/>
          <w:szCs w:val="21"/>
          <w:highlight w:val="none"/>
        </w:rPr>
        <w:t xml:space="preserve">19.7 </w:t>
      </w:r>
      <w:r>
        <w:rPr>
          <w:rFonts w:hint="eastAsia" w:ascii="宋体" w:hAnsi="宋体" w:cs="宋体"/>
          <w:b/>
          <w:color w:val="000000"/>
          <w:szCs w:val="21"/>
          <w:highlight w:val="none"/>
        </w:rPr>
        <w:t xml:space="preserve">出现下列情形之一的，应予废标：</w:t>
      </w:r>
      <w:r>
        <w:rPr>
          <w:rFonts w:hint="eastAsia" w:ascii="宋体" w:hAnsi="宋体" w:cs="宋体"/>
          <w:b/>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（1）符合专业条件的供应商或者对招标文件作实质响应的供应商不足三家的；</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（3）因重大变故，采购任务取消的；</w:t>
      </w:r>
      <w:r>
        <w:rPr>
          <w:rFonts w:hint="eastAsia" w:ascii="宋体" w:hAnsi="宋体" w:cs="宋体"/>
          <w:color w:val="000000"/>
          <w:szCs w:val="21"/>
          <w:highlight w:val="none"/>
        </w:rPr>
      </w:r>
      <w:r/>
    </w:p>
    <w:p>
      <w:pPr>
        <w:pStyle w:val="1086"/>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（4）评标委员会认定招标文件存在歧义、重大缺陷导致评审工作无法进行的，或者招标文件内容违反国家有关强制性规定的。</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在评标期间，通过资格审查或符合性审查的投标人不足3家情形的，比照</w:t>
      </w:r>
      <w:r>
        <w:rPr>
          <w:rFonts w:hint="eastAsia" w:ascii="宋体" w:hAnsi="宋体" w:cs="宋体"/>
          <w:b/>
          <w:bCs/>
          <w:color w:val="000000"/>
          <w:szCs w:val="21"/>
          <w:highlight w:val="none"/>
        </w:rPr>
        <w:t xml:space="preserve">19.3.5</w:t>
      </w:r>
      <w:r>
        <w:rPr>
          <w:rFonts w:hint="eastAsia" w:ascii="宋体" w:hAnsi="宋体" w:cs="宋体"/>
          <w:color w:val="000000"/>
          <w:szCs w:val="21"/>
          <w:highlight w:val="none"/>
        </w:rPr>
        <w:t xml:space="preserve">款执行。</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outlineLvl w:val="1"/>
      </w:pPr>
      <w:r/>
      <w:bookmarkEnd w:id="100"/>
      <w:r/>
      <w:bookmarkEnd w:id="101"/>
      <w:r/>
      <w:bookmarkEnd w:id="102"/>
      <w:r/>
      <w:bookmarkEnd w:id="103"/>
      <w:r/>
      <w:bookmarkStart w:id="107" w:name="_Toc18327"/>
      <w:r/>
      <w:bookmarkStart w:id="108" w:name="_Toc12294"/>
      <w:r>
        <w:rPr>
          <w:rFonts w:hint="eastAsia" w:ascii="宋体" w:hAnsi="宋体" w:cs="宋体"/>
          <w:b/>
          <w:bCs/>
          <w:color w:val="000000"/>
          <w:szCs w:val="21"/>
          <w:highlight w:val="none"/>
        </w:rPr>
        <w:t xml:space="preserve">六、授标</w:t>
      </w:r>
      <w:bookmarkEnd w:id="107"/>
      <w:r/>
      <w:bookmarkEnd w:id="108"/>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bookmarkStart w:id="109" w:name="_Toc28693"/>
      <w:r/>
      <w:bookmarkStart w:id="110" w:name="_Toc27522"/>
      <w:r>
        <w:rPr>
          <w:rFonts w:hint="eastAsia" w:ascii="宋体" w:hAnsi="宋体" w:cs="宋体"/>
          <w:b/>
          <w:bCs/>
          <w:color w:val="000000"/>
          <w:szCs w:val="21"/>
          <w:highlight w:val="none"/>
        </w:rPr>
        <w:t xml:space="preserve">20.确定中标</w:t>
      </w:r>
      <w:bookmarkEnd w:id="109"/>
      <w:r>
        <w:rPr>
          <w:rFonts w:hint="eastAsia" w:ascii="宋体" w:hAnsi="宋体" w:cs="宋体"/>
          <w:b/>
          <w:bCs/>
          <w:color w:val="000000"/>
          <w:szCs w:val="21"/>
          <w:highlight w:val="none"/>
        </w:rPr>
        <w:t xml:space="preserve">供应商</w:t>
      </w:r>
      <w:bookmarkEnd w:id="110"/>
      <w:r/>
      <w:bookmarkStart w:id="111" w:name="_Toc7377"/>
      <w:r>
        <w:rPr>
          <w:rFonts w:hint="eastAsia" w:ascii="宋体" w:hAnsi="宋体" w:cs="宋体"/>
          <w:b/>
          <w:bCs/>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20.2中标人确定后，在江苏省政府采购网上公告中标结果，中标公告期为1个工作日，公告的同时向中标供应商发出中标通知书。</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20.3中标供应商在收到中标通知书后，应郑重保证履行中标供应商应履行的，含招标代理服务费在内的一切义务和责任。</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20.4中标通知书对采购人和中标供应商具有同等法律效力。</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20.5中标通知书发出后，中标或者成交后无正当理由拒不与采购人签订政府采购合同的；情节严重的，由财政部门将其列入不良行为记录名单，在一至三年内禁止参加政府采购活动，并予以通报。</w:t>
      </w:r>
      <w:r>
        <w:rPr>
          <w:rFonts w:hint="eastAsia" w:ascii="宋体" w:hAnsi="宋体" w:cs="宋体"/>
          <w:color w:val="000000"/>
          <w:szCs w:val="21"/>
          <w:highlight w:val="none"/>
        </w:rPr>
      </w:r>
      <w:r/>
    </w:p>
    <w:p>
      <w:pPr>
        <w:pStyle w:val="1086"/>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20.6 若评标委员会发现供应商的投标文件中有弄虚作假行为，则该供应商将失去中标资格。</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21.评标过程的保密性</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21.1 采购人和采购代理机构将采取必要措施，保证评标在严格保密的情况下进行。</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21.2 任何单位和个人不得非法干预、影响评标办法的确定，以及评标过程和结果。</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21.3 凡是与审查、澄清、评价和比较投标的有关资料等，均不向投标人及与评标无关的其他人员透露。</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22.签订合同</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22.2招标文件、中标供应商的投标文件及评标过程中有关澄清、说明或者补正文件均应作为合同附件。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22.3采购人不得向中标人提出任何不合理的要求作为签订合同的条件。</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22.6 采购人与中标人应当根据合同的约定依法履行合同义务。</w:t>
      </w:r>
      <w:bookmarkEnd w:id="111"/>
      <w:r>
        <w:rPr>
          <w:rFonts w:hint="eastAsia" w:ascii="宋体" w:hAnsi="宋体" w:cs="宋体"/>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22.7 履约保证金（本项目不收取）</w:t>
      </w:r>
      <w:bookmarkStart w:id="112" w:name="_Toc15509"/>
      <w:r/>
      <w:bookmarkStart w:id="113" w:name="_Toc415"/>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23.招标代理服务费</w:t>
      </w:r>
      <w:bookmarkEnd w:id="112"/>
      <w:r/>
      <w:bookmarkEnd w:id="113"/>
      <w:r>
        <w:rPr>
          <w:rFonts w:hint="eastAsia" w:ascii="宋体" w:hAnsi="宋体" w:cs="宋体"/>
          <w:b/>
          <w:bCs/>
          <w:color w:val="000000"/>
          <w:szCs w:val="21"/>
          <w:highlight w:val="none"/>
        </w:rPr>
      </w:r>
      <w:r/>
    </w:p>
    <w:p>
      <w:pPr>
        <w:pStyle w:val="1086"/>
        <w:spacing w:line="360" w:lineRule="auto"/>
        <w:rPr>
          <w:rFonts w:hint="eastAsia" w:ascii="宋体" w:hAnsi="宋体" w:cs="宋体"/>
          <w:color w:val="000000"/>
          <w:szCs w:val="21"/>
          <w:highlight w:val="none"/>
          <w:lang w:val="zh-CN"/>
        </w:rPr>
      </w:pPr>
      <w:r>
        <w:rPr>
          <w:rFonts w:hint="eastAsia" w:ascii="宋体" w:hAnsi="宋体" w:cs="宋体"/>
          <w:bCs/>
          <w:color w:val="000000"/>
          <w:szCs w:val="21"/>
          <w:highlight w:val="none"/>
        </w:rPr>
        <w:t xml:space="preserve">    23.1 </w:t>
      </w:r>
      <w:r>
        <w:rPr>
          <w:rFonts w:hint="eastAsia" w:ascii="宋体" w:hAnsi="宋体" w:cs="宋体"/>
          <w:color w:val="000000"/>
          <w:szCs w:val="21"/>
          <w:highlight w:val="none"/>
          <w:lang w:val="zh-CN"/>
        </w:rPr>
        <w:t xml:space="preserve">领取中标通知时，中标人向采购代理机构一次性付清。</w:t>
      </w:r>
      <w:r>
        <w:rPr>
          <w:rFonts w:hint="eastAsia" w:ascii="宋体" w:hAnsi="宋体" w:cs="宋体"/>
          <w:color w:val="000000"/>
          <w:szCs w:val="21"/>
          <w:highlight w:val="none"/>
          <w:lang w:val="zh-CN"/>
        </w:rPr>
      </w:r>
      <w:r/>
    </w:p>
    <w:p>
      <w:pPr>
        <w:pStyle w:val="1116"/>
        <w:ind w:firstLine="420"/>
        <w:spacing w:line="360" w:lineRule="auto"/>
        <w:rPr>
          <w:rFonts w:hint="eastAsia" w:hAnsi="宋体" w:cs="宋体"/>
          <w:bCs/>
          <w:color w:val="000000"/>
          <w:szCs w:val="21"/>
          <w:highlight w:val="none"/>
        </w:rPr>
      </w:pPr>
      <w:r>
        <w:rPr>
          <w:rFonts w:hint="eastAsia" w:hAnsi="宋体" w:cs="宋体"/>
          <w:bCs/>
          <w:color w:val="000000"/>
          <w:szCs w:val="21"/>
          <w:highlight w:val="none"/>
        </w:rPr>
        <w:t xml:space="preserve">23.2 招标代理服务费：根据江苏省财政厅《关于进一步规范政府采购活动相关费用管理的通知》（苏财规〔2026〕1号）相关要求，为提高采购效率、简化资金支付流程，本项目中标服务费由中标供应商在领取成交通知书时，一次性支付至采购代理机构。采购代理机构按中标金额的一定比例向中标供应商收取代理服务费，服务费按按照江苏省政府采购协会2024年11月20日印发的《江苏省政府采购代理服务收费指导意见》明确的采购代理常规服务收费指导价的70%收取，计费基准为各分包最终中标价格。</w:t>
      </w:r>
      <w:r>
        <w:rPr>
          <w:rFonts w:hint="eastAsia" w:hAnsi="宋体" w:cs="宋体"/>
          <w:bCs/>
          <w:color w:val="000000"/>
          <w:szCs w:val="21"/>
          <w:highlight w:val="none"/>
        </w:rPr>
      </w:r>
      <w:r/>
    </w:p>
    <w:p>
      <w:pPr>
        <w:pStyle w:val="1116"/>
        <w:ind w:firstLine="420"/>
        <w:spacing w:line="360" w:lineRule="auto"/>
        <w:rPr>
          <w:rFonts w:hint="eastAsia" w:hAnsi="宋体" w:cs="宋体"/>
          <w:bCs/>
          <w:color w:val="000000"/>
          <w:szCs w:val="21"/>
          <w:highlight w:val="none"/>
        </w:rPr>
      </w:pPr>
      <w:r>
        <w:rPr>
          <w:rFonts w:hint="eastAsia" w:hAnsi="宋体" w:cs="宋体"/>
          <w:bCs/>
          <w:color w:val="000000"/>
          <w:szCs w:val="21"/>
          <w:highlight w:val="none"/>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rPr>
          <w:rFonts w:hint="eastAsia" w:hAnsi="宋体" w:cs="宋体"/>
          <w:bCs/>
          <w:color w:val="000000"/>
          <w:szCs w:val="21"/>
          <w:highlight w:val="none"/>
        </w:rPr>
      </w:r>
      <w:r/>
    </w:p>
    <w:p>
      <w:pPr>
        <w:pStyle w:val="1116"/>
        <w:spacing w:line="360" w:lineRule="auto"/>
        <w:rPr>
          <w:rFonts w:hint="eastAsia" w:hAnsi="宋体" w:cs="宋体"/>
          <w:color w:val="000000"/>
          <w:szCs w:val="21"/>
          <w:highlight w:val="none"/>
        </w:rPr>
      </w:pPr>
      <w:r>
        <w:rPr>
          <w:rFonts w:hint="eastAsia" w:hAnsi="宋体" w:cs="宋体"/>
          <w:bCs/>
          <w:color w:val="000000"/>
          <w:szCs w:val="21"/>
          <w:highlight w:val="none"/>
        </w:rPr>
        <w:t xml:space="preserve">    23.3</w:t>
      </w:r>
      <w:r>
        <w:rPr>
          <w:rFonts w:hint="eastAsia" w:hAnsi="宋体" w:cs="宋体"/>
          <w:color w:val="000000"/>
          <w:szCs w:val="21"/>
          <w:highlight w:val="none"/>
        </w:rPr>
        <w:t xml:space="preserve">服务费交纳账户：苏美达国际技术贸易有限公司</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账号：7321010182300013675　　　</w:t>
      </w:r>
      <w:r>
        <w:rPr>
          <w:rFonts w:hint="eastAsia" w:hAnsi="宋体" w:cs="宋体"/>
          <w:color w:val="000000"/>
          <w:szCs w:val="21"/>
          <w:highlight w:val="none"/>
        </w:rPr>
      </w:r>
      <w:r/>
    </w:p>
    <w:p>
      <w:pPr>
        <w:pStyle w:val="1293"/>
        <w:rPr>
          <w:rFonts w:hint="eastAsia" w:ascii="宋体" w:hAnsi="宋体" w:cs="宋体"/>
          <w:color w:val="000000"/>
          <w:sz w:val="21"/>
          <w:highlight w:val="none"/>
        </w:rPr>
      </w:pPr>
      <w:r>
        <w:rPr>
          <w:rFonts w:hint="eastAsia" w:ascii="宋体" w:hAnsi="宋体" w:cs="宋体"/>
          <w:color w:val="000000"/>
          <w:sz w:val="21"/>
          <w:highlight w:val="none"/>
        </w:rPr>
        <w:t xml:space="preserve">开户银行：中信南京分行营业部　</w:t>
      </w:r>
      <w:r>
        <w:rPr>
          <w:rFonts w:hint="eastAsia" w:ascii="宋体" w:hAnsi="宋体" w:cs="宋体"/>
          <w:color w:val="000000"/>
          <w:sz w:val="21"/>
          <w:highlight w:val="none"/>
        </w:rPr>
      </w:r>
      <w:r/>
    </w:p>
    <w:p>
      <w:pPr>
        <w:pStyle w:val="1293"/>
        <w:rPr>
          <w:rFonts w:hint="eastAsia" w:ascii="宋体" w:hAnsi="宋体" w:cs="宋体"/>
          <w:color w:val="000000"/>
          <w:sz w:val="21"/>
          <w:highlight w:val="none"/>
        </w:rPr>
      </w:pPr>
      <w:r>
        <w:rPr>
          <w:rFonts w:hint="eastAsia" w:ascii="宋体" w:hAnsi="宋体" w:cs="宋体"/>
          <w:color w:val="000000"/>
          <w:sz w:val="21"/>
          <w:highlight w:val="none"/>
        </w:rPr>
        <w:t xml:space="preserve">行号：302301003210</w:t>
      </w:r>
      <w:r>
        <w:rPr>
          <w:rFonts w:hint="eastAsia" w:ascii="宋体" w:hAnsi="宋体" w:cs="宋体"/>
          <w:color w:val="000000"/>
          <w:sz w:val="21"/>
          <w:highlight w:val="none"/>
        </w:rPr>
      </w:r>
      <w:r/>
    </w:p>
    <w:p>
      <w:pPr>
        <w:pStyle w:val="1293"/>
        <w:rPr>
          <w:rFonts w:ascii="宋体" w:hAnsi="宋体" w:cs="宋体"/>
          <w:color w:val="000000"/>
          <w:sz w:val="21"/>
          <w:highlight w:val="none"/>
        </w:rPr>
      </w:pPr>
      <w:r>
        <w:rPr>
          <w:rFonts w:hint="eastAsia" w:ascii="宋体" w:hAnsi="宋体" w:cs="宋体"/>
          <w:color w:val="000000"/>
          <w:sz w:val="21"/>
          <w:highlight w:val="none"/>
        </w:rPr>
        <w:t xml:space="preserve">23.4 专家评审费用由采购人支付。</w:t>
      </w:r>
      <w:r>
        <w:rPr>
          <w:rFonts w:ascii="宋体" w:hAnsi="宋体" w:cs="宋体"/>
          <w:color w:val="000000"/>
          <w:sz w:val="21"/>
          <w:highlight w:val="none"/>
        </w:rPr>
      </w:r>
      <w:r/>
    </w:p>
    <w:p>
      <w:pPr>
        <w:pStyle w:val="1086"/>
        <w:ind w:firstLine="420"/>
        <w:spacing w:line="360" w:lineRule="auto"/>
        <w:shd w:val="clear" w:color="auto" w:fill="ffffff"/>
        <w:widowControl/>
        <w:rPr>
          <w:rFonts w:hint="eastAsia" w:ascii="宋体" w:hAnsi="宋体" w:cs="宋体"/>
          <w:b/>
          <w:bCs/>
          <w:color w:val="000000"/>
          <w:szCs w:val="21"/>
          <w:highlight w:val="none"/>
        </w:rPr>
        <w:outlineLvl w:val="1"/>
      </w:pPr>
      <w:r/>
      <w:bookmarkStart w:id="114" w:name="_Toc5784"/>
      <w:r>
        <w:rPr>
          <w:rFonts w:hint="eastAsia" w:ascii="宋体" w:hAnsi="宋体" w:cs="宋体"/>
          <w:b/>
          <w:bCs/>
          <w:color w:val="000000"/>
          <w:szCs w:val="21"/>
          <w:highlight w:val="none"/>
        </w:rPr>
        <w:t xml:space="preserve">七、质疑</w:t>
      </w:r>
      <w:bookmarkEnd w:id="114"/>
      <w:r>
        <w:rPr>
          <w:rFonts w:hint="eastAsia" w:ascii="宋体" w:hAnsi="宋体" w:cs="宋体"/>
          <w:b/>
          <w:bCs/>
          <w:color w:val="000000"/>
          <w:szCs w:val="21"/>
          <w:highlight w:val="none"/>
        </w:rPr>
        <w:t xml:space="preserve">和投诉</w:t>
      </w:r>
      <w:r>
        <w:rPr>
          <w:rFonts w:hint="eastAsia" w:ascii="宋体" w:hAnsi="宋体" w:cs="宋体"/>
          <w:b/>
          <w:bCs/>
          <w:color w:val="000000"/>
          <w:szCs w:val="21"/>
          <w:highlight w:val="none"/>
        </w:rPr>
      </w:r>
      <w:r/>
    </w:p>
    <w:p>
      <w:pPr>
        <w:pStyle w:val="1086"/>
        <w:ind w:firstLine="422"/>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24.质疑</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 供应商认为招标文件、采购过程和中标结果使自己的合法权益受到损害的，可以在知道或者应当知道其权益受到损害之日起七个工作日内，以书面的形式（原件）向采购人或采购代理机构提出质疑。</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24.4 供应商必须在法定质疑期内一次性提出针对同一采购程序环节的质疑。供应商如在法定期限内对同一采购程序环节提出多次质疑的，采购代理机构、采购人将只对供应商第一次质疑作出答复。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24.6 质疑文件应包括以下主要内容，并按照“谁主张、谁举证”的原则，附上相关证明材料。否则，采购代理机构或采购人不予受理：</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（1）供应商的姓名或者名称、地址、邮编、联系人及联系电话；</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（2）质疑项目的名称、编号；</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（3）具体、明确的质疑事项和与质疑事项相关的请求（具体条款）；</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（4）事实依据（具体条款）；</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（5）必要的法律依据（具体条款）；</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（6）提出质疑的日期。</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24.8 质疑函应当使用中文。相关当事人提供外文书证或者外国语视听资料的，应当附有中文译本，由翻译机构盖章或者翻译人员签名。</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24.9 质疑函应当现场提交至采购代理机构或采购人联系人处，提交时应出示有效身份证明。未按上述要求提交质疑函的，质疑不予受理。</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24.11 采购人或采购代理机构在收到供应商的书面质疑后在七个工作日内作出答复，并以书面形式通知质疑供应商和其他有关供应商，答复的内容不涉及商业秘密。</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24.12 以下情形的质疑不予受理</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24.12.1 内容不符合《政府采购质疑和投诉办法》第十二条规定的质疑。</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24.12.2 超出政府采购法定期限的质疑。</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24.12.3 以传真、电子邮件等方式递交的非原件形式的质疑。</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24.12.4 未参加投标活动的供应商或在投标活动中自身权益未受到损害的供应商所提出的质疑。</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24.12.5供应商组成联合体参加投标，联合体中任何一方或多方未按要求签字、盖章、加盖公章的质疑。</w:t>
      </w:r>
      <w:r>
        <w:rPr>
          <w:rFonts w:hint="eastAsia" w:ascii="宋体" w:hAnsi="宋体" w:cs="宋体"/>
          <w:bCs/>
          <w:color w:val="000000"/>
          <w:szCs w:val="21"/>
          <w:highlight w:val="none"/>
        </w:rPr>
      </w:r>
      <w:r/>
    </w:p>
    <w:p>
      <w:pPr>
        <w:pStyle w:val="1086"/>
        <w:ind w:firstLine="420"/>
        <w:spacing w:line="360" w:lineRule="auto"/>
        <w:shd w:val="clear" w:color="auto" w:fill="ffffff"/>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24.13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Cs w:val="21"/>
          <w:highlight w:val="none"/>
        </w:rPr>
      </w:r>
      <w:r/>
    </w:p>
    <w:p>
      <w:pPr>
        <w:pStyle w:val="1086"/>
        <w:ind w:firstLine="422"/>
        <w:spacing w:line="360" w:lineRule="auto"/>
        <w:shd w:val="clear" w:color="auto" w:fill="ffffff"/>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25.投诉</w:t>
      </w:r>
      <w:r>
        <w:rPr>
          <w:rFonts w:hint="eastAsia" w:ascii="宋体" w:hAnsi="宋体" w:cs="宋体"/>
          <w:b/>
          <w:bCs/>
          <w:color w:val="000000"/>
          <w:szCs w:val="21"/>
          <w:highlight w:val="none"/>
        </w:rPr>
      </w:r>
      <w:r/>
    </w:p>
    <w:p>
      <w:pPr>
        <w:pStyle w:val="1086"/>
        <w:ind w:firstLine="420"/>
        <w:spacing w:line="360" w:lineRule="auto"/>
        <w:shd w:val="clear" w:color="auto" w:fill="ffffff"/>
        <w:widowControl/>
        <w:rPr>
          <w:rFonts w:ascii="宋体" w:hAnsi="宋体"/>
          <w:b/>
          <w:bCs/>
          <w:color w:val="000000"/>
          <w:szCs w:val="21"/>
          <w:highlight w:val="none"/>
        </w:rPr>
      </w:pPr>
      <w:r>
        <w:rPr>
          <w:rFonts w:hint="eastAsia" w:ascii="宋体" w:hAnsi="宋体" w:cs="宋体"/>
          <w:color w:val="000000"/>
          <w:szCs w:val="21"/>
          <w:highlight w:val="none"/>
        </w:rPr>
        <w:t xml:space="preserve">质疑投标商对代理机构的答复不满意，或代理机构未在规定的时间内作出答复的，可以在答复期满后</w:t>
      </w:r>
      <w:r>
        <w:rPr>
          <w:rFonts w:hint="eastAsia" w:ascii="宋体" w:hAnsi="宋体" w:cs="宋体"/>
          <w:b/>
          <w:bCs/>
          <w:color w:val="000000"/>
          <w:szCs w:val="21"/>
          <w:highlight w:val="none"/>
        </w:rPr>
        <w:t xml:space="preserve">十五个工作日内</w:t>
      </w:r>
      <w:r>
        <w:rPr>
          <w:rFonts w:hint="eastAsia" w:ascii="宋体" w:hAnsi="宋体" w:cs="宋体"/>
          <w:color w:val="000000"/>
          <w:szCs w:val="21"/>
          <w:highlight w:val="none"/>
        </w:rPr>
        <w:t xml:space="preserve">向采购人同级财政部门投诉。</w:t>
      </w:r>
      <w:r>
        <w:rPr>
          <w:rFonts w:ascii="宋体" w:hAnsi="宋体"/>
          <w:b/>
          <w:bCs/>
          <w:color w:val="000000"/>
          <w:szCs w:val="21"/>
          <w:highlight w:val="none"/>
        </w:rPr>
        <w:t xml:space="preserve"> </w:t>
      </w:r>
      <w:r>
        <w:rPr>
          <w:rFonts w:ascii="宋体" w:hAnsi="宋体"/>
          <w:b/>
          <w:bCs/>
          <w:color w:val="000000"/>
          <w:szCs w:val="21"/>
          <w:highlight w:val="none"/>
        </w:rPr>
      </w:r>
      <w:r/>
    </w:p>
    <w:p>
      <w:pPr>
        <w:pStyle w:val="1086"/>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r>
      <w:r/>
    </w:p>
    <w:p>
      <w:pPr>
        <w:pStyle w:val="1086"/>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r>
      <w:r/>
    </w:p>
    <w:p>
      <w:pPr>
        <w:pStyle w:val="1086"/>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r>
      <w:r/>
    </w:p>
    <w:p>
      <w:pPr>
        <w:pStyle w:val="1086"/>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r>
      <w:r/>
    </w:p>
    <w:p>
      <w:pPr>
        <w:pStyle w:val="1086"/>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r>
      <w:r/>
    </w:p>
    <w:p>
      <w:pPr>
        <w:pStyle w:val="1086"/>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r>
      <w:r/>
    </w:p>
    <w:p>
      <w:pPr>
        <w:pStyle w:val="1086"/>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r>
      <w:r/>
    </w:p>
    <w:p>
      <w:pPr>
        <w:pStyle w:val="1086"/>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r>
      <w:r/>
    </w:p>
    <w:p>
      <w:pPr>
        <w:pStyle w:val="1086"/>
        <w:ind w:firstLine="562"/>
        <w:jc w:val="center"/>
        <w:spacing w:line="360" w:lineRule="auto"/>
        <w:rPr>
          <w:rFonts w:eastAsia="黑体"/>
          <w:b/>
          <w:bCs/>
          <w:color w:val="000000"/>
          <w:sz w:val="32"/>
          <w:szCs w:val="32"/>
          <w:highlight w:val="none"/>
        </w:rPr>
        <w:outlineLvl w:val="0"/>
      </w:pPr>
      <w:r/>
      <w:bookmarkStart w:id="115" w:name="_Toc668"/>
      <w:r>
        <w:rPr>
          <w:rFonts w:eastAsia="黑体"/>
          <w:b/>
          <w:bCs/>
          <w:color w:val="000000"/>
          <w:sz w:val="32"/>
          <w:szCs w:val="32"/>
          <w:highlight w:val="none"/>
        </w:rPr>
        <w:br w:type="page" w:clear="all"/>
      </w:r>
      <w:r>
        <w:rPr>
          <w:rFonts w:eastAsia="黑体"/>
          <w:b/>
          <w:bCs/>
          <w:color w:val="000000"/>
          <w:sz w:val="32"/>
          <w:szCs w:val="32"/>
          <w:highlight w:val="none"/>
        </w:rPr>
        <w:t xml:space="preserve">第三章 </w:t>
      </w:r>
      <w:bookmarkEnd w:id="115"/>
      <w:r>
        <w:rPr>
          <w:rFonts w:eastAsia="黑体"/>
          <w:b/>
          <w:bCs/>
          <w:color w:val="000000"/>
          <w:sz w:val="32"/>
          <w:szCs w:val="32"/>
          <w:highlight w:val="none"/>
        </w:rPr>
        <w:t xml:space="preserve">评标方法、评分标准</w:t>
      </w:r>
      <w:bookmarkStart w:id="116" w:name="_Toc11059"/>
      <w:r>
        <w:rPr>
          <w:rFonts w:eastAsia="黑体"/>
          <w:b/>
          <w:bCs/>
          <w:color w:val="000000"/>
          <w:sz w:val="32"/>
          <w:szCs w:val="32"/>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一、评标办法：</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1、评标方法采用综合评分法。即在投标文件满足招标文件全部实质性要求，且按照评审因素的量化指标评审得分最高的投标人为中标人的评标方法。评审因素及各比重如下：价格分值占总分值的比重为30%（权重），技术与服务及其它占70%（权重）。（保留小数点后2位）</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2、综合评分的主要因素为：价格、技术水平、履约能力、售后服务等，对采购文件的响应程度，以及相应的商务标和技术标比重或者分值等。</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二、政府采购政策执行办法：</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①</w:t>
      </w:r>
      <w:r>
        <w:rPr>
          <w:rFonts w:hint="eastAsia" w:hAnsi="宋体"/>
          <w:b/>
          <w:bCs/>
          <w:color w:val="000000"/>
          <w:szCs w:val="21"/>
          <w:highlight w:val="none"/>
        </w:rPr>
        <w:t xml:space="preserve">对于专门面向中小微型企业采购的项目，只面向中小微型企业采购，必须提供《中小企业声明函》，否则作无效投标处理。</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②对小型和微型企业产品的价格给予10%的扣除，用扣除后的价格参与评审。参加投标的中小企业，应当按照《政府采购促进中小企业发展管理办法》（财库﹝2020﹞46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③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④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同一投标人，上述三项价格扣除优惠不得重复享受。</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④采购本国产品的支持政策</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供应商需按照招标文件的要求提供《关于符合本国产品标准的声明函》（以下简称《声明函》），如不提供将不享受本国产品价格评审优惠。</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三、评分标准：</w:t>
      </w:r>
      <w:r>
        <w:rPr>
          <w:rFonts w:hint="eastAsia" w:hAnsi="宋体" w:cs="宋体"/>
          <w:color w:val="000000"/>
          <w:szCs w:val="21"/>
          <w:highlight w:val="none"/>
        </w:rPr>
      </w:r>
      <w:r/>
    </w:p>
    <w:p>
      <w:pPr>
        <w:pStyle w:val="1116"/>
        <w:ind w:firstLine="420"/>
        <w:spacing w:line="360" w:lineRule="auto"/>
        <w:rPr>
          <w:rFonts w:hint="eastAsia" w:hAnsi="宋体" w:cs="宋体"/>
          <w:color w:val="000000"/>
          <w:szCs w:val="21"/>
          <w:highlight w:val="none"/>
        </w:rPr>
      </w:pPr>
      <w:r>
        <w:rPr>
          <w:rFonts w:hint="eastAsia" w:hAnsi="宋体" w:cs="宋体"/>
          <w:color w:val="000000"/>
          <w:szCs w:val="21"/>
          <w:highlight w:val="none"/>
        </w:rPr>
        <w:t xml:space="preserve">本次采购的评标方法采用综合评分法，小数点后保留两位，四舍五入。</w:t>
      </w:r>
      <w:r>
        <w:rPr>
          <w:rFonts w:hint="eastAsia" w:hAnsi="宋体" w:cs="宋体"/>
          <w:color w:val="000000"/>
          <w:szCs w:val="21"/>
          <w:highlight w:val="none"/>
        </w:rPr>
      </w:r>
      <w:r/>
    </w:p>
    <w:tbl>
      <w:tblPr>
        <w:tblW w:w="500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0"/>
        <w:gridCol w:w="1727"/>
        <w:gridCol w:w="6113"/>
        <w:gridCol w:w="674"/>
        <w:gridCol w:w="951"/>
      </w:tblGrid>
      <w:tr>
        <w:trPr>
          <w:trHeight w:val="793"/>
        </w:trPr>
        <w:tc>
          <w:tcPr>
            <w:tcMar>
              <w:left w:w="0" w:type="dxa"/>
              <w:top w:w="0" w:type="dxa"/>
              <w:right w:w="0" w:type="dxa"/>
              <w:bottom w:w="0" w:type="dxa"/>
            </w:tcMar>
            <w:tcW w:w="270" w:type="dxa"/>
            <w:vAlign w:val="top"/>
            <w:textDirection w:val="lrTb"/>
            <w:noWrap w:val="false"/>
          </w:tcPr>
          <w:p>
            <w:pPr>
              <w:pStyle w:val="1086"/>
              <w:jc w:val="center"/>
              <w:spacing w:before="264"/>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2"/>
                <w:szCs w:val="21"/>
                <w:highlight w:val="none"/>
              </w:rPr>
              <w:t xml:space="preserve">序号</w:t>
            </w:r>
            <w:r>
              <w:rPr>
                <w:rFonts w:hint="eastAsia" w:ascii="宋体" w:hAnsi="宋体" w:cs="宋体"/>
                <w:color w:val="000000"/>
                <w:szCs w:val="21"/>
                <w:highlight w:val="none"/>
              </w:rPr>
            </w:r>
            <w:r/>
          </w:p>
        </w:tc>
        <w:tc>
          <w:tcPr>
            <w:tcMar>
              <w:left w:w="0" w:type="dxa"/>
              <w:top w:w="0" w:type="dxa"/>
              <w:right w:w="0" w:type="dxa"/>
              <w:bottom w:w="0" w:type="dxa"/>
            </w:tcMar>
            <w:tcW w:w="863" w:type="dxa"/>
            <w:vAlign w:val="top"/>
            <w:textDirection w:val="lrTb"/>
            <w:noWrap w:val="false"/>
          </w:tcPr>
          <w:p>
            <w:pPr>
              <w:pStyle w:val="1086"/>
              <w:jc w:val="center"/>
              <w:spacing w:before="264"/>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2"/>
                <w:szCs w:val="21"/>
                <w:highlight w:val="none"/>
              </w:rPr>
              <w:t xml:space="preserve">评审因素</w:t>
            </w:r>
            <w:r>
              <w:rPr>
                <w:rFonts w:hint="eastAsia" w:ascii="宋体" w:hAnsi="宋体" w:cs="宋体"/>
                <w:color w:val="000000"/>
                <w:szCs w:val="21"/>
                <w:highlight w:val="none"/>
              </w:rPr>
            </w:r>
            <w:r/>
          </w:p>
        </w:tc>
        <w:tc>
          <w:tcPr>
            <w:tcMar>
              <w:left w:w="0" w:type="dxa"/>
              <w:top w:w="0" w:type="dxa"/>
              <w:right w:w="0" w:type="dxa"/>
              <w:bottom w:w="0" w:type="dxa"/>
            </w:tcMar>
            <w:tcW w:w="3055" w:type="dxa"/>
            <w:vAlign w:val="top"/>
            <w:textDirection w:val="lrTb"/>
            <w:noWrap w:val="false"/>
          </w:tcPr>
          <w:p>
            <w:pPr>
              <w:pStyle w:val="1086"/>
              <w:jc w:val="center"/>
              <w:spacing w:before="264"/>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2"/>
                <w:szCs w:val="21"/>
                <w:highlight w:val="none"/>
              </w:rPr>
              <w:t xml:space="preserve">评审细则</w:t>
            </w:r>
            <w:r>
              <w:rPr>
                <w:rFonts w:hint="eastAsia" w:ascii="宋体" w:hAnsi="宋体" w:cs="宋体"/>
                <w:color w:val="000000"/>
                <w:szCs w:val="21"/>
                <w:highlight w:val="none"/>
              </w:rPr>
            </w:r>
            <w:r/>
          </w:p>
        </w:tc>
        <w:tc>
          <w:tcPr>
            <w:tcMar>
              <w:left w:w="0" w:type="dxa"/>
              <w:top w:w="0" w:type="dxa"/>
              <w:right w:w="0" w:type="dxa"/>
              <w:bottom w:w="0" w:type="dxa"/>
            </w:tcMar>
            <w:tcW w:w="337" w:type="dxa"/>
            <w:vAlign w:val="top"/>
            <w:textDirection w:val="lrTb"/>
            <w:noWrap w:val="false"/>
          </w:tcPr>
          <w:p>
            <w:pPr>
              <w:pStyle w:val="1086"/>
              <w:jc w:val="center"/>
              <w:spacing w:before="264"/>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2"/>
                <w:szCs w:val="21"/>
                <w:highlight w:val="none"/>
              </w:rPr>
              <w:t xml:space="preserve">分值</w:t>
            </w:r>
            <w:r>
              <w:rPr>
                <w:rFonts w:hint="eastAsia" w:ascii="宋体" w:hAnsi="宋体" w:cs="宋体"/>
                <w:color w:val="000000"/>
                <w:szCs w:val="21"/>
                <w:highlight w:val="none"/>
              </w:rPr>
            </w:r>
            <w:r/>
          </w:p>
        </w:tc>
        <w:tc>
          <w:tcPr>
            <w:tcMar>
              <w:left w:w="0" w:type="dxa"/>
              <w:top w:w="0" w:type="dxa"/>
              <w:right w:w="0" w:type="dxa"/>
              <w:bottom w:w="0" w:type="dxa"/>
            </w:tcMar>
            <w:tcW w:w="473" w:type="dxa"/>
            <w:vAlign w:val="top"/>
            <w:textDirection w:val="lrTb"/>
            <w:noWrap w:val="false"/>
          </w:tcPr>
          <w:p>
            <w:pPr>
              <w:pStyle w:val="1086"/>
              <w:jc w:val="center"/>
              <w:spacing w:before="264"/>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2"/>
                <w:szCs w:val="21"/>
                <w:highlight w:val="none"/>
              </w:rPr>
              <w:t xml:space="preserve">类型</w:t>
            </w:r>
            <w:r>
              <w:rPr>
                <w:rFonts w:hint="eastAsia" w:ascii="宋体" w:hAnsi="宋体" w:cs="宋体"/>
                <w:color w:val="000000"/>
                <w:szCs w:val="21"/>
                <w:highlight w:val="none"/>
              </w:rPr>
            </w:r>
            <w:r/>
          </w:p>
        </w:tc>
      </w:tr>
      <w:tr>
        <w:trPr>
          <w:trHeight w:val="460"/>
        </w:trPr>
        <w:tc>
          <w:tcPr>
            <w:gridSpan w:val="5"/>
            <w:tcMar>
              <w:left w:w="0" w:type="dxa"/>
              <w:top w:w="0" w:type="dxa"/>
              <w:right w:w="0" w:type="dxa"/>
              <w:bottom w:w="0" w:type="dxa"/>
            </w:tcMar>
            <w:tcW w:w="10005" w:type="dxa"/>
            <w:vAlign w:val="top"/>
            <w:textDirection w:val="lrTb"/>
            <w:noWrap w:val="false"/>
          </w:tcPr>
          <w:p>
            <w:pPr>
              <w:pStyle w:val="1086"/>
              <w:ind w:left="114"/>
              <w:spacing w:before="122"/>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3"/>
                <w:szCs w:val="21"/>
                <w:highlight w:val="none"/>
              </w:rPr>
              <w:t xml:space="preserve">1.价</w:t>
            </w:r>
            <w:r>
              <w:rPr>
                <w:rFonts w:hint="eastAsia" w:ascii="宋体" w:hAnsi="宋体" w:cs="宋体"/>
                <w:b/>
                <w:color w:val="000000"/>
                <w:spacing w:val="-2"/>
                <w:szCs w:val="21"/>
                <w:highlight w:val="none"/>
              </w:rPr>
              <w:t xml:space="preserve">格</w:t>
            </w:r>
            <w:r>
              <w:rPr>
                <w:rFonts w:hint="eastAsia" w:ascii="宋体" w:hAnsi="宋体" w:cs="宋体"/>
                <w:color w:val="000000"/>
                <w:szCs w:val="21"/>
                <w:highlight w:val="none"/>
              </w:rPr>
            </w:r>
            <w:r/>
          </w:p>
        </w:tc>
      </w:tr>
      <w:tr>
        <w:trPr>
          <w:trHeight w:val="1030"/>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1"/>
                <w:highlight w:val="none"/>
              </w:rPr>
              <w:t xml:space="preserve">1</w:t>
            </w:r>
            <w:r>
              <w:rPr>
                <w:rFonts w:hint="eastAsia" w:ascii="宋体" w:hAnsi="宋体" w:cs="宋体"/>
                <w:color w:val="000000"/>
                <w:spacing w:val="-5"/>
                <w:szCs w:val="21"/>
                <w:highlight w:val="none"/>
              </w:rPr>
              <w:t xml:space="preserve">.1</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价格分</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
                <w:szCs w:val="21"/>
                <w:highlight w:val="none"/>
              </w:rPr>
              <w:t xml:space="preserve">采用低价优先</w:t>
            </w:r>
            <w:r>
              <w:rPr>
                <w:rFonts w:hint="eastAsia" w:ascii="宋体" w:hAnsi="宋体" w:cs="宋体"/>
                <w:color w:val="000000"/>
                <w:szCs w:val="21"/>
                <w:highlight w:val="none"/>
              </w:rPr>
              <w:t xml:space="preserve">法计算，即满足招标文件要求且投标价格最低的投标</w:t>
            </w:r>
            <w:r>
              <w:rPr>
                <w:rFonts w:hint="eastAsia" w:ascii="宋体" w:hAnsi="宋体" w:cs="宋体"/>
                <w:color w:val="000000"/>
                <w:spacing w:val="1"/>
                <w:szCs w:val="21"/>
                <w:highlight w:val="none"/>
              </w:rPr>
              <w:t xml:space="preserve">报价为评标基准</w:t>
            </w:r>
            <w:r>
              <w:rPr>
                <w:rFonts w:hint="eastAsia" w:ascii="宋体" w:hAnsi="宋体" w:cs="宋体"/>
                <w:color w:val="000000"/>
                <w:szCs w:val="21"/>
                <w:highlight w:val="none"/>
              </w:rPr>
              <w:t xml:space="preserve">价，其价格分为满分。其他投标人的价格分统一按</w:t>
            </w:r>
            <w:r>
              <w:rPr>
                <w:rFonts w:hint="eastAsia" w:ascii="宋体" w:hAnsi="宋体" w:cs="宋体"/>
                <w:color w:val="000000"/>
                <w:spacing w:val="-1"/>
                <w:szCs w:val="21"/>
                <w:highlight w:val="none"/>
              </w:rPr>
              <w:t xml:space="preserve">照下列公</w:t>
            </w:r>
            <w:r>
              <w:rPr>
                <w:rFonts w:hint="eastAsia" w:ascii="宋体" w:hAnsi="宋体" w:cs="宋体"/>
                <w:color w:val="000000"/>
                <w:szCs w:val="21"/>
                <w:highlight w:val="none"/>
              </w:rPr>
              <w:t xml:space="preserve">式计算：投标报价得分=(评标基准价/投标报价)×30（小数点保留两位）</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30</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价格分</w:t>
            </w:r>
            <w:r>
              <w:rPr>
                <w:rFonts w:hint="eastAsia" w:ascii="宋体" w:hAnsi="宋体" w:cs="宋体"/>
                <w:color w:val="000000"/>
                <w:szCs w:val="21"/>
                <w:highlight w:val="none"/>
              </w:rPr>
            </w:r>
            <w:r/>
          </w:p>
        </w:tc>
      </w:tr>
      <w:tr>
        <w:trPr>
          <w:trHeight w:val="460"/>
        </w:trPr>
        <w:tc>
          <w:tcPr>
            <w:gridSpan w:val="5"/>
            <w:tcMar>
              <w:left w:w="0" w:type="dxa"/>
              <w:top w:w="0" w:type="dxa"/>
              <w:right w:w="0" w:type="dxa"/>
              <w:bottom w:w="0" w:type="dxa"/>
            </w:tcMar>
            <w:tcW w:w="10005" w:type="dxa"/>
            <w:vAlign w:val="top"/>
            <w:textDirection w:val="lrTb"/>
            <w:noWrap w:val="false"/>
          </w:tcPr>
          <w:p>
            <w:pPr>
              <w:pStyle w:val="1086"/>
              <w:ind w:left="114"/>
              <w:spacing w:before="123"/>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3"/>
                <w:szCs w:val="21"/>
                <w:highlight w:val="none"/>
              </w:rPr>
              <w:t xml:space="preserve">2.技术</w:t>
            </w:r>
            <w:r>
              <w:rPr>
                <w:rFonts w:hint="eastAsia" w:ascii="宋体" w:hAnsi="宋体" w:cs="宋体"/>
                <w:color w:val="000000"/>
                <w:szCs w:val="21"/>
                <w:highlight w:val="none"/>
              </w:rPr>
            </w:r>
            <w:r/>
          </w:p>
        </w:tc>
      </w:tr>
      <w:tr>
        <w:trPr>
          <w:trHeight w:val="891"/>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2.1</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产品技术参数</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1"/>
                <w:szCs w:val="21"/>
                <w:highlight w:val="none"/>
                <w:u w:val="none"/>
                <w:lang w:val="en-US" w:eastAsia="zh-CN" w:bidi="ar"/>
              </w:rPr>
              <w:t xml:space="preserve">设备技术参数全部满足招标要求的得满分18分；指标有1项负偏离扣0.05分，扣完为止。</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891"/>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2.2</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原材料检测报告</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投标人提供自2024年1月1日（以报告签发日期为准）以来，具有CMA标识且检测结果为合格/符合的原材料检测报告原件扫描件：</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（1）橡胶木：依据标准需包含GB/T3324-2024、GB/T1927.5-2021、GB/T38309-2019、GB/T29894-2013，检测项目至少包含：外观要求、气干密度、烟气流毒性组分测试、树种鉴定。</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（2）钢管：依据标准需包含：GB/T3325-2024、GB/T34219-2025、JC/T2484-2018、GB/T2423.33-2021标准。检测项包含:外观性能、常温抗拉强度、涂层耐久性、高浓度二氧化硫试验(120h)。</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（3）三聚氰胺饰面刨花板：依据标准需包含GB/T15102-2017、JC/T2039-2010、GB/T31762-2015、GB/T34749-2017、GB/T36022-2018，检测项包含理化性能、防霉菌性能、苯酚释放量、耐火极限、氨释放量。</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（4）海绵:依据标准至少含GB/T10802-2023标准。检测项包含:外观、回弹率、气味等级、拉伸强度、撕裂强度、干热老化后拉伸强度、湿热老化后拉伸强度。</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每提供符合要求的1项得1分，最多得4分。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891"/>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2.3</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成品检测报告</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投标人提供自2024年1月1日（以报告签发日期为准）以来，具有CMA标识且检测结果为合格/符合的成品检测报告原件扫描件：</w:t>
            </w:r>
            <w:r>
              <w:rPr>
                <w:rFonts w:hint="eastAsia" w:ascii="宋体" w:hAnsi="宋体" w:cs="宋体"/>
                <w:color w:val="000000"/>
                <w:szCs w:val="21"/>
                <w:highlight w:val="none"/>
              </w:rPr>
            </w:r>
            <w:r/>
          </w:p>
          <w:p>
            <w:pPr>
              <w:pStyle w:val="108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（1）椅子：依据标准需包含GB/T3324-2024、GB/T10357.3-2025、GB/T31106-2014、GB/T43355-2023/ISO21701:2019(IDT)，检测项包含：外观、椅凳类强度和耐久性、苯、甲苯、TVOC、抗病毒活性值（肠道病毒EV71）。</w:t>
            </w:r>
            <w:r>
              <w:rPr>
                <w:rFonts w:hint="eastAsia" w:ascii="宋体" w:hAnsi="宋体" w:cs="宋体"/>
                <w:color w:val="000000"/>
                <w:szCs w:val="21"/>
                <w:highlight w:val="none"/>
              </w:rPr>
            </w:r>
            <w:r/>
          </w:p>
          <w:p>
            <w:pPr>
              <w:pStyle w:val="108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（2）图书柜：依据标准需包含：GB/T 3325-2024，检验项需包含：外观（金属件、木制件）、翘曲度、金属喷涂层（硬度、冲击强度）。</w:t>
            </w:r>
            <w:r>
              <w:rPr>
                <w:rFonts w:hint="eastAsia" w:ascii="宋体" w:hAnsi="宋体" w:cs="宋体"/>
                <w:color w:val="000000"/>
                <w:szCs w:val="21"/>
                <w:highlight w:val="none"/>
              </w:rPr>
            </w:r>
            <w:r/>
          </w:p>
          <w:p>
            <w:pPr>
              <w:pStyle w:val="108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（3）办公桌：依据标准需包含GB/T3324-2024、GB/T31106-2014、</w:t>
            </w:r>
            <w:r>
              <w:rPr>
                <w:rFonts w:ascii="宋体" w:hAnsi="宋体" w:cs="宋体"/>
                <w:color w:val="000000"/>
                <w:szCs w:val="21"/>
                <w:highlight w:val="none"/>
              </w:rPr>
              <w:t xml:space="preserve">GB/T10357.1-2024</w:t>
            </w:r>
            <w:r>
              <w:rPr>
                <w:rFonts w:hint="eastAsia" w:ascii="宋体" w:hAnsi="宋体" w:cs="宋体"/>
                <w:color w:val="000000"/>
                <w:szCs w:val="21"/>
                <w:highlight w:val="none"/>
              </w:rPr>
              <w:t xml:space="preserve">、GB/T43355-2023/ISO21701:2019(IDT)，检测项包含：外观、桌几类强度和耐久性、苯、二甲苯、TVOC、抗病毒活性值（甲型流感病毒H3N2）。</w:t>
            </w:r>
            <w:r>
              <w:rPr>
                <w:rFonts w:hint="eastAsia" w:ascii="宋体" w:hAnsi="宋体" w:cs="宋体"/>
                <w:color w:val="000000"/>
                <w:szCs w:val="21"/>
                <w:highlight w:val="none"/>
              </w:rPr>
            </w:r>
            <w:r/>
          </w:p>
          <w:p>
            <w:pPr>
              <w:pStyle w:val="108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（4）布艺沙发：依据标准需包含：QB/T1952.1-2023，检测项包含：外形对称度、外观要求、力学性能、结构安全性、座及扶手耐久性（≥5万次）。</w:t>
            </w:r>
            <w:r>
              <w:rPr>
                <w:rFonts w:hint="eastAsia" w:ascii="宋体" w:hAnsi="宋体" w:cs="宋体"/>
                <w:color w:val="000000"/>
                <w:szCs w:val="21"/>
                <w:highlight w:val="none"/>
              </w:rPr>
            </w:r>
            <w:r/>
          </w:p>
          <w:p>
            <w:pPr>
              <w:pStyle w:val="1086"/>
              <w:jc w:val="lef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每提供符合要求的1项得1分，最多得4分。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891"/>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2.4</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成品样品</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实物样品</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评委根据投标人提供的会议椅（序号184）样品综合评分：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（1）安全要求‌：符合安全要求，边缘无锐利棱角、支撑零件的组合部件配合严密、样品稳定、功能齐全。完全满足要求的得3分；基本满足要求的得1分；不能满足要求的不得分；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（2）规格要求‌：规格尺寸及内板厚度要求。完全满足要求的（规格尺寸误差≤3mm</w:t>
            </w:r>
            <w:r>
              <w:rPr>
                <w:rFonts w:hint="eastAsia" w:ascii="宋体" w:hAnsi="宋体" w:cs="宋体"/>
                <w:color w:val="000000"/>
                <w:szCs w:val="21"/>
                <w:highlight w:val="none"/>
              </w:rPr>
              <w:t xml:space="preserve">）得2分；基本满足要求的（误差≤5mm）得1分；不能满足要求的不得分；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（3）饰面外观要求：饰面纹路清晰及光泽度高，缝接处处理精致、无色差、无杂质、无异味。完全满足要求的得3分；基本满足要求的得1分；不能满足要求的不得分；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（4）金属件外观要求：电镀面平滑、无色差、连接或焊接无瑕疵、无色差、无杂质、无异味。完全满足要求的得2分；基本满足要求的得1分；不能满足要求的不得分。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本项最多得10分，投标人提供的样品不全或不符合本项目评审要求的不得分；未在截止时间前及规定地点提交样品的不得分。</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91"/>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2.5</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视频演示</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评委根据投标人提供的书包柜3（序号14）视频演示情况综合评分：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（1）产品外观质感优美、设计合理；零部件的组合部配合严密、平整、牢固；五金配件材质、工艺好，得6分；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（2）产品外观质感较优美、设计较合理，零部件的组合部配合较严密、平整、牢固，五金配件材质、工艺较好，得3分；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（3）产品外观质感较差、设计不尽合理，零部件的组合部牢固较差，五金配件材质、工艺较差，得1分；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（4）其他不得分。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本项最多得6分，未提供视频文件或因投标人自身原因视频文件无法打开或视频画面不清晰无法辨认的不得分。</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91"/>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2.6</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深化设计</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1、评委根据投标人提供的美术教室现场深化设计方案综合评分（美术教室需求清单序号24项-29项）：</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包括1.深化设计摆放分布图；2.效果图（效果图需包含2个角度）。</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（1）上述每项深化设计内容中产品布局合理，与招标文件清单一致，效果图设计感强，设计精美，得2分； </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（2）上述每项深化设计内容中产品布局相对合理，效果图设计相对完善，得1分；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（3）上述每项深化设计不合理、产品摆放分布图及效果图不全或未进行设计、未提供图纸的，不得分。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评委根据投标人提供的教师办公室现场深化设计方案综合评分（教师办公室需求清单序号130（办公桌）：8张、序号131（文件柜）：8个、序号168（办公椅5）：8张、序号180（桌边柜）：8个、序号181（矮柜）：1个）：</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包括1.深化设计摆放分布图；2.效果图（效果图需包含2个角度）。</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（1）上述每项深化设计内容中产品布局合理，与招标文件清单一致，效果图设计感强，设计精美，得2分； </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（2）上述每项深化设计内容中产品布局相对合理，效果图设计相对完善，得1分；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（3）上述每项深化设计不合理、产品摆放分布图及效果图不全或未进行设计、未提供图纸的，不得分。</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1"/>
                <w:highlight w:val="none"/>
              </w:rPr>
              <w:t xml:space="preserve">主观分</w:t>
            </w:r>
            <w:r>
              <w:rPr>
                <w:rFonts w:hint="eastAsia" w:ascii="宋体" w:hAnsi="宋体" w:cs="宋体"/>
                <w:color w:val="000000"/>
                <w:szCs w:val="21"/>
                <w:highlight w:val="none"/>
              </w:rPr>
            </w:r>
            <w:r/>
          </w:p>
        </w:tc>
      </w:tr>
      <w:tr>
        <w:trPr>
          <w:trHeight w:val="889"/>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2.7</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spacing w:before="68"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实施方案</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评委根据投标人提供的项目实施方案</w:t>
            </w:r>
            <w:r>
              <w:rPr>
                <w:rFonts w:hint="eastAsia" w:ascii="宋体" w:hAnsi="宋体" w:cs="宋体"/>
                <w:color w:val="000000"/>
                <w:szCs w:val="21"/>
                <w:highlight w:val="none"/>
              </w:rPr>
              <w:t xml:space="preserve">综合评分（每项内容逐条阐述）：</w:t>
            </w:r>
            <w:r>
              <w:rPr>
                <w:rFonts w:hint="eastAsia" w:ascii="宋体" w:hAnsi="宋体" w:cs="宋体"/>
                <w:color w:val="000000"/>
                <w:szCs w:val="21"/>
                <w:highlight w:val="none"/>
              </w:rPr>
            </w:r>
            <w:r/>
          </w:p>
          <w:p>
            <w:pPr>
              <w:pStyle w:val="1086"/>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包括1.实施目标；2.实施组织架构；3.实施团队；4.协调配合措施；5.应急措施</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86"/>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上述每项内容</w:t>
            </w:r>
            <w:r>
              <w:rPr>
                <w:rFonts w:hint="eastAsia" w:ascii="宋体" w:hAnsi="宋体" w:cs="宋体"/>
                <w:color w:val="000000"/>
                <w:szCs w:val="21"/>
                <w:highlight w:val="none"/>
                <w:lang w:val="zh-CN"/>
              </w:rPr>
              <w:t xml:space="preserve">完整、科学性、合理性、操作性强的，得</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分； </w:t>
            </w:r>
            <w:r>
              <w:rPr>
                <w:rFonts w:hint="eastAsia" w:ascii="宋体" w:hAnsi="宋体" w:cs="宋体"/>
                <w:color w:val="000000"/>
                <w:szCs w:val="21"/>
                <w:highlight w:val="none"/>
                <w:lang w:val="zh-CN"/>
              </w:rPr>
            </w:r>
            <w:r/>
          </w:p>
          <w:p>
            <w:pPr>
              <w:pStyle w:val="1086"/>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上述每项内容</w:t>
            </w:r>
            <w:r>
              <w:rPr>
                <w:rFonts w:hint="eastAsia" w:ascii="宋体" w:hAnsi="宋体" w:cs="宋体"/>
                <w:color w:val="000000"/>
                <w:szCs w:val="21"/>
                <w:highlight w:val="none"/>
                <w:lang w:val="zh-CN"/>
              </w:rPr>
              <w:t xml:space="preserve">基本完整、基本科学合理，有可操作性的，得</w:t>
            </w:r>
            <w:r>
              <w:rPr>
                <w:rFonts w:hint="eastAsia" w:ascii="宋体" w:hAnsi="宋体" w:cs="宋体"/>
                <w:color w:val="000000"/>
                <w:szCs w:val="21"/>
                <w:highlight w:val="none"/>
              </w:rPr>
              <w:t xml:space="preserve">0.5</w:t>
            </w:r>
            <w:r>
              <w:rPr>
                <w:rFonts w:hint="eastAsia" w:ascii="宋体" w:hAnsi="宋体" w:cs="宋体"/>
                <w:color w:val="000000"/>
                <w:szCs w:val="21"/>
                <w:highlight w:val="none"/>
                <w:lang w:val="zh-CN"/>
              </w:rPr>
              <w:t xml:space="preserve">分； </w:t>
            </w:r>
            <w:r>
              <w:rPr>
                <w:rFonts w:hint="eastAsia" w:ascii="宋体" w:hAnsi="宋体" w:cs="宋体"/>
                <w:color w:val="000000"/>
                <w:szCs w:val="21"/>
                <w:highlight w:val="none"/>
                <w:lang w:val="zh-CN"/>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rPr>
              <w:t xml:space="preserve">上述每项内容</w:t>
            </w:r>
            <w:r>
              <w:rPr>
                <w:rFonts w:hint="eastAsia" w:ascii="宋体" w:hAnsi="宋体" w:cs="宋体"/>
                <w:color w:val="000000"/>
                <w:szCs w:val="21"/>
                <w:highlight w:val="none"/>
                <w:lang w:val="zh-CN"/>
              </w:rPr>
              <w:t xml:space="preserve">不完整、不科学合理、不具可操作性或未提供的不得分。</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spacing w:before="68"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889"/>
        </w:trPr>
        <w:tc>
          <w:tcPr>
            <w:tcMar>
              <w:left w:w="0" w:type="dxa"/>
              <w:top w:w="0" w:type="dxa"/>
              <w:right w:w="0" w:type="dxa"/>
              <w:bottom w:w="0" w:type="dxa"/>
            </w:tcMar>
            <w:tcW w:w="270"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售后服务方案</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评委根据投标人提供的项目售后服务方案综合评分，包含：1.服务内容；2.故障解决方案；3.响应时间；4.技术人员保障。以上每项内容逐条阐述。</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（1）上述每项内容完整，科学合理、操作性强的，得1分；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（2）上述每项内容较完整，较科学合理，有可操作性的，得0.5分；</w:t>
            </w:r>
            <w:r>
              <w:rPr>
                <w:rFonts w:hint="eastAsia" w:ascii="宋体" w:hAnsi="宋体" w:cs="宋体"/>
                <w:color w:val="000000"/>
                <w:szCs w:val="21"/>
                <w:highlight w:val="none"/>
              </w:rPr>
            </w:r>
            <w:r/>
          </w:p>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（3）上述每项内容不科学合理、无操作性或未提供的不得分。</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spacing w:before="68"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主观分</w:t>
            </w:r>
            <w:r>
              <w:rPr>
                <w:rFonts w:hint="eastAsia" w:ascii="宋体" w:hAnsi="宋体" w:cs="宋体"/>
                <w:color w:val="000000"/>
                <w:szCs w:val="21"/>
                <w:highlight w:val="none"/>
              </w:rPr>
            </w:r>
            <w:r/>
          </w:p>
        </w:tc>
      </w:tr>
      <w:tr>
        <w:trPr>
          <w:trHeight w:val="472"/>
        </w:trPr>
        <w:tc>
          <w:tcPr>
            <w:gridSpan w:val="5"/>
            <w:tcMar>
              <w:left w:w="0" w:type="dxa"/>
              <w:top w:w="0" w:type="dxa"/>
              <w:right w:w="0" w:type="dxa"/>
              <w:bottom w:w="0" w:type="dxa"/>
            </w:tcMar>
            <w:tcW w:w="10005" w:type="dxa"/>
            <w:vAlign w:val="center"/>
            <w:textDirection w:val="lrTb"/>
            <w:noWrap w:val="false"/>
          </w:tcPr>
          <w:p>
            <w:pPr>
              <w:pStyle w:val="1086"/>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3"/>
                <w:szCs w:val="21"/>
                <w:highlight w:val="none"/>
              </w:rPr>
              <w:t xml:space="preserve">3.业绩</w:t>
            </w:r>
            <w:r>
              <w:rPr>
                <w:rFonts w:hint="eastAsia" w:ascii="宋体" w:hAnsi="宋体" w:cs="宋体"/>
                <w:color w:val="000000"/>
                <w:szCs w:val="21"/>
                <w:highlight w:val="none"/>
              </w:rPr>
            </w:r>
            <w:r/>
          </w:p>
        </w:tc>
      </w:tr>
      <w:tr>
        <w:trPr>
          <w:trHeight w:val="1083"/>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3.1</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spacing w:before="69"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投标人业绩</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spacing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提供2023年1月1日（含）至投标截止时间前（以合同签订时间为准）完成的类似项目案例，每提供1个得1分，最多得2分。（时间以合同签订时间为准，提供有效合同、验收资料、发票扫描件，合同页须清晰可见相应内容）</w:t>
            </w:r>
            <w:r>
              <w:rPr>
                <w:rFonts w:hint="eastAsia"/>
                <w:color w:val="000000"/>
                <w:highlight w:val="none"/>
              </w:rPr>
              <w:t xml:space="preserve">同一用户的不同业绩可以计分</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spacing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spacing w:before="68" w:line="62"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1"/>
                <w:highlight w:val="none"/>
              </w:rPr>
              <w:t xml:space="preserve">客</w:t>
            </w:r>
            <w:r>
              <w:rPr>
                <w:rFonts w:hint="eastAsia" w:ascii="宋体" w:hAnsi="宋体" w:cs="宋体"/>
                <w:color w:val="000000"/>
                <w:spacing w:val="-4"/>
                <w:szCs w:val="21"/>
                <w:highlight w:val="none"/>
              </w:rPr>
              <w:t xml:space="preserve">观分</w:t>
            </w:r>
            <w:r>
              <w:rPr>
                <w:rFonts w:hint="eastAsia" w:ascii="宋体" w:hAnsi="宋体" w:cs="宋体"/>
                <w:color w:val="000000"/>
                <w:szCs w:val="21"/>
                <w:highlight w:val="none"/>
              </w:rPr>
            </w:r>
            <w:r/>
          </w:p>
        </w:tc>
      </w:tr>
      <w:tr>
        <w:trPr>
          <w:trHeight w:val="390"/>
        </w:trPr>
        <w:tc>
          <w:tcPr>
            <w:gridSpan w:val="5"/>
            <w:tcMar>
              <w:left w:w="0" w:type="dxa"/>
              <w:top w:w="0" w:type="dxa"/>
              <w:right w:w="0" w:type="dxa"/>
              <w:bottom w:w="0" w:type="dxa"/>
            </w:tcMar>
            <w:tcW w:w="10005" w:type="dxa"/>
            <w:vAlign w:val="center"/>
            <w:textDirection w:val="lrTb"/>
            <w:noWrap w:val="false"/>
          </w:tcPr>
          <w:p>
            <w:pPr>
              <w:pStyle w:val="1086"/>
              <w:spacing w:before="68"/>
              <w:rPr>
                <w:rFonts w:hint="eastAsia" w:ascii="宋体" w:hAnsi="宋体" w:cs="宋体"/>
                <w:color w:val="000000"/>
                <w:spacing w:val="-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3"/>
                <w:szCs w:val="21"/>
                <w:highlight w:val="none"/>
              </w:rPr>
              <w:t xml:space="preserve">4.履约能力 </w:t>
            </w:r>
            <w:r>
              <w:rPr>
                <w:rFonts w:hint="eastAsia" w:ascii="宋体" w:hAnsi="宋体" w:cs="宋体"/>
                <w:color w:val="000000"/>
                <w:spacing w:val="-6"/>
                <w:szCs w:val="21"/>
                <w:highlight w:val="none"/>
              </w:rPr>
            </w:r>
            <w:r/>
          </w:p>
        </w:tc>
      </w:tr>
      <w:tr>
        <w:trPr>
          <w:trHeight w:val="133"/>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4.1</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履约能力1</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投标人或所投核心产品制造商，具有国家应急管理部门颁发的有效期内“安全生产标准化认证证书”，得2分。(提供证书原件扫描件或证明材料.)</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133"/>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4.2</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履约能力2</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或所投核心产品制造商，具有有效期内“家具中有害物质限量认证证书”（证书认证单元至少包含“木家具”的（实木家具-三层柜、幼儿桌、美工凳；人造板家具-办公桌、文件柜）、“金属家具”的实验凳、“软体家具”的办公椅），得2分。(提供证书原件扫描件及全国认证认可信息公共服务平台查询截图，认证范围不全本项不得分.</w:t>
            </w:r>
            <w:r>
              <w:rPr>
                <w:rFonts w:hint="eastAsia"/>
                <w:color w:val="000000"/>
                <w:highlight w:val="none"/>
              </w:rPr>
              <w:t xml:space="preserve"> </w:t>
            </w:r>
            <w:r>
              <w:rPr>
                <w:rFonts w:hint="eastAsia" w:ascii="宋体" w:hAnsi="宋体" w:cs="宋体"/>
                <w:color w:val="000000"/>
                <w:szCs w:val="21"/>
                <w:highlight w:val="none"/>
              </w:rPr>
              <w:t xml:space="preserve">若认证范围不一致，投标人可提供说明等材料证明服务能力。)</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133"/>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4.3</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履约能力3</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或所投核心产品制造商，具有有效期内“产品安全认证证书”（证书认证单元至少包含“木家具”的（实木家具-三层柜、幼儿桌、美工凳；人造板家具-办公桌、文件柜）、“金属家具”的实验凳、“软体家具”的办公椅）），得2分。(提供证书原件扫描件及全国认证认可信息公共服务平台查询截图，认证范围不全本项不得分.</w:t>
            </w:r>
            <w:r>
              <w:rPr>
                <w:rFonts w:hint="eastAsia"/>
                <w:color w:val="000000"/>
                <w:highlight w:val="none"/>
              </w:rPr>
              <w:t xml:space="preserve"> </w:t>
            </w:r>
            <w:r>
              <w:rPr>
                <w:rFonts w:hint="eastAsia" w:ascii="宋体" w:hAnsi="宋体" w:cs="宋体"/>
                <w:color w:val="000000"/>
                <w:szCs w:val="21"/>
                <w:highlight w:val="none"/>
              </w:rPr>
              <w:t xml:space="preserve">若认证范围不一致，投标人可提供说明等材料证明服务能力。)</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133"/>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4.4</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履约能力4</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投标人或所投核心产品制造商，具有有效期内</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人类工效学认证证书</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证书认证单元至少包含“桌台类”的（办公桌、幼儿桌）、“椅凳类”的（办公椅、美工凳、实验凳）、“柜架类”的（文件柜、三层柜）），得2分。(提供证书原件扫描件及全国认证认可信息公共服务平台查询截图，认证范围不全本项不得分.若认证范围不一致，投标人可提供说明等材料证明服务能力。)</w:t>
            </w:r>
            <w:r>
              <w:rPr>
                <w:rFonts w:hint="eastAsia" w:ascii="宋体" w:hAnsi="宋体" w:cs="宋体"/>
                <w:color w:val="000000"/>
                <w:szCs w:val="21"/>
                <w:highlight w:val="none"/>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133"/>
        </w:trPr>
        <w:tc>
          <w:tcPr>
            <w:gridSpan w:val="5"/>
            <w:tcMar>
              <w:left w:w="0" w:type="dxa"/>
              <w:top w:w="0" w:type="dxa"/>
              <w:right w:w="0" w:type="dxa"/>
              <w:bottom w:w="0" w:type="dxa"/>
            </w:tcMar>
            <w:tcW w:w="10005" w:type="dxa"/>
            <w:vAlign w:val="center"/>
            <w:textDirection w:val="lrTb"/>
            <w:noWrap w:val="false"/>
          </w:tcPr>
          <w:p>
            <w:pPr>
              <w:pStyle w:val="1086"/>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3"/>
                <w:szCs w:val="21"/>
                <w:highlight w:val="none"/>
              </w:rPr>
              <w:t xml:space="preserve">5.节能环保</w:t>
            </w:r>
            <w:r>
              <w:rPr>
                <w:rFonts w:hint="eastAsia" w:ascii="宋体" w:hAnsi="宋体" w:cs="宋体"/>
                <w:color w:val="000000"/>
                <w:szCs w:val="21"/>
                <w:highlight w:val="none"/>
              </w:rPr>
            </w:r>
            <w:r/>
          </w:p>
        </w:tc>
      </w:tr>
      <w:tr>
        <w:trPr>
          <w:trHeight w:val="1376"/>
        </w:trPr>
        <w:tc>
          <w:tcPr>
            <w:tcMar>
              <w:left w:w="0" w:type="dxa"/>
              <w:top w:w="0" w:type="dxa"/>
              <w:right w:w="0" w:type="dxa"/>
              <w:bottom w:w="0" w:type="dxa"/>
            </w:tcMar>
            <w:tcW w:w="270" w:type="dxa"/>
            <w:vAlign w:val="center"/>
            <w:textDirection w:val="lrTb"/>
            <w:noWrap w:val="false"/>
          </w:tcPr>
          <w:p>
            <w:pPr>
              <w:pStyle w:val="1086"/>
              <w:jc w:val="center"/>
              <w:spacing w:before="6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5.1</w:t>
            </w:r>
            <w:r>
              <w:rPr>
                <w:rFonts w:hint="eastAsia" w:ascii="宋体" w:hAnsi="宋体" w:cs="宋体"/>
                <w:color w:val="000000"/>
                <w:szCs w:val="21"/>
                <w:highlight w:val="none"/>
              </w:rPr>
            </w:r>
            <w:r/>
          </w:p>
        </w:tc>
        <w:tc>
          <w:tcPr>
            <w:tcMar>
              <w:left w:w="0" w:type="dxa"/>
              <w:top w:w="0" w:type="dxa"/>
              <w:right w:w="0" w:type="dxa"/>
              <w:bottom w:w="0" w:type="dxa"/>
            </w:tcMar>
            <w:tcW w:w="86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节能环保产品</w:t>
            </w:r>
            <w:r>
              <w:rPr>
                <w:rFonts w:hint="eastAsia" w:ascii="宋体" w:hAnsi="宋体" w:cs="宋体"/>
                <w:color w:val="000000"/>
                <w:szCs w:val="21"/>
                <w:highlight w:val="none"/>
              </w:rPr>
            </w:r>
            <w:r/>
          </w:p>
        </w:tc>
        <w:tc>
          <w:tcPr>
            <w:tcMar>
              <w:left w:w="0" w:type="dxa"/>
              <w:top w:w="0" w:type="dxa"/>
              <w:right w:w="0" w:type="dxa"/>
              <w:bottom w:w="0" w:type="dxa"/>
            </w:tcMar>
            <w:tcW w:w="3055" w:type="dxa"/>
            <w:vAlign w:val="center"/>
            <w:textDirection w:val="lrTb"/>
            <w:noWrap w:val="false"/>
          </w:tcPr>
          <w:p>
            <w:pPr>
              <w:pStyle w:val="1086"/>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环保产品：</w:t>
            </w:r>
            <w:r>
              <w:rPr>
                <w:rFonts w:hint="eastAsia" w:ascii="宋体" w:hAnsi="宋体" w:cs="宋体"/>
                <w:color w:val="000000"/>
                <w:szCs w:val="21"/>
                <w:highlight w:val="none"/>
              </w:rPr>
              <w:t xml:space="preserve">投标产品属于财政部、生态环境部公布的《环境标志产品政府采购品目清单》（财库〔2019〕18号）范围内，且依据相关标准的最新版本认证的环境标志产品的，投标人提供国家确定的认证机构出具的、处于有效期内的该产品的环境标志产品认证证书扫描件，，以上条件均符合情况下，得0.5分。</w:t>
            </w:r>
            <w:r>
              <w:rPr>
                <w:rFonts w:hint="eastAsia" w:ascii="宋体" w:hAnsi="宋体" w:cs="宋体"/>
                <w:color w:val="000000"/>
                <w:szCs w:val="21"/>
                <w:highlight w:val="none"/>
              </w:rPr>
            </w:r>
            <w:r/>
          </w:p>
          <w:p>
            <w:pPr>
              <w:pStyle w:val="1086"/>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t xml:space="preserve">节能产品：根据财政部、发展改革委、生态环境部、市场监管总局《关于调整优化节能产品、环境标志产品政府采购执行机制的通知》，投标标的如有属于《节能产品政府采购品目清单》（最新一期）内的产品，投标人需提供国家确定的认证机构出具的、处于有效期之内的节能产品认证证书</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t xml:space="preserve">以上条件均符合情况下，得</w:t>
            </w:r>
            <w:r>
              <w:rPr>
                <w:rFonts w:hint="eastAsia" w:ascii="宋体" w:hAnsi="宋体" w:cs="宋体"/>
                <w:color w:val="000000"/>
                <w:szCs w:val="21"/>
                <w:highlight w:val="none"/>
                <w:lang w:val="en-US" w:eastAsia="zh-CN"/>
              </w:rPr>
              <w:t xml:space="preserve">0.5</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tc>
        <w:tc>
          <w:tcPr>
            <w:tcMar>
              <w:left w:w="0" w:type="dxa"/>
              <w:top w:w="0" w:type="dxa"/>
              <w:right w:w="0" w:type="dxa"/>
              <w:bottom w:w="0" w:type="dxa"/>
            </w:tcMar>
            <w:tcW w:w="337"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Mar>
              <w:left w:w="0" w:type="dxa"/>
              <w:top w:w="0" w:type="dxa"/>
              <w:right w:w="0" w:type="dxa"/>
              <w:bottom w:w="0" w:type="dxa"/>
            </w:tcMar>
            <w:tcW w:w="473"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rPr>
            </w:r>
            <w:r/>
          </w:p>
        </w:tc>
      </w:tr>
      <w:tr>
        <w:trPr>
          <w:trHeight w:val="464"/>
        </w:trPr>
        <w:tc>
          <w:tcPr>
            <w:tcMar>
              <w:left w:w="0" w:type="dxa"/>
              <w:top w:w="0" w:type="dxa"/>
              <w:right w:w="0" w:type="dxa"/>
              <w:bottom w:w="0" w:type="dxa"/>
            </w:tcMar>
            <w:tcW w:w="270"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3"/>
                <w:szCs w:val="21"/>
                <w:highlight w:val="none"/>
              </w:rPr>
              <w:t xml:space="preserve">合</w:t>
            </w:r>
            <w:r>
              <w:rPr>
                <w:rFonts w:hint="eastAsia" w:ascii="宋体" w:hAnsi="宋体" w:cs="宋体"/>
                <w:color w:val="000000"/>
                <w:spacing w:val="-2"/>
                <w:szCs w:val="21"/>
                <w:highlight w:val="none"/>
              </w:rPr>
              <w:t xml:space="preserve">计</w:t>
            </w:r>
            <w:r>
              <w:rPr>
                <w:rFonts w:hint="eastAsia" w:ascii="宋体" w:hAnsi="宋体" w:cs="宋体"/>
                <w:color w:val="000000"/>
                <w:szCs w:val="21"/>
                <w:highlight w:val="none"/>
              </w:rPr>
            </w:r>
            <w:r/>
          </w:p>
        </w:tc>
        <w:tc>
          <w:tcPr>
            <w:gridSpan w:val="2"/>
            <w:tcMar>
              <w:left w:w="0" w:type="dxa"/>
              <w:top w:w="0" w:type="dxa"/>
              <w:right w:w="0" w:type="dxa"/>
              <w:bottom w:w="0" w:type="dxa"/>
            </w:tcMar>
            <w:tcW w:w="7840" w:type="dxa"/>
            <w:vAlign w:val="center"/>
            <w:textDirection w:val="lrTb"/>
            <w:noWrap w:val="false"/>
          </w:tcPr>
          <w:p>
            <w:pPr>
              <w:pStyle w:val="1086"/>
              <w:ind w:left="172"/>
              <w:jc w:val="center"/>
              <w:spacing w:before="123"/>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Cs w:val="21"/>
                <w:highlight w:val="none"/>
              </w:rPr>
              <w:t xml:space="preserve"> </w:t>
            </w:r>
            <w:r>
              <w:rPr>
                <w:rFonts w:hint="eastAsia" w:ascii="宋体" w:hAnsi="宋体" w:cs="宋体"/>
                <w:color w:val="000000"/>
                <w:szCs w:val="21"/>
                <w:highlight w:val="none"/>
              </w:rPr>
            </w:r>
            <w:r/>
          </w:p>
        </w:tc>
        <w:tc>
          <w:tcPr>
            <w:gridSpan w:val="2"/>
            <w:tcMar>
              <w:left w:w="0" w:type="dxa"/>
              <w:top w:w="0" w:type="dxa"/>
              <w:right w:w="0" w:type="dxa"/>
              <w:bottom w:w="0" w:type="dxa"/>
            </w:tcMar>
            <w:tcW w:w="1625" w:type="dxa"/>
            <w:vAlign w:val="center"/>
            <w:textDirection w:val="lrTb"/>
            <w:noWrap w:val="false"/>
          </w:tcPr>
          <w:p>
            <w:pPr>
              <w:pStyle w:val="1086"/>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1"/>
                <w:szCs w:val="21"/>
                <w:highlight w:val="none"/>
              </w:rPr>
              <w:t xml:space="preserve">100分</w:t>
            </w:r>
            <w:r>
              <w:rPr>
                <w:rFonts w:hint="eastAsia" w:ascii="宋体" w:hAnsi="宋体" w:cs="宋体"/>
                <w:color w:val="000000"/>
                <w:szCs w:val="21"/>
                <w:highlight w:val="none"/>
              </w:rPr>
            </w:r>
            <w:r/>
          </w:p>
        </w:tc>
      </w:tr>
    </w:tbl>
    <w:p>
      <w:pPr>
        <w:pStyle w:val="1116"/>
        <w:ind w:firstLine="420"/>
        <w:spacing w:line="360" w:lineRule="auto"/>
        <w:rPr>
          <w:rFonts w:hint="eastAsia" w:hAnsi="宋体"/>
          <w:color w:val="000000"/>
          <w:szCs w:val="21"/>
          <w:highlight w:val="none"/>
        </w:rPr>
      </w:pPr>
      <w:r>
        <w:rPr>
          <w:rFonts w:hint="eastAsia" w:hAnsi="宋体"/>
          <w:color w:val="000000"/>
          <w:szCs w:val="21"/>
          <w:highlight w:val="none"/>
        </w:rPr>
      </w:r>
      <w:r/>
    </w:p>
    <w:p>
      <w:pPr>
        <w:pStyle w:val="1086"/>
        <w:numPr>
          <w:ilvl w:val="0"/>
          <w:numId w:val="5"/>
        </w:numPr>
        <w:jc w:val="center"/>
        <w:spacing w:line="360" w:lineRule="auto"/>
        <w:rPr>
          <w:rFonts w:hint="eastAsia" w:ascii="宋体" w:hAnsi="宋体" w:cs="宋体"/>
          <w:b/>
          <w:color w:val="000000"/>
          <w:sz w:val="32"/>
          <w:szCs w:val="32"/>
          <w:highlight w:val="none"/>
        </w:rPr>
        <w:outlineLvl w:val="0"/>
      </w:pPr>
      <w:r/>
      <w:bookmarkEnd w:id="116"/>
      <w:r>
        <w:rPr>
          <w:rFonts w:hint="eastAsia" w:ascii="黑体" w:hAnsi="黑体" w:eastAsia="黑体" w:cs="黑体"/>
          <w:b/>
          <w:color w:val="000000"/>
          <w:sz w:val="32"/>
          <w:szCs w:val="32"/>
          <w:highlight w:val="none"/>
        </w:rPr>
        <w:br w:type="page" w:clear="all"/>
      </w:r>
      <w:r>
        <w:rPr>
          <w:rFonts w:hint="eastAsia" w:ascii="宋体" w:hAnsi="宋体" w:cs="宋体"/>
          <w:b/>
          <w:color w:val="000000"/>
          <w:sz w:val="32"/>
          <w:szCs w:val="32"/>
          <w:highlight w:val="none"/>
        </w:rPr>
        <w:t xml:space="preserve">  采购需求</w:t>
      </w:r>
      <w:r>
        <w:rPr>
          <w:rFonts w:hint="eastAsia" w:ascii="宋体" w:hAnsi="宋体" w:cs="宋体"/>
          <w:b/>
          <w:color w:val="000000"/>
          <w:sz w:val="32"/>
          <w:szCs w:val="32"/>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一、项目属性：货物类项目。</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二、项目概况</w:t>
      </w:r>
      <w:r>
        <w:rPr>
          <w:rFonts w:hint="eastAsia" w:ascii="宋体" w:hAnsi="宋体" w:cs="宋体"/>
          <w:color w:val="000000"/>
          <w:szCs w:val="21"/>
          <w:highlight w:val="none"/>
        </w:rPr>
      </w:r>
      <w:r/>
    </w:p>
    <w:p>
      <w:pPr>
        <w:pStyle w:val="1086"/>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（一）项目背景</w:t>
      </w:r>
      <w:r>
        <w:rPr>
          <w:rFonts w:hint="eastAsia" w:ascii="宋体" w:hAnsi="宋体" w:cs="宋体"/>
          <w:bCs/>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根据学校教学</w:t>
      </w:r>
      <w:r>
        <w:rPr>
          <w:rFonts w:hint="eastAsia" w:ascii="宋体" w:hAnsi="宋体" w:cs="宋体"/>
          <w:color w:val="000000"/>
          <w:szCs w:val="21"/>
          <w:highlight w:val="none"/>
        </w:rPr>
        <w:t xml:space="preserve">管理</w:t>
      </w:r>
      <w:r>
        <w:rPr>
          <w:rFonts w:hint="eastAsia" w:ascii="宋体" w:hAnsi="宋体" w:cs="宋体"/>
          <w:color w:val="000000"/>
          <w:szCs w:val="21"/>
          <w:highlight w:val="none"/>
          <w:lang w:val="zh-CN"/>
        </w:rPr>
        <w:t xml:space="preserve">需求，配置</w:t>
      </w:r>
      <w:r>
        <w:rPr>
          <w:rFonts w:hint="eastAsia" w:ascii="宋体" w:hAnsi="宋体" w:cs="宋体"/>
          <w:color w:val="000000"/>
          <w:szCs w:val="21"/>
          <w:highlight w:val="none"/>
        </w:rPr>
        <w:t xml:space="preserve">综合布线、数据网络、校园广播、校园安防、中心机房等设备安装与调试，保障开学日常教育教学管理需求。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（二）项目建设遵循标准</w:t>
      </w:r>
      <w:r>
        <w:rPr>
          <w:rFonts w:hint="eastAsia" w:ascii="宋体" w:hAnsi="宋体" w:cs="宋体"/>
          <w:bCs/>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（三）资产配置标准</w:t>
      </w:r>
      <w:r>
        <w:rPr>
          <w:rFonts w:hint="eastAsia" w:ascii="宋体" w:hAnsi="宋体" w:cs="宋体"/>
          <w:bCs/>
          <w:color w:val="000000"/>
          <w:szCs w:val="21"/>
          <w:highlight w:val="none"/>
        </w:rPr>
      </w:r>
      <w:r/>
    </w:p>
    <w:p>
      <w:pPr>
        <w:pStyle w:val="1086"/>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符合《市政府办公厅关于印发&lt;南京市市级行政事业单位资产配置标准&gt;、&lt;南京市市级行政事业单位资产使用年限标准&gt;（2016年修订版）的通知》。</w:t>
      </w:r>
      <w:r>
        <w:rPr>
          <w:rFonts w:hint="eastAsia" w:ascii="宋体" w:hAnsi="宋体" w:cs="宋体"/>
          <w:bCs/>
          <w:color w:val="000000"/>
          <w:szCs w:val="21"/>
          <w:highlight w:val="none"/>
        </w:rPr>
      </w:r>
      <w:r/>
    </w:p>
    <w:p>
      <w:pPr>
        <w:pStyle w:val="1086"/>
        <w:ind w:firstLine="48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三、项目清单</w:t>
      </w:r>
      <w:r>
        <w:rPr>
          <w:rFonts w:hint="eastAsia" w:ascii="宋体" w:hAnsi="宋体" w:cs="宋体"/>
          <w:bCs/>
          <w:color w:val="000000"/>
          <w:szCs w:val="21"/>
          <w:highlight w:val="none"/>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96"/>
        <w:gridCol w:w="2324"/>
        <w:gridCol w:w="706"/>
        <w:gridCol w:w="706"/>
        <w:gridCol w:w="1357"/>
        <w:gridCol w:w="843"/>
        <w:gridCol w:w="1359"/>
        <w:gridCol w:w="761"/>
        <w:gridCol w:w="1441"/>
      </w:tblGrid>
      <w:tr>
        <w:trPr>
          <w:trHeight w:val="951"/>
        </w:trPr>
        <w:tc>
          <w:tcPr>
            <w:tcBorders>
              <w:top w:val="single" w:color="000000" w:sz="8"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分项名称</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46"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46"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单价上限（元）</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产品类型</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所属行业</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373"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属性</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政府强制采购节能产品</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办公桌（带屏风）</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666"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373"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副柜1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副柜2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副柜3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办公椅1</w:t>
            </w:r>
            <w:r>
              <w:rPr>
                <w:rFonts w:hint="eastAsia"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32</w:t>
            </w:r>
            <w:r>
              <w:rPr>
                <w:rFonts w:hint="eastAsia"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b/>
                <w:bCs/>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b/>
                <w:bCs/>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办公椅3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备课桌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备课椅1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备课椅2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书架</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书包柜1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书包柜2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核心产品</w:t>
            </w:r>
            <w:r>
              <w:rPr>
                <w:rFonts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书包柜3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主要产品</w:t>
            </w:r>
            <w:r>
              <w:rPr>
                <w:rFonts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后墙绿板</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图书角1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图书角2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讲台1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讲台2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吊柜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仪器柜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功能室学生桌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实验凳</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美术桌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水池柜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美术室操作台</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美术材料柜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后墙储物柜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美工凳</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乐器柜1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乐器柜2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顶柜2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墙边柜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音乐凳</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娃娃家灶台1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娃娃家灶台2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娃娃家水槽1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娃娃家水槽2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娃娃家床1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娃娃家床2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娃娃家圆桌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造型图书柜1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造型图书柜2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2480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造型图书柜3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两层玩具柜1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两层玩具柜2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布艺沙发</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带顶游戏柜1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带顶游戏柜2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五格柜1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五格柜2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幼儿长桌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188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把</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教师椅</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可抽拉分餐桌1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可抽拉分餐桌2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1960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圆形毛巾架1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圆形毛巾架2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幼儿书包柜1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幼儿书包柜2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2850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幼儿四层床</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4400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幼儿长条桌1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幼儿长条桌2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塑料凳</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三层柜（无背板）1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三层柜（无背板）2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2600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转角柜1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转角柜2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晾画架</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移动材料架</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收纳盒1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收纳盒2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幼儿堆叠椅</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堆叠椅1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两层柜（无背板）</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三层柜（有背板）</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幼儿半圆桌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825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科学探索游戏柜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3600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幼儿方桌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弧形转角柜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饭兜架</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玩具柜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门头柜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可调节幼儿桌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960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可调节四人桌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889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可调节圆桌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1778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椅子6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209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2层柜（无背板）</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1889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可调节3层柜（无背板）</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2167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45°弧形柜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2056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弧形波纹挡板</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1639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直线波纹挡板</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1362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屏风感官组合</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3900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感官柜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1417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座椅柜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1778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书柜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1834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私密小窝</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7200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卡通木偶台</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3500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地毯</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778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卡通小摊车</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2723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托班小厨房</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2723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化妆台</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套</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2124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小推车</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934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美术画板柜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2980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双面美术画架</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3126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美术材料收纳柜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2473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美术纸筒柜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1980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美术作品晾干柜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2300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感统圆柱独木桥</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2750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感统平台</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感统波浪阶梯</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1056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感统阶梯</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1112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方块软包</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2084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119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软包</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2723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弧形软包(大)</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1389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弧形软包(小)</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778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教具篮1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64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教具篮2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卡通毛巾架</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2300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托班活动床</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473 </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边柜1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边柜2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图书架1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3280</w:t>
            </w:r>
            <w:r>
              <w:rPr>
                <w:rFonts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图书架2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1700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1800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五节档案柜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幼儿桌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134</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方桌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135</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四格柜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双层柜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137</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双人位幼儿沙发</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138</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圆几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139</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双层美工桌</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2400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美工凳</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游戏柜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4600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转角高柜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143</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玩具收纳柜</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1300</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围栏</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145</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乐高桌</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圆形地毯</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块</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147</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软包地垫</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帐篷</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149</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娃娃家推车</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娃娃家半圆桌</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墙面柜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12560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操作台1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8700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153</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操作台2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6000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茶杯箱柜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155</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直饮水机柜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生活区长桌</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1390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157</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生活区椅子</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205</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教师办公桌</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159</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墙面洞洞板</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5220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乐高墙面</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4536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单层柜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软包游戏围栏</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163</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收纳柜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移动柜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250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165</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软包换鞋柜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1950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半圆阅读桌</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167</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办公椅4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办公椅5</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169</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图书柜1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图书柜2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图书柜3</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173</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图书柜4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图书柜（三门）1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175</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图书柜（三门）2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图书柜（三门）3</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177</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梯形桌</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堆叠椅2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230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179</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图书卫生柜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1900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桌边柜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28</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181</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矮柜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182</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钢木桌</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183</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卫生柜</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个</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1600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r>
        <w:trPr>
          <w:trHeight w:val="315"/>
        </w:trPr>
        <w:tc>
          <w:tcPr>
            <w:tcBorders>
              <w:top w:val="none" w:color="000000" w:sz="4" w:space="0"/>
              <w:left w:val="single" w:color="000000" w:sz="8" w:space="0"/>
              <w:bottom w:val="single" w:color="000000" w:sz="8" w:space="0"/>
              <w:right w:val="single" w:color="000000" w:sz="8" w:space="0"/>
            </w:tcBorders>
            <w:tcW w:w="341"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184</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139"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会议椅</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06"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张</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357"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500</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413" w:type="dxa"/>
            <w:vAlign w:val="center"/>
            <w:textDirection w:val="lrTb"/>
            <w:noWrap w:val="false"/>
          </w:tcPr>
          <w:p>
            <w:pPr>
              <w:pStyle w:val="10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1359"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工业</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76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货物</w:t>
            </w:r>
            <w:r>
              <w:rPr>
                <w:rFonts w:hint="eastAsia" w:ascii="宋体" w:hAnsi="宋体" w:cs="宋体"/>
                <w:color w:val="000000"/>
                <w:szCs w:val="21"/>
                <w:highlight w:val="none"/>
                <w:lang w:bidi="ar"/>
              </w:rPr>
            </w:r>
            <w:r/>
          </w:p>
        </w:tc>
        <w:tc>
          <w:tcPr>
            <w:tcBorders>
              <w:top w:val="none" w:color="000000" w:sz="4" w:space="0"/>
              <w:left w:val="single" w:color="000000" w:sz="8" w:space="0"/>
              <w:bottom w:val="single" w:color="000000" w:sz="8" w:space="0"/>
              <w:right w:val="single" w:color="000000" w:sz="8" w:space="0"/>
            </w:tcBorders>
            <w:tcW w:w="1441" w:type="dxa"/>
            <w:vAlign w:val="center"/>
            <w:textDirection w:val="lrTb"/>
            <w:noWrap w:val="false"/>
          </w:tcPr>
          <w:p>
            <w:pPr>
              <w:pStyle w:val="1086"/>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bl>
    <w:p>
      <w:pPr>
        <w:pStyle w:val="108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ind w:firstLine="48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四、拟采购标的需要满足的技术、商务要求</w:t>
      </w:r>
      <w:r>
        <w:rPr>
          <w:rFonts w:hint="eastAsia" w:ascii="宋体" w:hAnsi="宋体" w:cs="宋体"/>
          <w:b/>
          <w:bCs/>
          <w:color w:val="000000"/>
          <w:szCs w:val="21"/>
          <w:highlight w:val="none"/>
        </w:rPr>
      </w:r>
      <w:r/>
    </w:p>
    <w:p>
      <w:pPr>
        <w:pStyle w:val="1086"/>
        <w:ind w:firstLine="48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（一）技术要求</w:t>
      </w:r>
      <w:r>
        <w:rPr>
          <w:rFonts w:hint="eastAsia" w:ascii="宋体" w:hAnsi="宋体" w:cs="宋体"/>
          <w:b/>
          <w:color w:val="000000"/>
          <w:szCs w:val="21"/>
          <w:highlight w:val="none"/>
        </w:rPr>
      </w:r>
      <w:r/>
    </w:p>
    <w:tbl>
      <w:tblPr>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6"/>
        <w:gridCol w:w="1496"/>
        <w:gridCol w:w="7863"/>
      </w:tblGrid>
      <w:tr>
        <w:trPr/>
        <w:tc>
          <w:tcPr>
            <w:tcW w:w="318"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748"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产品名称</w:t>
            </w:r>
            <w:r>
              <w:rPr>
                <w:rFonts w:hint="eastAsia" w:ascii="宋体" w:hAnsi="宋体" w:cs="宋体"/>
                <w:b/>
                <w:color w:val="000000"/>
                <w:szCs w:val="21"/>
                <w:highlight w:val="none"/>
              </w:rPr>
            </w:r>
            <w:r/>
          </w:p>
        </w:tc>
        <w:tc>
          <w:tcPr>
            <w:tcW w:w="3932" w:type="dxa"/>
            <w:vAlign w:val="center"/>
            <w:textDirection w:val="lrTb"/>
            <w:noWrap w:val="false"/>
          </w:tcPr>
          <w:p>
            <w:pPr>
              <w:pStyle w:val="108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功能、性能、配置要求不低于以下要求</w:t>
            </w:r>
            <w:r>
              <w:rPr>
                <w:rFonts w:hint="eastAsia" w:ascii="宋体" w:hAnsi="宋体" w:cs="宋体"/>
                <w:b/>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办公桌（带屏风）</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1.规格：1200*600*760/1150mm；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全部采用E0级实木多层免漆板，表面无开裂补灰、无腐无虫孔、表面平整无崩边，台面≥25mm厚、其余≥18mm厚，≥1.0mm厚PVC封边带机器四边封边，≥50*50*1.5mm方管，≥1.2mm厚冷轧钢板，40款铝合金框架屏风，≥1.0mm厚同色PVC封边带机器四边封边，三合一五金连接件组装，消音承重三节抽轨，钢桌架、挂板表面经酸洗磷化喷塑处理，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副柜1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1.规格：1500*350*1750mm；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2.全部采用E0级实木多层免漆板，表面无开裂补灰、无腐无虫孔、表面平整无崩边，台面厚度≥25mm、其余板材厚度≥18mm，采用≥1.0mm厚同色PVC封边带机器四边封边，三合一五金连接件组装；</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3.结构：共三列，左侧两列为敞开式格档，右侧一列为单开木门，内含挂衣杆，门板加锁，颜色由使用方确定后制作。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副柜2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1.规格：1200*350*650mm；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2.全部采用E0级实木多层免漆板，表面无开裂补灰、无腐无虫孔、表面平整无崩边，台面厚度≥25mm、其余板材厚度≥18mm，采用≥1.0mm厚同色PVC封边带机器四边封边，三合一五金连接件组装，液压阻尼铰链；</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3.结构：左边为主机位，中间为单开门，内有1块活动搁板，右边为三个抽屉，颜色由使用方确定后制作。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副柜3</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1.规格：1500*350*660mm；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全部采用E0级实木多层免漆板，表面无开裂补灰、无腐无虫孔、表面平整无崩边，台面厚度≥25mm、其余板材厚度≥18mm，≥1.0mm厚同色PVC封边带机器四边封边，三合一五金连接件组装，液压阻尼铰链、消音承重三节抽轨；</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3.单门三抽，外露角圆角处理，颜色由使用方确定后制作。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办公椅1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1.规格：520*500*1100/1250mm；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网布面料，防磨防污性好；颜色可选；高弹力聚氨脂海绵，密度≥35#，可防氧化，防碎，软硬适中，回弹性良好，不易变形；尼龙塑料，抗拉性高，一次性成型100#喷涂气杆，厚度≥2.0mm；底盘：≥2.0mm厚中班蝴蝶底盘；复合料一体注塑成型≥320mm尼龙五星脚；椅轮：≥50mmPA料，万向转动顺畅；各部件通过螺丝卡扣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办公椅2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1.规格：520*505*970mm；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网布面料，防磨防污性好；颜色可选；高弹力聚氨脂海绵，密度≥35#，可防氧化，防碎，软硬适中，回弹性良好，不易变形；尼龙塑料，抗拉性高，一次性成型；架子：采用喷涂≥2.0mm厚度钢管；各部件通过螺丝卡扣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办公椅3</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1.规格：420*400*950mm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框架：采用橡胶木实木框架，椅腿尺寸≥31*31mm，拉档尺寸≥60*23mm；覆面材料：西皮，厚度≥0.9mm；海绵：高回弹软质聚氨酯泡沫塑料，密度≥30kg/m³；油漆：采用木器漆，三底两面工艺；采用标准五金件；椅架榫卯拼接，坐垫靠背高回弹海绵填充；座面和靠背带软包。</w:t>
            </w:r>
            <w:r>
              <w:rPr>
                <w:rFonts w:hint="eastAsia" w:ascii="宋体" w:hAnsi="宋体" w:cs="宋体"/>
                <w:bCs/>
                <w:color w:val="000000"/>
                <w:szCs w:val="21"/>
                <w:highlight w:val="none"/>
              </w:rPr>
            </w:r>
            <w:r/>
          </w:p>
        </w:tc>
      </w:tr>
      <w:tr>
        <w:trPr>
          <w:trHeight w:val="90"/>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备课桌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1.规格：1200*600*760mm；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全部采用E0级实木多层免漆板，表面无开裂补灰、无腐无虫孔、表面平整无崩边，桌面厚度≥25mm、其余板材厚度≥18mm；钢架：≥55*55*1.5mm五角管型材桌架，表面经酸洗磷化喷塑处理；≥1.0mm厚同色PVC封边带机器四边封边；三合一五金连接件组装；桌面板材，桌下采用桌架固定；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备课椅1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1.规格：560*570*810mm；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2.黑色尼龙加纤背架；黑色尼龙固定扶手；座包采用≥40#密度高弹力海绵；固定扶手连接椅背和椅座；≥1.2mm喷涂黑架。</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备课椅2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ascii="宋体" w:hAnsi="宋体" w:cs="宋体"/>
                <w:bCs/>
                <w:color w:val="000000"/>
                <w:szCs w:val="21"/>
                <w:highlight w:val="none"/>
              </w:rPr>
            </w:pPr>
            <w:r>
              <w:rPr>
                <w:rFonts w:hint="eastAsia" w:ascii="宋体" w:hAnsi="宋体" w:cs="宋体"/>
                <w:color w:val="000000"/>
                <w:sz w:val="20"/>
                <w:highlight w:val="none"/>
                <w:lang w:bidi="ar"/>
              </w:rPr>
              <w:t xml:space="preserve">1.规格：560*580*440/1000mm；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2.座靠板内吋采用≥13mm复合弯曲板，高回弹原生定型海绵+≥1.5mm厚西皮覆面；φ25*2.0mm圆管椅架；PP塑料扶手，塑料防滑防水脚垫；弓形椅架皮椅、椅架表面经酸洗磷化喷塑处理。</w:t>
            </w:r>
            <w:r>
              <w:rPr>
                <w:rFonts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书架</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1.规格：800*350*1200mm；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全部采用E0级实木多层免漆板，表面无开裂补灰、无腐无虫孔、表面平整无崩边，台面厚度≥25mm、其余板材厚度≥18mm；封边：采用≥1.0mm厚同色PVC封边带机器四边封边；采用三合一五金连接件组装；敞开式结构；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书包柜1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1.规格：380*500*315mm；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2.门板采用ABS全新塑料、柜体采用改性HIPS全新工程塑料；单侧板≥25mm厚、顶板≥40mm厚、门板≥25mm厚、双侧板≥49mm厚；板材采用注塑一次成型，积木式</w:t>
            </w:r>
            <w:r>
              <w:rPr>
                <w:rFonts w:hint="eastAsia" w:ascii="宋体" w:hAnsi="宋体" w:cs="宋体"/>
                <w:color w:val="000000"/>
                <w:sz w:val="20"/>
                <w:highlight w:val="none"/>
                <w:lang w:bidi="ar"/>
              </w:rPr>
              <w:t xml:space="preserve">模块化凹凸多向定位连接安装。门把手设有两个固定卡扣和一个弹力卡扣，柜门与柜体的连接采用上下同轴结构连接，门板的右上角设有一个可伸缩弹力门轴，按压后可卡入上下板门轴洞。门板表面硬度等级≥3H，大角度开合角≥120°，门板铰链采用单个一体绞链，绞链上设有五个U形格栅，门把手上设有一个可装号码牌的凹槽，采用软胶号码牌。上下板隐藏于上下门板之间，侧板采用前置定位块、安装到位卯榫结构进行锁止，后板带有百叶窗换气窗口、总透气面积≥250mm²，透气孔上下两片错位；结构：每组三层15列，共45门；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书包柜2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1.单门规格：335*460*320mm；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2.采用ABS原料，每门配置毛巾杆、置物盒 、镶嵌式激光号码牌；底座高度≥80mm，且左右两侧无镂空平铺地面；柜门表面光亮无皮纹；门板内侧配有可拆卸挂口式全塑毛</w:t>
            </w:r>
            <w:r>
              <w:rPr>
                <w:rFonts w:hint="eastAsia" w:ascii="宋体" w:hAnsi="宋体" w:cs="宋体"/>
                <w:color w:val="000000"/>
                <w:sz w:val="20"/>
                <w:highlight w:val="none"/>
                <w:lang w:bidi="ar"/>
              </w:rPr>
              <w:t xml:space="preserve">巾杆，门板正面有菱形网状透气孔；门板需在直角处安装防撞软胶护角；柜门与柜体连接用高强度尼龙铰链，自身具有旋转限位功能；上下板采用增强帽檐设计，上下板隐藏于上下门板之间，正面无法观察到；柜子顶层采用内固定板固定方式，内固定板在柜子内部卡入卡槽并扣住平顶板，实现内锁外的结构；拉手：门板拉手边框无缝贴合在门板上，平面拉手带锁孔需可实现更换锁具；板材外框厚度：侧板≥22mm、双侧板≥44mm、顶板≥40mm、上下板≥30mm、门板≥26.5mm、门板造型部分≥32.5mm、底座高≥80mm；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书包柜3</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1.规格：388*436*310mm；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2.柜门及柜体采用A级ABS原料，全新工程塑料一体成型，亮面。柜体采用高强度 HIPS 工程塑料制成，柜体灰</w:t>
            </w:r>
            <w:r>
              <w:rPr>
                <w:rFonts w:hint="eastAsia" w:ascii="宋体" w:hAnsi="宋体" w:cs="宋体"/>
                <w:color w:val="000000"/>
                <w:sz w:val="20"/>
                <w:highlight w:val="none"/>
                <w:lang w:bidi="ar"/>
              </w:rPr>
              <w:t xml:space="preserve">白色；柜门柜体铰链需耐磨、耐冲击，不易腐蚀，无毒无味，柜门上下硅胶防撞软护角材质，安装于门板直角处；柜门外观：顶板至底座弧形半柱支撑，中间拱桥弧形状，弧形设计弧型长≥200mm（±2mm）拱桥桥梁支撑点，增加上下柜体受力点；门板左上角嵌入式PVC丝印号牌，需防水、防潮、防褪色；副门内设计储物盒＋挂钩，可分类存放小衣物；门副板与门板四周不少于12个卡扣固定，采用四方环绕方形加固柱对卡结构，副门凸起门框加强筋；单侧板厚度≥21mm，双侧板厚度≥42mm，侧板≥25mm、顶板≥30mm、底板≥30mm；门板≥36</w:t>
            </w:r>
            <w:r>
              <w:rPr>
                <w:rFonts w:hint="eastAsia" w:ascii="宋体" w:hAnsi="宋体" w:cs="宋体"/>
                <w:color w:val="000000"/>
                <w:sz w:val="20"/>
                <w:highlight w:val="none"/>
                <w:lang w:bidi="ar"/>
              </w:rPr>
              <w:t xml:space="preserve">mm、底座≥80mm、误差不得高于2mm；铰链孔加强筋：铰链孔边缘设凸点加强筋骨，防止铰链孔断裂；尼龙铰链U型开口设计+360度L型门轴，确保摩擦环节不松动，双门不少于13个卡扣以上二次固定；柜门与柜体连接采用尼龙铰链连接设计，防水，防锈；铰链：U型铰链、U型插销、L销、固定块组成，具有限位功能，两端采用弹性卡钩固定在门端、柜体端，轻按卡勾即可拆下，每门一套；尼龙料：具有机械强度，耐热，磨擦系数低，耐磨损，自润滑性，吸震性、消音性和特有的张力，避免因无法掌控开关门力度，导致铰链断裂；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后墙绿板</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1.规格：长4000*高1300mm；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木工板基层，面贴≥6mm厚软木，表面采用亚麻布艺覆面；四周采用≥1.0mm厚铝型材包边处理，膨胀镙丝墙面固定安装；外表面及手指可触及的隐蔽处，均不得有锐利的棱角、毛刺以及小五金部件露出的锐利尖锐；颜色由使用方确认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图书角1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1.规格：1000*260*1200mm；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采用≥1.0mm厚同色PVC封边带机器四边封边；结构：敞开式；采用三合一五金连接件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图书角2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一级冷轧钢板、厚度≥0.8mm；表面经酸洗磷化喷塑处理，绿白色，上下结构，上部敞开式，配两块层板；下部对开平板门，内加一块活动的层板；采用三合一五金连接件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讲台1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1.规格：1200*600*850mm；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全部采用E0级实木多层免漆板，表面无开裂补灰、无腐无虫孔、表面平整无崩边，台面厚度≥25mm、其余板材厚度≥18mm；钢架：采用≥40*40*1.5mm钢管钢架，表面经酸洗磷化喷塑处理；采用≥1.0mm厚同色PVC封边带机器四边封边；采用三合一五金连接件组装；结构：桌下钢架固定，配有一门三抽副柜；颜色由使用方确定后制作。</w:t>
            </w:r>
            <w:r>
              <w:rPr>
                <w:rFonts w:hint="eastAsia" w:ascii="宋体" w:hAnsi="宋体" w:cs="宋体"/>
                <w:bCs/>
                <w:color w:val="000000"/>
                <w:szCs w:val="21"/>
                <w:highlight w:val="none"/>
              </w:rPr>
            </w:r>
            <w:r/>
          </w:p>
        </w:tc>
      </w:tr>
      <w:tr>
        <w:trPr>
          <w:trHeight w:val="236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讲台2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1.规格：850*570*910mm；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2.桌面≥12mm厚E0级三聚氰胺板，两侧采用橡胶木实木扶手，台体采用≥</w:t>
            </w:r>
            <w:r>
              <w:rPr>
                <w:rFonts w:hint="eastAsia" w:ascii="宋体" w:hAnsi="宋体" w:cs="宋体"/>
                <w:color w:val="000000"/>
                <w:sz w:val="20"/>
                <w:highlight w:val="none"/>
                <w:lang w:bidi="ar"/>
              </w:rPr>
              <w:t xml:space="preserve">1.0mm厚冷轧钢板冲压成型、表面经酸洗磷化喷塑处理；五金：金属门铰链、承重抽轨，塑料防滑防水脚垫；结构：分体式，桌面部分和桌体部分自成一体，内置固定螺丝孔位，拐角采用圆弧处理，倒角角度≥18°。上层抽屉，预留键盘、鼠标位置，前门采用开门设计、预留主机限位孔及限位卡槽；后门为抽拉门，左右两侧留有散热孔、出音孔，下层左右两侧板利用底下卡扣从前往后推进孔位卡住,前后门槛采用不少于12颗螺丝进行固定，底面离地≥60mm；产品可溶性重金属检测（包含锑、砷、钡、镉、铬、铅、汞、硒）合格，防电击保护的结构要求检测合格。</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20</w:t>
            </w:r>
            <w:r>
              <w:rPr>
                <w:rFonts w:hint="eastAsia" w:ascii="宋体" w:hAnsi="宋体" w:cs="宋体"/>
                <w:color w:val="000000"/>
                <w:szCs w:val="21"/>
                <w:highlight w:val="none"/>
                <w:lang w:bidi="ar"/>
              </w:rPr>
            </w:r>
            <w:r/>
          </w:p>
        </w:tc>
        <w:tc>
          <w:tcPr>
            <w:tcW w:w="748" w:type="dxa"/>
            <w:vAlign w:val="center"/>
            <w:textDirection w:val="lrTb"/>
            <w:noWrap w:val="false"/>
          </w:tcPr>
          <w:p>
            <w:pPr>
              <w:pStyle w:val="1086"/>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吊柜</w:t>
            </w:r>
            <w:r>
              <w:rPr>
                <w:rFonts w:hint="eastAsia" w:ascii="宋体" w:hAnsi="宋体" w:cs="宋体"/>
                <w:color w:val="000000"/>
                <w:szCs w:val="21"/>
                <w:highlight w:val="none"/>
                <w:lang w:bidi="ar"/>
              </w:rPr>
            </w:r>
            <w:r/>
          </w:p>
        </w:tc>
        <w:tc>
          <w:tcPr>
            <w:tcW w:w="3932" w:type="dxa"/>
            <w:vAlign w:val="center"/>
            <w:textDirection w:val="lrTb"/>
            <w:noWrap w:val="false"/>
          </w:tcPr>
          <w:p>
            <w:pPr>
              <w:pStyle w:val="1086"/>
              <w:jc w:val="left"/>
              <w:widowControl/>
              <w:rPr>
                <w:rFonts w:hint="eastAsia" w:ascii="宋体" w:hAnsi="宋体" w:cs="宋体"/>
                <w:color w:val="000000"/>
                <w:szCs w:val="21"/>
                <w:highlight w:val="none"/>
                <w:lang w:bidi="ar"/>
              </w:rPr>
            </w:pPr>
            <w:r>
              <w:rPr>
                <w:rFonts w:hint="eastAsia" w:ascii="宋体" w:hAnsi="宋体" w:cs="宋体"/>
                <w:color w:val="000000"/>
                <w:sz w:val="20"/>
                <w:highlight w:val="none"/>
                <w:lang w:bidi="ar"/>
              </w:rPr>
              <w:t xml:space="preserve">1.规格：1400*270*1000mm；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2.全部采用E0级≥18mm厚实木多层免漆板，表面无开裂补灰、无腐无虫孔、表面平整无崩边；≥1.0mm厚同色PVC封边带机器四边封边；敞开式，博古架款式；三合一五金连接件组装；颜色由使用方确定后制作。</w:t>
            </w:r>
            <w:r>
              <w:rPr>
                <w:rFonts w:hint="eastAsia" w:ascii="宋体" w:hAnsi="宋体" w:cs="宋体"/>
                <w:color w:val="000000"/>
                <w:szCs w:val="21"/>
                <w:highlight w:val="none"/>
                <w:lang w:bidi="ar"/>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仪器柜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E0级≥18mm厚实木多层免漆板，表面无开裂补灰、无腐无虫孔、表面平整无崩边；≥1.0mm厚同色PVC封边带机器四边封边；上下分体门，上部对开玻璃门，玻璃材质为≥5mm厚钢化玻璃,内含两块层板；下部对开木门，内含一块层板，柜门加锁；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功能室学生桌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1.规格：1600*800*730mm；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E0级实木多层免漆板，桌面厚度≥25mm，其余板材厚度≥18mm，表面无开裂补灰、无腐无虫孔、表面平整无崩边；≥1.0mm厚同色PVC封边带机器四边封边；U形钢架材质，规格≥30*60*1.0mm，表面喷塑处理；双层，左右两侧钢架之间采用横拉档加固，规格≥30*60*1.0mm；三合一五金连接件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实验凳</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296*450mm；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ABS+钢管；面板采用ABS新料一体注塑成型，面板直径296mm±10mm，坐垫下带有防滑凸条和防滑垫的塑料背盖，尺寸：125*127*35mm±5mm。中间有內弧造型，深度为≥8mm。椅腿钢管尺寸：≥32*22*1.5mm，采用鱼眼管满焊焊接，表面采用高温粉体烤漆，耐腐蚀；脚垫尺寸：≥81*19*60mm及≥40*28*39mm；采用PP纤维质塑胶一体成型，防滑、耐摩擦；凳子底部加黑色护垫。凳子可悬挂于桌子上，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美术桌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1.规格：1600*800*750mm；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E0级实木多层免漆板，桌面厚度≥25mm，表面无开裂补灰、无腐无虫孔、表面平整无崩边；≥1.0mm厚同色PVC封边带机器四边封边；桌架为钢架材质，规格≥30*60*1.0mm，表面喷塑处理；双层，桌脚采用钢架；三合一五金连接件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水池柜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1.规格：2400*530*800mm；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E0级≥18mm厚实木多层免漆板，表面无开裂补灰、无腐无虫孔、表面平整无崩边；封边：采用≥1.0mm厚同色PVC封边带机器四边封边；结构：左右均分柜门，配备不锈钢水龙头4个及台盆，面板为厚度≥15mm石英石台面，接至下水；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美术室操作台</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1.规格：8450*530*800mm；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E0级≥18mm厚实木多层免漆板，表面无开裂补灰、无腐无虫孔、表面平整无崩边；封边：采用≥1.0mm厚同色PVC封边带机器四边封边；结构：对开木门，内含一块活动层板，厚度≥18mm，面板为厚度≥15mm石英石台面；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美术材料柜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1.规格：800*400*900mm；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封边：采用≥1.0mm厚同色PVC封边带机器四边封边；结构：对开木门，内含两块活动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后墙储物柜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1.规格：1200*300*800mm；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E0级≥18mm厚实木多层免漆板，表面无开裂补灰、无腐无虫孔、表面平整无崩边；封边：采用≥1.0mm厚同色PVC封边带机器四边封边；结构：对开木门，内含一块活动层板，门板中间弧形装饰耐力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美工凳</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1.规格：350*250*430mm；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凳面：采用≥20mm厚橡胶木实木，所有板边倒圆角、圆边，板面光滑，无毛刺；油漆：采用木器漆，清晰体现实木质感，表面平整、光洁、无气泡、无颗粒、无裂缝；凳架：选用冷轧钢材，钢管壁厚≥1mm，经脱脂、水洗、酸洗、水洗中和、表调、磷化、干燥等工艺处理，表面粉末涂料静电喷涂处理；五金件：采用三合一五金连接件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乐器柜1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1.规格：1000*700*2200mm；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封边：采用≥1.0mm厚同色PVC封边带机器四边封边；结构：上下分体对开木门，上部高度≥1400mm，其中一个上部配挂衣杆、4个配层板，每层净空高度≥220mm；下部高度≥800mm，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ascii="宋体" w:hAnsi="宋体" w:cs="宋体"/>
                <w:bCs/>
                <w:color w:val="000000"/>
                <w:szCs w:val="21"/>
                <w:highlight w:val="none"/>
              </w:rPr>
            </w:pPr>
            <w:r>
              <w:rPr>
                <w:rFonts w:hint="eastAsia" w:ascii="宋体" w:hAnsi="宋体" w:cs="宋体"/>
                <w:color w:val="000000"/>
                <w:szCs w:val="21"/>
                <w:highlight w:val="none"/>
                <w:lang w:bidi="ar"/>
              </w:rPr>
              <w:t xml:space="preserve">31</w:t>
            </w:r>
            <w:r>
              <w:rPr>
                <w:rFonts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乐器柜2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1.规格：850*500*2200mm；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E0级≥18mm厚实木多层免漆板，表面无开裂补灰、无腐无虫孔、表面平整无崩边；封边：采用≥1.0mm厚同色PVC封边带机器四边封边；结构：上下分体门，高度均分，上部对开磨砂玻璃门，配两块层板；下部对开木门，其中2个分为三层两列，6格；4个配两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顶柜1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1.规格：1000*700*800mm；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封边：采用≥1.0mm厚同色PVC封边带机器四边封边；结构：对开木门，内含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顶柜2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1.规格：850*500*800mm；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封边：采用≥1.0mm厚同色PVC封边带机器四边封边；结构：对开木门，内含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墙边柜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1.规格：830*518*800mm；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封边：采用≥1.0mm厚同色PVC封边带机器四边封边；结构：对开木门，内含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音乐凳</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1.规格：460*360*360mm（±10mm）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高密度PE一体滚塑成型；工艺：滚塑制作，材质轻，耐磨抗压，抗氧化功能强，长期使用也不会产生开裂现象，硬度和强度高；功能：三面可坐，三种高度分别为220±5mm、360±5mm、460±5mm；颜色由学校确定后制作。</w:t>
            </w:r>
            <w:r>
              <w:rPr>
                <w:rFonts w:hint="eastAsia" w:ascii="宋体" w:hAnsi="宋体" w:cs="宋体"/>
                <w:bCs/>
                <w:color w:val="000000"/>
                <w:szCs w:val="21"/>
                <w:highlight w:val="none"/>
              </w:rPr>
            </w:r>
            <w:r/>
          </w:p>
        </w:tc>
      </w:tr>
      <w:tr>
        <w:trPr>
          <w:trHeight w:val="90"/>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娃娃家灶台1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1.规格：460*380*530mm；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结构：仿真灶台，操作面板及开关，可储物；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娃娃家灶台2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1.规格：460*380*530mm；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仿真灶台，操作面板及开关，可储物；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娃娃家水槽1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1.规格：460*380*530mm；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结构：仿真水龙头、开关及水槽，可储物；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39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娃娃家水槽2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1.规格：460*380*530mm；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仿真水龙头、开关及水槽，可储物；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娃娃家床1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1.规格：540*350*320mm；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娃娃家床2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1.规格：540*350*320mm；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娃娃家圆桌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400*440mm；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3.油漆：采用木器漆，清晰体现实木质感，表面平整、光洁、无气泡、无颗粒、无裂缝；</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4.五金件：采用三合一五金连接件组装。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造型图书柜1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结构：卡通造型，三层斜插式摆放图书。</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造型图书柜2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油漆：采用木器漆，清晰体现实木质感，表面平整、光洁、无气泡、无颗粒、无裂缝；五金件：采用三合一五金连接件组装；结构：卡通造型，三层斜插式摆放图书。</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造型图书柜3</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1.规格：800*400*600mm；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可双面使用，一面斜插式摆放图书，一面为磁性白板，可记录；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两层玩具柜1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1.规格：850*300*540mm；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一块层板，均分两层，踢脚线高度≥50mm；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两层玩具柜2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油漆：采用木器漆，清晰体现实木质感，表面平整、光洁、无气泡、无颗粒、无裂缝；结构：一块层板，均分两层，踢脚线高度≥50mm；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布艺沙发</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1.规格：580*390*570mm；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松木框架，內架木框：≥30*50mm加粗实木方做成，稳固耐用，厚度≥18mm；表面布艺材质，密度≥45㎏高回弹聚胺脂阻燃海棉；沙发腿采用松木材质，高度≥30mm；结构：软包坐垫，实木沙发脚；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带顶游戏柜1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1.规格：800*350*540/</w:t>
            </w:r>
            <w:r>
              <w:rPr>
                <w:rFonts w:hint="eastAsia" w:ascii="宋体" w:hAnsi="宋体" w:cs="宋体"/>
                <w:color w:val="000000"/>
                <w:sz w:val="20"/>
                <w:highlight w:val="none"/>
                <w:lang w:eastAsia="zh-CN" w:bidi="ar"/>
              </w:rPr>
              <w:t xml:space="preserve">1327</w:t>
            </w:r>
            <w:r>
              <w:rPr>
                <w:rFonts w:hint="eastAsia" w:ascii="宋体" w:hAnsi="宋体" w:cs="宋体"/>
                <w:color w:val="000000"/>
                <w:sz w:val="20"/>
                <w:highlight w:val="none"/>
                <w:lang w:bidi="ar"/>
              </w:rPr>
              <w:t xml:space="preserve">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结构：上下结构；上部斜顶造型，配布帘，下部双层储物，无背板；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带顶游戏柜2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1.规格：800*350*540/</w:t>
            </w:r>
            <w:r>
              <w:rPr>
                <w:rFonts w:hint="eastAsia" w:ascii="宋体" w:hAnsi="宋体" w:cs="宋体"/>
                <w:color w:val="000000"/>
                <w:sz w:val="20"/>
                <w:highlight w:val="none"/>
                <w:lang w:eastAsia="zh-CN" w:bidi="ar"/>
              </w:rPr>
              <w:t xml:space="preserve">1327</w:t>
            </w:r>
            <w:r>
              <w:rPr>
                <w:rFonts w:hint="eastAsia" w:ascii="宋体" w:hAnsi="宋体" w:cs="宋体"/>
                <w:color w:val="000000"/>
                <w:sz w:val="20"/>
                <w:highlight w:val="none"/>
                <w:lang w:bidi="ar"/>
              </w:rPr>
              <w:t xml:space="preserve">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上下结构；上部斜顶造型，配布帘，下部双层储物，无背板；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五格柜1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结构：上下结构，上部一块层板分为两层，下部两块竖隔板，分为三列，无背板，踢脚线高度≥50mm；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五格柜2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上下结构，上部一块层板分为两层，下部两块竖隔板，分为三列，无背板，踢脚线高度≥50mm；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幼儿长桌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1.规格：1200*600*440mm；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不小于50*50mm桌腿，≥18mm厚橡胶木实木直拼板桌面，四周牙板≥18mm厚，传统榫卯连接，所有板边倒圆边圆角，板面无结疤、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椅子1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1.规格：280*280*260/520mm；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结构：榫卯结构，椅腿≥45*25mm，横拉挡≥45*22mm，椅背高度≥260mm，靠背横拉板宽度≥220mm，中间开椭圆形拉手孔，尺寸≥120*80mm；油漆：采用木器漆，清晰体现实木质感，表面平整、光洁、无气泡、无颗粒、无裂缝；五金件：采用三合一五金连接件组装。                                           </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椅子2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1.规格：300*300*300/600mm；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实木，厚度≥18mm，椅面采用榉木直拼板，厚度≥20mm，所有板边倒圆角、圆边，板面光滑，无毛刺；油漆：采用木器漆，清晰体现实木质感，表面平整、光洁、无气泡、无颗粒、无裂缝；结构：榫卯结构，椅腿≥45*25mm，横拉挡≥45*22mm，椅背高度≥300mm，靠背由三根横档组成，最上层横档尺寸≥50*30mm，下面两根横档尺寸≥300*300mm；五金件：采用三合一五金连接件组装；其他：椅腿加装防滑垫。</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椅子3</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1.规格：300*300*320/640mm；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实木，厚度≥18mm，椅面采用榉木直拼板，厚度≥20mm，所有板边倒圆角、圆边，板面光滑，无毛刺；结构：榫卯结构，椅腿≥45*25mm，横拉挡≥45*22mm，椅背高度≥320mm，靠背由三根横档组成，最上层横档尺寸≥50*30mm，下面两根横档尺寸≥300*300mm；油漆：采用木器漆，清晰体现实木质感，表面平整、光洁、无气泡、无颗粒、无裂缝；五金件：采用三合一五金连接件组装；其他：椅腿加装防滑垫。</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椅子4</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1.规格：280*280*260/520mm；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榫卯结构，椅腿≥50*30mm，横拉挡≥50*30mm，椅背高度≥260mm，靠背横拉板宽度≥220mm，中间开椭圆形拉手孔，尺寸≥120*80mm；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椅子5</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1.规格：280*280*270/530mm；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结构：榫卯结构，椅腿≥45*25mm，横拉挡≥45*22mm，椅背高度≥260mm，靠背横拉板宽度≥220mm，中间开长条形拉手孔，尺寸≥130*60mm；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59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教师椅</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1.规格：360*360*360椅面高/椅背高720mm；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结构：榫卯结构，椅腿≥45*25mm，横拉挡≥45*22mm，椅背高度≥360mm，靠背横拉板宽度≥240mm，中间开椭圆形拉手孔，尺寸≥130*100mm；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可抽拉分餐桌1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1.规格：600*600/1800*500mm；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采用轨道抽拉设计；五金件：采用三合一五金连接件组装。                                                </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可抽拉分餐桌2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1.规格：600*600/1800*500mm；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油漆：采用木器漆，清晰体现实木质感，表面平整、光洁、无气泡、无颗粒、无裂缝；结构：采用轨道抽拉设计；五金件：采用三合一五金连接件组装。                                           </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圆形毛巾架1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1.规格：直径500*1080mm；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w:t>
            </w:r>
            <w:r>
              <w:rPr>
                <w:rFonts w:hint="eastAsia" w:ascii="宋体" w:hAnsi="宋体" w:cs="宋体"/>
                <w:color w:val="000000"/>
                <w:sz w:val="20"/>
                <w:highlight w:val="none"/>
                <w:lang w:bidi="ar"/>
              </w:rPr>
              <w:t xml:space="preserve">≥</w:t>
            </w:r>
            <w:r>
              <w:rPr>
                <w:rFonts w:hint="eastAsia" w:ascii="宋体" w:hAnsi="宋体" w:cs="宋体"/>
                <w:color w:val="000000"/>
                <w:sz w:val="20"/>
                <w:highlight w:val="none"/>
                <w:lang w:bidi="ar"/>
              </w:rPr>
              <w:t xml:space="preserve">18mm厚橡胶木实木，所有板边倒圆角、圆边，板面光滑，无毛刺；油漆：采用木器漆，清晰体现实木质感，表面平整、光洁、无气泡、无颗粒、无裂缝；结构：上下两层，不少于28个木制挂钩，可360°旋转；五金件：采用三合一五金连接件组装。                                                   </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圆形毛巾架2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1.尺寸：直径500*1080mm；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油漆：采用木器漆，清晰体现实木质感，表面平整、光洁、无气泡、无颗粒、无裂缝；结构：上下两层，不少于28个木制挂钩，可360°旋转；五金件：采用三合一五金连接件组装。 </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幼儿书包柜1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1.规格：800*350*860mm；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背板厚度≥9mm，所有板边倒圆角、圆边，板面光滑，无毛刺；结构：三层。最下层收纳鞋子，上两层共四格。踢脚线≥50mm。每组四格；油漆：采用木器漆，清晰体现实木质感，表面平整、光洁、无气泡、无颗粒、无裂缝；五金件：采用三合一五金连接件组装，液压阻尼铰链。</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幼儿书包柜2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1.规格：800*350*700mm；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背板厚度≥9mm，所有板边倒圆角、圆边，板面光滑，无毛刺；结构：三层。最下层收纳鞋子，上两层共四格。踢脚线≥50mm。每组四格；油漆：采用木器漆，清晰体现实木质感，表面平整、光洁、无气泡、无颗粒、无裂缝；</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3.五金件：采用三合一五金连接件组装，液压阻尼铰链。</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幼儿四层床</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1.规格：1500*630*1050mm；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床板采用杉木板条，厚度≥14mm，所有板边倒圆角、圆边，板面光滑，无毛刺；油漆：采用木器漆，清晰体现实木质感，表面平整、光洁、无气泡、无颗粒、无裂缝；结构：四层抽拉；五金件：采用三合一五金连接件组装；其他：内三层床侧板带尼龙定向滑轮，最外层床侧板有孔洞便于攀爬；护栏高度≥350mm。</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幼儿长条桌1</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1.规格：1200*400*510mm；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所有板边倒圆角、圆边，板面光滑，无毛刺；油漆：采用木器漆，清晰体现实木质感，表面平整、光洁、无气泡、无颗粒、无裂缝；五金件：采用三合一五金连接件组装；结构：榫卯结构，桌腿≥50*50mm，横拉挡≥70*30mm；</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幼儿长条桌2</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1.规格：600*400*510mm；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所有板边倒圆角、圆边，板面光滑，无毛刺；油漆：采用木器漆，清晰体现实木质感，表面平整、光洁、无气泡、无颗粒、无裂缝；五金件：采用三合一五金连接件组装；结构：榫卯结构，桌腿≥50*50mm，横拉挡≥70*30mm；</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69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塑料凳</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1.规格：300*200*250mm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2.材质：塑料，一次注塑成型。</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三层柜（无背板）1</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1.规格：950*380*700mm；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结构：上下均分三层，无背板，其中9个安装带尼龙承重带刹万向轮</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三层柜（无背板）2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所有板边倒圆角、圆边，板面光滑，无毛刺；油漆：采用木器漆，清晰体现实木质感，表面平整、光洁、无气泡、无颗粒、无裂缝；结构：共三层，踢脚线≥50mm，顶板在侧板上面；五金件：采用三合一五金连接件组装，带尼龙承重带刹万向轮</w:t>
            </w:r>
            <w:r>
              <w:rPr>
                <w:rFonts w:hint="eastAsia" w:ascii="宋体" w:hAnsi="宋体" w:cs="宋体"/>
                <w:bCs/>
                <w:color w:val="000000"/>
                <w:szCs w:val="21"/>
                <w:highlight w:val="none"/>
              </w:rPr>
            </w:r>
            <w:r/>
          </w:p>
        </w:tc>
      </w:tr>
      <w:tr>
        <w:trPr>
          <w:trHeight w:val="1008"/>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转角柜1</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1.规格：945*400*800mm；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所有板边倒圆角、圆边，板面光滑，无毛刺；采用木器漆，清晰体现实木质感，表面平整、光洁、无气泡、无颗粒、无裂缝；结构：共三层，踢脚线≥50mm；五金件：采用三合一五金连接件组装，带尼龙承重带刹万向轮。</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转角柜2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1.规格：900*350*540mm；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油漆：采用木器漆，清晰体现实木质感，表面平整、光洁、无气泡、无颗粒、无裂缝；结构：均分两层两列，无背板，踢脚线高度≥50mm；五金件：采用三合一五金连接件组装，带尼龙承重带刹万向轮。</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晾画架</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1.规格：500*400*710mm；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所有板边倒圆角、圆边，板面光滑，无毛刺；采用木器漆，清晰体现实木质感，表面平整、光洁、无气泡、无颗粒、无裂缝；结构：共九层；五金件：采用三合一五金连接件组装，带尼龙承重带刹万向轮。</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移动材料架</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1.规格：400*400*300/500mm；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榉木直拼板，厚度≥18mm，所有板边倒圆角、圆边，板面光滑，无毛刺；采用木器漆，清晰体现实木质感，表面平整、光洁、无气泡、无颗粒、无裂缝；结构：共三格；五金件：采用三合一五金连接件组装，带尼龙承重带刹万向轮。</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收纳盒1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1.规格：420*300*100mm；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2.材质：采用PP塑料一次注塑成型；白色。</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收纳盒2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1.规格：420*300*230mm；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2.材质：采用PP塑料一次注塑成型；灰色。</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幼儿堆叠椅</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1.规格：335*380*545mm；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2.材质：座、靠背采用聚丙烯塑料；结构：一次注塑成型，靠背椅面四只椅脚；颜色由使用方确定后制作。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79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堆叠椅1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1.规格：420*495*455/810mm；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2.材质：ABS塑料材质，可堆叠；结构：一次注塑成型，靠背椅面四只椅脚。</w:t>
            </w:r>
            <w:r>
              <w:rPr>
                <w:rFonts w:hint="eastAsia" w:ascii="宋体" w:hAnsi="宋体" w:cs="宋体"/>
                <w:bCs/>
                <w:color w:val="000000"/>
                <w:szCs w:val="21"/>
                <w:highlight w:val="none"/>
              </w:rPr>
            </w:r>
            <w:r/>
          </w:p>
        </w:tc>
      </w:tr>
      <w:tr>
        <w:trPr>
          <w:trHeight w:val="1241"/>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两层柜（无背板）</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1.规格：950*380*600mm；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结构：上下均分两层，无背板。</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三层柜（有背板）</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1.规格：950*380*700mm；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结构：上下均分三层，背板厚度≥9mm，其中9个安装带锁定功能万向轮。</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幼儿半圆桌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榫卯结构，桌腿≥50*50mm，横拉挡≥70*30mm；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科学探索游戏柜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1.规格：800*400*570mm；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中间一块竖板，分成左右两列；左侧一块层板，右侧面板开槽摆放抽屉盒；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幼儿方桌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1.规格：600*600*440mm；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榫卯结构，桌腿≥50*50mm，横拉挡≥70*30mm；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弧形转角柜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1.规格：570*350*600mm；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上下均分两层，踢脚线高度≥50mm；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饭兜架</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1.规格：900*300*900mm；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上下两层横杆；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玩具柜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1.规格：1000*420*600mm；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共三层，踢脚线高度≥50mm；油漆：采用木器漆，清晰体现实木质感，表面平整、光洁、无气泡、无颗粒、无裂缝；五金件：采用三合一五金连接件组装；不含储物盒。</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门头柜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1.规格：840*350*1210mm；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榉木实木，所有板边倒圆角、圆边，板面光滑，无毛刺；结构：上下结构，上部造型门头，配布艺拉帘，下部背面操作台，正面白板；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89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可调节幼儿桌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1.规格：1200*600*H340-460mm；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2.桌面：采用厚度≥24mm的桦木纹饰面实木多层板；桌脚：直径≥48mm；脚套：搭配浅卡其色塑料调节脚套环，螺旋结构，每个脚套环规格为</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48xH55mm，可通过调整塑料件的数量来改变桌面的整体高度，可调高度为：34/37/40/43/46cm；桌脚底部直径≥62mm高度≥40mm的塑料脚垫，脚垫底部安装可调螺旋塑料脚垫直径≥39.5mm；封边：桌面封边为塑料，总厚度≥15mm；塑料连接件：桌脚与桌面连接采用4个尺寸为L187xW150xH66mm的浅卡其色塑料连接件。油漆：采用水性漆全封闭涂装工艺，漆面光泽高透，耐黄变；五金件：防腐抗锈，无气泡、无粉化等腐蚀现象；结构：塑料连接件连接，1200*600mm桌面。</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可调节四人桌</w:t>
            </w:r>
            <w:r>
              <w:rPr>
                <w:rFonts w:hint="eastAsia" w:ascii="宋体" w:hAnsi="宋体" w:cs="宋体"/>
                <w:bCs/>
                <w:color w:val="000000"/>
                <w:szCs w:val="21"/>
                <w:highlight w:val="none"/>
              </w:rPr>
            </w:r>
            <w:r/>
          </w:p>
        </w:tc>
        <w:tc>
          <w:tcPr>
            <w:tcW w:w="3932" w:type="dxa"/>
            <w:vAlign w:val="center"/>
            <w:textDirection w:val="lrTb"/>
            <w:noWrap w:val="false"/>
          </w:tcPr>
          <w:p>
            <w:pPr>
              <w:pStyle w:val="1086"/>
              <w:numPr>
                <w:ilvl w:val="0"/>
                <w:numId w:val="6"/>
              </w:numPr>
              <w:jc w:val="left"/>
              <w:widowControl/>
              <w:tabs>
                <w:tab w:val="left" w:pos="312" w:leader="none"/>
              </w:tabs>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规格：600*600*H340-460mm；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2.桌面：采用厚度≥24mm的桦木纹饰面实木多层板；桌脚：直径≥48mm；脚套：搭配浅卡其色塑料调节脚套环，螺旋结构，每个脚套环规格为</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48xH55mm，可通过调整塑料件的数量来改变桌面的整体高度，可调高度为：34/37/40/43/46cm；桌脚底部是直径≥62mm高度≥40mm的塑料脚垫，脚垫底部安装可调螺旋塑料脚垫直径≥39.5mm；封边：桌面封边为高分子塑料，总厚度≥15mm；塑料连接件：桌脚与桌面连接采用4个尺寸为L187xW150xH66mm的浅卡其色塑料连接件。油漆：采用水性漆全封闭涂装工艺，漆面光泽高透，耐黄变；五金件：防腐抗锈，无气泡、无粉化等腐蚀现象。</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可调节圆桌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1.规格：800*H340-460mm；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2.桌面：采用厚度≥24mm的桦木纹饰面实木多层板；桌脚：直径≥48mm；脚套：搭配浅卡其色塑料调节脚套环，螺旋结构，每个脚套环规格为</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48xH55mm，可通过调整塑料件的数量来改变桌面的整体高度，可调高度为：34/37/40/43/46cm；桌脚底部是直径≥62mm高度≥40mm的塑料脚垫，脚垫底部安装可调螺旋塑料脚垫直径≥39.5mm；封边：桌面封边为高分子塑料（聚氨脂泡沫塑料）一体成型实心注塑，封边与桌面正反面齐平，总厚度≥15mm；</w:t>
            </w:r>
            <w:r>
              <w:rPr>
                <w:rFonts w:hint="eastAsia" w:ascii="宋体" w:hAnsi="宋体" w:cs="宋体"/>
                <w:color w:val="000000"/>
                <w:sz w:val="20"/>
                <w:highlight w:val="none"/>
                <w:lang w:bidi="ar"/>
              </w:rPr>
              <w:t xml:space="preserve">塑</w:t>
            </w:r>
            <w:r>
              <w:rPr>
                <w:rFonts w:hint="eastAsia" w:ascii="宋体" w:hAnsi="宋体" w:cs="宋体"/>
                <w:color w:val="000000"/>
                <w:sz w:val="20"/>
                <w:highlight w:val="none"/>
                <w:lang w:bidi="ar"/>
              </w:rPr>
              <w:t xml:space="preserve">料连接件：桌脚与桌面连接采用4个尺寸为L187xW150xH66mm的浅卡其色塑料连接件。采用全新塑料，邻苯二甲酸酯、可迁移元素符合国家标准要求；油漆：采用水性漆全封闭涂装工艺，漆面光泽高透，耐黄变；五金件：防腐抗锈，无气泡、无粉化等腐蚀现象；结构：塑料连接件连接。</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椅子6</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1.规格：280*330*440mm（座高230mm）；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座板采用厚度直径≥12mm的桦木纹饰面实木多层板，其他部件采用厚度≥15mm桦木纹饰面实木多层板。靠背板采用波浪形高低设计，座板座高：≥230mm，靠背条宽≥40mm,向后倾斜7°；脚垫：椅脚底部安装塑料脚垫,尺寸为L40xW12xH5mm，软性防滑降低噪音；油漆：采用水性漆，全封闭涂装工艺，漆面光泽高透，耐黄变；五金件：防腐抗锈，无气泡、无粉化等腐蚀现象。</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2层柜（无背板）</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1.规格：940*320*590mm；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2.柜体：柜体采用厚度≥15mm的桦木纹饰面实木多层板，围脚采用厚度≥18mm的桦木纹饰面实木多层板，柜边扶手、层板封边及两侧</w:t>
            </w:r>
            <w:r>
              <w:rPr>
                <w:rFonts w:hint="eastAsia" w:ascii="宋体" w:hAnsi="宋体" w:cs="宋体"/>
                <w:color w:val="000000"/>
                <w:sz w:val="20"/>
                <w:highlight w:val="none"/>
                <w:lang w:bidi="ar"/>
              </w:rPr>
              <w:t xml:space="preserve">板均采用高分子塑料，实心注塑一体成型，软性防磕碰；侧板：侧板两面表面均覆盖厚≥30mm的高分子塑料实心注塑，注塑面≥320x590mm；封边：层板两侧封边均采用高分子塑料实心注塑；油漆：采用水性漆全封闭涂装工艺，漆面光泽高透，耐黄变；五金件：防腐抗锈，无气泡、无粉化等腐蚀现象；塑料连接件：柜体与底部围脚采用塑料连接件实现翻板功能，由万向轮支撑，采用全新塑料；脚轮：2寸TPR静音万向轮，轮面光洁，无裂纹、伤痕、毛边等缺陷；金属件表面光滑平整、无锈蚀、毛刺、露底等缺陷；结构：中间一层≥15mm实木多层隔板均分。</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可调节3层柜（无背板）</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1.规格：940*320*590mm；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2.柜体：柜体采用厚度≥15mm的桦木纹饰面实木多层板，围脚采用厚度≥18mm的桦木纹饰面实木多层板，柜边扶手、层板封边及两侧板均采用高分子塑料，实心注塑一体成型；侧板：侧板两面表面均覆盖厚≥30mm的高</w:t>
            </w:r>
            <w:r>
              <w:rPr>
                <w:rFonts w:hint="eastAsia" w:ascii="宋体" w:hAnsi="宋体" w:cs="宋体"/>
                <w:color w:val="000000"/>
                <w:sz w:val="20"/>
                <w:highlight w:val="none"/>
                <w:lang w:bidi="ar"/>
              </w:rPr>
              <w:t xml:space="preserve">分子塑料实心注塑；封边：层板两侧封边均采用高分子塑料实心注塑；油漆：采用水性漆全封闭涂装工艺，漆面光泽高透，耐黄变；五金件：防腐抗锈，无气泡、无粉化等腐蚀现象；调节支撑条:侧板里侧内嵌式安装长度≥440mm的浅卡其色塑料调节支撑条，共15个挡位、每挡≥28mm，可自选放置高度；塑料连接件：柜体与底部围脚采用塑料连接件实现翻板功能，由万向轮支撑，采用全新塑料；脚轮：2寸TPR静音万向轮，轮面光洁，无裂纹、伤痕、毛边等缺陷；金属件表面光滑平整、无锈蚀、毛刺、露底等缺陷；结构：中间两层≥15mm实木多层隔板均分。</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45°弧形柜</w:t>
            </w:r>
            <w:r>
              <w:rPr>
                <w:rFonts w:hint="eastAsia" w:ascii="宋体" w:hAnsi="宋体" w:cs="宋体"/>
                <w:bCs/>
                <w:color w:val="000000"/>
                <w:szCs w:val="21"/>
                <w:highlight w:val="none"/>
              </w:rPr>
            </w:r>
            <w:r/>
          </w:p>
        </w:tc>
        <w:tc>
          <w:tcPr>
            <w:tcW w:w="3932" w:type="dxa"/>
            <w:vAlign w:val="top"/>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1.规格：610*340*590mm；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柜体采用厚度≥15mm的桦木纹饰面实木多层板，围脚采用厚度≥16mm的桦木纹饰面实木多层板，柜边扶手、层板封边及两侧板均采用高分子塑料，实心注塑一体成型，软性防磕碰；侧板：侧板两面表面均覆盖厚≥30mm的高分子塑料实心注塑；层板两侧封边均采用高分子塑料实心注塑；油漆：采用水性漆全封闭涂装工艺，漆面光泽高透，耐黄变；五金件：防腐抗锈，经中性盐雾测试无生锈、无气泡、无粉化等腐蚀现象；脚垫：底部安装塑料脚垫，尺寸为</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17xH10mm，浅卡其色，采用全新料塑料，软性防滑。结构：中间一层≥15mm实木多层隔板均分。</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弧形波纹挡板</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1.规格：870*225*510mm；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边框：采用厚度≥24mm的桦木纹饰面实木多层板，整体挡板呈1/4圆弧，用于90°转角连接，半透明通透波纹板；波纹板：芯板采用厚度≥8mm双层中空波纹板，波纹板中间间隔由多条厚度≥0.5mm组成15.5x6mm的长方条格子，可视弧形面积437x380mm共2块，表面光滑无缺陷；油漆：采用水性漆全封闭涂装工艺，漆面光泽高透，耐黄变；结构：弧形结构，内嵌半透明通透波纹板。</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直线波纹挡板</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ascii="宋体" w:hAnsi="宋体" w:cs="宋体"/>
                <w:bCs/>
                <w:color w:val="000000"/>
                <w:szCs w:val="21"/>
                <w:highlight w:val="none"/>
              </w:rPr>
            </w:pPr>
            <w:r>
              <w:rPr>
                <w:rFonts w:hint="eastAsia" w:ascii="宋体" w:hAnsi="宋体" w:cs="宋体"/>
                <w:color w:val="000000"/>
                <w:sz w:val="20"/>
                <w:highlight w:val="none"/>
                <w:lang w:bidi="ar"/>
              </w:rPr>
              <w:t xml:space="preserve">1.规格：890*25*510mm；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边框：采用≥24mm桦木纹饰面实木多层板，边框宽度≥60mm，长方形直线造型，半透明通透波纹板；波纹板：芯板采用厚度≥8mm的半透明亚克力中空板，半透明芯板可见尺寸770x380mm，表面光滑无缺陷；油漆：采用水性漆全封闭涂装工艺，漆面光泽高透，耐黄变；挡板连接件，尺寸为</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55*510mm，底座分为3段塑料件，①底层为固定件由塑料一次成型8个齿轮成带脚钉呈浅咖色的底座，整体高≥44mm直径≥57.5mm，脚钉位置高≥18mm，直</w:t>
            </w:r>
            <w:r>
              <w:rPr>
                <w:rFonts w:hint="eastAsia" w:ascii="宋体" w:hAnsi="宋体" w:cs="宋体"/>
                <w:color w:val="000000"/>
                <w:sz w:val="20"/>
                <w:highlight w:val="none"/>
                <w:lang w:bidi="ar"/>
              </w:rPr>
              <w:t xml:space="preserve">径≥34mm；②中间为塑料一次成型8个齿轮的旋转件，直径≥49.5mm高度≥14.5mm；③上层为塑料一次成型8个齿轮型组成呈浅咖色的底座，高度≥49.5mm直径≥57.5mm。采用全新塑料；塑料件：顶部分为2段塑料件，①上层为一个塑料一次成型带8个齿轮呈浅咖色的盖帽，直径≥57.5mm高度≥28.5mm；②下层为塑料一次成型8个齿轮型组成呈浅咖色的固定件，直径≥57.5mm高度≥50mm。采用全新塑料；铁质圆管：连接两段塑料件的铁艺圆棒，采用冷轧铁艺，表面采用静电粉末喷涂工艺；结构：内嵌半透明通透波纹板。</w:t>
            </w:r>
            <w:r>
              <w:rPr>
                <w:rFonts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屏风感官组合</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1.规格：920*575*1200mm；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2.柜体：采用厚度≥18mm的</w:t>
            </w:r>
            <w:r>
              <w:rPr>
                <w:rFonts w:hint="eastAsia" w:ascii="宋体" w:hAnsi="宋体" w:cs="宋体"/>
                <w:color w:val="000000"/>
                <w:sz w:val="20"/>
                <w:highlight w:val="none"/>
                <w:lang w:bidi="ar"/>
              </w:rPr>
              <w:t xml:space="preserve">桦木纹饰面实木多层板，屏风间隔可做展示、绘画等功能，可通过屏风卡扣可横向延伸拼搭积木件；组合件：共11个部件。1个三角顶尺寸为L500xW560mm，正反面为亚克力双面镜；2个浅黄色亚克力板小方块尺寸为L500xW360mm；1个浅蓝色亚克力板小方块尺寸为L500xW360mm；1个浅红色亚克力板小方块尺寸为L500xW360mm；1个风铃小方块尺寸为L500xW360mm；2个拼装底座尺寸为L500xW150xH150mm；2条连接条尺寸为L360xW78mm；1个直角固定板尺寸为L500xW404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油漆：采用水性漆全封闭涂装工艺，漆面光泽高透，耐黄变；五金件：防腐抗锈，无气泡、无粉化等腐蚀现象；结构：内嵌亚克力板。</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99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感官柜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1.规格：914*300*510mm；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2.柜体：采用厚度≥15mm的桦木纹饰面实木多层板，围脚采用厚度≥18mm</w:t>
            </w:r>
            <w:r>
              <w:rPr>
                <w:rFonts w:hint="eastAsia" w:ascii="宋体" w:hAnsi="宋体" w:cs="宋体"/>
                <w:color w:val="000000"/>
                <w:sz w:val="20"/>
                <w:highlight w:val="none"/>
                <w:lang w:bidi="ar"/>
              </w:rPr>
              <w:t xml:space="preserve">的桦木纹饰面实木多层板，顶部安装扶手条；聚酯纤维吸音板：柜子背板表面为聚酯纤维吸音板；柜面带亚克力镜，表面光滑无缺陷；油漆：采用水性漆全封闭涂装工艺，漆面光泽高透，耐黄变；封边条：采用PVC封边条，厚度≥1.5mm，表面光滑平整；五金件：防腐抗锈，经中性盐雾测试无生锈、无气泡、无粉化等腐蚀现象；塑料连接件：采用全新塑料，柜体与底部围脚采用塑料连接件实现翻板功能；脚轮：2寸TPR静音万向轮，轮面光洁，无裂纹、伤痕、毛边等缺陷；金属件表面光滑平整、无锈蚀、毛刺、露底等缺陷；结构：三层板，背板采用聚酯纤维吸音板。</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座椅柜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1.规格：920*350*600mm（坐高230mm）；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2.柜体：采用厚度≥15mm的桦木纹饰面实木多层板，座柜下层分3格，每格内空尺寸：28</w:t>
            </w:r>
            <w:r>
              <w:rPr>
                <w:rFonts w:hint="eastAsia" w:ascii="宋体" w:hAnsi="宋体" w:cs="宋体"/>
                <w:color w:val="000000"/>
                <w:sz w:val="20"/>
                <w:highlight w:val="none"/>
                <w:lang w:bidi="ar"/>
              </w:rPr>
              <w:t xml:space="preserve">5x290x120mm，可收纳。面板与侧板、靠背与柜体连接处采用塑料条形角码加固，尺寸为：30x30x248mm。软垫靠背座椅；靠背：上层铺设厚度≥30mm的坐垫；两个半椭圆形组成的靠背，外皮均采用厚度≥1.5mm聚氨酯合成革超柔皮，内部填充均采用高弹海绵，密度≥30kg/m³；围脚：高度≥40mm；底部安装塑料脚垫，高度为H10mm，直径≥17mm，软性防滑；油漆：采用水性漆全封闭涂装工艺，漆面光泽高透，耐黄变；封边条：采用PVC封边条，厚度≥1.5mm，表面光滑平整。结构：一层柜体，带有软包坐垫和靠背。</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书柜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1.规格：735*320*590mm；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2.柜体：柜体采用厚度≥15mm的桦木纹饰面实木多层板，围脚采用厚度≥18mm的桦木纹饰面实木多层板，两侧板均采用高分子塑料，实心注塑一体成型，软性防磕碰；侧板：侧板两面表面均</w:t>
            </w:r>
            <w:r>
              <w:rPr>
                <w:rFonts w:hint="eastAsia" w:ascii="宋体" w:hAnsi="宋体" w:cs="宋体"/>
                <w:color w:val="000000"/>
                <w:sz w:val="20"/>
                <w:highlight w:val="none"/>
                <w:lang w:bidi="ar"/>
              </w:rPr>
              <w:t xml:space="preserve">覆盖厚≥30mm的高分子塑料实心注塑，注塑面达320x590mm；铁质圆管：连接两面侧板，采用冷轧铁艺，表面采用静电粉末喷涂工艺；油漆：采用水性漆全封闭涂装工艺，漆面光泽高透，耐黄变；封边条：采用PVC封边条，厚度≥1.5mm；五金件：防腐抗锈，无气泡、无粉化等腐蚀现象；布袋：配备1个置物布袋，可拆洗，采用涤纶纤维织造，仿棉麻质感；塑料连接件：柜体与底部围脚采用塑料连接件实现翻板功能，采用全新塑料；脚轮：2寸TPR静音万向轮，金属件表面光滑平整、无锈蚀、毛刺、露底等缺陷。结构：柜体板阶梯结构，上有一圆拉挡。</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私密小窝</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1.尺寸：1150*700*875mm；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体：主体采用厚度≥18mm、镜框采用厚度≥9mm、底部结构部分采用厚度≥15mm的桦木纹饰面实木多层板，树形小屋造型，内部活动空间为L1145xW665mm；窗帘篷布：树屋顶部设置一块镂空篷布，通过阳光照射可映射不同的图案。采用涤纶纤维织造，仿棉麻质感；铁质</w:t>
            </w:r>
            <w:r>
              <w:rPr>
                <w:rFonts w:hint="eastAsia" w:ascii="宋体" w:hAnsi="宋体" w:cs="宋体"/>
                <w:color w:val="000000"/>
                <w:sz w:val="20"/>
                <w:highlight w:val="none"/>
                <w:lang w:bidi="ar"/>
              </w:rPr>
              <w:t xml:space="preserve">圆管：树屋顶部设有2个铁质圆管，用于承托窗帘篷布，采用冷轧铁艺，表面采用静电粉末喷涂工艺；亚克力板:镜面为透明亚克力板，表面光滑无缺陷；油漆：采用水性漆全封闭涂装工艺，漆面光泽高透，耐黄变；封边条：采用PVC封边条，厚度≥1.5mm,表面光滑平整；五金件：防腐抗锈，无气泡、无粉化等腐蚀现象；聚氨酯合成革超柔皮：平台设置一块坐垫，外皮由聚氨酯合成革超柔皮，内部填充珍珠棉；脚垫：底部安装塑料脚垫，尺寸为L40xW12xH5mm，浅卡其色，采用全新料塑料，软性防滑。结构：左右侧片，下有底板，中间拉挡悬挂镂空篷布。</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卡通木偶台</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1.规格：970*350*</w:t>
            </w:r>
            <w:r>
              <w:rPr>
                <w:rFonts w:hint="eastAsia" w:ascii="宋体" w:hAnsi="宋体" w:cs="宋体"/>
                <w:color w:val="000000"/>
                <w:sz w:val="20"/>
                <w:highlight w:val="none"/>
                <w:lang w:eastAsia="zh-CN" w:bidi="ar"/>
              </w:rPr>
              <w:t xml:space="preserve">1327</w:t>
            </w:r>
            <w:r>
              <w:rPr>
                <w:rFonts w:hint="eastAsia" w:ascii="宋体" w:hAnsi="宋体" w:cs="宋体"/>
                <w:color w:val="000000"/>
                <w:sz w:val="20"/>
                <w:highlight w:val="none"/>
                <w:lang w:bidi="ar"/>
              </w:rPr>
              <w:t xml:space="preserve">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主体采用厚度≥15mm的桦木纹饰面实木多层板。主柜体：大象后背收纳层格内空尺寸：940x154x158mm，造型板为≥12mm的桦木纹饰面实木多层板，表演窗口尺寸：435x390mm，窗口搭配安装由涤纶纤维织造的仿棉麻材质窗帘，窗帘可拆洗；主柜底部安装塑料脚垫，高度为L40xW12xH5mm，软性防滑；坐垫柜：坐垫柜可移动，格子内空高度：≥125mm，坐垫离地高度：≥255mm；坐柜上</w:t>
            </w:r>
            <w:r>
              <w:rPr>
                <w:rFonts w:hint="eastAsia" w:ascii="宋体" w:hAnsi="宋体" w:cs="宋体"/>
                <w:color w:val="000000"/>
                <w:sz w:val="20"/>
                <w:highlight w:val="none"/>
                <w:lang w:bidi="ar"/>
              </w:rPr>
              <w:t xml:space="preserve">层铺设厚度≥30mm的坐垫，坐垫内部填充高弹海绵；围脚：采用厚度≥18mm的桦木纹饰面实木多层板，柜体与底部围脚采用塑料连接件实现翻板功能，脚轮为2寸静音万向轮，安装在围脚侧板内；油漆：采用水性漆全封闭涂装工艺，漆面光泽高透，耐黄变；油墨：采用水性油墨；封边条：采用PVC封边条，厚度≥1.5mm，表面光滑平整；塑料：采用全新塑料；配套：产品包含3个透明教具篮，尺寸为L260xW280xH100mm，教具篮配备透明塑料标识牌，尺寸为L85xW73xH4mm，教具篮采用塑料材质；结构：一层柜体，上有一动物造型。</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地毯</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1.规格：2400*1800mm；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2.毯面：采用100%涤纶合成纤维，防污，防静电；底背：带防滑颗粒。</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卡通小摊车</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1.规格：820*350*1300mm；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采用厚度≥15mm的桦木纹饰面实木多层板，顶造型底板厚≥12mm桦木纹饰面实木多层板，轮子厚≥25mm桦木纹饰面实木多层板。左侧收纳格内空尺寸为：185x300x140mm；上分为可活动抽出的亚克力板，尺寸193x335mm，可水性笔擦写，右侧下方收纳格内空尺寸为：520x300x220mm，上层售卖展示层板与水平夹角25°，黑色面前挡条宽≥60mm,可用粉笔进行擦写，售卖台面板离地高度≥590mm，两侧立杆宽度≥70mm；窗帘篷布：方便拆洗，采用涤纶纤维织造篷布，仿棉麻质感；油漆</w:t>
            </w:r>
            <w:r>
              <w:rPr>
                <w:rFonts w:hint="eastAsia" w:ascii="宋体" w:hAnsi="宋体" w:cs="宋体"/>
                <w:color w:val="000000"/>
                <w:sz w:val="20"/>
                <w:highlight w:val="none"/>
                <w:lang w:bidi="ar"/>
              </w:rPr>
              <w:t xml:space="preserve">：采用水性漆全封闭涂装工艺，漆面光泽高透，耐黄变；五金件：防腐抗锈，无气泡、无粉化等腐蚀现象；塑料件：采用塑料材质；油墨：采用水性油墨；油漆：采用水性漆全封闭涂装工艺，漆面光泽高透，耐黄变；封边条：采用PVC封边条，厚度≥1.5mm；脚垫：柜子底部安装塑料脚垫，尺寸为L40xW12xH5mm，软性防滑；产品搭配5个收纳盒，尺寸L150xW120xH60mm，收纳盒采用塑料材质，呈浅咖色，圆滑无毛刺，一体成型设计；另含2个藤编篮，尺寸：L280xW260xH80mm，采用PP塑料材质，呈深咖色，仿藤编织而成。</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托班小厨房</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1.规格：720*385*890mm；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模拟集成厨灶布局，集成水槽、炉灶、洗衣机、蒸烤箱功能；蒸烤箱配置电子显示屏，支持多模式选择与时间调节，同步模拟操作声音；设工作指示灯；上段结构：主要采用厚度≥15mm的桦木纹饰面实木多层板材质，采用顶板盖侧板及弧形弯曲设计，顶部两侧弧板外弧半径R50mm；顶板面离柜体面板高度：≥410mm；层板底</w:t>
            </w:r>
            <w:r>
              <w:rPr>
                <w:rFonts w:hint="eastAsia" w:ascii="宋体" w:hAnsi="宋体" w:cs="宋体"/>
                <w:color w:val="000000"/>
                <w:sz w:val="20"/>
                <w:highlight w:val="none"/>
                <w:lang w:bidi="ar"/>
              </w:rPr>
              <w:t xml:space="preserve">面离柜体面板高度：≥250mm；下段部分：柜体采用厚度≥15mm的桦木纹饰面实木多层板，侧板为≥15mm桦木纹饰面多层板。面板离地高度≥480mm，宽≥385mm；四周圆角R15mm；蒸烤箱显示屏幕116x34mm,旋钮直径≥43mm，洗衣机滚筒口径≥215mm、深度≥250mm，设单独启动开关控制滚筒转动；蒸烤箱门板内嵌L330mm×W230mm×H20mm烤盘；洗碗机、蒸烤箱门板安装透明PVC片，可清晰观察内部模拟工作状态；一体炉灶尺寸L282mm×W197mm可发光发声；水槽为PP塑料一次注塑成型（尺</w:t>
            </w:r>
            <w:r>
              <w:rPr>
                <w:rFonts w:hint="eastAsia" w:ascii="宋体" w:hAnsi="宋体" w:cs="宋体"/>
                <w:color w:val="000000"/>
                <w:sz w:val="20"/>
                <w:highlight w:val="none"/>
                <w:lang w:bidi="ar"/>
              </w:rPr>
              <w:t xml:space="preserve">寸L220mm×W220mm×H80mm），搭配塑料成型2合1外直径35mm内直径18mm的旋转调节开关，长度≥70mm内径≥19mm的旋转水龙头；油漆：采用水性漆全封闭涂装工艺，漆面光泽高透，耐黄变；封边条：采用PVC封边条，厚度≥1.5mm，表面光滑平整；五金件：防腐抗锈，无气泡、无粉化等腐蚀现象；塑料：采用全新塑料；铰链：在门即将关闭时会自动减速；脚轮：直径≥50mm，高度≥63mm，主体尼龙材质，轮圈为弹性橡胶材质，金属件表面光滑平整、无锈蚀、毛刺、露底等缺陷。结构：面板上有洗手台造型和电磁炉造型。</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化妆台</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1.规格：桌:790*370*900mm、椅:</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294*270mm；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梳妆台：柜体采用厚度≥15mm的桦木纹饰面实木多层板，抽屉盒底板与亚克力镜底板采用厚度≥5mm桦木纹饰面实木纤维板，化妆台镜子采用≥3mm椭圆形亚克力材质，尺寸为L318xW348xH3mm，梳妆台面板离地高度≥520mm；抽屉内空452x249x64mm；配套：2个尺寸为150x120x60mm的卡其色塑料收纳盒，2个尺寸为245x150x60mm的卡其色塑料收纳盒；梳妆椅：椅面采用厚度≥15mm的白蜡木纹饰面实木多层板，圆形小板凳，凳腿十字缺口互扣，座板底部进槽设计，尺寸为</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294xH270mm；底部安装塑料脚垫，尺寸为L40xW12xH5mm，软性防滑；油漆：采用水性漆全封闭涂装工艺，漆面光泽高透，耐黄变；封边条：采用PVC封边条，厚度≥1.5mm，表面光滑平整；油墨：采用水性油墨；五金件：防腐抗锈，无气泡、无粉化等腐蚀现象；塑料：采用全新塑料；结构：桌子上方有一镜子造型。</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小推车</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1.规格：515*338*500mm；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2.主体：采用≥12mm的桦木纹饰面实木多层板，轮子采用厚度≥15mm的桦木纹饰面实木多层板，底板采用厚度≥5mm的饰面实木纤维板。小车分两层，侧板与车身撞色搭配，扶手圆棒</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22mm；轮子：安装有静音橡胶圈，软性防滑；油漆：采用水性漆全封闭涂装工艺，漆面光泽高透，耐黄变；结构：小车造型，有四个轮子。</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109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美术画板柜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1.规格：914*300*1080mm；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2.柜体：采用厚度≥18mm的桦木纹饰面实木多层板，画板下方共2层收纳空间，无背板设计；亚克力板：柜体上方设置双面使用画板，采用透明亚克力板；塑料：配备4个尺寸为</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79x95mm塑料颜料杯/笔筒；油漆：采用水性漆全封闭涂装工艺，漆面光泽高透，耐黄变；封边条：采用PVC封边条，厚度≥1.5mm，表面光滑平整；五金件：防腐抗锈，无气泡、无粉化等腐蚀现象；塑料连接件：柜体与底部围脚采用塑料连接件实现翻板功能，万向轮隐藏于围脚板内，采用全新塑料；脚轮：2寸TPR静音万向轮，金属件表面光滑平整、无锈蚀、毛刺、露底等缺陷；结构：两格柜子上方有叶子造型。</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双面美术画架</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1.规格：790*550*1046mm(含轮)；</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采用厚度≥18mm的桦木纹饰面实木多层板，画架双面使用、可磁吸；书写板:搭配2块尺寸为L600xW765mm的方形书写板，可双面使用，书写板边缘包边条采用塑料一次性无缝实心注塑；塑料连接件：前后架体连接采用尺寸为L73xW49xH53mm塑料连接件，共2个；书写板与架体连接采用尺寸为</w:t>
            </w:r>
            <w:r>
              <w:rPr>
                <w:rFonts w:hint="eastAsia" w:ascii="宋体" w:hAnsi="宋体" w:cs="宋体"/>
                <w:color w:val="000000"/>
                <w:sz w:val="20"/>
                <w:highlight w:val="none"/>
                <w:lang w:bidi="ar"/>
              </w:rPr>
              <w:t xml:space="preserve">L44.5xW25mm塑料连接件，共4个，架体与塑料笔槽盒连接采用尺寸为L143xW47mm塑料连接件，共4个；铁质圆管：采用冷轧铁艺，表面采用静电粉末喷涂工艺，圆管可插入卷画纸；塑料：2个尺寸为L610xW130xH50mm塑料笔槽盒；4个圆形包塑磁铁；油漆：采用水性漆全封闭涂装工艺，漆面光泽高透，耐黄变；封边条：采用PVC封边条，厚度≥1.5mm，表面光滑平整；五金件：防腐抗锈，无气泡、无粉化等腐蚀现象；脚轮：平底静音万向轮，金属件表面光滑平整、无锈蚀、毛刺、露底等缺陷；结构：两格柜上方有双层画板画架。</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美术材料收纳柜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1.规格：910*500*750mm(含轮)；</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2.柜体：采用厚度≥15mm的桦木纹饰面实木多层板，双面美术材料分类；塑料：8个尺寸为</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79xH95mm橄榄绿塑料颜料杯/笔筒，5个尺寸为L245xW150xH60mm浅卡其色塑料分类盒，采用全新塑料；油漆：采用水性漆全封闭涂装工艺，漆面光泽高透，耐黄变；封边条：采用PVC封边条，厚度≥1.5mm，表面光滑平整；五金件：防腐抗锈，无气泡、无粉化等腐蚀现象；脚轮：2寸TPR静音万向轮，金属件表面光滑平整、无锈蚀、毛刺、露底等缺陷；结构：左边四层柜，右边阶梯结构。</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美术纸筒柜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1.规格：400*400*580mm(含轮)；</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柜体：采用厚度≥12mm的桦木纹饰面实木多层板，共9格纸张收纳空间；油漆：采用水性漆全封闭涂装工艺，漆面光泽高透，耐黄变；油墨：采用水性油墨；封边条：采用PVC封边条，厚度≥1.5mm，表面光滑平整；五金件：防腐抗锈，无气泡、无粉化等腐蚀现象；脚轮：1.5寸TPE静音万向轮，金属件表面光滑平整、无锈蚀、毛刺、露底等缺陷。结构：阶梯结构。</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美术作品晾干柜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1.规格：500*400*760mm(含轮)；</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w:t>
            </w:r>
            <w:r>
              <w:rPr>
                <w:rFonts w:hint="eastAsia" w:ascii="宋体" w:hAnsi="宋体" w:cs="宋体"/>
                <w:color w:val="000000"/>
                <w:sz w:val="20"/>
                <w:highlight w:val="none"/>
                <w:lang w:bidi="ar"/>
              </w:rPr>
              <w:t xml:space="preserve">柜体：采用厚度≥15mm的桦木纹饰面实木多层板；塑料件：晾干网两侧对应安装9对尺寸为L370xW20xH13mm塑料U型槽，浅卡其色，采用全新塑料；铁网：采用冷轧铁艺，表面采用静电粉末喷涂工艺，晾干铁网尺寸为L461xW388xH8mm，铁网每层均匀分布，层间距为：≥64mm；油漆：采用水性漆全封闭涂装工艺，漆面光泽高透，耐黄变；封边条：采用PVC封边条，厚度≥1.5mm，表面光滑平整；五金件：防腐抗锈，无气泡、无粉化等腐蚀现象；脚轮：1.5寸TPE静音万向轮，金属件表面光滑平整、无锈蚀、毛刺、露底等缺陷。</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感统圆柱独木桥</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1.规格：1000*600*480mm；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2.采用聚氨酯合成革超柔皮；填充物：内部填充珍珠棉；由三部分组成，2个底座，1个圆形爬桥。</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感统平台</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1.规格：600*600*300mm；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2.采用聚氨酯合成革超柔皮；填充物：内部填充珍珠棉；积木拼搭。</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感统波浪阶梯</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1.规格：600*600*300mm；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2.采用聚氨酯合成革超柔皮；填充物：内部填充珍珠棉；积木拼搭形式，波浪形坡道。</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感统阶梯</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1.规格：600*600*300mm；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2.采用聚氨酯合成革超柔皮；填充物：内部填充珍珠棉；斜坡道设计，表面增加攀爬点和镜子。</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方块软包</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1.规格：1000*1000*75mm；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2.采用PVC人造革；填充物：内部填充珍珠棉。</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119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软包</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1.规格：1000*1000*150mm；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2.采用PVC人造革；填充物：内部填充珍珠棉。</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弧形软包(大)</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1.规格：840*310*300mm；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2.采用PVC人造革；填充物：内部填充珍珠棉。</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弧形软包(小)</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1.规格：560*250*150mm；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2.采用PVC人造革；填充物：内部填充珍珠棉。</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教具篮1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1.规格：280*260*190mm；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2.材质：采用全新塑料，一体成型工艺，边角采用圆边、圆角处理，透明色教具篮，可堆叠；产品：侧面带透明标签卡槽，尺寸≥L85xW73xH4mm。</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教具篮2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1.规格：280*260*100mm；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2.材质：采用全新塑料，一体成型工艺，边角采用圆边、圆角处理，透明色教具篮，可堆叠；产品：侧面带透明标签卡槽，尺寸≥L85xW73xH4mm。</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卡通毛巾架</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1.规格：970*420*890mm（含轮）；</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主体：采用厚度≥18mm的桦木纹饰面实木多层板，侧板松鼠造型，三层间隔≥102mm，不少于24个塑料3合1挂钩，挂钩配有透明塑料翻盖铭牌，尺寸49.5x43.5mm,可放入1寸照片。挂钩呈浅咖色，每个挂钩间距≥110mm；脚轮：底部安装4个1.5寸静音万向脚轮，可360°旋转，其中2个脚轮带刹车功能；油漆：采用水性漆全封闭涂装工艺，漆面光泽高透，耐黄变；五金件：防腐抗锈，无气泡、无粉化等腐蚀现象；油墨：采用水性油墨；塑料：采用全新塑料。</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托班活动床</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1.规格：1240*640*225mm(不含轮)； </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2.床框：采用厚度≥18mm的桦木纹饰面实木多层板；</w:t>
            </w:r>
            <w:r>
              <w:rPr>
                <w:rFonts w:hint="eastAsia" w:ascii="宋体" w:hAnsi="宋体" w:cs="宋体"/>
                <w:color w:val="000000"/>
                <w:sz w:val="20"/>
                <w:highlight w:val="none"/>
                <w:lang w:bidi="ar"/>
              </w:rPr>
              <w:t xml:space="preserve">床板：采用厚度≥8mm的饰面实木多层板，床内空尺寸：1197x604mm，床板增加透气孔，两段拼接，床板离地高度≥140mm(含脚垫)，扶手上边沿离床边≥85mm，扶手高度：≥117mm；床脚：用塑料注塑脚，呈浅咖色，呈“T”形，一体成型，可套叠堆放。尺寸L180xH210mm，凹陷的卡扣位置孔深≥190mm,最大长度≥105mm，宽度≥45mm；油漆：采用水性漆全封闭涂装工艺，漆面光泽高透，耐黄变；五金件：防腐抗锈，无气泡、无粉化等腐蚀现象；塑料：采用全新塑料；封边条：采用PVC封边条，厚度≥1.5mm。</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边柜1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1.规格：860*400*1060mm；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封边：采用≥1.0mm厚同色PVC封边带机器四边封边；结构：对开木门，内含两块活动层板，内置拉手；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边柜2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1.规格：800*400*1060mm；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封边：采用≥1.0mm厚同色PVC封边带机器四边封边；结构：对开木门，内含两块活动层板，内置拉手；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图书架1</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1.规格：1820*300*2000mm；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129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图书架2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1.规格：910*300*2000mm；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办公桌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1.规格：1400*700*760mm；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实木多层免漆板，表面无开裂补灰、无腐无虫孔、表面平整无崩边，桌面厚度≥25mm、其余板材厚度≥18mm；封边：采用≥1.0mm厚同色PVC封边带机器四边封边；五金件：采用三合一五金连接件组装，消音承重三节抽轨，液压阻尼铰链；结构：左侧四个抽屉，右侧上部一个抽屉，下部单门，中间一个抽屉，加锁；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文件柜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E0级实木多层免漆板，表面无开裂补灰、无腐无虫孔、表面平整无崩边；封边：采用≥1.0mm厚同色PVC封边带机器四边封边；结构：上下分体门，上部对开玻璃门，玻璃材质为≥5mm厚钢化玻璃,内含两块层板；下部对开木门，内含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五节档案柜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1.规格：850*360*2000mm；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2.用材：采用≥0.8mm厚冷轧钢板，表面平整无凹凸、无毛刺、无划痕、焊接无脱焊、表面经酸洗磷化喷塑处理；五金：防撞锁，塑料防滑防水脚垫；结构：分体，对开门，一组五节，灰色。</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幼儿桌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1.规格：500*400*600mm；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辐射松直拼板，桌面厚度≥20mm，其余板材厚度≥18mm，所有板边倒圆角、圆边，板面光滑，无毛刺；油漆：采用木器漆，清晰体现实木质感，表面平整、光洁、无气泡、无颗粒、无裂缝；五金件：采用三合一五金连接件组装；桌面白色，其余原木色。</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方桌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1.规格：600*600*440mm；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橡胶木实木，桌面厚度≥20mm，桌腿≥50*50mm，横档≥80*18mm，其他板材厚度≥18mm，加工工艺为榫卯结构，桌腿与横档之间用横拉撑链接使之更加牢固，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四格柜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一块横隔板和一块竖隔板将整体均分成四格，踢脚线高度≥50mm；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双层柜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1.规格：800*350*540mm；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左右侧板为弧形，一块横板将上下均分成两层，踢脚线高度≥50mm；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双人位幼儿沙发</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1.规格：1200*500*560；</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2.采用松木框架，内架木框：≥30*50mm加粗实木，稳固耐用，厚度≥18mm；表面绒布材质，密度≥45㎏高回弹阻燃海绵，回弹性好；沙发腿采用松木材质，高度≥30mm；颜色由使用方确定后制作。                                                    </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圆几</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w:t>
            </w:r>
            <w:r>
              <w:rPr>
                <w:rFonts w:ascii="Calibri" w:hAnsi="Calibri" w:cs="Calibri"/>
                <w:color w:val="000000"/>
                <w:sz w:val="20"/>
                <w:highlight w:val="none"/>
                <w:lang w:bidi="ar"/>
              </w:rPr>
              <w:t xml:space="preserve">φ</w:t>
            </w:r>
            <w:r>
              <w:rPr>
                <w:rFonts w:hint="eastAsia" w:ascii="宋体" w:hAnsi="宋体" w:cs="宋体"/>
                <w:color w:val="000000"/>
                <w:sz w:val="20"/>
                <w:highlight w:val="none"/>
                <w:lang w:bidi="ar"/>
              </w:rPr>
              <w:t xml:space="preserve">400*440mm；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桌面白色，其余原木色。</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139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双层美工桌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1.规格：1600*800*440mm；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橡胶木实木，桌面厚度≥25mm，其余板材厚度≥18mm，所有板边倒圆角、圆边，板面光滑，无毛刺；油漆：采用木器漆，清晰体现实木质感，表面平整、光洁、无气泡、无颗粒、无裂缝；结构:榫卯结构；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美工凳</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1.规格：300*300*280mm；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结构:榫卯结构。  </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游戏柜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1.规格：800*400*2400mm；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液压阻尼铰链；结构：上部对开木门，下部定制弧形，内空加软包，踢脚线高度≥50mm；颜色由使用方确定后制作。</w:t>
            </w:r>
            <w:r>
              <w:rPr>
                <w:rFonts w:hint="eastAsia" w:ascii="宋体" w:hAnsi="宋体" w:cs="宋体"/>
                <w:bCs/>
                <w:color w:val="000000"/>
                <w:szCs w:val="21"/>
                <w:highlight w:val="none"/>
              </w:rPr>
            </w:r>
            <w:r/>
          </w:p>
        </w:tc>
      </w:tr>
      <w:tr>
        <w:trPr>
          <w:trHeight w:val="1052"/>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转角高柜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1.规格：300*400*2400mm；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三块层板，四层储物，踢脚线高度≥50mm；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玩具收纳柜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1.规格：800*350*600mm；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含塑料框。</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围栏</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1.规格：长4800*高400mm；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乐高桌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1.规格：650*560*390mm；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圆形地毯</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1.规格：直径1800mm；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2.材质：三防水晶绒，防滑底背。</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软包地垫</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1.规格：400*400*100mm；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2.材质：布艺面料，填充饱满立体；款式及颜色学校确认后制作。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帐篷</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1.规格：1200*1200*1600mm；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2.材质：采用松木四角支架，支架为圆形，单根支架长度≥1150mm，直径≥20mm；表面帆布材质，活性印染图案；帐篷门帘系带设计。</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149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娃娃家推车</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1.规格：500*400*500mm；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车斗为U形，尺寸≥450*380*500mm，配有帆布兜；四个木制车轮，直径≥100mm；圆形推车杆，尺寸≥380*30mm；连接推杆和车斗之间的两根侧板长度≥360mm、宽度≥50mm；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娃娃家半圆桌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1.规格：直径600*440mm；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橡胶木实木，桌面厚度≥20mm，桌腿≥50*50mm，横档≥80*18mm，其他板材厚度≥18mm，加工工艺为榫卯结构，桌腿与横档之间用横拉撑链接使之更加牢固，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墙面柜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1.规格：4000*400/500*1630mm；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液压阻尼铰链。</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操作台1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1.规格：2750*400*500mm；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台面板配备人造石英石台面，厚度≥15mm；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操作台2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1.规格：1900*400*500mm；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液压阻尼铰链；台面板配备人造石英石台面，厚度≥15mm；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茶杯箱柜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1.规格：610*500*1170mm；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直饮水机柜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1.规格：640*500*1170mm；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液压阻尼铰链。</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生活区长桌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1.规格：1000*1000*440mm；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生活区椅子</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1.规格：280*280*270mm；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扶手高度≥380mm；靠背及扶手开孔，方便搬动；油漆：采用木器漆，清晰体现实木质感，表面平整、光洁、无气泡、无颗粒、无裂缝；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教师办公桌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1.规格：1400*700*760mm；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左侧均分三个抽屉，宽度≥380mm；中间一个抽屉，宽度≥640mm；右侧单开拉门，宽度≥380mm；五金件：采用三合一五金连接件组装，消音承重三节抽轨，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159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墙面洞洞板</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1.规格：2900*1800mm；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2.材质：全部采用≥18mm厚橡胶木实木，所有板边倒圆角、圆边，板面光滑，无毛刺；油漆：采用木器漆，清晰体现实木质感，表面平整、光洁、无气泡、无颗粒、无裂缝；五金件：采用三合一或五金连接件组装。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乐高墙面</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1.规格：1260*1200mm；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边框采用≥18mm厚橡胶木实木，所有板边倒圆角、圆边，板面光滑，无毛刺；油漆：采用木器漆，清晰体现实木质感，表面平整、光洁、无气泡、无颗粒、无裂缝；五金件：采用三合一五金连接件组装；底板：ABS材质小颗粒底板。</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单层柜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1.规格：800*350*350mm；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结构：单层，踢脚线高度≥50mm；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软包游戏围栏</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1.规格：1600*1600*300mm；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2.材质：采用内部为≥18mm厚橡胶木实木，所有板边倒圆角、圆边，板面光滑，无毛刺；表面为PU材质，内填充为高密度海绵；五金件：采用卡扣固定。</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收纳柜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1.规格：1090*350*710mm；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2.材质：采用HDPE材质；结构：恐龙造型，左侧可坐、可靠，右侧双层书架，可收纳；无缝卡槽固定，光滑无毛刺。</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移动柜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1.规格：730*420*554mm；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2.材质：采用HDPE材质；底部直径≥120mm仿真车轮，双层设计，可收纳；无缝卡槽固定，光滑无毛刺。</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软包换鞋柜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1.规格：1200*350*280mm；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橡胶木实木，所有板边倒圆角、圆边，板面光滑，无毛刺；油漆：采用木器漆，清晰体现实木质感，表面平整、光洁、无气泡、无颗粒、无裂缝；五金件：采用三合一五金连接件组装；对开木门，软包座垫，覆面布艺材质，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半圆阅读桌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1.规格：1000*600*530mm；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橡胶木实木，桌面厚度≥20mm，桌腿≥50*50mm，横档≥80*18mm，其他板材厚度≥18mm，加工工艺为榫卯结构，桌腿与横档之间用横拉撑链接使之更加牢固，所有板边倒圆角、圆边，板面光滑，无毛刺；油漆：采用木器漆，清晰体现实木质感，表面平整、光洁、无气泡、无颗粒、无裂缝；结构：榫卯结构，双层；五金件：采用三合一五金连接件组装。</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办公椅4</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1.规格：650*610*1155/1240mm；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面料：采用网布面料，防磨防污；辅料：采用≥35#高密度、高弹力聚氨脂海绵，可防氧化、防碎；塑料：采用尼龙塑料，抗拉性高，一次性型；功能：可躺角度范围覆盖90°-140°，靠背任意角度锁定；气杆：采用100#下沉5喷涂气杆，厚度≥2.5mm；底盘：蝴蝶底盘无极档锁定；尼龙高脚，静压测试≥1450KG。</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办公椅5</w:t>
            </w:r>
            <w:r>
              <w:rPr>
                <w:rFonts w:hint="eastAsia" w:ascii="宋体" w:hAnsi="宋体" w:cs="宋体"/>
                <w:bCs/>
                <w:color w:val="000000"/>
                <w:szCs w:val="21"/>
                <w:highlight w:val="none"/>
              </w:rPr>
            </w:r>
            <w:r/>
          </w:p>
        </w:tc>
        <w:tc>
          <w:tcPr>
            <w:tcW w:w="3932" w:type="dxa"/>
            <w:vAlign w:val="bottom"/>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1.规格：650*610*1155/1240mm；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面料：采用网布面料，防磨防污性好；辅料：采用≥35#高密度、高弹力聚氨脂海绵，可防氧化、防碎；塑料：采用尼龙塑料，抗拉性高，一次性型；功能：可躺角度范围覆盖90°-140°，靠背任意角度锁定；气杆：采用100#下沉5喷涂气杆，厚度≥2.5mm；底盘：蝴蝶底盘无极档锁定；尼龙高脚，静压测试≥1450KG。</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169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E0级≥18mm厚实木多层免漆板，表面无开裂补灰、无腐无虫孔、表面平整无崩边；封边：采用≥1.0mm厚同色PVC封边带机器四边封边；结构：上下分体门，上部对开铝框玻璃门，玻璃材质为≥5mm厚钢化玻璃，下部对开木门，上部配两块层板，下部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图书柜1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1.规格：850*400*2000mm；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柜体采用E0级≥18mm厚实木多层免漆板，表面无开裂补灰、无腐无虫孔、表面平整无崩边；封边：采用≥1.0mm厚同色PVC封边带机器四边封边；结构：上下分体门，上部对开铝框玻璃门，玻璃材质为≥5mm厚钢化玻璃，下部对开木门，上部配两块层板，下部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图书柜2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1.规格：900*400*2000mm；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柜体采用E0级≥18mm厚实木多层免漆板，表面无开裂补灰、无腐无虫孔、表面平整无崩边；封边：采用≥1.0mm厚同色PVC封边带机器四边封边；结构：上下分体门，上部对开铝框玻璃门，玻璃材质为≥5mm厚钢化玻璃，下部对开木门，上部配两块层板，下部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图书柜3</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1.规格：970*400*2000mm；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柜体采用E0级≥18mm厚实木多层免漆板，表面无开裂补灰、无腐无虫孔、表面平整无崩边；封边：采用≥1.0mm厚同色PVC封边带机器四边封边；结构：上下分体门，上部对开铝框玻璃门，玻璃材质为≥5mm厚钢化玻璃，下部对开木门，上部配两块层板，下部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图书柜4</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柜体采用E0级≥18mm厚实木多层免漆板，表面无开裂补灰、无腐无虫孔、表面平整无崩边；封边：采用≥1.0mm厚同色PVC封边带机器四边封边；结构：上下分体门，上部对开铝框玻璃门，玻璃材质为≥5mm厚钢化玻璃，下部对开木门，上部配两块层板，下部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图书柜（三门）1</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1.规格：1080*400*2000mm；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柜体采用E0级≥18mm厚实木多层免漆板，表面无开裂补灰、无腐无虫孔、表面平整无崩边；封边：采用≥1.0mm厚同色PVC封边带机器四边封边；结构：上下分体门，上部对开铝框玻璃门，玻璃材质为≥5mm厚钢化玻璃，下部对开木门，上部配两块层板，下部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175</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图书柜（三门）2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1.规格：1100*400*2000mm；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柜体采用E0级≥18mm厚实木多层免漆板，表面无开裂补灰、无腐无虫孔、表面平整无崩边；封边：采用≥1.0mm厚同色PVC封边带机器四边封边；结构：上下分体门，上部对开铝框玻璃门，玻璃材质为≥5mm厚钢化玻璃，下部对开木门，上部配两块层板，下部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176</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图书柜（三门）3</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1.规格：1280*400*2000mm；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柜体采用E0级≥18mm厚实木多层免漆板，表面无开裂补灰、无腐无虫孔、表面平整无崩边；封边：采用≥1.0mm厚同色PVC封边带机器四边封边；结构：上下分体门，上部对开铝框玻璃门，玻璃材质为≥5mm厚钢化玻璃，下部对开木门，上部配两块层板，下部配一块层板；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177</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梯形桌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1.规格：800*400*760mm；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E0级实木多层免漆板，桌面厚度≥20mm，表面无开裂补灰、无腐无虫孔、表面平整无崩边；封边：采用≥1.0mm厚同色PVC封边带机器四边封边；五金件：采用三合一五金连接件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178</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堆叠椅2</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1.规格：410*430*790mm；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2.材质：采用PP材质，靠背座面一体成型，厚度≥5mm；椅架：采用圆钢实心椅架，</w:t>
            </w:r>
            <w:r>
              <w:rPr>
                <w:rStyle w:val="1310"/>
                <w:color w:val="000000"/>
                <w:highlight w:val="none"/>
                <w:lang w:bidi="ar"/>
              </w:rPr>
              <w:t xml:space="preserve">φ</w:t>
            </w:r>
            <w:r>
              <w:rPr>
                <w:rFonts w:hint="eastAsia" w:ascii="宋体" w:hAnsi="宋体" w:cs="宋体"/>
                <w:color w:val="000000"/>
                <w:sz w:val="20"/>
                <w:highlight w:val="none"/>
                <w:lang w:bidi="ar"/>
              </w:rPr>
              <w:t xml:space="preserve">11mm，静电喷涂；五金件：采用三合一五金连接件组装；颜色由使用方确定后制作。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179</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图书卫生柜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1.规格：1100*400*2000mm（每班1个）；</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E0级≥18mm厚三聚氰胺饰面刨花板，表面无开裂补灰、无腐无虫孔、表面平整无崩边；封边：采用≥1.0mm厚同色PVC封边带机器四边封边；结构：左侧上下分体门，上部对开玻璃门，玻璃材质为≥5mm厚钢化玻璃，内含两块层板；下部对开木门，内含一块层板；右侧单开长直门，内含挂钩；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180</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桌边柜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1.规格：700*300*740mm；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E0级双贴面实木多层免漆板，表面无开裂补灰、无腐无虫孔、表面平整无崩边；封边：采用≥1.0mm厚同色PVC封边带机器四边封边；五金件：采用三合一五金连接件组装；结构：两块层板，均分三层；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181</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矮柜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1.规格：1900*400*1200mm；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全部采用≥18mm厚E0级双贴面实木多层免漆板，表面无开裂补灰、无腐无虫孔、表面平整无崩边；封边：采用≥1.0mm厚同色PVC封边带机器四边封边；结构：上下结构，上部敞开式，净空高度≥400mm，下部四扇对开木门，木门高度≥680mm；五金件：采用三合一五金连接件组装，液压阻尼铰链；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182</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钢木桌</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1.规格：1000*700*760mm；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桌面：采用E0级双贴面实木多层免漆板，厚度≥25mm，表面无开裂补灰、无腐无虫孔、表面平整无崩边；桌腿：采用钢架，钢管规格≥30*60mm，壁厚≥1.0mm，电镀一体成型，ABS脚垫；封边：采用≥1.0mm厚同色PVC封边带机器四边封边；五金件：采用三合一五金连接件组装；颜色由使用方确定后制作。</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183</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卫生柜</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1.规格：900*400*2000mm；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2.材质：采用一级冷轧钢板、厚度≥0.8mm；五金及结构：表面经酸洗磷化喷塑处理，对开门，门内顶部配有挂钩，并留有拖把、笤帚、抹布等卫生洁具摆放位置。</w:t>
            </w:r>
            <w:r>
              <w:rPr>
                <w:rFonts w:hint="eastAsia" w:ascii="宋体" w:hAnsi="宋体" w:cs="宋体"/>
                <w:bCs/>
                <w:color w:val="000000"/>
                <w:szCs w:val="21"/>
                <w:highlight w:val="none"/>
              </w:rPr>
            </w:r>
            <w:r/>
          </w:p>
        </w:tc>
      </w:tr>
      <w:tr>
        <w:trPr>
          <w:trHeight w:val="404"/>
        </w:trPr>
        <w:tc>
          <w:tcPr>
            <w:tcW w:w="31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184</w:t>
            </w:r>
            <w:r>
              <w:rPr>
                <w:rFonts w:hint="eastAsia" w:ascii="宋体" w:hAnsi="宋体" w:cs="宋体"/>
                <w:bCs/>
                <w:color w:val="000000"/>
                <w:szCs w:val="21"/>
                <w:highlight w:val="none"/>
              </w:rPr>
            </w:r>
            <w:r/>
          </w:p>
        </w:tc>
        <w:tc>
          <w:tcPr>
            <w:tcW w:w="748" w:type="dxa"/>
            <w:vAlign w:val="center"/>
            <w:textDirection w:val="lrTb"/>
            <w:noWrap w:val="false"/>
          </w:tcPr>
          <w:p>
            <w:pPr>
              <w:pStyle w:val="1086"/>
              <w:jc w:val="center"/>
              <w:widowControl/>
              <w:rPr>
                <w:rFonts w:hint="eastAsia" w:ascii="宋体" w:hAnsi="宋体" w:cs="宋体"/>
                <w:bCs/>
                <w:color w:val="000000"/>
                <w:szCs w:val="21"/>
                <w:highlight w:val="none"/>
              </w:rPr>
            </w:pPr>
            <w:r>
              <w:rPr>
                <w:rFonts w:hint="eastAsia" w:ascii="宋体" w:hAnsi="宋体" w:cs="宋体"/>
                <w:color w:val="000000"/>
                <w:szCs w:val="21"/>
                <w:highlight w:val="none"/>
                <w:lang w:bidi="ar"/>
              </w:rPr>
              <w:t xml:space="preserve">会议椅</w:t>
            </w:r>
            <w:r>
              <w:rPr>
                <w:rFonts w:hint="eastAsia" w:ascii="宋体" w:hAnsi="宋体" w:cs="宋体"/>
                <w:bCs/>
                <w:color w:val="000000"/>
                <w:szCs w:val="21"/>
                <w:highlight w:val="none"/>
              </w:rPr>
            </w:r>
            <w:r/>
          </w:p>
        </w:tc>
        <w:tc>
          <w:tcPr>
            <w:tcW w:w="3932" w:type="dxa"/>
            <w:vAlign w:val="center"/>
            <w:textDirection w:val="lrTb"/>
            <w:noWrap w:val="false"/>
          </w:tcPr>
          <w:p>
            <w:pPr>
              <w:pStyle w:val="1086"/>
              <w:jc w:val="left"/>
              <w:widowControl/>
              <w:rPr>
                <w:rFonts w:hint="eastAsia" w:ascii="宋体" w:hAnsi="宋体" w:cs="宋体"/>
                <w:bCs/>
                <w:color w:val="000000"/>
                <w:szCs w:val="21"/>
                <w:highlight w:val="none"/>
              </w:rPr>
            </w:pPr>
            <w:r>
              <w:rPr>
                <w:rFonts w:hint="eastAsia" w:ascii="宋体" w:hAnsi="宋体" w:cs="宋体"/>
                <w:color w:val="000000"/>
                <w:sz w:val="20"/>
                <w:highlight w:val="none"/>
                <w:lang w:bidi="ar"/>
              </w:rPr>
              <w:t xml:space="preserve">1.规格：外径580*540*850/950±10mm；</w:t>
            </w:r>
            <w:r>
              <w:rPr>
                <w:rFonts w:hint="eastAsia" w:ascii="宋体" w:hAnsi="宋体" w:cs="宋体"/>
                <w:color w:val="000000"/>
                <w:sz w:val="20"/>
                <w:highlight w:val="none"/>
                <w:lang w:bidi="ar"/>
              </w:rPr>
              <w:br w:type="textWrapping" w:clear="all"/>
            </w:r>
            <w:r>
              <w:rPr>
                <w:rFonts w:hint="eastAsia" w:ascii="宋体" w:hAnsi="宋体" w:cs="宋体"/>
                <w:color w:val="000000"/>
                <w:sz w:val="20"/>
                <w:highlight w:val="none"/>
                <w:lang w:bidi="ar"/>
              </w:rPr>
              <w:t xml:space="preserve">2.采用西皮饰面，厚度≥1.2mm；座垫内径尺寸：长≥380mm，≥深度485mm，靠背后板高度≥480mm，座面离地高度400～500±10mm；</w:t>
            </w:r>
            <w:r>
              <w:rPr>
                <w:rFonts w:hint="eastAsia" w:ascii="宋体" w:hAnsi="宋体" w:cs="宋体"/>
                <w:color w:val="000000"/>
                <w:sz w:val="20"/>
                <w:highlight w:val="none"/>
                <w:lang w:bidi="ar"/>
              </w:rPr>
              <w:t xml:space="preserve">内板：采用≥12mm后背多层曲木贴皮压铸板；饰面：外侧采用胡桃木皮，木皮厚度≥0.6mm，贴面平整无脱胶，翘边；内侧包覆软体面料，边缘包边严密；海绵：座面、靠背采用高密度高回弹定型海绵，密度≥45kg/m³，回弹率≥60%；缝制：采用高强度尼龙线，双线精密车缝，针脚均匀平直，缝线牢固无跳线，断线，边角处理圆润；气压杆：采用三级及以上气压杆，防爆防漏气，升降行程≥100mm，升降顺滑，锁止稳固，铝合金五星脚,可升降，整体高可在850～950±10mm之间调节，可旋转；聚氨酯万向脚轮，直径≥50mm，耐磨顺滑。</w:t>
            </w:r>
            <w:r>
              <w:rPr>
                <w:rFonts w:hint="eastAsia" w:ascii="宋体" w:hAnsi="宋体" w:cs="宋体"/>
                <w:bCs/>
                <w:color w:val="000000"/>
                <w:szCs w:val="21"/>
                <w:highlight w:val="none"/>
              </w:rPr>
            </w:r>
            <w:r/>
          </w:p>
        </w:tc>
      </w:tr>
    </w:tbl>
    <w:p>
      <w:pPr>
        <w:pStyle w:val="1086"/>
        <w:ind w:firstLine="480"/>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★（二）商务要求</w:t>
      </w:r>
      <w:r>
        <w:rPr>
          <w:rFonts w:hint="eastAsia" w:ascii="宋体" w:hAnsi="宋体" w:cs="宋体"/>
          <w:b/>
          <w:bCs/>
          <w:color w:val="000000"/>
          <w:szCs w:val="21"/>
          <w:highlight w:val="none"/>
        </w:rPr>
        <w:t xml:space="preserve">（须在商务条款偏离表中逐条响应，未响应或不符合要求的作废标处理）</w:t>
      </w:r>
      <w:r>
        <w:rPr>
          <w:rFonts w:hint="eastAsia" w:ascii="宋体" w:hAnsi="宋体" w:cs="宋体"/>
          <w:bCs/>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（2）供应商的任何错漏、优惠、竞争性报价不得作为减轻责任、减少服务、增加收费、降低服务质量的理由。</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2.实施要求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（1）总体要求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①供应商中标后提供设备安装日程计划。</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②供应商应及时与采购人联系，对本项目所有产品的规格尺寸、款式、颜色等要求进一步确认，得到采购人的签字盖章认可后方可生产，并确保产品质量。</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（2）质量要求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要求。交货时所有货物应完好，物品配件齐全，否则视为不合格产品。</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(3)安全实施要求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供应商应采取安全措施，确保项目实施安全。因本项目实施产生的实施人员和学校师生人身安全问题由供应商承担全部责任。</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（4）验收要求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（5）质保（维保）及售后要求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①本项目所有产品质保期限不低于六年(自验收报告签字确认之日起，开始进入质保期）。质保期内，每年维护保养1次，维护保养及更换损坏件的费用包含在投标总价中。</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 </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③质保期内维修（人为因素除外）费用包含在投标总价中，质保期外提供不高于市场价格的终身维护。中标后提供质保期外配件价格明细表。</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（6）人员要求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本项目实施团队人员不少于4人，其中包括项目负责人1人。</w:t>
      </w:r>
      <w:r>
        <w:rPr>
          <w:rFonts w:hint="eastAsia" w:ascii="宋体" w:hAnsi="宋体" w:cs="宋体"/>
          <w:color w:val="000000"/>
          <w:szCs w:val="21"/>
          <w:highlight w:val="none"/>
        </w:rPr>
      </w:r>
      <w:r/>
    </w:p>
    <w:p>
      <w:pPr>
        <w:pStyle w:val="1086"/>
        <w:ind w:firstLine="48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3.付款条件</w:t>
      </w:r>
      <w:r>
        <w:rPr>
          <w:rFonts w:hint="eastAsia" w:ascii="宋体" w:hAnsi="宋体" w:cs="宋体"/>
          <w:bCs/>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以第三章合同文本内容为准。</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4.交付时间及地点</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（1）交付时间：合同签订后</w:t>
      </w:r>
      <w:r>
        <w:rPr>
          <w:rFonts w:hint="eastAsia" w:ascii="宋体" w:hAnsi="宋体" w:cs="宋体"/>
          <w:bCs/>
          <w:color w:val="000000"/>
          <w:szCs w:val="21"/>
          <w:highlight w:val="none"/>
        </w:rPr>
        <w:t xml:space="preserve">45</w:t>
      </w:r>
      <w:r>
        <w:rPr>
          <w:rFonts w:hint="eastAsia" w:ascii="宋体" w:hAnsi="宋体" w:cs="宋体"/>
          <w:color w:val="000000"/>
          <w:szCs w:val="21"/>
          <w:highlight w:val="none"/>
        </w:rPr>
        <w:t xml:space="preserve">天内交付并完成安装调试及验收等相关工作。</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（2）交付地点：采购人指定地点。</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5.其他要求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中要求提供证明材料的，供应商签订合同时应按招标文件要求和投标文件响应内容向采购人提供相应证明材料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招标文件评标方法与评标标准中涉及的相关证明材料，应在投标文件中提供，并由评审委员会在评审现场予以确认，否则无法得到相应分值。</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（三）演示要求</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视频文件的格式为*.mp4或*.avi，供应商须将视频文件压缩为*.zip文件上传（单个文件不得大于50M，所有文件合计不得大于300M）。文件上传方式见《操作手册》，上传的演示视频将作为投标文件的组成部分。视频时长总计不超过5分钟。</w:t>
      </w:r>
      <w:r>
        <w:rPr>
          <w:rFonts w:hint="eastAsia" w:ascii="宋体" w:hAnsi="宋体" w:cs="宋体"/>
          <w:color w:val="000000"/>
          <w:szCs w:val="21"/>
          <w:highlight w:val="none"/>
        </w:rPr>
      </w:r>
      <w:r/>
    </w:p>
    <w:p>
      <w:pPr>
        <w:pStyle w:val="1086"/>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2.演示内容详见“第三章  评标方法、评分标准”。</w:t>
      </w:r>
      <w:r>
        <w:rPr>
          <w:rFonts w:hint="eastAsia" w:ascii="宋体" w:hAnsi="宋体" w:cs="宋体"/>
          <w:color w:val="000000"/>
          <w:szCs w:val="21"/>
          <w:highlight w:val="none"/>
        </w:rPr>
      </w:r>
      <w:r/>
    </w:p>
    <w:p>
      <w:pPr>
        <w:pStyle w:val="1086"/>
        <w:ind w:firstLine="422"/>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(四)、样品要求</w:t>
      </w:r>
      <w:r>
        <w:rPr>
          <w:rFonts w:hint="eastAsia" w:ascii="宋体" w:hAnsi="宋体"/>
          <w:b/>
          <w:bCs/>
          <w:color w:val="000000"/>
          <w:szCs w:val="21"/>
          <w:highlight w:val="none"/>
        </w:rPr>
      </w:r>
      <w:r/>
    </w:p>
    <w:p>
      <w:pPr>
        <w:pStyle w:val="1086"/>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1.提供</w:t>
      </w:r>
      <w:r>
        <w:rPr>
          <w:rFonts w:hint="eastAsia" w:ascii="宋体" w:hAnsi="宋体"/>
          <w:color w:val="000000"/>
          <w:szCs w:val="21"/>
          <w:highlight w:val="none"/>
        </w:rPr>
        <w:t xml:space="preserve">会议椅（序号184）成品样品1把</w:t>
      </w:r>
      <w:r>
        <w:rPr>
          <w:rFonts w:ascii="宋体" w:hAnsi="宋体"/>
          <w:color w:val="000000"/>
          <w:szCs w:val="21"/>
          <w:highlight w:val="none"/>
        </w:rPr>
      </w:r>
      <w:r/>
    </w:p>
    <w:p>
      <w:pPr>
        <w:pStyle w:val="10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各参加供应商的样品将作为评审依据，样品的评审方法以及评审标准见招标文件评分标准部分。中标供应商的样品将由采购单位封存作为验收依据之一，验收后退还，没有提供样品的供应商，样品不得分。如样品不符合招标文件要求的品类、尺码（含未提供样品等）等，按无效样品处理。评审结束后未能成交的供应商所提供的样品自行带离，采购人不负责保管。 样品的一切费用由供应商自行承担。中标后，必须按照招标文件要求生产，采购人不支付任何开模、设计等费用。</w:t>
      </w:r>
      <w:r>
        <w:rPr>
          <w:rFonts w:hint="eastAsia" w:ascii="宋体" w:hAnsi="宋体"/>
          <w:color w:val="000000"/>
          <w:szCs w:val="21"/>
          <w:highlight w:val="none"/>
        </w:rPr>
      </w:r>
      <w:r/>
    </w:p>
    <w:p>
      <w:pPr>
        <w:pStyle w:val="10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2.（一）本项目要求提交投标样品，供应商应在提交投标文件截止时间前将投标样品提交到</w:t>
      </w:r>
      <w:r>
        <w:rPr>
          <w:rFonts w:hint="eastAsia" w:ascii="宋体" w:hAnsi="宋体"/>
          <w:color w:val="000000"/>
          <w:szCs w:val="21"/>
          <w:highlight w:val="none"/>
          <w:lang w:val="en-US" w:eastAsia="zh-CN"/>
        </w:rPr>
        <w:t xml:space="preserve">南京市长江路198号苏美达大厦附楼303会议室</w:t>
      </w:r>
      <w:r>
        <w:rPr>
          <w:rFonts w:hint="eastAsia" w:ascii="宋体" w:hAnsi="宋体"/>
          <w:color w:val="000000"/>
          <w:szCs w:val="21"/>
          <w:highlight w:val="none"/>
        </w:rPr>
        <w:t xml:space="preserve">，迟于提交投标文件截止时间提交的投标样品，代理机构不予接收。送件时间为</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2026年7月6日9：30-12：00</w:t>
      </w:r>
      <w:r>
        <w:rPr>
          <w:rFonts w:hint="eastAsia" w:ascii="宋体" w:hAnsi="宋体"/>
          <w:color w:val="000000"/>
          <w:szCs w:val="21"/>
          <w:highlight w:val="none"/>
        </w:rPr>
        <w:t xml:space="preserve">，请各供应商合理安排时间和人员，在送样截止时间前安装好投标样品，早于送达时间递交的样品不予接收。联系人：</w:t>
      </w:r>
      <w:r>
        <w:rPr>
          <w:rFonts w:hint="eastAsia" w:ascii="宋体" w:hAnsi="宋体"/>
          <w:color w:val="000000"/>
          <w:szCs w:val="21"/>
          <w:highlight w:val="none"/>
        </w:rPr>
        <w:t xml:space="preserve">高雅婧 17372956627、</w:t>
      </w:r>
      <w:r>
        <w:rPr>
          <w:rFonts w:hint="eastAsia" w:ascii="宋体" w:hAnsi="宋体"/>
          <w:color w:val="000000"/>
          <w:szCs w:val="21"/>
          <w:highlight w:val="none"/>
          <w:lang w:val="en-US" w:eastAsia="zh-CN"/>
        </w:rPr>
        <w:t xml:space="preserve">025-84531327</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86"/>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（二）接到代理机构通知后1个工作日内，各供应商自行取走投标样品。样品的一切费用（包含安拆、运费等）由供应商自行承担。中标后，中标人必须按照招标图纸进行生产</w:t>
      </w:r>
      <w:r>
        <w:rPr>
          <w:rFonts w:hint="eastAsia" w:ascii="宋体" w:hAnsi="宋体"/>
          <w:b/>
          <w:bCs/>
          <w:color w:val="000000"/>
          <w:szCs w:val="21"/>
          <w:highlight w:val="none"/>
        </w:rPr>
        <w:t xml:space="preserve">，</w:t>
      </w:r>
      <w:r>
        <w:rPr>
          <w:rFonts w:hint="eastAsia" w:ascii="宋体" w:hAnsi="宋体"/>
          <w:color w:val="000000"/>
          <w:szCs w:val="21"/>
          <w:highlight w:val="none"/>
        </w:rPr>
        <w:t xml:space="preserve">中标价格不得调整，采购人不支付任何开模、设计等任何费用。</w:t>
      </w:r>
      <w:r>
        <w:rPr>
          <w:rFonts w:hint="eastAsia" w:ascii="宋体" w:hAnsi="宋体"/>
          <w:color w:val="000000"/>
          <w:szCs w:val="21"/>
          <w:highlight w:val="none"/>
        </w:rPr>
      </w:r>
      <w:r/>
    </w:p>
    <w:p>
      <w:pPr>
        <w:pStyle w:val="1086"/>
        <w:ind w:firstLine="480"/>
        <w:spacing w:line="360" w:lineRule="auto"/>
        <w:rPr>
          <w:rFonts w:ascii="宋体" w:hAnsi="宋体" w:cs="宋体"/>
          <w:color w:val="000000"/>
          <w:szCs w:val="21"/>
          <w:highlight w:val="none"/>
        </w:rPr>
      </w:pPr>
      <w:r>
        <w:rPr>
          <w:rFonts w:hint="eastAsia" w:ascii="宋体" w:hAnsi="宋体"/>
          <w:color w:val="000000"/>
          <w:szCs w:val="21"/>
          <w:highlight w:val="none"/>
        </w:rPr>
        <w:t xml:space="preserve">（三）样品的各项技术质量指标标准应符合招标文件要求，样品评分将采取“暗标”方式，投标人应对提供样品的明显标识、铭牌、标签等进行遮挡（如出现明显标识、铭牌、标签等，样品分将按0分处理），招标代理机构在样品评审前统一编号，评标委员会依据样品评审标准进行盲评。</w:t>
      </w:r>
      <w:r>
        <w:rPr>
          <w:rFonts w:ascii="宋体" w:hAnsi="宋体" w:cs="宋体"/>
          <w:color w:val="000000"/>
          <w:szCs w:val="21"/>
          <w:highlight w:val="none"/>
        </w:rPr>
      </w:r>
      <w:r/>
    </w:p>
    <w:p>
      <w:pPr>
        <w:pStyle w:val="1086"/>
        <w:ind w:left="482"/>
        <w:jc w:val="center"/>
        <w:spacing w:line="420" w:lineRule="exact"/>
        <w:rPr>
          <w:rFonts w:hint="eastAsia" w:ascii="黑体" w:hAnsi="宋体" w:eastAsia="黑体"/>
          <w:b/>
          <w:bCs/>
          <w:color w:val="000000"/>
          <w:sz w:val="32"/>
          <w:szCs w:val="32"/>
          <w:highlight w:val="none"/>
        </w:rPr>
        <w:outlineLvl w:val="0"/>
      </w:pPr>
      <w:r>
        <w:rPr>
          <w:rFonts w:hint="eastAsia" w:ascii="黑体" w:hAnsi="宋体" w:eastAsia="黑体"/>
          <w:b/>
          <w:bCs/>
          <w:color w:val="000000"/>
          <w:sz w:val="32"/>
          <w:szCs w:val="32"/>
          <w:highlight w:val="none"/>
        </w:rPr>
        <w:br w:type="page" w:clear="all"/>
      </w:r>
      <w:r>
        <w:rPr>
          <w:rFonts w:hint="eastAsia" w:ascii="黑体" w:hAnsi="宋体" w:eastAsia="黑体"/>
          <w:b/>
          <w:bCs/>
          <w:color w:val="000000"/>
          <w:sz w:val="32"/>
          <w:szCs w:val="32"/>
          <w:highlight w:val="none"/>
        </w:rPr>
        <w:t xml:space="preserve">第五章</w:t>
      </w:r>
      <w:r>
        <w:rPr>
          <w:rFonts w:ascii="黑体" w:hAnsi="宋体" w:eastAsia="黑体"/>
          <w:b/>
          <w:bCs/>
          <w:color w:val="000000"/>
          <w:sz w:val="32"/>
          <w:szCs w:val="32"/>
          <w:highlight w:val="none"/>
        </w:rPr>
        <w:t xml:space="preserve">  </w:t>
      </w:r>
      <w:r>
        <w:rPr>
          <w:rFonts w:hint="eastAsia" w:ascii="黑体" w:hAnsi="宋体" w:eastAsia="黑体"/>
          <w:b/>
          <w:bCs/>
          <w:color w:val="000000"/>
          <w:sz w:val="32"/>
          <w:szCs w:val="32"/>
          <w:highlight w:val="none"/>
        </w:rPr>
        <w:t xml:space="preserve">合同条款</w:t>
      </w:r>
      <w:r>
        <w:rPr>
          <w:rFonts w:hint="eastAsia" w:ascii="黑体" w:hAnsi="宋体" w:eastAsia="黑体"/>
          <w:b/>
          <w:bCs/>
          <w:color w:val="000000"/>
          <w:sz w:val="32"/>
          <w:szCs w:val="32"/>
          <w:highlight w:val="none"/>
        </w:rPr>
      </w:r>
      <w:r/>
    </w:p>
    <w:p>
      <w:pPr>
        <w:pStyle w:val="1086"/>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政府采购合同（货物）</w:t>
      </w:r>
      <w:r>
        <w:rPr>
          <w:rFonts w:hint="eastAsia" w:ascii="方正小标宋简体" w:hAnsi="方正小标宋简体" w:eastAsia="方正小标宋简体" w:cs="方正小标宋简体"/>
          <w:bCs/>
          <w:color w:val="000000"/>
          <w:sz w:val="32"/>
          <w:szCs w:val="32"/>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合同编号：</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项目名称：                                       项目编号：</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甲方（买方）：</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乙方（卖方）：</w:t>
      </w:r>
      <w:r>
        <w:rPr>
          <w:rFonts w:hint="eastAsia" w:ascii="宋体" w:hAnsi="宋体" w:cs="宋体"/>
          <w:color w:val="000000"/>
          <w:szCs w:val="21"/>
          <w:highlight w:val="none"/>
        </w:rPr>
      </w:r>
      <w:r/>
    </w:p>
    <w:p>
      <w:pPr>
        <w:pStyle w:val="108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甲、乙双方根据苏美达国际技术贸易有限公司组织的</w:t>
      </w:r>
      <w:r>
        <w:rPr>
          <w:rFonts w:hint="eastAsia" w:ascii="宋体" w:hAnsi="宋体" w:cs="宋体"/>
          <w:color w:val="000000"/>
          <w:szCs w:val="21"/>
          <w:highlight w:val="none"/>
        </w:rPr>
        <w:t xml:space="preserve">____________________</w:t>
      </w:r>
      <w:r>
        <w:rPr>
          <w:rFonts w:hint="eastAsia" w:ascii="宋体" w:hAnsi="宋体" w:cs="宋体"/>
          <w:color w:val="000000"/>
          <w:szCs w:val="21"/>
          <w:highlight w:val="none"/>
        </w:rPr>
        <w:t xml:space="preserve">项目公开招标结果，签署本合同。</w:t>
      </w:r>
      <w:r>
        <w:rPr>
          <w:rFonts w:hint="eastAsia" w:ascii="宋体" w:hAnsi="宋体" w:cs="宋体"/>
          <w:b/>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一、合同内容</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标的名称：</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 标的质量：按招标文件及投标文件执行。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 标的数量（规模）：按招标文件及投标文件执行。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履行时间（期限）：按招标文件及投标文件执行。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履行地点：采购人指定地点。</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履行方式：按招标文件及投标文件执行。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 包装方式：按招标文件及投标文件执行。</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二、合同金额</w:t>
      </w:r>
      <w:r>
        <w:rPr>
          <w:rFonts w:hint="eastAsia" w:ascii="宋体" w:hAnsi="宋体" w:cs="宋体"/>
          <w:bCs/>
          <w:color w:val="000000"/>
          <w:szCs w:val="21"/>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2.1 </w:t>
      </w:r>
      <w:r>
        <w:rPr>
          <w:rFonts w:hint="eastAsia" w:hAnsi="宋体" w:cs="宋体"/>
          <w:color w:val="000000"/>
          <w:highlight w:val="none"/>
        </w:rPr>
        <w:t xml:space="preserve">本合同金额为（大写）：____________________圆（____________________元）人民币。</w:t>
      </w:r>
      <w:r>
        <w:rPr>
          <w:rFonts w:hint="eastAsia" w:hAnsi="宋体" w:cs="宋体"/>
          <w:color w:val="000000"/>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三、技术资料</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乙方应按招标文件规定的时间向甲方提供货物(包含与货物相关的服务)的有关技术资料。</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四、知识产权</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五、产权担保</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乙方保证所交付的货物（包含与货物相关的服务）的所有权完全属于乙方且无任何抵押、查封等产权瑕疵。</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六、履约保证金</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 本项目乙方无需缴纳履约保证金。</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七、合同转包或分包</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乙方不得将合同标的转包给他人履行。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除招标文件接受分包并经甲方同意，乙方可按分包意向协议分包情况外，乙方不得将合同标的分包给他人履行。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 乙方如有转包或未经甲方同意的分包行为，甲方有权终止合同。</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八、合同款项支付</w:t>
      </w:r>
      <w:r>
        <w:rPr>
          <w:rFonts w:hint="eastAsia" w:ascii="宋体" w:hAnsi="宋体" w:cs="宋体"/>
          <w:bCs/>
          <w:color w:val="000000"/>
          <w:szCs w:val="21"/>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8.1 合同款项的支付方式及时间</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8.1.1</w:t>
      </w:r>
      <w:r>
        <w:rPr>
          <w:rFonts w:hint="eastAsia" w:hAnsi="宋体" w:cs="宋体"/>
          <w:color w:val="000000"/>
          <w:highlight w:val="none"/>
        </w:rPr>
        <w:t xml:space="preserve"> </w:t>
      </w:r>
      <w:r>
        <w:rPr>
          <w:rFonts w:hint="eastAsia" w:hAnsi="宋体" w:cs="宋体"/>
          <w:color w:val="000000"/>
          <w:highlight w:val="none"/>
        </w:rPr>
        <w:t xml:space="preserve">合同签订后，甲方支付合同总价款的30%作为预付款。</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8.1.2 供货结束并验收合格后，甲方支付合同总价款的70%。</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8.1.3 满足合同约定支付条件的，甲方收到乙方发票后</w:t>
      </w:r>
      <w:r>
        <w:rPr>
          <w:rFonts w:hint="eastAsia" w:hAnsi="宋体" w:cs="宋体"/>
          <w:color w:val="000000"/>
          <w:highlight w:val="none"/>
        </w:rPr>
        <w:t xml:space="preserve">10个工作日内，将资金支付到合同约定的乙方账户。 </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8.2 根据工业和信息化部关于印发《保障中小企业款项支付投诉处理暂行办法》的通知（工信部企业〔2021〕224 号），甲方未按合同约定支付款项的，乙方可以向有关部门投诉。</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8.3 当采购数量与实际使用数量不一致时，乙方应根据实际使用量供货，合同的最终结算金额按实际使用量乘以成交单价进行计算。</w:t>
      </w:r>
      <w:r>
        <w:rPr>
          <w:rFonts w:hint="eastAsia" w:hAnsi="宋体" w:cs="宋体"/>
          <w:color w:val="000000"/>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九、税费</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 本合同执行中的相关税费均由乙方负担。</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十、质量保修范围和保修期及售后服务</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乙方应按招标文件规定的货物性能、技术要求、质量标准向甲方提供未经使用的全新产品。</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乙方提供的货物在质保期内因货物本身的质量问题发生故障，乙方应负责更换。对达不到技术要求者，根据实际情况，经双方协商可按以下方式处理：</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10.2.1 更换：由乙方承担所发生的全部费用。</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10.2.2 贬值处理：由甲乙双方合议定价。</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10.2.3 退货处理：乙方应退还甲方支付的合同款，同时应承担该货物的直接费用（运输、保险、检验、货款利息及银行手续费等）。</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 如在使用过程中发生质量问题，乙方应在接到甲方通知后</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小时内到达甲方现场。</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 质保期内，乙方应对货物出现的质量及安全问题负责处理解决并承担一切费用。</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 质保期为自交货验收合格之日起</w:t>
      </w:r>
      <w:r>
        <w:rPr>
          <w:rFonts w:hint="eastAsia" w:ascii="宋体" w:hAnsi="宋体" w:cs="宋体"/>
          <w:color w:val="000000"/>
          <w:szCs w:val="21"/>
          <w:highlight w:val="none"/>
          <w:u w:val="single"/>
        </w:rPr>
        <w:t xml:space="preserve">  六  </w:t>
      </w:r>
      <w:r>
        <w:rPr>
          <w:rFonts w:hint="eastAsia" w:ascii="宋体" w:hAnsi="宋体" w:cs="宋体"/>
          <w:color w:val="000000"/>
          <w:szCs w:val="21"/>
          <w:highlight w:val="none"/>
        </w:rPr>
        <w:t xml:space="preserve">年，因人为因素出现的故障不在质保范围内。超过质保期的乙方负责终生维修，维修时只收取部件成本费。</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十一、项目验收</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甲方依法组织履约验收工作。</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对于实际使用人和甲方分离的项目，甲方邀请实际使用人参与验收。</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11.4 如有必要，甲方可邀请参加本项目投标的其他供应商或第三方专业机构及专家参与验收，相关意见将作为验收结论的参考。</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sectPr>
          <w:headerReference w:type="default" r:id="rId11"/>
          <w:footerReference w:type="default" r:id="rId17"/>
          <w:footnotePr/>
          <w:endnotePr/>
          <w:type w:val="nextPage"/>
          <w:pgSz w:w="11906" w:h="16838" w:orient="portrait"/>
          <w:pgMar w:top="1020" w:right="907" w:bottom="1020" w:left="1020" w:header="737" w:footer="992" w:gutter="0"/>
          <w:pgNumType w:start="1"/>
          <w:cols w:num="1" w:sep="0" w:space="1701" w:equalWidth="1"/>
          <w:docGrid w:linePitch="360"/>
          <w:titlePg/>
        </w:sect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十二、货物的包装、发运及运输</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 使用说明书、质量检验证明书、随配附件和工具以及清单一并附于货物内。</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乙方在货物发运手续办理完毕后24小时内或货到甲方48小时前通知甲方，以准备接货。</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货物在交付甲方前发生的风险均由乙方负责。</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12.5 货物在规定的交付期限内由乙方送达甲方指定的地点视为交付，乙方同时需通知甲方货物已送达。</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十三、违约责任</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甲方无正当理由拒收货物的，应向乙方偿付拒收货物总价款</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5%</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的违约金。</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甲方无故逾期验收和办理货款支付手续的，应按逾期付款总额每日</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5‰</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向乙方支付违约金。</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乙方逾期交付货物的，应按逾期交货总额每日</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5‰</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30%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的违约金。 </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十四、不可抗力事件处理</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在合同有效期内，任何一方因不可抗力事件导致不能履行合同，则合同履行期可延长，其延长期与不可抗力影响期相同。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不可抗力事件发生后，应立即通知对方并寄送有关权威机构出具的证明。</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 不可抗力事件延续120天以上，双方应通过友好协商确定是否继续履行合同。</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十五、解决争议的方法</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 甲乙双方因合同签订、履行而发生的一切争议，应通过友好协商解决。协商不成的由甲方住所地人民法院管辖。</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十六、合同生效及其它</w:t>
      </w:r>
      <w:r>
        <w:rPr>
          <w:rFonts w:hint="eastAsia" w:ascii="宋体" w:hAnsi="宋体" w:cs="宋体"/>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本合同经双方加盖单位公章后生效。</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本合同未尽事宜，遵照《中华人民共和国民法典》《中华人民共和国政府采购法》有关条文执行。</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16.3 本合同正本一式两份，具有同等法律效力，甲方、乙方各执一份。</w:t>
      </w:r>
      <w:r>
        <w:rPr>
          <w:rFonts w:hint="eastAsia" w:ascii="宋体" w:hAnsi="宋体" w:cs="宋体"/>
          <w:color w:val="000000"/>
          <w:szCs w:val="21"/>
          <w:highlight w:val="none"/>
        </w:rPr>
      </w:r>
      <w:r/>
    </w:p>
    <w:p>
      <w:pPr>
        <w:pStyle w:val="1308"/>
        <w:spacing w:line="360" w:lineRule="auto"/>
        <w:rPr>
          <w:rFonts w:hint="eastAsia" w:hAnsi="宋体" w:cs="宋体"/>
          <w:color w:val="000000"/>
          <w:highlight w:val="none"/>
        </w:rPr>
      </w:pPr>
      <w:r/>
      <w:bookmarkStart w:id="117" w:name="_Hlt16619369"/>
      <w:r/>
      <w:bookmarkEnd w:id="117"/>
      <w:r>
        <w:rPr>
          <w:rFonts w:hint="eastAsia" w:hAnsi="宋体" w:cs="宋体"/>
          <w:color w:val="000000"/>
          <w:highlight w:val="none"/>
        </w:rPr>
        <w:t xml:space="preserve">  </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甲  方：（公章）                       乙  方：（公章） </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地  址：                               地  址： </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法定代表人或授权代表：                 法定代表人或授权代表：</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联系电话：                             联系电话：          </w:t>
      </w:r>
      <w:r>
        <w:rPr>
          <w:rFonts w:hint="eastAsia" w:hAnsi="宋体" w:cs="宋体"/>
          <w:color w:val="000000"/>
          <w:highlight w:val="none"/>
        </w:rPr>
      </w:r>
      <w:r/>
    </w:p>
    <w:p>
      <w:pPr>
        <w:pStyle w:val="1308"/>
        <w:spacing w:line="360" w:lineRule="auto"/>
        <w:rPr>
          <w:rFonts w:hint="eastAsia" w:hAnsi="宋体" w:cs="宋体"/>
          <w:color w:val="000000"/>
          <w:highlight w:val="none"/>
        </w:rPr>
      </w:pPr>
      <w:r>
        <w:rPr>
          <w:rFonts w:hint="eastAsia" w:hAnsi="宋体" w:cs="宋体"/>
          <w:color w:val="000000"/>
          <w:highlight w:val="none"/>
        </w:rPr>
        <w:t xml:space="preserve">                                          </w:t>
      </w:r>
      <w:r>
        <w:rPr>
          <w:rFonts w:hint="eastAsia" w:hAnsi="宋体" w:cs="宋体"/>
          <w:color w:val="000000"/>
          <w:highlight w:val="none"/>
        </w:rPr>
      </w:r>
      <w:r/>
    </w:p>
    <w:p>
      <w:pPr>
        <w:pStyle w:val="1308"/>
        <w:ind w:firstLine="4800"/>
        <w:spacing w:line="360" w:lineRule="auto"/>
        <w:rPr>
          <w:rFonts w:hint="eastAsia" w:hAnsi="宋体"/>
          <w:color w:val="000000"/>
          <w:sz w:val="24"/>
          <w:szCs w:val="24"/>
          <w:highlight w:val="none"/>
        </w:rPr>
      </w:pPr>
      <w:r>
        <w:rPr>
          <w:rFonts w:hint="eastAsia" w:hAnsi="宋体" w:cs="宋体"/>
          <w:color w:val="000000"/>
          <w:highlight w:val="none"/>
        </w:rPr>
        <w:t xml:space="preserve">签订日期：</w:t>
      </w:r>
      <w:r>
        <w:rPr>
          <w:rFonts w:hint="eastAsia" w:hAnsi="宋体"/>
          <w:color w:val="000000"/>
          <w:sz w:val="24"/>
          <w:szCs w:val="24"/>
          <w:highlight w:val="none"/>
        </w:rPr>
        <w:t xml:space="preserve">      </w:t>
      </w:r>
      <w:r>
        <w:rPr>
          <w:rFonts w:hint="eastAsia" w:hAnsi="宋体"/>
          <w:color w:val="000000"/>
          <w:sz w:val="24"/>
          <w:szCs w:val="24"/>
          <w:highlight w:val="none"/>
        </w:rPr>
      </w:r>
      <w:r/>
    </w:p>
    <w:p>
      <w:pPr>
        <w:pStyle w:val="1086"/>
        <w:jc w:val="center"/>
        <w:spacing w:before="145" w:after="145" w:line="264" w:lineRule="auto"/>
        <w:rPr>
          <w:rFonts w:hint="eastAsia" w:ascii="宋体" w:hAnsi="宋体"/>
          <w:b/>
          <w:color w:val="000000"/>
          <w:sz w:val="30"/>
          <w:szCs w:val="21"/>
          <w:highlight w:val="none"/>
        </w:rPr>
      </w:pPr>
      <w:r>
        <w:rPr>
          <w:rFonts w:hint="eastAsia" w:ascii="宋体" w:hAnsi="宋体"/>
          <w:b/>
          <w:color w:val="000000"/>
          <w:sz w:val="30"/>
          <w:szCs w:val="21"/>
          <w:highlight w:val="none"/>
        </w:rPr>
      </w:r>
      <w:r/>
    </w:p>
    <w:p>
      <w:pPr>
        <w:pStyle w:val="1086"/>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r>
      <w:r/>
    </w:p>
    <w:p>
      <w:pPr>
        <w:pStyle w:val="1086"/>
        <w:jc w:val="center"/>
        <w:spacing w:before="145" w:after="145" w:line="264" w:lineRule="auto"/>
        <w:rPr>
          <w:rFonts w:hint="eastAsia" w:ascii="方正小标宋简体" w:hAnsi="方正小标宋简体" w:eastAsia="方正小标宋简体" w:cs="方正小标宋简体"/>
          <w:bCs/>
          <w:color w:val="000000"/>
          <w:sz w:val="32"/>
          <w:szCs w:val="32"/>
          <w:highlight w:val="none"/>
        </w:rPr>
      </w:pPr>
      <w:r>
        <w:rPr>
          <w:rFonts w:hint="eastAsia" w:ascii="方正小标宋简体" w:hAnsi="方正小标宋简体" w:eastAsia="方正小标宋简体" w:cs="方正小标宋简体"/>
          <w:bCs/>
          <w:color w:val="000000"/>
          <w:sz w:val="32"/>
          <w:szCs w:val="32"/>
          <w:highlight w:val="none"/>
        </w:rPr>
        <w:t xml:space="preserve">《*******合同》补充协议（合同附件）</w:t>
      </w:r>
      <w:r>
        <w:rPr>
          <w:rFonts w:hint="eastAsia" w:ascii="方正小标宋简体" w:hAnsi="方正小标宋简体" w:eastAsia="方正小标宋简体" w:cs="方正小标宋简体"/>
          <w:bCs/>
          <w:color w:val="000000"/>
          <w:sz w:val="32"/>
          <w:szCs w:val="32"/>
          <w:highlight w:val="none"/>
        </w:rPr>
      </w:r>
      <w:r/>
    </w:p>
    <w:p>
      <w:pPr>
        <w:pStyle w:val="1086"/>
        <w:jc w:val="center"/>
        <w:spacing w:line="440" w:lineRule="exact"/>
        <w:rPr>
          <w:rFonts w:hint="eastAsia"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int="eastAsia" w:hAnsi="宋体"/>
          <w:color w:val="000000"/>
          <w:sz w:val="24"/>
          <w:szCs w:val="24"/>
          <w:highlight w:val="none"/>
        </w:rPr>
      </w:r>
      <w:r/>
    </w:p>
    <w:p>
      <w:pPr>
        <w:pStyle w:val="1086"/>
        <w:jc w:val="center"/>
        <w:spacing w:line="440" w:lineRule="exact"/>
        <w:rPr>
          <w:rFonts w:hint="eastAsia" w:ascii="Arial" w:hAnsi="Arial" w:cs="Arial"/>
          <w:b/>
          <w:color w:val="000000"/>
          <w:sz w:val="28"/>
          <w:szCs w:val="28"/>
          <w:highlight w:val="none"/>
        </w:rPr>
        <w:outlineLvl w:val="0"/>
      </w:pPr>
      <w:r>
        <w:rPr>
          <w:color w:val="000000"/>
          <w:szCs w:val="21"/>
          <w:highlight w:val="none"/>
        </w:rPr>
        <w:br w:type="page" w:clear="all"/>
      </w:r>
      <w:r>
        <w:rPr>
          <w:rFonts w:hint="eastAsia" w:ascii="Arial" w:hAnsi="Arial" w:eastAsia="黑体" w:cs="Arial"/>
          <w:b/>
          <w:color w:val="000000"/>
          <w:sz w:val="28"/>
          <w:szCs w:val="28"/>
          <w:highlight w:val="none"/>
        </w:rPr>
        <w:t xml:space="preserve">第六章  投标文件格式及附件</w:t>
      </w:r>
      <w:r>
        <w:rPr>
          <w:rFonts w:hint="eastAsia" w:ascii="Arial" w:hAnsi="Arial" w:cs="Arial"/>
          <w:b/>
          <w:color w:val="000000"/>
          <w:sz w:val="28"/>
          <w:szCs w:val="28"/>
          <w:highlight w:val="none"/>
        </w:rPr>
      </w:r>
      <w:r/>
    </w:p>
    <w:p>
      <w:pPr>
        <w:pStyle w:val="1086"/>
        <w:spacing w:line="440" w:lineRule="exact"/>
        <w:rPr>
          <w:rFonts w:hint="eastAsia" w:ascii="Arial" w:hAnsi="Arial" w:cs="Arial"/>
          <w:b/>
          <w:bCs/>
          <w:color w:val="000000"/>
          <w:sz w:val="24"/>
          <w:highlight w:val="none"/>
        </w:rPr>
      </w:pPr>
      <w:r>
        <w:rPr>
          <w:rFonts w:hint="eastAsia" w:ascii="Arial" w:hAnsi="Arial" w:cs="Arial"/>
          <w:b/>
          <w:bCs/>
          <w:color w:val="000000"/>
          <w:sz w:val="24"/>
          <w:highlight w:val="none"/>
        </w:rPr>
        <w:t xml:space="preserve">注：</w:t>
      </w:r>
      <w:r>
        <w:rPr>
          <w:rFonts w:hint="eastAsia" w:ascii="Arial" w:hAnsi="Arial" w:cs="Arial"/>
          <w:b/>
          <w:bCs/>
          <w:color w:val="000000"/>
          <w:sz w:val="24"/>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1.本部分内容仅提供格式参考。 </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2.供应商应按照以下文件的要求格式、内容制作投标文件，并编制目录及页码，混乱的编排导致投标文件被误读或查找不到，后果由供应商承担。 </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3.所附表格中要求回答的全部问题和信息都必须正面回答。 </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4.供应商提交的材料不予退还。 </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5.全部文件应按投标人须知以及前附表中规定的语言和份数提交。 </w:t>
      </w:r>
      <w:r>
        <w:rPr>
          <w:rFonts w:hint="eastAsia" w:ascii="宋体" w:hAnsi="宋体" w:cs="宋体"/>
          <w:color w:val="000000"/>
          <w:szCs w:val="21"/>
          <w:highlight w:val="none"/>
        </w:rPr>
      </w:r>
      <w:r/>
    </w:p>
    <w:p>
      <w:pPr>
        <w:pStyle w:val="108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6.投标文件应按照投标文件格式逐项填写，无相应内容可填的项应填写“无”“未测试”“没有相应指标”等明确的回答文字。 </w:t>
      </w:r>
      <w:r>
        <w:rPr>
          <w:rFonts w:hint="eastAsia" w:ascii="宋体" w:hAnsi="宋体" w:cs="宋体"/>
          <w:color w:val="000000"/>
          <w:szCs w:val="21"/>
          <w:highlight w:val="none"/>
        </w:rPr>
      </w:r>
      <w:r/>
    </w:p>
    <w:p>
      <w:pPr>
        <w:pStyle w:val="1086"/>
        <w:spacing w:line="360" w:lineRule="auto"/>
        <w:rPr>
          <w:rFonts w:hint="eastAsia" w:ascii="宋体" w:hAnsi="宋体" w:cs="宋体"/>
          <w:color w:val="000000"/>
          <w:sz w:val="24"/>
          <w:highlight w:val="none"/>
        </w:rPr>
        <w:sectPr>
          <w:footerReference w:type="default" r:id="rId18"/>
          <w:footerReference w:type="first" r:id="rId19"/>
          <w:footnotePr/>
          <w:endnotePr/>
          <w:type w:val="nextPage"/>
          <w:pgSz w:w="11906" w:h="16838" w:orient="portrait"/>
          <w:pgMar w:top="1020" w:right="907" w:bottom="1020" w:left="1020" w:header="737" w:footer="992" w:gutter="0"/>
          <w:pgNumType w:start="1"/>
          <w:cols w:num="1" w:sep="0" w:space="1701" w:equalWidth="1"/>
          <w:docGrid w:linePitch="360"/>
          <w:titlePg/>
        </w:sectPr>
      </w:pPr>
      <w:r>
        <w:rPr>
          <w:rFonts w:hint="eastAsia" w:ascii="宋体" w:hAnsi="宋体" w:cs="宋体"/>
          <w:color w:val="000000"/>
          <w:szCs w:val="21"/>
          <w:highlight w:val="none"/>
        </w:rPr>
        <w:t xml:space="preserve"> </w:t>
      </w:r>
      <w:r>
        <w:rPr>
          <w:rFonts w:hint="eastAsia" w:ascii="宋体" w:hAnsi="宋体" w:cs="宋体"/>
          <w:color w:val="000000"/>
          <w:sz w:val="24"/>
          <w:highlight w:val="none"/>
        </w:rPr>
      </w:r>
      <w:r/>
    </w:p>
    <w:p>
      <w:pPr>
        <w:pStyle w:val="1134"/>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1134"/>
        <w:jc w:val="center"/>
        <w:spacing w:beforeAutospacing="0" w:afterAutospacing="0"/>
        <w:widowControl/>
        <w:rPr>
          <w:rFonts w:ascii="宋体" w:hAnsi="宋体" w:cs="宋体"/>
          <w:b/>
          <w:bCs/>
          <w:color w:val="000000"/>
          <w:sz w:val="72"/>
          <w:szCs w:val="72"/>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r>
      <w:r/>
    </w:p>
    <w:p>
      <w:pPr>
        <w:pStyle w:val="1134"/>
        <w:jc w:val="center"/>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投标文件</w:t>
      </w:r>
      <w:r>
        <w:rPr>
          <w:color w:val="000000"/>
          <w:highlight w:val="none"/>
        </w:rPr>
      </w:r>
      <w:r/>
    </w:p>
    <w:p>
      <w:pPr>
        <w:pStyle w:val="1134"/>
        <w:jc w:val="center"/>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color w:val="000000"/>
          <w:highlight w:val="none"/>
        </w:rPr>
      </w:r>
      <w:r/>
    </w:p>
    <w:p>
      <w:pPr>
        <w:pStyle w:val="1134"/>
        <w:jc w:val="center"/>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72"/>
          <w:szCs w:val="72"/>
          <w:highlight w:val="none"/>
        </w:rPr>
        <w:t xml:space="preserve"> </w:t>
      </w:r>
      <w:r>
        <w:rPr>
          <w:color w:val="000000"/>
          <w:highlight w:val="none"/>
        </w:rPr>
      </w:r>
      <w:r/>
    </w:p>
    <w:p>
      <w:pPr>
        <w:pStyle w:val="1134"/>
        <w:jc w:val="center"/>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color w:val="000000"/>
          <w:highlight w:val="none"/>
        </w:rPr>
      </w:r>
      <w:r/>
    </w:p>
    <w:p>
      <w:pPr>
        <w:pStyle w:val="1134"/>
        <w:jc w:val="center"/>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color w:val="000000"/>
          <w:highlight w:val="none"/>
        </w:rPr>
      </w:r>
      <w:r/>
    </w:p>
    <w:p>
      <w:pPr>
        <w:pStyle w:val="1134"/>
        <w:jc w:val="center"/>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w:t>
      </w:r>
      <w:r>
        <w:rPr>
          <w:color w:val="000000"/>
          <w:highlight w:val="none"/>
        </w:rPr>
      </w:r>
      <w:r/>
    </w:p>
    <w:p>
      <w:pPr>
        <w:pStyle w:val="1134"/>
        <w:ind w:firstLine="1081"/>
        <w:jc w:val="both"/>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项 目 名 称：</w:t>
      </w:r>
      <w:r>
        <w:rPr>
          <w:rFonts w:ascii="宋体" w:hAnsi="宋体" w:cs="宋体"/>
          <w:b/>
          <w:bCs/>
          <w:color w:val="000000"/>
          <w:sz w:val="36"/>
          <w:szCs w:val="36"/>
          <w:highlight w:val="none"/>
          <w:u w:val="single"/>
        </w:rPr>
        <w:t xml:space="preserve">          </w:t>
      </w:r>
      <w:r>
        <w:rPr>
          <w:color w:val="000000"/>
          <w:highlight w:val="none"/>
        </w:rPr>
      </w:r>
      <w:r/>
    </w:p>
    <w:p>
      <w:pPr>
        <w:pStyle w:val="1134"/>
        <w:ind w:firstLine="1081"/>
        <w:jc w:val="both"/>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招 标 编 号：</w:t>
      </w:r>
      <w:r>
        <w:rPr>
          <w:rFonts w:ascii="宋体" w:hAnsi="宋体" w:cs="宋体"/>
          <w:b/>
          <w:bCs/>
          <w:color w:val="000000"/>
          <w:sz w:val="36"/>
          <w:szCs w:val="36"/>
          <w:highlight w:val="none"/>
          <w:u w:val="single"/>
        </w:rPr>
        <w:t xml:space="preserve">          </w:t>
      </w:r>
      <w:r>
        <w:rPr>
          <w:color w:val="000000"/>
          <w:highlight w:val="none"/>
        </w:rPr>
      </w:r>
      <w:r/>
    </w:p>
    <w:p>
      <w:pPr>
        <w:pStyle w:val="1134"/>
        <w:jc w:val="both"/>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投标人名称 ：</w:t>
      </w:r>
      <w:r>
        <w:rPr>
          <w:rFonts w:ascii="宋体" w:hAnsi="宋体" w:cs="宋体"/>
          <w:b/>
          <w:bCs/>
          <w:color w:val="000000"/>
          <w:sz w:val="36"/>
          <w:szCs w:val="36"/>
          <w:highlight w:val="none"/>
          <w:u w:val="single"/>
        </w:rPr>
        <w:t xml:space="preserve">（加盖CA电子公章）</w:t>
      </w:r>
      <w:r>
        <w:rPr>
          <w:color w:val="000000"/>
          <w:highlight w:val="none"/>
        </w:rPr>
      </w:r>
      <w:r/>
    </w:p>
    <w:p>
      <w:pPr>
        <w:pStyle w:val="1134"/>
        <w:jc w:val="both"/>
        <w:spacing w:beforeAutospacing="0" w:afterAutospacing="0"/>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sz w:val="36"/>
          <w:szCs w:val="36"/>
          <w:highlight w:val="none"/>
        </w:rPr>
        <w:t xml:space="preserve">   日 </w:t>
      </w:r>
      <w:r>
        <w:rPr>
          <w:rFonts w:hint="eastAsia" w:cs="宋体"/>
          <w:b/>
          <w:bCs/>
          <w:color w:val="000000"/>
          <w:sz w:val="36"/>
          <w:szCs w:val="36"/>
          <w:highlight w:val="none"/>
        </w:rPr>
        <w:t xml:space="preserve">    </w:t>
      </w:r>
      <w:r>
        <w:rPr>
          <w:rFonts w:ascii="宋体" w:hAnsi="宋体" w:cs="宋体"/>
          <w:b/>
          <w:bCs/>
          <w:color w:val="000000"/>
          <w:sz w:val="36"/>
          <w:szCs w:val="36"/>
          <w:highlight w:val="none"/>
        </w:rPr>
        <w:t xml:space="preserve">期 ：</w:t>
      </w:r>
      <w:r>
        <w:rPr>
          <w:rFonts w:ascii="宋体" w:hAnsi="宋体" w:cs="宋体"/>
          <w:b/>
          <w:bCs/>
          <w:color w:val="000000"/>
          <w:sz w:val="36"/>
          <w:szCs w:val="36"/>
          <w:highlight w:val="none"/>
          <w:u w:val="single"/>
        </w:rPr>
        <w:t xml:space="preserve">          </w:t>
      </w:r>
      <w:r>
        <w:rPr>
          <w:color w:val="000000"/>
          <w:highlight w:val="none"/>
        </w:rPr>
      </w:r>
      <w:r/>
    </w:p>
    <w:p>
      <w:pPr>
        <w:pStyle w:val="1086"/>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8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（一）投标函(格式)：</w:t>
      </w:r>
      <w:r>
        <w:rPr>
          <w:rFonts w:hint="eastAsia" w:ascii="宋体" w:hAnsi="宋体" w:cs="宋体"/>
          <w:b/>
          <w:color w:val="000000"/>
          <w:sz w:val="24"/>
          <w:szCs w:val="24"/>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投  标  函</w:t>
      </w:r>
      <w:r>
        <w:rPr>
          <w:rFonts w:hint="eastAsia" w:ascii="宋体" w:hAnsi="宋体" w:cs="宋体"/>
          <w:b/>
          <w:color w:val="000000"/>
          <w:sz w:val="36"/>
          <w:szCs w:val="28"/>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致苏美达国际技术贸易有限公司：</w:t>
      </w:r>
      <w:r>
        <w:rPr>
          <w:rFonts w:hint="eastAsia" w:ascii="宋体" w:hAnsi="宋体" w:cs="宋体"/>
          <w:bCs/>
          <w:color w:val="000000"/>
          <w:szCs w:val="21"/>
          <w:highlight w:val="none"/>
        </w:rPr>
      </w:r>
      <w:r/>
    </w:p>
    <w:p>
      <w:pPr>
        <w:pStyle w:val="1086"/>
        <w:ind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我方收到贵方编号</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招标文件，经仔细阅读和研究，我们决定参加此次项目的投标。</w:t>
      </w:r>
      <w:r>
        <w:rPr>
          <w:rFonts w:hint="eastAsia" w:ascii="宋体" w:hAnsi="宋体" w:cs="宋体"/>
          <w:bCs/>
          <w:color w:val="000000"/>
          <w:szCs w:val="21"/>
          <w:highlight w:val="none"/>
        </w:rPr>
      </w:r>
      <w:r/>
    </w:p>
    <w:p>
      <w:pPr>
        <w:pStyle w:val="1086"/>
        <w:ind w:firstLine="420"/>
        <w:spacing w:line="360" w:lineRule="auto"/>
        <w:tabs>
          <w:tab w:val="left" w:pos="420" w:leader="none"/>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一、我方愿意按照招标文件的一切要求，提供本项目的投标，投标总价见《开标一览表》。</w:t>
      </w:r>
      <w:r>
        <w:rPr>
          <w:rFonts w:hint="eastAsia" w:ascii="宋体" w:hAnsi="宋体" w:cs="宋体"/>
          <w:bCs/>
          <w:color w:val="000000"/>
          <w:szCs w:val="21"/>
          <w:highlight w:val="none"/>
        </w:rPr>
      </w:r>
      <w:r/>
    </w:p>
    <w:p>
      <w:pPr>
        <w:pStyle w:val="1086"/>
        <w:ind w:firstLine="420"/>
        <w:spacing w:line="360" w:lineRule="auto"/>
        <w:tabs>
          <w:tab w:val="left" w:pos="315" w:leader="none"/>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二、我方愿意提供苏美达国际技术贸易有限公司在招标文件中要求的文件、资料。</w:t>
      </w:r>
      <w:r>
        <w:rPr>
          <w:rFonts w:hint="eastAsia" w:ascii="宋体" w:hAnsi="宋体" w:cs="宋体"/>
          <w:bCs/>
          <w:color w:val="000000"/>
          <w:szCs w:val="21"/>
          <w:highlight w:val="none"/>
        </w:rPr>
      </w:r>
      <w:r/>
    </w:p>
    <w:p>
      <w:pPr>
        <w:pStyle w:val="1086"/>
        <w:ind w:firstLine="42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三、我方同意按招标文件中的规定，本投标文件投标的有效期限为开标之日起90天。</w:t>
      </w:r>
      <w:r>
        <w:rPr>
          <w:rFonts w:hint="eastAsia" w:ascii="宋体" w:hAnsi="宋体" w:cs="宋体"/>
          <w:bCs/>
          <w:color w:val="000000"/>
          <w:szCs w:val="21"/>
          <w:highlight w:val="none"/>
        </w:rPr>
      </w:r>
      <w:r/>
    </w:p>
    <w:p>
      <w:pPr>
        <w:pStyle w:val="1086"/>
        <w:ind w:firstLine="42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四、如果我方的投标文件被接受，我方将履行招标文件中规定的每一项要求，按期、按质、按量，完成服务任务。</w:t>
      </w:r>
      <w:r>
        <w:rPr>
          <w:rFonts w:hint="eastAsia" w:ascii="宋体" w:hAnsi="宋体" w:cs="宋体"/>
          <w:bCs/>
          <w:color w:val="000000"/>
          <w:szCs w:val="21"/>
          <w:highlight w:val="none"/>
        </w:rPr>
      </w:r>
      <w:r/>
    </w:p>
    <w:p>
      <w:pPr>
        <w:pStyle w:val="1086"/>
        <w:ind w:left="48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五、我方认为你们有权决定中标者。</w:t>
      </w:r>
      <w:r>
        <w:rPr>
          <w:rFonts w:hint="eastAsia" w:ascii="宋体" w:hAnsi="宋体" w:cs="宋体"/>
          <w:bCs/>
          <w:color w:val="000000"/>
          <w:szCs w:val="21"/>
          <w:highlight w:val="none"/>
        </w:rPr>
      </w:r>
      <w:r/>
    </w:p>
    <w:p>
      <w:pPr>
        <w:pStyle w:val="1086"/>
        <w:ind w:firstLine="420"/>
        <w:spacing w:line="360" w:lineRule="auto"/>
        <w:tabs>
          <w:tab w:val="left" w:pos="315" w:leader="none"/>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六、我方愿意遵守《中华人民共和国政府采购法》，并按《中华人民共和国民法典》、财政部《政府采购货物和服务招标投标管理办法》和合同条款履行自己的全部责任。</w:t>
      </w:r>
      <w:r>
        <w:rPr>
          <w:rFonts w:hint="eastAsia" w:ascii="宋体" w:hAnsi="宋体" w:cs="宋体"/>
          <w:bCs/>
          <w:color w:val="000000"/>
          <w:szCs w:val="21"/>
          <w:highlight w:val="none"/>
        </w:rPr>
      </w:r>
      <w:r/>
    </w:p>
    <w:p>
      <w:pPr>
        <w:pStyle w:val="1086"/>
        <w:ind w:firstLine="420"/>
        <w:spacing w:line="360" w:lineRule="auto"/>
        <w:tabs>
          <w:tab w:val="left" w:pos="315" w:leader="none"/>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七、我方认可并遵守招标文件的所有规定，放弃对招标文件提出质疑的权利。</w:t>
      </w:r>
      <w:r>
        <w:rPr>
          <w:rFonts w:hint="eastAsia" w:ascii="宋体" w:hAnsi="宋体" w:cs="宋体"/>
          <w:bCs/>
          <w:color w:val="000000"/>
          <w:szCs w:val="21"/>
          <w:highlight w:val="none"/>
        </w:rPr>
      </w:r>
      <w:r/>
    </w:p>
    <w:p>
      <w:pPr>
        <w:pStyle w:val="1086"/>
        <w:ind w:firstLine="42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Cs w:val="21"/>
          <w:highlight w:val="none"/>
        </w:rPr>
      </w:r>
      <w:r/>
    </w:p>
    <w:p>
      <w:pPr>
        <w:pStyle w:val="1086"/>
        <w:ind w:firstLine="420"/>
        <w:spacing w:line="360" w:lineRule="auto"/>
        <w:tabs>
          <w:tab w:val="left" w:pos="94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投标人(盖章)：     </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电话：                              传真：</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通讯地址：                          邮编：</w:t>
      </w:r>
      <w:r>
        <w:rPr>
          <w:rFonts w:hint="eastAsia" w:ascii="宋体" w:hAnsi="宋体" w:cs="宋体"/>
          <w:bCs/>
          <w:color w:val="000000"/>
          <w:szCs w:val="21"/>
          <w:highlight w:val="none"/>
        </w:rPr>
      </w:r>
      <w:r/>
    </w:p>
    <w:p>
      <w:pPr>
        <w:pStyle w:val="1086"/>
        <w:spacing w:line="360" w:lineRule="auto"/>
        <w:rPr>
          <w:rFonts w:eastAsia="黑体"/>
          <w:bCs/>
          <w:color w:val="000000"/>
          <w:sz w:val="24"/>
          <w:szCs w:val="24"/>
          <w:highlight w:val="none"/>
        </w:rPr>
        <w:sectPr>
          <w:footnotePr/>
          <w:endnotePr/>
          <w:type w:val="nextPage"/>
          <w:pgSz w:w="11907" w:h="16840" w:orient="portrait"/>
          <w:pgMar w:top="1134" w:right="1134" w:bottom="1134" w:left="1134" w:header="851" w:footer="992" w:gutter="0"/>
          <w:pgNumType w:start="1"/>
          <w:cols w:num="1" w:sep="0" w:space="1701" w:equalWidth="1"/>
          <w:docGrid w:linePitch="360"/>
        </w:sectPr>
      </w:pPr>
      <w:r>
        <w:rPr>
          <w:rFonts w:eastAsia="黑体"/>
          <w:bCs/>
          <w:color w:val="000000"/>
          <w:sz w:val="24"/>
          <w:szCs w:val="24"/>
          <w:highlight w:val="none"/>
        </w:rPr>
      </w:r>
      <w:r/>
    </w:p>
    <w:p>
      <w:pPr>
        <w:pStyle w:val="108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（二）法定代表人授权委托书(格式)：</w:t>
      </w:r>
      <w:r>
        <w:rPr>
          <w:rFonts w:hint="eastAsia" w:ascii="宋体" w:hAnsi="宋体" w:cs="宋体"/>
          <w:b/>
          <w:color w:val="000000"/>
          <w:sz w:val="24"/>
          <w:szCs w:val="24"/>
          <w:highlight w:val="none"/>
        </w:rPr>
      </w:r>
      <w:r/>
    </w:p>
    <w:p>
      <w:pPr>
        <w:pStyle w:val="1086"/>
        <w:spacing w:line="360" w:lineRule="auto"/>
        <w:rPr>
          <w:rFonts w:eastAsia="黑体"/>
          <w:bCs/>
          <w:color w:val="000000"/>
          <w:sz w:val="28"/>
          <w:szCs w:val="28"/>
          <w:highlight w:val="none"/>
        </w:rPr>
      </w:pPr>
      <w:r>
        <w:rPr>
          <w:rFonts w:eastAsia="黑体"/>
          <w:bCs/>
          <w:color w:val="000000"/>
          <w:sz w:val="28"/>
          <w:szCs w:val="28"/>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法定代表人授权委托书</w:t>
      </w:r>
      <w:r>
        <w:rPr>
          <w:rFonts w:hint="eastAsia" w:ascii="宋体" w:hAnsi="宋体" w:cs="宋体"/>
          <w:b/>
          <w:color w:val="000000"/>
          <w:sz w:val="36"/>
          <w:szCs w:val="28"/>
          <w:highlight w:val="none"/>
        </w:rPr>
      </w:r>
      <w:r/>
    </w:p>
    <w:p>
      <w:pPr>
        <w:pStyle w:val="1086"/>
        <w:jc w:val="center"/>
        <w:spacing w:line="360" w:lineRule="auto"/>
        <w:rPr>
          <w:rFonts w:eastAsia="黑体"/>
          <w:bCs/>
          <w:color w:val="000000"/>
          <w:sz w:val="28"/>
          <w:szCs w:val="28"/>
          <w:highlight w:val="none"/>
        </w:rPr>
      </w:pPr>
      <w:r>
        <w:rPr>
          <w:rFonts w:eastAsia="黑体"/>
          <w:bCs/>
          <w:color w:val="000000"/>
          <w:sz w:val="28"/>
          <w:szCs w:val="28"/>
          <w:highlight w:val="none"/>
        </w:rPr>
      </w:r>
      <w:r/>
    </w:p>
    <w:p>
      <w:pPr>
        <w:pStyle w:val="1086"/>
        <w:spacing w:line="360" w:lineRule="auto"/>
        <w:rPr>
          <w:rFonts w:hint="eastAsia" w:ascii="宋体" w:hAnsi="宋体" w:cs="宋体"/>
          <w:bCs/>
          <w:color w:val="000000"/>
          <w:szCs w:val="21"/>
          <w:highlight w:val="none"/>
        </w:rPr>
      </w:pPr>
      <w:r>
        <w:rPr>
          <w:rFonts w:eastAsia="楷体_GB2312"/>
          <w:bCs/>
          <w:color w:val="000000"/>
          <w:sz w:val="30"/>
          <w:highlight w:val="none"/>
        </w:rPr>
        <w:t xml:space="preserve">  </w:t>
      </w:r>
      <w:r>
        <w:rPr>
          <w:rFonts w:eastAsia="楷体_GB2312"/>
          <w:bCs/>
          <w:color w:val="000000"/>
          <w:sz w:val="24"/>
          <w:szCs w:val="24"/>
          <w:highlight w:val="none"/>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Cs w:val="21"/>
          <w:highlight w:val="none"/>
        </w:rPr>
        <w:t xml:space="preserve">           招标编号：</w:t>
      </w:r>
      <w:r>
        <w:rPr>
          <w:rFonts w:hint="eastAsia" w:ascii="宋体" w:hAnsi="宋体" w:cs="宋体"/>
          <w:bCs/>
          <w:color w:val="000000"/>
          <w:szCs w:val="21"/>
          <w:highlight w:val="none"/>
        </w:rPr>
      </w:r>
      <w:r/>
    </w:p>
    <w:p>
      <w:pPr>
        <w:pStyle w:val="1086"/>
        <w:ind w:firstLine="46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苏美达国际技术贸易有限公司：</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系中华人民共和国合法企业，特授权</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代表我公司(单位)全权办理针对本项目</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的投标、参与开标、评标、签约等具体工作，并签署全部有关的文件、协议及合同。</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我公司(单位)对被授权人的签名负全部责任。</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被授权人情况：</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姓名：         性别：             电话：</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投标人(盖章)：</w:t>
      </w:r>
      <w:r>
        <w:rPr>
          <w:rFonts w:hint="eastAsia" w:ascii="宋体" w:hAnsi="宋体" w:cs="宋体"/>
          <w:bCs/>
          <w:color w:val="000000"/>
          <w:szCs w:val="21"/>
          <w:highlight w:val="none"/>
        </w:rPr>
      </w:r>
      <w:r/>
    </w:p>
    <w:p>
      <w:pPr>
        <w:pStyle w:val="1086"/>
        <w:ind w:firstLine="357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ind w:firstLine="357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法定代表人(签字或盖章)：</w:t>
      </w:r>
      <w:r>
        <w:rPr>
          <w:rFonts w:hint="eastAsia" w:ascii="宋体" w:hAnsi="宋体" w:cs="宋体"/>
          <w:bCs/>
          <w:color w:val="000000"/>
          <w:szCs w:val="21"/>
          <w:highlight w:val="none"/>
        </w:rPr>
      </w:r>
      <w:r/>
    </w:p>
    <w:p>
      <w:pPr>
        <w:pStyle w:val="1086"/>
        <w:ind w:firstLine="4080"/>
        <w:spacing w:line="360" w:lineRule="auto"/>
        <w:rPr>
          <w:bCs/>
          <w:color w:val="000000"/>
          <w:sz w:val="24"/>
          <w:szCs w:val="24"/>
          <w:highlight w:val="none"/>
        </w:rPr>
      </w:pPr>
      <w:r>
        <w:rPr>
          <w:bCs/>
          <w:color w:val="000000"/>
          <w:sz w:val="24"/>
          <w:szCs w:val="24"/>
          <w:highlight w:val="none"/>
        </w:rPr>
      </w:r>
      <w:r/>
    </w:p>
    <w:p>
      <w:pPr>
        <w:pStyle w:val="1086"/>
        <w:ind w:firstLine="4080"/>
        <w:spacing w:line="360" w:lineRule="auto"/>
        <w:rPr>
          <w:bCs/>
          <w:color w:val="000000"/>
          <w:sz w:val="24"/>
          <w:szCs w:val="24"/>
          <w:highlight w:val="none"/>
        </w:rPr>
      </w:pPr>
      <w:r>
        <w:rPr>
          <w:bCs/>
          <w:color w:val="000000"/>
          <w:sz w:val="24"/>
          <w:szCs w:val="24"/>
          <w:highlight w:val="none"/>
        </w:rPr>
      </w:r>
      <w:r/>
    </w:p>
    <w:p>
      <w:pPr>
        <w:pStyle w:val="1086"/>
        <w:ind w:firstLine="4080"/>
        <w:spacing w:line="360" w:lineRule="auto"/>
        <w:rPr>
          <w:bCs/>
          <w:color w:val="000000"/>
          <w:sz w:val="24"/>
          <w:szCs w:val="24"/>
          <w:highlight w:val="none"/>
        </w:rPr>
      </w:pPr>
      <w:r>
        <w:rPr>
          <w:bCs/>
          <w:color w:val="000000"/>
          <w:sz w:val="24"/>
          <w:szCs w:val="24"/>
          <w:highlight w:val="none"/>
        </w:rPr>
      </w:r>
      <w:r/>
    </w:p>
    <w:p>
      <w:pPr>
        <w:pStyle w:val="1086"/>
        <w:ind w:firstLine="4080"/>
        <w:spacing w:line="360" w:lineRule="auto"/>
        <w:rPr>
          <w:bCs/>
          <w:color w:val="000000"/>
          <w:sz w:val="24"/>
          <w:szCs w:val="24"/>
          <w:highlight w:val="none"/>
        </w:rPr>
      </w:pPr>
      <w:r>
        <w:rPr>
          <w:bCs/>
          <w:color w:val="000000"/>
          <w:sz w:val="24"/>
          <w:szCs w:val="24"/>
          <w:highlight w:val="none"/>
        </w:rPr>
      </w:r>
      <w:r/>
    </w:p>
    <w:p>
      <w:pPr>
        <w:pStyle w:val="1086"/>
        <w:ind w:firstLine="4080"/>
        <w:spacing w:line="360" w:lineRule="auto"/>
        <w:rPr>
          <w:bCs/>
          <w:color w:val="000000"/>
          <w:sz w:val="24"/>
          <w:szCs w:val="24"/>
          <w:highlight w:val="none"/>
        </w:rPr>
      </w:pPr>
      <w:r>
        <w:rPr>
          <w:bCs/>
          <w:color w:val="000000"/>
          <w:sz w:val="24"/>
          <w:szCs w:val="24"/>
          <w:highlight w:val="none"/>
        </w:rPr>
      </w:r>
      <w:r/>
    </w:p>
    <w:p>
      <w:pPr>
        <w:pStyle w:val="1086"/>
        <w:spacing w:line="360" w:lineRule="auto"/>
        <w:rPr>
          <w:rFonts w:hint="eastAsia"/>
          <w:bCs/>
          <w:color w:val="000000"/>
          <w:sz w:val="24"/>
          <w:szCs w:val="24"/>
          <w:highlight w:val="none"/>
        </w:rPr>
      </w:pPr>
      <w:r>
        <w:rPr>
          <w:rFonts w:hint="eastAsia"/>
          <w:bCs/>
          <w:color w:val="000000"/>
          <w:sz w:val="24"/>
          <w:szCs w:val="24"/>
          <w:highlight w:val="none"/>
        </w:rPr>
      </w:r>
      <w:r/>
    </w:p>
    <w:p>
      <w:pPr>
        <w:pStyle w:val="1086"/>
        <w:rPr>
          <w:rFonts w:hint="eastAsia"/>
          <w:bCs/>
          <w:color w:val="000000"/>
          <w:sz w:val="24"/>
          <w:szCs w:val="24"/>
          <w:highlight w:val="none"/>
        </w:rPr>
      </w:pPr>
      <w:r>
        <w:rPr>
          <w:rFonts w:hint="eastAsia"/>
          <w:bCs/>
          <w:color w:val="000000"/>
          <w:sz w:val="24"/>
          <w:szCs w:val="24"/>
          <w:highlight w:val="none"/>
        </w:rPr>
      </w:r>
      <w:r/>
    </w:p>
    <w:p>
      <w:pPr>
        <w:pStyle w:val="1086"/>
        <w:rPr>
          <w:bCs/>
          <w:color w:val="000000"/>
          <w:sz w:val="24"/>
          <w:szCs w:val="24"/>
          <w:highlight w:val="none"/>
        </w:rPr>
      </w:pPr>
      <w:r>
        <w:rPr>
          <w:bCs/>
          <w:color w:val="000000"/>
          <w:sz w:val="24"/>
          <w:szCs w:val="24"/>
          <w:highlight w:val="none"/>
        </w:rPr>
      </w:r>
      <w:r/>
    </w:p>
    <w:p>
      <w:pPr>
        <w:pStyle w:val="1086"/>
        <w:rPr>
          <w:bCs/>
          <w:color w:val="000000"/>
          <w:sz w:val="24"/>
          <w:szCs w:val="24"/>
          <w:highlight w:val="none"/>
        </w:rPr>
      </w:pPr>
      <w:r>
        <w:rPr>
          <w:bCs/>
          <w:color w:val="000000"/>
          <w:sz w:val="24"/>
          <w:szCs w:val="24"/>
          <w:highlight w:val="none"/>
        </w:rPr>
      </w:r>
      <w:r/>
    </w:p>
    <w:p>
      <w:pPr>
        <w:pStyle w:val="1086"/>
        <w:spacing w:line="360" w:lineRule="auto"/>
        <w:rPr>
          <w:rFonts w:eastAsia="黑体"/>
          <w:bCs/>
          <w:color w:val="000000"/>
          <w:sz w:val="24"/>
          <w:szCs w:val="24"/>
          <w:highlight w:val="none"/>
        </w:rPr>
      </w:pPr>
      <w:r>
        <w:rPr>
          <w:rFonts w:eastAsia="黑体"/>
          <w:bCs/>
          <w:color w:val="000000"/>
          <w:sz w:val="24"/>
          <w:szCs w:val="24"/>
          <w:highlight w:val="none"/>
        </w:rPr>
      </w:r>
      <w:r/>
    </w:p>
    <w:p>
      <w:pPr>
        <w:pStyle w:val="1111"/>
        <w:rPr>
          <w:rFonts w:eastAsia="黑体"/>
          <w:color w:val="000000"/>
          <w:sz w:val="24"/>
          <w:szCs w:val="24"/>
          <w:highlight w:val="none"/>
        </w:rPr>
      </w:pPr>
      <w:r>
        <w:rPr>
          <w:rFonts w:eastAsia="黑体"/>
          <w:color w:val="000000"/>
          <w:sz w:val="24"/>
          <w:szCs w:val="24"/>
          <w:highlight w:val="none"/>
        </w:rPr>
      </w:r>
      <w:r/>
    </w:p>
    <w:p>
      <w:pPr>
        <w:pStyle w:val="1086"/>
        <w:rPr>
          <w:color w:val="000000"/>
          <w:highlight w:val="none"/>
        </w:rPr>
      </w:pPr>
      <w:r>
        <w:rPr>
          <w:color w:val="000000"/>
          <w:highlight w:val="none"/>
        </w:rPr>
      </w:r>
      <w:r/>
    </w:p>
    <w:p>
      <w:pPr>
        <w:pStyle w:val="1086"/>
        <w:rPr>
          <w:color w:val="000000"/>
          <w:highlight w:val="none"/>
        </w:rPr>
      </w:pPr>
      <w:r>
        <w:rPr>
          <w:color w:val="000000"/>
          <w:highlight w:val="none"/>
        </w:rPr>
      </w:r>
      <w:r/>
    </w:p>
    <w:p>
      <w:pPr>
        <w:pStyle w:val="1086"/>
        <w:rPr>
          <w:color w:val="000000"/>
          <w:highlight w:val="none"/>
        </w:rPr>
      </w:pPr>
      <w:r>
        <w:rPr>
          <w:color w:val="000000"/>
          <w:highlight w:val="none"/>
        </w:rPr>
      </w:r>
      <w:r/>
    </w:p>
    <w:p>
      <w:pPr>
        <w:pStyle w:val="1086"/>
        <w:rPr>
          <w:rFonts w:eastAsia="黑体"/>
          <w:bCs/>
          <w:color w:val="000000"/>
          <w:sz w:val="24"/>
          <w:szCs w:val="24"/>
          <w:highlight w:val="none"/>
        </w:rPr>
      </w:pPr>
      <w:r>
        <w:rPr>
          <w:rFonts w:eastAsia="黑体"/>
          <w:bCs/>
          <w:color w:val="000000"/>
          <w:sz w:val="24"/>
          <w:szCs w:val="24"/>
          <w:highlight w:val="none"/>
        </w:rPr>
      </w:r>
      <w:r/>
    </w:p>
    <w:p>
      <w:pPr>
        <w:pStyle w:val="1086"/>
        <w:rPr>
          <w:rFonts w:hint="eastAsia"/>
          <w:bCs/>
          <w:color w:val="000000"/>
          <w:sz w:val="24"/>
          <w:szCs w:val="24"/>
          <w:highlight w:val="none"/>
        </w:rPr>
      </w:pPr>
      <w:r>
        <w:rPr>
          <w:bCs/>
          <w:color w:val="000000"/>
          <w:sz w:val="24"/>
          <w:szCs w:val="24"/>
          <w:highlight w:val="none"/>
        </w:rPr>
        <w:t xml:space="preserve">投标人法定代表人身份证</w:t>
      </w:r>
      <w:r>
        <w:rPr>
          <w:rFonts w:hint="eastAsia"/>
          <w:bCs/>
          <w:color w:val="000000"/>
          <w:sz w:val="24"/>
          <w:szCs w:val="24"/>
          <w:highlight w:val="none"/>
        </w:rPr>
        <w:t xml:space="preserve">：</w:t>
      </w:r>
      <w:r>
        <w:rPr>
          <w:rFonts w:hint="eastAsia"/>
          <w:bCs/>
          <w:color w:val="000000"/>
          <w:sz w:val="24"/>
          <w:szCs w:val="24"/>
          <w:highlight w:val="none"/>
        </w:rPr>
      </w:r>
      <w:r/>
    </w:p>
    <w:p>
      <w:pPr>
        <w:pStyle w:val="1086"/>
        <w:rPr>
          <w:rFonts w:hint="eastAsia"/>
          <w:bCs/>
          <w:color w:val="000000"/>
          <w:sz w:val="24"/>
          <w:szCs w:val="24"/>
          <w:highlight w:val="none"/>
        </w:rPr>
      </w:pPr>
      <w:r>
        <w:rPr>
          <w:rFonts w:hint="eastAsia"/>
          <w:bCs/>
          <w:color w:val="000000"/>
          <w:sz w:val="24"/>
          <w:szCs w:val="24"/>
          <w:highlight w:val="none"/>
        </w:rPr>
      </w:r>
      <w:r/>
    </w:p>
    <w:p>
      <w:pPr>
        <w:pStyle w:val="1086"/>
        <w:rPr>
          <w:rFonts w:hint="eastAsia"/>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SHAPE  \* MERGEFORMAT </w:instrText>
      </w:r>
      <w:r>
        <w:rPr>
          <w:bCs/>
          <w:color w:val="000000"/>
          <w:sz w:val="24"/>
          <w:szCs w:val="24"/>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418080" cy="1584960"/>
                <wp:effectExtent l="0" t="0" r="0" b="0"/>
                <wp:docPr id="9" name=""/>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pStyle w:val="1086"/>
                              <w:jc w:val="center"/>
                              <w:rPr>
                                <w:rFonts w:ascii="黑体" w:eastAsia="黑体"/>
                                <w:sz w:val="32"/>
                                <w:szCs w:val="32"/>
                              </w:rPr>
                            </w:pPr>
                            <w:r>
                              <w:rPr>
                                <w:rFonts w:ascii="黑体" w:eastAsia="黑体"/>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86"/>
                            </w:pPr>
                            <w:r/>
                            <w:r/>
                          </w:p>
                        </w:txbxContent>
                      </wps:txbx>
                      <wps:bodyPr wrap="square" upright="1"/>
                    </wps:wsp>
                  </a:graphicData>
                </a:graphic>
              </wp:inline>
            </w:drawing>
          </mc:Choice>
          <mc:Fallback>
            <w:pict>
              <v:shape id="shape 8" o:spid="_x0000_s8" o:spt="202" type="#_x0000_t202" style="width:190.4pt;height:124.8pt;mso-wrap-distance-left:0.0pt;mso-wrap-distance-top:0.0pt;mso-wrap-distance-right:0.0pt;mso-wrap-distance-bottom:0.0pt;visibility:visible;" fillcolor="#FFFFFF" strokecolor="#000000">
                <v:textbox inset="0,0,0,0">
                  <w:txbxContent>
                    <w:p>
                      <w:pPr>
                        <w:pStyle w:val="1086"/>
                        <w:jc w:val="center"/>
                        <w:rPr>
                          <w:rFonts w:ascii="黑体" w:eastAsia="黑体"/>
                          <w:sz w:val="32"/>
                          <w:szCs w:val="32"/>
                        </w:rPr>
                      </w:pPr>
                      <w:r>
                        <w:rPr>
                          <w:rFonts w:ascii="黑体" w:eastAsia="黑体"/>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86"/>
                      </w:pPr>
                      <w:r/>
                      <w:r/>
                    </w:p>
                  </w:txbxContent>
                </v:textbox>
              </v:shape>
            </w:pict>
          </mc:Fallback>
        </mc:AlternateContent>
      </w:r>
      <w:r>
        <w:rPr>
          <w:bCs/>
          <w:color w:val="000000"/>
          <w:sz w:val="24"/>
          <w:szCs w:val="24"/>
          <w:highlight w:val="none"/>
        </w:rPr>
        <w:fldChar w:fldCharType="end"/>
      </w:r>
      <w:r>
        <w:rPr>
          <w:rFonts w:hint="eastAsia" w:ascii="黑体" w:eastAsia="黑体"/>
          <w:color w:val="000000"/>
          <w:sz w:val="32"/>
          <w:szCs w:val="32"/>
          <w:highlight w:val="none"/>
        </w:rPr>
        <w:t xml:space="preserve"> </w:t>
      </w:r>
      <w:r>
        <w:rPr>
          <w:rFonts w:hint="eastAsia" w:ascii="黑体" w:eastAsia="黑体"/>
          <w:color w:val="000000"/>
          <w:sz w:val="32"/>
          <w:szCs w:val="32"/>
          <w:highlight w:val="none"/>
        </w:rPr>
        <w:fldChar w:fldCharType="begin"/>
      </w:r>
      <w:r>
        <w:rPr>
          <w:rFonts w:hint="eastAsia" w:ascii="黑体" w:eastAsia="黑体"/>
          <w:color w:val="000000"/>
          <w:sz w:val="32"/>
          <w:szCs w:val="32"/>
          <w:highlight w:val="none"/>
        </w:rPr>
        <w:instrText xml:space="preserve"> SHAPE  \* MERGEFORMAT </w:instrText>
      </w:r>
      <w:r>
        <w:rPr>
          <w:rFonts w:hint="eastAsia" w:ascii="黑体" w:eastAsia="黑体"/>
          <w:color w:val="000000"/>
          <w:sz w:val="32"/>
          <w:szCs w:val="32"/>
          <w:highlight w:val="none"/>
        </w:rPr>
        <w:fldChar w:fldCharType="separate"/>
      </w:r>
      <w:r>
        <w:rPr>
          <w:bCs/>
          <w:color w:val="000000"/>
          <w:sz w:val="24"/>
          <w:szCs w:val="24"/>
          <w:highlight w:val="none"/>
        </w:rPr>
        <mc:AlternateContent>
          <mc:Choice Requires="wpg">
            <w:drawing>
              <wp:inline xmlns:wp="http://schemas.openxmlformats.org/drawingml/2006/wordprocessingDrawing" distT="0" distB="0" distL="0" distR="0">
                <wp:extent cx="2395855" cy="1584960"/>
                <wp:effectExtent l="0" t="0" r="0" b="0"/>
                <wp:docPr id="10" name=""/>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pStyle w:val="1086"/>
                              <w:jc w:val="center"/>
                              <w:rPr>
                                <w:rFonts w:ascii="黑体" w:eastAsia="黑体"/>
                                <w:sz w:val="32"/>
                                <w:szCs w:val="32"/>
                              </w:rPr>
                            </w:pPr>
                            <w:r>
                              <w:rPr>
                                <w:rFonts w:ascii="黑体" w:eastAsia="黑体"/>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86"/>
                            </w:pPr>
                            <w:r/>
                            <w:r/>
                          </w:p>
                        </w:txbxContent>
                      </wps:txbx>
                      <wps:bodyPr wrap="square" upright="1"/>
                    </wps:wsp>
                  </a:graphicData>
                </a:graphic>
              </wp:inline>
            </w:drawing>
          </mc:Choice>
          <mc:Fallback>
            <w:pict>
              <v:shape id="shape 9" o:spid="_x0000_s9" o:spt="202" type="#_x0000_t202" style="width:188.6pt;height:124.8pt;mso-wrap-distance-left:0.0pt;mso-wrap-distance-top:0.0pt;mso-wrap-distance-right:0.0pt;mso-wrap-distance-bottom:0.0pt;visibility:visible;" fillcolor="#FFFFFF" strokecolor="#000000">
                <v:textbox inset="0,0,0,0">
                  <w:txbxContent>
                    <w:p>
                      <w:pPr>
                        <w:pStyle w:val="1086"/>
                        <w:jc w:val="center"/>
                        <w:rPr>
                          <w:rFonts w:ascii="黑体" w:eastAsia="黑体"/>
                          <w:sz w:val="32"/>
                          <w:szCs w:val="32"/>
                        </w:rPr>
                      </w:pPr>
                      <w:r>
                        <w:rPr>
                          <w:rFonts w:ascii="黑体" w:eastAsia="黑体"/>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86"/>
                      </w:pPr>
                      <w:r/>
                      <w:r/>
                    </w:p>
                  </w:txbxContent>
                </v:textbox>
              </v:shape>
            </w:pict>
          </mc:Fallback>
        </mc:AlternateContent>
      </w:r>
      <w:r>
        <w:rPr>
          <w:rFonts w:hint="eastAsia" w:ascii="黑体" w:eastAsia="黑体"/>
          <w:color w:val="000000"/>
          <w:sz w:val="32"/>
          <w:szCs w:val="32"/>
          <w:highlight w:val="none"/>
        </w:rPr>
        <w:fldChar w:fldCharType="end"/>
      </w:r>
      <w:r>
        <w:rPr>
          <w:rFonts w:hint="eastAsia"/>
          <w:bCs/>
          <w:color w:val="000000"/>
          <w:sz w:val="24"/>
          <w:szCs w:val="24"/>
          <w:highlight w:val="none"/>
        </w:rPr>
        <w:t xml:space="preserve">       </w:t>
      </w:r>
      <w:r>
        <w:rPr>
          <w:rFonts w:hint="eastAsia"/>
          <w:bCs/>
          <w:color w:val="000000"/>
          <w:sz w:val="24"/>
          <w:szCs w:val="24"/>
          <w:highlight w:val="none"/>
        </w:rPr>
      </w:r>
      <w:r/>
    </w:p>
    <w:p>
      <w:pPr>
        <w:pStyle w:val="1086"/>
        <w:rPr>
          <w:rFonts w:hint="eastAsia"/>
          <w:bCs/>
          <w:color w:val="000000"/>
          <w:sz w:val="24"/>
          <w:szCs w:val="24"/>
          <w:highlight w:val="none"/>
        </w:rPr>
      </w:pPr>
      <w:r>
        <w:rPr>
          <w:rFonts w:hint="eastAsia"/>
          <w:bCs/>
          <w:color w:val="000000"/>
          <w:sz w:val="24"/>
          <w:szCs w:val="24"/>
          <w:highlight w:val="none"/>
        </w:rPr>
      </w:r>
      <w:r/>
    </w:p>
    <w:p>
      <w:pPr>
        <w:pStyle w:val="1086"/>
        <w:rPr>
          <w:rFonts w:hint="eastAsia"/>
          <w:bCs/>
          <w:color w:val="000000"/>
          <w:sz w:val="24"/>
          <w:szCs w:val="24"/>
          <w:highlight w:val="none"/>
        </w:rPr>
      </w:pPr>
      <w:r>
        <w:rPr>
          <w:rFonts w:hint="eastAsia"/>
          <w:bCs/>
          <w:color w:val="000000"/>
          <w:sz w:val="24"/>
          <w:szCs w:val="24"/>
          <w:highlight w:val="none"/>
        </w:rPr>
      </w:r>
      <w:r/>
    </w:p>
    <w:p>
      <w:pPr>
        <w:pStyle w:val="1086"/>
        <w:rPr>
          <w:rFonts w:hint="eastAsia"/>
          <w:bCs/>
          <w:color w:val="000000"/>
          <w:sz w:val="24"/>
          <w:szCs w:val="24"/>
          <w:highlight w:val="none"/>
        </w:rPr>
      </w:pPr>
      <w:r>
        <w:rPr>
          <w:rFonts w:hint="eastAsia"/>
          <w:bCs/>
          <w:color w:val="000000"/>
          <w:sz w:val="24"/>
          <w:szCs w:val="24"/>
          <w:highlight w:val="none"/>
        </w:rPr>
      </w:r>
      <w:r/>
    </w:p>
    <w:p>
      <w:pPr>
        <w:pStyle w:val="1086"/>
        <w:rPr>
          <w:rFonts w:hint="eastAsia"/>
          <w:bCs/>
          <w:color w:val="000000"/>
          <w:sz w:val="24"/>
          <w:szCs w:val="24"/>
          <w:highlight w:val="none"/>
        </w:rPr>
      </w:pPr>
      <w:r>
        <w:rPr>
          <w:bCs/>
          <w:color w:val="000000"/>
          <w:sz w:val="24"/>
          <w:szCs w:val="24"/>
          <w:highlight w:val="none"/>
        </w:rPr>
        <w:t xml:space="preserve">法定代表人授权代表身份证</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rPr>
          <w:rFonts w:hint="eastAsia"/>
          <w:bCs/>
          <w:color w:val="000000"/>
          <w:sz w:val="24"/>
          <w:szCs w:val="24"/>
          <w:highlight w:val="none"/>
        </w:rPr>
      </w:r>
      <w:r/>
    </w:p>
    <w:p>
      <w:pPr>
        <w:pStyle w:val="1111"/>
        <w:rPr>
          <w:color w:val="000000"/>
          <w:highlight w:val="none"/>
        </w:rPr>
      </w:pPr>
      <w:r>
        <w:rPr>
          <w:color w:val="000000"/>
          <w:sz w:val="24"/>
          <w:szCs w:val="24"/>
          <w:highlight w:val="none"/>
        </w:rPr>
        <w:fldChar w:fldCharType="begin"/>
      </w:r>
      <w:r>
        <w:rPr>
          <w:color w:val="000000"/>
          <w:sz w:val="24"/>
          <w:szCs w:val="24"/>
          <w:highlight w:val="none"/>
        </w:rPr>
        <w:instrText xml:space="preserve"> SHAPE  \* MERGEFORMAT </w:instrText>
      </w:r>
      <w:r>
        <w:rPr>
          <w:color w:val="000000"/>
          <w:sz w:val="24"/>
          <w:szCs w:val="24"/>
          <w:highlight w:val="none"/>
        </w:rPr>
        <w:fldChar w:fldCharType="separate"/>
      </w:r>
      <w:r>
        <w:rPr>
          <w:color w:val="000000"/>
          <w:sz w:val="24"/>
          <w:szCs w:val="24"/>
          <w:highlight w:val="none"/>
        </w:rPr>
        <mc:AlternateContent>
          <mc:Choice Requires="wpg">
            <w:drawing>
              <wp:inline xmlns:wp="http://schemas.openxmlformats.org/drawingml/2006/wordprocessingDrawing" distT="0" distB="0" distL="0" distR="0">
                <wp:extent cx="2414270" cy="1584960"/>
                <wp:effectExtent l="0" t="0" r="0" b="0"/>
                <wp:docPr id="11" name=""/>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pStyle w:val="1086"/>
                              <w:jc w:val="center"/>
                              <w:rPr>
                                <w:rFonts w:ascii="黑体" w:eastAsia="黑体"/>
                                <w:sz w:val="32"/>
                                <w:szCs w:val="32"/>
                              </w:rPr>
                            </w:pPr>
                            <w:r>
                              <w:rPr>
                                <w:rFonts w:ascii="黑体" w:eastAsia="黑体"/>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86"/>
                            </w:pPr>
                            <w:r/>
                            <w:r/>
                          </w:p>
                        </w:txbxContent>
                      </wps:txbx>
                      <wps:bodyPr wrap="square" upright="1"/>
                    </wps:wsp>
                  </a:graphicData>
                </a:graphic>
              </wp:inline>
            </w:drawing>
          </mc:Choice>
          <mc:Fallback>
            <w:pict>
              <v:shape id="shape 10" o:spid="_x0000_s10" o:spt="202" type="#_x0000_t202" style="width:190.1pt;height:124.8pt;mso-wrap-distance-left:0.0pt;mso-wrap-distance-top:0.0pt;mso-wrap-distance-right:0.0pt;mso-wrap-distance-bottom:0.0pt;visibility:visible;" fillcolor="#FFFFFF" strokecolor="#000000">
                <v:textbox inset="0,0,0,0">
                  <w:txbxContent>
                    <w:p>
                      <w:pPr>
                        <w:pStyle w:val="1086"/>
                        <w:jc w:val="center"/>
                        <w:rPr>
                          <w:rFonts w:ascii="黑体" w:eastAsia="黑体"/>
                          <w:sz w:val="32"/>
                          <w:szCs w:val="32"/>
                        </w:rPr>
                      </w:pPr>
                      <w:r>
                        <w:rPr>
                          <w:rFonts w:ascii="黑体" w:eastAsia="黑体"/>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1086"/>
                      </w:pPr>
                      <w:r/>
                      <w:r/>
                    </w:p>
                  </w:txbxContent>
                </v:textbox>
              </v:shape>
            </w:pict>
          </mc:Fallback>
        </mc:AlternateContent>
      </w:r>
      <w:r>
        <w:rPr>
          <w:color w:val="000000"/>
          <w:sz w:val="24"/>
          <w:szCs w:val="24"/>
          <w:highlight w:val="none"/>
        </w:rPr>
        <w:fldChar w:fldCharType="end"/>
      </w:r>
      <w:r>
        <w:rPr>
          <w:rFonts w:hint="eastAsia"/>
          <w:color w:val="000000"/>
          <w:sz w:val="24"/>
          <w:szCs w:val="24"/>
          <w:highlight w:val="none"/>
        </w:rPr>
        <w:t xml:space="preserve"> </w:t>
      </w:r>
      <w:r>
        <w:rPr>
          <w:rFonts w:hint="eastAsia"/>
          <w:color w:val="000000"/>
          <w:sz w:val="24"/>
          <w:szCs w:val="24"/>
          <w:highlight w:val="none"/>
        </w:rPr>
        <w:fldChar w:fldCharType="begin"/>
      </w:r>
      <w:r>
        <w:rPr>
          <w:rFonts w:hint="eastAsia"/>
          <w:color w:val="000000"/>
          <w:sz w:val="24"/>
          <w:szCs w:val="24"/>
          <w:highlight w:val="none"/>
        </w:rPr>
        <w:instrText xml:space="preserve"> SHAPE  \* MERGEFORMAT </w:instrText>
      </w:r>
      <w:r>
        <w:rPr>
          <w:rFonts w:hint="eastAsia"/>
          <w:color w:val="000000"/>
          <w:sz w:val="24"/>
          <w:szCs w:val="24"/>
          <w:highlight w:val="none"/>
        </w:rPr>
        <w:fldChar w:fldCharType="separate"/>
      </w:r>
      <w:r>
        <w:rPr>
          <w:color w:val="000000"/>
          <w:sz w:val="24"/>
          <w:szCs w:val="24"/>
          <w:highlight w:val="none"/>
        </w:rPr>
        <mc:AlternateContent>
          <mc:Choice Requires="wpg">
            <w:drawing>
              <wp:inline xmlns:wp="http://schemas.openxmlformats.org/drawingml/2006/wordprocessingDrawing" distT="0" distB="0" distL="0" distR="0">
                <wp:extent cx="2397125" cy="1584960"/>
                <wp:effectExtent l="0" t="0" r="0" b="0"/>
                <wp:docPr id="12" name=""/>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pStyle w:val="1086"/>
                              <w:jc w:val="center"/>
                              <w:rPr>
                                <w:rFonts w:ascii="黑体" w:eastAsia="黑体"/>
                                <w:sz w:val="32"/>
                                <w:szCs w:val="32"/>
                              </w:rPr>
                            </w:pPr>
                            <w:r>
                              <w:rPr>
                                <w:rFonts w:ascii="黑体" w:eastAsia="黑体"/>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86"/>
                            </w:pPr>
                            <w:r/>
                            <w:r/>
                          </w:p>
                        </w:txbxContent>
                      </wps:txbx>
                      <wps:bodyPr wrap="square" upright="1"/>
                    </wps:wsp>
                  </a:graphicData>
                </a:graphic>
              </wp:inline>
            </w:drawing>
          </mc:Choice>
          <mc:Fallback>
            <w:pict>
              <v:shape id="shape 11" o:spid="_x0000_s11" o:spt="202" type="#_x0000_t202" style="width:188.8pt;height:124.8pt;mso-wrap-distance-left:0.0pt;mso-wrap-distance-top:0.0pt;mso-wrap-distance-right:0.0pt;mso-wrap-distance-bottom:0.0pt;visibility:visible;" fillcolor="#FFFFFF" strokecolor="#000000">
                <v:textbox inset="0,0,0,0">
                  <w:txbxContent>
                    <w:p>
                      <w:pPr>
                        <w:pStyle w:val="1086"/>
                        <w:jc w:val="center"/>
                        <w:rPr>
                          <w:rFonts w:ascii="黑体" w:eastAsia="黑体"/>
                          <w:sz w:val="32"/>
                          <w:szCs w:val="32"/>
                        </w:rPr>
                      </w:pPr>
                      <w:r>
                        <w:rPr>
                          <w:rFonts w:ascii="黑体" w:eastAsia="黑体"/>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rPr>
                      </w:r>
                      <w:r/>
                    </w:p>
                    <w:p>
                      <w:pPr>
                        <w:pStyle w:val="1086"/>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1086"/>
                      </w:pPr>
                      <w:r/>
                      <w:r/>
                    </w:p>
                  </w:txbxContent>
                </v:textbox>
              </v:shape>
            </w:pict>
          </mc:Fallback>
        </mc:AlternateContent>
      </w:r>
      <w:r>
        <w:rPr>
          <w:rFonts w:hint="eastAsia"/>
          <w:color w:val="000000"/>
          <w:sz w:val="24"/>
          <w:szCs w:val="24"/>
          <w:highlight w:val="none"/>
        </w:rPr>
        <w:fldChar w:fldCharType="end"/>
      </w:r>
      <w:r>
        <w:rPr>
          <w:color w:val="000000"/>
          <w:highlight w:val="none"/>
        </w:rPr>
      </w:r>
      <w:r/>
    </w:p>
    <w:p>
      <w:pPr>
        <w:pStyle w:val="1086"/>
        <w:spacing w:line="360" w:lineRule="auto"/>
        <w:rPr>
          <w:rFonts w:eastAsia="黑体"/>
          <w:bCs/>
          <w:color w:val="000000"/>
          <w:sz w:val="24"/>
          <w:szCs w:val="24"/>
          <w:highlight w:val="none"/>
        </w:rPr>
      </w:pPr>
      <w:r>
        <w:rPr>
          <w:rFonts w:eastAsia="黑体"/>
          <w:bCs/>
          <w:color w:val="000000"/>
          <w:sz w:val="24"/>
          <w:szCs w:val="24"/>
          <w:highlight w:val="none"/>
        </w:rPr>
      </w:r>
      <w:r/>
    </w:p>
    <w:p>
      <w:pPr>
        <w:pStyle w:val="1086"/>
        <w:spacing w:line="360" w:lineRule="auto"/>
        <w:rPr>
          <w:rFonts w:eastAsia="黑体"/>
          <w:bCs/>
          <w:color w:val="000000"/>
          <w:sz w:val="24"/>
          <w:szCs w:val="24"/>
          <w:highlight w:val="none"/>
        </w:rPr>
      </w:pPr>
      <w:r>
        <w:rPr>
          <w:rFonts w:eastAsia="黑体"/>
          <w:bCs/>
          <w:color w:val="000000"/>
          <w:sz w:val="24"/>
          <w:szCs w:val="24"/>
          <w:highlight w:val="none"/>
        </w:rPr>
      </w:r>
      <w:r/>
    </w:p>
    <w:p>
      <w:pPr>
        <w:pStyle w:val="1086"/>
        <w:spacing w:line="360" w:lineRule="auto"/>
        <w:rPr>
          <w:rFonts w:ascii="宋体"/>
          <w:color w:val="000000"/>
          <w:sz w:val="24"/>
          <w:highlight w:val="none"/>
        </w:rPr>
      </w:pPr>
      <w:r>
        <w:rPr>
          <w:rFonts w:ascii="宋体"/>
          <w:color w:val="000000"/>
          <w:sz w:val="24"/>
          <w:highlight w:val="none"/>
        </w:rPr>
      </w:r>
      <w:r/>
    </w:p>
    <w:p>
      <w:pPr>
        <w:pStyle w:val="1086"/>
        <w:spacing w:line="360" w:lineRule="auto"/>
        <w:rPr>
          <w:rFonts w:eastAsia="黑体"/>
          <w:bCs/>
          <w:color w:val="000000"/>
          <w:sz w:val="24"/>
          <w:szCs w:val="24"/>
          <w:highlight w:val="none"/>
        </w:rPr>
      </w:pPr>
      <w:r>
        <w:rPr>
          <w:rFonts w:eastAsia="黑体"/>
          <w:bCs/>
          <w:color w:val="000000"/>
          <w:sz w:val="24"/>
          <w:szCs w:val="24"/>
          <w:highlight w:val="none"/>
        </w:rPr>
      </w:r>
      <w:r/>
    </w:p>
    <w:p>
      <w:pPr>
        <w:pStyle w:val="1086"/>
        <w:numPr>
          <w:ilvl w:val="0"/>
          <w:numId w:val="7"/>
        </w:num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开标一览表：</w:t>
      </w:r>
      <w:r>
        <w:rPr>
          <w:rFonts w:hint="eastAsia" w:ascii="宋体" w:hAnsi="宋体" w:cs="宋体"/>
          <w:b/>
          <w:color w:val="000000"/>
          <w:sz w:val="24"/>
          <w:szCs w:val="24"/>
          <w:highlight w:val="none"/>
        </w:rPr>
      </w:r>
      <w:r/>
    </w:p>
    <w:p>
      <w:pPr>
        <w:pStyle w:val="1086"/>
        <w:ind w:firstLine="562"/>
        <w:jc w:val="center"/>
        <w:spacing w:line="440" w:lineRule="exact"/>
        <w:rPr>
          <w:b/>
          <w:color w:val="000000"/>
          <w:sz w:val="28"/>
          <w:szCs w:val="22"/>
          <w:highlight w:val="none"/>
        </w:rPr>
      </w:pPr>
      <w:r>
        <w:rPr>
          <w:b/>
          <w:color w:val="000000"/>
          <w:sz w:val="28"/>
          <w:szCs w:val="22"/>
          <w:highlight w:val="none"/>
        </w:rPr>
        <w:t xml:space="preserve">开标一览表</w:t>
      </w:r>
      <w:r>
        <w:rPr>
          <w:b/>
          <w:color w:val="000000"/>
          <w:sz w:val="28"/>
          <w:szCs w:val="22"/>
          <w:highlight w:val="none"/>
        </w:rPr>
      </w:r>
      <w:r/>
    </w:p>
    <w:p>
      <w:pPr>
        <w:pStyle w:val="1086"/>
        <w:jc w:val="left"/>
        <w:spacing w:line="440" w:lineRule="exact"/>
        <w:rPr>
          <w:b/>
          <w:color w:val="000000"/>
          <w:sz w:val="28"/>
          <w:szCs w:val="22"/>
          <w:highlight w:val="none"/>
        </w:rPr>
      </w:pPr>
      <w:r>
        <w:rPr>
          <w:color w:val="000000"/>
          <w:szCs w:val="21"/>
          <w:highlight w:val="none"/>
        </w:rPr>
        <w:t xml:space="preserve">项目编号：               分包号（如有）：</w:t>
      </w:r>
      <w:r>
        <w:rPr>
          <w:b/>
          <w:color w:val="000000"/>
          <w:sz w:val="28"/>
          <w:szCs w:val="22"/>
          <w:highlight w:val="none"/>
        </w:rPr>
      </w:r>
      <w:r/>
    </w:p>
    <w:p>
      <w:pPr>
        <w:pStyle w:val="1139"/>
        <w:ind w:firstLine="0"/>
        <w:rPr>
          <w:rFonts w:hint="eastAsia"/>
          <w:color w:val="000000"/>
          <w:highlight w:val="none"/>
        </w:rPr>
      </w:pPr>
      <w:r>
        <w:rPr>
          <w:rFonts w:hint="eastAsia"/>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4"/>
        <w:gridCol w:w="7246"/>
      </w:tblGrid>
      <w:tr>
        <w:trPr>
          <w:cantSplit/>
          <w:trHeight w:val="560"/>
        </w:trPr>
        <w:tc>
          <w:tcPr>
            <w:tcW w:w="1322" w:type="dxa"/>
            <w:vAlign w:val="center"/>
            <w:textDirection w:val="lrTb"/>
            <w:noWrap w:val="false"/>
          </w:tcPr>
          <w:p>
            <w:pPr>
              <w:pStyle w:val="1086"/>
              <w:jc w:val="center"/>
              <w:spacing w:line="480" w:lineRule="exact"/>
              <w:rPr>
                <w:color w:val="000000"/>
                <w:szCs w:val="21"/>
                <w:highlight w:val="none"/>
              </w:rPr>
            </w:pPr>
            <w:r>
              <w:rPr>
                <w:color w:val="000000"/>
                <w:szCs w:val="21"/>
                <w:highlight w:val="none"/>
              </w:rPr>
              <w:t xml:space="preserve">项目名称</w:t>
            </w:r>
            <w:r>
              <w:rPr>
                <w:color w:val="000000"/>
                <w:szCs w:val="21"/>
                <w:highlight w:val="none"/>
              </w:rPr>
            </w:r>
            <w:r/>
          </w:p>
        </w:tc>
        <w:tc>
          <w:tcPr>
            <w:tcW w:w="3677" w:type="dxa"/>
            <w:vAlign w:val="center"/>
            <w:textDirection w:val="lrTb"/>
            <w:noWrap w:val="false"/>
          </w:tcPr>
          <w:p>
            <w:pPr>
              <w:pStyle w:val="1086"/>
              <w:ind w:firstLine="105"/>
              <w:spacing w:line="480" w:lineRule="exact"/>
              <w:rPr>
                <w:color w:val="000000"/>
                <w:szCs w:val="21"/>
                <w:highlight w:val="none"/>
              </w:rPr>
            </w:pPr>
            <w:r>
              <w:rPr>
                <w:color w:val="000000"/>
                <w:szCs w:val="21"/>
                <w:highlight w:val="none"/>
              </w:rPr>
            </w:r>
            <w:r/>
          </w:p>
        </w:tc>
      </w:tr>
      <w:tr>
        <w:trPr>
          <w:cantSplit/>
          <w:trHeight w:val="1280"/>
        </w:trPr>
        <w:tc>
          <w:tcPr>
            <w:tcW w:w="1322" w:type="dxa"/>
            <w:vAlign w:val="center"/>
            <w:textDirection w:val="lrTb"/>
            <w:noWrap w:val="false"/>
          </w:tcPr>
          <w:p>
            <w:pPr>
              <w:pStyle w:val="1086"/>
              <w:jc w:val="center"/>
              <w:spacing w:line="480" w:lineRule="exact"/>
              <w:rPr>
                <w:color w:val="000000"/>
                <w:szCs w:val="21"/>
                <w:highlight w:val="none"/>
              </w:rPr>
            </w:pPr>
            <w:r>
              <w:rPr>
                <w:color w:val="000000"/>
                <w:szCs w:val="21"/>
                <w:highlight w:val="none"/>
              </w:rPr>
              <w:t xml:space="preserve">报价（总价）</w:t>
            </w:r>
            <w:r>
              <w:rPr>
                <w:color w:val="000000"/>
                <w:szCs w:val="21"/>
                <w:highlight w:val="none"/>
              </w:rPr>
            </w:r>
            <w:r/>
          </w:p>
        </w:tc>
        <w:tc>
          <w:tcPr>
            <w:tcW w:w="3677" w:type="dxa"/>
            <w:vAlign w:val="center"/>
            <w:textDirection w:val="lrTb"/>
            <w:noWrap w:val="false"/>
          </w:tcPr>
          <w:p>
            <w:pPr>
              <w:pStyle w:val="1086"/>
              <w:spacing w:line="480" w:lineRule="exact"/>
              <w:rPr>
                <w:color w:val="000000"/>
                <w:szCs w:val="21"/>
                <w:highlight w:val="none"/>
                <w:u w:val="single"/>
              </w:rPr>
            </w:pPr>
            <w:r>
              <w:rPr>
                <w:color w:val="000000"/>
                <w:szCs w:val="21"/>
                <w:highlight w:val="none"/>
              </w:rPr>
              <w:t xml:space="preserve">人民币：</w:t>
            </w:r>
            <w:r>
              <w:rPr>
                <w:color w:val="000000"/>
                <w:szCs w:val="21"/>
                <w:highlight w:val="none"/>
                <w:u w:val="single"/>
              </w:rPr>
              <w:t xml:space="preserve">           </w:t>
            </w:r>
            <w:r>
              <w:rPr>
                <w:color w:val="000000"/>
                <w:szCs w:val="21"/>
                <w:highlight w:val="none"/>
                <w:u w:val="single"/>
              </w:rPr>
            </w:r>
            <w:r/>
          </w:p>
          <w:p>
            <w:pPr>
              <w:pStyle w:val="1086"/>
              <w:spacing w:line="480" w:lineRule="exact"/>
              <w:rPr>
                <w:color w:val="000000"/>
                <w:szCs w:val="21"/>
                <w:highlight w:val="none"/>
              </w:rPr>
            </w:pPr>
            <w:r>
              <w:rPr>
                <w:color w:val="000000"/>
                <w:szCs w:val="21"/>
                <w:highlight w:val="none"/>
              </w:rPr>
              <w:t xml:space="preserve">（大写）：</w:t>
            </w:r>
            <w:r>
              <w:rPr>
                <w:color w:val="000000"/>
                <w:szCs w:val="21"/>
                <w:highlight w:val="none"/>
                <w:u w:val="single"/>
              </w:rPr>
              <w:t xml:space="preserve">         </w:t>
            </w:r>
            <w:r>
              <w:rPr>
                <w:color w:val="000000"/>
                <w:szCs w:val="21"/>
                <w:highlight w:val="none"/>
              </w:rPr>
              <w:t xml:space="preserve">（小写）：</w:t>
            </w:r>
            <w:r>
              <w:rPr>
                <w:color w:val="000000"/>
                <w:szCs w:val="21"/>
                <w:highlight w:val="none"/>
                <w:u w:val="single"/>
              </w:rPr>
              <w:t xml:space="preserve">      </w:t>
            </w:r>
            <w:r>
              <w:rPr>
                <w:color w:val="000000"/>
                <w:szCs w:val="21"/>
                <w:highlight w:val="none"/>
              </w:rPr>
            </w:r>
            <w:r/>
          </w:p>
        </w:tc>
      </w:tr>
      <w:tr>
        <w:trPr>
          <w:cantSplit/>
          <w:trHeight w:val="615"/>
        </w:trPr>
        <w:tc>
          <w:tcPr>
            <w:tcW w:w="1322" w:type="dxa"/>
            <w:vAlign w:val="center"/>
            <w:textDirection w:val="lrTb"/>
            <w:noWrap w:val="false"/>
          </w:tcPr>
          <w:p>
            <w:pPr>
              <w:pStyle w:val="1086"/>
              <w:jc w:val="center"/>
              <w:spacing w:line="480" w:lineRule="exact"/>
              <w:rPr>
                <w:color w:val="000000"/>
                <w:szCs w:val="21"/>
                <w:highlight w:val="none"/>
              </w:rPr>
            </w:pPr>
            <w:r>
              <w:rPr>
                <w:color w:val="000000"/>
                <w:szCs w:val="21"/>
                <w:highlight w:val="none"/>
              </w:rPr>
              <w:t xml:space="preserve">所投品牌</w:t>
            </w:r>
            <w:r>
              <w:rPr>
                <w:color w:val="000000"/>
                <w:szCs w:val="21"/>
                <w:highlight w:val="none"/>
              </w:rPr>
            </w:r>
            <w:r/>
          </w:p>
          <w:p>
            <w:pPr>
              <w:pStyle w:val="1086"/>
              <w:spacing w:line="480" w:lineRule="exact"/>
              <w:rPr>
                <w:color w:val="000000"/>
                <w:szCs w:val="21"/>
                <w:highlight w:val="none"/>
              </w:rPr>
            </w:pPr>
            <w:r>
              <w:rPr>
                <w:b/>
                <w:bCs/>
                <w:color w:val="000000"/>
                <w:szCs w:val="21"/>
                <w:highlight w:val="none"/>
              </w:rPr>
              <w:t xml:space="preserve">（如非单一产品则填写核心产品品牌）</w:t>
            </w:r>
            <w:r>
              <w:rPr>
                <w:color w:val="000000"/>
                <w:szCs w:val="21"/>
                <w:highlight w:val="none"/>
              </w:rPr>
            </w:r>
            <w:r/>
          </w:p>
        </w:tc>
        <w:tc>
          <w:tcPr>
            <w:tcW w:w="3677" w:type="dxa"/>
            <w:vAlign w:val="center"/>
            <w:textDirection w:val="lrTb"/>
            <w:noWrap w:val="false"/>
          </w:tcPr>
          <w:p>
            <w:pPr>
              <w:pStyle w:val="1086"/>
              <w:spacing w:line="480" w:lineRule="exact"/>
              <w:rPr>
                <w:color w:val="000000"/>
                <w:szCs w:val="21"/>
                <w:highlight w:val="none"/>
              </w:rPr>
            </w:pPr>
            <w:r>
              <w:rPr>
                <w:color w:val="000000"/>
                <w:szCs w:val="21"/>
                <w:highlight w:val="none"/>
              </w:rPr>
            </w:r>
            <w:r/>
          </w:p>
        </w:tc>
      </w:tr>
      <w:tr>
        <w:trPr>
          <w:cantSplit/>
          <w:trHeight w:val="389"/>
        </w:trPr>
        <w:tc>
          <w:tcPr>
            <w:tcW w:w="1322" w:type="dxa"/>
            <w:vAlign w:val="center"/>
            <w:textDirection w:val="lrTb"/>
            <w:noWrap w:val="false"/>
          </w:tcPr>
          <w:p>
            <w:pPr>
              <w:pStyle w:val="1086"/>
              <w:jc w:val="center"/>
              <w:spacing w:line="480" w:lineRule="exact"/>
              <w:rPr>
                <w:color w:val="000000"/>
                <w:szCs w:val="21"/>
                <w:highlight w:val="none"/>
              </w:rPr>
            </w:pPr>
            <w:r>
              <w:rPr>
                <w:color w:val="000000"/>
                <w:szCs w:val="21"/>
                <w:highlight w:val="none"/>
              </w:rPr>
              <w:t xml:space="preserve">合同履行期限</w:t>
            </w:r>
            <w:r>
              <w:rPr>
                <w:color w:val="000000"/>
                <w:szCs w:val="21"/>
                <w:highlight w:val="none"/>
              </w:rPr>
            </w:r>
            <w:r/>
          </w:p>
        </w:tc>
        <w:tc>
          <w:tcPr>
            <w:tcW w:w="3677" w:type="dxa"/>
            <w:vAlign w:val="center"/>
            <w:textDirection w:val="lrTb"/>
            <w:noWrap w:val="false"/>
          </w:tcPr>
          <w:p>
            <w:pPr>
              <w:pStyle w:val="1086"/>
              <w:ind w:firstLine="105"/>
              <w:spacing w:line="480" w:lineRule="exact"/>
              <w:rPr>
                <w:color w:val="000000"/>
                <w:szCs w:val="21"/>
                <w:highlight w:val="none"/>
              </w:rPr>
            </w:pPr>
            <w:r>
              <w:rPr>
                <w:color w:val="000000"/>
                <w:szCs w:val="21"/>
                <w:highlight w:val="none"/>
              </w:rPr>
            </w:r>
            <w:r/>
          </w:p>
        </w:tc>
      </w:tr>
      <w:tr>
        <w:trPr>
          <w:cantSplit/>
          <w:trHeight w:val="389"/>
        </w:trPr>
        <w:tc>
          <w:tcPr>
            <w:tcW w:w="1322" w:type="dxa"/>
            <w:vAlign w:val="top"/>
            <w:textDirection w:val="lrTb"/>
            <w:noWrap w:val="false"/>
          </w:tcPr>
          <w:p>
            <w:pPr>
              <w:pStyle w:val="1086"/>
              <w:jc w:val="center"/>
              <w:spacing w:line="480" w:lineRule="exact"/>
              <w:rPr>
                <w:color w:val="000000"/>
                <w:highlight w:val="none"/>
              </w:rPr>
            </w:pPr>
            <w:r>
              <w:rPr>
                <w:color w:val="000000"/>
                <w:highlight w:val="none"/>
              </w:rPr>
              <w:t xml:space="preserve">是否属于</w:t>
            </w:r>
            <w:r>
              <w:rPr>
                <w:rFonts w:hint="eastAsia"/>
                <w:color w:val="000000"/>
                <w:highlight w:val="none"/>
              </w:rPr>
              <w:t xml:space="preserve">中</w:t>
            </w:r>
            <w:r>
              <w:rPr>
                <w:color w:val="000000"/>
                <w:highlight w:val="none"/>
              </w:rPr>
              <w:t xml:space="preserve">小微型企业</w:t>
            </w:r>
            <w:r>
              <w:rPr>
                <w:color w:val="000000"/>
                <w:highlight w:val="none"/>
              </w:rPr>
            </w:r>
            <w:r/>
          </w:p>
        </w:tc>
        <w:tc>
          <w:tcPr>
            <w:tcW w:w="3677" w:type="dxa"/>
            <w:vAlign w:val="top"/>
            <w:textDirection w:val="lrTb"/>
            <w:noWrap w:val="false"/>
          </w:tcPr>
          <w:p>
            <w:pPr>
              <w:pStyle w:val="1107"/>
              <w:ind w:firstLine="210"/>
              <w:spacing w:line="440" w:lineRule="exact"/>
              <w:rPr>
                <w:color w:val="000000"/>
                <w:szCs w:val="21"/>
                <w:highlight w:val="none"/>
              </w:rPr>
            </w:pPr>
            <w:r>
              <w:rPr>
                <w:rFonts w:ascii="Wingdings 2" w:hAnsi="Wingdings 2" w:eastAsia="Wingdings 2" w:cs="Wingdings 2"/>
                <w:color w:val="000000"/>
                <w:szCs w:val="21"/>
                <w:highlight w:val="none"/>
              </w:rPr>
              <w:t xml:space="preserve">£</w:t>
            </w:r>
            <w:r>
              <w:rPr>
                <w:color w:val="000000"/>
                <w:szCs w:val="21"/>
                <w:highlight w:val="none"/>
              </w:rPr>
              <w:t xml:space="preserve">是                       </w:t>
            </w:r>
            <w:r>
              <w:rPr>
                <w:rFonts w:ascii="Wingdings 2" w:hAnsi="Wingdings 2" w:eastAsia="Wingdings 2" w:cs="Wingdings 2"/>
                <w:color w:val="000000"/>
                <w:szCs w:val="21"/>
                <w:highlight w:val="none"/>
              </w:rPr>
              <w:t xml:space="preserve">£</w:t>
            </w:r>
            <w:r>
              <w:rPr>
                <w:color w:val="000000"/>
                <w:szCs w:val="21"/>
                <w:highlight w:val="none"/>
              </w:rPr>
              <w:t xml:space="preserve">否</w:t>
            </w:r>
            <w:r>
              <w:rPr>
                <w:color w:val="000000"/>
                <w:szCs w:val="21"/>
                <w:highlight w:val="none"/>
              </w:rPr>
            </w:r>
            <w:r/>
          </w:p>
        </w:tc>
      </w:tr>
      <w:tr>
        <w:trPr>
          <w:cantSplit/>
          <w:trHeight w:val="389"/>
        </w:trPr>
        <w:tc>
          <w:tcPr>
            <w:gridSpan w:val="2"/>
            <w:tcW w:w="9850" w:type="dxa"/>
            <w:vAlign w:val="top"/>
            <w:textDirection w:val="lrTb"/>
            <w:noWrap w:val="false"/>
          </w:tcPr>
          <w:p>
            <w:pPr>
              <w:pStyle w:val="1086"/>
              <w:ind w:firstLine="105"/>
              <w:spacing w:line="480" w:lineRule="exact"/>
              <w:rPr>
                <w:color w:val="000000"/>
                <w:szCs w:val="21"/>
                <w:highlight w:val="none"/>
              </w:rPr>
            </w:pPr>
            <w:r>
              <w:rPr>
                <w:b/>
                <w:color w:val="000000"/>
                <w:szCs w:val="21"/>
                <w:highlight w:val="none"/>
              </w:rPr>
              <w:t xml:space="preserve">“是否属于小微型企业</w:t>
            </w:r>
            <w:r>
              <w:rPr>
                <w:b/>
                <w:color w:val="000000"/>
                <w:szCs w:val="21"/>
                <w:highlight w:val="none"/>
                <w:lang w:val="zh-CN"/>
              </w:rPr>
              <w:t xml:space="preserve">”栏内</w:t>
            </w:r>
            <w:r>
              <w:rPr>
                <w:b/>
                <w:color w:val="000000"/>
                <w:szCs w:val="21"/>
                <w:highlight w:val="none"/>
              </w:rPr>
              <w:t xml:space="preserve">请勾选</w:t>
            </w:r>
            <w:r>
              <w:rPr>
                <w:b/>
                <w:color w:val="000000"/>
                <w:szCs w:val="21"/>
                <w:highlight w:val="none"/>
                <w:lang w:val="zh-CN"/>
              </w:rPr>
              <w:t xml:space="preserve">“是”或“否”。如</w:t>
            </w:r>
            <w:r>
              <w:rPr>
                <w:b/>
                <w:color w:val="000000"/>
                <w:szCs w:val="21"/>
                <w:highlight w:val="none"/>
              </w:rPr>
              <w:t xml:space="preserve">勾选</w:t>
            </w:r>
            <w:r>
              <w:rPr>
                <w:b/>
                <w:color w:val="000000"/>
                <w:szCs w:val="21"/>
                <w:highlight w:val="none"/>
                <w:lang w:val="zh-CN"/>
              </w:rPr>
              <w:t xml:space="preserve">“是”，</w:t>
            </w:r>
            <w:r>
              <w:rPr>
                <w:b/>
                <w:color w:val="000000"/>
                <w:szCs w:val="21"/>
                <w:highlight w:val="none"/>
              </w:rPr>
              <w:t xml:space="preserve">投标人需同时提供附件六所要求的对应文件。</w:t>
            </w:r>
            <w:r>
              <w:rPr>
                <w:color w:val="000000"/>
                <w:szCs w:val="21"/>
                <w:highlight w:val="none"/>
              </w:rPr>
            </w:r>
            <w:r/>
          </w:p>
        </w:tc>
      </w:tr>
    </w:tbl>
    <w:p>
      <w:pPr>
        <w:pStyle w:val="1139"/>
        <w:ind w:firstLine="0"/>
        <w:rPr>
          <w:rFonts w:hint="eastAsia"/>
          <w:color w:val="000000"/>
          <w:highlight w:val="none"/>
        </w:rPr>
      </w:pPr>
      <w:r>
        <w:rPr>
          <w:rFonts w:hint="eastAsia"/>
          <w:color w:val="000000"/>
          <w:highlight w:val="none"/>
        </w:rPr>
      </w:r>
      <w:r/>
    </w:p>
    <w:p>
      <w:pPr>
        <w:pStyle w:val="1086"/>
        <w:spacing w:line="440" w:lineRule="exact"/>
        <w:rPr>
          <w:color w:val="000000"/>
          <w:szCs w:val="21"/>
          <w:highlight w:val="none"/>
        </w:rPr>
      </w:pPr>
      <w:r>
        <w:rPr>
          <w:color w:val="000000"/>
          <w:szCs w:val="21"/>
          <w:highlight w:val="none"/>
        </w:rPr>
        <w:t xml:space="preserve">投标人名称（公章）：</w:t>
      </w:r>
      <w:r>
        <w:rPr>
          <w:color w:val="000000"/>
          <w:szCs w:val="21"/>
          <w:highlight w:val="none"/>
        </w:rPr>
      </w:r>
      <w:r/>
    </w:p>
    <w:p>
      <w:pPr>
        <w:pStyle w:val="1139"/>
        <w:ind w:firstLine="0"/>
        <w:rPr>
          <w:rFonts w:hint="eastAsia" w:ascii="Times New Roman" w:eastAsia="宋体"/>
          <w:color w:val="000000"/>
          <w:sz w:val="21"/>
          <w:szCs w:val="21"/>
          <w:highlight w:val="none"/>
        </w:rPr>
      </w:pPr>
      <w:r>
        <w:rPr>
          <w:rFonts w:hint="eastAsia" w:ascii="Times New Roman" w:eastAsia="宋体"/>
          <w:color w:val="000000"/>
          <w:sz w:val="21"/>
          <w:szCs w:val="21"/>
          <w:highlight w:val="none"/>
        </w:rPr>
        <w:t xml:space="preserve">日期：</w:t>
      </w:r>
      <w:r>
        <w:rPr>
          <w:rFonts w:hint="eastAsia" w:ascii="Times New Roman" w:eastAsia="宋体"/>
          <w:color w:val="000000"/>
          <w:sz w:val="21"/>
          <w:szCs w:val="21"/>
          <w:highlight w:val="none"/>
        </w:rPr>
      </w:r>
      <w:r/>
    </w:p>
    <w:p>
      <w:pPr>
        <w:pStyle w:val="1086"/>
        <w:rPr>
          <w:rFonts w:eastAsia="黑体"/>
          <w:bCs/>
          <w:color w:val="000000"/>
          <w:sz w:val="28"/>
          <w:szCs w:val="28"/>
          <w:highlight w:val="none"/>
        </w:rPr>
      </w:pPr>
      <w:r>
        <w:rPr>
          <w:rFonts w:eastAsia="黑体"/>
          <w:bCs/>
          <w:color w:val="000000"/>
          <w:sz w:val="28"/>
          <w:szCs w:val="28"/>
          <w:highlight w:val="none"/>
        </w:rPr>
      </w:r>
      <w:r/>
    </w:p>
    <w:p>
      <w:pPr>
        <w:pStyle w:val="1086"/>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86"/>
        <w:rPr>
          <w:rFonts w:eastAsia="黑体"/>
          <w:bCs/>
          <w:color w:val="000000"/>
          <w:sz w:val="28"/>
          <w:szCs w:val="28"/>
          <w:highlight w:val="none"/>
        </w:rPr>
      </w:pPr>
      <w:r>
        <w:rPr>
          <w:rFonts w:eastAsia="黑体"/>
          <w:bCs/>
          <w:color w:val="000000"/>
          <w:sz w:val="28"/>
          <w:szCs w:val="28"/>
          <w:highlight w:val="none"/>
        </w:rPr>
      </w:r>
      <w:r/>
    </w:p>
    <w:p>
      <w:pPr>
        <w:pStyle w:val="1086"/>
        <w:rPr>
          <w:color w:val="000000"/>
          <w:highlight w:val="none"/>
        </w:rPr>
      </w:pPr>
      <w:r>
        <w:rPr>
          <w:color w:val="000000"/>
          <w:highlight w:val="none"/>
        </w:rPr>
      </w:r>
      <w:r/>
    </w:p>
    <w:p>
      <w:pPr>
        <w:pStyle w:val="1113"/>
        <w:ind w:left="1260"/>
        <w:rPr>
          <w:color w:val="000000"/>
          <w:highlight w:val="none"/>
        </w:rPr>
      </w:pPr>
      <w:r>
        <w:rPr>
          <w:color w:val="000000"/>
          <w:highlight w:val="none"/>
        </w:rPr>
      </w:r>
      <w:r/>
    </w:p>
    <w:p>
      <w:pPr>
        <w:pStyle w:val="1086"/>
        <w:rPr>
          <w:color w:val="000000"/>
          <w:highlight w:val="none"/>
        </w:rPr>
      </w:pPr>
      <w:r>
        <w:rPr>
          <w:color w:val="000000"/>
          <w:highlight w:val="none"/>
        </w:rPr>
      </w:r>
      <w:r/>
    </w:p>
    <w:p>
      <w:pPr>
        <w:pStyle w:val="1113"/>
        <w:ind w:left="1260"/>
        <w:rPr>
          <w:color w:val="000000"/>
          <w:highlight w:val="none"/>
        </w:rPr>
      </w:pPr>
      <w:r>
        <w:rPr>
          <w:color w:val="000000"/>
          <w:highlight w:val="none"/>
        </w:rPr>
      </w:r>
      <w:r/>
    </w:p>
    <w:p>
      <w:pPr>
        <w:pStyle w:val="1086"/>
        <w:rPr>
          <w:color w:val="000000"/>
          <w:highlight w:val="none"/>
        </w:rPr>
      </w:pPr>
      <w:r>
        <w:rPr>
          <w:color w:val="000000"/>
          <w:highlight w:val="none"/>
        </w:rPr>
      </w:r>
      <w:r/>
    </w:p>
    <w:p>
      <w:pPr>
        <w:pStyle w:val="1113"/>
        <w:ind w:left="1260"/>
        <w:rPr>
          <w:color w:val="000000"/>
          <w:highlight w:val="none"/>
        </w:rPr>
      </w:pPr>
      <w:r>
        <w:rPr>
          <w:color w:val="000000"/>
          <w:highlight w:val="none"/>
        </w:rPr>
      </w:r>
      <w:r/>
    </w:p>
    <w:p>
      <w:pPr>
        <w:pStyle w:val="1086"/>
        <w:spacing w:line="360" w:lineRule="auto"/>
        <w:rPr>
          <w:rFonts w:hint="eastAsia"/>
          <w:bCs/>
          <w:color w:val="000000"/>
          <w:sz w:val="24"/>
          <w:szCs w:val="24"/>
          <w:highlight w:val="none"/>
        </w:rPr>
      </w:pPr>
      <w:r>
        <w:rPr>
          <w:rFonts w:eastAsia="黑体"/>
          <w:bCs/>
          <w:color w:val="000000"/>
          <w:sz w:val="24"/>
          <w:szCs w:val="24"/>
          <w:highlight w:val="none"/>
        </w:rPr>
        <w:br w:type="page" w:clear="all"/>
      </w:r>
      <w:r>
        <w:rPr>
          <w:rFonts w:hint="eastAsia" w:ascii="宋体" w:hAnsi="宋体" w:cs="宋体"/>
          <w:b/>
          <w:color w:val="000000"/>
          <w:sz w:val="24"/>
          <w:szCs w:val="24"/>
          <w:highlight w:val="none"/>
        </w:rPr>
        <w:t xml:space="preserve">（四）分项报价表 (格式)：</w:t>
      </w:r>
      <w:r>
        <w:rPr>
          <w:rFonts w:hint="eastAsia"/>
          <w:bCs/>
          <w:color w:val="000000"/>
          <w:sz w:val="24"/>
          <w:szCs w:val="24"/>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分项报价表</w:t>
      </w:r>
      <w:r>
        <w:rPr>
          <w:rFonts w:hint="eastAsia" w:ascii="宋体" w:hAnsi="宋体" w:cs="宋体"/>
          <w:b/>
          <w:color w:val="000000"/>
          <w:sz w:val="36"/>
          <w:szCs w:val="28"/>
          <w:highlight w:val="none"/>
        </w:rPr>
      </w:r>
      <w:r/>
    </w:p>
    <w:p>
      <w:pPr>
        <w:pStyle w:val="1111"/>
        <w:rPr>
          <w:rFonts w:hint="eastAsia"/>
          <w:color w:val="000000"/>
          <w:highlight w:val="none"/>
        </w:rPr>
      </w:pPr>
      <w:r>
        <w:rPr>
          <w:rFonts w:hint="eastAsia"/>
          <w:color w:val="000000"/>
          <w:highlight w:val="none"/>
        </w:rPr>
      </w:r>
      <w:r/>
    </w:p>
    <w:p>
      <w:pPr>
        <w:pStyle w:val="108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投标人名称（盖章）                              招标编号：</w:t>
      </w:r>
      <w:r>
        <w:rPr>
          <w:rFonts w:hint="eastAsia" w:ascii="宋体" w:hAnsi="宋体" w:cs="宋体"/>
          <w:color w:val="000000"/>
          <w:szCs w:val="21"/>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85"/>
        <w:gridCol w:w="985"/>
        <w:gridCol w:w="985"/>
        <w:gridCol w:w="985"/>
        <w:gridCol w:w="985"/>
        <w:gridCol w:w="985"/>
        <w:gridCol w:w="985"/>
        <w:gridCol w:w="985"/>
        <w:gridCol w:w="985"/>
        <w:gridCol w:w="985"/>
      </w:tblGrid>
      <w:tr>
        <w:trPr>
          <w:trHeight w:val="570"/>
        </w:trPr>
        <w:tc>
          <w:tcPr>
            <w:tcBorders>
              <w:top w:val="single" w:color="000000" w:sz="8"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产品名称</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品牌</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规格型号</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产地</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单价（元）</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val="false"/>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合计（元）</w:t>
            </w:r>
            <w:r>
              <w:rPr>
                <w:rFonts w:hint="eastAsia" w:ascii="宋体" w:hAnsi="宋体"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备注</w:t>
            </w:r>
            <w:r>
              <w:rPr>
                <w:rFonts w:hint="eastAsia" w:ascii="宋体" w:hAnsi="宋体" w:cs="宋体"/>
                <w:color w:val="000000"/>
                <w:szCs w:val="21"/>
                <w:highlight w:val="none"/>
              </w:rPr>
            </w:r>
            <w:r/>
          </w:p>
        </w:tc>
      </w:tr>
      <w:tr>
        <w:trPr>
          <w:trHeight w:val="310"/>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8"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7</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8</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9</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10</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95"/>
        </w:trPr>
        <w:tc>
          <w:tcPr>
            <w:tcBorders>
              <w:top w:val="none" w:color="000000" w:sz="4" w:space="0"/>
              <w:left w:val="single" w:color="000000" w:sz="8" w:space="0"/>
              <w:bottom w:val="single" w:color="000000" w:sz="8" w:space="0"/>
              <w:right w:val="single" w:color="000000" w:sz="8" w:space="0"/>
            </w:tcBorders>
            <w:tcW w:w="500" w:type="dxa"/>
            <w:vAlign w:val="center"/>
            <w:textDirection w:val="lrTb"/>
            <w:noWrap/>
          </w:tcPr>
          <w:p>
            <w:pPr>
              <w:pStyle w:val="1086"/>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4" w:space="0"/>
              <w:left w:val="none" w:color="000000" w:sz="4" w:space="0"/>
              <w:bottom w:val="single" w:color="000000" w:sz="8" w:space="0"/>
              <w:right w:val="single" w:color="000000" w:sz="8" w:space="0"/>
            </w:tcBorders>
            <w:tcW w:w="500" w:type="dxa"/>
            <w:vAlign w:val="center"/>
            <w:textDirection w:val="lrTb"/>
            <w:noWrap/>
          </w:tcPr>
          <w:p>
            <w:pPr>
              <w:pStyle w:val="1086"/>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310"/>
        </w:trPr>
        <w:tc>
          <w:tcPr>
            <w:gridSpan w:val="10"/>
            <w:tcBorders>
              <w:top w:val="none" w:color="000000" w:sz="4" w:space="0"/>
              <w:left w:val="single" w:color="000000" w:sz="8" w:space="0"/>
              <w:bottom w:val="single" w:color="000000" w:sz="8" w:space="0"/>
              <w:right w:val="single" w:color="000000" w:sz="8" w:space="0"/>
            </w:tcBorders>
            <w:tcW w:w="9850" w:type="dxa"/>
            <w:vAlign w:val="center"/>
            <w:textDirection w:val="lrTb"/>
            <w:noWrap/>
          </w:tcPr>
          <w:p>
            <w:pPr>
              <w:pStyle w:val="1086"/>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合计</w:t>
            </w:r>
            <w:r>
              <w:rPr>
                <w:rFonts w:hint="eastAsia" w:ascii="宋体" w:hAnsi="宋体" w:cs="宋体"/>
                <w:color w:val="000000"/>
                <w:sz w:val="22"/>
                <w:szCs w:val="22"/>
                <w:highlight w:val="none"/>
              </w:rPr>
            </w:r>
            <w:r/>
          </w:p>
        </w:tc>
      </w:tr>
    </w:tbl>
    <w:p>
      <w:pPr>
        <w:pStyle w:val="1086"/>
        <w:spacing w:line="2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86"/>
        <w:spacing w:line="2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法定代表人或法定代表人授权代表签字或盖章：</w:t>
      </w: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296"/>
        <w:ind w:firstLine="0"/>
        <w:rPr>
          <w:rFonts w:hint="eastAsia" w:eastAsia="黑体"/>
          <w:bCs/>
          <w:color w:val="000000"/>
          <w:sz w:val="24"/>
          <w:szCs w:val="24"/>
          <w:highlight w:val="none"/>
        </w:rPr>
      </w:pPr>
      <w:r>
        <w:rPr>
          <w:rFonts w:hint="eastAsia" w:eastAsia="黑体"/>
          <w:bCs/>
          <w:color w:val="000000"/>
          <w:sz w:val="24"/>
          <w:szCs w:val="24"/>
          <w:highlight w:val="none"/>
        </w:rPr>
        <w:br w:type="page" w:clear="all"/>
      </w:r>
      <w:r>
        <w:rPr>
          <w:rFonts w:hint="eastAsia" w:ascii="宋体" w:hAnsi="宋体" w:eastAsia="宋体" w:cs="宋体"/>
          <w:b/>
          <w:color w:val="000000"/>
          <w:sz w:val="24"/>
          <w:szCs w:val="24"/>
          <w:highlight w:val="none"/>
        </w:rPr>
        <w:t xml:space="preserve">（五）商务响应偏离表（格式）：</w:t>
      </w:r>
      <w:r>
        <w:rPr>
          <w:rFonts w:hint="eastAsia" w:eastAsia="黑体"/>
          <w:bCs/>
          <w:color w:val="000000"/>
          <w:sz w:val="24"/>
          <w:szCs w:val="24"/>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商务响应偏离表</w:t>
      </w:r>
      <w:r>
        <w:rPr>
          <w:rFonts w:hint="eastAsia" w:ascii="宋体" w:hAnsi="宋体" w:cs="宋体"/>
          <w:b/>
          <w:color w:val="000000"/>
          <w:sz w:val="36"/>
          <w:szCs w:val="28"/>
          <w:highlight w:val="none"/>
        </w:rPr>
      </w:r>
      <w:r/>
    </w:p>
    <w:p>
      <w:pPr>
        <w:pStyle w:val="1086"/>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pStyle w:val="1086"/>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招标编号：</w:t>
      </w:r>
      <w:r>
        <w:rPr>
          <w:rFonts w:hint="eastAsia" w:ascii="宋体" w:hAnsi="宋体"/>
          <w:bCs/>
          <w:color w:val="000000"/>
          <w:szCs w:val="21"/>
          <w:highlight w:val="none"/>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trHeight w:val="855"/>
        </w:trPr>
        <w:tc>
          <w:tcPr>
            <w:tcW w:w="934" w:type="dxa"/>
            <w:vAlign w:val="center"/>
            <w:textDirection w:val="lrTb"/>
            <w:noWrap w:val="false"/>
          </w:tcPr>
          <w:p>
            <w:pPr>
              <w:pStyle w:val="1086"/>
              <w:jc w:val="left"/>
              <w:spacing w:line="360" w:lineRule="auto"/>
              <w:rPr>
                <w:rFonts w:ascii="宋体" w:hAnsi="宋体"/>
                <w:bCs/>
                <w:color w:val="000000"/>
                <w:szCs w:val="21"/>
                <w:highlight w:val="none"/>
              </w:rPr>
              <w:framePr w:vAnchor="margin" w:hAnchor="page" w:xAlign="center" w:y="1"/>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2051"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hint="eastAsia" w:ascii="宋体" w:hAnsi="宋体"/>
                <w:bCs/>
                <w:color w:val="000000"/>
                <w:szCs w:val="21"/>
                <w:highlight w:val="none"/>
              </w:rPr>
              <w:t xml:space="preserve">招标文件条目号</w:t>
            </w:r>
            <w:r>
              <w:rPr>
                <w:rFonts w:ascii="宋体" w:hAnsi="宋体"/>
                <w:bCs/>
                <w:color w:val="000000"/>
                <w:szCs w:val="21"/>
                <w:highlight w:val="none"/>
              </w:rPr>
            </w:r>
            <w:r/>
          </w:p>
        </w:tc>
        <w:tc>
          <w:tcPr>
            <w:tcW w:w="2970" w:type="dxa"/>
            <w:vAlign w:val="center"/>
            <w:textDirection w:val="lrTb"/>
            <w:noWrap w:val="false"/>
          </w:tcPr>
          <w:p>
            <w:pPr>
              <w:pStyle w:val="1086"/>
              <w:jc w:val="center"/>
              <w:spacing w:line="360" w:lineRule="auto"/>
              <w:rPr>
                <w:rFonts w:hint="eastAsia" w:ascii="宋体" w:hAnsi="宋体"/>
                <w:bCs/>
                <w:color w:val="000000"/>
                <w:szCs w:val="21"/>
                <w:highlight w:val="none"/>
              </w:rPr>
              <w:framePr w:vAnchor="margin" w:hAnchor="page" w:xAlign="center" w:y="1"/>
            </w:pPr>
            <w:r>
              <w:rPr>
                <w:rFonts w:hint="eastAsia" w:ascii="宋体" w:hAnsi="宋体"/>
                <w:bCs/>
                <w:color w:val="000000"/>
                <w:szCs w:val="21"/>
                <w:highlight w:val="none"/>
              </w:rPr>
              <w:t xml:space="preserve">招标文件要求的商务条款</w:t>
            </w:r>
            <w:r>
              <w:rPr>
                <w:rFonts w:hint="eastAsia" w:ascii="宋体" w:hAnsi="宋体"/>
                <w:bCs/>
                <w:color w:val="000000"/>
                <w:szCs w:val="21"/>
                <w:highlight w:val="none"/>
              </w:rPr>
            </w:r>
            <w:r/>
          </w:p>
        </w:tc>
        <w:tc>
          <w:tcPr>
            <w:tcW w:w="2149"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hint="eastAsia" w:ascii="宋体" w:hAnsi="宋体"/>
                <w:bCs/>
                <w:color w:val="000000"/>
                <w:szCs w:val="21"/>
                <w:highlight w:val="none"/>
              </w:rPr>
              <w:t xml:space="preserve">投标文件响应情况</w:t>
            </w:r>
            <w:r>
              <w:rPr>
                <w:rFonts w:ascii="宋体" w:hAnsi="宋体"/>
                <w:bCs/>
                <w:color w:val="000000"/>
                <w:szCs w:val="21"/>
                <w:highlight w:val="none"/>
              </w:rPr>
            </w:r>
            <w:r/>
          </w:p>
        </w:tc>
        <w:tc>
          <w:tcPr>
            <w:tcW w:w="1335"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hint="eastAsia" w:ascii="宋体" w:hAnsi="宋体"/>
                <w:bCs/>
                <w:color w:val="000000"/>
                <w:szCs w:val="21"/>
                <w:highlight w:val="none"/>
              </w:rPr>
              <w:t xml:space="preserve">偏离/响应</w:t>
            </w:r>
            <w:r>
              <w:rPr>
                <w:rFonts w:ascii="宋体" w:hAnsi="宋体"/>
                <w:bCs/>
                <w:color w:val="000000"/>
                <w:szCs w:val="21"/>
                <w:highlight w:val="none"/>
              </w:rPr>
            </w:r>
            <w:r/>
          </w:p>
        </w:tc>
      </w:tr>
      <w:tr>
        <w:trPr>
          <w:trHeight w:val="478"/>
        </w:trPr>
        <w:tc>
          <w:tcPr>
            <w:tcW w:w="934" w:type="dxa"/>
            <w:vAlign w:val="center"/>
            <w:textDirection w:val="lrTb"/>
            <w:noWrap w:val="false"/>
          </w:tcPr>
          <w:p>
            <w:pPr>
              <w:pStyle w:val="1086"/>
              <w:jc w:val="left"/>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051"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970"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149"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335"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r>
      <w:tr>
        <w:trPr>
          <w:trHeight w:val="478"/>
        </w:trPr>
        <w:tc>
          <w:tcPr>
            <w:tcW w:w="934"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051"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970"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149"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335"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r>
      <w:tr>
        <w:trPr>
          <w:trHeight w:val="478"/>
        </w:trPr>
        <w:tc>
          <w:tcPr>
            <w:tcW w:w="934"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051"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970"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149"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335"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r>
      <w:tr>
        <w:trPr>
          <w:trHeight w:val="478"/>
        </w:trPr>
        <w:tc>
          <w:tcPr>
            <w:tcW w:w="934"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051"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970"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149"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335"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r>
      <w:tr>
        <w:trPr>
          <w:trHeight w:val="478"/>
        </w:trPr>
        <w:tc>
          <w:tcPr>
            <w:tcW w:w="934"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051"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970"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149"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335"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r>
      <w:tr>
        <w:trPr>
          <w:trHeight w:val="478"/>
        </w:trPr>
        <w:tc>
          <w:tcPr>
            <w:tcW w:w="934" w:type="dxa"/>
            <w:vAlign w:val="center"/>
            <w:textDirection w:val="lrTb"/>
            <w:noWrap w:val="false"/>
          </w:tcPr>
          <w:p>
            <w:pPr>
              <w:pStyle w:val="1086"/>
              <w:jc w:val="center"/>
              <w:spacing w:line="360" w:lineRule="auto"/>
              <w:rPr>
                <w:rFonts w:hint="eastAsia" w:ascii="宋体" w:hAnsi="宋体"/>
                <w:bCs/>
                <w:color w:val="000000"/>
                <w:szCs w:val="21"/>
                <w:highlight w:val="none"/>
              </w:rPr>
              <w:framePr w:vAnchor="margin" w:hAnchor="page" w:xAlign="center" w:y="1"/>
            </w:pPr>
            <w:r>
              <w:rPr>
                <w:rFonts w:hint="eastAsia" w:ascii="宋体" w:hAnsi="宋体"/>
                <w:bCs/>
                <w:color w:val="000000"/>
                <w:szCs w:val="21"/>
                <w:highlight w:val="none"/>
              </w:rPr>
            </w:r>
            <w:r/>
          </w:p>
        </w:tc>
        <w:tc>
          <w:tcPr>
            <w:tcW w:w="2051"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970"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149"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335"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r>
      <w:tr>
        <w:trPr>
          <w:trHeight w:val="495"/>
        </w:trPr>
        <w:tc>
          <w:tcPr>
            <w:tcW w:w="934" w:type="dxa"/>
            <w:vAlign w:val="center"/>
            <w:textDirection w:val="lrTb"/>
            <w:noWrap w:val="false"/>
          </w:tcPr>
          <w:p>
            <w:pPr>
              <w:pStyle w:val="1086"/>
              <w:jc w:val="center"/>
              <w:spacing w:line="360" w:lineRule="auto"/>
              <w:rPr>
                <w:rFonts w:hint="eastAsia" w:ascii="宋体" w:hAnsi="宋体"/>
                <w:bCs/>
                <w:color w:val="000000"/>
                <w:szCs w:val="21"/>
                <w:highlight w:val="none"/>
              </w:rPr>
              <w:framePr w:vAnchor="margin" w:hAnchor="page" w:xAlign="center" w:y="1"/>
            </w:pPr>
            <w:r>
              <w:rPr>
                <w:rFonts w:hint="eastAsia" w:ascii="宋体" w:hAnsi="宋体"/>
                <w:bCs/>
                <w:color w:val="000000"/>
                <w:szCs w:val="21"/>
                <w:highlight w:val="none"/>
              </w:rPr>
            </w:r>
            <w:r/>
          </w:p>
        </w:tc>
        <w:tc>
          <w:tcPr>
            <w:tcW w:w="2051"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970"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2149"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c>
          <w:tcPr>
            <w:tcW w:w="1335" w:type="dxa"/>
            <w:vAlign w:val="center"/>
            <w:textDirection w:val="lrTb"/>
            <w:noWrap w:val="false"/>
          </w:tcPr>
          <w:p>
            <w:pPr>
              <w:pStyle w:val="1086"/>
              <w:jc w:val="center"/>
              <w:spacing w:line="360" w:lineRule="auto"/>
              <w:rPr>
                <w:rFonts w:ascii="宋体" w:hAnsi="宋体"/>
                <w:bCs/>
                <w:color w:val="000000"/>
                <w:szCs w:val="21"/>
                <w:highlight w:val="none"/>
              </w:rPr>
              <w:framePr w:vAnchor="margin" w:hAnchor="page" w:xAlign="center" w:y="1"/>
            </w:pPr>
            <w:r>
              <w:rPr>
                <w:rFonts w:ascii="宋体" w:hAnsi="宋体"/>
                <w:bCs/>
                <w:color w:val="000000"/>
                <w:szCs w:val="21"/>
                <w:highlight w:val="none"/>
              </w:rPr>
            </w:r>
            <w:r/>
          </w:p>
        </w:tc>
      </w:tr>
    </w:tbl>
    <w:p>
      <w:pPr>
        <w:pStyle w:val="1297"/>
        <w:ind w:firstLine="0"/>
        <w:spacing w:line="360" w:lineRule="auto"/>
        <w:rPr>
          <w:rFonts w:hint="eastAsia"/>
          <w:color w:val="000000"/>
          <w:szCs w:val="21"/>
          <w:highlight w:val="none"/>
        </w:rPr>
      </w:pPr>
      <w:r>
        <w:rPr>
          <w:rFonts w:hint="eastAsia"/>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投标人名称（盖章）：</w:t>
      </w: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日期：</w:t>
      </w:r>
      <w:r>
        <w:rPr>
          <w:rFonts w:hint="eastAsia" w:ascii="Arial" w:hAnsi="Arial" w:cs="Arial"/>
          <w:color w:val="000000"/>
          <w:szCs w:val="21"/>
          <w:highlight w:val="none"/>
        </w:rPr>
      </w:r>
      <w:r/>
    </w:p>
    <w:p>
      <w:pPr>
        <w:pStyle w:val="1086"/>
        <w:spacing w:line="440" w:lineRule="exact"/>
        <w:rPr>
          <w:rFonts w:ascii="Arial" w:hAnsi="Arial" w:cs="Arial"/>
          <w:color w:val="000000"/>
          <w:szCs w:val="21"/>
          <w:highlight w:val="none"/>
        </w:rPr>
      </w:pPr>
      <w:r>
        <w:rPr>
          <w:rFonts w:ascii="Arial" w:hAnsi="Arial" w:cs="Arial"/>
          <w:color w:val="000000"/>
          <w:szCs w:val="21"/>
          <w:highlight w:val="none"/>
        </w:rPr>
      </w:r>
      <w:r/>
    </w:p>
    <w:p>
      <w:pPr>
        <w:pStyle w:val="108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color w:val="000000"/>
          <w:szCs w:val="21"/>
          <w:highlight w:val="none"/>
        </w:rPr>
        <w:t xml:space="preserve">投标人应对招标文件《采购需求》二）商务要求的内容给予逐条响应，若漏项或不逐条应答视为</w:t>
      </w:r>
      <w:r>
        <w:rPr>
          <w:rFonts w:hint="eastAsia" w:ascii="宋体" w:hAnsi="宋体" w:cs="宋体"/>
          <w:color w:val="000000"/>
          <w:szCs w:val="21"/>
          <w:highlight w:val="none"/>
        </w:rPr>
        <w:t xml:space="preserve">完全响应招标文件的商务条款要求。</w:t>
      </w:r>
      <w:r>
        <w:rPr>
          <w:rFonts w:hint="eastAsia" w:ascii="宋体" w:hAnsi="宋体" w:cs="宋体"/>
          <w:color w:val="000000"/>
          <w:szCs w:val="21"/>
          <w:highlight w:val="none"/>
        </w:rPr>
      </w:r>
      <w:r/>
    </w:p>
    <w:p>
      <w:pPr>
        <w:pStyle w:val="1086"/>
        <w:numPr>
          <w:ilvl w:val="0"/>
          <w:numId w:val="8"/>
        </w:num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hint="eastAsia" w:ascii="宋体" w:hAnsi="宋体" w:cs="宋体"/>
          <w:color w:val="000000"/>
          <w:szCs w:val="21"/>
          <w:highlight w:val="none"/>
        </w:rPr>
      </w:r>
      <w:r/>
    </w:p>
    <w:p>
      <w:pPr>
        <w:pStyle w:val="108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1111"/>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86"/>
        <w:jc w:val="left"/>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（六）技术响应偏离表（格式）：</w:t>
      </w:r>
      <w:r>
        <w:rPr>
          <w:rFonts w:hint="eastAsia" w:ascii="宋体" w:hAnsi="宋体" w:cs="宋体"/>
          <w:b/>
          <w:color w:val="000000"/>
          <w:sz w:val="24"/>
          <w:szCs w:val="24"/>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1086"/>
        <w:jc w:val="center"/>
        <w:spacing w:line="360" w:lineRule="auto"/>
        <w:rPr>
          <w:rFonts w:ascii="宋体" w:hAnsi="宋体" w:cs="宋体"/>
          <w:b/>
          <w:color w:val="000000"/>
          <w:sz w:val="36"/>
          <w:szCs w:val="28"/>
          <w:highlight w:val="none"/>
        </w:rPr>
      </w:pPr>
      <w:r>
        <w:rPr>
          <w:rFonts w:hint="eastAsia" w:ascii="宋体" w:hAnsi="宋体" w:cs="宋体"/>
          <w:b/>
          <w:color w:val="000000"/>
          <w:sz w:val="36"/>
          <w:szCs w:val="28"/>
          <w:highlight w:val="none"/>
        </w:rPr>
        <w:t xml:space="preserve">技术响应偏离表</w:t>
      </w:r>
      <w:r>
        <w:rPr>
          <w:rFonts w:ascii="宋体" w:hAnsi="宋体" w:cs="宋体"/>
          <w:b/>
          <w:color w:val="000000"/>
          <w:sz w:val="36"/>
          <w:szCs w:val="28"/>
          <w:highlight w:val="none"/>
        </w:rPr>
      </w:r>
      <w:r/>
    </w:p>
    <w:p>
      <w:pPr>
        <w:pStyle w:val="1086"/>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招标编号：</w:t>
      </w:r>
      <w:r>
        <w:rPr>
          <w:rFonts w:hint="eastAsia" w:ascii="宋体" w:hAnsi="宋体"/>
          <w:bCs/>
          <w:color w:val="000000"/>
          <w:szCs w:val="21"/>
          <w:highlight w:val="none"/>
        </w:rPr>
      </w:r>
      <w:r/>
    </w:p>
    <w:tbl>
      <w:tblPr>
        <w:tblW w:w="82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trHeight w:val="855"/>
        </w:trPr>
        <w:tc>
          <w:tcPr>
            <w:tcW w:w="959" w:type="dxa"/>
            <w:vAlign w:val="center"/>
            <w:textDirection w:val="lrTb"/>
            <w:noWrap w:val="false"/>
          </w:tcPr>
          <w:p>
            <w:pPr>
              <w:pStyle w:val="1086"/>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序号</w:t>
            </w:r>
            <w:r>
              <w:rPr>
                <w:rFonts w:ascii="宋体" w:hAnsi="宋体"/>
                <w:bCs/>
                <w:color w:val="000000"/>
                <w:szCs w:val="21"/>
                <w:highlight w:val="none"/>
              </w:rPr>
            </w:r>
            <w:r/>
          </w:p>
        </w:tc>
        <w:tc>
          <w:tcPr>
            <w:tcW w:w="1577" w:type="dxa"/>
            <w:vAlign w:val="center"/>
            <w:textDirection w:val="lrTb"/>
            <w:noWrap w:val="false"/>
          </w:tcPr>
          <w:p>
            <w:pPr>
              <w:pStyle w:val="1086"/>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招标文件条目号</w:t>
            </w:r>
            <w:r>
              <w:rPr>
                <w:rFonts w:ascii="宋体" w:hAnsi="宋体"/>
                <w:bCs/>
                <w:color w:val="000000"/>
                <w:szCs w:val="21"/>
                <w:highlight w:val="none"/>
              </w:rPr>
            </w:r>
            <w:r/>
          </w:p>
        </w:tc>
        <w:tc>
          <w:tcPr>
            <w:tcW w:w="1978" w:type="dxa"/>
            <w:vAlign w:val="center"/>
            <w:textDirection w:val="lrTb"/>
            <w:noWrap w:val="false"/>
          </w:tcPr>
          <w:p>
            <w:pPr>
              <w:pStyle w:val="1086"/>
              <w:jc w:val="center"/>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招标要求规格</w:t>
            </w:r>
            <w:r>
              <w:rPr>
                <w:rFonts w:hint="eastAsia" w:ascii="宋体" w:hAnsi="宋体"/>
                <w:bCs/>
                <w:color w:val="000000"/>
                <w:szCs w:val="21"/>
                <w:highlight w:val="none"/>
              </w:rPr>
            </w:r>
            <w:r/>
          </w:p>
        </w:tc>
        <w:tc>
          <w:tcPr>
            <w:tcW w:w="2229" w:type="dxa"/>
            <w:vAlign w:val="center"/>
            <w:textDirection w:val="lrTb"/>
            <w:noWrap w:val="false"/>
          </w:tcPr>
          <w:p>
            <w:pPr>
              <w:pStyle w:val="1086"/>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投标文件响应情况</w:t>
            </w:r>
            <w:r>
              <w:rPr>
                <w:rFonts w:ascii="宋体" w:hAnsi="宋体"/>
                <w:bCs/>
                <w:color w:val="000000"/>
                <w:szCs w:val="21"/>
                <w:highlight w:val="none"/>
              </w:rPr>
            </w:r>
            <w:r/>
          </w:p>
        </w:tc>
        <w:tc>
          <w:tcPr>
            <w:tcW w:w="1516" w:type="dxa"/>
            <w:vAlign w:val="center"/>
            <w:textDirection w:val="lrTb"/>
            <w:noWrap w:val="false"/>
          </w:tcPr>
          <w:p>
            <w:pPr>
              <w:pStyle w:val="1086"/>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偏离/响应</w:t>
            </w:r>
            <w:r>
              <w:rPr>
                <w:rFonts w:ascii="宋体" w:hAnsi="宋体"/>
                <w:bCs/>
                <w:color w:val="000000"/>
                <w:szCs w:val="21"/>
                <w:highlight w:val="none"/>
              </w:rPr>
            </w:r>
            <w:r/>
          </w:p>
        </w:tc>
      </w:tr>
      <w:tr>
        <w:trPr>
          <w:trHeight w:val="478"/>
        </w:trPr>
        <w:tc>
          <w:tcPr>
            <w:tcW w:w="959" w:type="dxa"/>
            <w:vAlign w:val="center"/>
            <w:textDirection w:val="lrTb"/>
            <w:noWrap w:val="false"/>
          </w:tcPr>
          <w:p>
            <w:pPr>
              <w:pStyle w:val="1086"/>
              <w:jc w:val="left"/>
              <w:spacing w:line="360" w:lineRule="auto"/>
              <w:rPr>
                <w:rFonts w:ascii="宋体" w:hAnsi="宋体"/>
                <w:bCs/>
                <w:color w:val="000000"/>
                <w:szCs w:val="21"/>
                <w:highlight w:val="none"/>
              </w:rPr>
            </w:pPr>
            <w:r>
              <w:rPr>
                <w:rFonts w:ascii="宋体" w:hAnsi="宋体"/>
                <w:bCs/>
                <w:color w:val="000000"/>
                <w:szCs w:val="21"/>
                <w:highlight w:val="none"/>
              </w:rPr>
            </w:r>
            <w:r/>
          </w:p>
        </w:tc>
        <w:tc>
          <w:tcPr>
            <w:tcW w:w="1577"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78"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222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16"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r>
      <w:tr>
        <w:trPr>
          <w:trHeight w:val="478"/>
        </w:trPr>
        <w:tc>
          <w:tcPr>
            <w:tcW w:w="95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77"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78"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222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16"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r>
      <w:tr>
        <w:trPr>
          <w:trHeight w:val="478"/>
        </w:trPr>
        <w:tc>
          <w:tcPr>
            <w:tcW w:w="95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77"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78"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222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16"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r>
      <w:tr>
        <w:trPr>
          <w:trHeight w:val="478"/>
        </w:trPr>
        <w:tc>
          <w:tcPr>
            <w:tcW w:w="95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77"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78"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222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16"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r>
      <w:tr>
        <w:trPr>
          <w:trHeight w:val="478"/>
        </w:trPr>
        <w:tc>
          <w:tcPr>
            <w:tcW w:w="95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77"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78"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222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16"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r>
      <w:tr>
        <w:trPr>
          <w:trHeight w:val="478"/>
        </w:trPr>
        <w:tc>
          <w:tcPr>
            <w:tcW w:w="959" w:type="dxa"/>
            <w:vAlign w:val="center"/>
            <w:textDirection w:val="lrTb"/>
            <w:noWrap w:val="false"/>
          </w:tcPr>
          <w:p>
            <w:pPr>
              <w:pStyle w:val="1086"/>
              <w:jc w:val="center"/>
              <w:spacing w:line="360" w:lineRule="auto"/>
              <w:rPr>
                <w:rFonts w:hint="eastAsia" w:ascii="宋体" w:hAnsi="宋体"/>
                <w:bCs/>
                <w:color w:val="000000"/>
                <w:szCs w:val="21"/>
                <w:highlight w:val="none"/>
              </w:rPr>
            </w:pPr>
            <w:r>
              <w:rPr>
                <w:rFonts w:hint="eastAsia" w:ascii="宋体" w:hAnsi="宋体"/>
                <w:bCs/>
                <w:color w:val="000000"/>
                <w:szCs w:val="21"/>
                <w:highlight w:val="none"/>
              </w:rPr>
            </w:r>
            <w:r/>
          </w:p>
        </w:tc>
        <w:tc>
          <w:tcPr>
            <w:tcW w:w="1577"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78"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222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16"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r>
      <w:tr>
        <w:trPr>
          <w:trHeight w:val="495"/>
        </w:trPr>
        <w:tc>
          <w:tcPr>
            <w:tcW w:w="959" w:type="dxa"/>
            <w:vAlign w:val="center"/>
            <w:textDirection w:val="lrTb"/>
            <w:noWrap w:val="false"/>
          </w:tcPr>
          <w:p>
            <w:pPr>
              <w:pStyle w:val="1086"/>
              <w:jc w:val="center"/>
              <w:spacing w:line="360" w:lineRule="auto"/>
              <w:rPr>
                <w:rFonts w:hint="eastAsia" w:ascii="宋体" w:hAnsi="宋体"/>
                <w:bCs/>
                <w:color w:val="000000"/>
                <w:szCs w:val="21"/>
                <w:highlight w:val="none"/>
              </w:rPr>
            </w:pPr>
            <w:r>
              <w:rPr>
                <w:rFonts w:hint="eastAsia" w:ascii="宋体" w:hAnsi="宋体"/>
                <w:bCs/>
                <w:color w:val="000000"/>
                <w:szCs w:val="21"/>
                <w:highlight w:val="none"/>
              </w:rPr>
            </w:r>
            <w:r/>
          </w:p>
        </w:tc>
        <w:tc>
          <w:tcPr>
            <w:tcW w:w="1577"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78"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2229"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516" w:type="dxa"/>
            <w:vAlign w:val="center"/>
            <w:textDirection w:val="lrTb"/>
            <w:noWrap w:val="false"/>
          </w:tcPr>
          <w:p>
            <w:pPr>
              <w:pStyle w:val="1086"/>
              <w:jc w:val="center"/>
              <w:spacing w:line="360" w:lineRule="auto"/>
              <w:rPr>
                <w:rFonts w:ascii="宋体" w:hAnsi="宋体"/>
                <w:bCs/>
                <w:color w:val="000000"/>
                <w:szCs w:val="21"/>
                <w:highlight w:val="none"/>
              </w:rPr>
            </w:pPr>
            <w:r>
              <w:rPr>
                <w:rFonts w:ascii="宋体" w:hAnsi="宋体"/>
                <w:bCs/>
                <w:color w:val="000000"/>
                <w:szCs w:val="21"/>
                <w:highlight w:val="none"/>
              </w:rPr>
            </w:r>
            <w:r/>
          </w:p>
        </w:tc>
      </w:tr>
    </w:tbl>
    <w:p>
      <w:pPr>
        <w:pStyle w:val="1086"/>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投标人名称（盖章）：</w:t>
      </w: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r>
      <w:r/>
    </w:p>
    <w:p>
      <w:pPr>
        <w:pStyle w:val="1086"/>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日期：</w:t>
      </w:r>
      <w:r>
        <w:rPr>
          <w:rFonts w:hint="eastAsia" w:ascii="Arial" w:hAnsi="Arial" w:cs="Arial"/>
          <w:color w:val="000000"/>
          <w:szCs w:val="21"/>
          <w:highlight w:val="none"/>
        </w:rPr>
      </w:r>
      <w:r/>
    </w:p>
    <w:p>
      <w:pPr>
        <w:pStyle w:val="108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6"/>
        <w:spacing w:line="44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注：</w:t>
      </w: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投标人应对招标文件《采购需求》一）、技术要求”的内容给予逐条响应，若漏项或不逐条应答视为负偏离。</w:t>
      </w:r>
      <w:r>
        <w:rPr>
          <w:rFonts w:hint="eastAsia" w:ascii="宋体" w:hAnsi="宋体" w:cs="宋体"/>
          <w:color w:val="000000"/>
          <w:szCs w:val="21"/>
          <w:highlight w:val="none"/>
        </w:rPr>
      </w:r>
      <w:r/>
    </w:p>
    <w:p>
      <w:pPr>
        <w:pStyle w:val="1086"/>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2、“偏离/响应”</w:t>
      </w:r>
      <w:r>
        <w:rPr>
          <w:rFonts w:hint="eastAsia" w:ascii="宋体" w:hAnsi="宋体" w:cs="宋体"/>
          <w:color w:val="000000"/>
          <w:szCs w:val="21"/>
          <w:highlight w:val="none"/>
        </w:rPr>
        <w:t xml:space="preserve">栏请注明”响应或无偏离/正偏离/负偏离，正偏离指供应商的响应高于招标文件要求，负偏离指供应商的响应低于招标文件要求。</w:t>
      </w:r>
      <w:r>
        <w:rPr>
          <w:rFonts w:ascii="宋体" w:hAnsi="宋体" w:cs="宋体"/>
          <w:color w:val="000000"/>
          <w:szCs w:val="21"/>
          <w:highlight w:val="none"/>
        </w:rPr>
      </w:r>
      <w:r/>
    </w:p>
    <w:p>
      <w:pPr>
        <w:pStyle w:val="108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3、如果行数不够，请自行增加。</w:t>
      </w:r>
      <w:r>
        <w:rPr>
          <w:rFonts w:hint="eastAsia" w:ascii="宋体" w:hAnsi="宋体" w:cs="宋体"/>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6"/>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6"/>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6"/>
        <w:rPr>
          <w:color w:val="000000"/>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（七）中小企业声明函（格式）：</w:t>
      </w:r>
      <w:r>
        <w:rPr>
          <w:color w:val="000000"/>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中小企业声明函（货物）</w:t>
      </w:r>
      <w:r>
        <w:rPr>
          <w:rFonts w:hint="eastAsia" w:ascii="宋体" w:hAnsi="宋体" w:cs="宋体"/>
          <w:b/>
          <w:color w:val="000000"/>
          <w:sz w:val="36"/>
          <w:szCs w:val="28"/>
          <w:highlight w:val="none"/>
        </w:rPr>
      </w:r>
      <w:r/>
    </w:p>
    <w:p>
      <w:pPr>
        <w:pStyle w:val="108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本公司（联合体）郑重声明，根据《政府采购促进中小企业发展管理办法》（财库﹝2020﹞46 号）的规定，本公司 （联合体）参加</w:t>
      </w:r>
      <w:r>
        <w:rPr>
          <w:rFonts w:hint="eastAsia" w:ascii="宋体" w:hAnsi="宋体" w:cs="宋体"/>
          <w:bCs/>
          <w:color w:val="000000"/>
          <w:szCs w:val="21"/>
          <w:highlight w:val="none"/>
          <w:u w:val="single"/>
        </w:rPr>
        <w:t xml:space="preserve">（单位名称）</w:t>
      </w:r>
      <w:r>
        <w:rPr>
          <w:rFonts w:hint="eastAsia" w:ascii="宋体" w:hAnsi="宋体" w:cs="宋体"/>
          <w:bCs/>
          <w:color w:val="000000"/>
          <w:szCs w:val="21"/>
          <w:highlight w:val="none"/>
        </w:rPr>
        <w:t xml:space="preserve">的</w:t>
      </w:r>
      <w:r>
        <w:rPr>
          <w:rFonts w:hint="eastAsia" w:ascii="宋体" w:hAnsi="宋体" w:cs="宋体"/>
          <w:bCs/>
          <w:color w:val="000000"/>
          <w:szCs w:val="21"/>
          <w:highlight w:val="none"/>
          <w:u w:val="single"/>
        </w:rPr>
        <w:t xml:space="preserve">（项目名称）</w:t>
      </w:r>
      <w:r>
        <w:rPr>
          <w:rFonts w:hint="eastAsia" w:ascii="宋体" w:hAnsi="宋体" w:cs="宋体"/>
          <w:bCs/>
          <w:color w:val="000000"/>
          <w:szCs w:val="21"/>
          <w:highlight w:val="none"/>
        </w:rPr>
        <w:t xml:space="preserve">采购活动，提供的货物全部由符合政策要求的中小企业制造。相关企业 （含联合体中的中小企业、签订分包意向协议的中小企业）的具体情况如下：</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 </w:t>
      </w:r>
      <w:r>
        <w:rPr>
          <w:rFonts w:hint="eastAsia" w:ascii="宋体" w:hAnsi="宋体" w:cs="宋体"/>
          <w:bCs/>
          <w:color w:val="000000"/>
          <w:szCs w:val="21"/>
          <w:highlight w:val="none"/>
          <w:u w:val="single"/>
        </w:rPr>
        <w:t xml:space="preserve">（标的名称） </w:t>
      </w:r>
      <w:r>
        <w:rPr>
          <w:rFonts w:hint="eastAsia" w:ascii="宋体" w:hAnsi="宋体" w:cs="宋体"/>
          <w:bCs/>
          <w:color w:val="000000"/>
          <w:szCs w:val="21"/>
          <w:highlight w:val="none"/>
        </w:rPr>
        <w:t xml:space="preserve">，属于</w:t>
      </w:r>
      <w:r>
        <w:rPr>
          <w:rFonts w:hint="eastAsia" w:ascii="宋体" w:hAnsi="宋体" w:cs="宋体"/>
          <w:bCs/>
          <w:color w:val="000000"/>
          <w:szCs w:val="21"/>
          <w:highlight w:val="none"/>
          <w:u w:val="single"/>
        </w:rPr>
        <w:t xml:space="preserve">（采购文件中明确的所属行业） 行业</w:t>
      </w:r>
      <w:r>
        <w:rPr>
          <w:rFonts w:hint="eastAsia" w:ascii="宋体" w:hAnsi="宋体" w:cs="宋体"/>
          <w:bCs/>
          <w:color w:val="000000"/>
          <w:szCs w:val="21"/>
          <w:highlight w:val="none"/>
        </w:rPr>
        <w:t xml:space="preserve">；制造商为</w:t>
      </w:r>
      <w:r>
        <w:rPr>
          <w:rFonts w:hint="eastAsia" w:ascii="宋体" w:hAnsi="宋体" w:cs="宋体"/>
          <w:bCs/>
          <w:color w:val="000000"/>
          <w:szCs w:val="21"/>
          <w:highlight w:val="none"/>
          <w:u w:val="single"/>
        </w:rPr>
        <w:t xml:space="preserve">（企业名称）</w:t>
      </w:r>
      <w:r>
        <w:rPr>
          <w:rFonts w:hint="eastAsia" w:ascii="宋体" w:hAnsi="宋体" w:cs="宋体"/>
          <w:bCs/>
          <w:color w:val="000000"/>
          <w:szCs w:val="21"/>
          <w:highlight w:val="none"/>
        </w:rPr>
        <w:t xml:space="preserve">，从业人员</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人，营业收入为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万元，资产总额为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万元，属于</w:t>
      </w:r>
      <w:r>
        <w:rPr>
          <w:rFonts w:hint="eastAsia" w:ascii="宋体" w:hAnsi="宋体" w:cs="宋体"/>
          <w:bCs/>
          <w:color w:val="000000"/>
          <w:szCs w:val="21"/>
          <w:highlight w:val="none"/>
          <w:u w:val="single"/>
        </w:rPr>
        <w:t xml:space="preserve">（中型企业、小 型企业、微型企业）</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u w:val="single"/>
        </w:rPr>
        <w:t xml:space="preserve"> （标的名称） </w:t>
      </w:r>
      <w:r>
        <w:rPr>
          <w:rFonts w:hint="eastAsia" w:ascii="宋体" w:hAnsi="宋体" w:cs="宋体"/>
          <w:bCs/>
          <w:color w:val="000000"/>
          <w:szCs w:val="21"/>
          <w:highlight w:val="none"/>
        </w:rPr>
        <w:t xml:space="preserve">，属于</w:t>
      </w:r>
      <w:r>
        <w:rPr>
          <w:rFonts w:hint="eastAsia" w:ascii="宋体" w:hAnsi="宋体" w:cs="宋体"/>
          <w:bCs/>
          <w:color w:val="000000"/>
          <w:szCs w:val="21"/>
          <w:highlight w:val="none"/>
          <w:u w:val="single"/>
        </w:rPr>
        <w:t xml:space="preserve">（采购文件中明确的所属行业） 行业</w:t>
      </w:r>
      <w:r>
        <w:rPr>
          <w:rFonts w:hint="eastAsia" w:ascii="宋体" w:hAnsi="宋体" w:cs="宋体"/>
          <w:bCs/>
          <w:color w:val="000000"/>
          <w:szCs w:val="21"/>
          <w:highlight w:val="none"/>
        </w:rPr>
        <w:t xml:space="preserve">；制造商为</w:t>
      </w:r>
      <w:r>
        <w:rPr>
          <w:rFonts w:hint="eastAsia" w:ascii="宋体" w:hAnsi="宋体" w:cs="宋体"/>
          <w:bCs/>
          <w:color w:val="000000"/>
          <w:szCs w:val="21"/>
          <w:highlight w:val="none"/>
          <w:u w:val="single"/>
        </w:rPr>
        <w:t xml:space="preserve">（企业名称）</w:t>
      </w:r>
      <w:r>
        <w:rPr>
          <w:rFonts w:hint="eastAsia" w:ascii="宋体" w:hAnsi="宋体" w:cs="宋体"/>
          <w:bCs/>
          <w:color w:val="000000"/>
          <w:szCs w:val="21"/>
          <w:highlight w:val="none"/>
        </w:rPr>
        <w:t xml:space="preserve">，从业人员</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人，营业收入为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万元，资产总额为</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万元，属于</w:t>
      </w:r>
      <w:r>
        <w:rPr>
          <w:rFonts w:hint="eastAsia" w:ascii="宋体" w:hAnsi="宋体" w:cs="宋体"/>
          <w:bCs/>
          <w:color w:val="000000"/>
          <w:szCs w:val="21"/>
          <w:highlight w:val="none"/>
          <w:u w:val="single"/>
        </w:rPr>
        <w:t xml:space="preserve">（中型企业、小 型企业、微型企业）</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企业名称（盖章）：</w:t>
      </w:r>
      <w:r>
        <w:rPr>
          <w:rFonts w:hint="eastAsia" w:ascii="宋体" w:hAnsi="宋体" w:cs="宋体"/>
          <w:bCs/>
          <w:color w:val="000000"/>
          <w:szCs w:val="21"/>
          <w:highlight w:val="none"/>
        </w:rPr>
      </w:r>
      <w:r/>
    </w:p>
    <w:p>
      <w:pPr>
        <w:pStyle w:val="1086"/>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　　　　　　期：</w:t>
      </w: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注：</w:t>
      </w: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1.从业人员、营业收入、资产总额填报上一年度数据，无上一年度数据的新成立企业可不填报。</w:t>
      </w: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2.在货物采购项目中，供应商提供的货物既有中小企业制造货物，也有大型企业制造货物的，不享受本办法规定的中小企业扶持政策。</w:t>
      </w:r>
      <w:r>
        <w:rPr>
          <w:rFonts w:hint="eastAsia" w:ascii="宋体" w:hAnsi="宋体" w:cs="宋体"/>
          <w:bCs/>
          <w:color w:val="000000"/>
          <w:szCs w:val="21"/>
          <w:highlight w:val="none"/>
        </w:rPr>
      </w:r>
      <w:r/>
    </w:p>
    <w:p>
      <w:pPr>
        <w:pStyle w:val="1086"/>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bCs/>
          <w:color w:val="000000"/>
          <w:szCs w:val="21"/>
          <w:highlight w:val="none"/>
        </w:rPr>
      </w:r>
      <w:r/>
    </w:p>
    <w:p>
      <w:pPr>
        <w:pStyle w:val="1086"/>
        <w:ind w:left="120"/>
        <w:spacing w:line="360" w:lineRule="auto"/>
        <w:rPr>
          <w:color w:val="000000"/>
          <w:szCs w:val="21"/>
          <w:highlight w:val="none"/>
        </w:rPr>
      </w:pPr>
      <w:r>
        <w:rPr>
          <w:color w:val="000000"/>
          <w:szCs w:val="21"/>
          <w:highlight w:val="none"/>
        </w:rPr>
        <w:br w:type="page" w:clear="all"/>
      </w:r>
      <w:r>
        <w:rPr>
          <w:rFonts w:hint="eastAsia" w:ascii="宋体" w:hAnsi="宋体" w:cs="宋体"/>
          <w:b/>
          <w:color w:val="000000"/>
          <w:szCs w:val="21"/>
          <w:highlight w:val="none"/>
        </w:rPr>
        <w:t xml:space="preserve">（八）残疾人福利性单位声明函（格式）：</w:t>
      </w:r>
      <w:r>
        <w:rPr>
          <w:color w:val="000000"/>
          <w:szCs w:val="21"/>
          <w:highlight w:val="none"/>
        </w:rPr>
      </w:r>
      <w:r/>
    </w:p>
    <w:p>
      <w:pPr>
        <w:pStyle w:val="1086"/>
        <w:spacing w:line="588" w:lineRule="exact"/>
        <w:rPr>
          <w:rFonts w:hint="eastAsia" w:ascii="仿宋_GB2312" w:eastAsia="仿宋_GB2312"/>
          <w:b/>
          <w:color w:val="000000"/>
          <w:spacing w:val="6"/>
          <w:sz w:val="30"/>
          <w:szCs w:val="30"/>
          <w:highlight w:val="none"/>
        </w:rPr>
      </w:pPr>
      <w:r>
        <w:rPr>
          <w:rFonts w:hint="eastAsia" w:ascii="仿宋_GB2312" w:eastAsia="仿宋_GB2312"/>
          <w:b/>
          <w:color w:val="000000"/>
          <w:spacing w:val="6"/>
          <w:sz w:val="30"/>
          <w:szCs w:val="30"/>
          <w:highlight w:val="none"/>
        </w:rPr>
      </w:r>
      <w:r/>
    </w:p>
    <w:p>
      <w:pPr>
        <w:pStyle w:val="1086"/>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残疾人福利性单位声明函</w:t>
      </w:r>
      <w:r>
        <w:rPr>
          <w:rFonts w:hint="eastAsia" w:ascii="宋体" w:hAnsi="宋体" w:cs="宋体"/>
          <w:b/>
          <w:color w:val="000000"/>
          <w:sz w:val="36"/>
          <w:szCs w:val="28"/>
          <w:highlight w:val="none"/>
        </w:rPr>
      </w:r>
      <w:r/>
    </w:p>
    <w:p>
      <w:pPr>
        <w:pStyle w:val="1086"/>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000000"/>
          <w:szCs w:val="21"/>
          <w:highlight w:val="none"/>
          <w:u w:val="single"/>
        </w:rPr>
        <w:t xml:space="preserve">             项目</w:t>
      </w:r>
      <w:r>
        <w:rPr>
          <w:rFonts w:hint="eastAsia" w:ascii="宋体" w:hAnsi="宋体" w:cs="宋体"/>
          <w:bCs/>
          <w:color w:val="000000"/>
          <w:szCs w:val="21"/>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本单位对上述声明的真实性负责。如有虚假，将依法承担相应责任。</w:t>
      </w: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086"/>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单位名称（盖章）：</w:t>
      </w:r>
      <w:r>
        <w:rPr>
          <w:rFonts w:hint="eastAsia" w:ascii="宋体" w:hAnsi="宋体" w:cs="宋体"/>
          <w:bCs/>
          <w:color w:val="000000"/>
          <w:szCs w:val="21"/>
          <w:highlight w:val="none"/>
        </w:rPr>
      </w:r>
      <w:r/>
    </w:p>
    <w:p>
      <w:pPr>
        <w:pStyle w:val="1086"/>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  期：</w:t>
      </w:r>
      <w:r>
        <w:rPr>
          <w:rFonts w:hint="eastAsia" w:ascii="宋体" w:hAnsi="宋体" w:cs="宋体"/>
          <w:bCs/>
          <w:color w:val="000000"/>
          <w:szCs w:val="21"/>
          <w:highlight w:val="none"/>
        </w:rPr>
      </w:r>
      <w:r/>
    </w:p>
    <w:p>
      <w:pPr>
        <w:pStyle w:val="1086"/>
        <w:ind w:left="120"/>
        <w:jc w:val="left"/>
        <w:spacing w:line="360" w:lineRule="auto"/>
        <w:rPr>
          <w:rFonts w:hint="eastAsia"/>
          <w:b/>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
          <w:color w:val="000000"/>
          <w:szCs w:val="21"/>
          <w:highlight w:val="none"/>
        </w:rPr>
        <w:t xml:space="preserve">（九）</w:t>
      </w:r>
      <w:r>
        <w:rPr>
          <w:rFonts w:hint="eastAsia" w:ascii="宋体" w:hAnsi="宋体" w:cs="宋体"/>
          <w:b/>
          <w:color w:val="000000"/>
          <w:szCs w:val="21"/>
          <w:highlight w:val="none"/>
        </w:rPr>
        <w:t xml:space="preserve">采购本国产品的支持政策</w:t>
      </w:r>
      <w:r>
        <w:rPr>
          <w:rFonts w:hint="eastAsia"/>
          <w:b/>
          <w:bCs/>
          <w:color w:val="000000"/>
          <w:szCs w:val="21"/>
          <w:highlight w:val="none"/>
        </w:rPr>
      </w:r>
      <w:r/>
    </w:p>
    <w:p>
      <w:pPr>
        <w:pStyle w:val="1086"/>
        <w:jc w:val="center"/>
        <w:keepLines/>
        <w:keepNex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6"/>
        <w:jc w:val="center"/>
        <w:keepLines/>
        <w:keepNext/>
        <w:spacing w:line="360" w:lineRule="auto"/>
        <w:rPr>
          <w:rFonts w:hint="eastAsia" w:ascii="宋体" w:hAnsi="宋体" w:cs="宋体"/>
          <w:b/>
          <w:color w:val="000000"/>
          <w:sz w:val="24"/>
          <w:highlight w:val="none"/>
        </w:rPr>
      </w:pPr>
      <w:r/>
      <w:bookmarkStart w:id="118" w:name="_Toc24678"/>
      <w:r/>
      <w:bookmarkStart w:id="119" w:name="_Toc3682"/>
      <w:r/>
      <w:bookmarkStart w:id="120" w:name="_Toc14535"/>
      <w:r/>
      <w:bookmarkStart w:id="121" w:name="_Toc30239"/>
      <w:r>
        <w:rPr>
          <w:rFonts w:hint="eastAsia" w:ascii="宋体" w:hAnsi="宋体" w:cs="宋体"/>
          <w:b/>
          <w:color w:val="000000"/>
          <w:sz w:val="24"/>
          <w:highlight w:val="none"/>
        </w:rPr>
        <w:t xml:space="preserve">关于符合本国产品标准的声明函</w:t>
      </w:r>
      <w:bookmarkEnd w:id="118"/>
      <w:r/>
      <w:bookmarkEnd w:id="119"/>
      <w:r>
        <w:rPr>
          <w:rFonts w:hint="eastAsia"/>
          <w:b/>
          <w:bCs/>
          <w:color w:val="000000"/>
          <w:sz w:val="22"/>
          <w:szCs w:val="22"/>
          <w:highlight w:val="none"/>
          <w:shd w:val="clear" w:color="auto" w:fill="ffffff"/>
        </w:rPr>
        <w:t xml:space="preserve">（依据所投分包情况选择）</w:t>
      </w:r>
      <w:bookmarkEnd w:id="120"/>
      <w:r/>
      <w:bookmarkEnd w:id="121"/>
      <w:r>
        <w:rPr>
          <w:rFonts w:hint="eastAsia" w:ascii="宋体" w:hAnsi="宋体" w:cs="宋体"/>
          <w:b/>
          <w:color w:val="000000"/>
          <w:sz w:val="24"/>
          <w:highlight w:val="none"/>
        </w:rPr>
      </w:r>
      <w:r/>
    </w:p>
    <w:p>
      <w:pPr>
        <w:pStyle w:val="1086"/>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Cs w:val="21"/>
          <w:highlight w:val="none"/>
        </w:rPr>
      </w:r>
      <w:r/>
    </w:p>
    <w:p>
      <w:pPr>
        <w:pStyle w:val="1086"/>
        <w:ind w:firstLine="420"/>
        <w:jc w:val="left"/>
        <w:spacing w:before="30" w:after="3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-66039</wp:posOffset>
                </wp:positionH>
                <wp:positionV relativeFrom="paragraph">
                  <wp:posOffset>596900</wp:posOffset>
                </wp:positionV>
                <wp:extent cx="424815" cy="1123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5.2pt;mso-position-horizontal:absolute;mso-position-vertical-relative:text;margin-top:47.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2877185</wp:posOffset>
                </wp:positionH>
                <wp:positionV relativeFrom="paragraph">
                  <wp:posOffset>359410</wp:posOffset>
                </wp:positionV>
                <wp:extent cx="603250" cy="1016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26.5pt;mso-position-horizontal:absolute;mso-position-vertical-relative:text;margin-top:28.3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1738630</wp:posOffset>
                </wp:positionH>
                <wp:positionV relativeFrom="paragraph">
                  <wp:posOffset>330200</wp:posOffset>
                </wp:positionV>
                <wp:extent cx="739140" cy="1346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136.9pt;mso-position-horizontal:absolute;mso-position-vertical-relative:text;margin-top:26.0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908685</wp:posOffset>
                </wp:positionH>
                <wp:positionV relativeFrom="paragraph">
                  <wp:posOffset>335915</wp:posOffset>
                </wp:positionV>
                <wp:extent cx="36449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71.5pt;mso-position-horizontal:absolute;mso-position-vertical-relative:text;margin-top:26.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3877945</wp:posOffset>
                </wp:positionH>
                <wp:positionV relativeFrom="paragraph">
                  <wp:posOffset>31115</wp:posOffset>
                </wp:positionV>
                <wp:extent cx="577215" cy="920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0;o:allowoverlap:true;o:allowincell:true;mso-position-horizontal-relative:text;margin-left:305.3pt;mso-position-horizontal:absolute;mso-position-vertical-relative:text;margin-top:2.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4613275</wp:posOffset>
                </wp:positionH>
                <wp:positionV relativeFrom="paragraph">
                  <wp:posOffset>346710</wp:posOffset>
                </wp:positionV>
                <wp:extent cx="771525" cy="971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363.2pt;mso-position-horizontal:absolute;mso-position-vertical-relative:text;margin-top:27.3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shd w:val="clear" w:color="auto" w:fill="ffffff"/>
        </w:rPr>
        <w:t xml:space="preserve">1.</w:t>
      </w:r>
      <w:r>
        <w:rPr>
          <w:rStyle w:val="1145"/>
          <w:rFonts w:hint="eastAsia" w:ascii="宋体" w:hAnsi="宋体" w:cs="宋体"/>
          <w:i w:val="0"/>
          <w:color w:val="000000"/>
          <w:szCs w:val="21"/>
          <w:highlight w:val="none"/>
          <w:u w:val="single"/>
          <w:shd w:val="clear" w:color="auto" w:fill="ffffff"/>
        </w:rPr>
        <w:t xml:space="preserve">（    ）</w:t>
      </w:r>
      <w:r>
        <w:rPr>
          <w:rStyle w:val="1145"/>
          <w:rFonts w:hint="eastAsia" w:ascii="宋体" w:hAnsi="宋体" w:cs="宋体"/>
          <w:i w:val="0"/>
          <w:color w:val="000000"/>
          <w:szCs w:val="21"/>
          <w:highlight w:val="none"/>
          <w:shd w:val="clear" w:color="auto" w:fill="ffffff"/>
          <w:vertAlign w:val="superscript"/>
        </w:rPr>
        <w:t xml:space="preserve">1</w:t>
      </w:r>
      <w:r>
        <w:rPr>
          <w:rFonts w:hint="eastAsia" w:ascii="宋体" w:hAnsi="宋体" w:cs="宋体"/>
          <w:color w:val="000000"/>
          <w:szCs w:val="21"/>
          <w:highlight w:val="none"/>
          <w:shd w:val="clear" w:color="auto" w:fill="ffffff"/>
        </w:rPr>
        <w:t xml:space="preserve">，生产厂为</w:t>
      </w:r>
      <w:r>
        <w:rPr>
          <w:rStyle w:val="1145"/>
          <w:rFonts w:hint="eastAsia" w:ascii="宋体" w:hAnsi="宋体" w:cs="宋体"/>
          <w:i w:val="0"/>
          <w:color w:val="000000"/>
          <w:szCs w:val="21"/>
          <w:highlight w:val="none"/>
          <w:u w:val="single"/>
          <w:shd w:val="clear" w:color="auto" w:fill="ffffff"/>
        </w:rPr>
        <w:t xml:space="preserve">（厂名）</w:t>
      </w:r>
      <w:r>
        <w:rPr>
          <w:rStyle w:val="1145"/>
          <w:rFonts w:hint="eastAsia" w:ascii="宋体" w:hAnsi="宋体" w:cs="宋体"/>
          <w:i w:val="0"/>
          <w:color w:val="000000"/>
          <w:szCs w:val="21"/>
          <w:highlight w:val="none"/>
          <w:shd w:val="clear" w:color="auto" w:fill="ffffff"/>
          <w:vertAlign w:val="superscript"/>
        </w:rPr>
        <w:t xml:space="preserve">2</w:t>
      </w:r>
      <w:r>
        <w:rPr>
          <w:rFonts w:hint="eastAsia" w:ascii="宋体" w:hAnsi="宋体" w:cs="宋体"/>
          <w:color w:val="000000"/>
          <w:szCs w:val="21"/>
          <w:highlight w:val="none"/>
          <w:shd w:val="clear" w:color="auto" w:fill="ffffff"/>
        </w:rPr>
        <w:t xml:space="preserve">，厂址为</w:t>
      </w:r>
      <w:r>
        <w:rPr>
          <w:rStyle w:val="1145"/>
          <w:rFonts w:hint="eastAsia" w:ascii="宋体" w:hAnsi="宋体" w:cs="宋体"/>
          <w:i w:val="0"/>
          <w:color w:val="000000"/>
          <w:szCs w:val="21"/>
          <w:highlight w:val="none"/>
          <w:u w:val="single"/>
          <w:shd w:val="clear" w:color="auto" w:fill="ffffff"/>
        </w:rPr>
        <w:t xml:space="preserve">（生产厂址）</w:t>
      </w: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u w:val="single"/>
          <w:shd w:val="clear" w:color="auto" w:fill="ffffff"/>
        </w:rPr>
        <w:t xml:space="preserve"> </w:t>
      </w:r>
      <w:r>
        <w:rPr>
          <w:rStyle w:val="1145"/>
          <w:rFonts w:hint="eastAsia" w:ascii="宋体" w:hAnsi="宋体" w:cs="宋体"/>
          <w:i w:val="0"/>
          <w:color w:val="000000"/>
          <w:szCs w:val="21"/>
          <w:highlight w:val="none"/>
          <w:u w:val="single"/>
          <w:shd w:val="clear" w:color="auto" w:fill="ffffff"/>
        </w:rPr>
        <w:t xml:space="preserve">（产品名称1） </w:t>
      </w:r>
      <w:r>
        <w:rPr>
          <w:rFonts w:hint="eastAsia" w:ascii="宋体" w:hAnsi="宋体" w:cs="宋体"/>
          <w:color w:val="000000"/>
          <w:szCs w:val="21"/>
          <w:highlight w:val="none"/>
          <w:shd w:val="clear" w:color="auto" w:fill="ffffff"/>
        </w:rPr>
        <w:t xml:space="preserve">的中国境内生产的组件成本占比≥</w:t>
      </w:r>
      <w:r>
        <w:rPr>
          <w:rStyle w:val="1145"/>
          <w:rFonts w:hint="eastAsia" w:ascii="宋体" w:hAnsi="宋体" w:cs="宋体"/>
          <w:i w:val="0"/>
          <w:color w:val="000000"/>
          <w:szCs w:val="21"/>
          <w:highlight w:val="none"/>
          <w:u w:val="single"/>
          <w:shd w:val="clear" w:color="auto" w:fill="ffffff"/>
        </w:rPr>
        <w:t xml:space="preserve">（规定比例）</w:t>
      </w:r>
      <w:r>
        <w:rPr>
          <w:rStyle w:val="1145"/>
          <w:rFonts w:hint="eastAsia" w:ascii="宋体" w:hAnsi="宋体" w:cs="宋体"/>
          <w:i w:val="0"/>
          <w:color w:val="000000"/>
          <w:szCs w:val="21"/>
          <w:highlight w:val="none"/>
          <w:shd w:val="clear" w:color="auto" w:fill="ffffff"/>
          <w:vertAlign w:val="superscript"/>
        </w:rPr>
        <w:t xml:space="preserve">3</w:t>
      </w:r>
      <w:r>
        <w:rPr>
          <w:rFonts w:hint="eastAsia" w:ascii="宋体" w:hAnsi="宋体" w:cs="宋体"/>
          <w:color w:val="000000"/>
          <w:szCs w:val="21"/>
          <w:highlight w:val="none"/>
          <w:shd w:val="clear" w:color="auto" w:fill="ffffff"/>
        </w:rPr>
        <w:t xml:space="preserve">。</w:t>
      </w:r>
      <w:r>
        <w:rPr>
          <w:rStyle w:val="1145"/>
          <w:rFonts w:hint="eastAsia" w:ascii="宋体" w:hAnsi="宋体" w:cs="宋体"/>
          <w:i w:val="0"/>
          <w:color w:val="000000"/>
          <w:szCs w:val="21"/>
          <w:highlight w:val="none"/>
          <w:u w:val="single"/>
          <w:shd w:val="clear" w:color="auto" w:fill="ffffff"/>
        </w:rPr>
        <w:t xml:space="preserve">（产品名称1）</w:t>
      </w:r>
      <w:r>
        <w:rPr>
          <w:rFonts w:hint="eastAsia" w:ascii="宋体" w:hAnsi="宋体" w:cs="宋体"/>
          <w:color w:val="000000"/>
          <w:szCs w:val="21"/>
          <w:highlight w:val="none"/>
          <w:shd w:val="clear" w:color="auto" w:fill="ffffff"/>
        </w:rPr>
        <w:t xml:space="preserve">的</w:t>
      </w:r>
      <w:r>
        <w:rPr>
          <w:rStyle w:val="1145"/>
          <w:rFonts w:hint="eastAsia" w:ascii="宋体" w:hAnsi="宋体" w:cs="宋体"/>
          <w:i w:val="0"/>
          <w:color w:val="000000"/>
          <w:szCs w:val="21"/>
          <w:highlight w:val="none"/>
          <w:u w:val="single"/>
          <w:shd w:val="clear" w:color="auto" w:fill="ffffff"/>
        </w:rPr>
        <w:t xml:space="preserve">（关键组件）</w:t>
      </w:r>
      <w:r>
        <w:rPr>
          <w:rStyle w:val="1145"/>
          <w:rFonts w:hint="eastAsia" w:ascii="宋体" w:hAnsi="宋体" w:cs="宋体"/>
          <w:i w:val="0"/>
          <w:color w:val="000000"/>
          <w:szCs w:val="21"/>
          <w:highlight w:val="none"/>
          <w:shd w:val="clear" w:color="auto" w:fill="ffffff"/>
          <w:vertAlign w:val="superscript"/>
        </w:rPr>
        <w:t xml:space="preserve">4</w:t>
      </w:r>
      <w:r>
        <w:rPr>
          <w:rFonts w:hint="eastAsia" w:ascii="宋体" w:hAnsi="宋体" w:cs="宋体"/>
          <w:color w:val="000000"/>
          <w:szCs w:val="21"/>
          <w:highlight w:val="none"/>
          <w:shd w:val="clear" w:color="auto" w:fill="ffffff"/>
        </w:rPr>
        <w:t xml:space="preserve">在中国境内生产。</w:t>
      </w:r>
      <w:r>
        <w:rPr>
          <w:rStyle w:val="1145"/>
          <w:rFonts w:hint="eastAsia" w:ascii="宋体" w:hAnsi="宋体" w:cs="宋体"/>
          <w:i w:val="0"/>
          <w:color w:val="000000"/>
          <w:szCs w:val="21"/>
          <w:highlight w:val="none"/>
          <w:u w:val="single"/>
          <w:shd w:val="clear" w:color="auto" w:fill="ffffff"/>
        </w:rPr>
        <w:t xml:space="preserve">（产品名称1）</w:t>
      </w:r>
      <w:r>
        <w:rPr>
          <w:rFonts w:hint="eastAsia" w:ascii="宋体" w:hAnsi="宋体" w:cs="宋体"/>
          <w:color w:val="000000"/>
          <w:szCs w:val="21"/>
          <w:highlight w:val="none"/>
          <w:shd w:val="clear" w:color="auto" w:fill="ffffff"/>
        </w:rPr>
        <w:t xml:space="preserve">的</w:t>
      </w:r>
      <w:r>
        <w:rPr>
          <w:rStyle w:val="1145"/>
          <w:rFonts w:hint="eastAsia" w:ascii="宋体" w:hAnsi="宋体" w:cs="宋体"/>
          <w:i w:val="0"/>
          <w:color w:val="000000"/>
          <w:szCs w:val="21"/>
          <w:highlight w:val="none"/>
          <w:u w:val="single"/>
          <w:shd w:val="clear" w:color="auto" w:fill="ffffff"/>
        </w:rPr>
        <w:t xml:space="preserve">（关键工序）</w:t>
      </w:r>
      <w:r>
        <w:rPr>
          <w:rStyle w:val="1145"/>
          <w:rFonts w:hint="eastAsia" w:ascii="宋体" w:hAnsi="宋体" w:cs="宋体"/>
          <w:i w:val="0"/>
          <w:color w:val="000000"/>
          <w:szCs w:val="21"/>
          <w:highlight w:val="none"/>
          <w:shd w:val="clear" w:color="auto" w:fill="ffffff"/>
          <w:vertAlign w:val="superscript"/>
        </w:rPr>
        <w:t xml:space="preserve">5</w:t>
      </w:r>
      <w:r>
        <w:rPr>
          <w:rFonts w:hint="eastAsia"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1086"/>
        <w:ind w:firstLine="420"/>
        <w:jc w:val="left"/>
        <w:spacing w:before="30" w:after="3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5364480</wp:posOffset>
                </wp:positionH>
                <wp:positionV relativeFrom="paragraph">
                  <wp:posOffset>324485</wp:posOffset>
                </wp:positionV>
                <wp:extent cx="565785" cy="1308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3;o:allowoverlap:true;o:allowincell:true;mso-position-horizontal-relative:text;margin-left:422.4pt;mso-position-horizontal:absolute;mso-position-vertical-relative:text;margin-top:25.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2705735</wp:posOffset>
                </wp:positionH>
                <wp:positionV relativeFrom="paragraph">
                  <wp:posOffset>302260</wp:posOffset>
                </wp:positionV>
                <wp:extent cx="506095" cy="850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7;o:allowoverlap:true;o:allowincell:true;mso-position-horizontal-relative:text;margin-left:213.0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3826510</wp:posOffset>
                </wp:positionH>
                <wp:positionV relativeFrom="paragraph">
                  <wp:posOffset>63500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4;o:allowoverlap:true;o:allowincell:true;mso-position-horizontal-relative:text;margin-left:301.3pt;mso-position-horizontal:absolute;mso-position-vertical-relative:text;margin-top:5.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1743075</wp:posOffset>
                </wp:positionH>
                <wp:positionV relativeFrom="paragraph">
                  <wp:posOffset>342900</wp:posOffset>
                </wp:positionV>
                <wp:extent cx="488950" cy="965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1" o:spid="_x0000_s21" style="position:absolute;z-index:251658249;o:allowoverlap:true;o:allowincell:true;mso-position-horizontal-relative:text;margin-left:137.2pt;mso-position-horizontal:absolute;mso-position-vertical-relative:text;margin-top:27.0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636905</wp:posOffset>
                </wp:positionH>
                <wp:positionV relativeFrom="paragraph">
                  <wp:posOffset>335280</wp:posOffset>
                </wp:positionV>
                <wp:extent cx="678180" cy="1054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58248;o:allowoverlap:true;o:allowincell:true;mso-position-horizontal-relative:text;margin-left:50.1pt;mso-position-horizontal:absolute;mso-position-vertical-relative:text;margin-top:26.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4653915</wp:posOffset>
                </wp:positionH>
                <wp:positionV relativeFrom="paragraph">
                  <wp:posOffset>299720</wp:posOffset>
                </wp:positionV>
                <wp:extent cx="418465" cy="1130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4;o:allowoverlap:true;o:allowincell:true;mso-position-horizontal-relative:text;margin-left:366.4pt;mso-position-horizontal:absolute;mso-position-vertical-relative:text;margin-top:23.6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Cs w:val="21"/>
          <w:highlight w:val="none"/>
          <w:shd w:val="clear" w:color="auto" w:fill="ffffff"/>
        </w:rPr>
        <w:t xml:space="preserve">2.</w:t>
      </w:r>
      <w:r>
        <w:rPr>
          <w:rStyle w:val="1145"/>
          <w:rFonts w:hint="eastAsia" w:ascii="宋体" w:hAnsi="宋体" w:cs="宋体"/>
          <w:i w:val="0"/>
          <w:color w:val="000000"/>
          <w:szCs w:val="21"/>
          <w:highlight w:val="none"/>
          <w:u w:val="single"/>
          <w:shd w:val="clear" w:color="auto" w:fill="ffffff"/>
        </w:rPr>
        <w:t xml:space="preserve">（    ）</w:t>
      </w:r>
      <w:r>
        <w:rPr>
          <w:rFonts w:hint="eastAsia" w:ascii="宋体" w:hAnsi="宋体" w:cs="宋体"/>
          <w:color w:val="000000"/>
          <w:szCs w:val="21"/>
          <w:highlight w:val="none"/>
          <w:shd w:val="clear" w:color="auto" w:fill="ffffff"/>
        </w:rPr>
        <w:t xml:space="preserve">，生产厂为</w:t>
      </w:r>
      <w:r>
        <w:rPr>
          <w:rStyle w:val="1145"/>
          <w:rFonts w:hint="eastAsia" w:ascii="宋体" w:hAnsi="宋体" w:cs="宋体"/>
          <w:i w:val="0"/>
          <w:color w:val="000000"/>
          <w:szCs w:val="21"/>
          <w:highlight w:val="none"/>
          <w:u w:val="single"/>
          <w:shd w:val="clear" w:color="auto" w:fill="ffffff"/>
        </w:rPr>
        <w:t xml:space="preserve">（厂名）</w:t>
      </w:r>
      <w:r>
        <w:rPr>
          <w:rFonts w:hint="eastAsia" w:ascii="宋体" w:hAnsi="宋体" w:cs="宋体"/>
          <w:color w:val="000000"/>
          <w:szCs w:val="21"/>
          <w:highlight w:val="none"/>
          <w:shd w:val="clear" w:color="auto" w:fill="ffffff"/>
        </w:rPr>
        <w:t xml:space="preserve">，厂址为</w:t>
      </w:r>
      <w:r>
        <w:rPr>
          <w:rStyle w:val="1145"/>
          <w:rFonts w:hint="eastAsia" w:ascii="宋体" w:hAnsi="宋体" w:cs="宋体"/>
          <w:i w:val="0"/>
          <w:color w:val="000000"/>
          <w:szCs w:val="21"/>
          <w:highlight w:val="none"/>
          <w:u w:val="single"/>
          <w:shd w:val="clear" w:color="auto" w:fill="ffffff"/>
        </w:rPr>
        <w:t xml:space="preserve">（生产厂址）</w:t>
      </w:r>
      <w:r>
        <w:rPr>
          <w:rFonts w:hint="eastAsia" w:ascii="宋体" w:hAnsi="宋体" w:cs="宋体"/>
          <w:color w:val="000000"/>
          <w:szCs w:val="21"/>
          <w:highlight w:val="none"/>
          <w:shd w:val="clear" w:color="auto" w:fill="ffffff"/>
        </w:rPr>
        <w:t xml:space="preserve">。</w:t>
      </w:r>
      <w:r>
        <w:rPr>
          <w:rStyle w:val="1145"/>
          <w:rFonts w:hint="eastAsia" w:ascii="宋体" w:hAnsi="宋体" w:cs="宋体"/>
          <w:i w:val="0"/>
          <w:color w:val="000000"/>
          <w:szCs w:val="21"/>
          <w:highlight w:val="none"/>
          <w:u w:val="single"/>
          <w:shd w:val="clear" w:color="auto" w:fill="ffffff"/>
        </w:rPr>
        <w:t xml:space="preserve">（产品名称2）</w:t>
      </w:r>
      <w:r>
        <w:rPr>
          <w:rFonts w:hint="eastAsia" w:ascii="宋体" w:hAnsi="宋体" w:cs="宋体"/>
          <w:color w:val="000000"/>
          <w:szCs w:val="21"/>
          <w:highlight w:val="none"/>
          <w:shd w:val="clear" w:color="auto" w:fill="ffffff"/>
        </w:rPr>
        <w:t xml:space="preserve">的中国境内生产的组件成本占比≥</w:t>
      </w:r>
      <w:r>
        <w:rPr>
          <w:rStyle w:val="1145"/>
          <w:rFonts w:hint="eastAsia" w:ascii="宋体" w:hAnsi="宋体" w:cs="宋体"/>
          <w:i w:val="0"/>
          <w:color w:val="000000"/>
          <w:szCs w:val="21"/>
          <w:highlight w:val="none"/>
          <w:u w:val="single"/>
          <w:shd w:val="clear" w:color="auto" w:fill="ffffff"/>
        </w:rPr>
        <w:t xml:space="preserve">（规定比例）</w:t>
      </w:r>
      <w:r>
        <w:rPr>
          <w:rFonts w:hint="eastAsia" w:ascii="宋体" w:hAnsi="宋体" w:cs="宋体"/>
          <w:color w:val="000000"/>
          <w:szCs w:val="21"/>
          <w:highlight w:val="none"/>
          <w:shd w:val="clear" w:color="auto" w:fill="ffffff"/>
        </w:rPr>
        <w:t xml:space="preserve">。</w:t>
      </w:r>
      <w:r>
        <w:rPr>
          <w:rStyle w:val="1145"/>
          <w:rFonts w:hint="eastAsia" w:ascii="宋体" w:hAnsi="宋体" w:cs="宋体"/>
          <w:i w:val="0"/>
          <w:color w:val="000000"/>
          <w:szCs w:val="21"/>
          <w:highlight w:val="none"/>
          <w:u w:val="single"/>
          <w:shd w:val="clear" w:color="auto" w:fill="ffffff"/>
        </w:rPr>
        <w:t xml:space="preserve">（产品名称2）</w:t>
      </w:r>
      <w:r>
        <w:rPr>
          <w:rFonts w:hint="eastAsia" w:ascii="宋体" w:hAnsi="宋体" w:cs="宋体"/>
          <w:color w:val="000000"/>
          <w:szCs w:val="21"/>
          <w:highlight w:val="none"/>
          <w:shd w:val="clear" w:color="auto" w:fill="ffffff"/>
        </w:rPr>
        <w:t xml:space="preserve">的</w:t>
      </w:r>
      <w:r>
        <w:rPr>
          <w:rStyle w:val="1145"/>
          <w:rFonts w:hint="eastAsia" w:ascii="宋体" w:hAnsi="宋体" w:cs="宋体"/>
          <w:i w:val="0"/>
          <w:color w:val="000000"/>
          <w:szCs w:val="21"/>
          <w:highlight w:val="none"/>
          <w:u w:val="single"/>
          <w:shd w:val="clear" w:color="auto" w:fill="ffffff"/>
        </w:rPr>
        <w:t xml:space="preserve">（关键组件）</w:t>
      </w:r>
      <w:r>
        <w:rPr>
          <w:rFonts w:hint="eastAsia" w:ascii="宋体" w:hAnsi="宋体" w:cs="宋体"/>
          <w:color w:val="000000"/>
          <w:szCs w:val="21"/>
          <w:highlight w:val="none"/>
          <w:shd w:val="clear" w:color="auto" w:fill="ffffff"/>
        </w:rPr>
        <w:t xml:space="preserve">在中国境内生产。</w:t>
      </w:r>
      <w:r>
        <w:rPr>
          <w:rStyle w:val="1145"/>
          <w:rFonts w:hint="eastAsia" w:ascii="宋体" w:hAnsi="宋体" w:cs="宋体"/>
          <w:i w:val="0"/>
          <w:color w:val="000000"/>
          <w:szCs w:val="21"/>
          <w:highlight w:val="none"/>
          <w:u w:val="single"/>
          <w:shd w:val="clear" w:color="auto" w:fill="ffffff"/>
        </w:rPr>
        <w:t xml:space="preserve">（产品名称1）</w:t>
      </w:r>
      <w:r>
        <w:rPr>
          <w:rFonts w:hint="eastAsia" w:ascii="宋体" w:hAnsi="宋体" w:cs="宋体"/>
          <w:color w:val="000000"/>
          <w:szCs w:val="21"/>
          <w:highlight w:val="none"/>
          <w:shd w:val="clear" w:color="auto" w:fill="ffffff"/>
        </w:rPr>
        <w:t xml:space="preserve">的</w:t>
      </w:r>
      <w:r>
        <w:rPr>
          <w:rStyle w:val="1145"/>
          <w:rFonts w:hint="eastAsia" w:ascii="宋体" w:hAnsi="宋体" w:cs="宋体"/>
          <w:i w:val="0"/>
          <w:color w:val="000000"/>
          <w:szCs w:val="21"/>
          <w:highlight w:val="none"/>
          <w:u w:val="single"/>
          <w:shd w:val="clear" w:color="auto" w:fill="ffffff"/>
        </w:rPr>
        <w:t xml:space="preserve">（关键工序）</w:t>
      </w:r>
      <w:r>
        <w:rPr>
          <w:rFonts w:hint="eastAsia" w:ascii="宋体" w:hAnsi="宋体" w:cs="宋体"/>
          <w:color w:val="000000"/>
          <w:szCs w:val="21"/>
          <w:highlight w:val="none"/>
          <w:shd w:val="clear" w:color="auto" w:fill="ffffff"/>
        </w:rPr>
        <w:t xml:space="preserve">在中国境内完成。</w:t>
      </w:r>
      <w:r>
        <w:rPr>
          <w:rFonts w:hint="eastAsia" w:ascii="宋体" w:hAnsi="宋体" w:cs="宋体"/>
          <w:color w:val="000000"/>
          <w:szCs w:val="21"/>
          <w:highlight w:val="none"/>
        </w:rPr>
      </w:r>
      <w:r/>
    </w:p>
    <w:p>
      <w:pPr>
        <w:pStyle w:val="1086"/>
        <w:ind w:firstLine="420"/>
        <w:jc w:val="left"/>
        <w:spacing w:before="30" w:after="3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w:t>
      </w:r>
      <w:r>
        <w:rPr>
          <w:rFonts w:hint="eastAsia" w:ascii="宋体" w:hAnsi="宋体" w:cs="宋体"/>
          <w:color w:val="000000"/>
          <w:szCs w:val="21"/>
          <w:highlight w:val="none"/>
        </w:rPr>
      </w:r>
      <w:r/>
    </w:p>
    <w:p>
      <w:pPr>
        <w:pStyle w:val="1086"/>
        <w:ind w:firstLine="420"/>
        <w:jc w:val="left"/>
        <w:spacing w:before="30" w:after="3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Cs w:val="21"/>
          <w:highlight w:val="none"/>
        </w:rPr>
      </w:r>
      <w:r/>
    </w:p>
    <w:p>
      <w:pPr>
        <w:pStyle w:val="1086"/>
        <w:jc w:val="left"/>
        <w:spacing w:before="30" w:after="3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ind w:right="480" w:firstLine="3255"/>
        <w:jc w:val="left"/>
        <w:spacing w:before="30" w:after="3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公司（单位）名称（盖章）：　        </w:t>
      </w:r>
      <w:r>
        <w:rPr>
          <w:rFonts w:hint="eastAsia" w:ascii="宋体" w:hAnsi="宋体" w:cs="宋体"/>
          <w:color w:val="000000"/>
          <w:szCs w:val="21"/>
          <w:highlight w:val="none"/>
        </w:rPr>
      </w:r>
      <w:r/>
    </w:p>
    <w:p>
      <w:pPr>
        <w:pStyle w:val="1086"/>
        <w:jc w:val="center"/>
        <w:spacing w:before="30" w:after="30" w:line="360" w:lineRule="auto"/>
        <w:widowControl/>
        <w:rPr>
          <w:rFonts w:hint="eastAsia" w:ascii="宋体" w:hAnsi="宋体" w:cs="宋体"/>
          <w:color w:val="000000"/>
          <w:sz w:val="24"/>
          <w:szCs w:val="24"/>
          <w:highlight w:val="none"/>
        </w:rPr>
      </w:pPr>
      <w:r>
        <w:rPr>
          <w:rFonts w:hint="eastAsia" w:ascii="宋体" w:hAnsi="宋体" w:cs="宋体"/>
          <w:color w:val="000000"/>
          <w:szCs w:val="21"/>
          <w:highlight w:val="none"/>
          <w:shd w:val="clear" w:color="auto" w:fill="ffffff"/>
        </w:rPr>
        <w:t xml:space="preserve">                                日期：　   年　  月　  日</w:t>
      </w:r>
      <w:r>
        <w:rPr>
          <w:rFonts w:hint="eastAsia" w:ascii="宋体" w:hAnsi="宋体" w:cs="宋体"/>
          <w:color w:val="000000"/>
          <w:sz w:val="24"/>
          <w:szCs w:val="24"/>
          <w:highlight w:val="none"/>
          <w:shd w:val="clear" w:color="auto" w:fill="ffffff"/>
        </w:rPr>
        <w:t xml:space="preserve">         </w:t>
      </w:r>
      <w:r>
        <w:rPr>
          <w:rFonts w:hint="eastAsia" w:ascii="宋体" w:hAnsi="宋体" w:cs="宋体"/>
          <w:color w:val="000000"/>
          <w:sz w:val="24"/>
          <w:szCs w:val="24"/>
          <w:highlight w:val="none"/>
        </w:rPr>
      </w:r>
      <w:r/>
    </w:p>
    <w:p>
      <w:pPr>
        <w:pStyle w:val="1086"/>
        <w:jc w:val="left"/>
        <w:spacing w:before="30" w:after="30" w:line="360" w:lineRule="auto"/>
        <w:widowControl/>
        <w:rPr>
          <w:color w:val="000000"/>
          <w:sz w:val="24"/>
          <w:szCs w:val="24"/>
          <w:highlight w:val="none"/>
        </w:rPr>
      </w:pPr>
      <w:r>
        <w:rPr>
          <w:color w:val="000000"/>
          <w:sz w:val="24"/>
          <w:szCs w:val="24"/>
          <w:highlight w:val="none"/>
          <w:shd w:val="clear" w:color="auto" w:fill="ffffff"/>
        </w:rPr>
        <w:t xml:space="preserve">__________________</w:t>
      </w:r>
      <w:r>
        <w:rPr>
          <w:color w:val="000000"/>
          <w:sz w:val="24"/>
          <w:szCs w:val="24"/>
          <w:highlight w:val="none"/>
        </w:rPr>
      </w:r>
      <w:r/>
    </w:p>
    <w:p>
      <w:pPr>
        <w:pStyle w:val="1086"/>
        <w:jc w:val="left"/>
        <w:spacing w:line="360" w:lineRule="auto"/>
        <w:widowControl/>
        <w:rPr>
          <w:color w:val="000000"/>
          <w:szCs w:val="21"/>
          <w:highlight w:val="none"/>
        </w:rPr>
      </w:pPr>
      <w:r>
        <w:rPr>
          <w:color w:val="000000"/>
          <w:szCs w:val="21"/>
          <w:highlight w:val="none"/>
          <w:shd w:val="clear" w:color="auto" w:fill="ffffff"/>
        </w:rPr>
        <w:t xml:space="preserve">1.产品如有型号，请在“产品名称”栏一并填写。</w:t>
      </w:r>
      <w:r>
        <w:rPr>
          <w:color w:val="000000"/>
          <w:szCs w:val="21"/>
          <w:highlight w:val="none"/>
        </w:rPr>
      </w:r>
      <w:r/>
    </w:p>
    <w:p>
      <w:pPr>
        <w:pStyle w:val="1086"/>
        <w:jc w:val="left"/>
        <w:spacing w:line="360" w:lineRule="auto"/>
        <w:widowControl/>
        <w:rPr>
          <w:color w:val="000000"/>
          <w:szCs w:val="21"/>
          <w:highlight w:val="none"/>
        </w:rPr>
      </w:pPr>
      <w:r>
        <w:rPr>
          <w:color w:val="000000"/>
          <w:szCs w:val="21"/>
          <w:highlight w:val="none"/>
          <w:shd w:val="clear" w:color="auto" w:fill="ffffff"/>
        </w:rPr>
        <w:t xml:space="preserve">2.生产厂名与厂址应与生产厂营业执照载明的相关信息保持一致。</w:t>
      </w:r>
      <w:r>
        <w:rPr>
          <w:color w:val="000000"/>
          <w:szCs w:val="21"/>
          <w:highlight w:val="none"/>
        </w:rPr>
      </w:r>
      <w:r/>
    </w:p>
    <w:p>
      <w:pPr>
        <w:pStyle w:val="1086"/>
        <w:jc w:val="left"/>
        <w:spacing w:line="360" w:lineRule="auto"/>
        <w:widowControl/>
        <w:rPr>
          <w:color w:val="000000"/>
          <w:szCs w:val="21"/>
          <w:highlight w:val="none"/>
        </w:rPr>
      </w:pPr>
      <w:r>
        <w:rPr>
          <w:color w:val="000000"/>
          <w:szCs w:val="21"/>
          <w:highlight w:val="none"/>
          <w:shd w:val="clear" w:color="auto" w:fill="ffffff"/>
        </w:rPr>
        <w:t xml:space="preserve">3.该产品的中国境内生产的组件成本占比相关要求实施前，“规定比例”栏可不填，下同。</w:t>
      </w:r>
      <w:r>
        <w:rPr>
          <w:color w:val="000000"/>
          <w:szCs w:val="21"/>
          <w:highlight w:val="none"/>
        </w:rPr>
      </w:r>
      <w:r/>
    </w:p>
    <w:p>
      <w:pPr>
        <w:pStyle w:val="1086"/>
        <w:jc w:val="left"/>
        <w:spacing w:line="360" w:lineRule="auto"/>
        <w:widowControl/>
        <w:rPr>
          <w:color w:val="000000"/>
          <w:szCs w:val="21"/>
          <w:highlight w:val="none"/>
        </w:rPr>
      </w:pPr>
      <w:r>
        <w:rPr>
          <w:color w:val="000000"/>
          <w:szCs w:val="21"/>
          <w:highlight w:val="none"/>
          <w:shd w:val="clear" w:color="auto" w:fill="ffffff"/>
        </w:rPr>
        <w:t xml:space="preserve">4.该产品的关键组件要求实施前，“关键组件”栏可不填，下同。</w:t>
      </w:r>
      <w:r>
        <w:rPr>
          <w:color w:val="000000"/>
          <w:szCs w:val="21"/>
          <w:highlight w:val="none"/>
        </w:rPr>
      </w:r>
      <w:r/>
    </w:p>
    <w:p>
      <w:pPr>
        <w:pStyle w:val="1086"/>
        <w:jc w:val="left"/>
        <w:spacing w:line="360" w:lineRule="auto"/>
        <w:widowControl/>
        <w:rPr>
          <w:color w:val="000000"/>
          <w:szCs w:val="21"/>
          <w:highlight w:val="none"/>
          <w:shd w:val="clear" w:color="auto" w:fill="ffffff"/>
        </w:rPr>
      </w:pPr>
      <w:r>
        <w:rPr>
          <w:color w:val="000000"/>
          <w:szCs w:val="21"/>
          <w:highlight w:val="none"/>
          <w:shd w:val="clear" w:color="auto" w:fill="ffffff"/>
        </w:rPr>
        <w:t xml:space="preserve">5.该产品的关键工序要求实施前，“关键工序”栏可不填，下同。</w:t>
      </w:r>
      <w:r>
        <w:rPr>
          <w:color w:val="000000"/>
          <w:szCs w:val="21"/>
          <w:highlight w:val="none"/>
          <w:shd w:val="clear" w:color="auto" w:fill="ffffff"/>
        </w:rPr>
      </w:r>
      <w:r/>
    </w:p>
    <w:p>
      <w:pPr>
        <w:pStyle w:val="1086"/>
        <w:jc w:val="left"/>
        <w:spacing w:line="360" w:lineRule="auto"/>
        <w:widowControl/>
        <w:rPr>
          <w:color w:val="000000"/>
          <w:szCs w:val="21"/>
          <w:highlight w:val="none"/>
          <w:shd w:val="clear" w:color="auto" w:fill="ffffff"/>
        </w:rPr>
      </w:pPr>
      <w:r>
        <w:rPr>
          <w:color w:val="000000"/>
          <w:szCs w:val="21"/>
          <w:highlight w:val="none"/>
          <w:shd w:val="clear" w:color="auto" w:fill="ffffff"/>
        </w:rPr>
        <w:t xml:space="preserve">6.用斜线划除的地方无需填写。</w:t>
      </w:r>
      <w:r>
        <w:rPr>
          <w:color w:val="000000"/>
          <w:szCs w:val="21"/>
          <w:highlight w:val="none"/>
          <w:shd w:val="clear" w:color="auto" w:fill="ffffff"/>
        </w:rPr>
      </w:r>
      <w:r/>
    </w:p>
    <w:p>
      <w:pPr>
        <w:pStyle w:val="1086"/>
        <w:jc w:val="left"/>
        <w:spacing w:line="360" w:lineRule="auto"/>
        <w:widowControl/>
        <w:rPr>
          <w:b/>
          <w:bCs/>
          <w:color w:val="000000"/>
          <w:szCs w:val="21"/>
          <w:highlight w:val="none"/>
          <w:shd w:val="clear" w:color="auto" w:fill="ffffff"/>
        </w:rPr>
      </w:pPr>
      <w:r>
        <w:rPr>
          <w:b/>
          <w:bCs/>
          <w:color w:val="000000"/>
          <w:szCs w:val="21"/>
          <w:highlight w:val="none"/>
          <w:shd w:val="clear" w:color="auto" w:fill="ffffff"/>
        </w:rPr>
        <w:t xml:space="preserve">7.供应商提供虚假《声明函》、虚假证明文件谋取中标、成交的，依照《中华人民共和国政府采购法》等法律法规规定追究相应责任。</w:t>
      </w:r>
      <w:r>
        <w:rPr>
          <w:b/>
          <w:bCs/>
          <w:color w:val="000000"/>
          <w:szCs w:val="21"/>
          <w:highlight w:val="none"/>
          <w:shd w:val="clear" w:color="auto" w:fill="ffffff"/>
        </w:rPr>
      </w:r>
      <w:r/>
    </w:p>
    <w:p>
      <w:pPr>
        <w:pStyle w:val="1086"/>
        <w:spacing w:line="360" w:lineRule="auto"/>
        <w:rPr>
          <w:rFonts w:hint="eastAsia" w:ascii="宋体" w:hAnsi="宋体" w:cs="宋体"/>
          <w:bCs/>
          <w:color w:val="000000"/>
          <w:szCs w:val="21"/>
          <w:highlight w:val="none"/>
        </w:rPr>
      </w:pPr>
      <w:r>
        <w:rPr>
          <w:color w:val="000000"/>
          <w:szCs w:val="21"/>
          <w:highlight w:val="none"/>
          <w:shd w:val="clear" w:color="auto" w:fill="ffffff"/>
        </w:rPr>
        <w:t xml:space="preserve">8.中标、成交供应商提供的《声明函》或有关证明文件将随中标、成交结果同时公告。</w:t>
      </w:r>
      <w:r>
        <w:rPr>
          <w:rFonts w:hint="eastAsia" w:ascii="宋体" w:hAnsi="宋体" w:cs="宋体"/>
          <w:bCs/>
          <w:color w:val="000000"/>
          <w:szCs w:val="21"/>
          <w:highlight w:val="none"/>
        </w:rPr>
      </w:r>
      <w:r/>
    </w:p>
    <w:p>
      <w:pPr>
        <w:pStyle w:val="1134"/>
        <w:jc w:val="center"/>
        <w:spacing w:before="30" w:after="30" w:line="0" w:lineRule="atLeast"/>
        <w:rPr>
          <w:rFonts w:ascii="宋体" w:hAnsi="宋体"/>
          <w:b/>
          <w:bCs/>
          <w:color w:val="000000"/>
          <w:sz w:val="36"/>
          <w:szCs w:val="36"/>
          <w:highlight w:val="none"/>
          <w:shd w:val="clear" w:color="auto" w:fill="ffffff"/>
        </w:rPr>
      </w:pPr>
      <w:r>
        <w:rPr>
          <w:rFonts w:hint="eastAsia" w:ascii="宋体" w:hAnsi="宋体"/>
          <w:b/>
          <w:bCs/>
          <w:color w:val="000000"/>
          <w:sz w:val="36"/>
          <w:szCs w:val="36"/>
          <w:highlight w:val="none"/>
          <w:shd w:val="clear" w:color="auto" w:fill="ffffff"/>
        </w:rPr>
        <w:t xml:space="preserve">成本比例声明函</w:t>
      </w:r>
      <w:r>
        <w:rPr>
          <w:rFonts w:ascii="宋体" w:hAnsi="宋体"/>
          <w:b/>
          <w:bCs/>
          <w:color w:val="000000"/>
          <w:sz w:val="36"/>
          <w:szCs w:val="36"/>
          <w:highlight w:val="none"/>
          <w:shd w:val="clear" w:color="auto" w:fill="ffffff"/>
        </w:rPr>
      </w:r>
      <w:r/>
    </w:p>
    <w:p>
      <w:pPr>
        <w:pStyle w:val="1134"/>
        <w:ind w:firstLine="480"/>
        <w:spacing w:before="30" w:after="30" w:line="360" w:lineRule="auto"/>
        <w:rPr>
          <w:rFonts w:ascii="宋体" w:hAnsi="宋体"/>
          <w:color w:val="000000"/>
          <w:highlight w:val="none"/>
          <w:shd w:val="clear" w:color="auto" w:fill="ffffff"/>
        </w:rPr>
      </w:pPr>
      <w:r>
        <w:rPr>
          <w:rFonts w:hint="eastAsia" w:ascii="宋体" w:hAnsi="宋体"/>
          <w:color w:val="000000"/>
          <w:highlight w:val="none"/>
          <w:shd w:val="clear" w:color="auto" w:fill="ffffff"/>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olor w:val="000000"/>
          <w:highlight w:val="none"/>
          <w:shd w:val="clear" w:color="auto" w:fill="ffffff"/>
        </w:rPr>
        <w:t xml:space="preserve">(填写具体百分比)</w:t>
      </w:r>
      <w:r>
        <w:rPr>
          <w:rFonts w:ascii="宋体" w:hAnsi="宋体"/>
          <w:color w:val="000000"/>
          <w:highlight w:val="none"/>
          <w:shd w:val="clear" w:color="auto" w:fill="ffffff"/>
        </w:rPr>
      </w:r>
      <w:r/>
    </w:p>
    <w:p>
      <w:pPr>
        <w:pStyle w:val="1134"/>
        <w:ind w:firstLine="480"/>
        <w:spacing w:before="30" w:after="30" w:line="360" w:lineRule="auto"/>
        <w:rPr>
          <w:rFonts w:ascii="宋体" w:hAnsi="宋体"/>
          <w:color w:val="000000"/>
          <w:highlight w:val="none"/>
          <w:shd w:val="clear" w:color="auto" w:fill="ffffff"/>
        </w:rPr>
      </w:pPr>
      <w:r>
        <w:rPr>
          <w:rFonts w:hint="eastAsia" w:ascii="宋体" w:hAnsi="宋体"/>
          <w:color w:val="000000"/>
          <w:highlight w:val="none"/>
          <w:shd w:val="clear" w:color="auto" w:fill="ffffff"/>
        </w:rPr>
        <w:t xml:space="preserve">本公司(单位)对上述声明内容的真实性负责。如有虚假，愿承担相应法律责任。</w:t>
      </w:r>
      <w:r>
        <w:rPr>
          <w:rFonts w:ascii="宋体" w:hAnsi="宋体"/>
          <w:color w:val="000000"/>
          <w:highlight w:val="none"/>
          <w:shd w:val="clear" w:color="auto" w:fill="ffffff"/>
        </w:rPr>
      </w:r>
      <w:r/>
    </w:p>
    <w:p>
      <w:pPr>
        <w:pStyle w:val="1134"/>
        <w:jc w:val="right"/>
        <w:spacing w:before="30" w:after="30" w:line="360" w:lineRule="auto"/>
        <w:rPr>
          <w:rFonts w:ascii="宋体" w:hAnsi="宋体"/>
          <w:color w:val="000000"/>
          <w:highlight w:val="none"/>
          <w:shd w:val="clear" w:color="auto" w:fill="ffffff"/>
        </w:rPr>
      </w:pPr>
      <w:r>
        <w:rPr>
          <w:rFonts w:hint="eastAsia" w:ascii="宋体" w:hAnsi="宋体"/>
          <w:color w:val="000000"/>
          <w:highlight w:val="none"/>
          <w:shd w:val="clear" w:color="auto" w:fill="ffffff"/>
        </w:rPr>
        <w:t xml:space="preserve">公司(单位)名称(盖章):</w:t>
      </w:r>
      <w:r>
        <w:rPr>
          <w:rFonts w:ascii="宋体" w:hAnsi="宋体"/>
          <w:color w:val="000000"/>
          <w:highlight w:val="none"/>
          <w:shd w:val="clear" w:color="auto" w:fill="ffffff"/>
        </w:rPr>
      </w:r>
      <w:r/>
    </w:p>
    <w:p>
      <w:pPr>
        <w:pStyle w:val="1134"/>
        <w:jc w:val="right"/>
        <w:spacing w:before="30" w:after="30" w:line="360" w:lineRule="auto"/>
        <w:rPr>
          <w:rFonts w:ascii="宋体" w:hAnsi="宋体"/>
          <w:color w:val="000000"/>
          <w:highlight w:val="none"/>
          <w:shd w:val="clear" w:color="auto" w:fill="ffffff"/>
        </w:rPr>
      </w:pPr>
      <w:r>
        <w:rPr>
          <w:rFonts w:hint="eastAsia" w:ascii="宋体" w:hAnsi="宋体"/>
          <w:color w:val="000000"/>
          <w:highlight w:val="none"/>
          <w:shd w:val="clear" w:color="auto" w:fill="ffffff"/>
        </w:rPr>
        <w:t xml:space="preserve">日期:年月日</w:t>
      </w:r>
      <w:r>
        <w:rPr>
          <w:rFonts w:ascii="宋体" w:hAnsi="宋体"/>
          <w:color w:val="000000"/>
          <w:highlight w:val="none"/>
          <w:shd w:val="clear" w:color="auto" w:fill="ffffff"/>
        </w:rPr>
      </w:r>
      <w:r/>
    </w:p>
    <w:p>
      <w:pPr>
        <w:pStyle w:val="1134"/>
        <w:spacing w:before="30" w:after="30" w:line="360" w:lineRule="auto"/>
        <w:rPr>
          <w:rFonts w:ascii="宋体" w:hAnsi="宋体"/>
          <w:color w:val="000000"/>
          <w:highlight w:val="none"/>
          <w:shd w:val="clear" w:color="auto" w:fill="ffffff"/>
        </w:rPr>
      </w:pPr>
      <w:r>
        <w:rPr>
          <w:rFonts w:ascii="宋体" w:hAnsi="宋体"/>
          <w:color w:val="000000"/>
          <w:highlight w:val="none"/>
          <w:shd w:val="clear" w:color="auto" w:fill="ffffff"/>
        </w:rPr>
      </w:r>
      <w:r/>
    </w:p>
    <w:p>
      <w:pPr>
        <w:pStyle w:val="1086"/>
        <w:spacing w:line="360" w:lineRule="auto"/>
        <w:tabs>
          <w:tab w:val="left" w:pos="4860" w:leader="none"/>
        </w:tabs>
        <w:rPr>
          <w:rFonts w:ascii="宋体" w:hAnsi="宋体"/>
          <w:color w:val="000000"/>
          <w:highlight w:val="none"/>
          <w:shd w:val="clear" w:color="auto" w:fill="ffffff"/>
        </w:rPr>
      </w:pPr>
      <w:r>
        <w:rPr>
          <w:rFonts w:hint="eastAsia" w:ascii="宋体" w:hAnsi="宋体"/>
          <w:color w:val="000000"/>
          <w:highlight w:val="none"/>
          <w:shd w:val="clear" w:color="auto" w:fill="ffffff"/>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w:t>
      </w:r>
      <w:r>
        <w:rPr>
          <w:rFonts w:hint="eastAsia"/>
          <w:color w:val="000000"/>
          <w:highlight w:val="none"/>
          <w:shd w:val="clear" w:color="auto" w:fill="ffffff"/>
        </w:rPr>
        <w:t xml:space="preserve">(含)</w:t>
      </w:r>
      <w:r>
        <w:rPr>
          <w:rFonts w:hint="eastAsia" w:ascii="宋体" w:hAnsi="宋体"/>
          <w:color w:val="000000"/>
          <w:highlight w:val="none"/>
          <w:shd w:val="clear" w:color="auto" w:fill="ffffff"/>
        </w:rPr>
        <w:t xml:space="preserve">以上时，依法对该供应商提供的全部产品给予价格评审优惠即对该供应商提供的全部产品的总报价给予20%的价格扣除，用扣除后的价格参与评审。</w:t>
      </w:r>
      <w:r>
        <w:rPr>
          <w:rFonts w:ascii="宋体" w:hAnsi="宋体"/>
          <w:color w:val="000000"/>
          <w:highlight w:val="none"/>
          <w:shd w:val="clear" w:color="auto" w:fill="ffffff"/>
        </w:rPr>
      </w:r>
      <w:r/>
    </w:p>
    <w:p>
      <w:pPr>
        <w:pStyle w:val="1296"/>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96"/>
        <w:rPr>
          <w:color w:val="000000"/>
          <w:highlight w:val="none"/>
        </w:rPr>
      </w:pPr>
      <w:r>
        <w:rPr>
          <w:color w:val="000000"/>
          <w:highlight w:val="none"/>
        </w:rPr>
      </w:r>
      <w:r/>
    </w:p>
    <w:p>
      <w:pPr>
        <w:pStyle w:val="1296"/>
        <w:rPr>
          <w:color w:val="000000"/>
          <w:highlight w:val="none"/>
        </w:rPr>
      </w:pPr>
      <w:r>
        <w:rPr>
          <w:color w:val="000000"/>
          <w:highlight w:val="none"/>
        </w:rPr>
      </w:r>
      <w:r/>
    </w:p>
    <w:p>
      <w:pPr>
        <w:pStyle w:val="1296"/>
        <w:rPr>
          <w:color w:val="000000"/>
          <w:highlight w:val="none"/>
        </w:rPr>
      </w:pPr>
      <w:r>
        <w:rPr>
          <w:color w:val="000000"/>
          <w:highlight w:val="none"/>
        </w:rPr>
      </w:r>
      <w:r/>
    </w:p>
    <w:p>
      <w:pPr>
        <w:pStyle w:val="1296"/>
        <w:rPr>
          <w:color w:val="000000"/>
          <w:highlight w:val="none"/>
        </w:rPr>
      </w:pPr>
      <w:r>
        <w:rPr>
          <w:color w:val="000000"/>
          <w:highlight w:val="none"/>
        </w:rPr>
      </w:r>
      <w:r/>
    </w:p>
    <w:p>
      <w:pPr>
        <w:pStyle w:val="1296"/>
        <w:rPr>
          <w:color w:val="000000"/>
          <w:highlight w:val="none"/>
        </w:rPr>
      </w:pPr>
      <w:r>
        <w:rPr>
          <w:color w:val="000000"/>
          <w:highlight w:val="none"/>
        </w:rPr>
      </w:r>
      <w:r/>
    </w:p>
    <w:p>
      <w:pPr>
        <w:pStyle w:val="1134"/>
        <w:ind w:left="210"/>
        <w:jc w:val="both"/>
        <w:spacing w:before="100" w:after="100" w:line="500" w:lineRule="atLeast"/>
        <w:widowControl/>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Cs w:val="21"/>
          <w:highlight w:val="none"/>
        </w:rPr>
        <w:t xml:space="preserve">（十）南京市政府采购供应商信用记录表暨信用承诺书（格式）：</w:t>
      </w:r>
      <w:r>
        <w:rPr>
          <w:rFonts w:hint="eastAsia" w:ascii="宋体" w:hAnsi="宋体" w:cs="宋体"/>
          <w:b/>
          <w:color w:val="000000"/>
          <w:szCs w:val="21"/>
          <w:highlight w:val="none"/>
        </w:rPr>
      </w:r>
      <w:r/>
    </w:p>
    <w:p>
      <w:pPr>
        <w:pStyle w:val="1134"/>
        <w:ind w:right="-5"/>
        <w:spacing w:before="100" w:after="100"/>
        <w:widowControl/>
        <w:rPr>
          <w:rFonts w:ascii="Arial" w:hAnsi="Arial" w:cs="Arial"/>
          <w:color w:val="000000"/>
          <w:sz w:val="18"/>
          <w:szCs w:val="18"/>
          <w:highlight w:val="none"/>
        </w:rPr>
      </w:pPr>
      <w:r>
        <w:rPr>
          <w:rFonts w:hint="eastAsia" w:ascii="宋体" w:hAnsi="宋体" w:cs="宋体"/>
          <w:bCs/>
          <w:color w:val="000000"/>
          <w:sz w:val="18"/>
          <w:szCs w:val="18"/>
          <w:highlight w:val="none"/>
        </w:rPr>
        <w:t xml:space="preserve">点</w:t>
      </w:r>
      <w:r>
        <w:rPr>
          <w:rFonts w:hint="eastAsia" w:ascii="宋体" w:hAnsi="宋体" w:cs="宋体"/>
          <w:bCs/>
          <w:color w:val="000000"/>
          <w:sz w:val="18"/>
          <w:szCs w:val="18"/>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cs="宋体"/>
          <w:b/>
          <w:color w:val="000000"/>
          <w:sz w:val="18"/>
          <w:szCs w:val="18"/>
          <w:highlight w:val="none"/>
        </w:rPr>
        <w:t xml:space="preserve">由法人签字并盖单位公章</w:t>
      </w:r>
      <w:r>
        <w:rPr>
          <w:rFonts w:hint="eastAsia" w:ascii="宋体" w:hAnsi="宋体" w:cs="宋体"/>
          <w:bCs/>
          <w:color w:val="000000"/>
          <w:sz w:val="18"/>
          <w:szCs w:val="18"/>
          <w:highlight w:val="none"/>
        </w:rPr>
        <w:t xml:space="preserve">。</w:t>
      </w:r>
      <w:r>
        <w:rPr>
          <w:rFonts w:ascii="Arial" w:hAnsi="Arial" w:cs="Arial"/>
          <w:color w:val="000000"/>
          <w:sz w:val="18"/>
          <w:szCs w:val="18"/>
          <w:highlight w:val="none"/>
        </w:rPr>
      </w:r>
      <w:r/>
    </w:p>
    <w:p>
      <w:pPr>
        <w:pStyle w:val="1134"/>
        <w:jc w:val="center"/>
        <w:spacing w:before="100" w:after="100" w:line="500" w:lineRule="atLeast"/>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南京市政府采购供应商信用记录表暨信用承诺书</w:t>
      </w:r>
      <w:r>
        <w:rPr>
          <w:rFonts w:hint="eastAsia" w:ascii="宋体" w:hAnsi="宋体" w:cs="宋体"/>
          <w:b/>
          <w:color w:val="000000"/>
          <w:szCs w:val="21"/>
          <w:highlight w:val="none"/>
        </w:rPr>
      </w:r>
      <w:r/>
    </w:p>
    <w:p>
      <w:pPr>
        <w:pStyle w:val="1134"/>
        <w:jc w:val="center"/>
        <w:spacing w:beforeAutospacing="0" w:afterAutospacing="0"/>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【须按上述要求下载，直接打印填写下表无效】</w:t>
      </w:r>
      <w:r>
        <w:rPr>
          <w:rFonts w:hint="eastAsia" w:ascii="宋体" w:hAnsi="宋体" w:cs="宋体"/>
          <w:b/>
          <w:color w:val="000000"/>
          <w:szCs w:val="21"/>
          <w:highlight w:val="none"/>
        </w:rPr>
      </w:r>
      <w:r/>
    </w:p>
    <w:p>
      <w:pPr>
        <w:pStyle w:val="1134"/>
        <w:jc w:val="right"/>
        <w:spacing w:beforeAutospacing="0" w:afterAutospacing="0"/>
        <w:widowControl/>
        <w:rPr>
          <w:color w:val="000000"/>
          <w:highlight w:val="none"/>
        </w:rPr>
      </w:pPr>
      <w:r>
        <w:rPr>
          <w:color w:val="000000"/>
          <w:sz w:val="21"/>
          <w:szCs w:val="21"/>
          <w:highlight w:val="none"/>
        </w:rPr>
        <w:t xml:space="preserve">年月日</w:t>
      </w:r>
      <w:r>
        <w:rPr>
          <w:color w:val="000000"/>
          <w:highlight w:val="none"/>
        </w:rPr>
        <w:t xml:space="preserve"> </w:t>
      </w:r>
      <w:r>
        <w:rPr>
          <w:color w:val="000000"/>
          <w:highlight w:val="none"/>
        </w:rPr>
      </w:r>
      <w:r/>
    </w:p>
    <w:tbl>
      <w:tblPr>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65"/>
        <w:gridCol w:w="308"/>
        <w:gridCol w:w="7695"/>
        <w:gridCol w:w="323"/>
      </w:tblGrid>
      <w:tr>
        <w:trPr>
          <w:tblCellSpacing w:w="15" w:type="dxa"/>
          <w:trHeight w:val="20"/>
        </w:trPr>
        <w:tc>
          <w:tcPr>
            <w:tcW w:w="665" w:type="dxa"/>
            <w:vAlign w:val="center"/>
            <w:textDirection w:val="lrTb"/>
            <w:noWrap w:val="false"/>
          </w:tcPr>
          <w:p>
            <w:pPr>
              <w:pStyle w:val="1134"/>
              <w:spacing w:before="100" w:after="100" w:line="22" w:lineRule="atLeast"/>
              <w:widowControl/>
              <w:rPr>
                <w:color w:val="000000"/>
                <w:highlight w:val="none"/>
              </w:rPr>
            </w:pPr>
            <w:r>
              <w:rPr>
                <w:color w:val="000000"/>
                <w:sz w:val="21"/>
                <w:szCs w:val="21"/>
                <w:highlight w:val="none"/>
              </w:rPr>
              <w:t xml:space="preserve">单位名称</w:t>
            </w:r>
            <w:r>
              <w:rPr>
                <w:color w:val="000000"/>
                <w:highlight w:val="none"/>
              </w:rPr>
              <w:t xml:space="preserve"> </w:t>
            </w:r>
            <w:r>
              <w:rPr>
                <w:color w:val="000000"/>
                <w:highlight w:val="none"/>
              </w:rPr>
            </w:r>
            <w:r/>
          </w:p>
        </w:tc>
        <w:tc>
          <w:tcPr>
            <w:tcW w:w="308" w:type="dxa"/>
            <w:vAlign w:val="center"/>
            <w:textDirection w:val="lrTb"/>
            <w:noWrap w:val="false"/>
          </w:tcPr>
          <w:p>
            <w:pPr>
              <w:pStyle w:val="1134"/>
              <w:spacing w:before="100" w:after="100" w:line="22" w:lineRule="atLeast"/>
              <w:widowControl/>
              <w:rPr>
                <w:color w:val="000000"/>
                <w:highlight w:val="none"/>
              </w:rPr>
            </w:pPr>
            <w:r>
              <w:rPr>
                <w:color w:val="000000"/>
                <w:highlight w:val="none"/>
              </w:rPr>
            </w:r>
            <w:r/>
          </w:p>
        </w:tc>
        <w:tc>
          <w:tcPr>
            <w:tcW w:w="7695" w:type="dxa"/>
            <w:vAlign w:val="center"/>
            <w:textDirection w:val="lrTb"/>
            <w:noWrap w:val="false"/>
          </w:tcPr>
          <w:p>
            <w:pPr>
              <w:pStyle w:val="1134"/>
              <w:spacing w:before="100" w:after="100" w:line="22" w:lineRule="atLeast"/>
              <w:widowControl/>
              <w:rPr>
                <w:color w:val="000000"/>
                <w:highlight w:val="none"/>
              </w:rPr>
            </w:pPr>
            <w:r>
              <w:rPr>
                <w:color w:val="000000"/>
                <w:sz w:val="21"/>
                <w:szCs w:val="21"/>
                <w:highlight w:val="none"/>
              </w:rPr>
              <w:t xml:space="preserve">统一社会信用代码</w:t>
            </w:r>
            <w:r>
              <w:rPr>
                <w:color w:val="000000"/>
                <w:highlight w:val="none"/>
              </w:rPr>
              <w:t xml:space="preserve"> </w:t>
            </w:r>
            <w:r>
              <w:rPr>
                <w:color w:val="000000"/>
                <w:highlight w:val="none"/>
              </w:rPr>
            </w:r>
            <w:r/>
          </w:p>
        </w:tc>
        <w:tc>
          <w:tcPr>
            <w:tcW w:w="323" w:type="dxa"/>
            <w:vAlign w:val="center"/>
            <w:textDirection w:val="lrTb"/>
            <w:noWrap w:val="false"/>
          </w:tcPr>
          <w:p>
            <w:pPr>
              <w:pStyle w:val="1134"/>
              <w:spacing w:before="100" w:after="100" w:line="22" w:lineRule="atLeast"/>
              <w:widowControl/>
              <w:rPr>
                <w:color w:val="000000"/>
                <w:highlight w:val="none"/>
              </w:rPr>
            </w:pPr>
            <w:r>
              <w:rPr>
                <w:color w:val="000000"/>
                <w:highlight w:val="none"/>
              </w:rPr>
            </w:r>
            <w:r/>
          </w:p>
        </w:tc>
      </w:tr>
      <w:tr>
        <w:trPr>
          <w:tblCellSpacing w:w="15" w:type="dxa"/>
          <w:trHeight w:val="20"/>
        </w:trPr>
        <w:tc>
          <w:tcPr>
            <w:tcW w:w="665" w:type="dxa"/>
            <w:vAlign w:val="center"/>
            <w:textDirection w:val="lrTb"/>
            <w:noWrap w:val="false"/>
          </w:tcPr>
          <w:p>
            <w:pPr>
              <w:pStyle w:val="1134"/>
              <w:spacing w:before="100" w:after="100" w:line="22" w:lineRule="atLeast"/>
              <w:widowControl/>
              <w:rPr>
                <w:color w:val="000000"/>
                <w:highlight w:val="none"/>
              </w:rPr>
            </w:pPr>
            <w:r>
              <w:rPr>
                <w:color w:val="000000"/>
                <w:sz w:val="21"/>
                <w:szCs w:val="21"/>
                <w:highlight w:val="none"/>
              </w:rPr>
              <w:t xml:space="preserve">法定代表人</w:t>
            </w:r>
            <w:r>
              <w:rPr>
                <w:color w:val="000000"/>
                <w:highlight w:val="none"/>
              </w:rPr>
              <w:t xml:space="preserve"> </w:t>
            </w:r>
            <w:r>
              <w:rPr>
                <w:color w:val="000000"/>
                <w:highlight w:val="none"/>
              </w:rPr>
            </w:r>
            <w:r/>
          </w:p>
        </w:tc>
        <w:tc>
          <w:tcPr>
            <w:tcW w:w="308" w:type="dxa"/>
            <w:vAlign w:val="center"/>
            <w:textDirection w:val="lrTb"/>
            <w:noWrap w:val="false"/>
          </w:tcPr>
          <w:p>
            <w:pPr>
              <w:pStyle w:val="1134"/>
              <w:spacing w:before="100" w:after="100" w:line="22" w:lineRule="atLeast"/>
              <w:widowControl/>
              <w:rPr>
                <w:color w:val="000000"/>
                <w:highlight w:val="none"/>
              </w:rPr>
            </w:pPr>
            <w:r>
              <w:rPr>
                <w:color w:val="000000"/>
                <w:highlight w:val="none"/>
              </w:rPr>
            </w:r>
            <w:r/>
          </w:p>
        </w:tc>
        <w:tc>
          <w:tcPr>
            <w:tcW w:w="7695" w:type="dxa"/>
            <w:vAlign w:val="center"/>
            <w:textDirection w:val="lrTb"/>
            <w:noWrap w:val="false"/>
          </w:tcPr>
          <w:p>
            <w:pPr>
              <w:pStyle w:val="1134"/>
              <w:spacing w:before="100" w:after="100" w:line="22" w:lineRule="atLeast"/>
              <w:widowControl/>
              <w:rPr>
                <w:color w:val="000000"/>
                <w:highlight w:val="none"/>
              </w:rPr>
            </w:pPr>
            <w:r>
              <w:rPr>
                <w:color w:val="000000"/>
                <w:sz w:val="21"/>
                <w:szCs w:val="21"/>
                <w:highlight w:val="none"/>
              </w:rPr>
              <w:t xml:space="preserve">联系人</w:t>
            </w:r>
            <w:r>
              <w:rPr>
                <w:color w:val="000000"/>
                <w:highlight w:val="none"/>
              </w:rPr>
              <w:t xml:space="preserve"> </w:t>
            </w:r>
            <w:r>
              <w:rPr>
                <w:color w:val="000000"/>
                <w:highlight w:val="none"/>
              </w:rPr>
            </w:r>
            <w:r/>
          </w:p>
        </w:tc>
        <w:tc>
          <w:tcPr>
            <w:tcW w:w="323" w:type="dxa"/>
            <w:vAlign w:val="center"/>
            <w:textDirection w:val="lrTb"/>
            <w:noWrap w:val="false"/>
          </w:tcPr>
          <w:p>
            <w:pPr>
              <w:pStyle w:val="1134"/>
              <w:spacing w:before="100" w:after="100" w:line="22" w:lineRule="atLeast"/>
              <w:widowControl/>
              <w:rPr>
                <w:color w:val="000000"/>
                <w:highlight w:val="none"/>
              </w:rPr>
            </w:pPr>
            <w:r>
              <w:rPr>
                <w:color w:val="000000"/>
                <w:highlight w:val="none"/>
              </w:rPr>
            </w:r>
            <w:r/>
          </w:p>
        </w:tc>
      </w:tr>
      <w:tr>
        <w:trPr>
          <w:tblCellSpacing w:w="15" w:type="dxa"/>
          <w:trHeight w:val="20"/>
        </w:trPr>
        <w:tc>
          <w:tcPr>
            <w:tcW w:w="665" w:type="dxa"/>
            <w:vAlign w:val="center"/>
            <w:textDirection w:val="lrTb"/>
            <w:noWrap w:val="false"/>
          </w:tcPr>
          <w:p>
            <w:pPr>
              <w:pStyle w:val="1134"/>
              <w:spacing w:before="100" w:after="100" w:line="22" w:lineRule="atLeast"/>
              <w:widowControl/>
              <w:rPr>
                <w:color w:val="000000"/>
                <w:highlight w:val="none"/>
              </w:rPr>
            </w:pPr>
            <w:r>
              <w:rPr>
                <w:color w:val="000000"/>
                <w:sz w:val="21"/>
                <w:szCs w:val="21"/>
                <w:highlight w:val="none"/>
              </w:rPr>
              <w:t xml:space="preserve">联系地址</w:t>
            </w:r>
            <w:r>
              <w:rPr>
                <w:color w:val="000000"/>
                <w:highlight w:val="none"/>
              </w:rPr>
              <w:t xml:space="preserve"> </w:t>
            </w:r>
            <w:r>
              <w:rPr>
                <w:color w:val="000000"/>
                <w:highlight w:val="none"/>
              </w:rPr>
            </w:r>
            <w:r/>
          </w:p>
        </w:tc>
        <w:tc>
          <w:tcPr>
            <w:tcW w:w="308" w:type="dxa"/>
            <w:vAlign w:val="center"/>
            <w:textDirection w:val="lrTb"/>
            <w:noWrap w:val="false"/>
          </w:tcPr>
          <w:p>
            <w:pPr>
              <w:pStyle w:val="1134"/>
              <w:spacing w:before="100" w:after="100" w:line="22" w:lineRule="atLeast"/>
              <w:widowControl/>
              <w:rPr>
                <w:color w:val="000000"/>
                <w:highlight w:val="none"/>
              </w:rPr>
            </w:pPr>
            <w:r>
              <w:rPr>
                <w:color w:val="000000"/>
                <w:highlight w:val="none"/>
              </w:rPr>
            </w:r>
            <w:r/>
          </w:p>
        </w:tc>
        <w:tc>
          <w:tcPr>
            <w:tcW w:w="7695" w:type="dxa"/>
            <w:vAlign w:val="center"/>
            <w:textDirection w:val="lrTb"/>
            <w:noWrap w:val="false"/>
          </w:tcPr>
          <w:p>
            <w:pPr>
              <w:pStyle w:val="1134"/>
              <w:spacing w:before="100" w:after="100" w:line="22" w:lineRule="atLeast"/>
              <w:widowControl/>
              <w:rPr>
                <w:color w:val="000000"/>
                <w:highlight w:val="none"/>
              </w:rPr>
            </w:pPr>
            <w:r>
              <w:rPr>
                <w:color w:val="000000"/>
                <w:sz w:val="21"/>
                <w:szCs w:val="21"/>
                <w:highlight w:val="none"/>
              </w:rPr>
              <w:t xml:space="preserve">联系电话</w:t>
            </w:r>
            <w:r>
              <w:rPr>
                <w:color w:val="000000"/>
                <w:highlight w:val="none"/>
              </w:rPr>
              <w:t xml:space="preserve"> </w:t>
            </w:r>
            <w:r>
              <w:rPr>
                <w:color w:val="000000"/>
                <w:highlight w:val="none"/>
              </w:rPr>
            </w:r>
            <w:r/>
          </w:p>
        </w:tc>
        <w:tc>
          <w:tcPr>
            <w:tcW w:w="323" w:type="dxa"/>
            <w:vAlign w:val="center"/>
            <w:textDirection w:val="lrTb"/>
            <w:noWrap w:val="false"/>
          </w:tcPr>
          <w:p>
            <w:pPr>
              <w:pStyle w:val="1134"/>
              <w:spacing w:before="100" w:after="100" w:line="22" w:lineRule="atLeast"/>
              <w:widowControl/>
              <w:rPr>
                <w:color w:val="000000"/>
                <w:highlight w:val="none"/>
              </w:rPr>
            </w:pPr>
            <w:r>
              <w:rPr>
                <w:color w:val="000000"/>
                <w:highlight w:val="none"/>
              </w:rPr>
            </w:r>
            <w:r/>
          </w:p>
        </w:tc>
      </w:tr>
      <w:tr>
        <w:trPr>
          <w:tblCellSpacing w:w="15" w:type="dxa"/>
          <w:trHeight w:val="1024"/>
        </w:trPr>
        <w:tc>
          <w:tcPr>
            <w:tcW w:w="665" w:type="dxa"/>
            <w:vAlign w:val="center"/>
            <w:textDirection w:val="lrTb"/>
            <w:noWrap w:val="false"/>
          </w:tcPr>
          <w:p>
            <w:pPr>
              <w:pStyle w:val="1134"/>
              <w:spacing w:before="100" w:after="100" w:line="22" w:lineRule="atLeast"/>
              <w:widowControl/>
              <w:rPr>
                <w:color w:val="000000"/>
                <w:highlight w:val="none"/>
              </w:rPr>
            </w:pPr>
            <w:r>
              <w:rPr>
                <w:color w:val="000000"/>
                <w:sz w:val="21"/>
                <w:szCs w:val="21"/>
                <w:highlight w:val="none"/>
              </w:rPr>
              <w:t xml:space="preserve">诚信档案记录情况</w:t>
            </w:r>
            <w:r>
              <w:rPr>
                <w:color w:val="000000"/>
                <w:highlight w:val="none"/>
              </w:rPr>
              <w:t xml:space="preserve"> </w:t>
            </w:r>
            <w:r>
              <w:rPr>
                <w:color w:val="000000"/>
                <w:highlight w:val="none"/>
              </w:rPr>
            </w:r>
            <w:r/>
          </w:p>
        </w:tc>
        <w:tc>
          <w:tcPr>
            <w:gridSpan w:val="3"/>
            <w:tcW w:w="8326" w:type="dxa"/>
            <w:vAlign w:val="center"/>
            <w:textDirection w:val="lrTb"/>
            <w:noWrap w:val="false"/>
          </w:tcPr>
          <w:p>
            <w:pPr>
              <w:pStyle w:val="1134"/>
              <w:spacing w:before="100" w:after="100" w:line="22" w:lineRule="atLeast"/>
              <w:widowControl/>
              <w:rPr>
                <w:color w:val="000000"/>
                <w:highlight w:val="none"/>
              </w:rPr>
            </w:pPr>
            <w:r>
              <w:rPr>
                <w:color w:val="000000"/>
                <w:highlight w:val="none"/>
              </w:rPr>
            </w:r>
            <w:r/>
          </w:p>
        </w:tc>
      </w:tr>
      <w:tr>
        <w:trPr>
          <w:tblCellSpacing w:w="15" w:type="dxa"/>
          <w:trHeight w:val="5318"/>
        </w:trPr>
        <w:tc>
          <w:tcPr>
            <w:tcW w:w="665" w:type="dxa"/>
            <w:vAlign w:val="center"/>
            <w:textDirection w:val="lrTb"/>
            <w:noWrap w:val="false"/>
          </w:tcPr>
          <w:p>
            <w:pPr>
              <w:pStyle w:val="1134"/>
              <w:spacing w:before="100" w:after="100" w:line="22" w:lineRule="atLeast"/>
              <w:widowControl/>
              <w:rPr>
                <w:color w:val="000000"/>
                <w:highlight w:val="none"/>
              </w:rPr>
            </w:pPr>
            <w:r>
              <w:rPr>
                <w:color w:val="000000"/>
                <w:sz w:val="21"/>
                <w:szCs w:val="21"/>
                <w:highlight w:val="none"/>
              </w:rPr>
              <w:t xml:space="preserve">信用承诺</w:t>
            </w:r>
            <w:r>
              <w:rPr>
                <w:color w:val="000000"/>
                <w:highlight w:val="none"/>
              </w:rPr>
              <w:t xml:space="preserve"> </w:t>
            </w:r>
            <w:r>
              <w:rPr>
                <w:color w:val="000000"/>
                <w:highlight w:val="none"/>
              </w:rPr>
            </w:r>
            <w:r/>
          </w:p>
        </w:tc>
        <w:tc>
          <w:tcPr>
            <w:gridSpan w:val="3"/>
            <w:tcW w:w="8326" w:type="dxa"/>
            <w:vAlign w:val="center"/>
            <w:textDirection w:val="lrTb"/>
            <w:noWrap w:val="false"/>
          </w:tcPr>
          <w:p>
            <w:pPr>
              <w:pStyle w:val="1134"/>
              <w:ind w:firstLine="420"/>
              <w:spacing w:before="100" w:after="100" w:line="22" w:lineRule="atLeast"/>
              <w:widowControl/>
              <w:rPr>
                <w:color w:val="000000"/>
                <w:highlight w:val="none"/>
              </w:rPr>
            </w:pPr>
            <w:r>
              <w:rPr>
                <w:color w:val="000000"/>
                <w:sz w:val="21"/>
                <w:szCs w:val="21"/>
                <w:highlight w:val="none"/>
              </w:rPr>
              <w:t xml:space="preserve">我公司自愿参加</w:t>
            </w:r>
            <w:r>
              <w:rPr>
                <w:rFonts w:hint="eastAsia"/>
                <w:color w:val="000000"/>
                <w:sz w:val="21"/>
                <w:szCs w:val="21"/>
                <w:highlight w:val="none"/>
              </w:rPr>
              <w:t xml:space="preserve">苏美达国际技术贸易有限公司</w:t>
            </w:r>
            <w:r>
              <w:rPr>
                <w:color w:val="000000"/>
                <w:sz w:val="21"/>
                <w:szCs w:val="21"/>
                <w:highlight w:val="none"/>
              </w:rPr>
              <w:t xml:space="preserve">组织的本次采购活动，严格遵守《中华人民共和国政府采购法》及相关法律法规，坚守公开、公平、</w:t>
            </w:r>
            <w:r>
              <w:rPr>
                <w:rFonts w:hint="eastAsia"/>
                <w:color w:val="000000"/>
                <w:sz w:val="21"/>
                <w:szCs w:val="21"/>
                <w:highlight w:val="none"/>
              </w:rPr>
              <w:t xml:space="preserve">公正</w:t>
            </w:r>
            <w:r>
              <w:rPr>
                <w:color w:val="000000"/>
                <w:sz w:val="21"/>
                <w:szCs w:val="21"/>
                <w:highlight w:val="none"/>
              </w:rPr>
              <w:t xml:space="preserve">、诚实信用的原则，</w:t>
            </w:r>
            <w:r>
              <w:rPr>
                <w:rFonts w:hint="eastAsia"/>
                <w:color w:val="000000"/>
                <w:sz w:val="21"/>
                <w:szCs w:val="21"/>
                <w:highlight w:val="none"/>
              </w:rPr>
              <w:t xml:space="preserve">依法</w:t>
            </w:r>
            <w:r>
              <w:rPr>
                <w:color w:val="000000"/>
                <w:sz w:val="21"/>
                <w:szCs w:val="21"/>
                <w:highlight w:val="none"/>
              </w:rPr>
              <w:t xml:space="preserve">诚信经营，无条件遵守本次政府采购活动的各项规定。</w:t>
            </w:r>
            <w:r>
              <w:rPr>
                <w:color w:val="000000"/>
                <w:highlight w:val="none"/>
              </w:rPr>
              <w:t xml:space="preserve"> </w:t>
            </w:r>
            <w:r>
              <w:rPr>
                <w:color w:val="000000"/>
                <w:highlight w:val="none"/>
              </w:rPr>
            </w:r>
            <w:r/>
          </w:p>
          <w:p>
            <w:pPr>
              <w:pStyle w:val="1134"/>
              <w:ind w:firstLine="420"/>
              <w:spacing w:before="100" w:after="100" w:line="22" w:lineRule="atLeast"/>
              <w:widowControl/>
              <w:rPr>
                <w:color w:val="000000"/>
                <w:highlight w:val="none"/>
              </w:rPr>
            </w:pPr>
            <w:r>
              <w:rPr>
                <w:color w:val="000000"/>
                <w:sz w:val="21"/>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color w:val="000000"/>
                <w:sz w:val="21"/>
                <w:szCs w:val="21"/>
                <w:highlight w:val="none"/>
              </w:rPr>
              <w:t xml:space="preserve">机关的</w:t>
            </w:r>
            <w:r>
              <w:rPr>
                <w:color w:val="000000"/>
                <w:sz w:val="21"/>
                <w:szCs w:val="21"/>
                <w:highlight w:val="none"/>
              </w:rPr>
              <w:t xml:space="preserve">审查和处罚。</w:t>
            </w:r>
            <w:r>
              <w:rPr>
                <w:color w:val="000000"/>
                <w:highlight w:val="none"/>
              </w:rPr>
              <w:t xml:space="preserve"> </w:t>
            </w:r>
            <w:r>
              <w:rPr>
                <w:color w:val="000000"/>
                <w:highlight w:val="none"/>
              </w:rPr>
            </w:r>
            <w:r/>
          </w:p>
          <w:p>
            <w:pPr>
              <w:pStyle w:val="1134"/>
              <w:jc w:val="right"/>
              <w:spacing w:before="100" w:after="100" w:line="22" w:lineRule="atLeast"/>
              <w:widowControl/>
              <w:rPr>
                <w:color w:val="000000"/>
                <w:highlight w:val="none"/>
              </w:rPr>
            </w:pPr>
            <w:r>
              <w:rPr>
                <w:color w:val="000000"/>
                <w:sz w:val="21"/>
                <w:szCs w:val="21"/>
                <w:highlight w:val="none"/>
              </w:rPr>
              <w:t xml:space="preserve">供应商名称（盖章）：</w:t>
            </w:r>
            <w:r>
              <w:rPr>
                <w:color w:val="000000"/>
                <w:highlight w:val="none"/>
              </w:rPr>
              <w:t xml:space="preserve"> </w:t>
            </w:r>
            <w:r>
              <w:rPr>
                <w:color w:val="000000"/>
                <w:highlight w:val="none"/>
              </w:rPr>
            </w:r>
            <w:r/>
          </w:p>
          <w:p>
            <w:pPr>
              <w:pStyle w:val="1134"/>
              <w:jc w:val="right"/>
              <w:spacing w:before="100" w:after="100" w:line="22" w:lineRule="atLeast"/>
              <w:widowControl/>
              <w:rPr>
                <w:color w:val="000000"/>
                <w:highlight w:val="none"/>
              </w:rPr>
            </w:pPr>
            <w:r>
              <w:rPr>
                <w:color w:val="000000"/>
                <w:sz w:val="21"/>
                <w:szCs w:val="21"/>
                <w:highlight w:val="none"/>
              </w:rPr>
              <w:t xml:space="preserve">法定代表人（签字）：</w:t>
            </w:r>
            <w:r>
              <w:rPr>
                <w:color w:val="000000"/>
                <w:highlight w:val="none"/>
              </w:rPr>
              <w:t xml:space="preserve"> </w:t>
            </w:r>
            <w:r>
              <w:rPr>
                <w:color w:val="000000"/>
                <w:highlight w:val="none"/>
              </w:rPr>
            </w:r>
            <w:r/>
          </w:p>
          <w:p>
            <w:pPr>
              <w:pStyle w:val="1134"/>
              <w:jc w:val="right"/>
              <w:spacing w:before="100" w:after="100" w:line="22" w:lineRule="atLeast"/>
              <w:widowControl/>
              <w:rPr>
                <w:color w:val="000000"/>
                <w:highlight w:val="none"/>
              </w:rPr>
            </w:pPr>
            <w:r>
              <w:rPr>
                <w:color w:val="000000"/>
                <w:sz w:val="21"/>
                <w:szCs w:val="21"/>
                <w:highlight w:val="none"/>
              </w:rPr>
              <w:t xml:space="preserve">年月日</w:t>
            </w:r>
            <w:r>
              <w:rPr>
                <w:color w:val="000000"/>
                <w:highlight w:val="none"/>
              </w:rPr>
              <w:t xml:space="preserve"> </w:t>
            </w:r>
            <w:r>
              <w:rPr>
                <w:color w:val="000000"/>
                <w:highlight w:val="none"/>
              </w:rPr>
            </w:r>
            <w:r/>
          </w:p>
        </w:tc>
      </w:tr>
    </w:tbl>
    <w:p>
      <w:pPr>
        <w:pStyle w:val="1293"/>
        <w:ind w:firstLine="240"/>
        <w:rPr>
          <w:rFonts w:ascii="Arial" w:hAnsi="Arial" w:cs="Arial"/>
          <w:color w:val="000000"/>
          <w:sz w:val="24"/>
          <w:highlight w:val="none"/>
        </w:rPr>
      </w:pPr>
      <w:r>
        <w:rPr>
          <w:rFonts w:ascii="Arial" w:hAnsi="Arial" w:cs="Arial"/>
          <w:color w:val="000000"/>
          <w:sz w:val="24"/>
          <w:highlight w:val="none"/>
        </w:rPr>
      </w:r>
      <w:r/>
    </w:p>
    <w:p>
      <w:pPr>
        <w:pStyle w:val="1152"/>
        <w:rPr>
          <w:rFonts w:hint="eastAsia"/>
          <w:color w:val="000000"/>
          <w:highlight w:val="none"/>
        </w:rPr>
      </w:pPr>
      <w:r>
        <w:rPr>
          <w:rFonts w:hint="eastAsia"/>
          <w:color w:val="000000"/>
          <w:highlight w:val="none"/>
        </w:rPr>
      </w:r>
      <w:r/>
    </w:p>
    <w:sectPr>
      <w:headerReference w:type="default" r:id="rId12"/>
      <w:headerReference w:type="first" r:id="rId13"/>
      <w:footerReference w:type="default" r:id="rId20"/>
      <w:footerReference w:type="first" r:id="rId21"/>
      <w:footnotePr/>
      <w:endnotePr/>
      <w:type w:val="nextPage"/>
      <w:pgSz w:w="11906" w:h="16838" w:orient="portrait"/>
      <w:pgMar w:top="1134" w:right="1134" w:bottom="1134" w:left="1134"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小标宋简体">
    <w:panose1 w:val="020B0503020202020204"/>
  </w:font>
  <w:font w:name="楷体_GB2312">
    <w:panose1 w:val="02010609060101010101"/>
  </w:font>
  <w:font w:name="黑体">
    <w:panose1 w:val="02010609060101010101"/>
  </w:font>
  <w:font w:name="Symbol">
    <w:panose1 w:val="05050102010706020507"/>
  </w:font>
  <w:font w:name="Wingdings">
    <w:panose1 w:val="05000000000000000000"/>
  </w:font>
  <w:font w:name="Tahoma">
    <w:panose1 w:val="020B0604030504040204"/>
  </w:font>
  <w:font w:name="华文新魏">
    <w:panose1 w:val="02010800040101010101"/>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tabs>
        <w:tab w:val="center" w:pos="4153" w:leader="none"/>
        <w:tab w:val="right" w:pos="8306" w:leader="none"/>
      </w:tabs>
      <w:rPr>
        <w:rStyle w:val="1151"/>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86"/>
                          </w:pPr>
                          <w:r/>
                          <w:r/>
                        </w:p>
                      </w:txbxContent>
                    </wps:txbx>
                    <wps:bodyPr wrap="none" lIns="0" tIns="0" rIns="0" bIns="0" upright="1">
                      <a:spAutoFit/>
                    </wps:bodyPr>
                  </wps:wsp>
                </a:graphicData>
              </a:graphic>
            </wp:anchor>
          </w:drawing>
        </mc:Choice>
        <mc:Fallback>
          <w:pict>
            <v:shape id="shape 0" o:spid="_x0000_s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86"/>
                    </w:pPr>
                    <w:r/>
                    <w:r/>
                  </w:p>
                </w:txbxContent>
              </v:textbox>
            </v:shape>
          </w:pict>
        </mc:Fallback>
      </mc:AlternateContent>
    </w:r>
    <w:r>
      <w:rPr>
        <w:rStyle w:val="1151"/>
        <w:rFonts w:hint="eastAsia"/>
      </w:rPr>
      <w:t xml:space="preserve">            </w:t>
    </w:r>
    <w:r>
      <w:rPr>
        <w:rStyle w:val="1151"/>
        <w:rFonts w:hint="eastAsia"/>
      </w:rPr>
    </w:r>
    <w:r/>
  </w:p>
  <w:p>
    <w:pPr>
      <w:pStyle w:val="1299"/>
      <w:tabs>
        <w:tab w:val="center" w:pos="4153" w:leader="none"/>
        <w:tab w:val="right" w:pos="8306" w:leader="none"/>
      </w:tabs>
      <w:rPr>
        <w:rStyle w:val="1151"/>
        <w:rFonts w:hint="eastAsia"/>
      </w:rPr>
      <w:framePr w:wrap="around" w:vAnchor="text" w:hAnchor="page" w:x="6104" w:y="52"/>
    </w:pPr>
    <w:r>
      <w:rPr>
        <w:rStyle w:val="1151"/>
        <w:rFonts w:hint="eastAsia"/>
      </w:rPr>
      <w:t xml:space="preserve">                   </w:t>
    </w:r>
    <w:r>
      <w:rPr>
        <w:rStyle w:val="1151"/>
        <w:rFonts w:hint="eastAsia"/>
      </w:rPr>
    </w:r>
    <w:r/>
  </w:p>
  <w:p>
    <w:pPr>
      <w:pStyle w:val="1299"/>
      <w:jc w:val="center"/>
      <w:tabs>
        <w:tab w:val="center" w:pos="4153" w:leader="none"/>
        <w:tab w:val="right" w:pos="8306" w:leader="none"/>
      </w:tabs>
      <w:rPr>
        <w:rFonts w:hint="eastAsia"/>
        <w:sz w:val="24"/>
        <w:szCs w:val="21"/>
      </w:rPr>
    </w:pP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29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8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86"/>
                    </w:pPr>
                    <w:r/>
                    <w:r/>
                  </w:p>
                </w:txbxContent>
              </v:textbox>
            </v:shape>
          </w:pict>
        </mc:Fallback>
      </mc:AlternateContent>
    </w:r>
    <w:r>
      <w:rPr>
        <w:lang w:val="zh-CN"/>
      </w:rPr>
      <w:t xml:space="preserve"> </w:t>
    </w:r>
    <w:r/>
  </w:p>
  <w:p>
    <w:pPr>
      <w:pStyle w:val="1299"/>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1086"/>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10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jc w:val="center"/>
                            <w:tabs>
                              <w:tab w:val="clear" w:pos="4153" w:leader="none"/>
                              <w:tab w:val="clear" w:pos="8306" w:leader="none"/>
                            </w:tabs>
                          </w:pPr>
                          <w:r>
                            <w:rPr>
                              <w:rFonts w:hint="eastAsia"/>
                            </w:rPr>
                            <w:t xml:space="preserve">第</w:t>
                          </w:r>
                          <w:r>
                            <w:fldChar w:fldCharType="begin"/>
                          </w:r>
                          <w:r>
                            <w:rPr>
                              <w:rStyle w:val="1151"/>
                            </w:rPr>
                            <w:instrText xml:space="preserve"> PAGE </w:instrText>
                          </w:r>
                          <w:r>
                            <w:fldChar w:fldCharType="separate"/>
                          </w:r>
                          <w:r>
                            <w:rPr>
                              <w:rStyle w:val="1151"/>
                            </w:rPr>
                            <w:t xml:space="preserve">3</w:t>
                          </w:r>
                          <w:r>
                            <w:fldChar w:fldCharType="end"/>
                          </w:r>
                          <w:r>
                            <w:rPr>
                              <w:rStyle w:val="1151"/>
                              <w:rFonts w:hint="eastAsia"/>
                            </w:rPr>
                            <w:t xml:space="preserve">页，共</w:t>
                          </w:r>
                          <w:r>
                            <w:fldChar w:fldCharType="begin"/>
                          </w:r>
                          <w:r>
                            <w:rPr>
                              <w:rStyle w:val="1151"/>
                            </w:rPr>
                            <w:instrText xml:space="preserve"> NUMPAGES </w:instrText>
                          </w:r>
                          <w:r>
                            <w:fldChar w:fldCharType="separate"/>
                          </w:r>
                          <w:r>
                            <w:rPr>
                              <w:rStyle w:val="1151"/>
                            </w:rPr>
                            <w:t xml:space="preserve">43</w:t>
                          </w:r>
                          <w:r>
                            <w:fldChar w:fldCharType="end"/>
                          </w:r>
                          <w:r>
                            <w:rPr>
                              <w:rStyle w:val="1151"/>
                              <w:rFonts w:hint="eastAsia"/>
                            </w:rPr>
                            <w:t xml:space="preserve">页</w:t>
                          </w:r>
                          <w:r/>
                        </w:p>
                        <w:p>
                          <w:pPr>
                            <w:pStyle w:val="108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jc w:val="center"/>
                      <w:tabs>
                        <w:tab w:val="clear" w:pos="4153" w:leader="none"/>
                        <w:tab w:val="clear" w:pos="8306" w:leader="none"/>
                      </w:tabs>
                    </w:pPr>
                    <w:r>
                      <w:rPr>
                        <w:rFonts w:hint="eastAsia"/>
                      </w:rPr>
                      <w:t xml:space="preserve">第</w:t>
                    </w:r>
                    <w:r>
                      <w:fldChar w:fldCharType="begin"/>
                    </w:r>
                    <w:r>
                      <w:rPr>
                        <w:rStyle w:val="1151"/>
                      </w:rPr>
                      <w:instrText xml:space="preserve"> PAGE </w:instrText>
                    </w:r>
                    <w:r>
                      <w:fldChar w:fldCharType="separate"/>
                    </w:r>
                    <w:r>
                      <w:rPr>
                        <w:rStyle w:val="1151"/>
                      </w:rPr>
                      <w:t xml:space="preserve">3</w:t>
                    </w:r>
                    <w:r>
                      <w:fldChar w:fldCharType="end"/>
                    </w:r>
                    <w:r>
                      <w:rPr>
                        <w:rStyle w:val="1151"/>
                        <w:rFonts w:hint="eastAsia"/>
                      </w:rPr>
                      <w:t xml:space="preserve">页，共</w:t>
                    </w:r>
                    <w:r>
                      <w:fldChar w:fldCharType="begin"/>
                    </w:r>
                    <w:r>
                      <w:rPr>
                        <w:rStyle w:val="1151"/>
                      </w:rPr>
                      <w:instrText xml:space="preserve"> NUMPAGES </w:instrText>
                    </w:r>
                    <w:r>
                      <w:fldChar w:fldCharType="separate"/>
                    </w:r>
                    <w:r>
                      <w:rPr>
                        <w:rStyle w:val="1151"/>
                      </w:rPr>
                      <w:t xml:space="preserve">43</w:t>
                    </w:r>
                    <w:r>
                      <w:fldChar w:fldCharType="end"/>
                    </w:r>
                    <w:r>
                      <w:rPr>
                        <w:rStyle w:val="1151"/>
                        <w:rFonts w:hint="eastAsia"/>
                      </w:rPr>
                      <w:t xml:space="preserve">页</w:t>
                    </w:r>
                    <w:r/>
                  </w:p>
                  <w:p>
                    <w:pPr>
                      <w:pStyle w:val="10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8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86"/>
                    </w:pPr>
                    <w:r/>
                    <w:r/>
                  </w:p>
                </w:txbxContent>
              </v:textbox>
            </v:shape>
          </w:pict>
        </mc:Fallback>
      </mc:AlternateContent>
    </w:r>
    <w:r/>
  </w:p>
  <w:p>
    <w:pPr>
      <w:pStyle w:val="1299"/>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2"/>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pPr>
                            <w:pStyle w:val="108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2"/>
                      <w:tabs>
                        <w:tab w:val="clear" w:pos="7143" w:leader="none"/>
                        <w:tab w:val="clear" w:pos="14287" w:leader="none"/>
                      </w:tabs>
                    </w:pPr>
                    <w:r>
                      <w:fldChar w:fldCharType="begin"/>
                    </w:r>
                    <w:r>
                      <w:instrText xml:space="preserve"> PAGE  \* MERGEFORMAT </w:instrText>
                    </w:r>
                    <w:r>
                      <w:fldChar w:fldCharType="separate"/>
                    </w:r>
                    <w:r>
                      <w:t xml:space="preserve">42</w:t>
                    </w:r>
                    <w:r>
                      <w:fldChar w:fldCharType="end"/>
                    </w:r>
                    <w:r/>
                  </w:p>
                  <w:p>
                    <w:pPr>
                      <w:pStyle w:val="1086"/>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9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34</w:t>
                          </w:r>
                          <w:r>
                            <w:fldChar w:fldCharType="end"/>
                          </w:r>
                          <w:r/>
                        </w:p>
                        <w:p>
                          <w:pPr>
                            <w:pStyle w:val="1086"/>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9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34</w:t>
                    </w:r>
                    <w:r>
                      <w:fldChar w:fldCharType="end"/>
                    </w:r>
                    <w:r/>
                  </w:p>
                  <w:p>
                    <w:pPr>
                      <w:pStyle w:val="1086"/>
                    </w:pPr>
                    <w:r/>
                    <w:r/>
                  </w:p>
                </w:txbxContent>
              </v:textbox>
            </v:shape>
          </w:pict>
        </mc:Fallback>
      </mc:AlternateContent>
    </w:r>
    <w:r/>
  </w:p>
  <w:p>
    <w:pPr>
      <w:pStyle w:val="1299"/>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123"/>
      <w:tabs>
        <w:tab w:val="center" w:pos="7143" w:leader="none"/>
        <w:tab w:val="right" w:pos="14287" w:leader="none"/>
      </w:tabs>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298"/>
      <w:jc w:val="right"/>
      <w:spacing w:line="40" w:lineRule="exac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298"/>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8"/>
      <w:jc w:val="left"/>
      <w:tabs>
        <w:tab w:val="center" w:pos="4153" w:leader="none"/>
        <w:tab w:val="right" w:pos="8306" w:leader="none"/>
      </w:tabs>
      <w:rPr>
        <w:rFonts w:hint="eastAsia"/>
        <w:sz w:val="21"/>
      </w:rPr>
    </w:pPr>
    <w:r>
      <w:rPr>
        <w:rFonts w:hint="eastAsia"/>
        <w:sz w:val="21"/>
      </w:rPr>
      <w:t xml:space="preserve">苏美达国际技术贸易有限公司                                           SUMEC       </w:t>
    </w:r>
    <w:r>
      <w:rPr>
        <w:rFonts w:hint="eastAsia"/>
        <w:sz w:val="21"/>
      </w:rPr>
    </w:r>
    <w:r/>
  </w:p>
  <w:p>
    <w:pPr>
      <w:pStyle w:val="1123"/>
      <w:tabs>
        <w:tab w:val="center" w:pos="7143" w:leader="none"/>
        <w:tab w:val="right"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tab"/>
      <w:lvlText w:val="第%1章"/>
      <w:lvlJc w:val="left"/>
      <w:pPr>
        <w:pStyle w:val="1086"/>
      </w:pPr>
    </w:lvl>
    <w:lvl w:ilvl="1">
      <w:start w:val="1"/>
      <w:numFmt w:val="bullet"/>
      <w:isLgl w:val="false"/>
      <w:suff w:val="space"/>
      <w:lvlText w:val="o"/>
      <w:lvlJc w:val="left"/>
      <w:pPr>
        <w:pStyle w:val="1086"/>
        <w:ind w:left="1440" w:hanging="360"/>
      </w:pPr>
      <w:rPr>
        <w:rFonts w:ascii="Courier New" w:hAnsi="Courier New" w:eastAsia="Courier New" w:cs="Courier New"/>
      </w:rPr>
    </w:lvl>
    <w:lvl w:ilvl="2">
      <w:start w:val="1"/>
      <w:numFmt w:val="bullet"/>
      <w:isLgl w:val="false"/>
      <w:suff w:val="space"/>
      <w:lvlText w:val="§"/>
      <w:lvlJc w:val="left"/>
      <w:pPr>
        <w:pStyle w:val="1086"/>
        <w:ind w:left="2160" w:hanging="360"/>
      </w:pPr>
      <w:rPr>
        <w:rFonts w:ascii="Wingdings" w:hAnsi="Wingdings" w:eastAsia="Wingdings" w:cs="Wingdings"/>
      </w:rPr>
    </w:lvl>
    <w:lvl w:ilvl="3">
      <w:start w:val="1"/>
      <w:numFmt w:val="bullet"/>
      <w:isLgl w:val="false"/>
      <w:suff w:val="space"/>
      <w:lvlText w:val="·"/>
      <w:lvlJc w:val="left"/>
      <w:pPr>
        <w:pStyle w:val="1086"/>
        <w:ind w:left="2880" w:hanging="360"/>
      </w:pPr>
      <w:rPr>
        <w:rFonts w:ascii="Symbol" w:hAnsi="Symbol" w:eastAsia="Symbol" w:cs="Symbol"/>
      </w:rPr>
    </w:lvl>
    <w:lvl w:ilvl="4">
      <w:start w:val="1"/>
      <w:numFmt w:val="bullet"/>
      <w:isLgl w:val="false"/>
      <w:suff w:val="space"/>
      <w:lvlText w:val="o"/>
      <w:lvlJc w:val="left"/>
      <w:pPr>
        <w:pStyle w:val="1086"/>
        <w:ind w:left="3600" w:hanging="360"/>
      </w:pPr>
      <w:rPr>
        <w:rFonts w:ascii="Courier New" w:hAnsi="Courier New" w:eastAsia="Courier New" w:cs="Courier New"/>
      </w:rPr>
    </w:lvl>
    <w:lvl w:ilvl="5">
      <w:start w:val="1"/>
      <w:numFmt w:val="bullet"/>
      <w:isLgl w:val="false"/>
      <w:suff w:val="space"/>
      <w:lvlText w:val="§"/>
      <w:lvlJc w:val="left"/>
      <w:pPr>
        <w:pStyle w:val="1086"/>
        <w:ind w:left="4320" w:hanging="360"/>
      </w:pPr>
      <w:rPr>
        <w:rFonts w:ascii="Wingdings" w:hAnsi="Wingdings" w:eastAsia="Wingdings" w:cs="Wingdings"/>
      </w:rPr>
    </w:lvl>
    <w:lvl w:ilvl="6">
      <w:start w:val="1"/>
      <w:numFmt w:val="bullet"/>
      <w:isLgl w:val="false"/>
      <w:suff w:val="space"/>
      <w:lvlText w:val="·"/>
      <w:lvlJc w:val="left"/>
      <w:pPr>
        <w:pStyle w:val="1086"/>
        <w:ind w:left="5040" w:hanging="360"/>
      </w:pPr>
      <w:rPr>
        <w:rFonts w:ascii="Symbol" w:hAnsi="Symbol" w:eastAsia="Symbol" w:cs="Symbol"/>
      </w:rPr>
    </w:lvl>
    <w:lvl w:ilvl="7">
      <w:start w:val="1"/>
      <w:numFmt w:val="bullet"/>
      <w:isLgl w:val="false"/>
      <w:suff w:val="space"/>
      <w:lvlText w:val="o"/>
      <w:lvlJc w:val="left"/>
      <w:pPr>
        <w:pStyle w:val="1086"/>
        <w:ind w:left="5760" w:hanging="360"/>
      </w:pPr>
      <w:rPr>
        <w:rFonts w:ascii="Courier New" w:hAnsi="Courier New" w:eastAsia="Courier New" w:cs="Courier New"/>
      </w:rPr>
    </w:lvl>
    <w:lvl w:ilvl="8">
      <w:start w:val="1"/>
      <w:numFmt w:val="bullet"/>
      <w:isLgl w:val="false"/>
      <w:suff w:val="space"/>
      <w:lvlText w:val="§"/>
      <w:lvlJc w:val="left"/>
      <w:pPr>
        <w:pStyle w:val="1086"/>
        <w:ind w:left="6480" w:hanging="360"/>
      </w:pPr>
      <w:rPr>
        <w:rFonts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1086"/>
      </w:pPr>
    </w:lvl>
    <w:lvl w:ilvl="1">
      <w:start w:val="1"/>
      <w:numFmt w:val="bullet"/>
      <w:isLgl w:val="false"/>
      <w:suff w:val="space"/>
      <w:lvlText w:val="o"/>
      <w:lvlJc w:val="left"/>
      <w:pPr>
        <w:pStyle w:val="1086"/>
        <w:ind w:left="1440" w:hanging="360"/>
      </w:pPr>
      <w:rPr>
        <w:rFonts w:ascii="Courier New" w:hAnsi="Courier New" w:eastAsia="Courier New" w:cs="Courier New"/>
      </w:rPr>
    </w:lvl>
    <w:lvl w:ilvl="2">
      <w:start w:val="1"/>
      <w:numFmt w:val="bullet"/>
      <w:isLgl w:val="false"/>
      <w:suff w:val="space"/>
      <w:lvlText w:val="§"/>
      <w:lvlJc w:val="left"/>
      <w:pPr>
        <w:pStyle w:val="1086"/>
        <w:ind w:left="2160" w:hanging="360"/>
      </w:pPr>
      <w:rPr>
        <w:rFonts w:ascii="Wingdings" w:hAnsi="Wingdings" w:eastAsia="Wingdings" w:cs="Wingdings"/>
      </w:rPr>
    </w:lvl>
    <w:lvl w:ilvl="3">
      <w:start w:val="1"/>
      <w:numFmt w:val="bullet"/>
      <w:isLgl w:val="false"/>
      <w:suff w:val="space"/>
      <w:lvlText w:val="·"/>
      <w:lvlJc w:val="left"/>
      <w:pPr>
        <w:pStyle w:val="1086"/>
        <w:ind w:left="2880" w:hanging="360"/>
      </w:pPr>
      <w:rPr>
        <w:rFonts w:ascii="Symbol" w:hAnsi="Symbol" w:eastAsia="Symbol" w:cs="Symbol"/>
      </w:rPr>
    </w:lvl>
    <w:lvl w:ilvl="4">
      <w:start w:val="1"/>
      <w:numFmt w:val="bullet"/>
      <w:isLgl w:val="false"/>
      <w:suff w:val="space"/>
      <w:lvlText w:val="o"/>
      <w:lvlJc w:val="left"/>
      <w:pPr>
        <w:pStyle w:val="1086"/>
        <w:ind w:left="3600" w:hanging="360"/>
      </w:pPr>
      <w:rPr>
        <w:rFonts w:ascii="Courier New" w:hAnsi="Courier New" w:eastAsia="Courier New" w:cs="Courier New"/>
      </w:rPr>
    </w:lvl>
    <w:lvl w:ilvl="5">
      <w:start w:val="1"/>
      <w:numFmt w:val="bullet"/>
      <w:isLgl w:val="false"/>
      <w:suff w:val="space"/>
      <w:lvlText w:val="§"/>
      <w:lvlJc w:val="left"/>
      <w:pPr>
        <w:pStyle w:val="1086"/>
        <w:ind w:left="4320" w:hanging="360"/>
      </w:pPr>
      <w:rPr>
        <w:rFonts w:ascii="Wingdings" w:hAnsi="Wingdings" w:eastAsia="Wingdings" w:cs="Wingdings"/>
      </w:rPr>
    </w:lvl>
    <w:lvl w:ilvl="6">
      <w:start w:val="1"/>
      <w:numFmt w:val="bullet"/>
      <w:isLgl w:val="false"/>
      <w:suff w:val="space"/>
      <w:lvlText w:val="·"/>
      <w:lvlJc w:val="left"/>
      <w:pPr>
        <w:pStyle w:val="1086"/>
        <w:ind w:left="5040" w:hanging="360"/>
      </w:pPr>
      <w:rPr>
        <w:rFonts w:ascii="Symbol" w:hAnsi="Symbol" w:eastAsia="Symbol" w:cs="Symbol"/>
      </w:rPr>
    </w:lvl>
    <w:lvl w:ilvl="7">
      <w:start w:val="1"/>
      <w:numFmt w:val="bullet"/>
      <w:isLgl w:val="false"/>
      <w:suff w:val="space"/>
      <w:lvlText w:val="o"/>
      <w:lvlJc w:val="left"/>
      <w:pPr>
        <w:pStyle w:val="1086"/>
        <w:ind w:left="5760" w:hanging="360"/>
      </w:pPr>
      <w:rPr>
        <w:rFonts w:ascii="Courier New" w:hAnsi="Courier New" w:eastAsia="Courier New" w:cs="Courier New"/>
      </w:rPr>
    </w:lvl>
    <w:lvl w:ilvl="8">
      <w:start w:val="1"/>
      <w:numFmt w:val="bullet"/>
      <w:isLgl w:val="false"/>
      <w:suff w:val="space"/>
      <w:lvlText w:val="§"/>
      <w:lvlJc w:val="left"/>
      <w:pPr>
        <w:pStyle w:val="1086"/>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1086"/>
      </w:pPr>
    </w:lvl>
    <w:lvl w:ilvl="1">
      <w:start w:val="1"/>
      <w:numFmt w:val="bullet"/>
      <w:isLgl w:val="false"/>
      <w:suff w:val="space"/>
      <w:lvlText w:val="o"/>
      <w:lvlJc w:val="left"/>
      <w:pPr>
        <w:pStyle w:val="1086"/>
        <w:ind w:left="1440" w:hanging="360"/>
      </w:pPr>
      <w:rPr>
        <w:rFonts w:ascii="Courier New" w:hAnsi="Courier New" w:eastAsia="Courier New" w:cs="Courier New"/>
      </w:rPr>
    </w:lvl>
    <w:lvl w:ilvl="2">
      <w:start w:val="1"/>
      <w:numFmt w:val="bullet"/>
      <w:isLgl w:val="false"/>
      <w:suff w:val="space"/>
      <w:lvlText w:val="§"/>
      <w:lvlJc w:val="left"/>
      <w:pPr>
        <w:pStyle w:val="1086"/>
        <w:ind w:left="2160" w:hanging="360"/>
      </w:pPr>
      <w:rPr>
        <w:rFonts w:ascii="Wingdings" w:hAnsi="Wingdings" w:eastAsia="Wingdings" w:cs="Wingdings"/>
      </w:rPr>
    </w:lvl>
    <w:lvl w:ilvl="3">
      <w:start w:val="1"/>
      <w:numFmt w:val="bullet"/>
      <w:isLgl w:val="false"/>
      <w:suff w:val="space"/>
      <w:lvlText w:val="·"/>
      <w:lvlJc w:val="left"/>
      <w:pPr>
        <w:pStyle w:val="1086"/>
        <w:ind w:left="2880" w:hanging="360"/>
      </w:pPr>
      <w:rPr>
        <w:rFonts w:ascii="Symbol" w:hAnsi="Symbol" w:eastAsia="Symbol" w:cs="Symbol"/>
      </w:rPr>
    </w:lvl>
    <w:lvl w:ilvl="4">
      <w:start w:val="1"/>
      <w:numFmt w:val="bullet"/>
      <w:isLgl w:val="false"/>
      <w:suff w:val="space"/>
      <w:lvlText w:val="o"/>
      <w:lvlJc w:val="left"/>
      <w:pPr>
        <w:pStyle w:val="1086"/>
        <w:ind w:left="3600" w:hanging="360"/>
      </w:pPr>
      <w:rPr>
        <w:rFonts w:ascii="Courier New" w:hAnsi="Courier New" w:eastAsia="Courier New" w:cs="Courier New"/>
      </w:rPr>
    </w:lvl>
    <w:lvl w:ilvl="5">
      <w:start w:val="1"/>
      <w:numFmt w:val="bullet"/>
      <w:isLgl w:val="false"/>
      <w:suff w:val="space"/>
      <w:lvlText w:val="§"/>
      <w:lvlJc w:val="left"/>
      <w:pPr>
        <w:pStyle w:val="1086"/>
        <w:ind w:left="4320" w:hanging="360"/>
      </w:pPr>
      <w:rPr>
        <w:rFonts w:ascii="Wingdings" w:hAnsi="Wingdings" w:eastAsia="Wingdings" w:cs="Wingdings"/>
      </w:rPr>
    </w:lvl>
    <w:lvl w:ilvl="6">
      <w:start w:val="1"/>
      <w:numFmt w:val="bullet"/>
      <w:isLgl w:val="false"/>
      <w:suff w:val="space"/>
      <w:lvlText w:val="·"/>
      <w:lvlJc w:val="left"/>
      <w:pPr>
        <w:pStyle w:val="1086"/>
        <w:ind w:left="5040" w:hanging="360"/>
      </w:pPr>
      <w:rPr>
        <w:rFonts w:ascii="Symbol" w:hAnsi="Symbol" w:eastAsia="Symbol" w:cs="Symbol"/>
      </w:rPr>
    </w:lvl>
    <w:lvl w:ilvl="7">
      <w:start w:val="1"/>
      <w:numFmt w:val="bullet"/>
      <w:isLgl w:val="false"/>
      <w:suff w:val="space"/>
      <w:lvlText w:val="o"/>
      <w:lvlJc w:val="left"/>
      <w:pPr>
        <w:pStyle w:val="1086"/>
        <w:ind w:left="5760" w:hanging="360"/>
      </w:pPr>
      <w:rPr>
        <w:rFonts w:ascii="Courier New" w:hAnsi="Courier New" w:eastAsia="Courier New" w:cs="Courier New"/>
      </w:rPr>
    </w:lvl>
    <w:lvl w:ilvl="8">
      <w:start w:val="1"/>
      <w:numFmt w:val="bullet"/>
      <w:isLgl w:val="false"/>
      <w:suff w:val="space"/>
      <w:lvlText w:val="§"/>
      <w:lvlJc w:val="left"/>
      <w:pPr>
        <w:pStyle w:val="1086"/>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086"/>
      </w:pPr>
    </w:lvl>
    <w:lvl w:ilvl="1">
      <w:start w:val="1"/>
      <w:numFmt w:val="bullet"/>
      <w:isLgl w:val="false"/>
      <w:suff w:val="space"/>
      <w:lvlText w:val="o"/>
      <w:lvlJc w:val="left"/>
      <w:pPr>
        <w:pStyle w:val="1086"/>
        <w:ind w:left="1440" w:hanging="360"/>
      </w:pPr>
      <w:rPr>
        <w:rFonts w:ascii="Courier New" w:hAnsi="Courier New" w:eastAsia="Courier New" w:cs="Courier New"/>
      </w:rPr>
    </w:lvl>
    <w:lvl w:ilvl="2">
      <w:start w:val="1"/>
      <w:numFmt w:val="bullet"/>
      <w:isLgl w:val="false"/>
      <w:suff w:val="space"/>
      <w:lvlText w:val="§"/>
      <w:lvlJc w:val="left"/>
      <w:pPr>
        <w:pStyle w:val="1086"/>
        <w:ind w:left="2160" w:hanging="360"/>
      </w:pPr>
      <w:rPr>
        <w:rFonts w:ascii="Wingdings" w:hAnsi="Wingdings" w:eastAsia="Wingdings" w:cs="Wingdings"/>
      </w:rPr>
    </w:lvl>
    <w:lvl w:ilvl="3">
      <w:start w:val="1"/>
      <w:numFmt w:val="bullet"/>
      <w:isLgl w:val="false"/>
      <w:suff w:val="space"/>
      <w:lvlText w:val="·"/>
      <w:lvlJc w:val="left"/>
      <w:pPr>
        <w:pStyle w:val="1086"/>
        <w:ind w:left="2880" w:hanging="360"/>
      </w:pPr>
      <w:rPr>
        <w:rFonts w:ascii="Symbol" w:hAnsi="Symbol" w:eastAsia="Symbol" w:cs="Symbol"/>
      </w:rPr>
    </w:lvl>
    <w:lvl w:ilvl="4">
      <w:start w:val="1"/>
      <w:numFmt w:val="bullet"/>
      <w:isLgl w:val="false"/>
      <w:suff w:val="space"/>
      <w:lvlText w:val="o"/>
      <w:lvlJc w:val="left"/>
      <w:pPr>
        <w:pStyle w:val="1086"/>
        <w:ind w:left="3600" w:hanging="360"/>
      </w:pPr>
      <w:rPr>
        <w:rFonts w:ascii="Courier New" w:hAnsi="Courier New" w:eastAsia="Courier New" w:cs="Courier New"/>
      </w:rPr>
    </w:lvl>
    <w:lvl w:ilvl="5">
      <w:start w:val="1"/>
      <w:numFmt w:val="bullet"/>
      <w:isLgl w:val="false"/>
      <w:suff w:val="space"/>
      <w:lvlText w:val="§"/>
      <w:lvlJc w:val="left"/>
      <w:pPr>
        <w:pStyle w:val="1086"/>
        <w:ind w:left="4320" w:hanging="360"/>
      </w:pPr>
      <w:rPr>
        <w:rFonts w:ascii="Wingdings" w:hAnsi="Wingdings" w:eastAsia="Wingdings" w:cs="Wingdings"/>
      </w:rPr>
    </w:lvl>
    <w:lvl w:ilvl="6">
      <w:start w:val="1"/>
      <w:numFmt w:val="bullet"/>
      <w:isLgl w:val="false"/>
      <w:suff w:val="space"/>
      <w:lvlText w:val="·"/>
      <w:lvlJc w:val="left"/>
      <w:pPr>
        <w:pStyle w:val="1086"/>
        <w:ind w:left="5040" w:hanging="360"/>
      </w:pPr>
      <w:rPr>
        <w:rFonts w:ascii="Symbol" w:hAnsi="Symbol" w:eastAsia="Symbol" w:cs="Symbol"/>
      </w:rPr>
    </w:lvl>
    <w:lvl w:ilvl="7">
      <w:start w:val="1"/>
      <w:numFmt w:val="bullet"/>
      <w:isLgl w:val="false"/>
      <w:suff w:val="space"/>
      <w:lvlText w:val="o"/>
      <w:lvlJc w:val="left"/>
      <w:pPr>
        <w:pStyle w:val="1086"/>
        <w:ind w:left="5760" w:hanging="360"/>
      </w:pPr>
      <w:rPr>
        <w:rFonts w:ascii="Courier New" w:hAnsi="Courier New" w:eastAsia="Courier New" w:cs="Courier New"/>
      </w:rPr>
    </w:lvl>
    <w:lvl w:ilvl="8">
      <w:start w:val="1"/>
      <w:numFmt w:val="bullet"/>
      <w:isLgl w:val="false"/>
      <w:suff w:val="space"/>
      <w:lvlText w:val="§"/>
      <w:lvlJc w:val="left"/>
      <w:pPr>
        <w:pStyle w:val="1086"/>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10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302"/>
      <w:isLgl w:val="false"/>
      <w:suff w:val="space"/>
      <w:lvlText w:val="%1."/>
      <w:lvlJc w:val="left"/>
      <w:pPr>
        <w:pStyle w:val="1086"/>
        <w:ind w:left="1486" w:hanging="1486"/>
      </w:pPr>
      <w:rPr>
        <w:color w:val="000000"/>
        <w:sz w:val="24"/>
        <w:szCs w:val="24"/>
      </w:rPr>
    </w:lvl>
    <w:lvl w:ilvl="1">
      <w:start w:val="1"/>
      <w:numFmt w:val="decimal"/>
      <w:isLgl w:val="false"/>
      <w:suff w:val="space"/>
      <w:lvlText w:val="%1.%2."/>
      <w:lvlJc w:val="left"/>
      <w:pPr>
        <w:pStyle w:val="1086"/>
        <w:ind w:left="1486" w:hanging="1486"/>
      </w:pPr>
      <w:rPr>
        <w:rFonts w:ascii="Arial Narrow" w:hAnsi="Arial Narrow" w:eastAsia="仿宋_GB2312"/>
        <w:b w:val="0"/>
        <w:i w:val="0"/>
        <w:color w:val="000000"/>
        <w:sz w:val="24"/>
      </w:rPr>
    </w:lvl>
    <w:lvl w:ilvl="2">
      <w:start w:val="1"/>
      <w:numFmt w:val="decimal"/>
      <w:isLgl w:val="false"/>
      <w:suff w:val="space"/>
      <w:lvlText w:val="%1.%2.%3."/>
      <w:lvlJc w:val="left"/>
      <w:pPr>
        <w:pStyle w:val="1086"/>
        <w:ind w:left="1486" w:hanging="1486"/>
      </w:pPr>
      <w:rPr>
        <w:rFonts w:ascii="Arial Narrow" w:hAnsi="Arial Narrow" w:eastAsia="仿宋_GB2312"/>
        <w:b w:val="0"/>
        <w:i w:val="0"/>
        <w:color w:val="000000"/>
        <w:sz w:val="24"/>
      </w:rPr>
    </w:lvl>
    <w:lvl w:ilvl="3">
      <w:start w:val="1"/>
      <w:numFmt w:val="decimal"/>
      <w:isLgl w:val="false"/>
      <w:suff w:val="space"/>
      <w:lvlText w:val="%1.%2.%3.%4."/>
      <w:lvlJc w:val="left"/>
      <w:pPr>
        <w:pStyle w:val="1086"/>
        <w:ind w:left="2337" w:hanging="1486"/>
      </w:pPr>
      <w:rPr>
        <w:rFonts w:ascii="Arial Narrow" w:hAnsi="Arial Narrow" w:eastAsia="仿宋_GB2312"/>
        <w:b w:val="0"/>
        <w:i w:val="0"/>
        <w:color w:val="000000"/>
        <w:sz w:val="24"/>
      </w:rPr>
    </w:lvl>
    <w:lvl w:ilvl="4">
      <w:start w:val="1"/>
      <w:numFmt w:val="decimal"/>
      <w:isLgl w:val="false"/>
      <w:suff w:val="space"/>
      <w:lvlText w:val="%1.%2.%3.%4.%5."/>
      <w:lvlJc w:val="left"/>
      <w:pPr>
        <w:pStyle w:val="1086"/>
        <w:ind w:left="1486" w:hanging="1486"/>
      </w:pPr>
      <w:rPr>
        <w:rFonts w:ascii="Arial Narrow" w:hAnsi="Arial Narrow" w:eastAsia="仿宋_GB2312"/>
        <w:b w:val="0"/>
        <w:i w:val="0"/>
        <w:sz w:val="24"/>
      </w:rPr>
    </w:lvl>
    <w:lvl w:ilvl="5">
      <w:start w:val="1"/>
      <w:numFmt w:val="decimal"/>
      <w:isLgl w:val="false"/>
      <w:suff w:val="space"/>
      <w:lvlText w:val="%1.%2.%3.%4.%5.%6."/>
      <w:lvlJc w:val="left"/>
      <w:pPr>
        <w:pStyle w:val="1086"/>
        <w:ind w:left="1486" w:hanging="1486"/>
      </w:pPr>
    </w:lvl>
    <w:lvl w:ilvl="6">
      <w:start w:val="1"/>
      <w:numFmt w:val="decimal"/>
      <w:isLgl w:val="false"/>
      <w:suff w:val="space"/>
      <w:lvlText w:val="%1.%2.%3.%4.%5.%6.%7."/>
      <w:lvlJc w:val="left"/>
      <w:pPr>
        <w:pStyle w:val="1086"/>
        <w:ind w:left="1486" w:hanging="1486"/>
      </w:pPr>
    </w:lvl>
    <w:lvl w:ilvl="7">
      <w:start w:val="1"/>
      <w:numFmt w:val="decimal"/>
      <w:isLgl w:val="false"/>
      <w:suff w:val="space"/>
      <w:lvlText w:val="%1.%2.%3.%4.%5.%6.%7.%8."/>
      <w:lvlJc w:val="left"/>
      <w:pPr>
        <w:pStyle w:val="1086"/>
        <w:ind w:left="1486" w:hanging="1486"/>
      </w:pPr>
    </w:lvl>
    <w:lvl w:ilvl="8">
      <w:start w:val="1"/>
      <w:numFmt w:val="decimal"/>
      <w:isLgl w:val="false"/>
      <w:suff w:val="space"/>
      <w:lvlText w:val="%1.%2.%3.%4.%5.%6.%7.%8.%9."/>
      <w:lvlJc w:val="left"/>
      <w:pPr>
        <w:pStyle w:val="1086"/>
        <w:ind w:left="1486" w:hanging="1486"/>
      </w:pPr>
    </w:lvl>
  </w:abstractNum>
  <w:abstractNum w:abstractNumId="7">
    <w:multiLevelType w:val="hybridMultilevel"/>
    <w:lvl w:ilvl="0">
      <w:start w:val="3"/>
      <w:numFmt w:val="chineseCounting"/>
      <w:isLgl w:val="false"/>
      <w:suff w:val="nothing"/>
      <w:lvlText w:val="（%1）"/>
      <w:lvlJc w:val="left"/>
      <w:pPr>
        <w:pStyle w:val="10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1"/>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8">
    <w:name w:val="Heading 1"/>
    <w:basedOn w:val="1086"/>
    <w:next w:val="1086"/>
    <w:link w:val="1039"/>
    <w:uiPriority w:val="9"/>
    <w:qFormat/>
    <w:pPr>
      <w:keepLines/>
      <w:keepNext/>
      <w:spacing w:before="480" w:after="200"/>
      <w:outlineLvl w:val="0"/>
    </w:pPr>
    <w:rPr>
      <w:rFonts w:ascii="Arial" w:hAnsi="Arial" w:eastAsia="Arial" w:cs="Arial"/>
      <w:sz w:val="40"/>
      <w:szCs w:val="40"/>
    </w:rPr>
  </w:style>
  <w:style w:type="character" w:styleId="1039">
    <w:name w:val="Heading 1 Char"/>
    <w:link w:val="1038"/>
    <w:uiPriority w:val="9"/>
    <w:rPr>
      <w:rFonts w:ascii="Arial" w:hAnsi="Arial" w:eastAsia="Arial" w:cs="Arial"/>
      <w:sz w:val="40"/>
      <w:szCs w:val="40"/>
    </w:rPr>
  </w:style>
  <w:style w:type="paragraph" w:styleId="1040">
    <w:name w:val="Heading 2"/>
    <w:basedOn w:val="1086"/>
    <w:next w:val="1086"/>
    <w:link w:val="1041"/>
    <w:uiPriority w:val="9"/>
    <w:unhideWhenUsed/>
    <w:qFormat/>
    <w:pPr>
      <w:keepLines/>
      <w:keepNext/>
      <w:spacing w:before="360" w:after="200"/>
      <w:outlineLvl w:val="1"/>
    </w:pPr>
    <w:rPr>
      <w:rFonts w:ascii="Arial" w:hAnsi="Arial" w:eastAsia="Arial" w:cs="Arial"/>
      <w:sz w:val="34"/>
    </w:rPr>
  </w:style>
  <w:style w:type="character" w:styleId="1041">
    <w:name w:val="Heading 2 Char"/>
    <w:link w:val="1040"/>
    <w:uiPriority w:val="9"/>
    <w:rPr>
      <w:rFonts w:ascii="Arial" w:hAnsi="Arial" w:eastAsia="Arial" w:cs="Arial"/>
      <w:sz w:val="34"/>
    </w:rPr>
  </w:style>
  <w:style w:type="paragraph" w:styleId="1042">
    <w:name w:val="Heading 3"/>
    <w:basedOn w:val="1086"/>
    <w:next w:val="1086"/>
    <w:link w:val="1153"/>
    <w:uiPriority w:val="9"/>
    <w:unhideWhenUsed/>
    <w:qFormat/>
    <w:pPr>
      <w:keepLines/>
      <w:keepNext/>
      <w:spacing w:before="320" w:after="200"/>
      <w:outlineLvl w:val="2"/>
    </w:pPr>
    <w:rPr>
      <w:rFonts w:ascii="Arial" w:hAnsi="Arial" w:eastAsia="Arial" w:cs="Arial"/>
      <w:sz w:val="30"/>
      <w:szCs w:val="30"/>
    </w:rPr>
  </w:style>
  <w:style w:type="paragraph" w:styleId="1043">
    <w:name w:val="Heading 4"/>
    <w:basedOn w:val="1086"/>
    <w:next w:val="1086"/>
    <w:link w:val="1044"/>
    <w:uiPriority w:val="9"/>
    <w:unhideWhenUsed/>
    <w:qFormat/>
    <w:pPr>
      <w:keepLines/>
      <w:keepNext/>
      <w:spacing w:before="320" w:after="200"/>
      <w:outlineLvl w:val="3"/>
    </w:pPr>
    <w:rPr>
      <w:rFonts w:ascii="Arial" w:hAnsi="Arial" w:eastAsia="Arial" w:cs="Arial"/>
      <w:b/>
      <w:bCs/>
      <w:sz w:val="26"/>
      <w:szCs w:val="26"/>
    </w:rPr>
  </w:style>
  <w:style w:type="character" w:styleId="1044">
    <w:name w:val="Heading 4 Char"/>
    <w:link w:val="1043"/>
    <w:uiPriority w:val="9"/>
    <w:rPr>
      <w:rFonts w:ascii="Arial" w:hAnsi="Arial" w:eastAsia="Arial" w:cs="Arial"/>
      <w:b/>
      <w:bCs/>
      <w:sz w:val="26"/>
      <w:szCs w:val="26"/>
    </w:rPr>
  </w:style>
  <w:style w:type="paragraph" w:styleId="1045">
    <w:name w:val="Heading 5"/>
    <w:basedOn w:val="1086"/>
    <w:next w:val="1086"/>
    <w:link w:val="1046"/>
    <w:uiPriority w:val="9"/>
    <w:unhideWhenUsed/>
    <w:qFormat/>
    <w:pPr>
      <w:keepLines/>
      <w:keepNext/>
      <w:spacing w:before="320" w:after="200"/>
      <w:outlineLvl w:val="4"/>
    </w:pPr>
    <w:rPr>
      <w:rFonts w:ascii="Arial" w:hAnsi="Arial" w:eastAsia="Arial" w:cs="Arial"/>
      <w:b/>
      <w:bCs/>
      <w:sz w:val="24"/>
      <w:szCs w:val="24"/>
    </w:rPr>
  </w:style>
  <w:style w:type="character" w:styleId="1046">
    <w:name w:val="Heading 5 Char"/>
    <w:link w:val="1045"/>
    <w:uiPriority w:val="9"/>
    <w:rPr>
      <w:rFonts w:ascii="Arial" w:hAnsi="Arial" w:eastAsia="Arial" w:cs="Arial"/>
      <w:b/>
      <w:bCs/>
      <w:sz w:val="24"/>
      <w:szCs w:val="24"/>
    </w:rPr>
  </w:style>
  <w:style w:type="paragraph" w:styleId="1047">
    <w:name w:val="Heading 6"/>
    <w:basedOn w:val="1086"/>
    <w:next w:val="1086"/>
    <w:link w:val="1048"/>
    <w:uiPriority w:val="9"/>
    <w:unhideWhenUsed/>
    <w:qFormat/>
    <w:pPr>
      <w:keepLines/>
      <w:keepNext/>
      <w:spacing w:before="320" w:after="200"/>
      <w:outlineLvl w:val="5"/>
    </w:pPr>
    <w:rPr>
      <w:rFonts w:ascii="Arial" w:hAnsi="Arial" w:eastAsia="Arial" w:cs="Arial"/>
      <w:b/>
      <w:bCs/>
      <w:sz w:val="22"/>
      <w:szCs w:val="22"/>
    </w:rPr>
  </w:style>
  <w:style w:type="character" w:styleId="1048">
    <w:name w:val="Heading 6 Char"/>
    <w:link w:val="1047"/>
    <w:uiPriority w:val="9"/>
    <w:rPr>
      <w:rFonts w:ascii="Arial" w:hAnsi="Arial" w:eastAsia="Arial" w:cs="Arial"/>
      <w:b/>
      <w:bCs/>
      <w:sz w:val="22"/>
      <w:szCs w:val="22"/>
    </w:rPr>
  </w:style>
  <w:style w:type="paragraph" w:styleId="1049">
    <w:name w:val="Heading 7"/>
    <w:basedOn w:val="1086"/>
    <w:next w:val="1086"/>
    <w:link w:val="1050"/>
    <w:uiPriority w:val="9"/>
    <w:unhideWhenUsed/>
    <w:qFormat/>
    <w:pPr>
      <w:keepLines/>
      <w:keepNext/>
      <w:spacing w:before="320" w:after="200"/>
      <w:outlineLvl w:val="6"/>
    </w:pPr>
    <w:rPr>
      <w:rFonts w:ascii="Arial" w:hAnsi="Arial" w:eastAsia="Arial" w:cs="Arial"/>
      <w:b/>
      <w:bCs/>
      <w:i/>
      <w:iCs/>
      <w:sz w:val="22"/>
      <w:szCs w:val="22"/>
    </w:rPr>
  </w:style>
  <w:style w:type="character" w:styleId="1050">
    <w:name w:val="Heading 7 Char"/>
    <w:link w:val="1049"/>
    <w:uiPriority w:val="9"/>
    <w:rPr>
      <w:rFonts w:ascii="Arial" w:hAnsi="Arial" w:eastAsia="Arial" w:cs="Arial"/>
      <w:b/>
      <w:bCs/>
      <w:i/>
      <w:iCs/>
      <w:sz w:val="22"/>
      <w:szCs w:val="22"/>
    </w:rPr>
  </w:style>
  <w:style w:type="paragraph" w:styleId="1051">
    <w:name w:val="Heading 8"/>
    <w:basedOn w:val="1086"/>
    <w:next w:val="1086"/>
    <w:link w:val="1052"/>
    <w:uiPriority w:val="9"/>
    <w:unhideWhenUsed/>
    <w:qFormat/>
    <w:pPr>
      <w:keepLines/>
      <w:keepNext/>
      <w:spacing w:before="320" w:after="200"/>
      <w:outlineLvl w:val="7"/>
    </w:pPr>
    <w:rPr>
      <w:rFonts w:ascii="Arial" w:hAnsi="Arial" w:eastAsia="Arial" w:cs="Arial"/>
      <w:i/>
      <w:iCs/>
      <w:sz w:val="22"/>
      <w:szCs w:val="22"/>
    </w:rPr>
  </w:style>
  <w:style w:type="character" w:styleId="1052">
    <w:name w:val="Heading 8 Char"/>
    <w:link w:val="1051"/>
    <w:uiPriority w:val="9"/>
    <w:rPr>
      <w:rFonts w:ascii="Arial" w:hAnsi="Arial" w:eastAsia="Arial" w:cs="Arial"/>
      <w:i/>
      <w:iCs/>
      <w:sz w:val="22"/>
      <w:szCs w:val="22"/>
    </w:rPr>
  </w:style>
  <w:style w:type="paragraph" w:styleId="1053">
    <w:name w:val="Heading 9"/>
    <w:basedOn w:val="1086"/>
    <w:next w:val="1086"/>
    <w:link w:val="1054"/>
    <w:uiPriority w:val="9"/>
    <w:unhideWhenUsed/>
    <w:qFormat/>
    <w:pPr>
      <w:keepLines/>
      <w:keepNext/>
      <w:spacing w:before="320" w:after="200"/>
      <w:outlineLvl w:val="8"/>
    </w:pPr>
    <w:rPr>
      <w:rFonts w:ascii="Arial" w:hAnsi="Arial" w:eastAsia="Arial" w:cs="Arial"/>
      <w:i/>
      <w:iCs/>
      <w:sz w:val="21"/>
      <w:szCs w:val="21"/>
    </w:rPr>
  </w:style>
  <w:style w:type="character" w:styleId="1054">
    <w:name w:val="Heading 9 Char"/>
    <w:link w:val="1053"/>
    <w:uiPriority w:val="9"/>
    <w:rPr>
      <w:rFonts w:ascii="Arial" w:hAnsi="Arial" w:eastAsia="Arial" w:cs="Arial"/>
      <w:i/>
      <w:iCs/>
      <w:sz w:val="21"/>
      <w:szCs w:val="21"/>
    </w:rPr>
  </w:style>
  <w:style w:type="paragraph" w:styleId="1055">
    <w:name w:val="List Paragraph"/>
    <w:basedOn w:val="1086"/>
    <w:uiPriority w:val="34"/>
    <w:qFormat/>
    <w:pPr>
      <w:contextualSpacing/>
      <w:ind w:left="720"/>
    </w:pPr>
  </w:style>
  <w:style w:type="paragraph" w:styleId="1056">
    <w:name w:val="No Spacing"/>
    <w:uiPriority w:val="1"/>
    <w:qFormat/>
    <w:pPr>
      <w:spacing w:before="0" w:after="0" w:line="240" w:lineRule="auto"/>
    </w:pPr>
  </w:style>
  <w:style w:type="paragraph" w:styleId="1057">
    <w:name w:val="Title"/>
    <w:basedOn w:val="1086"/>
    <w:next w:val="1086"/>
    <w:link w:val="1058"/>
    <w:uiPriority w:val="10"/>
    <w:qFormat/>
    <w:pPr>
      <w:contextualSpacing/>
      <w:spacing w:before="300" w:after="200"/>
    </w:pPr>
    <w:rPr>
      <w:sz w:val="48"/>
      <w:szCs w:val="48"/>
    </w:rPr>
  </w:style>
  <w:style w:type="character" w:styleId="1058">
    <w:name w:val="Title Char"/>
    <w:link w:val="1057"/>
    <w:uiPriority w:val="10"/>
    <w:rPr>
      <w:sz w:val="48"/>
      <w:szCs w:val="48"/>
    </w:rPr>
  </w:style>
  <w:style w:type="paragraph" w:styleId="1059">
    <w:name w:val="Subtitle"/>
    <w:basedOn w:val="1086"/>
    <w:next w:val="1086"/>
    <w:link w:val="1060"/>
    <w:uiPriority w:val="11"/>
    <w:qFormat/>
    <w:pPr>
      <w:spacing w:before="200" w:after="200"/>
    </w:pPr>
    <w:rPr>
      <w:sz w:val="24"/>
      <w:szCs w:val="24"/>
    </w:rPr>
  </w:style>
  <w:style w:type="character" w:styleId="1060">
    <w:name w:val="Subtitle Char"/>
    <w:link w:val="1059"/>
    <w:uiPriority w:val="11"/>
    <w:rPr>
      <w:sz w:val="24"/>
      <w:szCs w:val="24"/>
    </w:rPr>
  </w:style>
  <w:style w:type="paragraph" w:styleId="1061">
    <w:name w:val="Quote"/>
    <w:basedOn w:val="1086"/>
    <w:next w:val="1086"/>
    <w:link w:val="1062"/>
    <w:uiPriority w:val="29"/>
    <w:qFormat/>
    <w:pPr>
      <w:ind w:left="720" w:right="720"/>
    </w:pPr>
    <w:rPr>
      <w:i/>
    </w:rPr>
  </w:style>
  <w:style w:type="character" w:styleId="1062">
    <w:name w:val="Quote Char"/>
    <w:link w:val="1061"/>
    <w:uiPriority w:val="29"/>
    <w:rPr>
      <w:i/>
    </w:rPr>
  </w:style>
  <w:style w:type="paragraph" w:styleId="1063">
    <w:name w:val="Intense Quote"/>
    <w:basedOn w:val="1086"/>
    <w:next w:val="1086"/>
    <w:link w:val="10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name w:val="Intense Quote Char"/>
    <w:link w:val="1063"/>
    <w:uiPriority w:val="30"/>
    <w:rPr>
      <w:i/>
    </w:rPr>
  </w:style>
  <w:style w:type="paragraph" w:styleId="1065">
    <w:name w:val="Header"/>
    <w:basedOn w:val="1086"/>
    <w:link w:val="1159"/>
    <w:uiPriority w:val="99"/>
    <w:unhideWhenUsed/>
    <w:pPr>
      <w:spacing w:after="0" w:line="240" w:lineRule="auto"/>
      <w:tabs>
        <w:tab w:val="center" w:pos="7143" w:leader="none"/>
        <w:tab w:val="right" w:pos="14287" w:leader="none"/>
      </w:tabs>
    </w:pPr>
  </w:style>
  <w:style w:type="paragraph" w:styleId="1066">
    <w:name w:val="Footer"/>
    <w:basedOn w:val="1086"/>
    <w:link w:val="1161"/>
    <w:uiPriority w:val="99"/>
    <w:unhideWhenUsed/>
    <w:pPr>
      <w:spacing w:after="0" w:line="240" w:lineRule="auto"/>
      <w:tabs>
        <w:tab w:val="center" w:pos="7143" w:leader="none"/>
        <w:tab w:val="right" w:pos="14287" w:leader="none"/>
      </w:tabs>
    </w:pPr>
  </w:style>
  <w:style w:type="paragraph" w:styleId="1067">
    <w:name w:val="Caption"/>
    <w:basedOn w:val="1086"/>
    <w:next w:val="1086"/>
    <w:uiPriority w:val="35"/>
    <w:semiHidden/>
    <w:unhideWhenUsed/>
    <w:qFormat/>
    <w:pPr>
      <w:spacing w:line="276" w:lineRule="auto"/>
    </w:pPr>
    <w:rPr>
      <w:b/>
      <w:bCs/>
      <w:color w:val="4f81bd" w:themeColor="accent1"/>
      <w:sz w:val="18"/>
      <w:szCs w:val="18"/>
    </w:rPr>
  </w:style>
  <w:style w:type="table" w:styleId="10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9">
    <w:name w:val="Hyperlink"/>
    <w:uiPriority w:val="99"/>
    <w:unhideWhenUsed/>
    <w:rPr>
      <w:color w:val="0000ff" w:themeColor="hyperlink"/>
      <w:u w:val="single"/>
    </w:rPr>
  </w:style>
  <w:style w:type="paragraph" w:styleId="1070">
    <w:name w:val="footnote text"/>
    <w:basedOn w:val="1086"/>
    <w:link w:val="1071"/>
    <w:uiPriority w:val="99"/>
    <w:semiHidden/>
    <w:unhideWhenUsed/>
    <w:pPr>
      <w:spacing w:after="40" w:line="240" w:lineRule="auto"/>
    </w:pPr>
    <w:rPr>
      <w:sz w:val="18"/>
    </w:rPr>
  </w:style>
  <w:style w:type="character" w:styleId="1071">
    <w:name w:val="Footnote Text Char"/>
    <w:link w:val="1070"/>
    <w:uiPriority w:val="99"/>
    <w:rPr>
      <w:sz w:val="18"/>
    </w:rPr>
  </w:style>
  <w:style w:type="character" w:styleId="1072">
    <w:name w:val="footnote reference"/>
    <w:uiPriority w:val="99"/>
    <w:unhideWhenUsed/>
    <w:rPr>
      <w:vertAlign w:val="superscript"/>
    </w:rPr>
  </w:style>
  <w:style w:type="paragraph" w:styleId="1073">
    <w:name w:val="endnote text"/>
    <w:basedOn w:val="1086"/>
    <w:link w:val="1074"/>
    <w:uiPriority w:val="99"/>
    <w:semiHidden/>
    <w:unhideWhenUsed/>
    <w:pPr>
      <w:spacing w:after="0" w:line="240" w:lineRule="auto"/>
    </w:pPr>
    <w:rPr>
      <w:sz w:val="20"/>
    </w:rPr>
  </w:style>
  <w:style w:type="character" w:styleId="1074">
    <w:name w:val="Endnote Text Char"/>
    <w:link w:val="1073"/>
    <w:uiPriority w:val="99"/>
    <w:rPr>
      <w:sz w:val="20"/>
    </w:rPr>
  </w:style>
  <w:style w:type="character" w:styleId="1075">
    <w:name w:val="endnote reference"/>
    <w:uiPriority w:val="99"/>
    <w:semiHidden/>
    <w:unhideWhenUsed/>
    <w:rPr>
      <w:vertAlign w:val="superscript"/>
    </w:rPr>
  </w:style>
  <w:style w:type="paragraph" w:styleId="1076">
    <w:name w:val="toc 1"/>
    <w:basedOn w:val="1086"/>
    <w:next w:val="1086"/>
    <w:uiPriority w:val="39"/>
    <w:unhideWhenUsed/>
    <w:pPr>
      <w:ind w:left="0" w:right="0" w:firstLine="0"/>
      <w:spacing w:after="57"/>
    </w:pPr>
  </w:style>
  <w:style w:type="paragraph" w:styleId="1077">
    <w:name w:val="toc 2"/>
    <w:basedOn w:val="1086"/>
    <w:next w:val="1086"/>
    <w:uiPriority w:val="39"/>
    <w:unhideWhenUsed/>
    <w:pPr>
      <w:ind w:left="283" w:right="0" w:firstLine="0"/>
      <w:spacing w:after="57"/>
    </w:pPr>
  </w:style>
  <w:style w:type="paragraph" w:styleId="1078">
    <w:name w:val="toc 3"/>
    <w:basedOn w:val="1086"/>
    <w:next w:val="1086"/>
    <w:uiPriority w:val="39"/>
    <w:unhideWhenUsed/>
    <w:pPr>
      <w:ind w:left="567" w:right="0" w:firstLine="0"/>
      <w:spacing w:after="57"/>
    </w:pPr>
  </w:style>
  <w:style w:type="paragraph" w:styleId="1079">
    <w:name w:val="toc 4"/>
    <w:basedOn w:val="1086"/>
    <w:next w:val="1086"/>
    <w:uiPriority w:val="39"/>
    <w:unhideWhenUsed/>
    <w:pPr>
      <w:ind w:left="850" w:right="0" w:firstLine="0"/>
      <w:spacing w:after="57"/>
    </w:pPr>
  </w:style>
  <w:style w:type="paragraph" w:styleId="1080">
    <w:name w:val="toc 5"/>
    <w:basedOn w:val="1086"/>
    <w:next w:val="1086"/>
    <w:uiPriority w:val="39"/>
    <w:unhideWhenUsed/>
    <w:pPr>
      <w:ind w:left="1134" w:right="0" w:firstLine="0"/>
      <w:spacing w:after="57"/>
    </w:pPr>
  </w:style>
  <w:style w:type="paragraph" w:styleId="1081">
    <w:name w:val="toc 6"/>
    <w:basedOn w:val="1086"/>
    <w:next w:val="1086"/>
    <w:uiPriority w:val="39"/>
    <w:unhideWhenUsed/>
    <w:pPr>
      <w:ind w:left="1417" w:right="0" w:firstLine="0"/>
      <w:spacing w:after="57"/>
    </w:pPr>
  </w:style>
  <w:style w:type="paragraph" w:styleId="1082">
    <w:name w:val="toc 7"/>
    <w:basedOn w:val="1086"/>
    <w:next w:val="1086"/>
    <w:uiPriority w:val="39"/>
    <w:unhideWhenUsed/>
    <w:pPr>
      <w:ind w:left="1701" w:right="0" w:firstLine="0"/>
      <w:spacing w:after="57"/>
    </w:pPr>
  </w:style>
  <w:style w:type="paragraph" w:styleId="1083">
    <w:name w:val="toc 8"/>
    <w:basedOn w:val="1086"/>
    <w:next w:val="1086"/>
    <w:uiPriority w:val="39"/>
    <w:unhideWhenUsed/>
    <w:pPr>
      <w:ind w:left="1984" w:right="0" w:firstLine="0"/>
      <w:spacing w:after="57"/>
    </w:pPr>
  </w:style>
  <w:style w:type="paragraph" w:styleId="1084">
    <w:name w:val="toc 9"/>
    <w:basedOn w:val="1086"/>
    <w:next w:val="1086"/>
    <w:uiPriority w:val="39"/>
    <w:unhideWhenUsed/>
    <w:pPr>
      <w:ind w:left="2268" w:right="0" w:firstLine="0"/>
      <w:spacing w:after="57"/>
    </w:pPr>
  </w:style>
  <w:style w:type="paragraph" w:styleId="1085">
    <w:name w:val="table of figures"/>
    <w:basedOn w:val="1086"/>
    <w:next w:val="1086"/>
    <w:uiPriority w:val="99"/>
    <w:unhideWhenUsed/>
    <w:pPr>
      <w:spacing w:after="0" w:afterAutospacing="0"/>
    </w:pPr>
  </w:style>
  <w:style w:type="paragraph" w:styleId="1086" w:default="1">
    <w:name w:val="Normal"/>
    <w:next w:val="1086"/>
    <w:link w:val="1086"/>
    <w:qFormat/>
    <w:pPr>
      <w:jc w:val="both"/>
      <w:widowControl w:val="off"/>
    </w:pPr>
    <w:rPr>
      <w:sz w:val="21"/>
      <w:lang w:val="en-US" w:eastAsia="zh-CN" w:bidi="ar-SA"/>
    </w:rPr>
  </w:style>
  <w:style w:type="paragraph" w:styleId="1087">
    <w:name w:val="标题 1"/>
    <w:basedOn w:val="1086"/>
    <w:next w:val="1086"/>
    <w:link w:val="1098"/>
    <w:uiPriority w:val="9"/>
    <w:qFormat/>
    <w:pPr>
      <w:keepLines/>
      <w:keepNext/>
      <w:spacing w:before="480" w:after="200"/>
      <w:outlineLvl w:val="0"/>
    </w:pPr>
    <w:rPr>
      <w:rFonts w:ascii="Arial" w:hAnsi="Arial" w:eastAsia="Arial"/>
      <w:sz w:val="40"/>
      <w:szCs w:val="40"/>
    </w:rPr>
  </w:style>
  <w:style w:type="paragraph" w:styleId="1088">
    <w:name w:val="标题 2"/>
    <w:basedOn w:val="1086"/>
    <w:next w:val="1086"/>
    <w:link w:val="1099"/>
    <w:uiPriority w:val="9"/>
    <w:qFormat/>
    <w:pPr>
      <w:keepLines/>
      <w:keepNext/>
      <w:spacing w:before="360" w:after="200"/>
      <w:outlineLvl w:val="1"/>
    </w:pPr>
    <w:rPr>
      <w:rFonts w:ascii="Arial" w:hAnsi="Arial" w:eastAsia="Arial"/>
      <w:sz w:val="34"/>
    </w:rPr>
  </w:style>
  <w:style w:type="paragraph" w:styleId="1089">
    <w:name w:val="标题 3"/>
    <w:basedOn w:val="1086"/>
    <w:next w:val="1086"/>
    <w:link w:val="1086"/>
    <w:uiPriority w:val="9"/>
    <w:qFormat/>
    <w:pPr>
      <w:keepLines/>
      <w:keepNext/>
      <w:spacing w:before="320" w:after="200"/>
      <w:outlineLvl w:val="2"/>
    </w:pPr>
    <w:rPr>
      <w:rFonts w:ascii="Arial" w:hAnsi="Arial" w:eastAsia="Arial" w:cs="Arial"/>
      <w:sz w:val="30"/>
      <w:szCs w:val="30"/>
    </w:rPr>
  </w:style>
  <w:style w:type="paragraph" w:styleId="1090">
    <w:name w:val="标题 4"/>
    <w:basedOn w:val="1086"/>
    <w:next w:val="1086"/>
    <w:link w:val="1100"/>
    <w:uiPriority w:val="9"/>
    <w:qFormat/>
    <w:pPr>
      <w:keepLines/>
      <w:keepNext/>
      <w:spacing w:before="320" w:after="200"/>
      <w:outlineLvl w:val="3"/>
    </w:pPr>
    <w:rPr>
      <w:rFonts w:ascii="Arial" w:hAnsi="Arial" w:eastAsia="Arial"/>
      <w:b/>
      <w:bCs/>
      <w:sz w:val="26"/>
      <w:szCs w:val="26"/>
    </w:rPr>
  </w:style>
  <w:style w:type="paragraph" w:styleId="1091">
    <w:name w:val="标题 5"/>
    <w:basedOn w:val="1086"/>
    <w:next w:val="1086"/>
    <w:link w:val="1101"/>
    <w:uiPriority w:val="9"/>
    <w:qFormat/>
    <w:pPr>
      <w:keepLines/>
      <w:keepNext/>
      <w:spacing w:before="320" w:after="200"/>
      <w:outlineLvl w:val="4"/>
    </w:pPr>
    <w:rPr>
      <w:rFonts w:ascii="Arial" w:hAnsi="Arial" w:eastAsia="Arial"/>
      <w:b/>
      <w:bCs/>
      <w:sz w:val="24"/>
      <w:szCs w:val="24"/>
    </w:rPr>
  </w:style>
  <w:style w:type="paragraph" w:styleId="1092">
    <w:name w:val="标题 6"/>
    <w:basedOn w:val="1086"/>
    <w:next w:val="1086"/>
    <w:link w:val="1102"/>
    <w:uiPriority w:val="9"/>
    <w:qFormat/>
    <w:pPr>
      <w:keepLines/>
      <w:keepNext/>
      <w:spacing w:before="320" w:after="200"/>
      <w:outlineLvl w:val="5"/>
    </w:pPr>
    <w:rPr>
      <w:rFonts w:ascii="Arial" w:hAnsi="Arial" w:eastAsia="Arial"/>
      <w:b/>
      <w:bCs/>
      <w:sz w:val="22"/>
      <w:szCs w:val="22"/>
    </w:rPr>
  </w:style>
  <w:style w:type="paragraph" w:styleId="1093">
    <w:name w:val="标题 7"/>
    <w:basedOn w:val="1086"/>
    <w:next w:val="1086"/>
    <w:link w:val="1103"/>
    <w:uiPriority w:val="9"/>
    <w:qFormat/>
    <w:pPr>
      <w:keepLines/>
      <w:keepNext/>
      <w:spacing w:before="320" w:after="200"/>
      <w:outlineLvl w:val="6"/>
    </w:pPr>
    <w:rPr>
      <w:rFonts w:ascii="Arial" w:hAnsi="Arial" w:eastAsia="Arial"/>
      <w:b/>
      <w:bCs/>
      <w:i/>
      <w:iCs/>
      <w:sz w:val="22"/>
      <w:szCs w:val="22"/>
    </w:rPr>
  </w:style>
  <w:style w:type="paragraph" w:styleId="1094">
    <w:name w:val="标题 8"/>
    <w:basedOn w:val="1086"/>
    <w:next w:val="1086"/>
    <w:link w:val="1104"/>
    <w:uiPriority w:val="9"/>
    <w:qFormat/>
    <w:pPr>
      <w:keepLines/>
      <w:keepNext/>
      <w:spacing w:before="320" w:after="200"/>
      <w:outlineLvl w:val="7"/>
    </w:pPr>
    <w:rPr>
      <w:rFonts w:ascii="Arial" w:hAnsi="Arial" w:eastAsia="Arial"/>
      <w:i/>
      <w:iCs/>
      <w:sz w:val="22"/>
      <w:szCs w:val="22"/>
    </w:rPr>
  </w:style>
  <w:style w:type="paragraph" w:styleId="1095">
    <w:name w:val="标题 9"/>
    <w:basedOn w:val="1086"/>
    <w:next w:val="1086"/>
    <w:link w:val="1105"/>
    <w:uiPriority w:val="9"/>
    <w:qFormat/>
    <w:pPr>
      <w:keepLines/>
      <w:keepNext/>
      <w:spacing w:before="320" w:after="200"/>
      <w:outlineLvl w:val="8"/>
    </w:pPr>
    <w:rPr>
      <w:rFonts w:ascii="Arial" w:hAnsi="Arial" w:eastAsia="Arial"/>
      <w:i/>
      <w:iCs/>
      <w:szCs w:val="21"/>
    </w:rPr>
  </w:style>
  <w:style w:type="character" w:styleId="1096">
    <w:name w:val="默认段落字体"/>
    <w:next w:val="1096"/>
    <w:link w:val="1086"/>
    <w:semiHidden/>
    <w:qFormat/>
  </w:style>
  <w:style w:type="table" w:styleId="1097">
    <w:name w:val="普通表格"/>
    <w:next w:val="1097"/>
    <w:link w:val="1086"/>
    <w:semiHidden/>
    <w:qFormat/>
    <w:tblPr/>
  </w:style>
  <w:style w:type="character" w:styleId="1098">
    <w:name w:val="标题 1 字符"/>
    <w:next w:val="1098"/>
    <w:link w:val="1087"/>
    <w:uiPriority w:val="9"/>
    <w:rPr>
      <w:rFonts w:ascii="Arial" w:hAnsi="Arial" w:eastAsia="Arial" w:cs="Arial"/>
      <w:sz w:val="40"/>
      <w:szCs w:val="40"/>
    </w:rPr>
  </w:style>
  <w:style w:type="character" w:styleId="1099">
    <w:name w:val="标题 2 字符"/>
    <w:next w:val="1099"/>
    <w:link w:val="1088"/>
    <w:uiPriority w:val="9"/>
    <w:rPr>
      <w:rFonts w:ascii="Arial" w:hAnsi="Arial" w:eastAsia="Arial" w:cs="Arial"/>
      <w:sz w:val="34"/>
    </w:rPr>
  </w:style>
  <w:style w:type="character" w:styleId="1100">
    <w:name w:val="标题 4 字符"/>
    <w:next w:val="1100"/>
    <w:link w:val="1090"/>
    <w:uiPriority w:val="9"/>
    <w:rPr>
      <w:rFonts w:ascii="Arial" w:hAnsi="Arial" w:eastAsia="Arial" w:cs="Arial"/>
      <w:b/>
      <w:bCs/>
      <w:sz w:val="26"/>
      <w:szCs w:val="26"/>
    </w:rPr>
  </w:style>
  <w:style w:type="character" w:styleId="1101">
    <w:name w:val="标题 5 字符"/>
    <w:next w:val="1101"/>
    <w:link w:val="1091"/>
    <w:uiPriority w:val="9"/>
    <w:rPr>
      <w:rFonts w:ascii="Arial" w:hAnsi="Arial" w:eastAsia="Arial" w:cs="Arial"/>
      <w:b/>
      <w:bCs/>
      <w:sz w:val="24"/>
      <w:szCs w:val="24"/>
    </w:rPr>
  </w:style>
  <w:style w:type="character" w:styleId="1102">
    <w:name w:val="标题 6 字符"/>
    <w:next w:val="1102"/>
    <w:link w:val="1092"/>
    <w:uiPriority w:val="9"/>
    <w:rPr>
      <w:rFonts w:ascii="Arial" w:hAnsi="Arial" w:eastAsia="Arial" w:cs="Arial"/>
      <w:b/>
      <w:bCs/>
      <w:sz w:val="22"/>
      <w:szCs w:val="22"/>
    </w:rPr>
  </w:style>
  <w:style w:type="character" w:styleId="1103">
    <w:name w:val="标题 7 字符"/>
    <w:next w:val="1103"/>
    <w:link w:val="1093"/>
    <w:uiPriority w:val="9"/>
    <w:rPr>
      <w:rFonts w:ascii="Arial" w:hAnsi="Arial" w:eastAsia="Arial" w:cs="Arial"/>
      <w:b/>
      <w:bCs/>
      <w:i/>
      <w:iCs/>
      <w:sz w:val="22"/>
      <w:szCs w:val="22"/>
    </w:rPr>
  </w:style>
  <w:style w:type="character" w:styleId="1104">
    <w:name w:val="标题 8 字符"/>
    <w:next w:val="1104"/>
    <w:link w:val="1094"/>
    <w:uiPriority w:val="9"/>
    <w:rPr>
      <w:rFonts w:ascii="Arial" w:hAnsi="Arial" w:eastAsia="Arial" w:cs="Arial"/>
      <w:i/>
      <w:iCs/>
      <w:sz w:val="22"/>
      <w:szCs w:val="22"/>
    </w:rPr>
  </w:style>
  <w:style w:type="character" w:styleId="1105">
    <w:name w:val="标题 9 字符"/>
    <w:next w:val="1105"/>
    <w:link w:val="1095"/>
    <w:uiPriority w:val="9"/>
    <w:rPr>
      <w:rFonts w:ascii="Arial" w:hAnsi="Arial" w:eastAsia="Arial" w:cs="Arial"/>
      <w:i/>
      <w:iCs/>
      <w:sz w:val="21"/>
      <w:szCs w:val="21"/>
    </w:rPr>
  </w:style>
  <w:style w:type="paragraph" w:styleId="1106">
    <w:name w:val="目录 7"/>
    <w:basedOn w:val="1086"/>
    <w:next w:val="1086"/>
    <w:link w:val="1086"/>
    <w:uiPriority w:val="39"/>
    <w:unhideWhenUsed/>
    <w:pPr>
      <w:ind w:left="1701" w:right="0" w:firstLine="0"/>
      <w:spacing w:after="57"/>
    </w:pPr>
  </w:style>
  <w:style w:type="paragraph" w:styleId="1107">
    <w:name w:val="正文缩进"/>
    <w:basedOn w:val="1086"/>
    <w:next w:val="1107"/>
    <w:link w:val="1086"/>
    <w:qFormat/>
    <w:pPr>
      <w:ind w:firstLine="420"/>
    </w:pPr>
  </w:style>
  <w:style w:type="paragraph" w:styleId="1108">
    <w:name w:val="题注"/>
    <w:basedOn w:val="1086"/>
    <w:next w:val="1086"/>
    <w:link w:val="1086"/>
    <w:uiPriority w:val="35"/>
    <w:qFormat/>
    <w:pPr>
      <w:spacing w:line="276" w:lineRule="auto"/>
    </w:pPr>
    <w:rPr>
      <w:b/>
      <w:bCs/>
      <w:color w:val="4874cb"/>
      <w:sz w:val="18"/>
      <w:szCs w:val="18"/>
    </w:rPr>
  </w:style>
  <w:style w:type="paragraph" w:styleId="1109">
    <w:name w:val="批注文字"/>
    <w:basedOn w:val="1086"/>
    <w:next w:val="1109"/>
    <w:link w:val="1110"/>
    <w:uiPriority w:val="99"/>
    <w:unhideWhenUsed/>
    <w:pPr>
      <w:jc w:val="left"/>
    </w:pPr>
  </w:style>
  <w:style w:type="character" w:styleId="1110">
    <w:name w:val="批注文字 字符"/>
    <w:next w:val="1110"/>
    <w:link w:val="1109"/>
    <w:uiPriority w:val="99"/>
    <w:rPr>
      <w:sz w:val="21"/>
    </w:rPr>
  </w:style>
  <w:style w:type="paragraph" w:styleId="1111">
    <w:name w:val="正文文本"/>
    <w:basedOn w:val="1086"/>
    <w:next w:val="1111"/>
    <w:link w:val="1086"/>
    <w:uiPriority w:val="99"/>
    <w:qFormat/>
    <w:rPr>
      <w:rFonts w:ascii="华文中宋" w:eastAsia="华文中宋"/>
      <w:bCs/>
      <w:sz w:val="28"/>
    </w:rPr>
  </w:style>
  <w:style w:type="paragraph" w:styleId="1112">
    <w:name w:val="正文文本缩进"/>
    <w:basedOn w:val="1086"/>
    <w:next w:val="1112"/>
    <w:link w:val="1086"/>
    <w:qFormat/>
    <w:pPr>
      <w:ind w:firstLine="560"/>
    </w:pPr>
    <w:rPr>
      <w:rFonts w:ascii="仿宋_GB2312" w:eastAsia="仿宋_GB2312"/>
      <w:sz w:val="28"/>
    </w:rPr>
  </w:style>
  <w:style w:type="paragraph" w:styleId="1113">
    <w:name w:val="索引 4"/>
    <w:basedOn w:val="1086"/>
    <w:next w:val="1086"/>
    <w:link w:val="1086"/>
    <w:uiPriority w:val="99"/>
    <w:qFormat/>
    <w:pPr>
      <w:ind w:left="600"/>
    </w:pPr>
    <w:rPr>
      <w:szCs w:val="24"/>
    </w:rPr>
  </w:style>
  <w:style w:type="paragraph" w:styleId="1114">
    <w:name w:val="目录 5"/>
    <w:basedOn w:val="1086"/>
    <w:next w:val="1086"/>
    <w:link w:val="1086"/>
    <w:uiPriority w:val="39"/>
    <w:unhideWhenUsed/>
    <w:pPr>
      <w:ind w:left="1134" w:right="0" w:firstLine="0"/>
      <w:spacing w:after="57"/>
    </w:pPr>
  </w:style>
  <w:style w:type="paragraph" w:styleId="1115">
    <w:name w:val="目录 3"/>
    <w:basedOn w:val="1086"/>
    <w:next w:val="1086"/>
    <w:link w:val="1086"/>
    <w:uiPriority w:val="39"/>
    <w:unhideWhenUsed/>
    <w:pPr>
      <w:ind w:left="567" w:right="0" w:firstLine="0"/>
      <w:spacing w:after="57"/>
    </w:pPr>
  </w:style>
  <w:style w:type="paragraph" w:styleId="1116">
    <w:name w:val="纯文本"/>
    <w:basedOn w:val="1086"/>
    <w:next w:val="1116"/>
    <w:link w:val="1086"/>
    <w:qFormat/>
    <w:pPr>
      <w:jc w:val="left"/>
      <w:widowControl/>
    </w:pPr>
    <w:rPr>
      <w:rFonts w:ascii="宋体" w:hAnsi="Courier New"/>
    </w:rPr>
  </w:style>
  <w:style w:type="paragraph" w:styleId="1117">
    <w:name w:val="目录 8"/>
    <w:basedOn w:val="1086"/>
    <w:next w:val="1086"/>
    <w:link w:val="1086"/>
    <w:uiPriority w:val="39"/>
    <w:unhideWhenUsed/>
    <w:pPr>
      <w:ind w:left="1984" w:right="0" w:firstLine="0"/>
      <w:spacing w:after="57"/>
    </w:pPr>
  </w:style>
  <w:style w:type="paragraph" w:styleId="1118">
    <w:name w:val="尾注文本"/>
    <w:basedOn w:val="1086"/>
    <w:next w:val="1118"/>
    <w:link w:val="1119"/>
    <w:uiPriority w:val="99"/>
    <w:unhideWhenUsed/>
    <w:qFormat/>
    <w:pPr>
      <w:spacing w:after="0" w:line="240" w:lineRule="auto"/>
    </w:pPr>
    <w:rPr>
      <w:sz w:val="20"/>
    </w:rPr>
  </w:style>
  <w:style w:type="character" w:styleId="1119">
    <w:name w:val="尾注文本 字符"/>
    <w:next w:val="1119"/>
    <w:link w:val="1118"/>
    <w:uiPriority w:val="99"/>
    <w:rPr>
      <w:sz w:val="20"/>
    </w:rPr>
  </w:style>
  <w:style w:type="paragraph" w:styleId="1120">
    <w:name w:val="批注框文本"/>
    <w:basedOn w:val="1086"/>
    <w:next w:val="1120"/>
    <w:link w:val="1121"/>
    <w:uiPriority w:val="99"/>
    <w:unhideWhenUsed/>
    <w:rPr>
      <w:sz w:val="18"/>
      <w:szCs w:val="18"/>
    </w:rPr>
  </w:style>
  <w:style w:type="character" w:styleId="1121">
    <w:name w:val="批注框文本 字符"/>
    <w:next w:val="1121"/>
    <w:link w:val="1120"/>
    <w:uiPriority w:val="99"/>
    <w:semiHidden/>
    <w:rPr>
      <w:sz w:val="18"/>
      <w:szCs w:val="18"/>
    </w:rPr>
  </w:style>
  <w:style w:type="paragraph" w:styleId="1122">
    <w:name w:val="页脚"/>
    <w:basedOn w:val="1086"/>
    <w:next w:val="1122"/>
    <w:link w:val="1086"/>
    <w:uiPriority w:val="99"/>
    <w:unhideWhenUsed/>
    <w:qFormat/>
    <w:pPr>
      <w:spacing w:after="0" w:line="240" w:lineRule="auto"/>
      <w:tabs>
        <w:tab w:val="center" w:pos="7143" w:leader="none"/>
        <w:tab w:val="right" w:pos="14287" w:leader="none"/>
      </w:tabs>
    </w:pPr>
  </w:style>
  <w:style w:type="paragraph" w:styleId="1123">
    <w:name w:val="页眉"/>
    <w:basedOn w:val="1086"/>
    <w:next w:val="1123"/>
    <w:link w:val="1086"/>
    <w:uiPriority w:val="99"/>
    <w:unhideWhenUsed/>
    <w:qFormat/>
    <w:pPr>
      <w:spacing w:after="0" w:line="240" w:lineRule="auto"/>
      <w:tabs>
        <w:tab w:val="center" w:pos="7143" w:leader="none"/>
        <w:tab w:val="right" w:pos="14287" w:leader="none"/>
      </w:tabs>
    </w:pPr>
  </w:style>
  <w:style w:type="paragraph" w:styleId="1124">
    <w:name w:val="目录 1"/>
    <w:basedOn w:val="1086"/>
    <w:next w:val="1086"/>
    <w:link w:val="1086"/>
    <w:uiPriority w:val="39"/>
    <w:unhideWhenUsed/>
    <w:pPr>
      <w:ind w:left="0" w:right="0" w:firstLine="0"/>
      <w:spacing w:after="57"/>
    </w:pPr>
  </w:style>
  <w:style w:type="paragraph" w:styleId="1125">
    <w:name w:val="目录 4"/>
    <w:basedOn w:val="1086"/>
    <w:next w:val="1086"/>
    <w:link w:val="1086"/>
    <w:uiPriority w:val="39"/>
    <w:unhideWhenUsed/>
    <w:pPr>
      <w:ind w:left="850" w:right="0" w:firstLine="0"/>
      <w:spacing w:after="57"/>
    </w:pPr>
  </w:style>
  <w:style w:type="paragraph" w:styleId="1126">
    <w:name w:val="副标题"/>
    <w:basedOn w:val="1086"/>
    <w:next w:val="1086"/>
    <w:link w:val="1127"/>
    <w:uiPriority w:val="11"/>
    <w:qFormat/>
    <w:pPr>
      <w:spacing w:before="200" w:after="200"/>
    </w:pPr>
    <w:rPr>
      <w:sz w:val="24"/>
      <w:szCs w:val="24"/>
    </w:rPr>
  </w:style>
  <w:style w:type="character" w:styleId="1127">
    <w:name w:val="副标题 字符"/>
    <w:next w:val="1127"/>
    <w:link w:val="1126"/>
    <w:uiPriority w:val="11"/>
    <w:rPr>
      <w:sz w:val="24"/>
      <w:szCs w:val="24"/>
    </w:rPr>
  </w:style>
  <w:style w:type="paragraph" w:styleId="1128">
    <w:name w:val="脚注文本"/>
    <w:basedOn w:val="1086"/>
    <w:next w:val="1128"/>
    <w:link w:val="1129"/>
    <w:uiPriority w:val="99"/>
    <w:unhideWhenUsed/>
    <w:qFormat/>
    <w:pPr>
      <w:spacing w:after="40" w:line="240" w:lineRule="auto"/>
    </w:pPr>
    <w:rPr>
      <w:sz w:val="18"/>
    </w:rPr>
  </w:style>
  <w:style w:type="character" w:styleId="1129">
    <w:name w:val="脚注文本 字符"/>
    <w:next w:val="1129"/>
    <w:link w:val="1128"/>
    <w:uiPriority w:val="99"/>
    <w:rPr>
      <w:sz w:val="18"/>
    </w:rPr>
  </w:style>
  <w:style w:type="paragraph" w:styleId="1130">
    <w:name w:val="目录 6"/>
    <w:basedOn w:val="1086"/>
    <w:next w:val="1086"/>
    <w:link w:val="1086"/>
    <w:uiPriority w:val="39"/>
    <w:unhideWhenUsed/>
    <w:pPr>
      <w:ind w:left="1417" w:right="0" w:firstLine="0"/>
      <w:spacing w:after="57"/>
    </w:pPr>
  </w:style>
  <w:style w:type="paragraph" w:styleId="1131">
    <w:name w:val="图表目录"/>
    <w:basedOn w:val="1086"/>
    <w:next w:val="1086"/>
    <w:link w:val="1086"/>
    <w:uiPriority w:val="99"/>
    <w:unhideWhenUsed/>
    <w:pPr>
      <w:spacing w:after="0" w:afterAutospacing="0"/>
    </w:pPr>
  </w:style>
  <w:style w:type="paragraph" w:styleId="1132">
    <w:name w:val="目录 2"/>
    <w:basedOn w:val="1086"/>
    <w:next w:val="1086"/>
    <w:link w:val="1086"/>
    <w:uiPriority w:val="39"/>
    <w:unhideWhenUsed/>
    <w:pPr>
      <w:ind w:left="283" w:right="0" w:firstLine="0"/>
      <w:spacing w:after="57"/>
    </w:pPr>
  </w:style>
  <w:style w:type="paragraph" w:styleId="1133">
    <w:name w:val="目录 9"/>
    <w:basedOn w:val="1086"/>
    <w:next w:val="1086"/>
    <w:link w:val="1086"/>
    <w:uiPriority w:val="39"/>
    <w:unhideWhenUsed/>
    <w:qFormat/>
    <w:pPr>
      <w:ind w:left="2268" w:right="0" w:firstLine="0"/>
      <w:spacing w:after="57"/>
    </w:pPr>
  </w:style>
  <w:style w:type="paragraph" w:styleId="1134">
    <w:name w:val="普通(网站)"/>
    <w:basedOn w:val="1086"/>
    <w:next w:val="1134"/>
    <w:link w:val="1086"/>
    <w:qFormat/>
    <w:pPr>
      <w:jc w:val="left"/>
      <w:spacing w:beforeAutospacing="1" w:afterAutospacing="1"/>
    </w:pPr>
    <w:rPr>
      <w:rFonts w:cs="Times New Roman"/>
      <w:sz w:val="24"/>
    </w:rPr>
  </w:style>
  <w:style w:type="paragraph" w:styleId="1135">
    <w:name w:val="标题"/>
    <w:basedOn w:val="1086"/>
    <w:next w:val="1086"/>
    <w:link w:val="1136"/>
    <w:uiPriority w:val="10"/>
    <w:qFormat/>
    <w:pPr>
      <w:contextualSpacing/>
      <w:spacing w:before="300" w:after="200"/>
    </w:pPr>
    <w:rPr>
      <w:sz w:val="48"/>
      <w:szCs w:val="48"/>
    </w:rPr>
  </w:style>
  <w:style w:type="character" w:styleId="1136">
    <w:name w:val="标题 字符"/>
    <w:next w:val="1136"/>
    <w:link w:val="1135"/>
    <w:uiPriority w:val="10"/>
    <w:rPr>
      <w:sz w:val="48"/>
      <w:szCs w:val="48"/>
    </w:rPr>
  </w:style>
  <w:style w:type="paragraph" w:styleId="1137">
    <w:name w:val="批注主题"/>
    <w:basedOn w:val="1109"/>
    <w:next w:val="1109"/>
    <w:link w:val="1138"/>
    <w:uiPriority w:val="99"/>
    <w:unhideWhenUsed/>
    <w:rPr>
      <w:b/>
      <w:bCs/>
    </w:rPr>
  </w:style>
  <w:style w:type="character" w:styleId="1138">
    <w:name w:val="批注主题 字符"/>
    <w:next w:val="1138"/>
    <w:link w:val="1137"/>
  </w:style>
  <w:style w:type="paragraph" w:styleId="1139">
    <w:name w:val="正文首行缩进"/>
    <w:basedOn w:val="1111"/>
    <w:next w:val="1086"/>
    <w:link w:val="1086"/>
    <w:qFormat/>
    <w:pPr>
      <w:ind w:firstLine="420"/>
    </w:pPr>
  </w:style>
  <w:style w:type="paragraph" w:styleId="1140">
    <w:name w:val="正文首行缩进 2"/>
    <w:basedOn w:val="1112"/>
    <w:next w:val="1140"/>
    <w:link w:val="1086"/>
    <w:qFormat/>
    <w:pPr>
      <w:ind w:firstLine="420"/>
    </w:pPr>
  </w:style>
  <w:style w:type="table" w:styleId="1141">
    <w:name w:val="网格型"/>
    <w:next w:val="1141"/>
    <w:link w:val="1086"/>
    <w:uiPriority w:val="59"/>
    <w:qFormat/>
    <w:rPr>
      <w:lang w:val="en-US" w:eastAsia="zh-CN" w:bidi="ar-SA"/>
    </w:rPr>
    <w:tblPr/>
  </w:style>
  <w:style w:type="character" w:styleId="1142">
    <w:name w:val="要点"/>
    <w:next w:val="1142"/>
    <w:link w:val="1086"/>
    <w:uiPriority w:val="22"/>
    <w:qFormat/>
    <w:rPr>
      <w:b/>
    </w:rPr>
  </w:style>
  <w:style w:type="character" w:styleId="1143">
    <w:name w:val="尾注引用"/>
    <w:next w:val="1143"/>
    <w:link w:val="1086"/>
    <w:uiPriority w:val="99"/>
    <w:unhideWhenUsed/>
    <w:rPr>
      <w:vertAlign w:val="superscript"/>
    </w:rPr>
  </w:style>
  <w:style w:type="character" w:styleId="1144">
    <w:name w:val="页码"/>
    <w:next w:val="1144"/>
    <w:link w:val="1086"/>
    <w:qFormat/>
  </w:style>
  <w:style w:type="character" w:styleId="1145">
    <w:name w:val="强调"/>
    <w:next w:val="1145"/>
    <w:link w:val="1086"/>
    <w:uiPriority w:val="20"/>
    <w:qFormat/>
    <w:rPr>
      <w:i/>
    </w:rPr>
  </w:style>
  <w:style w:type="character" w:styleId="1146">
    <w:name w:val="超链接"/>
    <w:next w:val="1146"/>
    <w:link w:val="1086"/>
    <w:uiPriority w:val="99"/>
    <w:unhideWhenUsed/>
    <w:rPr>
      <w:color w:val="0026e5"/>
      <w:u w:val="single"/>
    </w:rPr>
  </w:style>
  <w:style w:type="character" w:styleId="1147">
    <w:name w:val="批注引用"/>
    <w:next w:val="1147"/>
    <w:link w:val="1086"/>
    <w:uiPriority w:val="99"/>
    <w:unhideWhenUsed/>
    <w:rPr>
      <w:sz w:val="21"/>
      <w:szCs w:val="21"/>
    </w:rPr>
  </w:style>
  <w:style w:type="character" w:styleId="1148">
    <w:name w:val="脚注引用"/>
    <w:next w:val="1148"/>
    <w:link w:val="1086"/>
    <w:uiPriority w:val="99"/>
    <w:unhideWhenUsed/>
    <w:qFormat/>
    <w:rPr>
      <w:vertAlign w:val="superscript"/>
    </w:rPr>
  </w:style>
  <w:style w:type="paragraph" w:styleId="1149">
    <w:name w:val="索引 41"/>
    <w:basedOn w:val="1086"/>
    <w:next w:val="1086"/>
    <w:link w:val="1086"/>
    <w:semiHidden/>
    <w:qFormat/>
    <w:pPr>
      <w:ind w:left="1260"/>
    </w:pPr>
    <w:rPr>
      <w:rFonts w:ascii="Calibri" w:hAnsi="Calibri" w:eastAsia="Calibri" w:cs="宋体"/>
      <w:sz w:val="20"/>
      <w:lang w:val="zh-CN"/>
    </w:rPr>
  </w:style>
  <w:style w:type="character" w:styleId="1150">
    <w:name w:val="要点1"/>
    <w:next w:val="1150"/>
    <w:link w:val="1086"/>
    <w:qFormat/>
    <w:rPr>
      <w:rFonts w:ascii="Times New Roman" w:hAnsi="Times New Roman" w:eastAsia="宋体" w:cs="Times New Roman"/>
      <w:sz w:val="21"/>
      <w:lang w:val="en-US" w:eastAsia="zh-CN" w:bidi="ar-SA"/>
    </w:rPr>
  </w:style>
  <w:style w:type="character" w:styleId="1151">
    <w:name w:val="页码1"/>
    <w:next w:val="1151"/>
    <w:link w:val="1086"/>
    <w:uiPriority w:val="99"/>
    <w:qFormat/>
  </w:style>
  <w:style w:type="paragraph" w:styleId="1152">
    <w:name w:val="正文文本1"/>
    <w:basedOn w:val="1086"/>
    <w:next w:val="1152"/>
    <w:link w:val="1086"/>
    <w:qFormat/>
    <w:rPr>
      <w:rFonts w:ascii="宋体"/>
      <w:sz w:val="28"/>
    </w:rPr>
  </w:style>
  <w:style w:type="character" w:styleId="1153">
    <w:name w:val="Heading 3 Char"/>
    <w:next w:val="1153"/>
    <w:link w:val="1086"/>
    <w:uiPriority w:val="9"/>
    <w:rPr>
      <w:rFonts w:ascii="Arial" w:hAnsi="Arial" w:eastAsia="Arial" w:cs="Arial"/>
      <w:sz w:val="30"/>
      <w:szCs w:val="30"/>
    </w:rPr>
  </w:style>
  <w:style w:type="paragraph" w:styleId="1154">
    <w:name w:val="无间隔"/>
    <w:next w:val="1154"/>
    <w:link w:val="1086"/>
    <w:uiPriority w:val="1"/>
    <w:qFormat/>
    <w:rPr>
      <w:rFonts w:ascii="等线" w:hAnsi="等线" w:eastAsia="等线"/>
      <w:lang w:val="en-US" w:eastAsia="zh-CN" w:bidi="ar-SA"/>
    </w:rPr>
  </w:style>
  <w:style w:type="paragraph" w:styleId="1155">
    <w:name w:val="引用"/>
    <w:basedOn w:val="1086"/>
    <w:next w:val="1086"/>
    <w:link w:val="1156"/>
    <w:uiPriority w:val="29"/>
    <w:qFormat/>
    <w:pPr>
      <w:ind w:left="720" w:right="720"/>
    </w:pPr>
    <w:rPr>
      <w:i/>
      <w:sz w:val="20"/>
    </w:rPr>
  </w:style>
  <w:style w:type="character" w:styleId="1156">
    <w:name w:val="引用 字符"/>
    <w:next w:val="1156"/>
    <w:link w:val="1155"/>
    <w:uiPriority w:val="29"/>
    <w:rPr>
      <w:i/>
    </w:rPr>
  </w:style>
  <w:style w:type="paragraph" w:styleId="1157">
    <w:name w:val="明显引用"/>
    <w:basedOn w:val="1086"/>
    <w:next w:val="1086"/>
    <w:link w:val="11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1158">
    <w:name w:val="明显引用 字符"/>
    <w:next w:val="1158"/>
    <w:link w:val="1157"/>
    <w:uiPriority w:val="30"/>
    <w:rPr>
      <w:i/>
    </w:rPr>
  </w:style>
  <w:style w:type="character" w:styleId="1159">
    <w:name w:val="Header Char"/>
    <w:next w:val="1159"/>
    <w:link w:val="1086"/>
    <w:uiPriority w:val="99"/>
  </w:style>
  <w:style w:type="character" w:styleId="1160">
    <w:name w:val="Footer Char"/>
    <w:next w:val="1160"/>
    <w:link w:val="1086"/>
    <w:uiPriority w:val="99"/>
  </w:style>
  <w:style w:type="character" w:styleId="1161">
    <w:name w:val="Caption Char"/>
    <w:next w:val="1161"/>
    <w:link w:val="1086"/>
    <w:uiPriority w:val="99"/>
  </w:style>
  <w:style w:type="table" w:styleId="1162">
    <w:name w:val="Table Grid Light"/>
    <w:basedOn w:val="1097"/>
    <w:next w:val="1162"/>
    <w:link w:val="1086"/>
    <w:uiPriority w:val="59"/>
    <w:pPr>
      <w:spacing w:after="0" w:line="240" w:lineRule="auto"/>
    </w:pPr>
    <w:tblPr/>
  </w:style>
  <w:style w:type="table" w:styleId="1163">
    <w:name w:val="Plain Table 1"/>
    <w:basedOn w:val="1097"/>
    <w:next w:val="1163"/>
    <w:link w:val="1086"/>
    <w:uiPriority w:val="59"/>
    <w:pPr>
      <w:spacing w:after="0" w:line="240" w:lineRule="auto"/>
    </w:pPr>
    <w:tblPr/>
  </w:style>
  <w:style w:type="table" w:styleId="1164">
    <w:name w:val="Plain Table 2"/>
    <w:basedOn w:val="1097"/>
    <w:next w:val="1164"/>
    <w:link w:val="1086"/>
    <w:uiPriority w:val="59"/>
    <w:pPr>
      <w:spacing w:after="0" w:line="240" w:lineRule="auto"/>
    </w:pPr>
    <w:tblPr/>
  </w:style>
  <w:style w:type="table" w:styleId="1165">
    <w:name w:val="Plain Table 3"/>
    <w:basedOn w:val="1097"/>
    <w:next w:val="1165"/>
    <w:link w:val="1086"/>
    <w:uiPriority w:val="99"/>
    <w:pPr>
      <w:spacing w:after="0" w:line="240" w:lineRule="auto"/>
    </w:pPr>
    <w:tblPr/>
  </w:style>
  <w:style w:type="table" w:styleId="1166">
    <w:name w:val="Plain Table 4"/>
    <w:basedOn w:val="1097"/>
    <w:next w:val="1166"/>
    <w:link w:val="1086"/>
    <w:uiPriority w:val="99"/>
    <w:pPr>
      <w:spacing w:after="0" w:line="240" w:lineRule="auto"/>
    </w:pPr>
    <w:tblPr/>
  </w:style>
  <w:style w:type="table" w:styleId="1167">
    <w:name w:val="Plain Table 5"/>
    <w:basedOn w:val="1097"/>
    <w:next w:val="1167"/>
    <w:link w:val="1086"/>
    <w:uiPriority w:val="99"/>
    <w:pPr>
      <w:spacing w:after="0" w:line="240" w:lineRule="auto"/>
    </w:pPr>
    <w:tblPr/>
  </w:style>
  <w:style w:type="table" w:styleId="1168">
    <w:name w:val="Grid Table 1 Light"/>
    <w:basedOn w:val="1097"/>
    <w:next w:val="1168"/>
    <w:link w:val="1086"/>
    <w:uiPriority w:val="99"/>
    <w:pPr>
      <w:spacing w:after="0" w:line="240" w:lineRule="auto"/>
    </w:pPr>
    <w:tblPr/>
  </w:style>
  <w:style w:type="table" w:styleId="1169">
    <w:name w:val="Grid Table 1 Light - Accent 1"/>
    <w:basedOn w:val="1097"/>
    <w:next w:val="1169"/>
    <w:link w:val="1086"/>
    <w:uiPriority w:val="99"/>
    <w:pPr>
      <w:spacing w:after="0" w:line="240" w:lineRule="auto"/>
    </w:pPr>
    <w:tblPr/>
  </w:style>
  <w:style w:type="table" w:styleId="1170">
    <w:name w:val="Grid Table 1 Light - Accent 2"/>
    <w:basedOn w:val="1097"/>
    <w:next w:val="1170"/>
    <w:link w:val="1086"/>
    <w:uiPriority w:val="99"/>
    <w:pPr>
      <w:spacing w:after="0" w:line="240" w:lineRule="auto"/>
    </w:pPr>
    <w:tblPr/>
  </w:style>
  <w:style w:type="table" w:styleId="1171">
    <w:name w:val="Grid Table 1 Light - Accent 3"/>
    <w:basedOn w:val="1097"/>
    <w:next w:val="1171"/>
    <w:link w:val="1086"/>
    <w:uiPriority w:val="99"/>
    <w:pPr>
      <w:spacing w:after="0" w:line="240" w:lineRule="auto"/>
    </w:pPr>
    <w:tblPr/>
  </w:style>
  <w:style w:type="table" w:styleId="1172">
    <w:name w:val="Grid Table 1 Light - Accent 4"/>
    <w:basedOn w:val="1097"/>
    <w:next w:val="1172"/>
    <w:link w:val="1086"/>
    <w:uiPriority w:val="99"/>
    <w:pPr>
      <w:spacing w:after="0" w:line="240" w:lineRule="auto"/>
    </w:pPr>
    <w:tblPr/>
  </w:style>
  <w:style w:type="table" w:styleId="1173">
    <w:name w:val="Grid Table 1 Light - Accent 5"/>
    <w:basedOn w:val="1097"/>
    <w:next w:val="1173"/>
    <w:link w:val="1086"/>
    <w:uiPriority w:val="99"/>
    <w:pPr>
      <w:spacing w:after="0" w:line="240" w:lineRule="auto"/>
    </w:pPr>
    <w:tblPr/>
  </w:style>
  <w:style w:type="table" w:styleId="1174">
    <w:name w:val="Grid Table 1 Light - Accent 6"/>
    <w:basedOn w:val="1097"/>
    <w:next w:val="1174"/>
    <w:link w:val="1086"/>
    <w:uiPriority w:val="99"/>
    <w:pPr>
      <w:spacing w:after="0" w:line="240" w:lineRule="auto"/>
    </w:pPr>
    <w:tblPr/>
  </w:style>
  <w:style w:type="table" w:styleId="1175">
    <w:name w:val="Grid Table 2"/>
    <w:basedOn w:val="1097"/>
    <w:next w:val="1175"/>
    <w:link w:val="1086"/>
    <w:uiPriority w:val="99"/>
    <w:pPr>
      <w:spacing w:after="0" w:line="240" w:lineRule="auto"/>
    </w:pPr>
    <w:tblPr/>
  </w:style>
  <w:style w:type="table" w:styleId="1176">
    <w:name w:val="Grid Table 2 - Accent 1"/>
    <w:basedOn w:val="1097"/>
    <w:next w:val="1176"/>
    <w:link w:val="1086"/>
    <w:uiPriority w:val="99"/>
    <w:pPr>
      <w:spacing w:after="0" w:line="240" w:lineRule="auto"/>
    </w:pPr>
    <w:tblPr/>
  </w:style>
  <w:style w:type="table" w:styleId="1177">
    <w:name w:val="Grid Table 2 - Accent 2"/>
    <w:basedOn w:val="1097"/>
    <w:next w:val="1177"/>
    <w:link w:val="1086"/>
    <w:uiPriority w:val="99"/>
    <w:pPr>
      <w:spacing w:after="0" w:line="240" w:lineRule="auto"/>
    </w:pPr>
    <w:tblPr/>
  </w:style>
  <w:style w:type="table" w:styleId="1178">
    <w:name w:val="Grid Table 2 - Accent 3"/>
    <w:basedOn w:val="1097"/>
    <w:next w:val="1178"/>
    <w:link w:val="1086"/>
    <w:uiPriority w:val="99"/>
    <w:pPr>
      <w:spacing w:after="0" w:line="240" w:lineRule="auto"/>
    </w:pPr>
    <w:tblPr/>
  </w:style>
  <w:style w:type="table" w:styleId="1179">
    <w:name w:val="Grid Table 2 - Accent 4"/>
    <w:basedOn w:val="1097"/>
    <w:next w:val="1179"/>
    <w:link w:val="1086"/>
    <w:uiPriority w:val="99"/>
    <w:pPr>
      <w:spacing w:after="0" w:line="240" w:lineRule="auto"/>
    </w:pPr>
    <w:tblPr/>
  </w:style>
  <w:style w:type="table" w:styleId="1180">
    <w:name w:val="Grid Table 2 - Accent 5"/>
    <w:basedOn w:val="1097"/>
    <w:next w:val="1180"/>
    <w:link w:val="1086"/>
    <w:uiPriority w:val="99"/>
    <w:pPr>
      <w:spacing w:after="0" w:line="240" w:lineRule="auto"/>
    </w:pPr>
    <w:tblPr/>
  </w:style>
  <w:style w:type="table" w:styleId="1181">
    <w:name w:val="Grid Table 2 - Accent 6"/>
    <w:basedOn w:val="1097"/>
    <w:next w:val="1181"/>
    <w:link w:val="1086"/>
    <w:uiPriority w:val="99"/>
    <w:pPr>
      <w:spacing w:after="0" w:line="240" w:lineRule="auto"/>
    </w:pPr>
    <w:tblPr/>
  </w:style>
  <w:style w:type="table" w:styleId="1182">
    <w:name w:val="Grid Table 3"/>
    <w:basedOn w:val="1097"/>
    <w:next w:val="1182"/>
    <w:link w:val="1086"/>
    <w:uiPriority w:val="99"/>
    <w:pPr>
      <w:spacing w:after="0" w:line="240" w:lineRule="auto"/>
    </w:pPr>
    <w:tblPr/>
  </w:style>
  <w:style w:type="table" w:styleId="1183">
    <w:name w:val="Grid Table 3 - Accent 1"/>
    <w:basedOn w:val="1097"/>
    <w:next w:val="1183"/>
    <w:link w:val="1086"/>
    <w:uiPriority w:val="99"/>
    <w:pPr>
      <w:spacing w:after="0" w:line="240" w:lineRule="auto"/>
    </w:pPr>
    <w:tblPr/>
  </w:style>
  <w:style w:type="table" w:styleId="1184">
    <w:name w:val="Grid Table 3 - Accent 2"/>
    <w:basedOn w:val="1097"/>
    <w:next w:val="1184"/>
    <w:link w:val="1086"/>
    <w:uiPriority w:val="99"/>
    <w:pPr>
      <w:spacing w:after="0" w:line="240" w:lineRule="auto"/>
    </w:pPr>
    <w:tblPr/>
  </w:style>
  <w:style w:type="table" w:styleId="1185">
    <w:name w:val="Grid Table 3 - Accent 3"/>
    <w:basedOn w:val="1097"/>
    <w:next w:val="1185"/>
    <w:link w:val="1086"/>
    <w:uiPriority w:val="99"/>
    <w:pPr>
      <w:spacing w:after="0" w:line="240" w:lineRule="auto"/>
    </w:pPr>
    <w:tblPr/>
  </w:style>
  <w:style w:type="table" w:styleId="1186">
    <w:name w:val="Grid Table 3 - Accent 4"/>
    <w:basedOn w:val="1097"/>
    <w:next w:val="1186"/>
    <w:link w:val="1086"/>
    <w:uiPriority w:val="99"/>
    <w:pPr>
      <w:spacing w:after="0" w:line="240" w:lineRule="auto"/>
    </w:pPr>
    <w:tblPr/>
  </w:style>
  <w:style w:type="table" w:styleId="1187">
    <w:name w:val="Grid Table 3 - Accent 5"/>
    <w:basedOn w:val="1097"/>
    <w:next w:val="1187"/>
    <w:link w:val="1086"/>
    <w:uiPriority w:val="99"/>
    <w:pPr>
      <w:spacing w:after="0" w:line="240" w:lineRule="auto"/>
    </w:pPr>
    <w:tblPr/>
  </w:style>
  <w:style w:type="table" w:styleId="1188">
    <w:name w:val="Grid Table 3 - Accent 6"/>
    <w:basedOn w:val="1097"/>
    <w:next w:val="1188"/>
    <w:link w:val="1086"/>
    <w:uiPriority w:val="99"/>
    <w:pPr>
      <w:spacing w:after="0" w:line="240" w:lineRule="auto"/>
    </w:pPr>
    <w:tblPr/>
  </w:style>
  <w:style w:type="table" w:styleId="1189">
    <w:name w:val="Grid Table 4"/>
    <w:basedOn w:val="1097"/>
    <w:next w:val="1189"/>
    <w:link w:val="1086"/>
    <w:uiPriority w:val="59"/>
    <w:pPr>
      <w:spacing w:after="0" w:line="240" w:lineRule="auto"/>
    </w:pPr>
    <w:tblPr/>
  </w:style>
  <w:style w:type="table" w:styleId="1190">
    <w:name w:val="Grid Table 4 - Accent 1"/>
    <w:basedOn w:val="1097"/>
    <w:next w:val="1190"/>
    <w:link w:val="1086"/>
    <w:uiPriority w:val="59"/>
    <w:pPr>
      <w:spacing w:after="0" w:line="240" w:lineRule="auto"/>
    </w:pPr>
    <w:tblPr/>
  </w:style>
  <w:style w:type="table" w:styleId="1191">
    <w:name w:val="Grid Table 4 - Accent 2"/>
    <w:basedOn w:val="1097"/>
    <w:next w:val="1191"/>
    <w:link w:val="1086"/>
    <w:uiPriority w:val="59"/>
    <w:pPr>
      <w:spacing w:after="0" w:line="240" w:lineRule="auto"/>
    </w:pPr>
    <w:tblPr/>
  </w:style>
  <w:style w:type="table" w:styleId="1192">
    <w:name w:val="Grid Table 4 - Accent 3"/>
    <w:basedOn w:val="1097"/>
    <w:next w:val="1192"/>
    <w:link w:val="1086"/>
    <w:uiPriority w:val="59"/>
    <w:pPr>
      <w:spacing w:after="0" w:line="240" w:lineRule="auto"/>
    </w:pPr>
    <w:tblPr/>
  </w:style>
  <w:style w:type="table" w:styleId="1193">
    <w:name w:val="Grid Table 4 - Accent 4"/>
    <w:basedOn w:val="1097"/>
    <w:next w:val="1193"/>
    <w:link w:val="1086"/>
    <w:uiPriority w:val="59"/>
    <w:pPr>
      <w:spacing w:after="0" w:line="240" w:lineRule="auto"/>
    </w:pPr>
    <w:tblPr/>
  </w:style>
  <w:style w:type="table" w:styleId="1194">
    <w:name w:val="Grid Table 4 - Accent 5"/>
    <w:basedOn w:val="1097"/>
    <w:next w:val="1194"/>
    <w:link w:val="1086"/>
    <w:uiPriority w:val="59"/>
    <w:pPr>
      <w:spacing w:after="0" w:line="240" w:lineRule="auto"/>
    </w:pPr>
    <w:tblPr/>
  </w:style>
  <w:style w:type="table" w:styleId="1195">
    <w:name w:val="Grid Table 4 - Accent 6"/>
    <w:basedOn w:val="1097"/>
    <w:next w:val="1195"/>
    <w:link w:val="1086"/>
    <w:uiPriority w:val="59"/>
    <w:pPr>
      <w:spacing w:after="0" w:line="240" w:lineRule="auto"/>
    </w:pPr>
    <w:tblPr/>
  </w:style>
  <w:style w:type="table" w:styleId="1196">
    <w:name w:val="Grid Table 5 Dark"/>
    <w:basedOn w:val="1097"/>
    <w:next w:val="1196"/>
    <w:link w:val="1086"/>
    <w:uiPriority w:val="99"/>
    <w:pPr>
      <w:spacing w:after="0" w:line="240" w:lineRule="auto"/>
    </w:pPr>
    <w:tblPr/>
  </w:style>
  <w:style w:type="table" w:styleId="1197">
    <w:name w:val="Grid Table 5 Dark- Accent 1"/>
    <w:basedOn w:val="1097"/>
    <w:next w:val="1197"/>
    <w:link w:val="1086"/>
    <w:uiPriority w:val="99"/>
    <w:pPr>
      <w:spacing w:after="0" w:line="240" w:lineRule="auto"/>
    </w:pPr>
    <w:tblPr/>
  </w:style>
  <w:style w:type="table" w:styleId="1198">
    <w:name w:val="Grid Table 5 Dark - Accent 2"/>
    <w:basedOn w:val="1097"/>
    <w:next w:val="1198"/>
    <w:link w:val="1086"/>
    <w:uiPriority w:val="99"/>
    <w:pPr>
      <w:spacing w:after="0" w:line="240" w:lineRule="auto"/>
    </w:pPr>
    <w:tblPr/>
  </w:style>
  <w:style w:type="table" w:styleId="1199">
    <w:name w:val="Grid Table 5 Dark - Accent 3"/>
    <w:basedOn w:val="1097"/>
    <w:next w:val="1199"/>
    <w:link w:val="1086"/>
    <w:uiPriority w:val="99"/>
    <w:pPr>
      <w:spacing w:after="0" w:line="240" w:lineRule="auto"/>
    </w:pPr>
    <w:tblPr/>
  </w:style>
  <w:style w:type="table" w:styleId="1200">
    <w:name w:val="Grid Table 5 Dark- Accent 4"/>
    <w:basedOn w:val="1097"/>
    <w:next w:val="1200"/>
    <w:link w:val="1086"/>
    <w:uiPriority w:val="99"/>
    <w:pPr>
      <w:spacing w:after="0" w:line="240" w:lineRule="auto"/>
    </w:pPr>
    <w:tblPr/>
  </w:style>
  <w:style w:type="table" w:styleId="1201">
    <w:name w:val="Grid Table 5 Dark - Accent 5"/>
    <w:basedOn w:val="1097"/>
    <w:next w:val="1201"/>
    <w:link w:val="1086"/>
    <w:uiPriority w:val="99"/>
    <w:pPr>
      <w:spacing w:after="0" w:line="240" w:lineRule="auto"/>
    </w:pPr>
    <w:tblPr/>
  </w:style>
  <w:style w:type="table" w:styleId="1202">
    <w:name w:val="Grid Table 5 Dark - Accent 6"/>
    <w:basedOn w:val="1097"/>
    <w:next w:val="1202"/>
    <w:link w:val="1086"/>
    <w:uiPriority w:val="99"/>
    <w:pPr>
      <w:spacing w:after="0" w:line="240" w:lineRule="auto"/>
    </w:pPr>
    <w:tblPr/>
  </w:style>
  <w:style w:type="table" w:styleId="1203">
    <w:name w:val="Grid Table 6 Colorful"/>
    <w:basedOn w:val="1097"/>
    <w:next w:val="1203"/>
    <w:link w:val="1086"/>
    <w:uiPriority w:val="99"/>
    <w:pPr>
      <w:spacing w:after="0" w:line="240" w:lineRule="auto"/>
    </w:pPr>
    <w:tblPr/>
  </w:style>
  <w:style w:type="table" w:styleId="1204">
    <w:name w:val="Grid Table 6 Colorful - Accent 1"/>
    <w:basedOn w:val="1097"/>
    <w:next w:val="1204"/>
    <w:link w:val="1086"/>
    <w:uiPriority w:val="99"/>
    <w:pPr>
      <w:spacing w:after="0" w:line="240" w:lineRule="auto"/>
    </w:pPr>
    <w:tblPr/>
  </w:style>
  <w:style w:type="table" w:styleId="1205">
    <w:name w:val="Grid Table 6 Colorful - Accent 2"/>
    <w:basedOn w:val="1097"/>
    <w:next w:val="1205"/>
    <w:link w:val="1086"/>
    <w:uiPriority w:val="99"/>
    <w:pPr>
      <w:spacing w:after="0" w:line="240" w:lineRule="auto"/>
    </w:pPr>
    <w:tblPr/>
  </w:style>
  <w:style w:type="table" w:styleId="1206">
    <w:name w:val="Grid Table 6 Colorful - Accent 3"/>
    <w:basedOn w:val="1097"/>
    <w:next w:val="1206"/>
    <w:link w:val="1086"/>
    <w:uiPriority w:val="99"/>
    <w:pPr>
      <w:spacing w:after="0" w:line="240" w:lineRule="auto"/>
    </w:pPr>
    <w:tblPr/>
  </w:style>
  <w:style w:type="table" w:styleId="1207">
    <w:name w:val="Grid Table 6 Colorful - Accent 4"/>
    <w:basedOn w:val="1097"/>
    <w:next w:val="1207"/>
    <w:link w:val="1086"/>
    <w:uiPriority w:val="99"/>
    <w:pPr>
      <w:spacing w:after="0" w:line="240" w:lineRule="auto"/>
    </w:pPr>
    <w:tblPr/>
  </w:style>
  <w:style w:type="table" w:styleId="1208">
    <w:name w:val="Grid Table 6 Colorful - Accent 5"/>
    <w:basedOn w:val="1097"/>
    <w:next w:val="1208"/>
    <w:link w:val="1086"/>
    <w:uiPriority w:val="99"/>
    <w:pPr>
      <w:spacing w:after="0" w:line="240" w:lineRule="auto"/>
    </w:pPr>
    <w:tblPr/>
  </w:style>
  <w:style w:type="table" w:styleId="1209">
    <w:name w:val="Grid Table 6 Colorful - Accent 6"/>
    <w:basedOn w:val="1097"/>
    <w:next w:val="1209"/>
    <w:link w:val="1086"/>
    <w:uiPriority w:val="99"/>
    <w:pPr>
      <w:spacing w:after="0" w:line="240" w:lineRule="auto"/>
    </w:pPr>
    <w:tblPr/>
  </w:style>
  <w:style w:type="table" w:styleId="1210">
    <w:name w:val="Grid Table 7 Colorful"/>
    <w:basedOn w:val="1097"/>
    <w:next w:val="1210"/>
    <w:link w:val="1086"/>
    <w:uiPriority w:val="99"/>
    <w:pPr>
      <w:spacing w:after="0" w:line="240" w:lineRule="auto"/>
    </w:pPr>
    <w:tblPr/>
  </w:style>
  <w:style w:type="table" w:styleId="1211">
    <w:name w:val="Grid Table 7 Colorful - Accent 1"/>
    <w:basedOn w:val="1097"/>
    <w:next w:val="1211"/>
    <w:link w:val="1086"/>
    <w:uiPriority w:val="99"/>
    <w:pPr>
      <w:spacing w:after="0" w:line="240" w:lineRule="auto"/>
    </w:pPr>
    <w:tblPr/>
  </w:style>
  <w:style w:type="table" w:styleId="1212">
    <w:name w:val="Grid Table 7 Colorful - Accent 2"/>
    <w:basedOn w:val="1097"/>
    <w:next w:val="1212"/>
    <w:link w:val="1086"/>
    <w:uiPriority w:val="99"/>
    <w:pPr>
      <w:spacing w:after="0" w:line="240" w:lineRule="auto"/>
    </w:pPr>
    <w:tblPr/>
  </w:style>
  <w:style w:type="table" w:styleId="1213">
    <w:name w:val="Grid Table 7 Colorful - Accent 3"/>
    <w:basedOn w:val="1097"/>
    <w:next w:val="1213"/>
    <w:link w:val="1086"/>
    <w:uiPriority w:val="99"/>
    <w:pPr>
      <w:spacing w:after="0" w:line="240" w:lineRule="auto"/>
    </w:pPr>
    <w:tblPr/>
  </w:style>
  <w:style w:type="table" w:styleId="1214">
    <w:name w:val="Grid Table 7 Colorful - Accent 4"/>
    <w:basedOn w:val="1097"/>
    <w:next w:val="1214"/>
    <w:link w:val="1086"/>
    <w:uiPriority w:val="99"/>
    <w:pPr>
      <w:spacing w:after="0" w:line="240" w:lineRule="auto"/>
    </w:pPr>
    <w:tblPr/>
  </w:style>
  <w:style w:type="table" w:styleId="1215">
    <w:name w:val="Grid Table 7 Colorful - Accent 5"/>
    <w:basedOn w:val="1097"/>
    <w:next w:val="1215"/>
    <w:link w:val="1086"/>
    <w:uiPriority w:val="99"/>
    <w:pPr>
      <w:spacing w:after="0" w:line="240" w:lineRule="auto"/>
    </w:pPr>
    <w:tblPr/>
  </w:style>
  <w:style w:type="table" w:styleId="1216">
    <w:name w:val="Grid Table 7 Colorful - Accent 6"/>
    <w:basedOn w:val="1097"/>
    <w:next w:val="1216"/>
    <w:link w:val="1086"/>
    <w:uiPriority w:val="99"/>
    <w:pPr>
      <w:spacing w:after="0" w:line="240" w:lineRule="auto"/>
    </w:pPr>
    <w:tblPr/>
  </w:style>
  <w:style w:type="table" w:styleId="1217">
    <w:name w:val="List Table 1 Light"/>
    <w:basedOn w:val="1097"/>
    <w:next w:val="1217"/>
    <w:link w:val="1086"/>
    <w:uiPriority w:val="99"/>
    <w:pPr>
      <w:spacing w:after="0" w:line="240" w:lineRule="auto"/>
    </w:pPr>
    <w:tblPr/>
  </w:style>
  <w:style w:type="table" w:styleId="1218">
    <w:name w:val="List Table 1 Light - Accent 1"/>
    <w:basedOn w:val="1097"/>
    <w:next w:val="1218"/>
    <w:link w:val="1086"/>
    <w:uiPriority w:val="99"/>
    <w:pPr>
      <w:spacing w:after="0" w:line="240" w:lineRule="auto"/>
    </w:pPr>
    <w:tblPr/>
  </w:style>
  <w:style w:type="table" w:styleId="1219">
    <w:name w:val="List Table 1 Light - Accent 2"/>
    <w:basedOn w:val="1097"/>
    <w:next w:val="1219"/>
    <w:link w:val="1086"/>
    <w:uiPriority w:val="99"/>
    <w:pPr>
      <w:spacing w:after="0" w:line="240" w:lineRule="auto"/>
    </w:pPr>
    <w:tblPr/>
  </w:style>
  <w:style w:type="table" w:styleId="1220">
    <w:name w:val="List Table 1 Light - Accent 3"/>
    <w:basedOn w:val="1097"/>
    <w:next w:val="1220"/>
    <w:link w:val="1086"/>
    <w:uiPriority w:val="99"/>
    <w:pPr>
      <w:spacing w:after="0" w:line="240" w:lineRule="auto"/>
    </w:pPr>
    <w:tblPr/>
  </w:style>
  <w:style w:type="table" w:styleId="1221">
    <w:name w:val="List Table 1 Light - Accent 4"/>
    <w:basedOn w:val="1097"/>
    <w:next w:val="1221"/>
    <w:link w:val="1086"/>
    <w:uiPriority w:val="99"/>
    <w:pPr>
      <w:spacing w:after="0" w:line="240" w:lineRule="auto"/>
    </w:pPr>
    <w:tblPr/>
  </w:style>
  <w:style w:type="table" w:styleId="1222">
    <w:name w:val="List Table 1 Light - Accent 5"/>
    <w:basedOn w:val="1097"/>
    <w:next w:val="1222"/>
    <w:link w:val="1086"/>
    <w:uiPriority w:val="99"/>
    <w:pPr>
      <w:spacing w:after="0" w:line="240" w:lineRule="auto"/>
    </w:pPr>
    <w:tblPr/>
  </w:style>
  <w:style w:type="table" w:styleId="1223">
    <w:name w:val="List Table 1 Light - Accent 6"/>
    <w:basedOn w:val="1097"/>
    <w:next w:val="1223"/>
    <w:link w:val="1086"/>
    <w:uiPriority w:val="99"/>
    <w:pPr>
      <w:spacing w:after="0" w:line="240" w:lineRule="auto"/>
    </w:pPr>
    <w:tblPr/>
  </w:style>
  <w:style w:type="table" w:styleId="1224">
    <w:name w:val="List Table 2"/>
    <w:basedOn w:val="1097"/>
    <w:next w:val="1224"/>
    <w:link w:val="1086"/>
    <w:uiPriority w:val="99"/>
    <w:pPr>
      <w:spacing w:after="0" w:line="240" w:lineRule="auto"/>
    </w:pPr>
    <w:tblPr/>
  </w:style>
  <w:style w:type="table" w:styleId="1225">
    <w:name w:val="List Table 2 - Accent 1"/>
    <w:basedOn w:val="1097"/>
    <w:next w:val="1225"/>
    <w:link w:val="1086"/>
    <w:uiPriority w:val="99"/>
    <w:pPr>
      <w:spacing w:after="0" w:line="240" w:lineRule="auto"/>
    </w:pPr>
    <w:tblPr/>
  </w:style>
  <w:style w:type="table" w:styleId="1226">
    <w:name w:val="List Table 2 - Accent 2"/>
    <w:basedOn w:val="1097"/>
    <w:next w:val="1226"/>
    <w:link w:val="1086"/>
    <w:uiPriority w:val="99"/>
    <w:pPr>
      <w:spacing w:after="0" w:line="240" w:lineRule="auto"/>
    </w:pPr>
    <w:tblPr/>
  </w:style>
  <w:style w:type="table" w:styleId="1227">
    <w:name w:val="List Table 2 - Accent 3"/>
    <w:basedOn w:val="1097"/>
    <w:next w:val="1227"/>
    <w:link w:val="1086"/>
    <w:uiPriority w:val="99"/>
    <w:pPr>
      <w:spacing w:after="0" w:line="240" w:lineRule="auto"/>
    </w:pPr>
    <w:tblPr/>
  </w:style>
  <w:style w:type="table" w:styleId="1228">
    <w:name w:val="List Table 2 - Accent 4"/>
    <w:basedOn w:val="1097"/>
    <w:next w:val="1228"/>
    <w:link w:val="1086"/>
    <w:uiPriority w:val="99"/>
    <w:pPr>
      <w:spacing w:after="0" w:line="240" w:lineRule="auto"/>
    </w:pPr>
    <w:tblPr/>
  </w:style>
  <w:style w:type="table" w:styleId="1229">
    <w:name w:val="List Table 2 - Accent 5"/>
    <w:basedOn w:val="1097"/>
    <w:next w:val="1229"/>
    <w:link w:val="1086"/>
    <w:uiPriority w:val="99"/>
    <w:pPr>
      <w:spacing w:after="0" w:line="240" w:lineRule="auto"/>
    </w:pPr>
    <w:tblPr/>
  </w:style>
  <w:style w:type="table" w:styleId="1230">
    <w:name w:val="List Table 2 - Accent 6"/>
    <w:basedOn w:val="1097"/>
    <w:next w:val="1230"/>
    <w:link w:val="1086"/>
    <w:uiPriority w:val="99"/>
    <w:pPr>
      <w:spacing w:after="0" w:line="240" w:lineRule="auto"/>
    </w:pPr>
    <w:tblPr/>
  </w:style>
  <w:style w:type="table" w:styleId="1231">
    <w:name w:val="List Table 3"/>
    <w:basedOn w:val="1097"/>
    <w:next w:val="1231"/>
    <w:link w:val="1086"/>
    <w:uiPriority w:val="99"/>
    <w:pPr>
      <w:spacing w:after="0" w:line="240" w:lineRule="auto"/>
    </w:pPr>
    <w:tblPr/>
  </w:style>
  <w:style w:type="table" w:styleId="1232">
    <w:name w:val="List Table 3 - Accent 1"/>
    <w:basedOn w:val="1097"/>
    <w:next w:val="1232"/>
    <w:link w:val="1086"/>
    <w:uiPriority w:val="99"/>
    <w:pPr>
      <w:spacing w:after="0" w:line="240" w:lineRule="auto"/>
    </w:pPr>
    <w:tblPr/>
  </w:style>
  <w:style w:type="table" w:styleId="1233">
    <w:name w:val="List Table 3 - Accent 2"/>
    <w:basedOn w:val="1097"/>
    <w:next w:val="1233"/>
    <w:link w:val="1086"/>
    <w:uiPriority w:val="99"/>
    <w:pPr>
      <w:spacing w:after="0" w:line="240" w:lineRule="auto"/>
    </w:pPr>
    <w:tblPr/>
  </w:style>
  <w:style w:type="table" w:styleId="1234">
    <w:name w:val="List Table 3 - Accent 3"/>
    <w:basedOn w:val="1097"/>
    <w:next w:val="1234"/>
    <w:link w:val="1086"/>
    <w:uiPriority w:val="99"/>
    <w:pPr>
      <w:spacing w:after="0" w:line="240" w:lineRule="auto"/>
    </w:pPr>
    <w:tblPr/>
  </w:style>
  <w:style w:type="table" w:styleId="1235">
    <w:name w:val="List Table 3 - Accent 4"/>
    <w:basedOn w:val="1097"/>
    <w:next w:val="1235"/>
    <w:link w:val="1086"/>
    <w:uiPriority w:val="99"/>
    <w:pPr>
      <w:spacing w:after="0" w:line="240" w:lineRule="auto"/>
    </w:pPr>
    <w:tblPr/>
  </w:style>
  <w:style w:type="table" w:styleId="1236">
    <w:name w:val="List Table 3 - Accent 5"/>
    <w:basedOn w:val="1097"/>
    <w:next w:val="1236"/>
    <w:link w:val="1086"/>
    <w:uiPriority w:val="99"/>
    <w:pPr>
      <w:spacing w:after="0" w:line="240" w:lineRule="auto"/>
    </w:pPr>
    <w:tblPr/>
  </w:style>
  <w:style w:type="table" w:styleId="1237">
    <w:name w:val="List Table 3 - Accent 6"/>
    <w:basedOn w:val="1097"/>
    <w:next w:val="1237"/>
    <w:link w:val="1086"/>
    <w:uiPriority w:val="99"/>
    <w:pPr>
      <w:spacing w:after="0" w:line="240" w:lineRule="auto"/>
    </w:pPr>
    <w:tblPr/>
  </w:style>
  <w:style w:type="table" w:styleId="1238">
    <w:name w:val="List Table 4"/>
    <w:basedOn w:val="1097"/>
    <w:next w:val="1238"/>
    <w:link w:val="1086"/>
    <w:uiPriority w:val="99"/>
    <w:pPr>
      <w:spacing w:after="0" w:line="240" w:lineRule="auto"/>
    </w:pPr>
    <w:tblPr/>
  </w:style>
  <w:style w:type="table" w:styleId="1239">
    <w:name w:val="List Table 4 - Accent 1"/>
    <w:basedOn w:val="1097"/>
    <w:next w:val="1239"/>
    <w:link w:val="1086"/>
    <w:uiPriority w:val="99"/>
    <w:pPr>
      <w:spacing w:after="0" w:line="240" w:lineRule="auto"/>
    </w:pPr>
    <w:tblPr/>
  </w:style>
  <w:style w:type="table" w:styleId="1240">
    <w:name w:val="List Table 4 - Accent 2"/>
    <w:basedOn w:val="1097"/>
    <w:next w:val="1240"/>
    <w:link w:val="1086"/>
    <w:uiPriority w:val="99"/>
    <w:pPr>
      <w:spacing w:after="0" w:line="240" w:lineRule="auto"/>
    </w:pPr>
    <w:tblPr/>
  </w:style>
  <w:style w:type="table" w:styleId="1241">
    <w:name w:val="List Table 4 - Accent 3"/>
    <w:basedOn w:val="1097"/>
    <w:next w:val="1241"/>
    <w:link w:val="1086"/>
    <w:uiPriority w:val="99"/>
    <w:pPr>
      <w:spacing w:after="0" w:line="240" w:lineRule="auto"/>
    </w:pPr>
    <w:tblPr/>
  </w:style>
  <w:style w:type="table" w:styleId="1242">
    <w:name w:val="List Table 4 - Accent 4"/>
    <w:basedOn w:val="1097"/>
    <w:next w:val="1242"/>
    <w:link w:val="1086"/>
    <w:uiPriority w:val="99"/>
    <w:pPr>
      <w:spacing w:after="0" w:line="240" w:lineRule="auto"/>
    </w:pPr>
    <w:tblPr/>
  </w:style>
  <w:style w:type="table" w:styleId="1243">
    <w:name w:val="List Table 4 - Accent 5"/>
    <w:basedOn w:val="1097"/>
    <w:next w:val="1243"/>
    <w:link w:val="1086"/>
    <w:uiPriority w:val="99"/>
    <w:pPr>
      <w:spacing w:after="0" w:line="240" w:lineRule="auto"/>
    </w:pPr>
    <w:tblPr/>
  </w:style>
  <w:style w:type="table" w:styleId="1244">
    <w:name w:val="List Table 4 - Accent 6"/>
    <w:basedOn w:val="1097"/>
    <w:next w:val="1244"/>
    <w:link w:val="1086"/>
    <w:uiPriority w:val="99"/>
    <w:pPr>
      <w:spacing w:after="0" w:line="240" w:lineRule="auto"/>
    </w:pPr>
    <w:tblPr/>
  </w:style>
  <w:style w:type="table" w:styleId="1245">
    <w:name w:val="List Table 5 Dark"/>
    <w:basedOn w:val="1097"/>
    <w:next w:val="1245"/>
    <w:link w:val="1086"/>
    <w:uiPriority w:val="99"/>
    <w:pPr>
      <w:spacing w:after="0" w:line="240" w:lineRule="auto"/>
    </w:pPr>
    <w:tblPr/>
  </w:style>
  <w:style w:type="table" w:styleId="1246">
    <w:name w:val="List Table 5 Dark - Accent 1"/>
    <w:basedOn w:val="1097"/>
    <w:next w:val="1246"/>
    <w:link w:val="1086"/>
    <w:uiPriority w:val="99"/>
    <w:pPr>
      <w:spacing w:after="0" w:line="240" w:lineRule="auto"/>
    </w:pPr>
    <w:tblPr/>
  </w:style>
  <w:style w:type="table" w:styleId="1247">
    <w:name w:val="List Table 5 Dark - Accent 2"/>
    <w:basedOn w:val="1097"/>
    <w:next w:val="1247"/>
    <w:link w:val="1086"/>
    <w:uiPriority w:val="99"/>
    <w:pPr>
      <w:spacing w:after="0" w:line="240" w:lineRule="auto"/>
    </w:pPr>
    <w:tblPr/>
  </w:style>
  <w:style w:type="table" w:styleId="1248">
    <w:name w:val="List Table 5 Dark - Accent 3"/>
    <w:basedOn w:val="1097"/>
    <w:next w:val="1248"/>
    <w:link w:val="1086"/>
    <w:uiPriority w:val="99"/>
    <w:pPr>
      <w:spacing w:after="0" w:line="240" w:lineRule="auto"/>
    </w:pPr>
    <w:tblPr/>
  </w:style>
  <w:style w:type="table" w:styleId="1249">
    <w:name w:val="List Table 5 Dark - Accent 4"/>
    <w:basedOn w:val="1097"/>
    <w:next w:val="1249"/>
    <w:link w:val="1086"/>
    <w:uiPriority w:val="99"/>
    <w:pPr>
      <w:spacing w:after="0" w:line="240" w:lineRule="auto"/>
    </w:pPr>
    <w:tblPr/>
  </w:style>
  <w:style w:type="table" w:styleId="1250">
    <w:name w:val="List Table 5 Dark - Accent 5"/>
    <w:basedOn w:val="1097"/>
    <w:next w:val="1250"/>
    <w:link w:val="1086"/>
    <w:uiPriority w:val="99"/>
    <w:pPr>
      <w:spacing w:after="0" w:line="240" w:lineRule="auto"/>
    </w:pPr>
    <w:tblPr/>
  </w:style>
  <w:style w:type="table" w:styleId="1251">
    <w:name w:val="List Table 5 Dark - Accent 6"/>
    <w:basedOn w:val="1097"/>
    <w:next w:val="1251"/>
    <w:link w:val="1086"/>
    <w:uiPriority w:val="99"/>
    <w:pPr>
      <w:spacing w:after="0" w:line="240" w:lineRule="auto"/>
    </w:pPr>
    <w:tblPr/>
  </w:style>
  <w:style w:type="table" w:styleId="1252">
    <w:name w:val="List Table 6 Colorful"/>
    <w:basedOn w:val="1097"/>
    <w:next w:val="1252"/>
    <w:link w:val="1086"/>
    <w:uiPriority w:val="99"/>
    <w:pPr>
      <w:spacing w:after="0" w:line="240" w:lineRule="auto"/>
    </w:pPr>
    <w:tblPr/>
  </w:style>
  <w:style w:type="table" w:styleId="1253">
    <w:name w:val="List Table 6 Colorful - Accent 1"/>
    <w:basedOn w:val="1097"/>
    <w:next w:val="1253"/>
    <w:link w:val="1086"/>
    <w:uiPriority w:val="99"/>
    <w:pPr>
      <w:spacing w:after="0" w:line="240" w:lineRule="auto"/>
    </w:pPr>
    <w:tblPr/>
  </w:style>
  <w:style w:type="table" w:styleId="1254">
    <w:name w:val="List Table 6 Colorful - Accent 2"/>
    <w:basedOn w:val="1097"/>
    <w:next w:val="1254"/>
    <w:link w:val="1086"/>
    <w:uiPriority w:val="99"/>
    <w:pPr>
      <w:spacing w:after="0" w:line="240" w:lineRule="auto"/>
    </w:pPr>
    <w:tblPr/>
  </w:style>
  <w:style w:type="table" w:styleId="1255">
    <w:name w:val="List Table 6 Colorful - Accent 3"/>
    <w:basedOn w:val="1097"/>
    <w:next w:val="1255"/>
    <w:link w:val="1086"/>
    <w:uiPriority w:val="99"/>
    <w:pPr>
      <w:spacing w:after="0" w:line="240" w:lineRule="auto"/>
    </w:pPr>
    <w:tblPr/>
  </w:style>
  <w:style w:type="table" w:styleId="1256">
    <w:name w:val="List Table 6 Colorful - Accent 4"/>
    <w:basedOn w:val="1097"/>
    <w:next w:val="1256"/>
    <w:link w:val="1086"/>
    <w:uiPriority w:val="99"/>
    <w:pPr>
      <w:spacing w:after="0" w:line="240" w:lineRule="auto"/>
    </w:pPr>
    <w:tblPr/>
  </w:style>
  <w:style w:type="table" w:styleId="1257">
    <w:name w:val="List Table 6 Colorful - Accent 5"/>
    <w:basedOn w:val="1097"/>
    <w:next w:val="1257"/>
    <w:link w:val="1086"/>
    <w:uiPriority w:val="99"/>
    <w:pPr>
      <w:spacing w:after="0" w:line="240" w:lineRule="auto"/>
    </w:pPr>
    <w:tblPr/>
  </w:style>
  <w:style w:type="table" w:styleId="1258">
    <w:name w:val="List Table 6 Colorful - Accent 6"/>
    <w:basedOn w:val="1097"/>
    <w:next w:val="1258"/>
    <w:link w:val="1086"/>
    <w:uiPriority w:val="99"/>
    <w:pPr>
      <w:spacing w:after="0" w:line="240" w:lineRule="auto"/>
    </w:pPr>
    <w:tblPr/>
  </w:style>
  <w:style w:type="table" w:styleId="1259">
    <w:name w:val="List Table 7 Colorful"/>
    <w:basedOn w:val="1097"/>
    <w:next w:val="1259"/>
    <w:link w:val="1086"/>
    <w:uiPriority w:val="99"/>
    <w:pPr>
      <w:spacing w:after="0" w:line="240" w:lineRule="auto"/>
    </w:pPr>
    <w:tblPr/>
  </w:style>
  <w:style w:type="table" w:styleId="1260">
    <w:name w:val="List Table 7 Colorful - Accent 1"/>
    <w:basedOn w:val="1097"/>
    <w:next w:val="1260"/>
    <w:link w:val="1086"/>
    <w:uiPriority w:val="99"/>
    <w:pPr>
      <w:spacing w:after="0" w:line="240" w:lineRule="auto"/>
    </w:pPr>
    <w:tblPr/>
  </w:style>
  <w:style w:type="table" w:styleId="1261">
    <w:name w:val="List Table 7 Colorful - Accent 2"/>
    <w:basedOn w:val="1097"/>
    <w:next w:val="1261"/>
    <w:link w:val="1086"/>
    <w:uiPriority w:val="99"/>
    <w:pPr>
      <w:spacing w:after="0" w:line="240" w:lineRule="auto"/>
    </w:pPr>
    <w:tblPr/>
  </w:style>
  <w:style w:type="table" w:styleId="1262">
    <w:name w:val="List Table 7 Colorful - Accent 3"/>
    <w:basedOn w:val="1097"/>
    <w:next w:val="1262"/>
    <w:link w:val="1086"/>
    <w:uiPriority w:val="99"/>
    <w:pPr>
      <w:spacing w:after="0" w:line="240" w:lineRule="auto"/>
    </w:pPr>
    <w:tblPr/>
  </w:style>
  <w:style w:type="table" w:styleId="1263">
    <w:name w:val="List Table 7 Colorful - Accent 4"/>
    <w:basedOn w:val="1097"/>
    <w:next w:val="1263"/>
    <w:link w:val="1086"/>
    <w:uiPriority w:val="99"/>
    <w:pPr>
      <w:spacing w:after="0" w:line="240" w:lineRule="auto"/>
    </w:pPr>
    <w:tblPr/>
  </w:style>
  <w:style w:type="table" w:styleId="1264">
    <w:name w:val="List Table 7 Colorful - Accent 5"/>
    <w:basedOn w:val="1097"/>
    <w:next w:val="1264"/>
    <w:link w:val="1086"/>
    <w:uiPriority w:val="99"/>
    <w:pPr>
      <w:spacing w:after="0" w:line="240" w:lineRule="auto"/>
    </w:pPr>
    <w:tblPr/>
  </w:style>
  <w:style w:type="table" w:styleId="1265">
    <w:name w:val="List Table 7 Colorful - Accent 6"/>
    <w:basedOn w:val="1097"/>
    <w:next w:val="1265"/>
    <w:link w:val="1086"/>
    <w:uiPriority w:val="99"/>
    <w:pPr>
      <w:spacing w:after="0" w:line="240" w:lineRule="auto"/>
    </w:pPr>
    <w:tblPr/>
  </w:style>
  <w:style w:type="table" w:styleId="1266">
    <w:name w:val="Lined - Accent"/>
    <w:basedOn w:val="1097"/>
    <w:next w:val="1266"/>
    <w:link w:val="1086"/>
    <w:uiPriority w:val="99"/>
    <w:pPr>
      <w:spacing w:after="0" w:line="240" w:lineRule="auto"/>
    </w:pPr>
    <w:rPr>
      <w:color w:val="404040"/>
    </w:rPr>
    <w:tblPr/>
  </w:style>
  <w:style w:type="table" w:styleId="1267">
    <w:name w:val="Lined - Accent 1"/>
    <w:basedOn w:val="1097"/>
    <w:next w:val="1267"/>
    <w:link w:val="1086"/>
    <w:uiPriority w:val="99"/>
    <w:pPr>
      <w:spacing w:after="0" w:line="240" w:lineRule="auto"/>
    </w:pPr>
    <w:rPr>
      <w:color w:val="404040"/>
    </w:rPr>
    <w:tblPr/>
  </w:style>
  <w:style w:type="table" w:styleId="1268">
    <w:name w:val="Lined - Accent 2"/>
    <w:basedOn w:val="1097"/>
    <w:next w:val="1268"/>
    <w:link w:val="1086"/>
    <w:uiPriority w:val="99"/>
    <w:pPr>
      <w:spacing w:after="0" w:line="240" w:lineRule="auto"/>
    </w:pPr>
    <w:rPr>
      <w:color w:val="404040"/>
    </w:rPr>
    <w:tblPr/>
  </w:style>
  <w:style w:type="table" w:styleId="1269">
    <w:name w:val="Lined - Accent 3"/>
    <w:basedOn w:val="1097"/>
    <w:next w:val="1269"/>
    <w:link w:val="1086"/>
    <w:uiPriority w:val="99"/>
    <w:pPr>
      <w:spacing w:after="0" w:line="240" w:lineRule="auto"/>
    </w:pPr>
    <w:rPr>
      <w:color w:val="404040"/>
    </w:rPr>
    <w:tblPr/>
  </w:style>
  <w:style w:type="table" w:styleId="1270">
    <w:name w:val="Lined - Accent 4"/>
    <w:basedOn w:val="1097"/>
    <w:next w:val="1270"/>
    <w:link w:val="1086"/>
    <w:uiPriority w:val="99"/>
    <w:pPr>
      <w:spacing w:after="0" w:line="240" w:lineRule="auto"/>
    </w:pPr>
    <w:rPr>
      <w:color w:val="404040"/>
    </w:rPr>
    <w:tblPr/>
  </w:style>
  <w:style w:type="table" w:styleId="1271">
    <w:name w:val="Lined - Accent 5"/>
    <w:basedOn w:val="1097"/>
    <w:next w:val="1271"/>
    <w:link w:val="1086"/>
    <w:uiPriority w:val="99"/>
    <w:pPr>
      <w:spacing w:after="0" w:line="240" w:lineRule="auto"/>
    </w:pPr>
    <w:rPr>
      <w:color w:val="404040"/>
    </w:rPr>
    <w:tblPr/>
  </w:style>
  <w:style w:type="table" w:styleId="1272">
    <w:name w:val="Lined - Accent 6"/>
    <w:basedOn w:val="1097"/>
    <w:next w:val="1272"/>
    <w:link w:val="1086"/>
    <w:uiPriority w:val="99"/>
    <w:pPr>
      <w:spacing w:after="0" w:line="240" w:lineRule="auto"/>
    </w:pPr>
    <w:rPr>
      <w:color w:val="404040"/>
    </w:rPr>
    <w:tblPr/>
  </w:style>
  <w:style w:type="table" w:styleId="1273">
    <w:name w:val="Bordered &amp; Lined - Accent"/>
    <w:basedOn w:val="1097"/>
    <w:next w:val="1273"/>
    <w:link w:val="1086"/>
    <w:uiPriority w:val="99"/>
    <w:pPr>
      <w:spacing w:after="0" w:line="240" w:lineRule="auto"/>
    </w:pPr>
    <w:rPr>
      <w:color w:val="404040"/>
    </w:rPr>
    <w:tblPr/>
  </w:style>
  <w:style w:type="table" w:styleId="1274">
    <w:name w:val="Bordered &amp; Lined - Accent 1"/>
    <w:basedOn w:val="1097"/>
    <w:next w:val="1274"/>
    <w:link w:val="1086"/>
    <w:uiPriority w:val="99"/>
    <w:pPr>
      <w:spacing w:after="0" w:line="240" w:lineRule="auto"/>
    </w:pPr>
    <w:rPr>
      <w:color w:val="404040"/>
    </w:rPr>
    <w:tblPr/>
  </w:style>
  <w:style w:type="table" w:styleId="1275">
    <w:name w:val="Bordered &amp; Lined - Accent 2"/>
    <w:basedOn w:val="1097"/>
    <w:next w:val="1275"/>
    <w:link w:val="1086"/>
    <w:uiPriority w:val="99"/>
    <w:pPr>
      <w:spacing w:after="0" w:line="240" w:lineRule="auto"/>
    </w:pPr>
    <w:rPr>
      <w:color w:val="404040"/>
    </w:rPr>
    <w:tblPr/>
  </w:style>
  <w:style w:type="table" w:styleId="1276">
    <w:name w:val="Bordered &amp; Lined - Accent 3"/>
    <w:basedOn w:val="1097"/>
    <w:next w:val="1276"/>
    <w:link w:val="1086"/>
    <w:uiPriority w:val="99"/>
    <w:pPr>
      <w:spacing w:after="0" w:line="240" w:lineRule="auto"/>
    </w:pPr>
    <w:rPr>
      <w:color w:val="404040"/>
    </w:rPr>
    <w:tblPr/>
  </w:style>
  <w:style w:type="table" w:styleId="1277">
    <w:name w:val="Bordered &amp; Lined - Accent 4"/>
    <w:basedOn w:val="1097"/>
    <w:next w:val="1277"/>
    <w:link w:val="1086"/>
    <w:uiPriority w:val="99"/>
    <w:pPr>
      <w:spacing w:after="0" w:line="240" w:lineRule="auto"/>
    </w:pPr>
    <w:rPr>
      <w:color w:val="404040"/>
    </w:rPr>
    <w:tblPr/>
  </w:style>
  <w:style w:type="table" w:styleId="1278">
    <w:name w:val="Bordered &amp; Lined - Accent 5"/>
    <w:basedOn w:val="1097"/>
    <w:next w:val="1278"/>
    <w:link w:val="1086"/>
    <w:uiPriority w:val="99"/>
    <w:pPr>
      <w:spacing w:after="0" w:line="240" w:lineRule="auto"/>
    </w:pPr>
    <w:rPr>
      <w:color w:val="404040"/>
    </w:rPr>
    <w:tblPr/>
  </w:style>
  <w:style w:type="table" w:styleId="1279">
    <w:name w:val="Bordered &amp; Lined - Accent 6"/>
    <w:basedOn w:val="1097"/>
    <w:next w:val="1279"/>
    <w:link w:val="1086"/>
    <w:uiPriority w:val="99"/>
    <w:pPr>
      <w:spacing w:after="0" w:line="240" w:lineRule="auto"/>
    </w:pPr>
    <w:rPr>
      <w:color w:val="404040"/>
    </w:rPr>
    <w:tblPr/>
  </w:style>
  <w:style w:type="table" w:styleId="1280">
    <w:name w:val="Bordered"/>
    <w:basedOn w:val="1097"/>
    <w:next w:val="1280"/>
    <w:link w:val="1086"/>
    <w:uiPriority w:val="99"/>
    <w:pPr>
      <w:spacing w:after="0" w:line="240" w:lineRule="auto"/>
    </w:pPr>
    <w:tblPr/>
  </w:style>
  <w:style w:type="table" w:styleId="1281">
    <w:name w:val="Bordered - Accent 1"/>
    <w:basedOn w:val="1097"/>
    <w:next w:val="1281"/>
    <w:link w:val="1086"/>
    <w:uiPriority w:val="99"/>
    <w:pPr>
      <w:spacing w:after="0" w:line="240" w:lineRule="auto"/>
    </w:pPr>
    <w:tblPr/>
  </w:style>
  <w:style w:type="table" w:styleId="1282">
    <w:name w:val="Bordered - Accent 2"/>
    <w:basedOn w:val="1097"/>
    <w:next w:val="1282"/>
    <w:link w:val="1086"/>
    <w:uiPriority w:val="99"/>
    <w:pPr>
      <w:spacing w:after="0" w:line="240" w:lineRule="auto"/>
    </w:pPr>
    <w:tblPr/>
  </w:style>
  <w:style w:type="table" w:styleId="1283">
    <w:name w:val="Bordered - Accent 3"/>
    <w:basedOn w:val="1097"/>
    <w:next w:val="1283"/>
    <w:link w:val="1086"/>
    <w:uiPriority w:val="99"/>
    <w:pPr>
      <w:spacing w:after="0" w:line="240" w:lineRule="auto"/>
    </w:pPr>
    <w:tblPr/>
  </w:style>
  <w:style w:type="table" w:styleId="1284">
    <w:name w:val="Bordered - Accent 4"/>
    <w:basedOn w:val="1097"/>
    <w:next w:val="1284"/>
    <w:link w:val="1086"/>
    <w:uiPriority w:val="99"/>
    <w:qFormat/>
    <w:pPr>
      <w:spacing w:after="0" w:line="240" w:lineRule="auto"/>
    </w:pPr>
    <w:tblPr/>
  </w:style>
  <w:style w:type="table" w:styleId="1285">
    <w:name w:val="Bordered - Accent 5"/>
    <w:basedOn w:val="1097"/>
    <w:next w:val="1285"/>
    <w:link w:val="1086"/>
    <w:uiPriority w:val="99"/>
    <w:qFormat/>
    <w:pPr>
      <w:spacing w:after="0" w:line="240" w:lineRule="auto"/>
    </w:pPr>
    <w:tblPr/>
  </w:style>
  <w:style w:type="table" w:styleId="1286">
    <w:name w:val="Bordered - Accent 6"/>
    <w:basedOn w:val="1097"/>
    <w:next w:val="1286"/>
    <w:link w:val="1086"/>
    <w:uiPriority w:val="99"/>
    <w:pPr>
      <w:spacing w:after="0" w:line="240" w:lineRule="auto"/>
    </w:pPr>
    <w:tblPr/>
  </w:style>
  <w:style w:type="paragraph" w:styleId="1287">
    <w:name w:val="TOC Heading"/>
    <w:next w:val="1287"/>
    <w:link w:val="1086"/>
    <w:uiPriority w:val="39"/>
    <w:unhideWhenUsed/>
    <w:qFormat/>
    <w:rPr>
      <w:rFonts w:ascii="等线" w:hAnsi="等线" w:eastAsia="等线"/>
      <w:lang w:val="en-US" w:eastAsia="zh-CN" w:bidi="ar-SA"/>
    </w:rPr>
  </w:style>
  <w:style w:type="paragraph" w:styleId="1288">
    <w:name w:val="正文缩进1"/>
    <w:basedOn w:val="1086"/>
    <w:next w:val="1288"/>
    <w:link w:val="1086"/>
    <w:uiPriority w:val="99"/>
    <w:qFormat/>
    <w:pPr>
      <w:ind w:firstLine="420"/>
    </w:pPr>
    <w:rPr>
      <w:b/>
      <w:sz w:val="24"/>
    </w:rPr>
  </w:style>
  <w:style w:type="paragraph" w:styleId="1289">
    <w:name w:val="目录 11"/>
    <w:basedOn w:val="1086"/>
    <w:next w:val="1086"/>
    <w:link w:val="1086"/>
    <w:uiPriority w:val="39"/>
    <w:qFormat/>
  </w:style>
  <w:style w:type="paragraph" w:styleId="1290">
    <w:name w:val="目录 31"/>
    <w:basedOn w:val="1086"/>
    <w:next w:val="1086"/>
    <w:link w:val="1086"/>
    <w:uiPriority w:val="39"/>
    <w:qFormat/>
    <w:pPr>
      <w:ind w:left="840"/>
    </w:pPr>
  </w:style>
  <w:style w:type="paragraph" w:styleId="1291">
    <w:name w:val="正文文本缩进 31"/>
    <w:basedOn w:val="1086"/>
    <w:next w:val="1291"/>
    <w:link w:val="1086"/>
    <w:qFormat/>
    <w:pPr>
      <w:ind w:firstLine="841"/>
    </w:pPr>
    <w:rPr>
      <w:rFonts w:eastAsia="华文新魏"/>
      <w:b/>
      <w:bCs/>
      <w:sz w:val="84"/>
    </w:rPr>
  </w:style>
  <w:style w:type="paragraph" w:styleId="1292">
    <w:name w:val="普通(网站)1"/>
    <w:basedOn w:val="1086"/>
    <w:next w:val="1292"/>
    <w:link w:val="108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93">
    <w:name w:val="正文首行缩进1"/>
    <w:basedOn w:val="1152"/>
    <w:next w:val="1293"/>
    <w:link w:val="1086"/>
    <w:qFormat/>
    <w:pPr>
      <w:ind w:firstLine="420"/>
      <w:spacing w:line="360" w:lineRule="auto"/>
    </w:pPr>
    <w:rPr>
      <w:rFonts w:ascii="Times New Roman" w:hAnsi="Times New Roman" w:cs="Times New Roman"/>
      <w:szCs w:val="21"/>
    </w:rPr>
  </w:style>
  <w:style w:type="character" w:styleId="1294">
    <w:name w:val="超链接1"/>
    <w:next w:val="1294"/>
    <w:link w:val="1086"/>
    <w:uiPriority w:val="99"/>
    <w:qFormat/>
    <w:rPr>
      <w:rFonts w:ascii="Times New Roman" w:hAnsi="Times New Roman" w:eastAsia="宋体" w:cs="Times New Roman"/>
      <w:sz w:val="21"/>
      <w:lang w:val="en-US" w:eastAsia="zh-CN" w:bidi="ar-SA"/>
    </w:rPr>
  </w:style>
  <w:style w:type="paragraph" w:styleId="1295">
    <w:name w:val="标题 31"/>
    <w:basedOn w:val="1086"/>
    <w:next w:val="1288"/>
    <w:link w:val="1086"/>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296">
    <w:name w:val="列表段落"/>
    <w:basedOn w:val="1086"/>
    <w:next w:val="1296"/>
    <w:link w:val="1086"/>
    <w:qFormat/>
    <w:pPr>
      <w:ind w:firstLine="420"/>
      <w:jc w:val="left"/>
      <w:spacing w:after="200"/>
      <w:widowControl/>
    </w:pPr>
    <w:rPr>
      <w:rFonts w:ascii="Tahoma" w:hAnsi="Tahoma" w:eastAsia="微软雅黑"/>
      <w:sz w:val="22"/>
      <w:szCs w:val="22"/>
    </w:rPr>
  </w:style>
  <w:style w:type="paragraph" w:styleId="1297">
    <w:name w:val="_Style 6"/>
    <w:basedOn w:val="1086"/>
    <w:next w:val="1297"/>
    <w:link w:val="1086"/>
    <w:uiPriority w:val="34"/>
    <w:qFormat/>
    <w:pPr>
      <w:ind w:firstLine="420"/>
    </w:pPr>
    <w:rPr>
      <w:szCs w:val="24"/>
    </w:rPr>
  </w:style>
  <w:style w:type="paragraph" w:styleId="1298">
    <w:name w:val="页眉1"/>
    <w:basedOn w:val="1086"/>
    <w:next w:val="1298"/>
    <w:link w:val="1086"/>
    <w:uiPriority w:val="99"/>
    <w:qFormat/>
    <w:pPr>
      <w:jc w:val="center"/>
      <w:tabs>
        <w:tab w:val="center" w:pos="4153" w:leader="none"/>
        <w:tab w:val="right" w:pos="8306" w:leader="none"/>
      </w:tabs>
      <w:pBdr>
        <w:bottom w:val="single" w:color="000000" w:sz="6" w:space="1"/>
      </w:pBdr>
    </w:pPr>
    <w:rPr>
      <w:sz w:val="18"/>
    </w:rPr>
  </w:style>
  <w:style w:type="paragraph" w:styleId="1299">
    <w:name w:val="页脚1"/>
    <w:basedOn w:val="1086"/>
    <w:next w:val="1299"/>
    <w:link w:val="1086"/>
    <w:uiPriority w:val="99"/>
    <w:qFormat/>
    <w:pPr>
      <w:jc w:val="left"/>
      <w:tabs>
        <w:tab w:val="center" w:pos="4153" w:leader="none"/>
        <w:tab w:val="right" w:pos="8306" w:leader="none"/>
      </w:tabs>
    </w:pPr>
    <w:rPr>
      <w:sz w:val="18"/>
    </w:rPr>
  </w:style>
  <w:style w:type="paragraph" w:styleId="1300">
    <w:name w:val="A3"/>
    <w:basedOn w:val="1301"/>
    <w:next w:val="1300"/>
    <w:link w:val="1086"/>
    <w:qFormat/>
    <w:pPr>
      <w:numPr>
        <w:ilvl w:val="2"/>
      </w:numPr>
      <w:ind w:firstLine="0"/>
      <w:spacing w:before="120"/>
      <w:tabs>
        <w:tab w:val="left" w:pos="1418" w:leader="none"/>
      </w:tabs>
    </w:pPr>
    <w:rPr>
      <w:lang w:val="zh-CN"/>
    </w:rPr>
  </w:style>
  <w:style w:type="paragraph" w:styleId="1301">
    <w:name w:val="A2"/>
    <w:basedOn w:val="1302"/>
    <w:next w:val="1301"/>
    <w:link w:val="1086"/>
    <w:qFormat/>
    <w:pPr>
      <w:numPr>
        <w:ilvl w:val="1"/>
      </w:numPr>
      <w:ind w:firstLine="0"/>
      <w:tabs>
        <w:tab w:val="left" w:pos="1418" w:leader="none"/>
      </w:tabs>
    </w:pPr>
    <w:rPr>
      <w:rFonts w:hAnsi="宋体"/>
      <w:b w:val="0"/>
      <w:szCs w:val="21"/>
    </w:rPr>
  </w:style>
  <w:style w:type="paragraph" w:styleId="1302">
    <w:name w:val="A1"/>
    <w:next w:val="1302"/>
    <w:link w:val="1086"/>
    <w:qFormat/>
    <w:pPr>
      <w:numPr>
        <w:ilvl w:val="0"/>
        <w:numId w:val="1"/>
      </w:numPr>
      <w:ind w:left="4390" w:hanging="1418"/>
      <w:spacing w:before="240"/>
      <w:tabs>
        <w:tab w:val="left" w:pos="1418" w:leader="none"/>
      </w:tabs>
      <w:outlineLvl w:val="0"/>
    </w:pPr>
    <w:rPr>
      <w:rFonts w:ascii="Arial Narrow" w:hAnsi="Arial Narrow" w:eastAsia="仿宋"/>
      <w:b/>
      <w:sz w:val="24"/>
      <w:szCs w:val="24"/>
      <w:lang w:val="en-US" w:eastAsia="zh-CN" w:bidi="ar-SA"/>
    </w:rPr>
  </w:style>
  <w:style w:type="table" w:styleId="1303">
    <w:name w:val="无格式表格 21"/>
    <w:next w:val="1303"/>
    <w:link w:val="1086"/>
    <w:uiPriority w:val="42"/>
    <w:qFormat/>
    <w:rPr>
      <w:lang w:val="en-US" w:eastAsia="zh-CN" w:bidi="ar-SA"/>
    </w:rPr>
    <w:tblPr/>
  </w:style>
  <w:style w:type="character" w:styleId="1304">
    <w:name w:val="font11"/>
    <w:next w:val="1304"/>
    <w:link w:val="1086"/>
    <w:rPr>
      <w:rFonts w:hint="eastAsia" w:ascii="微软雅黑" w:hAnsi="微软雅黑" w:eastAsia="微软雅黑" w:cs="微软雅黑"/>
      <w:i w:val="0"/>
      <w:iCs w:val="0"/>
      <w:color w:val="000000"/>
      <w:sz w:val="24"/>
      <w:szCs w:val="24"/>
      <w:u w:val="none"/>
    </w:rPr>
  </w:style>
  <w:style w:type="character" w:styleId="1305">
    <w:name w:val="font21"/>
    <w:next w:val="1305"/>
    <w:link w:val="1086"/>
    <w:rPr>
      <w:rFonts w:hint="eastAsia" w:ascii="微软雅黑" w:hAnsi="微软雅黑" w:eastAsia="微软雅黑" w:cs="微软雅黑"/>
      <w:b/>
      <w:bCs/>
      <w:i w:val="0"/>
      <w:iCs w:val="0"/>
      <w:color w:val="000000"/>
      <w:sz w:val="24"/>
      <w:szCs w:val="24"/>
      <w:u w:val="none"/>
    </w:rPr>
  </w:style>
  <w:style w:type="character" w:styleId="1306">
    <w:name w:val="font41"/>
    <w:next w:val="1306"/>
    <w:link w:val="1086"/>
    <w:rPr>
      <w:rFonts w:hint="eastAsia" w:ascii="微软雅黑" w:hAnsi="微软雅黑" w:eastAsia="微软雅黑" w:cs="微软雅黑"/>
      <w:i w:val="0"/>
      <w:iCs w:val="0"/>
      <w:color w:val="000000"/>
      <w:sz w:val="24"/>
      <w:szCs w:val="24"/>
      <w:u w:val="none"/>
      <w:vertAlign w:val="superscript"/>
    </w:rPr>
  </w:style>
  <w:style w:type="table" w:styleId="1307">
    <w:name w:val="Table Normal"/>
    <w:next w:val="1307"/>
    <w:link w:val="1086"/>
    <w:qFormat/>
    <w:rPr>
      <w:lang w:val="en-US" w:eastAsia="zh-CN" w:bidi="ar-SA"/>
    </w:rPr>
    <w:tblPr/>
  </w:style>
  <w:style w:type="paragraph" w:styleId="1308">
    <w:name w:val="纯文本1"/>
    <w:basedOn w:val="1086"/>
    <w:next w:val="1308"/>
    <w:link w:val="1086"/>
    <w:qFormat/>
    <w:rPr>
      <w:rFonts w:ascii="宋体" w:hAnsi="Courier New" w:eastAsia="宋体" w:cs="Courier New"/>
      <w:szCs w:val="21"/>
    </w:rPr>
  </w:style>
  <w:style w:type="character" w:styleId="1309">
    <w:name w:val="font51"/>
    <w:next w:val="1309"/>
    <w:link w:val="1086"/>
    <w:rPr>
      <w:rFonts w:hint="eastAsia" w:ascii="宋体" w:hAnsi="宋体" w:eastAsia="宋体" w:cs="宋体"/>
      <w:i w:val="0"/>
      <w:iCs w:val="0"/>
      <w:color w:val="ff0000"/>
      <w:sz w:val="20"/>
      <w:szCs w:val="20"/>
      <w:u w:val="none"/>
    </w:rPr>
  </w:style>
  <w:style w:type="character" w:styleId="1310">
    <w:name w:val="font61"/>
    <w:next w:val="1310"/>
    <w:link w:val="1086"/>
    <w:rPr>
      <w:rFonts w:ascii="Calibri" w:hAnsi="Calibri" w:cs="Calibri"/>
      <w:i w:val="0"/>
      <w:iCs w:val="0"/>
      <w:color w:val="000000"/>
      <w:sz w:val="20"/>
      <w:szCs w:val="20"/>
      <w:u w:val="none"/>
    </w:rPr>
  </w:style>
  <w:style w:type="paragraph" w:styleId="1311">
    <w:name w:val="修订"/>
    <w:next w:val="1311"/>
    <w:link w:val="1086"/>
    <w:uiPriority w:val="99"/>
    <w:unhideWhenUsed/>
    <w:rPr>
      <w:sz w:val="21"/>
      <w:lang w:val="en-US" w:eastAsia="zh-CN" w:bidi="ar-SA"/>
    </w:rPr>
  </w:style>
  <w:style w:type="character" w:styleId="1312" w:default="1">
    <w:name w:val="Default Paragraph Font"/>
    <w:uiPriority w:val="1"/>
    <w:semiHidden/>
    <w:unhideWhenUsed/>
  </w:style>
  <w:style w:type="numbering" w:styleId="1313" w:default="1">
    <w:name w:val="No List"/>
    <w:uiPriority w:val="99"/>
    <w:semiHidden/>
    <w:unhideWhenUsed/>
  </w:style>
  <w:style w:type="table" w:styleId="13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png"/><Relationship Id="rId2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南京鼓楼医</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朱志</dc:creator>
  <cp:lastModifiedBy>冯帆</cp:lastModifiedBy>
  <cp:revision>8</cp:revision>
  <dcterms:created xsi:type="dcterms:W3CDTF">2026-06-08T09:07:00Z</dcterms:created>
  <dcterms:modified xsi:type="dcterms:W3CDTF">2026-06-11T03:34:07Z</dcterms:modified>
</cp:coreProperties>
</file>