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EC4D">
      <w:pPr>
        <w:spacing w:line="300" w:lineRule="auto"/>
        <w:jc w:val="center"/>
        <w:rPr>
          <w:rFonts w:hint="default" w:ascii="Times New Roman" w:hAnsi="Times New Roman" w:cs="Times New Roman"/>
          <w:b/>
          <w:sz w:val="36"/>
          <w:szCs w:val="36"/>
        </w:rPr>
      </w:pPr>
      <w:r>
        <w:rPr>
          <w:rFonts w:hint="eastAsia" w:cs="Times New Roman"/>
          <w:b/>
          <w:sz w:val="36"/>
          <w:szCs w:val="36"/>
          <w:lang w:val="en-US" w:eastAsia="zh-CN"/>
        </w:rPr>
        <w:t>清 单 编 制</w:t>
      </w:r>
      <w:r>
        <w:rPr>
          <w:rFonts w:hint="default" w:ascii="Times New Roman" w:hAnsi="Times New Roman" w:cs="Times New Roman"/>
          <w:b/>
          <w:sz w:val="36"/>
          <w:szCs w:val="36"/>
          <w:lang w:val="en-US" w:eastAsia="zh-CN"/>
        </w:rPr>
        <w:t xml:space="preserve"> </w:t>
      </w:r>
      <w:r>
        <w:rPr>
          <w:rFonts w:hint="default" w:ascii="Times New Roman" w:hAnsi="Times New Roman" w:cs="Times New Roman"/>
          <w:b/>
          <w:sz w:val="36"/>
          <w:szCs w:val="36"/>
        </w:rPr>
        <w:t>说</w:t>
      </w:r>
      <w:r>
        <w:rPr>
          <w:rFonts w:hint="default" w:ascii="Times New Roman" w:hAnsi="Times New Roman" w:cs="Times New Roman"/>
          <w:b/>
          <w:sz w:val="36"/>
          <w:szCs w:val="36"/>
          <w:lang w:val="en-US" w:eastAsia="zh-CN"/>
        </w:rPr>
        <w:t xml:space="preserve"> </w:t>
      </w:r>
      <w:r>
        <w:rPr>
          <w:rFonts w:hint="default" w:ascii="Times New Roman" w:hAnsi="Times New Roman" w:cs="Times New Roman"/>
          <w:b/>
          <w:sz w:val="36"/>
          <w:szCs w:val="36"/>
        </w:rPr>
        <w:t>明</w:t>
      </w:r>
    </w:p>
    <w:p w14:paraId="5EEF5283">
      <w:pPr>
        <w:spacing w:line="300" w:lineRule="auto"/>
        <w:rPr>
          <w:rFonts w:hint="default" w:ascii="Times New Roman" w:hAnsi="Times New Roman" w:eastAsia="宋体" w:cs="Times New Roman"/>
          <w:b w:val="0"/>
          <w:bCs w:val="0"/>
          <w:sz w:val="24"/>
          <w:szCs w:val="22"/>
          <w:highlight w:val="yellow"/>
          <w:lang w:val="en-US" w:eastAsia="zh-CN"/>
        </w:rPr>
      </w:pPr>
      <w:r>
        <w:rPr>
          <w:rFonts w:hint="default" w:ascii="Times New Roman" w:hAnsi="Times New Roman" w:cs="Times New Roman"/>
          <w:sz w:val="24"/>
          <w:szCs w:val="22"/>
        </w:rPr>
        <w:t>工程名称：</w:t>
      </w:r>
      <w:r>
        <w:rPr>
          <w:rFonts w:hint="eastAsia" w:cs="Times New Roman"/>
          <w:b w:val="0"/>
          <w:bCs w:val="0"/>
          <w:sz w:val="24"/>
          <w:szCs w:val="22"/>
          <w:lang w:val="en-US" w:eastAsia="zh-CN"/>
        </w:rPr>
        <w:t>2025年度江宁区横溪街道高台水库维修加固工程</w:t>
      </w:r>
    </w:p>
    <w:tbl>
      <w:tblPr>
        <w:tblStyle w:val="3"/>
        <w:tblW w:w="0" w:type="auto"/>
        <w:tblInd w:w="1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0"/>
      </w:tblGrid>
      <w:tr w14:paraId="6E4DF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0" w:hRule="atLeast"/>
        </w:trPr>
        <w:tc>
          <w:tcPr>
            <w:tcW w:w="9400" w:type="dxa"/>
            <w:tcBorders>
              <w:top w:val="single" w:color="auto" w:sz="4" w:space="0"/>
              <w:left w:val="single" w:color="auto" w:sz="4" w:space="0"/>
              <w:bottom w:val="single" w:color="auto" w:sz="4" w:space="0"/>
              <w:right w:val="single" w:color="auto" w:sz="4" w:space="0"/>
            </w:tcBorders>
            <w:noWrap w:val="0"/>
            <w:vAlign w:val="top"/>
          </w:tcPr>
          <w:p w14:paraId="15EBB1F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一、工程概况</w:t>
            </w:r>
          </w:p>
          <w:p w14:paraId="2F963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eastAsia" w:cs="Times New Roman"/>
                <w:sz w:val="24"/>
                <w:szCs w:val="22"/>
                <w:lang w:val="en-US" w:eastAsia="zh-CN"/>
              </w:rPr>
              <w:t>本工程位于南京市江宁区横溪街道,</w:t>
            </w:r>
            <w:r>
              <w:rPr>
                <w:rFonts w:hint="default" w:ascii="Times New Roman" w:hAnsi="Times New Roman" w:cs="Times New Roman"/>
                <w:b w:val="0"/>
                <w:bCs w:val="0"/>
                <w:sz w:val="24"/>
                <w:szCs w:val="24"/>
                <w:lang w:val="en-US" w:eastAsia="zh-CN"/>
              </w:rPr>
              <w:t>。</w:t>
            </w:r>
            <w:r>
              <w:rPr>
                <w:rFonts w:hint="eastAsia" w:cs="Times New Roman"/>
                <w:b w:val="0"/>
                <w:bCs w:val="0"/>
                <w:sz w:val="24"/>
                <w:szCs w:val="24"/>
                <w:lang w:val="en-US" w:eastAsia="zh-CN"/>
              </w:rPr>
              <w:t>主要</w:t>
            </w:r>
            <w:r>
              <w:rPr>
                <w:rFonts w:hint="default" w:ascii="Times New Roman" w:hAnsi="Times New Roman" w:cs="Times New Roman"/>
                <w:sz w:val="24"/>
                <w:szCs w:val="24"/>
                <w:lang w:val="en-US" w:eastAsia="zh-CN"/>
              </w:rPr>
              <w:t>建设内容包括</w:t>
            </w:r>
            <w:r>
              <w:rPr>
                <w:rFonts w:hint="eastAsia" w:cs="Times New Roman"/>
                <w:sz w:val="24"/>
                <w:szCs w:val="24"/>
                <w:lang w:val="en-US" w:eastAsia="zh-CN"/>
              </w:rPr>
              <w:t>土方开挖及回填、新建排水沟、</w:t>
            </w:r>
            <w:r>
              <w:rPr>
                <w:rFonts w:hint="eastAsia" w:ascii="宋体" w:hAnsi="宋体" w:eastAsia="宋体" w:cs="宋体"/>
                <w:color w:val="000000"/>
                <w:kern w:val="0"/>
                <w:sz w:val="24"/>
                <w:szCs w:val="24"/>
                <w:lang w:val="en-US" w:eastAsia="zh-CN" w:bidi="ar"/>
              </w:rPr>
              <w:t>坝体加固</w:t>
            </w:r>
            <w:r>
              <w:rPr>
                <w:rFonts w:hint="eastAsia" w:ascii="宋体" w:hAnsi="宋体" w:cs="宋体"/>
                <w:color w:val="000000"/>
                <w:kern w:val="0"/>
                <w:sz w:val="24"/>
                <w:szCs w:val="24"/>
                <w:lang w:val="en-US" w:eastAsia="zh-CN" w:bidi="ar"/>
              </w:rPr>
              <w:t>、草皮防护、原址拆建溢洪道、原址拆建灌溉涵洞、沥青道路恢复</w:t>
            </w:r>
            <w:r>
              <w:rPr>
                <w:rFonts w:hint="eastAsia" w:cs="Times New Roman"/>
                <w:sz w:val="24"/>
                <w:szCs w:val="24"/>
                <w:lang w:val="en-US" w:eastAsia="zh-CN"/>
              </w:rPr>
              <w:t>等，其余内容详见工程量清单</w:t>
            </w:r>
            <w:r>
              <w:rPr>
                <w:rFonts w:hint="default" w:ascii="Times New Roman" w:hAnsi="Times New Roman" w:cs="Times New Roman"/>
                <w:sz w:val="24"/>
                <w:szCs w:val="24"/>
                <w:lang w:val="en-US" w:eastAsia="zh-CN"/>
              </w:rPr>
              <w:t>。</w:t>
            </w:r>
          </w:p>
          <w:p w14:paraId="7E22C4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二、招标范围</w:t>
            </w:r>
          </w:p>
          <w:p w14:paraId="15F6A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详见工程量清单。</w:t>
            </w:r>
          </w:p>
          <w:p w14:paraId="596E93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三、编制依据</w:t>
            </w:r>
          </w:p>
          <w:p w14:paraId="1C89C60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建设单位提供的</w:t>
            </w:r>
            <w:r>
              <w:rPr>
                <w:rFonts w:hint="eastAsia" w:cs="Times New Roman"/>
                <w:sz w:val="24"/>
                <w:szCs w:val="22"/>
                <w:lang w:val="en-US" w:eastAsia="zh-CN"/>
              </w:rPr>
              <w:t>图纸</w:t>
            </w:r>
            <w:r>
              <w:rPr>
                <w:rFonts w:hint="default" w:ascii="Times New Roman" w:hAnsi="Times New Roman" w:cs="Times New Roman"/>
                <w:sz w:val="24"/>
                <w:szCs w:val="22"/>
                <w:lang w:val="en-US" w:eastAsia="zh-CN"/>
              </w:rPr>
              <w:t>及其他相关资料。</w:t>
            </w:r>
          </w:p>
          <w:p w14:paraId="316FBF0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《水利工程工程量清单计价规范》(GB50501-2007)。</w:t>
            </w:r>
          </w:p>
          <w:p w14:paraId="1A3387E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江苏省、南京市相关</w:t>
            </w:r>
            <w:r>
              <w:rPr>
                <w:rFonts w:hint="eastAsia" w:cs="Times New Roman"/>
                <w:sz w:val="24"/>
                <w:szCs w:val="22"/>
                <w:lang w:val="en-US" w:eastAsia="zh-CN"/>
              </w:rPr>
              <w:t>规范</w:t>
            </w:r>
            <w:bookmarkStart w:id="0" w:name="_GoBack"/>
            <w:bookmarkEnd w:id="0"/>
            <w:r>
              <w:rPr>
                <w:rFonts w:hint="default" w:ascii="Times New Roman" w:hAnsi="Times New Roman" w:cs="Times New Roman"/>
                <w:sz w:val="24"/>
                <w:szCs w:val="22"/>
                <w:lang w:val="en-US" w:eastAsia="zh-CN"/>
              </w:rPr>
              <w:t>文件。</w:t>
            </w:r>
          </w:p>
          <w:p w14:paraId="372966F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四、其他需说明的事项</w:t>
            </w:r>
          </w:p>
          <w:p w14:paraId="5BDE325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工程质量要求：详见招标文件。</w:t>
            </w:r>
          </w:p>
          <w:p w14:paraId="6500E4E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专业工程暂估价：无专业工程暂估价，详见工程量清单，以工程量清单为准。</w:t>
            </w:r>
          </w:p>
          <w:p w14:paraId="7DA42F6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本工程暂列金额：无暂列金额，详见工程量清单，以工程量清单为准。</w:t>
            </w:r>
          </w:p>
          <w:p w14:paraId="0A6B6AC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本工程暂定材：无暂定材，详见工程量清单，以工程量清单为准。</w:t>
            </w:r>
          </w:p>
          <w:p w14:paraId="24A120D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本工程分包工程：无分包工程，详见工程量清单，以工程量清单为准。</w:t>
            </w:r>
          </w:p>
          <w:p w14:paraId="34F7845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ascii="宋体" w:hAnsi="宋体" w:eastAsia="宋体" w:cs="Times New Roman"/>
                <w:sz w:val="24"/>
              </w:rPr>
            </w:pPr>
            <w:r>
              <w:rPr>
                <w:rFonts w:hint="eastAsia" w:ascii="宋体" w:hAnsi="宋体" w:eastAsia="宋体" w:cs="Times New Roman"/>
                <w:sz w:val="24"/>
              </w:rPr>
              <w:t>本工程</w:t>
            </w:r>
            <w:r>
              <w:rPr>
                <w:rFonts w:hint="eastAsia" w:ascii="宋体" w:hAnsi="宋体" w:cs="Times New Roman"/>
                <w:sz w:val="24"/>
                <w:lang w:val="en-US" w:eastAsia="zh-CN"/>
              </w:rPr>
              <w:t>相关运距</w:t>
            </w:r>
            <w:r>
              <w:rPr>
                <w:rFonts w:hint="eastAsia" w:ascii="宋体" w:hAnsi="宋体" w:eastAsia="宋体" w:cs="Times New Roman"/>
                <w:sz w:val="24"/>
              </w:rPr>
              <w:t>，投标</w:t>
            </w:r>
            <w:r>
              <w:rPr>
                <w:rFonts w:hint="eastAsia" w:ascii="宋体" w:hAnsi="宋体" w:cs="Times New Roman"/>
                <w:sz w:val="24"/>
                <w:lang w:val="en-US" w:eastAsia="zh-CN"/>
              </w:rPr>
              <w:t>人</w:t>
            </w:r>
            <w:r>
              <w:rPr>
                <w:rFonts w:hint="eastAsia" w:ascii="宋体" w:hAnsi="宋体" w:eastAsia="宋体" w:cs="Times New Roman"/>
                <w:sz w:val="24"/>
              </w:rPr>
              <w:t>需现场探勘</w:t>
            </w:r>
            <w:r>
              <w:rPr>
                <w:rFonts w:hint="eastAsia" w:ascii="宋体" w:hAnsi="宋体" w:cs="Times New Roman"/>
                <w:sz w:val="24"/>
                <w:lang w:val="en-US" w:eastAsia="zh-CN"/>
              </w:rPr>
              <w:t>自行</w:t>
            </w:r>
            <w:r>
              <w:rPr>
                <w:rFonts w:hint="eastAsia" w:ascii="宋体" w:hAnsi="宋体" w:eastAsia="宋体" w:cs="Times New Roman"/>
                <w:sz w:val="24"/>
              </w:rPr>
              <w:t>考虑。</w:t>
            </w:r>
          </w:p>
          <w:p w14:paraId="4C0716E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cs="Times New Roman"/>
                <w:sz w:val="24"/>
                <w:szCs w:val="22"/>
                <w:lang w:val="en-US" w:eastAsia="zh-CN"/>
              </w:rPr>
            </w:pPr>
            <w:r>
              <w:rPr>
                <w:rFonts w:hint="eastAsia" w:cs="Times New Roman"/>
                <w:sz w:val="24"/>
                <w:szCs w:val="22"/>
                <w:lang w:val="en-US" w:eastAsia="zh-CN"/>
              </w:rPr>
              <w:t>施工的生活设施、生产设施的临时占地由租赁解决，可就近布置在沿线的两侧空地范围内，施工结束后翻耕恢复，费用由投标人在投标总价中考虑，结算时不得增加与此有关的费用。</w:t>
            </w:r>
          </w:p>
          <w:p w14:paraId="559C017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default" w:cs="Times New Roman"/>
                <w:sz w:val="24"/>
                <w:szCs w:val="22"/>
                <w:lang w:val="en-US" w:eastAsia="zh-CN"/>
              </w:rPr>
            </w:pPr>
            <w:r>
              <w:rPr>
                <w:rFonts w:hint="eastAsia" w:cs="Times New Roman"/>
                <w:sz w:val="24"/>
                <w:szCs w:val="22"/>
                <w:lang w:val="en-US" w:eastAsia="zh-CN"/>
              </w:rPr>
              <w:t>施工临时道路可利用现有的交通道路作为临时施工道路，施工期间做好维护保养，施工期间损坏的施工后予以修复还原，费用由投标人在投标总价中考虑，结算时不得增加与此有关的费用。</w:t>
            </w:r>
          </w:p>
          <w:p w14:paraId="76F64BD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本工程地质情况、场地条件、施工环境，工地位置及任何其他足以影响承包价及工期的情况，由投标人根据招标文件、岩土工程勘察报告或通过踏勘现场等途径自行了解，并将可能发生的费用计入报价，招标人对于现有的施工环境及条件将不增加任何投入。</w:t>
            </w:r>
          </w:p>
          <w:p w14:paraId="7C833B2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投标人必须充分勘察现场实际情况，自行考虑材料运输及堆场、机械进退场所必须的临时道路、场地硬化费用，对于现场杂草、排水、清淤、绿化保护、挡墙保护、道路保护等请投标人在报价中充分考虑，结算时不得增加与此有关的费用。</w:t>
            </w:r>
          </w:p>
          <w:p w14:paraId="2F975A2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工程量清单应与招标文件、招标项目图纸等文件结合起来查阅与理解，工程量清单中所描述的项目特征仅为招标人对该分部分项工程特征的概述,而非是工程特征的全面描述,工程量清单特征描述不全时，应结合设计图纸、招标文件，并应当综合考虑专业技术要求、施工规范、地方规章等要求，所产生的费用计入投标报价中；清单特征中未描述的，但清单计价规范中注明的工作内容，承包人在报价中应充分考虑“工作内容”而产生的费用，列入相应报价中。</w:t>
            </w:r>
          </w:p>
          <w:p w14:paraId="04F9A6C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对招标人所列的措施项目，投标人可根据工程实际与施工组织设计进行增补，但不应更改招标人已列措施项目，增补措施费考虑在投标总价中。结算时，除工程变更引起施工方案改变外，承包人不得以招标工程措施项目清单缺项为由要求新增措施项目。措施费投标人须全面考虑，除招标文件中另有规定外，如有漏项，按投标人让利考虑。措施费未实施的，结算时予以扣除。</w:t>
            </w:r>
          </w:p>
          <w:p w14:paraId="25286BC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本工程施工外部协调工作由投标人负责，投标人应充分考虑周边地域情况、交通组织情况、与周边施工交叉等情况，并将此费用考虑在投标报价中，结算时招标人不再为此增加费用。</w:t>
            </w:r>
          </w:p>
          <w:p w14:paraId="21F3A09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5" w:firstLineChars="0"/>
              <w:textAlignment w:val="auto"/>
              <w:rPr>
                <w:rFonts w:hint="eastAsia" w:cs="Times New Roman"/>
                <w:sz w:val="24"/>
                <w:szCs w:val="22"/>
                <w:lang w:val="en-US" w:eastAsia="zh-CN"/>
              </w:rPr>
            </w:pPr>
            <w:r>
              <w:rPr>
                <w:rFonts w:hint="eastAsia" w:cs="Times New Roman"/>
                <w:sz w:val="24"/>
                <w:szCs w:val="22"/>
                <w:lang w:val="en-US" w:eastAsia="zh-CN"/>
              </w:rPr>
              <w:t>安全文明施工费21512.39元。</w:t>
            </w:r>
          </w:p>
          <w:p w14:paraId="7F5EF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Cs w:val="21"/>
                <w:lang w:val="en-US" w:eastAsia="zh-CN"/>
              </w:rPr>
            </w:pPr>
            <w:r>
              <w:rPr>
                <w:rFonts w:hint="eastAsia" w:cs="Times New Roman"/>
                <w:sz w:val="24"/>
                <w:szCs w:val="22"/>
                <w:lang w:val="en-US" w:eastAsia="zh-CN"/>
              </w:rPr>
              <w:t xml:space="preserve"> </w:t>
            </w:r>
          </w:p>
        </w:tc>
      </w:tr>
    </w:tbl>
    <w:p w14:paraId="42A185BA">
      <w:pPr>
        <w:rPr>
          <w:rFonts w:hint="default" w:ascii="Times New Roman" w:hAnsi="Times New Roman" w:cs="Times New Roman"/>
        </w:rPr>
      </w:pPr>
    </w:p>
    <w:p w14:paraId="120C890C">
      <w:pPr>
        <w:rPr>
          <w:rFonts w:hint="default" w:ascii="Times New Roman" w:hAnsi="Times New Roman" w:cs="Times New Roman"/>
        </w:rPr>
      </w:pPr>
    </w:p>
    <w:p w14:paraId="6BCD8B94">
      <w:pPr>
        <w:rPr>
          <w:rFonts w:hint="default" w:ascii="Times New Roman" w:hAnsi="Times New Roman" w:cs="Times New Roman"/>
        </w:rPr>
      </w:pPr>
    </w:p>
    <w:sectPr>
      <w:footerReference r:id="rId3" w:type="default"/>
      <w:pgSz w:w="11906" w:h="16838"/>
      <w:pgMar w:top="1418" w:right="1134" w:bottom="1418"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4511">
    <w:pPr>
      <w:pStyle w:val="2"/>
      <w:jc w:val="right"/>
    </w:pPr>
    <w:r>
      <w:fldChar w:fldCharType="begin"/>
    </w:r>
    <w:r>
      <w:instrText xml:space="preserve"> PAGE   \* MERGEFORMAT </w:instrText>
    </w:r>
    <w:r>
      <w:fldChar w:fldCharType="separate"/>
    </w:r>
    <w:r>
      <w:rPr>
        <w:lang w:val="zh-CN"/>
      </w:rPr>
      <w:t>2</w:t>
    </w:r>
    <w:r>
      <w:fldChar w:fldCharType="end"/>
    </w:r>
  </w:p>
  <w:p w14:paraId="6DB320F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50403"/>
    <w:multiLevelType w:val="singleLevel"/>
    <w:tmpl w:val="A6B50403"/>
    <w:lvl w:ilvl="0" w:tentative="0">
      <w:start w:val="1"/>
      <w:numFmt w:val="decimal"/>
      <w:suff w:val="space"/>
      <w:lvlText w:val="%1."/>
      <w:lvlJc w:val="left"/>
      <w:pPr>
        <w:ind w:left="425" w:hanging="425"/>
      </w:pPr>
      <w:rPr>
        <w:rFonts w:hint="default"/>
      </w:rPr>
    </w:lvl>
  </w:abstractNum>
  <w:abstractNum w:abstractNumId="1">
    <w:nsid w:val="228F7036"/>
    <w:multiLevelType w:val="singleLevel"/>
    <w:tmpl w:val="228F7036"/>
    <w:lvl w:ilvl="0" w:tentative="0">
      <w:start w:val="1"/>
      <w:numFmt w:val="decimal"/>
      <w:suff w:val="space"/>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OTNkZmI5MGIzYzY0ZjVlMGRmNGQxYjc2MzBhYjMifQ=="/>
  </w:docVars>
  <w:rsids>
    <w:rsidRoot w:val="50224BB2"/>
    <w:rsid w:val="004E616D"/>
    <w:rsid w:val="010300AC"/>
    <w:rsid w:val="01107A77"/>
    <w:rsid w:val="018B7B3C"/>
    <w:rsid w:val="025D08EA"/>
    <w:rsid w:val="02835FD3"/>
    <w:rsid w:val="02B40E52"/>
    <w:rsid w:val="02E94763"/>
    <w:rsid w:val="040A2CF3"/>
    <w:rsid w:val="040B0D1E"/>
    <w:rsid w:val="04DC7F02"/>
    <w:rsid w:val="064E336B"/>
    <w:rsid w:val="06823D3B"/>
    <w:rsid w:val="08C77A8E"/>
    <w:rsid w:val="09DC47EA"/>
    <w:rsid w:val="0A8D0CD2"/>
    <w:rsid w:val="0B134D1D"/>
    <w:rsid w:val="0BC84580"/>
    <w:rsid w:val="0C744FE8"/>
    <w:rsid w:val="0CE8672D"/>
    <w:rsid w:val="0D920250"/>
    <w:rsid w:val="0EAF32E2"/>
    <w:rsid w:val="0F4373AD"/>
    <w:rsid w:val="0F491E09"/>
    <w:rsid w:val="0FD35C46"/>
    <w:rsid w:val="1024245B"/>
    <w:rsid w:val="10712119"/>
    <w:rsid w:val="11AE2AF5"/>
    <w:rsid w:val="13AB312A"/>
    <w:rsid w:val="159E329B"/>
    <w:rsid w:val="1809270F"/>
    <w:rsid w:val="187C13B4"/>
    <w:rsid w:val="194E3451"/>
    <w:rsid w:val="1BD12060"/>
    <w:rsid w:val="1BFC2B3E"/>
    <w:rsid w:val="1C3F4B39"/>
    <w:rsid w:val="1D24677C"/>
    <w:rsid w:val="1DBF2EDE"/>
    <w:rsid w:val="1E9C137C"/>
    <w:rsid w:val="210678BC"/>
    <w:rsid w:val="233B3980"/>
    <w:rsid w:val="23AE22CA"/>
    <w:rsid w:val="24141228"/>
    <w:rsid w:val="24207748"/>
    <w:rsid w:val="25D66337"/>
    <w:rsid w:val="26121CD1"/>
    <w:rsid w:val="26E02934"/>
    <w:rsid w:val="27074D3E"/>
    <w:rsid w:val="28600299"/>
    <w:rsid w:val="29817E7F"/>
    <w:rsid w:val="2A5030A7"/>
    <w:rsid w:val="2ACD48F4"/>
    <w:rsid w:val="2BDD546C"/>
    <w:rsid w:val="2C9531F8"/>
    <w:rsid w:val="2CFA08B2"/>
    <w:rsid w:val="2E162111"/>
    <w:rsid w:val="2E751A8F"/>
    <w:rsid w:val="30391460"/>
    <w:rsid w:val="30711020"/>
    <w:rsid w:val="312F2193"/>
    <w:rsid w:val="314B0855"/>
    <w:rsid w:val="319F7A82"/>
    <w:rsid w:val="31EB7006"/>
    <w:rsid w:val="32870EE7"/>
    <w:rsid w:val="33423060"/>
    <w:rsid w:val="33811DDB"/>
    <w:rsid w:val="34414EDB"/>
    <w:rsid w:val="34B418CD"/>
    <w:rsid w:val="34D24C26"/>
    <w:rsid w:val="353C420B"/>
    <w:rsid w:val="36C44D5F"/>
    <w:rsid w:val="3950555F"/>
    <w:rsid w:val="39E55884"/>
    <w:rsid w:val="3AA87F90"/>
    <w:rsid w:val="3CA20686"/>
    <w:rsid w:val="3CF63839"/>
    <w:rsid w:val="3D1E1682"/>
    <w:rsid w:val="3D485917"/>
    <w:rsid w:val="3D973057"/>
    <w:rsid w:val="3DC94467"/>
    <w:rsid w:val="3F3034F0"/>
    <w:rsid w:val="3F7F7A8C"/>
    <w:rsid w:val="3FA664A6"/>
    <w:rsid w:val="40501923"/>
    <w:rsid w:val="40514033"/>
    <w:rsid w:val="4083484A"/>
    <w:rsid w:val="438B5FDC"/>
    <w:rsid w:val="4516320E"/>
    <w:rsid w:val="465869CB"/>
    <w:rsid w:val="470472C4"/>
    <w:rsid w:val="47460F19"/>
    <w:rsid w:val="47CA56A6"/>
    <w:rsid w:val="48A57BDF"/>
    <w:rsid w:val="48D136BD"/>
    <w:rsid w:val="493059DD"/>
    <w:rsid w:val="49652AC3"/>
    <w:rsid w:val="49AE2DA6"/>
    <w:rsid w:val="4A1672C9"/>
    <w:rsid w:val="4BBE67F7"/>
    <w:rsid w:val="4C0378B7"/>
    <w:rsid w:val="4E680D26"/>
    <w:rsid w:val="4F2C446F"/>
    <w:rsid w:val="50224BB2"/>
    <w:rsid w:val="50850C99"/>
    <w:rsid w:val="51314C6C"/>
    <w:rsid w:val="51716CE7"/>
    <w:rsid w:val="546B21CC"/>
    <w:rsid w:val="548D226F"/>
    <w:rsid w:val="54DC54A4"/>
    <w:rsid w:val="554C2768"/>
    <w:rsid w:val="55C71477"/>
    <w:rsid w:val="55F7471A"/>
    <w:rsid w:val="565C2507"/>
    <w:rsid w:val="56E16569"/>
    <w:rsid w:val="57BE68AA"/>
    <w:rsid w:val="581F26B6"/>
    <w:rsid w:val="585E4AD0"/>
    <w:rsid w:val="58EB5712"/>
    <w:rsid w:val="5A141802"/>
    <w:rsid w:val="5A1438E9"/>
    <w:rsid w:val="5A39767C"/>
    <w:rsid w:val="5A3B62D8"/>
    <w:rsid w:val="5A6B3E79"/>
    <w:rsid w:val="5D0E5BDE"/>
    <w:rsid w:val="5E287173"/>
    <w:rsid w:val="5FF148D0"/>
    <w:rsid w:val="619D40B2"/>
    <w:rsid w:val="61ED36B2"/>
    <w:rsid w:val="62217467"/>
    <w:rsid w:val="64FF39A9"/>
    <w:rsid w:val="672F760B"/>
    <w:rsid w:val="678E32ED"/>
    <w:rsid w:val="68D45F2D"/>
    <w:rsid w:val="698E1276"/>
    <w:rsid w:val="6A0B4334"/>
    <w:rsid w:val="6A75300F"/>
    <w:rsid w:val="6B894511"/>
    <w:rsid w:val="6CFA5B92"/>
    <w:rsid w:val="6F434A10"/>
    <w:rsid w:val="6F675D4D"/>
    <w:rsid w:val="6FD809F9"/>
    <w:rsid w:val="71FF31D0"/>
    <w:rsid w:val="74993DE4"/>
    <w:rsid w:val="75BC6165"/>
    <w:rsid w:val="75EE50C6"/>
    <w:rsid w:val="76514F31"/>
    <w:rsid w:val="78B52CF3"/>
    <w:rsid w:val="79444D67"/>
    <w:rsid w:val="796E5500"/>
    <w:rsid w:val="7A143299"/>
    <w:rsid w:val="7A595DAD"/>
    <w:rsid w:val="7BB67714"/>
    <w:rsid w:val="7C973224"/>
    <w:rsid w:val="7DBA10CB"/>
    <w:rsid w:val="7DD821AF"/>
    <w:rsid w:val="7E743968"/>
    <w:rsid w:val="7E7E6C0F"/>
    <w:rsid w:val="7EC565EC"/>
    <w:rsid w:val="7F9F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1298</Words>
  <Characters>1341</Characters>
  <Lines>0</Lines>
  <Paragraphs>0</Paragraphs>
  <TotalTime>66</TotalTime>
  <ScaleCrop>false</ScaleCrop>
  <LinksUpToDate>false</LinksUpToDate>
  <CharactersWithSpaces>1351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2021-01-13T06:38:00Z</dcterms:created>
  <dc:creator>泪@天使</dc:creator>
  <cp:lastModifiedBy>心有庭树</cp:lastModifiedBy>
  <cp:lastPrinted>2021-01-14T02:47:00Z</cp:lastPrinted>
  <dcterms:modified xsi:type="dcterms:W3CDTF">2025-12-10T08:43:11Z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544A8D139F1C42CC9D189F2E84A8D4F1</vt:lpwstr>
  </property>
  <property fmtid="{D5CDD505-2E9C-101B-9397-08002B2CF9AE}" pid="4" name="KSOTemplateDocerSaveRecord">
    <vt:lpwstr>eyJoZGlkIjoiMDk0YmRmNzJiNjFjMzE1MmM4OGQwZmRmNDAzMDE0NjAiLCJ1c2VySWQiOiIxMjI1MTgzNjczIn0=</vt:lpwstr>
  </property>
</Properties>
</file>