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61678">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1D0CB798">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67899BF4">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533E0285">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48"/>
          <w:highlight w:val="none"/>
          <w:lang w:eastAsia="zh-CN"/>
        </w:rPr>
        <w:t>南京市江宁妇幼保健院新建项目厨房设备采购及安装</w:t>
      </w:r>
    </w:p>
    <w:p w14:paraId="2F487432">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32"/>
          <w:highlight w:val="none"/>
        </w:rPr>
        <w:t> </w:t>
      </w:r>
    </w:p>
    <w:p w14:paraId="526D2CE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6517A91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2716F7E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2D6A9AC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2967AC9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B2AFFD3">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JSZC-320115-JCEC-G2026-0093</w:t>
      </w:r>
    </w:p>
    <w:p w14:paraId="55744FC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6FAACEF2">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1383CEB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15A3CC1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7EC6C7F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091278AF">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36"/>
          <w:highlight w:val="none"/>
          <w:lang w:eastAsia="zh-CN"/>
        </w:rPr>
        <w:t>2026年04月</w:t>
      </w:r>
    </w:p>
    <w:p w14:paraId="53F97172">
      <w:pPr>
        <w:pBdr>
          <w:top w:val="none" w:color="000000" w:sz="0" w:space="0"/>
          <w:left w:val="none" w:color="000000" w:sz="0" w:space="0"/>
          <w:bottom w:val="none" w:color="000000" w:sz="0" w:space="0"/>
          <w:right w:val="none" w:color="000000" w:sz="0" w:space="0"/>
        </w:pBdr>
        <w:spacing w:line="85" w:lineRule="atLeast"/>
        <w:rPr>
          <w:color w:val="auto"/>
          <w:highlight w:val="none"/>
        </w:rPr>
      </w:pPr>
      <w:r>
        <w:rPr>
          <w:color w:val="auto"/>
          <w:highlight w:val="none"/>
        </w:rPr>
        <w:br w:type="page" w:clear="all"/>
      </w:r>
    </w:p>
    <w:p w14:paraId="4CFD14E8">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09E3BE7C">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659B93E3">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2"/>
          <w:rFonts w:ascii="宋体" w:hAnsi="宋体" w:eastAsia="宋体" w:cs="宋体"/>
          <w:color w:val="auto"/>
          <w:sz w:val="24"/>
          <w:highlight w:val="none"/>
        </w:rPr>
        <w:t>第一章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招标公告</w:t>
      </w:r>
      <w:r>
        <w:rPr>
          <w:rStyle w:val="42"/>
          <w:rFonts w:ascii="宋体" w:hAnsi="宋体" w:eastAsia="宋体" w:cs="宋体"/>
          <w:color w:val="auto"/>
          <w:sz w:val="24"/>
          <w:highlight w:val="none"/>
        </w:rPr>
        <w:fldChar w:fldCharType="end"/>
      </w:r>
    </w:p>
    <w:p w14:paraId="119DF6C4">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2"/>
          <w:rFonts w:ascii="宋体" w:hAnsi="宋体" w:eastAsia="宋体" w:cs="宋体"/>
          <w:color w:val="auto"/>
          <w:sz w:val="24"/>
          <w:highlight w:val="none"/>
        </w:rPr>
        <w:t>第二章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投标人须知</w:t>
      </w:r>
      <w:r>
        <w:rPr>
          <w:rStyle w:val="42"/>
          <w:rFonts w:ascii="宋体" w:hAnsi="宋体" w:eastAsia="宋体" w:cs="宋体"/>
          <w:color w:val="auto"/>
          <w:sz w:val="24"/>
          <w:highlight w:val="none"/>
        </w:rPr>
        <w:fldChar w:fldCharType="end"/>
      </w:r>
    </w:p>
    <w:p w14:paraId="21D79AAE">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2"/>
          <w:rFonts w:ascii="宋体" w:hAnsi="宋体" w:eastAsia="宋体" w:cs="宋体"/>
          <w:color w:val="auto"/>
          <w:sz w:val="24"/>
          <w:highlight w:val="none"/>
        </w:rPr>
        <w:t>第三章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评标标准</w:t>
      </w:r>
      <w:r>
        <w:rPr>
          <w:rStyle w:val="42"/>
          <w:rFonts w:ascii="宋体" w:hAnsi="宋体" w:eastAsia="宋体" w:cs="宋体"/>
          <w:color w:val="auto"/>
          <w:sz w:val="24"/>
          <w:highlight w:val="none"/>
        </w:rPr>
        <w:fldChar w:fldCharType="end"/>
      </w:r>
    </w:p>
    <w:p w14:paraId="2E24262C">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2"/>
          <w:rFonts w:ascii="宋体" w:hAnsi="宋体" w:eastAsia="宋体" w:cs="宋体"/>
          <w:color w:val="auto"/>
          <w:sz w:val="24"/>
          <w:highlight w:val="none"/>
        </w:rPr>
        <w:t>第四章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采购需求</w:t>
      </w:r>
      <w:r>
        <w:rPr>
          <w:rStyle w:val="42"/>
          <w:rFonts w:ascii="宋体" w:hAnsi="宋体" w:eastAsia="宋体" w:cs="宋体"/>
          <w:color w:val="auto"/>
          <w:sz w:val="24"/>
          <w:highlight w:val="none"/>
        </w:rPr>
        <w:fldChar w:fldCharType="end"/>
      </w:r>
    </w:p>
    <w:p w14:paraId="235FE74A">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2"/>
          <w:rFonts w:ascii="宋体" w:hAnsi="宋体" w:eastAsia="宋体" w:cs="宋体"/>
          <w:color w:val="auto"/>
          <w:sz w:val="24"/>
          <w:highlight w:val="none"/>
        </w:rPr>
        <w:t>第五章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合同主要条款及格式</w:t>
      </w:r>
      <w:r>
        <w:rPr>
          <w:rStyle w:val="42"/>
          <w:rFonts w:ascii="宋体" w:hAnsi="宋体" w:eastAsia="宋体" w:cs="宋体"/>
          <w:color w:val="auto"/>
          <w:sz w:val="24"/>
          <w:highlight w:val="none"/>
        </w:rPr>
        <w:fldChar w:fldCharType="end"/>
      </w:r>
    </w:p>
    <w:p w14:paraId="653F84AE">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2"/>
          <w:rFonts w:ascii="宋体" w:hAnsi="宋体" w:eastAsia="宋体" w:cs="宋体"/>
          <w:color w:val="auto"/>
          <w:sz w:val="24"/>
          <w:highlight w:val="none"/>
        </w:rPr>
        <w:t>第六章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投标文件格式及附件</w:t>
      </w:r>
      <w:r>
        <w:rPr>
          <w:rStyle w:val="42"/>
          <w:rFonts w:ascii="宋体" w:hAnsi="宋体" w:eastAsia="宋体" w:cs="宋体"/>
          <w:color w:val="auto"/>
          <w:sz w:val="24"/>
          <w:highlight w:val="none"/>
        </w:rPr>
        <w:fldChar w:fldCharType="end"/>
      </w:r>
    </w:p>
    <w:p w14:paraId="7E5EA51F">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20DAA7CF">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44520CF3">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3AEA058C">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1134" w:bottom="1134" w:left="1134" w:header="709" w:footer="709" w:gutter="0"/>
          <w:paperSrc/>
          <w:cols w:space="0" w:num="1"/>
          <w:rtlGutter w:val="0"/>
          <w:docGrid w:linePitch="360" w:charSpace="0"/>
        </w:sectPr>
      </w:pPr>
    </w:p>
    <w:p w14:paraId="18E674BF">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6ABDE7BE">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0936B90C">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南京市江宁妇幼保健院新建项目厨房设备采购及安装</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12</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09</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46EF0ACF">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1CED7F15">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7394331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JSZC-320115-JCEC-G2026-0093</w:t>
      </w:r>
      <w:r>
        <w:rPr>
          <w:rFonts w:ascii="宋体" w:hAnsi="宋体" w:eastAsia="宋体" w:cs="宋体"/>
          <w:color w:val="auto"/>
          <w:spacing w:val="8"/>
          <w:highlight w:val="none"/>
        </w:rPr>
        <w:t>  </w:t>
      </w:r>
    </w:p>
    <w:p w14:paraId="276E2CD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1.2项目名称：</w:t>
      </w:r>
      <w:r>
        <w:rPr>
          <w:rFonts w:hint="eastAsia" w:ascii="宋体" w:hAnsi="宋体" w:eastAsia="宋体" w:cs="宋体"/>
          <w:color w:val="auto"/>
          <w:spacing w:val="8"/>
          <w:highlight w:val="none"/>
          <w:lang w:eastAsia="zh-CN"/>
        </w:rPr>
        <w:t>南京市江宁妇幼保健院新建项目厨房设备采购及安装</w:t>
      </w:r>
    </w:p>
    <w:p w14:paraId="4040467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ascii="宋体" w:hAnsi="宋体" w:eastAsia="宋体" w:cs="宋体"/>
          <w:color w:val="auto"/>
          <w:spacing w:val="8"/>
          <w:highlight w:val="none"/>
        </w:rPr>
        <w:t>1.3预算金额</w:t>
      </w:r>
      <w:r>
        <w:rPr>
          <w:rFonts w:hint="eastAsia" w:ascii="宋体" w:hAnsi="宋体" w:eastAsia="宋体" w:cs="宋体"/>
          <w:color w:val="auto"/>
          <w:spacing w:val="8"/>
          <w:highlight w:val="none"/>
          <w:lang w:eastAsia="zh-CN"/>
        </w:rPr>
        <w:t>：39</w:t>
      </w:r>
      <w:r>
        <w:rPr>
          <w:rFonts w:hint="eastAsia" w:ascii="宋体" w:hAnsi="宋体" w:eastAsia="宋体" w:cs="宋体"/>
          <w:color w:val="auto"/>
          <w:spacing w:val="8"/>
          <w:highlight w:val="none"/>
          <w:lang w:val="en-US" w:eastAsia="zh-CN"/>
        </w:rPr>
        <w:t>0</w:t>
      </w:r>
      <w:r>
        <w:rPr>
          <w:rFonts w:hint="eastAsia" w:ascii="宋体" w:hAnsi="宋体" w:eastAsia="宋体" w:cs="宋体"/>
          <w:color w:val="auto"/>
          <w:spacing w:val="8"/>
          <w:highlight w:val="none"/>
          <w:lang w:eastAsia="zh-CN"/>
        </w:rPr>
        <w:t>万元</w:t>
      </w:r>
    </w:p>
    <w:p w14:paraId="6047827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eastAsia="zh-CN"/>
        </w:rPr>
        <w:t>1.4最高限价：370万元</w:t>
      </w:r>
    </w:p>
    <w:p w14:paraId="729ADE3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hint="eastAsia" w:ascii="宋体" w:hAnsi="宋体" w:eastAsia="宋体" w:cs="宋体"/>
          <w:color w:val="auto"/>
          <w:spacing w:val="8"/>
          <w:highlight w:val="none"/>
          <w:lang w:eastAsia="zh-CN"/>
        </w:rPr>
        <w:t>1.5采购需求：南京市江宁妇幼保健院新建项目厨房设备采购及安装</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17D6019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lang w:eastAsia="zh-CN"/>
        </w:rPr>
        <w:t>中标供应商接到采购人书面通知书后按通知书批次要求120日历日内完成供货。本项目按批次供货，每批次以采购人书面通知为准。</w:t>
      </w:r>
    </w:p>
    <w:p w14:paraId="34B2D83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08BED1D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1851D3A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2B99E48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6BEB4CE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2601EC8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66FD7277">
      <w:pPr>
        <w:numPr>
          <w:ilvl w:val="0"/>
          <w:numId w:val="1"/>
        </w:num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2B84742F">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2019FCAB">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4446937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2A56FCB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6536BCE3">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0CE715F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1197DAC5">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4F00E8EC">
      <w:pPr>
        <w:pBdr>
          <w:top w:val="none" w:color="000000" w:sz="0" w:space="0"/>
          <w:left w:val="none" w:color="000000" w:sz="0" w:space="0"/>
          <w:bottom w:val="none" w:color="000000" w:sz="0" w:space="0"/>
          <w:right w:val="none" w:color="000000" w:sz="0" w:space="0"/>
        </w:pBdr>
        <w:spacing w:line="460" w:lineRule="atLeast"/>
        <w:ind w:firstLine="424"/>
        <w:jc w:val="both"/>
        <w:rPr>
          <w:rFonts w:hint="eastAsia" w:eastAsia="宋体"/>
          <w:color w:val="auto"/>
          <w:highlight w:val="none"/>
          <w:lang w:val="en-US" w:eastAsia="zh-CN"/>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r>
        <w:rPr>
          <w:rFonts w:hint="eastAsia" w:eastAsia="宋体"/>
          <w:color w:val="auto"/>
          <w:highlight w:val="none"/>
          <w:lang w:val="en-US" w:eastAsia="zh-CN"/>
        </w:rPr>
        <w:t>无</w:t>
      </w:r>
    </w:p>
    <w:p w14:paraId="5B956ED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13BDDB03">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31D1106C">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3FA1D8C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4F2813D8">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48F7C36A">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53B20B85">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2C8014C6">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698C3A9D">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1E17EF2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12</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09</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0B37796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2"/>
          <w:rFonts w:ascii="宋体" w:hAnsi="宋体" w:eastAsia="宋体" w:cs="宋体"/>
          <w:color w:val="auto"/>
          <w:spacing w:val="8"/>
          <w:highlight w:val="none"/>
        </w:rPr>
        <w:t>http://jszfcg.jsczt.cn/）</w:t>
      </w:r>
      <w:r>
        <w:rPr>
          <w:rStyle w:val="42"/>
          <w:rFonts w:ascii="宋体" w:hAnsi="宋体" w:eastAsia="宋体" w:cs="宋体"/>
          <w:color w:val="auto"/>
          <w:spacing w:val="8"/>
          <w:highlight w:val="none"/>
        </w:rPr>
        <w:fldChar w:fldCharType="end"/>
      </w:r>
    </w:p>
    <w:p w14:paraId="0D9944AC">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3F188B6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26AB0BB7">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2B9A2CC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20063B9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110EBD86">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20B6077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333A62D6">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2"/>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2"/>
          <w:rFonts w:ascii="宋体" w:hAnsi="宋体" w:eastAsia="宋体" w:cs="宋体"/>
          <w:color w:val="auto"/>
          <w:highlight w:val="none"/>
        </w:rPr>
        <w:fldChar w:fldCharType="end"/>
      </w:r>
    </w:p>
    <w:p w14:paraId="675B9EE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2"/>
          <w:rFonts w:ascii="宋体" w:hAnsi="宋体" w:eastAsia="宋体" w:cs="宋体"/>
          <w:color w:val="auto"/>
          <w:highlight w:val="none"/>
        </w:rPr>
        <w:t>http://www.ccgp-jiangsu.gov.cn/jiangsu/zlxz/ee/ee3a4bc5a3454aa2b0d9312230633ce9.html</w:t>
      </w:r>
      <w:r>
        <w:rPr>
          <w:rStyle w:val="42"/>
          <w:rFonts w:ascii="宋体" w:hAnsi="宋体" w:eastAsia="宋体" w:cs="宋体"/>
          <w:color w:val="auto"/>
          <w:highlight w:val="none"/>
        </w:rPr>
        <w:fldChar w:fldCharType="end"/>
      </w:r>
    </w:p>
    <w:p w14:paraId="40A22A11">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08D271C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69AE3975">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154D3D8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790CED97">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highlight w:val="none"/>
        </w:rPr>
        <w:t>6.4供应商诚信档案管理</w:t>
      </w:r>
    </w:p>
    <w:p w14:paraId="01261B6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根据《关于在政府采购活动中推行信用承诺制的通知》宁财购通〔</w:t>
      </w:r>
      <w:r>
        <w:rPr>
          <w:rFonts w:ascii="Arial" w:hAnsi="Arial" w:eastAsia="Arial" w:cs="Arial"/>
          <w:color w:val="auto"/>
          <w:sz w:val="22"/>
          <w:highlight w:val="none"/>
        </w:rPr>
        <w:t>2021</w:t>
      </w:r>
      <w:r>
        <w:rPr>
          <w:rFonts w:ascii="宋体" w:hAnsi="宋体" w:eastAsia="宋体" w:cs="宋体"/>
          <w:color w:val="auto"/>
          <w:sz w:val="22"/>
          <w:highlight w:val="none"/>
        </w:rPr>
        <w:t>〕</w:t>
      </w:r>
      <w:r>
        <w:rPr>
          <w:rFonts w:ascii="Arial" w:hAnsi="Arial" w:eastAsia="Arial" w:cs="Arial"/>
          <w:color w:val="auto"/>
          <w:sz w:val="22"/>
          <w:highlight w:val="none"/>
        </w:rPr>
        <w:t>5</w:t>
      </w:r>
      <w:r>
        <w:rPr>
          <w:rFonts w:ascii="宋体" w:hAnsi="宋体" w:eastAsia="宋体" w:cs="宋体"/>
          <w:color w:val="auto"/>
          <w:sz w:val="22"/>
          <w:highlight w:val="none"/>
        </w:rPr>
        <w:t>号规定，</w:t>
      </w:r>
      <w:r>
        <w:rPr>
          <w:rFonts w:ascii="Arial" w:hAnsi="Arial" w:eastAsia="Arial" w:cs="Arial"/>
          <w:color w:val="auto"/>
          <w:sz w:val="22"/>
          <w:highlight w:val="none"/>
        </w:rPr>
        <w:t> </w:t>
      </w:r>
      <w:r>
        <w:rPr>
          <w:rFonts w:ascii="宋体" w:hAnsi="宋体" w:eastAsia="宋体" w:cs="宋体"/>
          <w:color w:val="auto"/>
          <w:sz w:val="22"/>
          <w:highlight w:val="none"/>
        </w:rPr>
        <w:t>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w:t>
      </w:r>
      <w:r>
        <w:rPr>
          <w:rFonts w:ascii="宋体" w:hAnsi="宋体" w:eastAsia="宋体" w:cs="宋体"/>
          <w:color w:val="auto"/>
          <w:sz w:val="22"/>
          <w:highlight w:val="none"/>
        </w:rPr>
        <w:t>（</w:t>
      </w:r>
      <w:r>
        <w:rPr>
          <w:rFonts w:ascii="Arial" w:hAnsi="Arial" w:eastAsia="Arial" w:cs="Arial"/>
          <w:color w:val="auto"/>
          <w:sz w:val="22"/>
          <w:highlight w:val="none"/>
        </w:rPr>
        <w:t>https://njgc.jfh.com/</w:t>
      </w:r>
      <w:r>
        <w:rPr>
          <w:rFonts w:ascii="宋体" w:hAnsi="宋体" w:eastAsia="宋体" w:cs="宋体"/>
          <w:color w:val="auto"/>
          <w:sz w:val="22"/>
          <w:highlight w:val="none"/>
        </w:rPr>
        <w:t>）“南京市政府采购供应商诚信档案”系统链接打开系统页面（</w:t>
      </w:r>
      <w:r>
        <w:rPr>
          <w:rFonts w:ascii="Arial" w:hAnsi="Arial" w:eastAsia="Arial" w:cs="Arial"/>
          <w:color w:val="auto"/>
          <w:sz w:val="22"/>
          <w:highlight w:val="none"/>
        </w:rPr>
        <w:t>http://180.101.238.212:8280/hodeframe2018_cxda/index.action;jsessionid=769BA9C8E1729422E7173B991C8EC1E5</w:t>
      </w:r>
      <w:r>
        <w:rPr>
          <w:rFonts w:ascii="宋体" w:hAnsi="宋体" w:eastAsia="宋体" w:cs="宋体"/>
          <w:color w:val="auto"/>
          <w:sz w:val="22"/>
          <w:highlight w:val="none"/>
        </w:rPr>
        <w:t>）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未按要求提供《南京市政府采购供应商信用记录表暨信用承诺书》则该供应商投标文件按无效投标处理。</w:t>
      </w:r>
    </w:p>
    <w:p w14:paraId="5E0DF5C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在政府采购资格审查环节，供应商只需提供书面《南京市政府采购供应商信用记录表暨信用承诺书》，即可替代以下证明材料：</w:t>
      </w:r>
    </w:p>
    <w:p w14:paraId="4940FEB1">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符合国家相关规定的财务状况报告</w:t>
      </w:r>
    </w:p>
    <w:p w14:paraId="2E2502D9">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依法缴纳税收的证明材料</w:t>
      </w:r>
    </w:p>
    <w:p w14:paraId="0C9C2FB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依法缴纳社会保障资金的证明材料</w:t>
      </w:r>
    </w:p>
    <w:p w14:paraId="16A1943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具备履行政府采购合同所必需的设备和专业技术能力的证明材料；</w:t>
      </w:r>
    </w:p>
    <w:p w14:paraId="4097E66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参加政府采购活动前三年内在经营活动中没有重大违法记录的证明材料；</w:t>
      </w:r>
    </w:p>
    <w:p w14:paraId="4D003BD5">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未被列入失信被执行人、重大税收违法失信主体、政府采购严重违法失信行为记录名单的证明材料。</w:t>
      </w:r>
    </w:p>
    <w:p w14:paraId="219968B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根据宁财购通</w:t>
      </w:r>
      <w:r>
        <w:rPr>
          <w:rFonts w:ascii="Arial" w:hAnsi="Arial" w:eastAsia="Arial" w:cs="Arial"/>
          <w:color w:val="auto"/>
          <w:sz w:val="22"/>
          <w:highlight w:val="none"/>
        </w:rPr>
        <w:t>[2021]5</w:t>
      </w:r>
      <w:r>
        <w:rPr>
          <w:rFonts w:ascii="宋体" w:hAnsi="宋体" w:eastAsia="宋体" w:cs="宋体"/>
          <w:color w:val="auto"/>
          <w:sz w:val="22"/>
          <w:highlight w:val="none"/>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25080E7E">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供应商涉及一下情形的，不适用信用承诺：</w:t>
      </w:r>
    </w:p>
    <w:p w14:paraId="2067678B">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供应商被列入严重失信主体名单；</w:t>
      </w:r>
    </w:p>
    <w:p w14:paraId="4C647F15">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被相关监管部门做出行政处罚且尚在出发有效期内；</w:t>
      </w:r>
    </w:p>
    <w:p w14:paraId="6ED402F5">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被其他法律、行政法规规定的不适用信用承诺的情形。</w:t>
      </w:r>
    </w:p>
    <w:p w14:paraId="41F0FDDE">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供应商对信用承诺内容的真实性、合法性、有效性负责。如作出虚假信用承诺，视同为“提供虚假材料谋取中标、成交”的违法行为。</w:t>
      </w:r>
    </w:p>
    <w:p w14:paraId="53FF986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w:t>
      </w:r>
    </w:p>
    <w:p w14:paraId="5EC066B6">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10743537">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012009C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59B80323">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4A9657E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764CCCF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5B26E5DE">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614ED84A">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0428AA30">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201D4392">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106D7B6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588D433B">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3D100D1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4A4467BD">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04782128">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4</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21</w:t>
      </w:r>
      <w:r>
        <w:rPr>
          <w:rFonts w:ascii="宋体" w:hAnsi="宋体" w:eastAsia="宋体" w:cs="宋体"/>
          <w:color w:val="auto"/>
          <w:spacing w:val="8"/>
          <w:highlight w:val="none"/>
        </w:rPr>
        <w:t>日</w:t>
      </w:r>
    </w:p>
    <w:p w14:paraId="3801A572">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33C5B79F">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2375EE9C">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6D25D129">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20823275"/>
      <w:bookmarkStart w:id="1" w:name="_Toc120614214"/>
      <w:bookmarkStart w:id="2" w:name="_Toc513029203"/>
      <w:bookmarkStart w:id="3" w:name="_Toc16938519"/>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69A6B45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20823276"/>
      <w:bookmarkStart w:id="7" w:name="_Toc16938520"/>
      <w:bookmarkStart w:id="8" w:name="_Toc513029204"/>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6C0F9B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5AD69B6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513029205"/>
      <w:bookmarkStart w:id="10" w:name="_Toc16938521"/>
      <w:bookmarkStart w:id="11" w:name="_Toc20823277"/>
      <w:r>
        <w:rPr>
          <w:rFonts w:hint="eastAsia" w:ascii="宋体" w:hAnsi="宋体" w:eastAsia="宋体" w:cs="宋体"/>
          <w:color w:val="auto"/>
          <w:sz w:val="21"/>
          <w:szCs w:val="21"/>
          <w:highlight w:val="none"/>
          <w:lang w:eastAsia="zh-CN"/>
        </w:rPr>
        <w:t>2.合格的投标人</w:t>
      </w:r>
      <w:bookmarkEnd w:id="9"/>
      <w:bookmarkEnd w:id="10"/>
      <w:bookmarkEnd w:id="11"/>
    </w:p>
    <w:p w14:paraId="43A59B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38FAB6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4C82A50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513029206"/>
      <w:bookmarkStart w:id="13" w:name="_Toc16938522"/>
      <w:bookmarkStart w:id="14" w:name="_Toc20823278"/>
      <w:r>
        <w:rPr>
          <w:rFonts w:hint="eastAsia" w:ascii="宋体" w:hAnsi="宋体" w:eastAsia="宋体" w:cs="宋体"/>
          <w:color w:val="auto"/>
          <w:sz w:val="21"/>
          <w:szCs w:val="21"/>
          <w:highlight w:val="none"/>
          <w:lang w:eastAsia="zh-CN"/>
        </w:rPr>
        <w:t>3.适用法律</w:t>
      </w:r>
      <w:bookmarkEnd w:id="12"/>
      <w:bookmarkEnd w:id="13"/>
      <w:bookmarkEnd w:id="14"/>
    </w:p>
    <w:p w14:paraId="32FF40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445FC8A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513029207"/>
      <w:bookmarkStart w:id="16" w:name="_Toc20823279"/>
      <w:bookmarkStart w:id="17" w:name="_Toc16938523"/>
      <w:bookmarkStart w:id="18" w:name="_Toc462564067"/>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51BEAB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6BBBB4C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5AEC3A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1288AB4E">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513029209"/>
      <w:bookmarkStart w:id="20" w:name="_Toc16938525"/>
      <w:bookmarkStart w:id="21" w:name="_Toc20823281"/>
      <w:bookmarkStart w:id="22" w:name="_Toc120614215"/>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4F15682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16938526"/>
      <w:bookmarkStart w:id="24" w:name="_Toc513029210"/>
      <w:bookmarkStart w:id="25" w:name="_Toc20823282"/>
      <w:r>
        <w:rPr>
          <w:rFonts w:hint="eastAsia" w:ascii="宋体" w:hAnsi="宋体" w:eastAsia="宋体" w:cs="宋体"/>
          <w:color w:val="auto"/>
          <w:sz w:val="21"/>
          <w:szCs w:val="21"/>
          <w:highlight w:val="none"/>
          <w:lang w:eastAsia="zh-CN"/>
        </w:rPr>
        <w:t>6.招标文件构成</w:t>
      </w:r>
      <w:bookmarkEnd w:id="23"/>
      <w:bookmarkEnd w:id="24"/>
      <w:bookmarkEnd w:id="25"/>
    </w:p>
    <w:p w14:paraId="607E53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031D71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（1）投标邀请</w:t>
      </w:r>
    </w:p>
    <w:p w14:paraId="249F9FB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14C0A9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6330C9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66F408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719B63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065DAC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643B1F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47D56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462564070"/>
      <w:bookmarkStart w:id="27" w:name="_Toc513029211"/>
      <w:bookmarkStart w:id="28" w:name="_Toc20823283"/>
      <w:bookmarkStart w:id="29" w:name="_Toc16938527"/>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60AA3BD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6F40053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16938528"/>
      <w:bookmarkStart w:id="31" w:name="_Toc513029212"/>
      <w:bookmarkStart w:id="32" w:name="_Toc20823284"/>
      <w:bookmarkStart w:id="33" w:name="_Toc462564071"/>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401E7C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513029213"/>
      <w:bookmarkStart w:id="35" w:name="_Toc120614216"/>
      <w:bookmarkStart w:id="36" w:name="_Toc462564072"/>
      <w:bookmarkStart w:id="37" w:name="_Toc16938529"/>
      <w:bookmarkStart w:id="38" w:name="_Toc20823285"/>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1C88E1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3A7158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27321C8B">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2FA2E56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462564073"/>
      <w:bookmarkStart w:id="40" w:name="_Toc16938530"/>
      <w:bookmarkStart w:id="41" w:name="_Toc513029214"/>
      <w:bookmarkStart w:id="42" w:name="_Toc20823286"/>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7D1A4D1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2EC97A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1DB5F50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462564074"/>
      <w:bookmarkStart w:id="44" w:name="_Toc16938531"/>
      <w:bookmarkStart w:id="45" w:name="_Toc20823287"/>
      <w:bookmarkStart w:id="46" w:name="_Toc513029215"/>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46BD19C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0A3F5A3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3F8F9BF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954838"/>
      <w:bookmarkEnd w:id="47"/>
      <w:bookmarkStart w:id="48" w:name="_Hlt26670360"/>
      <w:bookmarkEnd w:id="48"/>
      <w:bookmarkStart w:id="49" w:name="_Hlt26668975"/>
      <w:bookmarkEnd w:id="49"/>
      <w:bookmarkStart w:id="50" w:name="_Toc513029219"/>
      <w:bookmarkStart w:id="51" w:name="_Toc49090509"/>
      <w:bookmarkStart w:id="52" w:name="_Toc14577357"/>
      <w:bookmarkStart w:id="53" w:name="_Toc513029216"/>
      <w:bookmarkStart w:id="54" w:name="_Toc14577354"/>
      <w:bookmarkStart w:id="55" w:name="_Toc49090507"/>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6AC983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1F74EAE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7E77EDB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41987B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1117430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5725142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70403"/>
      <w:bookmarkEnd w:id="61"/>
      <w:bookmarkStart w:id="62" w:name="_Hlt26954848"/>
      <w:bookmarkEnd w:id="62"/>
      <w:bookmarkStart w:id="63" w:name="_Hlt26670482"/>
      <w:bookmarkEnd w:id="63"/>
      <w:bookmarkStart w:id="64" w:name="_Hlt26670486"/>
      <w:bookmarkEnd w:id="64"/>
      <w:bookmarkStart w:id="65" w:name="_Hlt26954844"/>
      <w:bookmarkEnd w:id="65"/>
      <w:bookmarkStart w:id="66" w:name="_Hlt26954846"/>
      <w:bookmarkEnd w:id="66"/>
      <w:bookmarkStart w:id="67" w:name="_Hlt26668983"/>
      <w:bookmarkEnd w:id="67"/>
      <w:bookmarkStart w:id="68" w:name="_Hlt26670425"/>
      <w:bookmarkEnd w:id="68"/>
      <w:bookmarkStart w:id="69" w:name="_Hlt26954842"/>
      <w:bookmarkEnd w:id="69"/>
      <w:bookmarkStart w:id="70" w:name="_Hlt26954731"/>
      <w:bookmarkEnd w:id="70"/>
      <w:r>
        <w:rPr>
          <w:rFonts w:hint="eastAsia" w:ascii="宋体" w:hAnsi="宋体" w:eastAsia="宋体" w:cs="宋体"/>
          <w:color w:val="auto"/>
          <w:sz w:val="21"/>
          <w:szCs w:val="21"/>
          <w:highlight w:val="none"/>
          <w:lang w:eastAsia="zh-CN"/>
        </w:rPr>
        <w:t>13.响应及偏离表</w:t>
      </w:r>
    </w:p>
    <w:p w14:paraId="685421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477B05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1F49321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14577359"/>
      <w:bookmarkStart w:id="72" w:name="_Toc49090510"/>
      <w:r>
        <w:rPr>
          <w:rFonts w:hint="eastAsia" w:ascii="宋体" w:hAnsi="宋体" w:eastAsia="宋体" w:cs="宋体"/>
          <w:color w:val="auto"/>
          <w:sz w:val="21"/>
          <w:szCs w:val="21"/>
          <w:highlight w:val="none"/>
          <w:lang w:eastAsia="zh-CN"/>
        </w:rPr>
        <w:t>14.投标函和开标一览表及核心产品品牌一览表</w:t>
      </w:r>
    </w:p>
    <w:p w14:paraId="19C3FA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6E582A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51AA935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4548647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954734"/>
      <w:bookmarkEnd w:id="73"/>
      <w:bookmarkStart w:id="74" w:name="_Hlt26954850"/>
      <w:bookmarkEnd w:id="74"/>
      <w:bookmarkStart w:id="75" w:name="_Hlt26670489"/>
      <w:bookmarkEnd w:id="75"/>
      <w:bookmarkStart w:id="76" w:name="_Toc14577360"/>
      <w:bookmarkStart w:id="77" w:name="_Toc49090511"/>
      <w:r>
        <w:rPr>
          <w:rFonts w:hint="eastAsia" w:ascii="宋体" w:hAnsi="宋体" w:eastAsia="宋体" w:cs="宋体"/>
          <w:color w:val="auto"/>
          <w:sz w:val="21"/>
          <w:szCs w:val="21"/>
          <w:highlight w:val="none"/>
          <w:lang w:eastAsia="zh-CN"/>
        </w:rPr>
        <w:t>15.投标有效期</w:t>
      </w:r>
      <w:bookmarkEnd w:id="76"/>
      <w:bookmarkEnd w:id="77"/>
    </w:p>
    <w:p w14:paraId="65598F1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00DAF34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27C2F58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72AD94A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852"/>
      <w:bookmarkEnd w:id="78"/>
      <w:bookmarkStart w:id="79" w:name="_Hlt26954739"/>
      <w:bookmarkEnd w:id="79"/>
      <w:bookmarkStart w:id="80" w:name="_Toc120614217"/>
      <w:bookmarkStart w:id="81" w:name="_Toc513029224"/>
      <w:bookmarkStart w:id="82" w:name="_Toc20823296"/>
      <w:bookmarkStart w:id="83" w:name="_Toc16938540"/>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4333519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513029225"/>
      <w:bookmarkStart w:id="85" w:name="_Toc20823297"/>
      <w:bookmarkStart w:id="86" w:name="_Toc462564084"/>
      <w:bookmarkStart w:id="87" w:name="_Toc16938541"/>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6835D4E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16938542"/>
      <w:bookmarkEnd w:id="88"/>
      <w:bookmarkStart w:id="89" w:name="_Toc513029226"/>
      <w:bookmarkEnd w:id="89"/>
      <w:bookmarkStart w:id="90" w:name="_Toc20823298"/>
      <w:bookmarkEnd w:id="90"/>
    </w:p>
    <w:p w14:paraId="7BE918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7E22DC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40CE632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20823299"/>
      <w:bookmarkStart w:id="92" w:name="_Toc16938543"/>
      <w:bookmarkStart w:id="93" w:name="_Toc513029227"/>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6D3C7F7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7E37E29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513029228"/>
      <w:bookmarkStart w:id="95" w:name="_Toc20823300"/>
      <w:bookmarkStart w:id="96" w:name="_Toc16938544"/>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052FE5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DFB9A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2B6052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6EB2288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5DB5FD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7DBC21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4D0999E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513029229"/>
      <w:bookmarkStart w:id="98" w:name="_Toc120614218"/>
      <w:bookmarkStart w:id="99" w:name="_Toc20823301"/>
      <w:bookmarkStart w:id="100" w:name="_Toc16938545"/>
    </w:p>
    <w:p w14:paraId="74C48AC0">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4DD4612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513029230"/>
      <w:bookmarkStart w:id="102" w:name="_Toc20823302"/>
      <w:bookmarkStart w:id="103" w:name="_Toc16938546"/>
      <w:r>
        <w:rPr>
          <w:rFonts w:hint="eastAsia" w:ascii="宋体" w:hAnsi="宋体" w:eastAsia="宋体" w:cs="宋体"/>
          <w:color w:val="auto"/>
          <w:sz w:val="21"/>
          <w:szCs w:val="21"/>
          <w:highlight w:val="none"/>
          <w:lang w:eastAsia="zh-CN"/>
        </w:rPr>
        <w:t>20.开标</w:t>
      </w:r>
      <w:bookmarkEnd w:id="101"/>
      <w:bookmarkEnd w:id="102"/>
      <w:bookmarkEnd w:id="103"/>
    </w:p>
    <w:p w14:paraId="6AF4B6C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5FB6FF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2D0B5D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6AE4B39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20823303"/>
      <w:bookmarkStart w:id="105" w:name="_Toc513029231"/>
      <w:bookmarkStart w:id="106" w:name="_Toc16938547"/>
      <w:r>
        <w:rPr>
          <w:rFonts w:hint="eastAsia" w:ascii="宋体" w:hAnsi="宋体" w:eastAsia="宋体" w:cs="宋体"/>
          <w:color w:val="auto"/>
          <w:sz w:val="21"/>
          <w:szCs w:val="21"/>
          <w:highlight w:val="none"/>
          <w:lang w:eastAsia="zh-CN"/>
        </w:rPr>
        <w:t>21.评标</w:t>
      </w:r>
    </w:p>
    <w:p w14:paraId="09A8EB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4CF988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7311B7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04D2A8C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3214E70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6452A5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2C2BFBF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7844A3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46B1D1B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16938548"/>
      <w:bookmarkStart w:id="108" w:name="_Toc513029232"/>
      <w:bookmarkStart w:id="109" w:name="_Toc20823304"/>
      <w:r>
        <w:rPr>
          <w:rFonts w:hint="eastAsia" w:ascii="宋体" w:hAnsi="宋体" w:eastAsia="宋体" w:cs="宋体"/>
          <w:color w:val="auto"/>
          <w:sz w:val="21"/>
          <w:szCs w:val="21"/>
          <w:highlight w:val="none"/>
          <w:lang w:eastAsia="zh-CN"/>
        </w:rPr>
        <w:t>23.投标文件的澄清</w:t>
      </w:r>
      <w:bookmarkEnd w:id="107"/>
      <w:bookmarkEnd w:id="108"/>
      <w:bookmarkEnd w:id="109"/>
    </w:p>
    <w:p w14:paraId="3E934AF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55E7D8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40ADBB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713F95F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2C3683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468A896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16938549"/>
      <w:bookmarkStart w:id="111" w:name="_Toc513029233"/>
      <w:bookmarkStart w:id="112" w:name="_Toc20823305"/>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4E8EE8B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210F3F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0121DE5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53F379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2D9E4C9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3A5450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7F4A41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574F56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189903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53BA53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3B5973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567E8C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56A280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62D806A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3D66F7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1E4705E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2C6BF50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513029234"/>
      <w:bookmarkStart w:id="114" w:name="_Toc16938550"/>
      <w:bookmarkStart w:id="115" w:name="_Toc20823306"/>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71D98A6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2328A7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20823307"/>
      <w:bookmarkStart w:id="117" w:name="_Toc513029235"/>
      <w:bookmarkStart w:id="118" w:name="_Toc16938551"/>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28075A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2E4BD5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3147D93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332C79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2C5C74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2A189A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3B89741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69FC5BF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B9012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63307DD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15332CC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3253F2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1AB0893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6532DC3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5F9B2D7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385EBA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0ADE45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0B2C28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41BC5D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2E52B1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35013CF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389A7EC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5E36BB4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16938554"/>
      <w:bookmarkStart w:id="122" w:name="_Toc20823310"/>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6BEAC23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52A450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2D8EC2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087B94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6FF44C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1C2DFA1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0E4AC26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1C0F8C4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05045E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3220AFB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5458F4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7B6B621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5793734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57758B8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4B0FE0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638E3A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3DD67F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717ECB1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734D87D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35C1480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102CA69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3EA50E0E">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16938552"/>
      <w:bookmarkStart w:id="126" w:name="_Toc513029236"/>
      <w:bookmarkStart w:id="127" w:name="_Toc20823308"/>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0393962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16938553"/>
      <w:bookmarkStart w:id="129" w:name="_Toc20823309"/>
      <w:bookmarkStart w:id="130" w:name="_Toc513029237"/>
      <w:r>
        <w:rPr>
          <w:rFonts w:hint="eastAsia" w:ascii="宋体" w:hAnsi="宋体" w:eastAsia="宋体" w:cs="宋体"/>
          <w:color w:val="auto"/>
          <w:sz w:val="21"/>
          <w:szCs w:val="21"/>
          <w:highlight w:val="none"/>
          <w:lang w:eastAsia="zh-CN"/>
        </w:rPr>
        <w:t>28.签订合同</w:t>
      </w:r>
    </w:p>
    <w:p w14:paraId="28A2E2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6F9A790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0DA3D8A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6058327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20C3929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318457B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6334F88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6491AFF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6596A5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63BDAFD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247A68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36CB99F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4CFCD1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33E3D7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7C7BFB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2D26D9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0FC5102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1526C5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383D9B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55819CA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5C8D28A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323434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33FBA32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52E5E5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55C3E3C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64BE71C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5FD1270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5ADF1F7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5BC2D1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24F0C4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372AE98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34E5C9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54CC2FA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7B4B0D6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CDC52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1FCD61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22C6D38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74681F2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63EB8F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454F8F0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3BE9E31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035D519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6252D61C">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14BD669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0D8B5B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560C36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1291CB6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388E121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6586CB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1DF60A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12A7EFA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63F4D9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8D5E16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6B22906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1AB96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2B25979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4E3B7D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48E90B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B47D2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0EFD88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具体详见第五章。</w:t>
      </w:r>
    </w:p>
    <w:p w14:paraId="7EF618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2061745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37E637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2F8F9A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4A202486">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1C37146D">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42242290">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470F824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1D547C5B">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575A0C03">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5D591FB6">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0BB46DFF">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0C89AD3B">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2A54D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noWrap w:val="0"/>
            <w:vAlign w:val="center"/>
          </w:tcPr>
          <w:p w14:paraId="04877624">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序号</w:t>
            </w:r>
          </w:p>
        </w:tc>
        <w:tc>
          <w:tcPr>
            <w:tcW w:w="1179" w:type="dxa"/>
            <w:tcBorders>
              <w:top w:val="single" w:color="000000" w:sz="2" w:space="0"/>
              <w:bottom w:val="single" w:color="000000" w:sz="2" w:space="0"/>
            </w:tcBorders>
            <w:noWrap w:val="0"/>
            <w:vAlign w:val="center"/>
          </w:tcPr>
          <w:p w14:paraId="2D7EC5BF">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评审因素</w:t>
            </w:r>
          </w:p>
        </w:tc>
        <w:tc>
          <w:tcPr>
            <w:tcW w:w="6330" w:type="dxa"/>
            <w:tcBorders>
              <w:top w:val="single" w:color="000000" w:sz="2" w:space="0"/>
              <w:bottom w:val="single" w:color="000000" w:sz="2" w:space="0"/>
            </w:tcBorders>
            <w:noWrap w:val="0"/>
            <w:vAlign w:val="center"/>
          </w:tcPr>
          <w:p w14:paraId="38EC6D65">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评审细则</w:t>
            </w:r>
          </w:p>
        </w:tc>
        <w:tc>
          <w:tcPr>
            <w:tcW w:w="647" w:type="dxa"/>
            <w:tcBorders>
              <w:top w:val="single" w:color="000000" w:sz="2" w:space="0"/>
              <w:bottom w:val="single" w:color="000000" w:sz="2" w:space="0"/>
            </w:tcBorders>
            <w:noWrap w:val="0"/>
            <w:vAlign w:val="center"/>
          </w:tcPr>
          <w:p w14:paraId="0A8BBA8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分值</w:t>
            </w:r>
          </w:p>
        </w:tc>
        <w:tc>
          <w:tcPr>
            <w:tcW w:w="900" w:type="dxa"/>
            <w:tcBorders>
              <w:top w:val="single" w:color="000000" w:sz="2" w:space="0"/>
              <w:bottom w:val="single" w:color="000000" w:sz="2" w:space="0"/>
            </w:tcBorders>
            <w:noWrap w:val="0"/>
            <w:vAlign w:val="center"/>
          </w:tcPr>
          <w:p w14:paraId="28701C12">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类型</w:t>
            </w:r>
          </w:p>
        </w:tc>
      </w:tr>
      <w:tr w14:paraId="31EBC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3C433584">
            <w:pPr>
              <w:keepNext w:val="0"/>
              <w:keepLines w:val="0"/>
              <w:pageBreakBefore w:val="0"/>
              <w:widowControl/>
              <w:kinsoku/>
              <w:wordWrap/>
              <w:overflowPunct/>
              <w:topLinePunct w:val="0"/>
              <w:bidi w:val="0"/>
              <w:adjustRightInd w:val="0"/>
              <w:snapToGrid w:val="0"/>
              <w:spacing w:line="0" w:lineRule="atLeast"/>
              <w:ind w:left="114"/>
              <w:textAlignment w:val="auto"/>
              <w:rPr>
                <w:rFonts w:ascii="宋体" w:hAnsi="宋体" w:cs="宋体"/>
                <w:color w:val="auto"/>
                <w:sz w:val="21"/>
                <w:szCs w:val="21"/>
                <w:highlight w:val="none"/>
              </w:rPr>
            </w:pPr>
            <w:r>
              <w:rPr>
                <w:rFonts w:hint="eastAsia" w:ascii="宋体" w:hAnsi="宋体" w:cs="宋体"/>
                <w:b/>
                <w:bCs/>
                <w:color w:val="auto"/>
                <w:spacing w:val="-3"/>
                <w:sz w:val="21"/>
                <w:szCs w:val="21"/>
                <w:highlight w:val="none"/>
              </w:rPr>
              <w:t>1.价</w:t>
            </w:r>
            <w:r>
              <w:rPr>
                <w:rFonts w:hint="eastAsia" w:ascii="宋体" w:hAnsi="宋体" w:cs="宋体"/>
                <w:b/>
                <w:bCs/>
                <w:color w:val="auto"/>
                <w:spacing w:val="-2"/>
                <w:sz w:val="21"/>
                <w:szCs w:val="21"/>
                <w:highlight w:val="none"/>
              </w:rPr>
              <w:t>格</w:t>
            </w:r>
          </w:p>
        </w:tc>
      </w:tr>
      <w:tr w14:paraId="7DEDC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noWrap w:val="0"/>
            <w:vAlign w:val="center"/>
          </w:tcPr>
          <w:p w14:paraId="71415071">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6"/>
                <w:sz w:val="21"/>
                <w:szCs w:val="21"/>
                <w:highlight w:val="none"/>
              </w:rPr>
              <w:t>1</w:t>
            </w:r>
            <w:r>
              <w:rPr>
                <w:rFonts w:hint="eastAsia" w:ascii="宋体" w:hAnsi="宋体" w:cs="宋体"/>
                <w:color w:val="auto"/>
                <w:spacing w:val="-5"/>
                <w:sz w:val="21"/>
                <w:szCs w:val="21"/>
                <w:highlight w:val="none"/>
              </w:rPr>
              <w:t>.1</w:t>
            </w:r>
          </w:p>
        </w:tc>
        <w:tc>
          <w:tcPr>
            <w:tcW w:w="1179" w:type="dxa"/>
            <w:tcBorders>
              <w:top w:val="single" w:color="000000" w:sz="2" w:space="0"/>
              <w:bottom w:val="single" w:color="000000" w:sz="2" w:space="0"/>
            </w:tcBorders>
            <w:noWrap w:val="0"/>
            <w:vAlign w:val="center"/>
          </w:tcPr>
          <w:p w14:paraId="114FE0B0">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z w:val="21"/>
                <w:szCs w:val="21"/>
                <w:highlight w:val="none"/>
              </w:rPr>
            </w:pPr>
            <w:r>
              <w:rPr>
                <w:rFonts w:hint="eastAsia" w:ascii="宋体" w:hAnsi="宋体" w:cs="宋体"/>
                <w:color w:val="auto"/>
                <w:spacing w:val="-2"/>
                <w:sz w:val="21"/>
                <w:szCs w:val="21"/>
                <w:highlight w:val="none"/>
              </w:rPr>
              <w:t>价格分</w:t>
            </w:r>
          </w:p>
        </w:tc>
        <w:tc>
          <w:tcPr>
            <w:tcW w:w="6330" w:type="dxa"/>
            <w:tcBorders>
              <w:top w:val="single" w:color="000000" w:sz="2" w:space="0"/>
              <w:bottom w:val="single" w:color="000000" w:sz="2" w:space="0"/>
            </w:tcBorders>
            <w:noWrap w:val="0"/>
            <w:vAlign w:val="center"/>
          </w:tcPr>
          <w:p w14:paraId="7C60F3D0">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z w:val="21"/>
                <w:szCs w:val="21"/>
                <w:highlight w:val="none"/>
              </w:rPr>
            </w:pPr>
            <w:r>
              <w:rPr>
                <w:rFonts w:hint="eastAsia" w:ascii="宋体" w:hAnsi="宋体" w:cs="宋体"/>
                <w:color w:val="auto"/>
                <w:spacing w:val="1"/>
                <w:sz w:val="21"/>
                <w:szCs w:val="21"/>
                <w:highlight w:val="none"/>
              </w:rPr>
              <w:t>采用低价优先</w:t>
            </w:r>
            <w:r>
              <w:rPr>
                <w:rFonts w:hint="eastAsia" w:ascii="宋体" w:hAnsi="宋体" w:cs="宋体"/>
                <w:color w:val="auto"/>
                <w:sz w:val="21"/>
                <w:szCs w:val="21"/>
                <w:highlight w:val="none"/>
              </w:rPr>
              <w:t>法计算，即满足招标文件要求且投标价格最低的投标</w:t>
            </w:r>
            <w:r>
              <w:rPr>
                <w:rFonts w:hint="eastAsia" w:ascii="宋体" w:hAnsi="宋体" w:cs="宋体"/>
                <w:color w:val="auto"/>
                <w:spacing w:val="1"/>
                <w:sz w:val="21"/>
                <w:szCs w:val="21"/>
                <w:highlight w:val="none"/>
              </w:rPr>
              <w:t>报价为评标基准</w:t>
            </w:r>
            <w:r>
              <w:rPr>
                <w:rFonts w:hint="eastAsia" w:ascii="宋体" w:hAnsi="宋体" w:cs="宋体"/>
                <w:color w:val="auto"/>
                <w:sz w:val="21"/>
                <w:szCs w:val="21"/>
                <w:highlight w:val="none"/>
              </w:rPr>
              <w:t>价，其价格分为满分。其他投标人的价格分统一按</w:t>
            </w:r>
            <w:r>
              <w:rPr>
                <w:rFonts w:hint="eastAsia" w:ascii="宋体" w:hAnsi="宋体" w:cs="宋体"/>
                <w:color w:val="auto"/>
                <w:spacing w:val="-1"/>
                <w:sz w:val="21"/>
                <w:szCs w:val="21"/>
                <w:highlight w:val="none"/>
              </w:rPr>
              <w:t>照下列公</w:t>
            </w:r>
            <w:r>
              <w:rPr>
                <w:rFonts w:hint="eastAsia" w:ascii="宋体" w:hAnsi="宋体" w:cs="宋体"/>
                <w:color w:val="auto"/>
                <w:sz w:val="21"/>
                <w:szCs w:val="21"/>
                <w:highlight w:val="none"/>
              </w:rPr>
              <w:t>式计算：投标报价得分=(评标基准价/投标报价)×价格分值（小数点保留两位）</w:t>
            </w:r>
          </w:p>
        </w:tc>
        <w:tc>
          <w:tcPr>
            <w:tcW w:w="647" w:type="dxa"/>
            <w:tcBorders>
              <w:top w:val="single" w:color="000000" w:sz="2" w:space="0"/>
              <w:bottom w:val="single" w:color="000000" w:sz="2" w:space="0"/>
            </w:tcBorders>
            <w:noWrap w:val="0"/>
            <w:vAlign w:val="center"/>
          </w:tcPr>
          <w:p w14:paraId="211FC278">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30</w:t>
            </w:r>
          </w:p>
        </w:tc>
        <w:tc>
          <w:tcPr>
            <w:tcW w:w="900" w:type="dxa"/>
            <w:tcBorders>
              <w:top w:val="single" w:color="000000" w:sz="2" w:space="0"/>
              <w:bottom w:val="single" w:color="000000" w:sz="2" w:space="0"/>
            </w:tcBorders>
            <w:noWrap w:val="0"/>
            <w:vAlign w:val="center"/>
          </w:tcPr>
          <w:p w14:paraId="1DF342F8">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价格分</w:t>
            </w:r>
          </w:p>
        </w:tc>
      </w:tr>
      <w:tr w14:paraId="749E2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67B3567A">
            <w:pPr>
              <w:keepNext w:val="0"/>
              <w:keepLines w:val="0"/>
              <w:pageBreakBefore w:val="0"/>
              <w:widowControl/>
              <w:kinsoku/>
              <w:wordWrap/>
              <w:overflowPunct/>
              <w:topLinePunct w:val="0"/>
              <w:bidi w:val="0"/>
              <w:adjustRightInd w:val="0"/>
              <w:snapToGrid w:val="0"/>
              <w:spacing w:line="0" w:lineRule="atLeast"/>
              <w:ind w:left="114"/>
              <w:textAlignment w:val="auto"/>
              <w:rPr>
                <w:rFonts w:ascii="宋体" w:hAnsi="宋体" w:cs="宋体"/>
                <w:color w:val="auto"/>
                <w:sz w:val="21"/>
                <w:szCs w:val="21"/>
                <w:highlight w:val="none"/>
              </w:rPr>
            </w:pPr>
            <w:r>
              <w:rPr>
                <w:rFonts w:hint="eastAsia" w:ascii="宋体" w:hAnsi="宋体" w:cs="宋体"/>
                <w:b/>
                <w:bCs/>
                <w:color w:val="auto"/>
                <w:spacing w:val="-3"/>
                <w:sz w:val="21"/>
                <w:szCs w:val="21"/>
                <w:highlight w:val="none"/>
              </w:rPr>
              <w:t>2.技术</w:t>
            </w:r>
          </w:p>
        </w:tc>
      </w:tr>
      <w:tr w14:paraId="7FE3D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 w:hRule="atLeast"/>
          <w:jc w:val="center"/>
        </w:trPr>
        <w:tc>
          <w:tcPr>
            <w:tcW w:w="519" w:type="dxa"/>
            <w:tcBorders>
              <w:top w:val="single" w:color="000000" w:sz="2" w:space="0"/>
              <w:bottom w:val="single" w:color="000000" w:sz="2" w:space="0"/>
            </w:tcBorders>
            <w:noWrap w:val="0"/>
            <w:vAlign w:val="center"/>
          </w:tcPr>
          <w:p w14:paraId="543C41A2">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2.1</w:t>
            </w:r>
          </w:p>
        </w:tc>
        <w:tc>
          <w:tcPr>
            <w:tcW w:w="1179" w:type="dxa"/>
            <w:tcBorders>
              <w:top w:val="single" w:color="000000" w:sz="2" w:space="0"/>
              <w:bottom w:val="single" w:color="000000" w:sz="2" w:space="0"/>
            </w:tcBorders>
            <w:noWrap w:val="0"/>
            <w:vAlign w:val="center"/>
          </w:tcPr>
          <w:p w14:paraId="0FE902CB">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技术参数</w:t>
            </w:r>
          </w:p>
        </w:tc>
        <w:tc>
          <w:tcPr>
            <w:tcW w:w="6330" w:type="dxa"/>
            <w:tcBorders>
              <w:top w:val="single" w:color="000000" w:sz="2" w:space="0"/>
              <w:bottom w:val="single" w:color="000000" w:sz="2" w:space="0"/>
            </w:tcBorders>
            <w:noWrap w:val="0"/>
            <w:vAlign w:val="center"/>
          </w:tcPr>
          <w:p w14:paraId="45094A79">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pacing w:val="1"/>
                <w:sz w:val="21"/>
                <w:szCs w:val="21"/>
                <w:highlight w:val="none"/>
              </w:rPr>
            </w:pPr>
            <w:r>
              <w:rPr>
                <w:rFonts w:hint="eastAsia" w:ascii="宋体" w:hAnsi="宋体" w:cs="宋体"/>
                <w:color w:val="auto"/>
                <w:sz w:val="21"/>
                <w:szCs w:val="21"/>
                <w:highlight w:val="none"/>
              </w:rPr>
              <w:t>产品清单技术参数全部满足招标要求的得满分</w:t>
            </w:r>
            <w:r>
              <w:rPr>
                <w:rFonts w:hint="eastAsia" w:ascii="宋体" w:hAnsi="宋体" w:cs="宋体"/>
                <w:color w:val="auto"/>
                <w:sz w:val="21"/>
                <w:szCs w:val="21"/>
                <w:highlight w:val="none"/>
                <w:lang w:val="en-US" w:eastAsia="zh-CN"/>
              </w:rPr>
              <w:t>28</w:t>
            </w:r>
            <w:r>
              <w:rPr>
                <w:rFonts w:hint="eastAsia" w:ascii="宋体" w:hAnsi="宋体" w:cs="宋体"/>
                <w:color w:val="auto"/>
                <w:sz w:val="21"/>
                <w:szCs w:val="21"/>
                <w:highlight w:val="none"/>
              </w:rPr>
              <w:t>分；</w:t>
            </w:r>
            <w:r>
              <w:rPr>
                <w:rFonts w:hint="eastAsia" w:ascii="宋体" w:hAnsi="宋体" w:cs="宋体"/>
                <w:color w:val="auto"/>
                <w:sz w:val="21"/>
                <w:szCs w:val="21"/>
                <w:highlight w:val="none"/>
                <w:lang w:val="en-US" w:eastAsia="zh-CN"/>
              </w:rPr>
              <w:t>打★指标为必须满足项，如有负偏离将作为无效投标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打▲号指标为重要指标，有一项负偏离扣</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分；非打▲号指标，有一项负偏离扣</w:t>
            </w:r>
            <w:r>
              <w:rPr>
                <w:rFonts w:hint="eastAsia" w:ascii="宋体" w:hAnsi="宋体" w:cs="宋体"/>
                <w:color w:val="auto"/>
                <w:sz w:val="21"/>
                <w:szCs w:val="21"/>
                <w:highlight w:val="none"/>
                <w:lang w:val="en-US" w:eastAsia="zh-CN"/>
              </w:rPr>
              <w:t>0.5</w:t>
            </w:r>
            <w:r>
              <w:rPr>
                <w:rFonts w:hint="eastAsia" w:ascii="宋体" w:hAnsi="宋体" w:cs="宋体"/>
                <w:color w:val="auto"/>
                <w:sz w:val="21"/>
                <w:szCs w:val="21"/>
                <w:highlight w:val="none"/>
              </w:rPr>
              <w:t>分，扣完为止。</w:t>
            </w:r>
          </w:p>
        </w:tc>
        <w:tc>
          <w:tcPr>
            <w:tcW w:w="647" w:type="dxa"/>
            <w:tcBorders>
              <w:top w:val="single" w:color="000000" w:sz="2" w:space="0"/>
              <w:bottom w:val="single" w:color="000000" w:sz="2" w:space="0"/>
            </w:tcBorders>
            <w:noWrap w:val="0"/>
            <w:vAlign w:val="center"/>
          </w:tcPr>
          <w:p w14:paraId="2996E072">
            <w:pPr>
              <w:keepNext w:val="0"/>
              <w:keepLines w:val="0"/>
              <w:pageBreakBefore w:val="0"/>
              <w:widowControl/>
              <w:kinsoku/>
              <w:wordWrap/>
              <w:overflowPunct/>
              <w:topLinePunct w:val="0"/>
              <w:bidi w:val="0"/>
              <w:adjustRightInd w:val="0"/>
              <w:snapToGrid w:val="0"/>
              <w:spacing w:line="0" w:lineRule="atLeast"/>
              <w:jc w:val="center"/>
              <w:textAlignment w:val="auto"/>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28</w:t>
            </w:r>
          </w:p>
        </w:tc>
        <w:tc>
          <w:tcPr>
            <w:tcW w:w="900" w:type="dxa"/>
            <w:tcBorders>
              <w:top w:val="single" w:color="000000" w:sz="2" w:space="0"/>
              <w:bottom w:val="single" w:color="000000" w:sz="2" w:space="0"/>
            </w:tcBorders>
            <w:noWrap w:val="0"/>
            <w:vAlign w:val="center"/>
          </w:tcPr>
          <w:p w14:paraId="44B36FD0">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6"/>
                <w:sz w:val="21"/>
                <w:szCs w:val="21"/>
                <w:highlight w:val="none"/>
              </w:rPr>
              <w:t>客</w:t>
            </w:r>
            <w:r>
              <w:rPr>
                <w:rFonts w:hint="eastAsia" w:ascii="宋体" w:hAnsi="宋体" w:cs="宋体"/>
                <w:color w:val="auto"/>
                <w:spacing w:val="-4"/>
                <w:sz w:val="21"/>
                <w:szCs w:val="21"/>
                <w:highlight w:val="none"/>
              </w:rPr>
              <w:t>观分</w:t>
            </w:r>
          </w:p>
        </w:tc>
      </w:tr>
      <w:tr w14:paraId="485FE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noWrap w:val="0"/>
            <w:vAlign w:val="center"/>
          </w:tcPr>
          <w:p w14:paraId="45605D28">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2.2</w:t>
            </w:r>
          </w:p>
        </w:tc>
        <w:tc>
          <w:tcPr>
            <w:tcW w:w="1179" w:type="dxa"/>
            <w:tcBorders>
              <w:top w:val="single" w:color="000000" w:sz="2" w:space="0"/>
              <w:bottom w:val="single" w:color="000000" w:sz="2" w:space="0"/>
            </w:tcBorders>
            <w:noWrap w:val="0"/>
            <w:vAlign w:val="center"/>
          </w:tcPr>
          <w:p w14:paraId="73ECB454">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检测报告</w:t>
            </w:r>
          </w:p>
        </w:tc>
        <w:tc>
          <w:tcPr>
            <w:tcW w:w="6330" w:type="dxa"/>
            <w:tcBorders>
              <w:top w:val="single" w:color="000000" w:sz="2" w:space="0"/>
              <w:bottom w:val="single" w:color="000000" w:sz="2" w:space="0"/>
            </w:tcBorders>
            <w:noWrap w:val="0"/>
            <w:vAlign w:val="center"/>
          </w:tcPr>
          <w:p w14:paraId="4AF8407D">
            <w:pPr>
              <w:keepNext w:val="0"/>
              <w:keepLines w:val="0"/>
              <w:pageBreakBefore w:val="0"/>
              <w:widowControl/>
              <w:kinsoku/>
              <w:wordWrap/>
              <w:overflowPunct/>
              <w:topLinePunct w:val="0"/>
              <w:bidi w:val="0"/>
              <w:adjustRightInd w:val="0"/>
              <w:snapToGrid w:val="0"/>
              <w:spacing w:line="0" w:lineRule="atLeas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人涉及的食品级不锈钢板304材质分别提供1.0mm、1.2mm、1.5mm三类规格的检测报告(检测报告具有CMA标识)，检测内容须包含理化指标、化学成分、弯曲性能、力学性能、中性盐雾试验&gt;240h、晶间腐蚀、粗糙度等检测内容，检测结果达到符合GB/T 3280-2015、GB/T 2523-2022和GB/T 10125-2021标准。有一个得1分，最高得3分。</w:t>
            </w:r>
          </w:p>
          <w:p w14:paraId="6D06FF4D">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kern w:val="2"/>
                <w:sz w:val="21"/>
                <w:szCs w:val="21"/>
                <w:highlight w:val="none"/>
              </w:rPr>
            </w:pPr>
            <w:r>
              <w:rPr>
                <w:rFonts w:hint="eastAsia" w:ascii="宋体" w:hAnsi="宋体" w:cs="宋体"/>
                <w:color w:val="auto"/>
                <w:sz w:val="21"/>
                <w:szCs w:val="21"/>
                <w:highlight w:val="none"/>
              </w:rPr>
              <w:t>备注：1.投标人需上传检测报告原件扫描件，未按要求提供证明材料或者不提供的不得分；2.所提供检测报告中“产品名称和检测内容”与评分细则规定不同时，应提供符合上述要求的内容（功能）说明及关键信息，否则不予认可。为方便评委评审，功能参数可用箭头、标红或下划线等进行明显标注。</w:t>
            </w:r>
          </w:p>
        </w:tc>
        <w:tc>
          <w:tcPr>
            <w:tcW w:w="647" w:type="dxa"/>
            <w:tcBorders>
              <w:top w:val="single" w:color="000000" w:sz="2" w:space="0"/>
              <w:bottom w:val="single" w:color="000000" w:sz="2" w:space="0"/>
            </w:tcBorders>
            <w:noWrap w:val="0"/>
            <w:vAlign w:val="center"/>
          </w:tcPr>
          <w:p w14:paraId="535C1F06">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900" w:type="dxa"/>
            <w:tcBorders>
              <w:top w:val="single" w:color="000000" w:sz="2" w:space="0"/>
              <w:bottom w:val="single" w:color="000000" w:sz="2" w:space="0"/>
            </w:tcBorders>
            <w:noWrap w:val="0"/>
            <w:vAlign w:val="center"/>
          </w:tcPr>
          <w:p w14:paraId="4076FD02">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客观分</w:t>
            </w:r>
          </w:p>
        </w:tc>
      </w:tr>
      <w:tr w14:paraId="29BB4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noWrap w:val="0"/>
            <w:vAlign w:val="center"/>
          </w:tcPr>
          <w:p w14:paraId="58043C7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2.3</w:t>
            </w:r>
          </w:p>
        </w:tc>
        <w:tc>
          <w:tcPr>
            <w:tcW w:w="1179" w:type="dxa"/>
            <w:tcBorders>
              <w:top w:val="single" w:color="000000" w:sz="2" w:space="0"/>
              <w:bottom w:val="single" w:color="000000" w:sz="2" w:space="0"/>
            </w:tcBorders>
            <w:noWrap w:val="0"/>
            <w:vAlign w:val="center"/>
          </w:tcPr>
          <w:p w14:paraId="1C48BF79">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产品证书</w:t>
            </w:r>
          </w:p>
        </w:tc>
        <w:tc>
          <w:tcPr>
            <w:tcW w:w="6330" w:type="dxa"/>
            <w:tcBorders>
              <w:top w:val="single" w:color="000000" w:sz="2" w:space="0"/>
              <w:bottom w:val="single" w:color="000000" w:sz="2" w:space="0"/>
            </w:tcBorders>
            <w:noWrap w:val="0"/>
            <w:vAlign w:val="center"/>
          </w:tcPr>
          <w:p w14:paraId="602E3B8C">
            <w:pPr>
              <w:keepNext w:val="0"/>
              <w:keepLines w:val="0"/>
              <w:pageBreakBefore w:val="0"/>
              <w:widowControl/>
              <w:kinsoku/>
              <w:wordWrap/>
              <w:overflowPunct/>
              <w:topLinePunct w:val="0"/>
              <w:bidi w:val="0"/>
              <w:adjustRightInd w:val="0"/>
              <w:snapToGrid w:val="0"/>
              <w:spacing w:line="0" w:lineRule="atLeas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投标人具有中国质量认证中心（CQC）颁发的GB 4806.9-2023“不锈钢水池系列、不锈钢台柜架系列、保温售卖台系列”有效的食品接触产品安全认证证书和对应产品认证试验报告，每提供1类产品的食品接触产品安全认证证书和相对应产品认证试验报告得1分，最高得3分。（上传原件扫描件，未按要求提供证明材料或者不提供的不得分）</w:t>
            </w:r>
          </w:p>
          <w:p w14:paraId="1A6C1D78">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z w:val="21"/>
                <w:szCs w:val="21"/>
                <w:highlight w:val="none"/>
              </w:rPr>
            </w:pPr>
            <w:r>
              <w:rPr>
                <w:rFonts w:hint="eastAsia" w:ascii="宋体" w:hAnsi="宋体" w:cs="宋体"/>
                <w:color w:val="auto"/>
                <w:sz w:val="21"/>
                <w:szCs w:val="21"/>
                <w:highlight w:val="none"/>
              </w:rPr>
              <w:t>备注：所提供证明材料中“产品名称和检测内容”与评分细则规定不同时，应提供符合上述要求的内容（功能）说明及关键信息，否则不予认可。为方便评委评审，功能参数可用箭头、标红或下划线等进行明显标注。</w:t>
            </w:r>
          </w:p>
        </w:tc>
        <w:tc>
          <w:tcPr>
            <w:tcW w:w="647" w:type="dxa"/>
            <w:tcBorders>
              <w:top w:val="single" w:color="000000" w:sz="2" w:space="0"/>
              <w:bottom w:val="single" w:color="000000" w:sz="2" w:space="0"/>
            </w:tcBorders>
            <w:noWrap w:val="0"/>
            <w:vAlign w:val="center"/>
          </w:tcPr>
          <w:p w14:paraId="104A94C5">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900" w:type="dxa"/>
            <w:tcBorders>
              <w:top w:val="single" w:color="000000" w:sz="2" w:space="0"/>
              <w:bottom w:val="single" w:color="000000" w:sz="2" w:space="0"/>
            </w:tcBorders>
            <w:noWrap w:val="0"/>
            <w:vAlign w:val="center"/>
          </w:tcPr>
          <w:p w14:paraId="1ACD40C1">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客观分</w:t>
            </w:r>
          </w:p>
        </w:tc>
      </w:tr>
      <w:tr w14:paraId="3F618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noWrap w:val="0"/>
            <w:vAlign w:val="center"/>
          </w:tcPr>
          <w:p w14:paraId="0DB325BE">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z w:val="21"/>
                <w:szCs w:val="21"/>
                <w:highlight w:val="none"/>
              </w:rPr>
            </w:pPr>
            <w:r>
              <w:rPr>
                <w:rFonts w:hint="eastAsia" w:ascii="宋体" w:hAnsi="宋体" w:cs="宋体"/>
                <w:b/>
                <w:bCs/>
                <w:color w:val="auto"/>
                <w:spacing w:val="-3"/>
                <w:sz w:val="21"/>
                <w:szCs w:val="21"/>
                <w:highlight w:val="none"/>
              </w:rPr>
              <w:t>3.服务</w:t>
            </w:r>
          </w:p>
        </w:tc>
      </w:tr>
      <w:tr w14:paraId="0E92A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noWrap w:val="0"/>
            <w:vAlign w:val="center"/>
          </w:tcPr>
          <w:p w14:paraId="3C8C60B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3.1</w:t>
            </w:r>
          </w:p>
        </w:tc>
        <w:tc>
          <w:tcPr>
            <w:tcW w:w="1179" w:type="dxa"/>
            <w:tcBorders>
              <w:top w:val="single" w:color="000000" w:sz="2" w:space="0"/>
              <w:bottom w:val="single" w:color="000000" w:sz="2" w:space="0"/>
            </w:tcBorders>
            <w:noWrap w:val="0"/>
            <w:vAlign w:val="center"/>
          </w:tcPr>
          <w:p w14:paraId="7CCB67C0">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lang w:val="en-US" w:eastAsia="zh-CN"/>
              </w:rPr>
              <w:t>技术</w:t>
            </w:r>
            <w:r>
              <w:rPr>
                <w:rFonts w:hint="eastAsia" w:ascii="宋体" w:hAnsi="宋体" w:cs="宋体"/>
                <w:color w:val="auto"/>
                <w:kern w:val="2"/>
                <w:sz w:val="21"/>
                <w:szCs w:val="21"/>
                <w:highlight w:val="none"/>
              </w:rPr>
              <w:t>方案</w:t>
            </w:r>
          </w:p>
        </w:tc>
        <w:tc>
          <w:tcPr>
            <w:tcW w:w="6330" w:type="dxa"/>
            <w:tcBorders>
              <w:top w:val="single" w:color="000000" w:sz="2" w:space="0"/>
              <w:bottom w:val="single" w:color="000000" w:sz="2" w:space="0"/>
            </w:tcBorders>
            <w:noWrap w:val="0"/>
            <w:vAlign w:val="center"/>
          </w:tcPr>
          <w:p w14:paraId="62B5BEC3">
            <w:pPr>
              <w:keepNext w:val="0"/>
              <w:keepLines w:val="0"/>
              <w:pageBreakBefore w:val="0"/>
              <w:widowControl/>
              <w:tabs>
                <w:tab w:val="left" w:pos="4010"/>
              </w:tabs>
              <w:kinsoku/>
              <w:wordWrap/>
              <w:overflowPunct/>
              <w:topLinePunct w:val="0"/>
              <w:bidi w:val="0"/>
              <w:adjustRightInd w:val="0"/>
              <w:spacing w:line="0" w:lineRule="atLeast"/>
              <w:textAlignment w:val="auto"/>
              <w:rPr>
                <w:rFonts w:hint="eastAsia" w:ascii="宋体" w:hAnsi="宋体" w:cs="宋体" w:eastAsiaTheme="minorEastAsia"/>
                <w:color w:val="auto"/>
                <w:kern w:val="2"/>
                <w:sz w:val="21"/>
                <w:szCs w:val="21"/>
                <w:highlight w:val="none"/>
                <w:lang w:val="en-US" w:eastAsia="zh-Hans" w:bidi="ar-SA"/>
              </w:rPr>
            </w:pPr>
            <w:r>
              <w:rPr>
                <w:rFonts w:hint="eastAsia" w:ascii="宋体" w:hAnsi="宋体" w:cs="宋体" w:eastAsiaTheme="minorEastAsia"/>
                <w:color w:val="auto"/>
                <w:kern w:val="2"/>
                <w:sz w:val="21"/>
                <w:szCs w:val="21"/>
                <w:highlight w:val="none"/>
                <w:lang w:val="en-US" w:eastAsia="zh-CN" w:bidi="ar-SA"/>
              </w:rPr>
              <w:t>1：</w:t>
            </w:r>
            <w:r>
              <w:rPr>
                <w:rFonts w:hint="eastAsia" w:ascii="宋体" w:hAnsi="宋体" w:cs="宋体" w:eastAsiaTheme="minorEastAsia"/>
                <w:color w:val="auto"/>
                <w:kern w:val="2"/>
                <w:sz w:val="21"/>
                <w:szCs w:val="21"/>
                <w:highlight w:val="none"/>
                <w:lang w:val="en-US" w:eastAsia="zh-Hans" w:bidi="ar-SA"/>
              </w:rPr>
              <w:t>根据投标人提供针对本项目成品设备供货进度安排、运输、保管、就位的保障方案详细明确、合理可行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24893E3F">
            <w:pPr>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2：根据投标人提供的设备进场前工序方案，包括施工界面、分墙及水电图要求、具体实施要点、操作细则等</w:t>
            </w:r>
            <w:r>
              <w:rPr>
                <w:rFonts w:hint="eastAsia" w:ascii="宋体" w:hAnsi="宋体" w:cs="宋体" w:eastAsiaTheme="minorEastAsia"/>
                <w:color w:val="auto"/>
                <w:kern w:val="2"/>
                <w:sz w:val="21"/>
                <w:szCs w:val="21"/>
                <w:highlight w:val="none"/>
                <w:lang w:val="en-US" w:eastAsia="zh-Hans" w:bidi="ar-SA"/>
              </w:rPr>
              <w:t>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7ED5085D">
            <w:pPr>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3：根据投标人提供的设备质量方案（包括质量目标、质量承诺及相应的质量控制措施）</w:t>
            </w:r>
            <w:r>
              <w:rPr>
                <w:rFonts w:hint="eastAsia" w:ascii="宋体" w:hAnsi="宋体" w:cs="宋体" w:eastAsiaTheme="minorEastAsia"/>
                <w:color w:val="auto"/>
                <w:kern w:val="2"/>
                <w:sz w:val="21"/>
                <w:szCs w:val="21"/>
                <w:highlight w:val="none"/>
                <w:lang w:val="en-US" w:eastAsia="zh-Hans" w:bidi="ar-SA"/>
              </w:rPr>
              <w:t>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0668793A">
            <w:pPr>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4：根据投标人提供的设备安装、调试方案</w:t>
            </w:r>
            <w:r>
              <w:rPr>
                <w:rFonts w:hint="eastAsia" w:ascii="宋体" w:hAnsi="宋体" w:cs="宋体" w:eastAsiaTheme="minorEastAsia"/>
                <w:color w:val="auto"/>
                <w:kern w:val="2"/>
                <w:sz w:val="21"/>
                <w:szCs w:val="21"/>
                <w:highlight w:val="none"/>
                <w:lang w:val="en-US" w:eastAsia="zh-Hans" w:bidi="ar-SA"/>
              </w:rPr>
              <w:t>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0A27628F">
            <w:pPr>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5：根据投标人提供的设备验收保障方案（包括验收前期资料准备、投标单位参与验收人员安排、验收反馈处理机制等验收保障措施）</w:t>
            </w:r>
            <w:r>
              <w:rPr>
                <w:rFonts w:hint="eastAsia" w:ascii="宋体" w:hAnsi="宋体" w:cs="宋体" w:eastAsiaTheme="minorEastAsia"/>
                <w:color w:val="auto"/>
                <w:kern w:val="2"/>
                <w:sz w:val="21"/>
                <w:szCs w:val="21"/>
                <w:highlight w:val="none"/>
                <w:lang w:val="en-US" w:eastAsia="zh-Hans" w:bidi="ar-SA"/>
              </w:rPr>
              <w:t>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5D8BA453">
            <w:pPr>
              <w:keepNext w:val="0"/>
              <w:keepLines w:val="0"/>
              <w:pageBreakBefore w:val="0"/>
              <w:widowControl/>
              <w:tabs>
                <w:tab w:val="left" w:pos="4010"/>
              </w:tabs>
              <w:kinsoku/>
              <w:wordWrap/>
              <w:overflowPunct/>
              <w:topLinePunct w:val="0"/>
              <w:bidi w:val="0"/>
              <w:adjustRightInd w:val="0"/>
              <w:spacing w:line="0" w:lineRule="atLeast"/>
              <w:textAlignment w:val="auto"/>
              <w:rPr>
                <w:rFonts w:hint="default" w:eastAsiaTheme="minorEastAsia"/>
                <w:color w:val="auto"/>
                <w:kern w:val="2"/>
                <w:sz w:val="21"/>
                <w:szCs w:val="21"/>
                <w:highlight w:val="none"/>
                <w:lang w:val="en-US" w:eastAsia="zh-CN"/>
              </w:rPr>
            </w:pPr>
            <w:r>
              <w:rPr>
                <w:rFonts w:hint="eastAsia" w:ascii="宋体" w:hAnsi="宋体" w:cs="宋体" w:eastAsiaTheme="minorEastAsia"/>
                <w:color w:val="auto"/>
                <w:kern w:val="2"/>
                <w:sz w:val="21"/>
                <w:szCs w:val="21"/>
                <w:highlight w:val="none"/>
                <w:lang w:val="en-US" w:eastAsia="zh-CN" w:bidi="ar-SA"/>
              </w:rPr>
              <w:t>注：未提供相关内容阐述或不符合项目的不得分。</w:t>
            </w:r>
          </w:p>
        </w:tc>
        <w:tc>
          <w:tcPr>
            <w:tcW w:w="647" w:type="dxa"/>
            <w:tcBorders>
              <w:top w:val="single" w:color="000000" w:sz="2" w:space="0"/>
              <w:bottom w:val="single" w:color="000000" w:sz="2" w:space="0"/>
            </w:tcBorders>
            <w:noWrap w:val="0"/>
            <w:vAlign w:val="center"/>
          </w:tcPr>
          <w:p w14:paraId="0326068D">
            <w:pPr>
              <w:keepNext w:val="0"/>
              <w:keepLines w:val="0"/>
              <w:pageBreakBefore w:val="0"/>
              <w:widowControl/>
              <w:kinsoku/>
              <w:wordWrap/>
              <w:overflowPunct/>
              <w:topLinePunct w:val="0"/>
              <w:bidi w:val="0"/>
              <w:adjustRightInd w:val="0"/>
              <w:snapToGrid w:val="0"/>
              <w:spacing w:line="0" w:lineRule="atLeast"/>
              <w:jc w:val="center"/>
              <w:textAlignment w:val="auto"/>
              <w:rPr>
                <w:rFonts w:hint="default" w:ascii="宋体" w:hAnsi="宋体" w:cs="宋体" w:eastAsiaTheme="minorEastAsia"/>
                <w:color w:val="auto"/>
                <w:kern w:val="2"/>
                <w:sz w:val="21"/>
                <w:szCs w:val="21"/>
                <w:highlight w:val="none"/>
                <w:lang w:val="en-US" w:eastAsia="zh-CN"/>
              </w:rPr>
            </w:pPr>
            <w:r>
              <w:rPr>
                <w:rFonts w:hint="eastAsia" w:ascii="宋体" w:hAnsi="宋体" w:cs="宋体"/>
                <w:color w:val="auto"/>
                <w:sz w:val="21"/>
                <w:szCs w:val="21"/>
                <w:highlight w:val="none"/>
                <w:lang w:val="en-US" w:eastAsia="zh-CN"/>
              </w:rPr>
              <w:t>25</w:t>
            </w:r>
          </w:p>
        </w:tc>
        <w:tc>
          <w:tcPr>
            <w:tcW w:w="900" w:type="dxa"/>
            <w:tcBorders>
              <w:top w:val="single" w:color="000000" w:sz="2" w:space="0"/>
              <w:bottom w:val="single" w:color="000000" w:sz="2" w:space="0"/>
            </w:tcBorders>
            <w:noWrap w:val="0"/>
            <w:vAlign w:val="center"/>
          </w:tcPr>
          <w:p w14:paraId="22D7175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主观分</w:t>
            </w:r>
          </w:p>
        </w:tc>
      </w:tr>
      <w:tr w14:paraId="739AB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noWrap w:val="0"/>
            <w:vAlign w:val="center"/>
          </w:tcPr>
          <w:p w14:paraId="33BF4F3C">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3.2</w:t>
            </w:r>
          </w:p>
        </w:tc>
        <w:tc>
          <w:tcPr>
            <w:tcW w:w="1179" w:type="dxa"/>
            <w:tcBorders>
              <w:top w:val="single" w:color="000000" w:sz="2" w:space="0"/>
              <w:bottom w:val="single" w:color="000000" w:sz="2" w:space="0"/>
            </w:tcBorders>
            <w:noWrap w:val="0"/>
            <w:vAlign w:val="center"/>
          </w:tcPr>
          <w:p w14:paraId="7D194666">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z w:val="21"/>
                <w:szCs w:val="21"/>
                <w:highlight w:val="none"/>
              </w:rPr>
            </w:pPr>
            <w:r>
              <w:rPr>
                <w:rFonts w:hint="eastAsia" w:ascii="宋体" w:hAnsi="宋体" w:eastAsia="宋体" w:cs="宋体"/>
                <w:color w:val="auto"/>
                <w:sz w:val="21"/>
                <w:szCs w:val="21"/>
                <w:highlight w:val="none"/>
                <w:lang w:eastAsia="zh-Hans"/>
              </w:rPr>
              <w:t>品质管理管控方案</w:t>
            </w:r>
          </w:p>
        </w:tc>
        <w:tc>
          <w:tcPr>
            <w:tcW w:w="6330" w:type="dxa"/>
            <w:tcBorders>
              <w:top w:val="single" w:color="000000" w:sz="2" w:space="0"/>
              <w:bottom w:val="single" w:color="000000" w:sz="2" w:space="0"/>
            </w:tcBorders>
            <w:noWrap w:val="0"/>
            <w:vAlign w:val="center"/>
          </w:tcPr>
          <w:p w14:paraId="5BB5F787">
            <w:pPr>
              <w:pStyle w:val="195"/>
              <w:keepNext w:val="0"/>
              <w:keepLines w:val="0"/>
              <w:pageBreakBefore w:val="0"/>
              <w:widowControl/>
              <w:kinsoku/>
              <w:wordWrap/>
              <w:overflowPunct/>
              <w:topLinePunct w:val="0"/>
              <w:autoSpaceDE w:val="0"/>
              <w:autoSpaceDN w:val="0"/>
              <w:bidi w:val="0"/>
              <w:adjustRightInd w:val="0"/>
              <w:snapToGrid w:val="0"/>
              <w:spacing w:line="0" w:lineRule="atLeast"/>
              <w:textAlignment w:val="auto"/>
              <w:rPr>
                <w:color w:val="auto"/>
                <w:kern w:val="2"/>
                <w:sz w:val="21"/>
                <w:szCs w:val="21"/>
                <w:highlight w:val="none"/>
                <w:lang w:val="en-US" w:bidi="ar-SA"/>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eastAsia="zh-Hans"/>
              </w:rPr>
              <w:t>需提供品</w:t>
            </w:r>
            <w:r>
              <w:rPr>
                <w:rFonts w:hint="eastAsia" w:ascii="宋体" w:hAnsi="宋体" w:eastAsia="宋体" w:cs="宋体"/>
                <w:color w:val="auto"/>
                <w:sz w:val="21"/>
                <w:szCs w:val="21"/>
                <w:highlight w:val="none"/>
                <w:lang w:val="en-US" w:eastAsia="zh-CN"/>
              </w:rPr>
              <w:t>质</w:t>
            </w:r>
            <w:r>
              <w:rPr>
                <w:rFonts w:hint="eastAsia" w:ascii="宋体" w:hAnsi="宋体" w:eastAsia="宋体" w:cs="宋体"/>
                <w:color w:val="auto"/>
                <w:sz w:val="21"/>
                <w:szCs w:val="21"/>
                <w:highlight w:val="none"/>
                <w:lang w:eastAsia="zh-Hans"/>
              </w:rPr>
              <w:t>管理管控方案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包括但不限于</w:t>
            </w:r>
            <w:r>
              <w:rPr>
                <w:rFonts w:hint="eastAsia" w:ascii="宋体" w:hAnsi="宋体" w:eastAsia="宋体" w:cs="宋体"/>
                <w:color w:val="auto"/>
                <w:sz w:val="21"/>
                <w:szCs w:val="21"/>
                <w:highlight w:val="none"/>
                <w:lang w:eastAsia="zh-Hans"/>
              </w:rPr>
              <w:t>品质管理管控过程、专职品控人员和相应的品控标准、确保产品生产过程中质量控制完善的措施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Hans"/>
              </w:rPr>
              <w:t>。方案</w:t>
            </w:r>
            <w:r>
              <w:rPr>
                <w:rFonts w:hint="eastAsia" w:ascii="宋体" w:hAnsi="宋体" w:eastAsia="宋体" w:cs="宋体"/>
                <w:color w:val="auto"/>
                <w:sz w:val="21"/>
                <w:szCs w:val="21"/>
                <w:highlight w:val="none"/>
                <w:lang w:val="en-US" w:eastAsia="zh-CN"/>
              </w:rPr>
              <w:t>内容</w:t>
            </w:r>
            <w:r>
              <w:rPr>
                <w:rFonts w:hint="eastAsia" w:ascii="宋体" w:hAnsi="宋体" w:eastAsia="宋体" w:cs="宋体"/>
                <w:color w:val="auto"/>
                <w:sz w:val="21"/>
                <w:szCs w:val="21"/>
                <w:highlight w:val="none"/>
                <w:lang w:eastAsia="zh-Hans"/>
              </w:rPr>
              <w:t>切合本项目实际的得</w:t>
            </w:r>
            <w:r>
              <w:rPr>
                <w:rFonts w:hint="eastAsia" w:ascii="宋体" w:hAnsi="宋体" w:eastAsia="宋体" w:cs="宋体"/>
                <w:color w:val="auto"/>
                <w:sz w:val="21"/>
                <w:szCs w:val="21"/>
                <w:highlight w:val="none"/>
                <w:lang w:val="en-US" w:eastAsia="zh-CN"/>
              </w:rPr>
              <w:t>6.0</w:t>
            </w:r>
            <w:r>
              <w:rPr>
                <w:rFonts w:hint="eastAsia" w:ascii="宋体" w:hAnsi="宋体" w:eastAsia="宋体" w:cs="宋体"/>
                <w:color w:val="auto"/>
                <w:sz w:val="21"/>
                <w:szCs w:val="21"/>
                <w:highlight w:val="none"/>
                <w:lang w:eastAsia="zh-Hans"/>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Hans"/>
              </w:rPr>
              <w:t>方案</w:t>
            </w:r>
            <w:r>
              <w:rPr>
                <w:rFonts w:hint="eastAsia" w:ascii="宋体" w:hAnsi="宋体" w:eastAsia="宋体" w:cs="宋体"/>
                <w:color w:val="auto"/>
                <w:sz w:val="21"/>
                <w:szCs w:val="21"/>
                <w:highlight w:val="none"/>
                <w:lang w:val="en-US" w:eastAsia="zh-CN"/>
              </w:rPr>
              <w:t>内容</w:t>
            </w:r>
            <w:r>
              <w:rPr>
                <w:rFonts w:hint="eastAsia" w:ascii="宋体" w:hAnsi="宋体" w:eastAsia="宋体" w:cs="宋体"/>
                <w:color w:val="auto"/>
                <w:sz w:val="21"/>
                <w:szCs w:val="21"/>
                <w:highlight w:val="none"/>
                <w:lang w:eastAsia="zh-Hans"/>
              </w:rPr>
              <w:t>一般的得</w:t>
            </w:r>
            <w:r>
              <w:rPr>
                <w:rFonts w:hint="eastAsia" w:ascii="宋体" w:hAnsi="宋体" w:eastAsia="宋体" w:cs="宋体"/>
                <w:color w:val="auto"/>
                <w:sz w:val="21"/>
                <w:szCs w:val="21"/>
                <w:highlight w:val="none"/>
                <w:lang w:val="en-US" w:eastAsia="zh-CN"/>
              </w:rPr>
              <w:t>4.0分；</w:t>
            </w:r>
            <w:r>
              <w:rPr>
                <w:rFonts w:hint="eastAsia" w:ascii="宋体" w:hAnsi="宋体" w:eastAsia="宋体" w:cs="宋体"/>
                <w:color w:val="auto"/>
                <w:sz w:val="21"/>
                <w:szCs w:val="21"/>
                <w:highlight w:val="none"/>
                <w:lang w:eastAsia="zh-Hans"/>
              </w:rPr>
              <w:t>方案</w:t>
            </w:r>
            <w:r>
              <w:rPr>
                <w:rFonts w:hint="eastAsia" w:ascii="宋体" w:hAnsi="宋体" w:eastAsia="宋体" w:cs="宋体"/>
                <w:color w:val="auto"/>
                <w:sz w:val="21"/>
                <w:szCs w:val="21"/>
                <w:highlight w:val="none"/>
                <w:lang w:val="en-US" w:eastAsia="zh-CN"/>
              </w:rPr>
              <w:t>内容</w:t>
            </w:r>
            <w:r>
              <w:rPr>
                <w:rFonts w:hint="eastAsia" w:ascii="宋体" w:hAnsi="宋体" w:eastAsia="宋体" w:cs="宋体"/>
                <w:color w:val="auto"/>
                <w:sz w:val="21"/>
                <w:szCs w:val="21"/>
                <w:highlight w:val="none"/>
                <w:lang w:eastAsia="zh-Hans"/>
              </w:rPr>
              <w:t>略有欠缺</w:t>
            </w:r>
            <w:r>
              <w:rPr>
                <w:rFonts w:hint="eastAsia" w:ascii="宋体" w:hAnsi="宋体" w:eastAsia="宋体" w:cs="宋体"/>
                <w:color w:val="auto"/>
                <w:sz w:val="21"/>
                <w:szCs w:val="21"/>
                <w:highlight w:val="none"/>
                <w:lang w:val="en-US" w:eastAsia="zh-CN"/>
              </w:rPr>
              <w:t>但</w:t>
            </w:r>
            <w:r>
              <w:rPr>
                <w:rFonts w:hint="eastAsia" w:ascii="宋体" w:hAnsi="宋体" w:eastAsia="宋体" w:cs="宋体"/>
                <w:color w:val="auto"/>
                <w:sz w:val="21"/>
                <w:szCs w:val="21"/>
                <w:highlight w:val="none"/>
                <w:lang w:eastAsia="zh-Hans"/>
              </w:rPr>
              <w:t>基本满足得</w:t>
            </w:r>
            <w:r>
              <w:rPr>
                <w:rFonts w:hint="eastAsia" w:ascii="宋体" w:hAnsi="宋体" w:eastAsia="宋体" w:cs="宋体"/>
                <w:color w:val="auto"/>
                <w:sz w:val="21"/>
                <w:szCs w:val="21"/>
                <w:highlight w:val="none"/>
                <w:lang w:val="en-US" w:eastAsia="zh-CN"/>
              </w:rPr>
              <w:t>2.0分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Hans"/>
              </w:rPr>
              <w:t>方案不满足</w:t>
            </w:r>
            <w:r>
              <w:rPr>
                <w:rFonts w:hint="eastAsia" w:ascii="宋体" w:hAnsi="宋体" w:eastAsia="宋体" w:cs="宋体"/>
                <w:color w:val="auto"/>
                <w:sz w:val="21"/>
                <w:szCs w:val="21"/>
                <w:highlight w:val="none"/>
                <w:lang w:val="en-US" w:eastAsia="zh-CN"/>
              </w:rPr>
              <w:t>或者</w:t>
            </w:r>
            <w:r>
              <w:rPr>
                <w:rFonts w:hint="eastAsia" w:ascii="宋体" w:hAnsi="宋体" w:eastAsia="宋体" w:cs="宋体"/>
                <w:color w:val="auto"/>
                <w:sz w:val="21"/>
                <w:szCs w:val="21"/>
                <w:highlight w:val="none"/>
                <w:lang w:eastAsia="zh-Hans"/>
              </w:rPr>
              <w:t>未提供</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eastAsia="zh-Hans"/>
              </w:rPr>
              <w:t>不得分。</w:t>
            </w:r>
          </w:p>
        </w:tc>
        <w:tc>
          <w:tcPr>
            <w:tcW w:w="647" w:type="dxa"/>
            <w:tcBorders>
              <w:top w:val="single" w:color="000000" w:sz="2" w:space="0"/>
              <w:bottom w:val="single" w:color="000000" w:sz="2" w:space="0"/>
            </w:tcBorders>
            <w:noWrap w:val="0"/>
            <w:vAlign w:val="center"/>
          </w:tcPr>
          <w:p w14:paraId="1116A06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6</w:t>
            </w:r>
          </w:p>
        </w:tc>
        <w:tc>
          <w:tcPr>
            <w:tcW w:w="900" w:type="dxa"/>
            <w:tcBorders>
              <w:top w:val="single" w:color="000000" w:sz="2" w:space="0"/>
              <w:bottom w:val="single" w:color="000000" w:sz="2" w:space="0"/>
            </w:tcBorders>
            <w:noWrap w:val="0"/>
            <w:vAlign w:val="center"/>
          </w:tcPr>
          <w:p w14:paraId="0DCEF32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6"/>
                <w:sz w:val="21"/>
                <w:szCs w:val="21"/>
                <w:highlight w:val="none"/>
              </w:rPr>
            </w:pPr>
            <w:r>
              <w:rPr>
                <w:rFonts w:hint="eastAsia" w:ascii="宋体" w:hAnsi="宋体" w:cs="宋体"/>
                <w:color w:val="auto"/>
                <w:spacing w:val="-6"/>
                <w:sz w:val="21"/>
                <w:szCs w:val="21"/>
                <w:highlight w:val="none"/>
                <w:lang w:val="en-US" w:eastAsia="zh-CN"/>
              </w:rPr>
              <w:t>主</w:t>
            </w:r>
            <w:r>
              <w:rPr>
                <w:rFonts w:hint="eastAsia" w:ascii="宋体" w:hAnsi="宋体" w:cs="宋体"/>
                <w:color w:val="auto"/>
                <w:spacing w:val="-6"/>
                <w:sz w:val="21"/>
                <w:szCs w:val="21"/>
                <w:highlight w:val="none"/>
              </w:rPr>
              <w:t>观分</w:t>
            </w:r>
          </w:p>
        </w:tc>
      </w:tr>
      <w:tr w14:paraId="083C9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noWrap w:val="0"/>
            <w:vAlign w:val="center"/>
          </w:tcPr>
          <w:p w14:paraId="1B9AF360">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z w:val="21"/>
                <w:szCs w:val="21"/>
                <w:highlight w:val="none"/>
              </w:rPr>
            </w:pPr>
            <w:r>
              <w:rPr>
                <w:rFonts w:hint="eastAsia" w:ascii="宋体" w:hAnsi="宋体" w:cs="宋体"/>
                <w:b/>
                <w:bCs/>
                <w:color w:val="auto"/>
                <w:spacing w:val="-3"/>
                <w:sz w:val="21"/>
                <w:szCs w:val="21"/>
                <w:highlight w:val="none"/>
              </w:rPr>
              <w:t>4.业绩</w:t>
            </w:r>
          </w:p>
        </w:tc>
      </w:tr>
      <w:tr w14:paraId="3C841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noWrap w:val="0"/>
            <w:vAlign w:val="center"/>
          </w:tcPr>
          <w:p w14:paraId="321BFA85">
            <w:pPr>
              <w:keepNext w:val="0"/>
              <w:keepLines w:val="0"/>
              <w:pageBreakBefore w:val="0"/>
              <w:widowControl/>
              <w:kinsoku/>
              <w:wordWrap/>
              <w:overflowPunct/>
              <w:topLinePunct w:val="0"/>
              <w:bidi w:val="0"/>
              <w:adjustRightInd w:val="0"/>
              <w:snapToGrid w:val="0"/>
              <w:spacing w:line="0" w:lineRule="atLeast"/>
              <w:jc w:val="center"/>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4.1</w:t>
            </w:r>
          </w:p>
        </w:tc>
        <w:tc>
          <w:tcPr>
            <w:tcW w:w="1179" w:type="dxa"/>
            <w:tcBorders>
              <w:top w:val="single" w:color="000000" w:sz="2" w:space="0"/>
              <w:bottom w:val="single" w:color="000000" w:sz="2" w:space="0"/>
            </w:tcBorders>
            <w:noWrap w:val="0"/>
            <w:vAlign w:val="center"/>
          </w:tcPr>
          <w:p w14:paraId="0B3EFF63">
            <w:pPr>
              <w:keepNext w:val="0"/>
              <w:keepLines w:val="0"/>
              <w:pageBreakBefore w:val="0"/>
              <w:widowControl/>
              <w:kinsoku/>
              <w:wordWrap/>
              <w:overflowPunct/>
              <w:topLinePunct w:val="0"/>
              <w:bidi w:val="0"/>
              <w:adjustRightInd w:val="0"/>
              <w:snapToGrid w:val="0"/>
              <w:spacing w:line="0" w:lineRule="atLeast"/>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业绩</w:t>
            </w:r>
          </w:p>
        </w:tc>
        <w:tc>
          <w:tcPr>
            <w:tcW w:w="6330" w:type="dxa"/>
            <w:tcBorders>
              <w:top w:val="single" w:color="000000" w:sz="2" w:space="0"/>
              <w:bottom w:val="single" w:color="000000" w:sz="2" w:space="0"/>
            </w:tcBorders>
            <w:noWrap w:val="0"/>
            <w:vAlign w:val="center"/>
          </w:tcPr>
          <w:p w14:paraId="2D281230">
            <w:pPr>
              <w:keepNext w:val="0"/>
              <w:keepLines w:val="0"/>
              <w:pageBreakBefore w:val="0"/>
              <w:widowControl/>
              <w:kinsoku/>
              <w:wordWrap/>
              <w:overflowPunct/>
              <w:topLinePunct w:val="0"/>
              <w:bidi w:val="0"/>
              <w:adjustRightInd w:val="0"/>
              <w:snapToGrid w:val="0"/>
              <w:spacing w:line="0" w:lineRule="atLeast"/>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投标人提供2022年1月1日（含）以来厨房设备类项目业绩，每提供1个得1分，最高得3分。（时间以合同签订时间为准，须同时提供中标通知书、业绩合同、验收报告原件扫描件，未按要求提供证明材料或者不提供的不得分）</w:t>
            </w:r>
          </w:p>
        </w:tc>
        <w:tc>
          <w:tcPr>
            <w:tcW w:w="647" w:type="dxa"/>
            <w:tcBorders>
              <w:top w:val="single" w:color="000000" w:sz="2" w:space="0"/>
              <w:bottom w:val="single" w:color="000000" w:sz="2" w:space="0"/>
            </w:tcBorders>
            <w:noWrap w:val="0"/>
            <w:vAlign w:val="center"/>
          </w:tcPr>
          <w:p w14:paraId="3D009156">
            <w:pPr>
              <w:keepNext w:val="0"/>
              <w:keepLines w:val="0"/>
              <w:pageBreakBefore w:val="0"/>
              <w:widowControl/>
              <w:kinsoku/>
              <w:wordWrap/>
              <w:overflowPunct/>
              <w:topLinePunct w:val="0"/>
              <w:bidi w:val="0"/>
              <w:adjustRightInd w:val="0"/>
              <w:snapToGrid w:val="0"/>
              <w:spacing w:line="0" w:lineRule="atLeast"/>
              <w:jc w:val="center"/>
              <w:textAlignment w:val="auto"/>
              <w:rPr>
                <w:rFonts w:hint="eastAsia" w:ascii="宋体" w:hAnsi="宋体" w:cs="宋体" w:eastAsiaTheme="minorEastAsia"/>
                <w:color w:val="auto"/>
                <w:kern w:val="2"/>
                <w:sz w:val="21"/>
                <w:szCs w:val="21"/>
                <w:highlight w:val="none"/>
                <w:lang w:eastAsia="zh-CN"/>
              </w:rPr>
            </w:pPr>
            <w:r>
              <w:rPr>
                <w:rFonts w:hint="eastAsia" w:ascii="宋体" w:hAnsi="宋体" w:cs="宋体"/>
                <w:color w:val="auto"/>
                <w:sz w:val="21"/>
                <w:szCs w:val="21"/>
                <w:highlight w:val="none"/>
                <w:lang w:val="en-US" w:eastAsia="zh-CN"/>
              </w:rPr>
              <w:t>3</w:t>
            </w:r>
          </w:p>
        </w:tc>
        <w:tc>
          <w:tcPr>
            <w:tcW w:w="900" w:type="dxa"/>
            <w:tcBorders>
              <w:top w:val="single" w:color="000000" w:sz="2" w:space="0"/>
              <w:bottom w:val="single" w:color="000000" w:sz="2" w:space="0"/>
            </w:tcBorders>
            <w:noWrap w:val="0"/>
            <w:vAlign w:val="center"/>
          </w:tcPr>
          <w:p w14:paraId="16CA413B">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6"/>
                <w:sz w:val="21"/>
                <w:szCs w:val="21"/>
                <w:highlight w:val="none"/>
              </w:rPr>
              <w:t>客</w:t>
            </w:r>
            <w:r>
              <w:rPr>
                <w:rFonts w:hint="eastAsia" w:ascii="宋体" w:hAnsi="宋体" w:cs="宋体"/>
                <w:color w:val="auto"/>
                <w:spacing w:val="-4"/>
                <w:sz w:val="21"/>
                <w:szCs w:val="21"/>
                <w:highlight w:val="none"/>
              </w:rPr>
              <w:t>观分</w:t>
            </w:r>
          </w:p>
        </w:tc>
      </w:tr>
      <w:tr w14:paraId="42060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9575" w:type="dxa"/>
            <w:gridSpan w:val="5"/>
            <w:tcBorders>
              <w:top w:val="single" w:color="000000" w:sz="2" w:space="0"/>
              <w:bottom w:val="single" w:color="000000" w:sz="2" w:space="0"/>
            </w:tcBorders>
            <w:noWrap w:val="0"/>
            <w:vAlign w:val="center"/>
          </w:tcPr>
          <w:p w14:paraId="045A6A93">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pacing w:val="-6"/>
                <w:sz w:val="21"/>
                <w:szCs w:val="21"/>
                <w:highlight w:val="none"/>
              </w:rPr>
            </w:pPr>
            <w:r>
              <w:rPr>
                <w:rFonts w:hint="eastAsia" w:ascii="宋体" w:hAnsi="宋体" w:cs="宋体"/>
                <w:b/>
                <w:bCs/>
                <w:color w:val="auto"/>
                <w:spacing w:val="-3"/>
                <w:sz w:val="21"/>
                <w:szCs w:val="21"/>
                <w:highlight w:val="none"/>
              </w:rPr>
              <w:t>6.节能环保</w:t>
            </w:r>
          </w:p>
        </w:tc>
      </w:tr>
      <w:tr w14:paraId="017C9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519" w:type="dxa"/>
            <w:tcBorders>
              <w:top w:val="single" w:color="000000" w:sz="2" w:space="0"/>
              <w:bottom w:val="single" w:color="000000" w:sz="2" w:space="0"/>
            </w:tcBorders>
            <w:noWrap w:val="0"/>
            <w:vAlign w:val="center"/>
          </w:tcPr>
          <w:p w14:paraId="70BDE786">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2"/>
                <w:kern w:val="2"/>
                <w:sz w:val="21"/>
                <w:szCs w:val="21"/>
                <w:highlight w:val="none"/>
              </w:rPr>
            </w:pPr>
            <w:r>
              <w:rPr>
                <w:rFonts w:hint="eastAsia" w:ascii="宋体" w:hAnsi="宋体" w:cs="宋体"/>
                <w:color w:val="auto"/>
                <w:spacing w:val="-2"/>
                <w:kern w:val="2"/>
                <w:sz w:val="21"/>
                <w:szCs w:val="21"/>
                <w:highlight w:val="none"/>
              </w:rPr>
              <w:t>6.1</w:t>
            </w:r>
          </w:p>
        </w:tc>
        <w:tc>
          <w:tcPr>
            <w:tcW w:w="1179" w:type="dxa"/>
            <w:tcBorders>
              <w:top w:val="single" w:color="000000" w:sz="2" w:space="0"/>
              <w:bottom w:val="single" w:color="000000" w:sz="2" w:space="0"/>
            </w:tcBorders>
            <w:noWrap w:val="0"/>
            <w:vAlign w:val="center"/>
          </w:tcPr>
          <w:p w14:paraId="791091A5">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pacing w:val="-1"/>
                <w:kern w:val="2"/>
                <w:sz w:val="21"/>
                <w:szCs w:val="21"/>
                <w:highlight w:val="none"/>
              </w:rPr>
            </w:pPr>
            <w:r>
              <w:rPr>
                <w:rFonts w:hint="eastAsia" w:ascii="宋体" w:hAnsi="宋体" w:cs="宋体"/>
                <w:color w:val="auto"/>
                <w:spacing w:val="-1"/>
                <w:sz w:val="21"/>
                <w:szCs w:val="21"/>
                <w:highlight w:val="none"/>
              </w:rPr>
              <w:t>节能环保</w:t>
            </w:r>
          </w:p>
        </w:tc>
        <w:tc>
          <w:tcPr>
            <w:tcW w:w="6330" w:type="dxa"/>
            <w:tcBorders>
              <w:top w:val="single" w:color="000000" w:sz="2" w:space="0"/>
              <w:bottom w:val="single" w:color="000000" w:sz="2" w:space="0"/>
            </w:tcBorders>
            <w:noWrap w:val="0"/>
            <w:vAlign w:val="center"/>
          </w:tcPr>
          <w:p w14:paraId="72A76729">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z w:val="21"/>
                <w:szCs w:val="21"/>
                <w:highlight w:val="none"/>
              </w:rPr>
            </w:pPr>
            <w:r>
              <w:rPr>
                <w:rFonts w:hint="eastAsia" w:ascii="宋体" w:hAnsi="宋体" w:cs="宋体"/>
                <w:color w:val="auto"/>
                <w:sz w:val="21"/>
                <w:szCs w:val="21"/>
                <w:highlight w:val="none"/>
              </w:rPr>
              <w:t>1.投标产品属于财政部、国家发改委公布的</w:t>
            </w:r>
            <w:r>
              <w:rPr>
                <w:rFonts w:ascii="宋体" w:hAnsi="宋体" w:cs="宋体"/>
                <w:color w:val="auto"/>
                <w:sz w:val="21"/>
                <w:szCs w:val="21"/>
                <w:highlight w:val="none"/>
              </w:rPr>
              <w:t>《节能产品政府采购品目清单》（财库〔2019〕19号）</w:t>
            </w:r>
            <w:r>
              <w:rPr>
                <w:rFonts w:hint="eastAsia" w:ascii="宋体" w:hAnsi="宋体" w:cs="宋体"/>
                <w:color w:val="auto"/>
                <w:sz w:val="21"/>
                <w:szCs w:val="21"/>
                <w:highlight w:val="none"/>
              </w:rPr>
              <w:t>范围内（政府强制采购产品除外）的，投标人提供国家确定的认证机构出具的、处于有效期之内的该节能产品认证证书的，有1个得0.5分，最多得1分。</w:t>
            </w:r>
          </w:p>
          <w:p w14:paraId="1FA3CC3C">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kern w:val="2"/>
                <w:sz w:val="21"/>
                <w:szCs w:val="21"/>
                <w:highlight w:val="none"/>
              </w:rPr>
            </w:pPr>
            <w:r>
              <w:rPr>
                <w:rFonts w:hint="eastAsia" w:ascii="宋体" w:hAnsi="宋体" w:cs="宋体"/>
                <w:color w:val="auto"/>
                <w:sz w:val="21"/>
                <w:szCs w:val="21"/>
                <w:highlight w:val="none"/>
              </w:rPr>
              <w:t>2.投标产品属于财政部、生态环境部公布的《环境</w:t>
            </w:r>
            <w:r>
              <w:rPr>
                <w:rFonts w:ascii="宋体" w:hAnsi="宋体" w:cs="宋体"/>
                <w:color w:val="auto"/>
                <w:sz w:val="21"/>
                <w:szCs w:val="21"/>
                <w:highlight w:val="none"/>
              </w:rPr>
              <w:t>标志产品品目清单</w:t>
            </w:r>
            <w:r>
              <w:rPr>
                <w:rFonts w:hint="eastAsia" w:ascii="宋体" w:hAnsi="宋体" w:cs="宋体"/>
                <w:color w:val="auto"/>
                <w:sz w:val="21"/>
                <w:szCs w:val="21"/>
                <w:highlight w:val="none"/>
              </w:rPr>
              <w:t>》</w:t>
            </w:r>
            <w:r>
              <w:rPr>
                <w:rFonts w:ascii="宋体" w:hAnsi="宋体" w:cs="宋体"/>
                <w:color w:val="auto"/>
                <w:sz w:val="21"/>
                <w:szCs w:val="21"/>
                <w:highlight w:val="none"/>
              </w:rPr>
              <w:t>（财库〔2019〕1</w:t>
            </w:r>
            <w:r>
              <w:rPr>
                <w:rFonts w:hint="eastAsia" w:ascii="宋体" w:hAnsi="宋体" w:cs="宋体"/>
                <w:color w:val="auto"/>
                <w:sz w:val="21"/>
                <w:szCs w:val="21"/>
                <w:highlight w:val="none"/>
              </w:rPr>
              <w:t>8</w:t>
            </w:r>
            <w:r>
              <w:rPr>
                <w:rFonts w:ascii="宋体" w:hAnsi="宋体" w:cs="宋体"/>
                <w:color w:val="auto"/>
                <w:sz w:val="21"/>
                <w:szCs w:val="21"/>
                <w:highlight w:val="none"/>
              </w:rPr>
              <w:t>号）</w:t>
            </w:r>
            <w:r>
              <w:rPr>
                <w:rFonts w:hint="eastAsia" w:ascii="宋体" w:hAnsi="宋体" w:cs="宋体"/>
                <w:color w:val="auto"/>
                <w:sz w:val="21"/>
                <w:szCs w:val="21"/>
                <w:highlight w:val="none"/>
              </w:rPr>
              <w:t>范围内的，投标人提供国家确定的认证机构出具的、处于有效期内的该环境标志产品认证证书的，有1个得0.5分，最多得1分。</w:t>
            </w:r>
          </w:p>
        </w:tc>
        <w:tc>
          <w:tcPr>
            <w:tcW w:w="647" w:type="dxa"/>
            <w:tcBorders>
              <w:top w:val="single" w:color="000000" w:sz="2" w:space="0"/>
              <w:bottom w:val="single" w:color="000000" w:sz="2" w:space="0"/>
            </w:tcBorders>
            <w:noWrap w:val="0"/>
            <w:vAlign w:val="center"/>
          </w:tcPr>
          <w:p w14:paraId="5B029B18">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kern w:val="2"/>
                <w:sz w:val="21"/>
                <w:szCs w:val="21"/>
                <w:highlight w:val="none"/>
              </w:rPr>
            </w:pPr>
            <w:r>
              <w:rPr>
                <w:rFonts w:hint="eastAsia" w:ascii="宋体" w:hAnsi="宋体" w:cs="宋体"/>
                <w:color w:val="auto"/>
                <w:sz w:val="21"/>
                <w:szCs w:val="21"/>
                <w:highlight w:val="none"/>
              </w:rPr>
              <w:t>2</w:t>
            </w:r>
          </w:p>
        </w:tc>
        <w:tc>
          <w:tcPr>
            <w:tcW w:w="900" w:type="dxa"/>
            <w:tcBorders>
              <w:top w:val="single" w:color="000000" w:sz="2" w:space="0"/>
              <w:bottom w:val="single" w:color="000000" w:sz="2" w:space="0"/>
            </w:tcBorders>
            <w:noWrap w:val="0"/>
            <w:vAlign w:val="center"/>
          </w:tcPr>
          <w:p w14:paraId="2E6D76B2">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6"/>
                <w:kern w:val="2"/>
                <w:sz w:val="21"/>
                <w:szCs w:val="21"/>
                <w:highlight w:val="none"/>
              </w:rPr>
            </w:pPr>
            <w:r>
              <w:rPr>
                <w:rFonts w:hint="eastAsia" w:ascii="宋体" w:hAnsi="宋体" w:cs="宋体"/>
                <w:color w:val="auto"/>
                <w:spacing w:val="-6"/>
                <w:sz w:val="21"/>
                <w:szCs w:val="21"/>
                <w:highlight w:val="none"/>
              </w:rPr>
              <w:t>客观分</w:t>
            </w:r>
          </w:p>
        </w:tc>
      </w:tr>
      <w:tr w14:paraId="01888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noWrap w:val="0"/>
            <w:vAlign w:val="center"/>
          </w:tcPr>
          <w:p w14:paraId="0D1129CF">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3"/>
                <w:sz w:val="21"/>
                <w:szCs w:val="21"/>
                <w:highlight w:val="none"/>
              </w:rPr>
              <w:t>合</w:t>
            </w:r>
            <w:r>
              <w:rPr>
                <w:rFonts w:hint="eastAsia" w:ascii="宋体" w:hAnsi="宋体" w:cs="宋体"/>
                <w:color w:val="auto"/>
                <w:spacing w:val="-2"/>
                <w:sz w:val="21"/>
                <w:szCs w:val="21"/>
                <w:highlight w:val="none"/>
              </w:rPr>
              <w:t>计</w:t>
            </w:r>
          </w:p>
        </w:tc>
        <w:tc>
          <w:tcPr>
            <w:tcW w:w="7509" w:type="dxa"/>
            <w:gridSpan w:val="2"/>
            <w:tcBorders>
              <w:top w:val="single" w:color="000000" w:sz="2" w:space="0"/>
              <w:bottom w:val="single" w:color="000000" w:sz="2" w:space="0"/>
            </w:tcBorders>
            <w:noWrap w:val="0"/>
            <w:vAlign w:val="center"/>
          </w:tcPr>
          <w:p w14:paraId="6EF8FEB7">
            <w:pPr>
              <w:keepNext w:val="0"/>
              <w:keepLines w:val="0"/>
              <w:pageBreakBefore w:val="0"/>
              <w:widowControl/>
              <w:kinsoku/>
              <w:wordWrap/>
              <w:overflowPunct/>
              <w:topLinePunct w:val="0"/>
              <w:bidi w:val="0"/>
              <w:adjustRightInd w:val="0"/>
              <w:snapToGrid w:val="0"/>
              <w:spacing w:line="0" w:lineRule="atLeast"/>
              <w:ind w:left="172"/>
              <w:jc w:val="center"/>
              <w:textAlignment w:val="auto"/>
              <w:rPr>
                <w:rFonts w:ascii="宋体" w:hAnsi="宋体" w:cs="宋体"/>
                <w:color w:val="auto"/>
                <w:spacing w:val="-2"/>
                <w:sz w:val="21"/>
                <w:szCs w:val="21"/>
                <w:highlight w:val="none"/>
              </w:rPr>
            </w:pPr>
          </w:p>
        </w:tc>
        <w:tc>
          <w:tcPr>
            <w:tcW w:w="1547" w:type="dxa"/>
            <w:gridSpan w:val="2"/>
            <w:tcBorders>
              <w:top w:val="single" w:color="000000" w:sz="2" w:space="0"/>
              <w:bottom w:val="single" w:color="000000" w:sz="2" w:space="0"/>
            </w:tcBorders>
            <w:noWrap w:val="0"/>
            <w:vAlign w:val="center"/>
          </w:tcPr>
          <w:p w14:paraId="5ADC66A3">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11"/>
                <w:sz w:val="21"/>
                <w:szCs w:val="21"/>
                <w:highlight w:val="none"/>
              </w:rPr>
              <w:t>100分</w:t>
            </w:r>
          </w:p>
        </w:tc>
      </w:tr>
    </w:tbl>
    <w:p w14:paraId="5C100AAF">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2D729E85">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7688E60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1D92B1A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77CED46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10B6810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754B15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8DDC37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6EAE3FD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0D27E75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23CE8C6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7C5698F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07070463">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399A0A4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3EC9B98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435CAC2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69C80812">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561FD44C">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2F20D894">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6EC1C42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0A7588D5">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3A1D5AEB">
      <w:pPr>
        <w:spacing w:line="264" w:lineRule="auto"/>
        <w:ind w:firstLine="480" w:firstLineChars="20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一、项目属性：</w:t>
      </w:r>
      <w:r>
        <w:rPr>
          <w:rFonts w:hint="eastAsia" w:ascii="宋体" w:hAnsi="宋体" w:cs="宋体"/>
          <w:color w:val="auto"/>
          <w:sz w:val="24"/>
          <w:szCs w:val="24"/>
          <w:highlight w:val="none"/>
        </w:rPr>
        <w:t>货物类项目。</w:t>
      </w:r>
    </w:p>
    <w:p w14:paraId="5ADB4B42">
      <w:pPr>
        <w:spacing w:line="264" w:lineRule="auto"/>
        <w:ind w:firstLine="480" w:firstLineChars="20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0719B1E9">
      <w:pPr>
        <w:spacing w:line="264"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（一）项目背景</w:t>
      </w:r>
    </w:p>
    <w:p w14:paraId="489BC82E">
      <w:pPr>
        <w:spacing w:line="264"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南京市江宁</w:t>
      </w:r>
      <w:r>
        <w:rPr>
          <w:rFonts w:hint="eastAsia" w:ascii="宋体" w:hAnsi="宋体" w:cs="宋体"/>
          <w:bCs/>
          <w:color w:val="auto"/>
          <w:sz w:val="24"/>
          <w:szCs w:val="24"/>
          <w:highlight w:val="none"/>
          <w:lang w:val="en-US" w:eastAsia="zh-CN"/>
        </w:rPr>
        <w:t>妇幼保健院</w:t>
      </w:r>
      <w:r>
        <w:rPr>
          <w:rFonts w:hint="eastAsia" w:ascii="宋体" w:hAnsi="宋体" w:cs="宋体"/>
          <w:bCs/>
          <w:color w:val="auto"/>
          <w:sz w:val="24"/>
          <w:szCs w:val="24"/>
          <w:highlight w:val="none"/>
        </w:rPr>
        <w:t>拟对厨具等设施设备进行采购，由于项目建设鲁班奖，施工质量要求高，对安全环保要求高，南京市江宁</w:t>
      </w:r>
      <w:r>
        <w:rPr>
          <w:rFonts w:hint="eastAsia" w:ascii="宋体" w:hAnsi="宋体" w:cs="宋体"/>
          <w:bCs/>
          <w:color w:val="auto"/>
          <w:sz w:val="24"/>
          <w:szCs w:val="24"/>
          <w:highlight w:val="none"/>
          <w:lang w:val="en-US" w:eastAsia="zh-CN"/>
        </w:rPr>
        <w:t>妇幼保健院</w:t>
      </w:r>
      <w:r>
        <w:rPr>
          <w:rFonts w:hint="eastAsia" w:ascii="宋体" w:hAnsi="宋体" w:cs="宋体"/>
          <w:bCs/>
          <w:color w:val="auto"/>
          <w:sz w:val="24"/>
          <w:szCs w:val="24"/>
          <w:highlight w:val="none"/>
        </w:rPr>
        <w:t>决定对本项目进行公开招标。</w:t>
      </w:r>
    </w:p>
    <w:p w14:paraId="07D4372C">
      <w:pPr>
        <w:spacing w:line="264"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（二）项目建设遵循标准</w:t>
      </w:r>
    </w:p>
    <w:p w14:paraId="7D3CD232">
      <w:pPr>
        <w:spacing w:line="264" w:lineRule="auto"/>
        <w:ind w:firstLine="480"/>
        <w:rPr>
          <w:color w:val="auto"/>
          <w:highlight w:val="none"/>
        </w:rPr>
      </w:pPr>
      <w:r>
        <w:rPr>
          <w:rFonts w:hint="eastAsia" w:ascii="宋体" w:hAnsi="宋体" w:cs="宋体"/>
          <w:bCs/>
          <w:color w:val="auto"/>
          <w:sz w:val="24"/>
          <w:szCs w:val="24"/>
          <w:highlight w:val="none"/>
        </w:rPr>
        <w:t>遵循国家、行业及地方现行的规范和标准。</w:t>
      </w:r>
    </w:p>
    <w:p w14:paraId="3AF779B2">
      <w:pPr>
        <w:spacing w:line="264" w:lineRule="auto"/>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三、项目清单</w:t>
      </w:r>
    </w:p>
    <w:tbl>
      <w:tblPr>
        <w:tblStyle w:val="36"/>
        <w:tblW w:w="107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2"/>
        <w:gridCol w:w="2836"/>
        <w:gridCol w:w="807"/>
        <w:gridCol w:w="797"/>
        <w:gridCol w:w="1252"/>
        <w:gridCol w:w="1115"/>
        <w:gridCol w:w="955"/>
        <w:gridCol w:w="1125"/>
        <w:gridCol w:w="1214"/>
      </w:tblGrid>
      <w:tr w14:paraId="7DD17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A89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8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1D1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分项名称</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B956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2F2B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44CC2A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default" w:ascii="宋体" w:hAnsi="宋体" w:eastAsia="宋体" w:cs="宋体"/>
                <w:b/>
                <w:bCs/>
                <w:i w:val="0"/>
                <w:iCs w:val="0"/>
                <w:color w:val="auto"/>
                <w:sz w:val="21"/>
                <w:szCs w:val="21"/>
                <w:highlight w:val="none"/>
                <w:u w:val="none"/>
                <w:lang w:val="en-US"/>
              </w:rPr>
            </w:pPr>
            <w:r>
              <w:rPr>
                <w:rFonts w:hint="eastAsia" w:ascii="宋体" w:hAnsi="宋体" w:eastAsia="宋体" w:cs="宋体"/>
                <w:b/>
                <w:bCs/>
                <w:i w:val="0"/>
                <w:iCs w:val="0"/>
                <w:color w:val="auto"/>
                <w:kern w:val="0"/>
                <w:sz w:val="21"/>
                <w:szCs w:val="21"/>
                <w:highlight w:val="none"/>
                <w:u w:val="none"/>
                <w:lang w:val="en-US" w:eastAsia="zh-CN" w:bidi="ar"/>
              </w:rPr>
              <w:t>单价上限(元）</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573B98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产品类型</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60922D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所属行业</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4F226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属性</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4581A8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政府强制采购节能产品</w:t>
            </w:r>
          </w:p>
        </w:tc>
      </w:tr>
      <w:tr w14:paraId="39789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F1EF3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清洁用具间</w:t>
            </w:r>
          </w:p>
        </w:tc>
      </w:tr>
      <w:tr w14:paraId="5DE54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88D64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DA5941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灭蚊灯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D0A58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E7B20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1FC0E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780B4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7DCF0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66C30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530E3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F3FF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3BFF6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01F8C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定制不锈钢保洁消毒柜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4FBC9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AB91C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17809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D5DB79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9F7C4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FB99D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9542B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AAE0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65946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A5EE89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12F69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87ECB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950A2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1859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44220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7B2DA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3D563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A139C5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567E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480EA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BF5701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933BB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7B967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3B645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278AF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0DB91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E802B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924EF8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7074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4A5598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低温冷库</w:t>
            </w:r>
          </w:p>
        </w:tc>
      </w:tr>
      <w:tr w14:paraId="5B2CE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AC157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F066C7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四层平板货架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C6BA4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343C1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FADCE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E4D69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85506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404E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432B0F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08FB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0648C9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高温冷库</w:t>
            </w:r>
          </w:p>
        </w:tc>
      </w:tr>
      <w:tr w14:paraId="096C8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FB425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150BC4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四层平板货架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9E6B8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85D40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8A40F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C15C0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8F45B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9B05B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D3834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B208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6A0AB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水产加工区</w:t>
            </w:r>
          </w:p>
        </w:tc>
      </w:tr>
      <w:tr w14:paraId="2FAAC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853A3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B1CB9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A03B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9EAAB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63063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2035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71567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E35E5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4DEE0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4ACDF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A072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148CA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599BD2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四层冲孔货架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DC2D6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3C81C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E57C0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5B605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D230F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11849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0E401B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EBD2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8ACDA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F6AB18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5D3AA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BB757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82D6D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A4DDD6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0F58B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336A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4C7A05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A2FA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4CEC7C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肉类加工区</w:t>
            </w:r>
          </w:p>
        </w:tc>
      </w:tr>
      <w:tr w14:paraId="0D534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832F3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0E561E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电热开水器连底座</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949C7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0397D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F51D5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3654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0313E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6D89F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5D7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81B3D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2D56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7C4A6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1632EB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F5CFA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EC802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496E6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F0C5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9B391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91B2F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C076F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E41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90AE4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E3D624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四层冲孔货架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7EB5E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46C9A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D59A7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928F0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CBB7C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68435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8F947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BEBD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B6398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3FB67D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AA145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CA941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BF7A4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97183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7EA68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F419F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0965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0DE8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B294D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C3671C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78CD5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3753E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A82B2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E6CFDF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E0BF3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92F5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E34A9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58AF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B7533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C73317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绞切肉机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C73F4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1B029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9F3B0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82B51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7528D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A548B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44766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1CD3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63FD35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蔬菜加工区</w:t>
            </w:r>
          </w:p>
        </w:tc>
      </w:tr>
      <w:tr w14:paraId="725E7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E8EA9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F6AA20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A02DD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A9EB5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C1F95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5D56A2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775EF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B42D9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B7A30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F5E2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B6333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0DD0AB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食材净化机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E29B7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17D04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5A291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33500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2944E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60895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3B5F3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516E4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C407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4FC38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53FAA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多功能脱水脱油机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6151B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E6E55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B94CD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13718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D551F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9A48C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F0970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47DE05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00E2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4592B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E9F59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毛刷清洗脱皮机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F8523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AABAF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4038C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22607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8BDEE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3CABA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C68C0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F288A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7E20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23974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DD6775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多功能切菜机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3324D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22114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8BE27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25600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C4A128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D8881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A4C55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111D9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50E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FCD22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19F1D3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EAF7F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CA55E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71F0A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A35C7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E7D15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42CED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86A12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0300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19794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8859C5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F984A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9B355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F9435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8B93E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78C4F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AD68A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4AA4EC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8E00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50BADE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蒸煮间</w:t>
            </w:r>
          </w:p>
        </w:tc>
      </w:tr>
      <w:tr w14:paraId="0274C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0400C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EBBD4F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C1A4A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EED9E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462836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97BC1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64C9C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C4A25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4810D9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5978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40F88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100F46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79106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8F21F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DE942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B317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8A16B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61E82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0CEDC0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240C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A82A6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B93E49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F5A87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BBEFE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99EEB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E41CBF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FC238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CEC94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112CF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2FE7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A0035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AC9D33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四头煲仔炉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FA7B9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12C3B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79381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8344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26917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F42D5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543DE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2A020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4235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A1AF4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E1BAC5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三门海鲜蒸柜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EE120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A600F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90922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23967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50A4E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CDD6F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00CD3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64D92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CC7D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F9678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D0D8E9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5A195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CF8B7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2150C1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DF54E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CA1C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13E5C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1DCC53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F1F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B0AD4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5CDDE4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电磁双门蒸饭车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93FCD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F235A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87B5D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51ABB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3D2E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BBDC9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32848A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E48E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4DEF6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炒菜间</w:t>
            </w:r>
          </w:p>
        </w:tc>
      </w:tr>
      <w:tr w14:paraId="5FDBB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FCEE8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FE1B62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DFFC5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FAB7D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19597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71722B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4E6AE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949FE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8ACBE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B2EE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8E9D5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16D09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4AECD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A144D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5240E2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DB8AF2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EB25A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A77FA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1C538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4F20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4E4C3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893999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炉拼台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E3F74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271A3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7FE2E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9526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2CB9C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7922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6EE36F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CB71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E7651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86617B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25FED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585B2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DA537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00DC4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74FB2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3821C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FF4D03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6CC7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BEDAE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6E6ADC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6F997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D6921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C2C18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6D8D5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FB078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EB0B6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237F4A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F1B6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87F5F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B2FC9B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电磁双头大锅灶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1721B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67CA7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CB7D3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16863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ACA35F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42CB5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4CDFE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64147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825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B20A0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9621FD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53783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EBA2F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C5D10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1118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EABE9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B4D71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1895E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82BA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2BC7E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1F5EBD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电磁双头矮汤炉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B1A31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A9F9F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B5F43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14643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3EEAF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F9F35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32507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70805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7198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EE7D7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007F84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灭蚊灯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1B832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E0FA2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01F35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4445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36BE6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43FD2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D89BC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24BA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4D5F57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小炒间</w:t>
            </w:r>
          </w:p>
        </w:tc>
      </w:tr>
      <w:tr w14:paraId="55BE9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0409F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4AB77A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117A8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1EFE2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42F67D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9370F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31E40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D3021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89C66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D56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E3B57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4F2B7A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0FDBA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D7293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16B298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8981EB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128A9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7034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0D54DB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0469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D247F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A74160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四层冲孔货架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F0024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4593F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8088C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B95E1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BA5CC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AE47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235FD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A418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98DEB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46503F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炉拼台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18BF0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21DA3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24B74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D87FD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92235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8F874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7D846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C52A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A3BB5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C12136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电磁双头单尾小炒炉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0BEA5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D3D07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59EA1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EC892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E585C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7F9B4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46E67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6594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6C46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8B04B0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风冷双温四门</w:t>
            </w:r>
          </w:p>
          <w:p w14:paraId="67C1261A">
            <w:pPr>
              <w:pStyle w:val="35"/>
              <w:rPr>
                <w:rFonts w:hint="eastAsia"/>
                <w:color w:val="auto"/>
                <w:highlight w:val="none"/>
              </w:rPr>
            </w:pP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9A8B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A04AB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001D7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11951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F8146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70D24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03E0A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23C518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p>
        </w:tc>
      </w:tr>
      <w:tr w14:paraId="6BF5B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22B46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0FE42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35854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D701F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693FB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2035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2C5D7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72770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51CE7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9DE31D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82B8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BA4D7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8501E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56112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2F5B2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BB8FD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441F1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F2C2D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85F97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5B4A1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EA3E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8B9F4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59251A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FC1E1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E2966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62BE3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C8189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EC0D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B250A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829A3F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63AC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509C9B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清洗间</w:t>
            </w:r>
          </w:p>
        </w:tc>
      </w:tr>
      <w:tr w14:paraId="750D0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7A105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9D0847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餐厨垃圾处理器</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C6F31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9F528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0FF40C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155363</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0C633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主要产品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41DBC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53D2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738EBE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50E7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A59A8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5B88AF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紫外线消毒灯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2F44C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C6023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0A0E7E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38D78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12E6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3BF67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1FF97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E293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08CBB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135306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E4F29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7A8C4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287CD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BA550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8A88F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EF875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A40B4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CD51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8FEA8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A7E6E6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长龙洗碗机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BEF5B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A23C6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4100E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140200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73696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主要产品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E691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BED55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3026E0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5375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373E7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7FE523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双门不锈钢门消毒柜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2E088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53791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A28D0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7206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24297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47EA7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CF040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6B3AA7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E45C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D0FB8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4C3C35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普通式油网烟罩</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914E2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F3CBE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10849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5855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02E5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4A67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FD553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0AD503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B32B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AF6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4EFE8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双孔收餐工作台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EF0A9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49E27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EA19D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3B9D1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D2BCC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46FAA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8537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6FE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5309F5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餐具存放区</w:t>
            </w:r>
          </w:p>
        </w:tc>
      </w:tr>
      <w:tr w14:paraId="1A9F3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6C304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7091F9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四门碗柜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3E47B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88699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B22D1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3996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58118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85C0D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2EF1A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96C3FE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F410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21F7D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FF6E96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双门不锈钢门消毒柜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42038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8B256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3206B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7206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F7FA66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64B53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8108D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953A99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575D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38218F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分餐间</w:t>
            </w:r>
          </w:p>
        </w:tc>
      </w:tr>
      <w:tr w14:paraId="1F86F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06BA5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465068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C45B8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9A545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C6515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B73B1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5B0E9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B5D4B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91BE5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C62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696BD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9F0BCC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紫外线消毒灯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7D89E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4B737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613947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7DD37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EEB4D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FCA6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B81961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65B0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BCAEC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B412D6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灭蚊灯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FF0C2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B2C14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3C73E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4C0FA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6A3B4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FBF6E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09F7D0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4B06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54EFD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预进间</w:t>
            </w:r>
          </w:p>
        </w:tc>
      </w:tr>
      <w:tr w14:paraId="0BBB6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C99AC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D2AB57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干手器</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009BE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F6311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2F050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706922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55E3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D7022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304848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9996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B9B5E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9B8A6C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灭蚊灯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EF6FB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35263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F66AD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CDA479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34502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06C78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A04FE3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3540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B07EF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8BA637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214C5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83609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70D06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DF1176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4358D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A0C35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3EE5C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6882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1D5CA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8C55DE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台式混水龙头</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E67BC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C449C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3B23A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812F0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88B91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903D4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69B26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属于节能产品</w:t>
            </w:r>
          </w:p>
        </w:tc>
      </w:tr>
      <w:tr w14:paraId="385C6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06D0E8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凉菜房</w:t>
            </w:r>
          </w:p>
        </w:tc>
      </w:tr>
      <w:tr w14:paraId="526F3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F55AC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1EC39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冷藏大双玻璃门高身柜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49C4F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8B917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786D7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7206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DB5CF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A51FF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CF177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AD1A4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F81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6038B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DF4E9D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紫外线消毒灯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C47BB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A160A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37A91D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E4632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07A03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70240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D2BBA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614D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E42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8606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台面双层架</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D1BD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A7C9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EFE4A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A2F325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F8EBF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D1918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67FA0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48E0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66C35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567969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风冷双门平台雪柜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493F7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88064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2CFA0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6762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9F47D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7E11F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6538F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05B02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68E7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699F8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C56406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74B06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662D8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E7E81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D078A8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4B9FA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A713D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78765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4DE7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87A7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F1A61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75319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81AC2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896BF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E3CE41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2ACFF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463E5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C1C32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6910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94693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蒸煮间</w:t>
            </w:r>
          </w:p>
        </w:tc>
      </w:tr>
      <w:tr w14:paraId="6F1E1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D4B61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78CB0A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5885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0F289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2197ED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65E4962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4EFC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930CE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54E2B3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E45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DB90E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8E2AF4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BD7E1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B672F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223804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D2288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E1416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E7D48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EFEF8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D548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8B610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632C73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电磁单头高背矮汤炉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2265B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C532F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85956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9315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288A9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6D657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487F9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7E5CE0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B393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3DDC5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28559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电磁双头单尾小炒炉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2CFA8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4FC81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04C9E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B26A5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4655C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6509D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571F7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8E2C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BDD6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1D821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5E72B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4890E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5153C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CCDBAF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747DC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FBF45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BD74A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BBF3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99433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ABA76B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99F61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BA27E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10913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00865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76109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981A7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146285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7B6B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1F270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716401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炉拼台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D8DF5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E3D63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6650D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48987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3AEA3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E8DE6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824A8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0F5C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933EC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24D609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电磁双门蒸饭车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63472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9ACFC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2B371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F9163F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97355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341D8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EF493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D072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4398E7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售卖间</w:t>
            </w:r>
          </w:p>
        </w:tc>
      </w:tr>
      <w:tr w14:paraId="7FC48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4902C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5DC280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E25D1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A39F1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1A5C4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25E7FD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8F046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E483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6559D0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8764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0601A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13CF36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2D91F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80A83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A06A0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F0911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BF6F4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7AD7C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F85F5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935E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8441D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副食库/二级库</w:t>
            </w:r>
          </w:p>
        </w:tc>
      </w:tr>
      <w:tr w14:paraId="26DD9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397D2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11AF55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四层平板货架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9548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5DF13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61018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DEBAC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D98F0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65E7C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361309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5BC9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32A17D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面点间</w:t>
            </w:r>
          </w:p>
        </w:tc>
      </w:tr>
      <w:tr w14:paraId="575D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0B98F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857C7B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8F96A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6E89C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520144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62AE43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A49AC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68351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28B27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C46A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DDBCC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EFC088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三层六盘不锈钢烤箱</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0CA36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A203A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77E12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12867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1FF19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B1586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A61E1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749886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A756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107F7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080E69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风冷双温四门高身柜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56719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E8F4E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82981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11951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C7F56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D0EFB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8437A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5A0E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p>
        </w:tc>
      </w:tr>
      <w:tr w14:paraId="6E877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BEB98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48475A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不锈钢双门发酵箱</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893D5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63C43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DA6CC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C9C02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F0439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27FEB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122A0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A5C1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400B5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8E0A1E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压面机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6EE6F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4B9BF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D5C47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8760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9E841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A7E89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72025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AC4375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902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A6873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8BCCCF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B30数控定时调速 搅拌机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67B09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AE2F4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5F039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15540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71A5F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67734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A1274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E14BC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3531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D9B89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E9C244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双动和面机 </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75106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245C0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C941E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20184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8421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ADDD2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031F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53C288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8BCB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6D96E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59C6D5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755CB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C30C0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B79BA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92D75A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7BAA2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84F8D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79173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401D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2465F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5C334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C6CE5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F6690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65810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8C5E7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80317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1703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4513D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2C21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B93A8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B1CAD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十二盆饼车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81A2D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92DBB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21449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4C584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D4F66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B003F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45921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9AAB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B735E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95472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电饼铛</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98800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C1D04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8529B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B3D8E7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B8567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5B2ED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CBEFED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C0AD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B54E6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4E3453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电磁双门蒸饭车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A7940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187FC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56CBF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00688D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5CFA6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B99A4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EE9E0F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6E5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8B2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93</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0964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包边木案工作台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61921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B4E2D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9125D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B7F3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B6D12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F571E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9CC49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A90F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2D396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8FB1D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面粉车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AAC6D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74566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80D3C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315A9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F8644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A66F0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D6DE8B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2744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0E79D1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主食库</w:t>
            </w:r>
          </w:p>
        </w:tc>
      </w:tr>
      <w:tr w14:paraId="4B132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813B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95</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606C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米面架</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C78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932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0DFFB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FD1EF2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D129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8A007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9520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3399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0165FA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一楼洗碗间</w:t>
            </w:r>
          </w:p>
        </w:tc>
      </w:tr>
      <w:tr w14:paraId="548A0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CDE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4A308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双孔收餐工作台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6BB8D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DCBB8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E0C7F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8EB3A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BDFE4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23E5A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82E07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C916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64C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10DF61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紫外线消毒灯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BDB81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7D128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4DAA58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96B83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85250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F4F8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780FF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E1D9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9A38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07001B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长龙洗碗机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B8F2C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C9F91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032C1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140200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B59C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E59E5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CE4E5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FB719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7D18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AB6D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6E5F75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普通式油网烟罩</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728D8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83819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FED72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5855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57E092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AD267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2FD96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EC0C3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19DA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889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8FBD0B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39C56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DA5DE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4D8C6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2E3AE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F7CA7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DF6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0A6A6B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44A4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2E9EC5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餐具消毒间</w:t>
            </w:r>
          </w:p>
        </w:tc>
      </w:tr>
      <w:tr w14:paraId="5354E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D3B99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E30E63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双门不锈钢门消毒柜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B9179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0D204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CC858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7206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79ECA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BCFDD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BB1C0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CBAB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064F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45AA0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一楼预进间</w:t>
            </w:r>
          </w:p>
        </w:tc>
      </w:tr>
      <w:tr w14:paraId="6AFAB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C5D11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CF7F3C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干手器</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EEA29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805F0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1EF08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78428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14D67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DD1ED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2D83F5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4E9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EF79E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5831C4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单星水池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5CBA9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4AD49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7A0D1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F4C5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C10B8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CE17F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7789C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56F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77C7B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一楼售卖间</w:t>
            </w:r>
          </w:p>
        </w:tc>
      </w:tr>
      <w:tr w14:paraId="3D1DF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7EECE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FED322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6793E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CE78C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317A4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C5568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6C8CF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7AFC7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A1560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BE9E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C233F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8F0F26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1721B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8BA88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5C96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92F42D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B7D39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C9B8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1BD34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EC5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0"/>
            <w:vAlign w:val="center"/>
          </w:tcPr>
          <w:p w14:paraId="4F7F3A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高低温冷库</w:t>
            </w:r>
          </w:p>
        </w:tc>
      </w:tr>
      <w:tr w14:paraId="569B7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0FCC8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CA15CB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高低温双机冷库</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87F1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7E9F4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D50D7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165000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8C1A04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B929A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2BFD2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1007E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E51B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0DB1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排烟管道/新风系统</w:t>
            </w:r>
          </w:p>
        </w:tc>
      </w:tr>
      <w:tr w14:paraId="41AAB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9FFFB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D7FB8A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不锈钢烟管(涵盖所有管道及弯头等异型管连接管）</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15F13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248CB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CBAF9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6EEB2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4D4C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0D046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D96060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3BF8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F9848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79EBC0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厨房新风制冷机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3B05F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39DB0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4DC8E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16465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43CFE7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21661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03F58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52F86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E748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B3F04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ABD45E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新风管道</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B9B86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550</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57F5F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FA1E5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8D496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AD36D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9A207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B1267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EEA6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8C7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71A5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11kw静音风柜</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BCA1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450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842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11091</w:t>
            </w:r>
          </w:p>
        </w:tc>
        <w:tc>
          <w:tcPr>
            <w:tcW w:w="11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4015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E507E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7545A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4E876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D4E9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EC2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6C6B2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18.5kw静音风柜</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B57A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779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35E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16419</w:t>
            </w:r>
          </w:p>
        </w:tc>
        <w:tc>
          <w:tcPr>
            <w:tcW w:w="11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0D26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40A4C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8531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208F3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BCC0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16ACD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229654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风机支架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52747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D5C06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06CE0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3101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BD2FF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151A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71B73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774A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90528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3C7B0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配件打胶费</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10D84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3E4FA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FF67C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16650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58B50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D0381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4F84B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75C07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472A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48248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36E7C1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不锈钢烟罩封墙板装饰板</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8E5BB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C944D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5024A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03FBE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FDE2B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7B44E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09ABCC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3F50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DECA6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941BBB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厨房灭火系统</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45167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FAD78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4AC79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15975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5AE8C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6F449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96F92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FFF8A4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26EC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0"/>
            <w:vAlign w:val="center"/>
          </w:tcPr>
          <w:p w14:paraId="7EEFB7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数字化运营管理平台</w:t>
            </w:r>
          </w:p>
        </w:tc>
      </w:tr>
      <w:tr w14:paraId="1E79E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3915F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0BAE00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智慧食堂管理软件</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DC88A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190EA0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17984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53262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E41C3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0128E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软件和信息技术服务业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378E4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98502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5EA6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CD91F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45BB20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移动管理端APP</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2792D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5CA5A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C6A4E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CF9AC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CE7E9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软件和信息技术服务业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5C590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9D7327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BD8F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651C4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0A5354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移动客户端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（小程序/公众号）</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317656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2F4C4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65764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B2F49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352D6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软件和信息技术服务业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B6902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EB06A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12CB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11952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141C30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云服务</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19B56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AE1CA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500人/年</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CAF3B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3B6283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FC898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软件和信息技术服务业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EE30F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75B4A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56C5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0"/>
            <w:vAlign w:val="center"/>
          </w:tcPr>
          <w:p w14:paraId="0122E0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管理中心设备</w:t>
            </w:r>
          </w:p>
        </w:tc>
      </w:tr>
      <w:tr w14:paraId="28F67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0B933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4A30A9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物理服务器</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E4E23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4610B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2D352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68223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307D4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C41C7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0CA46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507A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F8652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CE320E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电脑</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6AF126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07F43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975F0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6651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C7C83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3B60F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B01C2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A19200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2894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C41FC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019385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餐饮数据大屏</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7A024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63CC6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F8EF7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18861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487B2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E9AD1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E133B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250DB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属于节能产品</w:t>
            </w:r>
          </w:p>
        </w:tc>
      </w:tr>
      <w:tr w14:paraId="1CA2A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E1719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CABE72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智慧后厨可视化中心大屏</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5BDDE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0D6B9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4FFC3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18861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1968C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14038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615BF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889BA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属于节能产品</w:t>
            </w:r>
          </w:p>
        </w:tc>
      </w:tr>
      <w:tr w14:paraId="2FEE1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F8336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585A03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RFID读写器</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C37D8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E8E83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6386A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CD89B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0B97A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3FEC5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029D67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4DD5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4F34E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F4A93A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用户卡（白卡）</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80B31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1000</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EE4EE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126A0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F380D3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AB2DD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D6417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0835D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ED0B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612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智慧食堂设备</w:t>
            </w:r>
          </w:p>
        </w:tc>
      </w:tr>
      <w:tr w14:paraId="58BD9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15" w:type="dxa"/>
            <w:gridSpan w:val="3"/>
            <w:tcBorders>
              <w:top w:val="single" w:color="000000" w:sz="4" w:space="0"/>
              <w:left w:val="single" w:color="000000" w:sz="4" w:space="0"/>
              <w:bottom w:val="single" w:color="000000" w:sz="4" w:space="0"/>
              <w:right w:val="single" w:color="000000" w:sz="4" w:space="0"/>
            </w:tcBorders>
            <w:noWrap/>
            <w:vAlign w:val="center"/>
          </w:tcPr>
          <w:p w14:paraId="6BCC41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自选餐（小碗菜）</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EE0E82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AECED8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8403E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3A87D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8D512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6528F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71CF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3B1A4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AB6214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视觉识别智慧餐台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（人脸+刷卡+扫码）</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AC191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18AB4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CF8B1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70578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867109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91225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09CF2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49B7D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F2A7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B873F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2EAA00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台面式AI菜品注册机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978EE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DBA81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0E81F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AC033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FA437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FF021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3C6FF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9AC3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10F28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64375F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视觉识别服务器（含算法）</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379919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7A7B4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79189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21312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5DFF1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0EB00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6BFAB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06255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BACC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89195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DBB643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电子菜牌</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622337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75EAD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3B68C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7946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4DB88E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013E2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6B4AB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3D6EC1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80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3CBA5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BB7A6F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餐具（菜品）</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1EFF8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3000</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D604C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6BDB8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168CB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41809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D3B68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D2033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6415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5EE99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DD00B7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餐具（汤饭）</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BE1D6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2000</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51ED2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8F64D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D5F82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D330C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3126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D9C210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BFD4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200D02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消费机</w:t>
            </w:r>
          </w:p>
        </w:tc>
      </w:tr>
      <w:tr w14:paraId="3DE1E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00230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E29B3D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双屏消费机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（人脸识别+刷卡+扫码）</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2DD908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14E945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64E40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12700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7B112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704ED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A0B01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77FDB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138B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0B941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点餐叫号</w:t>
            </w:r>
          </w:p>
        </w:tc>
      </w:tr>
      <w:tr w14:paraId="1E2F9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13F722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115BF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小票打印机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2EDBAF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12E1E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D93D8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0DCDF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C76AB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32BD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BA084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0D9A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AE0DE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9BBA89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核销手持机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269C5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5DA4C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15CEE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A50E0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B12E4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FBFFC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B69C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755F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AC723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7775EA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4G流量卡（1年）</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68CD9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5FA51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BDD65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1A704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A82B4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8AE9B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5EA6BA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E2FA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58328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D8BD3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晨检机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F56B7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ABFF6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F0345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12867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7EE90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E040F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ADA5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E8A70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802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6200C3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食安监管</w:t>
            </w:r>
          </w:p>
        </w:tc>
      </w:tr>
      <w:tr w14:paraId="424D2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766DDB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D6BDF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智能单门留样柜</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8D71E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00354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DA319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19527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F6B65E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4D754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CC658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ECC85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589F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383EA0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C5BB7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留样称</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F31F0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C4727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B4664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10647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BE5725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3F578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667F3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2585F3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0936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DF2E6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E99B9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农残检测仪</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2034C9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D1431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61C09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13857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7EA4D9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9712E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D453C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C16652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F1A2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7F7D8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环境安全</w:t>
            </w:r>
          </w:p>
        </w:tc>
      </w:tr>
      <w:tr w14:paraId="62A80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2D83EA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A9297A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智能厨房网关</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6BC81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7BE43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AFF61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5439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92BBA2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F0330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CE203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B32A45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5AD5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E228B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6FD42C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温湿度传感器</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3D6C7D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2DA66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35655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0B9293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EE560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13AFB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086FB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F958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1F24CA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82D78E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烟雾检测器</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7423E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6A909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8E161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B3A7C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9E2FB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E4B08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A2C521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179D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59E415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厨房行为分析</w:t>
            </w:r>
          </w:p>
        </w:tc>
      </w:tr>
      <w:tr w14:paraId="191C4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0F3B97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D7D9DD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AI分析终端（16路）</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7AF638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B7181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46698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24411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6DF7BC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D3800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BB355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4D384D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4993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1A10BB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7CDCAE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16路硬盘录像机NVR</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（2盘位）</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63F112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5424C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E4D54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0C7650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9DE60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0E3B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7AE9B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AA80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36189B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3A73C6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6T硬盘</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394F40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BE4A7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78840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462FE7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CDAD7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4B7A9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4AA22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E71E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00BA8D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890A9B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摄像机（400万像素）-枪机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2CA81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9367E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10F57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0CED17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C2837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AD3C5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C3DB2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D9F2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51196A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4F709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24口POE交换机（千兆）</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965BC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032B1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55CD2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1526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374215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5C7BF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0570E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B8416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9BBD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23E704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CE882D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智能电子秤（AI版本+卡码脸+打印+蓄电池）</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5D15F0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5AA7F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7CD5F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15540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C10C8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726E1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4BFF7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111D06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2FB6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40421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F293D8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条码枪</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6733B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EC2F8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56C73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492D97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0822D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5F949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14C431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D7EE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21EF27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其他网络设备</w:t>
            </w:r>
          </w:p>
        </w:tc>
      </w:tr>
      <w:tr w14:paraId="19D67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68778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43F6C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机柜</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52EF73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D00F8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C4196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1295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3A244A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4B9A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83E6E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84695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8B2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232D68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1A1D87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24口千兆交换机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2D7EC1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BE4F2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E248D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94A50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90830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98123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EF466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0049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709A6A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D00F6A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智慧食堂运输及系统安装调试服务</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3DE18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F52FB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D78DE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8767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B8B1B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3F2E8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8E461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服务</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C2F5D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938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67373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一楼售卖间</w:t>
            </w:r>
          </w:p>
        </w:tc>
      </w:tr>
      <w:tr w14:paraId="02372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74723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189996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电热恒温暖饭车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9174F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39442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2F508F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7000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13DD09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EA3D8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ADA1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01594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FF25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84A8F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4AD398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电热十桶保温粥车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69F4E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FB3AD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DCADB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C179A8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9059E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CBFF3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56A6B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C3FE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D2D5E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9B934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电热煮面连汤炉（方孔）</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9A420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43C88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05B42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A5B02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E491C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DFA80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3F17A4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3EEB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E982A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A6D50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五格售饭柜连蒸菜柜带双层小碗菜放置架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4D260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59A1A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F1C4A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8039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09BA4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BA53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9FFCB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43AD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2E426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4D5096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98%净化效率油烟净化集成一体机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66C3A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B173B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62B0A8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91D4D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41ACC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539B6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95EA3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070E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308FFE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二楼售卖间</w:t>
            </w:r>
          </w:p>
        </w:tc>
      </w:tr>
      <w:tr w14:paraId="573B1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93724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087204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电热恒温暖饭车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7F38C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37C87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5EE2DF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7000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6AF77B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7CE0D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B506A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9F11C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8903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50652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319126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电热十桶保温粥车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0D2F2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68B4E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A77D2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1769AF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2BD69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6CC6F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0D2CEC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7CCB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F6CDF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DDB17D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电热煮面连汤炉（方孔）</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FC711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AE311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B3730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14DCC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A228A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D71ED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978CD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67A4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365EF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089C87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五格售饭柜连蒸菜柜带双层小碗菜放置架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E43AF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24B7B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3F12A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C052A6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D3602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41BC6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92710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10B0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B979C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FEE7E4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98%净化效率油烟净化集成一体机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EB2CC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F5B2F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7AAE1D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112ED2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AC6D2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71980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8B3DDD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bl>
    <w:p w14:paraId="0C3C40FE">
      <w:pPr>
        <w:adjustRightInd w:val="0"/>
        <w:snapToGrid w:val="0"/>
        <w:spacing w:line="264" w:lineRule="auto"/>
        <w:ind w:firstLine="480" w:firstLineChars="200"/>
        <w:outlineLvl w:val="1"/>
        <w:rPr>
          <w:rFonts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711045DD">
      <w:pPr>
        <w:adjustRightInd w:val="0"/>
        <w:snapToGrid w:val="0"/>
        <w:spacing w:line="264" w:lineRule="auto"/>
        <w:ind w:firstLine="480" w:firstLineChars="200"/>
        <w:outlineLvl w:val="2"/>
        <w:rPr>
          <w:rFonts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5FC9A18B">
      <w:pPr>
        <w:spacing w:line="264" w:lineRule="auto"/>
        <w:ind w:firstLine="480"/>
        <w:rPr>
          <w:rFonts w:ascii="黑体" w:hAnsi="黑体" w:eastAsia="黑体" w:cs="黑体"/>
          <w:color w:val="auto"/>
          <w:sz w:val="24"/>
          <w:szCs w:val="24"/>
          <w:highlight w:val="none"/>
        </w:rPr>
      </w:pPr>
      <w:r>
        <w:rPr>
          <w:rFonts w:hint="eastAsia" w:ascii="宋体" w:hAnsi="宋体" w:cs="宋体"/>
          <w:bCs/>
          <w:color w:val="auto"/>
          <w:sz w:val="24"/>
          <w:szCs w:val="24"/>
          <w:highlight w:val="none"/>
        </w:rPr>
        <w:t>1.产品技术指标</w:t>
      </w:r>
    </w:p>
    <w:tbl>
      <w:tblPr>
        <w:tblStyle w:val="36"/>
        <w:tblW w:w="10790" w:type="dxa"/>
        <w:jc w:val="center"/>
        <w:tblLayout w:type="fixed"/>
        <w:tblCellMar>
          <w:top w:w="0" w:type="dxa"/>
          <w:left w:w="108" w:type="dxa"/>
          <w:bottom w:w="0" w:type="dxa"/>
          <w:right w:w="108" w:type="dxa"/>
        </w:tblCellMar>
      </w:tblPr>
      <w:tblGrid>
        <w:gridCol w:w="664"/>
        <w:gridCol w:w="2012"/>
        <w:gridCol w:w="8114"/>
      </w:tblGrid>
      <w:tr w14:paraId="1C2A513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EA7BFF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sz w:val="24"/>
                <w:szCs w:val="24"/>
                <w:highlight w:val="none"/>
              </w:rPr>
            </w:pPr>
            <w:r>
              <w:rPr>
                <w:rFonts w:ascii="宋体" w:hAnsi="宋体" w:cs="宋体"/>
                <w:b/>
                <w:bCs/>
                <w:color w:val="auto"/>
                <w:sz w:val="24"/>
                <w:szCs w:val="24"/>
                <w:highlight w:val="none"/>
                <w:lang w:bidi="ar"/>
              </w:rPr>
              <w:t>序号</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131DF9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sz w:val="24"/>
                <w:szCs w:val="24"/>
                <w:highlight w:val="none"/>
              </w:rPr>
            </w:pPr>
            <w:r>
              <w:rPr>
                <w:rFonts w:ascii="宋体" w:hAnsi="宋体" w:cs="宋体"/>
                <w:b/>
                <w:bCs/>
                <w:color w:val="auto"/>
                <w:sz w:val="24"/>
                <w:szCs w:val="24"/>
                <w:highlight w:val="none"/>
                <w:lang w:bidi="ar"/>
              </w:rPr>
              <w:t>产品名称</w:t>
            </w:r>
          </w:p>
        </w:tc>
        <w:tc>
          <w:tcPr>
            <w:tcW w:w="8114" w:type="dxa"/>
            <w:tcBorders>
              <w:top w:val="single" w:color="000000" w:sz="4" w:space="0"/>
              <w:left w:val="single" w:color="000000" w:sz="4" w:space="0"/>
              <w:bottom w:val="single" w:color="000000" w:sz="4" w:space="0"/>
              <w:right w:val="single" w:color="000000" w:sz="4" w:space="0"/>
            </w:tcBorders>
            <w:noWrap w:val="0"/>
            <w:vAlign w:val="center"/>
          </w:tcPr>
          <w:p w14:paraId="0FDD7A7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Arial" w:hAnsi="Arial" w:cs="Arial"/>
                <w:b/>
                <w:bCs/>
                <w:color w:val="auto"/>
                <w:sz w:val="24"/>
                <w:szCs w:val="24"/>
                <w:highlight w:val="none"/>
              </w:rPr>
            </w:pPr>
            <w:r>
              <w:rPr>
                <w:rFonts w:ascii="宋体" w:hAnsi="宋体" w:cs="宋体"/>
                <w:b/>
                <w:bCs/>
                <w:color w:val="auto"/>
                <w:sz w:val="24"/>
                <w:szCs w:val="24"/>
                <w:highlight w:val="none"/>
                <w:lang w:bidi="ar"/>
              </w:rPr>
              <w:t>功能、性能、配置要求不低于以下要求</w:t>
            </w:r>
          </w:p>
        </w:tc>
      </w:tr>
      <w:tr w14:paraId="602813E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69D1CB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A2BAFA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灭蚊灯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CAB1F0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1.尺寸：400*120*170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.工作方式：粘捕式；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.额定功率：0.008KW；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.覆盖面积：30-50㎡；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.灯管：1*8w灯管；</w:t>
            </w:r>
          </w:p>
        </w:tc>
      </w:tr>
      <w:tr w14:paraId="0E9EAB3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859165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09A163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定制不锈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钢保洁消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毒柜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0BD00B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尺寸：1380*680*1800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.面板材质：不锈钢内外胆，整体发泡。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.消毒方式：高温消毒定制拖把架及工具格。</w:t>
            </w:r>
          </w:p>
        </w:tc>
      </w:tr>
      <w:tr w14:paraId="503BCAD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02A421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2D8B90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p>
          <w:p w14:paraId="4BEB87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870B12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1F9EAA9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4829CB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0D3558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67847C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w:t>
            </w:r>
            <w:r>
              <w:rPr>
                <w:rFonts w:hint="eastAsia" w:ascii="宋体" w:hAnsi="宋体" w:cs="宋体"/>
                <w:color w:val="auto"/>
                <w:sz w:val="22"/>
                <w:highlight w:val="none"/>
                <w:lang w:bidi="ar"/>
              </w:rPr>
              <w:t>尺寸：1200*760*800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1B11C7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E0E9EC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73DE21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C9BADF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尺寸：1200*500*1500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.整体采用SUS不锈钢制作，平板厚度1.5mm；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.立柱采用38×38×1.5mm厚不锈钢方管；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.配不锈钢可调子弹脚。</w:t>
            </w:r>
          </w:p>
        </w:tc>
      </w:tr>
      <w:tr w14:paraId="1F129AE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A1C5D9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8C74A7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CBD3FF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尺寸：1200*500*1500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.整体采用SUS不锈钢制作，平板厚度1.5mm；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.立柱采用38×38×1.5mm厚不锈钢方管；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.配不锈钢可调子弹脚。</w:t>
            </w:r>
          </w:p>
        </w:tc>
      </w:tr>
      <w:tr w14:paraId="18758FA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3BFD25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25EBE8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90A42D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.星盆斗厚1.2mm，星盆斗尺寸：1600*500*280mm，配置提篮式不锈钢下水器；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34BC6D1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A385A3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CA6D67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四层冲孔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9F0873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1.尺寸：1200*500*1550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.冲孔层板厚1.5mm；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.立柱采用φ48mm，1.5mm厚不锈钢圆管；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.配不锈钢可调子弹脚。</w:t>
            </w:r>
          </w:p>
        </w:tc>
      </w:tr>
      <w:tr w14:paraId="44093FC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E84602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DE8A44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FA9F59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5B8A9F0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6767A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8F8A66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电热开水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器连底座</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E310DA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尺寸：605*535*1500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.功率：6KW；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.电压：220V/380V；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.容量：42L。</w:t>
            </w:r>
          </w:p>
        </w:tc>
      </w:tr>
      <w:tr w14:paraId="42812F3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76938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743E2A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4719F6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342B1D1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5781B7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359E9C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四层冲孔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06EEA5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1.尺寸：1200*500*1550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.冲孔层板厚1.5mm；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.立柱采用φ48mm，1.5mm厚不锈钢圆管；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.配不锈钢可调子弹脚。</w:t>
            </w:r>
          </w:p>
        </w:tc>
      </w:tr>
      <w:tr w14:paraId="1202FC6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3AD1F7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20DD1B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79CD6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1.尺寸：1400*760*800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3F6407E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D16552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752BA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9BB5F6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2DEDCF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1AF035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B13CBD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绞切肉机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EFD1CD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1.尺寸：509*390*750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.电源（V）：220/380；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.功率（kw）：1.1；</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.机重（kg）：73；</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.外形尺寸（mm）：500*390*750；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.转速（rpm）：473；</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.刀片间距（mm）：ф62。</w:t>
            </w:r>
          </w:p>
        </w:tc>
      </w:tr>
      <w:tr w14:paraId="33CF60B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941375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F225FD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2D8B8B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0E164D5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9B82EC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54EEEA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食材净化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621C2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1.尺寸：325*85*500mm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.五谷最大净化时间≤12min；肉类最大净化时间≤15min；水产最大净化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时间≤15min；餐具最大净化时间≤15min；果蔬最大净化时间≤10min。</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.采用壁挂式，额定电压220V-240V，功率：≤700W；220V电源即插即用；可直接利用常规的洗菜池，减少能源费用和厨房占地面积；操作简单，使用过程中没有其它耗材且不需要太多人工维护成本。</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.水产类食材样品经设备运行4分钟后，恩诺沙星分解率≥99.5%；供</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应商需在投标文件中提供具有CMA标识的检测报告的扫描件并加盖送检方公章（检测报告应能体现食材样品的名称、食材净化时间以及净化前</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后对比的报告和数据）；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依据GB/T 20769-2008标准，蔬菜类食材样品经设备运行4分钟后，多菌灵分解率≥99.5%；供应商需在投标文件中提供具有CMA标识的检测报告的复印件并加盖送检方公章（检测报告应能体现食材样品的名称、食材净化时间以及净化前后对比的报告和数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.依据GB/T 20756-2006标准，肉类食材样品经设备运行4分钟后，氟苯尼考分解率≥99.5%；供应商需在投标文件中提供具有CMA标识的检测报告的复印件并加盖送检方公章（检测报告应能体现食材样品的名称、食材净化时间以及净化前后对比的报告和数据）</w:t>
            </w:r>
          </w:p>
        </w:tc>
      </w:tr>
      <w:tr w14:paraId="05694B0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5790BC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3D0287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多功能脱</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水脱油机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8E3066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1.尺寸：860*560*950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.功率：1.5KW；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.电源：220V/380V；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.适应产品：油炸食品、调理品、果蔬脆片、蔬菜水果；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.功能：离心脱水、离心脱油。</w:t>
            </w:r>
          </w:p>
        </w:tc>
      </w:tr>
      <w:tr w14:paraId="3428F47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054AF8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693361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毛刷清洗</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脱皮机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7D6B9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1.尺寸：900*700*1100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.毛刷丝，可通过不同方向喷淋；</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3.不锈钢全部采用304食品级；</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.产量300kg/H。</w:t>
            </w:r>
          </w:p>
        </w:tc>
      </w:tr>
      <w:tr w14:paraId="65FC81E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CBA573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935C48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多功能切</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菜机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1FC988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.尺寸：1260*600*1300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.产能：1000kg/h；</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.适合各种软硬的根茎叶类蔬菜和海带的加工；</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.可切制成片、块、丝、丁、菱形、曲线型等多种样式。</w:t>
            </w:r>
          </w:p>
        </w:tc>
      </w:tr>
      <w:tr w14:paraId="1E55E7E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C03AE4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335387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11FAA4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7D7EA66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320B89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FED0EA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913093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16C83EC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87FBB4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7618E4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60EC11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尺寸：4800*1300*960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.综合净化率99%</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.设备可根据现场情况选配自带变频功能，档位可选择调节，依据声环境质量标准GB12348-2008，满足噪声≤60分贝。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.可触摸屏设计：触摸屏可手势启动、一键启动及分别控制各功能启停，具有净化、照明、时钟、等功能显示、</w:t>
            </w:r>
          </w:p>
          <w:p w14:paraId="4879B7A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所投油烟净化设备厂家拥有：《环境标志（II型）产品核证证书》且拥有《中国环境保护产品认证证书》【证书均需体现以下内容：12000≤风量（m³/h）≤20000】。(证书需体现其净化原理"静电复合式"名称证书的相应复印件并附网络查询截图）</w:t>
            </w:r>
          </w:p>
          <w:p w14:paraId="16C9114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、所投油烟净化设备厂家拥有：依据GB/T 2423.4-2008《电工电子产品环境试验第2部分:试验方法试验Db:交变湿热(12h+12h循环)》；《油烟净化一体机技术条件》（判定依据），按GB/T 2423.4-2008中的方法进行:  a)油烟净化一体机(含主机、设备电源、控制面板、风机等)在≥53℃、≥92%RH湿热环境下保持≥12h后，再在 ≥25℃、≥95%RH湿热环境下保持≥12h;  b)循环≥5次(共≥143h);试验结束在常温环境下恢复2h，通电检查应正常工作的检验检测报告。（提供相应复印件并附国家认监委查询截图）</w:t>
            </w:r>
          </w:p>
          <w:p w14:paraId="0E3895C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、所投油烟净化设备厂家拥有为本项目提供的安装工作人员具有《环境保护设施运行人员技能培训合格证书》（投标时提供相应复印件并附官网查询截图）</w:t>
            </w:r>
          </w:p>
        </w:tc>
      </w:tr>
      <w:tr w14:paraId="28DEE95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B7E3D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075664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A63157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21475DB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4ACF8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208325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C349CD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5C119A8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62AD2E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66BC2A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四头煲仔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0AC3EA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.尺寸：900*900*800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.电磁感应加热，聚能线圈盘设计。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.高强度独立微晶面板，耐冷热冲，耐磨损，耐撞击。</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.材质：304不锈钢台面厚1.5mm，经久耐用。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.面板：耐撞击高密度微晶面板，坚固耐用。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.立体三防结构设计，防水、防油烟、防虫。</w:t>
            </w:r>
          </w:p>
        </w:tc>
      </w:tr>
      <w:tr w14:paraId="630F898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26976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673E22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三门海鲜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蒸柜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B98CC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.尺寸：1000*900*1900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.电磁感应加热；</w:t>
            </w:r>
          </w:p>
          <w:p w14:paraId="2C3678F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.一体成型柜体设计；</w:t>
            </w:r>
          </w:p>
          <w:p w14:paraId="494B369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.材质：全</w:t>
            </w:r>
            <w:r>
              <w:rPr>
                <w:rFonts w:hint="eastAsia" w:ascii="宋体" w:hAnsi="宋体" w:cs="宋体"/>
                <w:color w:val="auto"/>
                <w:sz w:val="22"/>
                <w:highlight w:val="none"/>
                <w:lang w:val="en-US" w:eastAsia="zh-CN" w:bidi="ar"/>
              </w:rPr>
              <w:t>不锈钢机身</w:t>
            </w:r>
            <w:r>
              <w:rPr>
                <w:rFonts w:hint="eastAsia" w:ascii="宋体" w:hAnsi="宋体" w:cs="宋体"/>
                <w:color w:val="auto"/>
                <w:sz w:val="22"/>
                <w:highlight w:val="none"/>
                <w:lang w:bidi="ar"/>
              </w:rPr>
              <w:t>，SUS304不锈钢精铸门合页铰链，坚固耐用。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.液体膨胀式干烧保护系统。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.CKC缺水保护系统，避免水箱缺水导致设备故障。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.自锁防拉出层架轨道设计，防止误操作。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.内腔无焊点处理，不生锈。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0</w:t>
            </w:r>
            <w:r>
              <w:rPr>
                <w:rFonts w:hint="eastAsia" w:ascii="宋体" w:hAnsi="宋体" w:cs="宋体"/>
                <w:color w:val="auto"/>
                <w:sz w:val="22"/>
                <w:highlight w:val="none"/>
                <w:lang w:bidi="ar"/>
              </w:rPr>
              <w:t>.功率：30kw/380V。</w:t>
            </w:r>
          </w:p>
        </w:tc>
      </w:tr>
      <w:tr w14:paraId="294195A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41A687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2F11C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6C34CC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1.尺寸：3200*1300*960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.设备可根据现场情况选配自带变频功能，档位可选择调节，依据声环境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质量标准GB 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0249597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AD5C1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16012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蒸饭车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716B4C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bidi="ar"/>
              </w:rPr>
              <w:t>尺寸：1150*840*1650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.一体成型柜体设计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低水位保护系统，水位精确控制</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.安全可靠、更耐用：液体膨胀式干烧保护系统，产品使用寿命更长；整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机三防设计，IPX4防水等级；脚踏机械式排水，更加方便、可靠；可清</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洁式主副水箱设计，更卫生、蒸品口感佳；内置溢流保护系统，避免因为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元器件失效而产生烫伤、触电等安全隐患发生。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.功率：24kw/380v。</w:t>
            </w:r>
          </w:p>
        </w:tc>
      </w:tr>
      <w:tr w14:paraId="12F939E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FE8EC1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16B9D9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A1221B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.设备可根据现场情况选配自带变频功能，档位可选择调节，依据声环境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质量标准GB 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30B6FBA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7646F5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DAA59B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D5E42A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1.尺寸：7200*1300*960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.设备可根据现场情况选配自带变频功能，档位可选择调节，依据声环境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质量标准GB 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17D255A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94BED0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F608FC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炉拼台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912A72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1.尺寸：300*1200*800+450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.不锈钢磨砂板，面板1.5mm、侧板1.2mm；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.不锈钢后挡炉背板；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.横通采用不锈钢管连接，立管采用不锈钢管连，底座配置可调节高度子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弹脚。</w:t>
            </w:r>
          </w:p>
        </w:tc>
      </w:tr>
      <w:tr w14:paraId="12628F3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5334C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491FC7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F1C56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.尺寸：1100*800*800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5E79F27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03ADB1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8DCE54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FFCC4E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0D019C9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E698CF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424CB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大锅灶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8F132A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1.尺寸：2100*1200*800+450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.明火仿真加热技术。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.材质：全SUS不锈钢加厚机身，耐腐蚀，经久耐用。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.水龙头：配备SUS304不锈钢摇摆水龙头，可以180度旋转，安全防漏。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.把手：9档火力调节，人机工效学设计，合金材质火力调节把手搭配硅</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胶防滑垫直接，用膝盖控制。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.显示屏：LED彩色数码显示屏，能实时显示功率和当前火力档位，火力调控更加直观。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7.防水：IPX6标准防水设计，清洁时可直接冲洗，台面无死角，不会藏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污纳垢。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8.立体三防结构设计，防水、防油烟、防虫。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9.搭载磁电引擎技术，机芯稳定性高，适应各种复杂的厨房环境。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10.耐高温齿形线盘组件，搭配高效聚能稀土磁条，场分布均匀，不偏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火、不烧线盘。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11.全封闭机芯，喇叭形散热风道设计，散热速度快。电子器件与风道完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全隔离，避免油烟、水汽侵蚀电路。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12.功率:20KW*2/380V。</w:t>
            </w:r>
          </w:p>
        </w:tc>
      </w:tr>
      <w:tr w14:paraId="4260350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340BE3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12B6B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8C8FAA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23FF526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0B9D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37</w:t>
            </w:r>
          </w:p>
        </w:tc>
        <w:tc>
          <w:tcPr>
            <w:tcW w:w="2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D1C4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矮汤炉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4C172B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1.尺寸：1400*900*530+720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.超大加热面积，火候表现均匀稳定。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.大面积平底齿形线盘模块，实现锅底全尺寸加热，加热更均匀。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.炉面缓压设计，承重固定更稳，减缓桶底与炉面之间的压力。</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.加厚微晶板，采用柔性固定及下沉设计，有效防止冲击导致微晶板破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裂，更加坚固耐用。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.材质：全SUS304不锈钢加厚机身，耐腐蚀，经久耐用。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.水龙头：配备SUS304不锈钢摇摆水龙头，可以180度旋转，安全防漏。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.面板：6mm耐撞击高密度微晶面板，坚固耐用。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.把手：5档火力调节，人机工效学设计，合金材质火力调节把手搭配硅</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胶防滑垫，档位清晰操控感好，适应厨师使用习惯。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10</w:t>
            </w:r>
            <w:r>
              <w:rPr>
                <w:rFonts w:hint="eastAsia" w:ascii="宋体" w:hAnsi="宋体" w:cs="宋体"/>
                <w:color w:val="auto"/>
                <w:sz w:val="22"/>
                <w:highlight w:val="none"/>
                <w:lang w:bidi="ar"/>
              </w:rPr>
              <w:t>.显示屏：LED彩色数码显示屏，能实时显示功率和当前火力档位，火力调控更加直观。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.防水：IPX6标准防水设计，清洁时可直接冲洗，台面无死角，不会藏污纳垢。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.搭载磁电引擎技术，机芯稳定性高，适应各种复杂的厨房环境。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.耐高温齿形线盘组件，搭配高效聚能稀土磁条，创新导风散热结构，</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磁场分布均匀，发热低、损耗小、不偏火、不烧线盘。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.全封闭机芯，喇叭形散热风道设计，散热速度快。电子器件与风道完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全隔离，避免油烟、水汽侵蚀电路。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.功率:15kw/380V。</w:t>
            </w:r>
          </w:p>
        </w:tc>
      </w:tr>
      <w:tr w14:paraId="72C135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A6B1B9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15F83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灭蚊灯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B8B40B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1.尺寸：400*120*170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.工作方式：粘捕式；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.额定功率：0.008KW；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.覆盖面积：30-50㎡；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.灯管:1*8w灯管；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.外壳材质：ABS阻燃材质。</w:t>
            </w:r>
          </w:p>
        </w:tc>
      </w:tr>
      <w:tr w14:paraId="1C491BD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2DABA5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E83F5F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47DB18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.设备可根据现场情况选配自带变频功能，档位可选择调节，依据声环境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质量标准GB 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015B785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3F52F6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52BCD5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00F145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1.尺寸：2400*1300*960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.设备可根据现场情况选配自带变频功能，档位可选择调节，依据声环境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质量标准GB 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20DC756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11828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770BEA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四层冲孔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9A6DF4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1.尺寸：1200*500*1550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.冲孔层板厚1.5mm；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.立柱采用φ48mm，1.5mm厚不锈钢圆管；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.配不锈钢可调子弹脚。</w:t>
            </w:r>
          </w:p>
        </w:tc>
      </w:tr>
      <w:tr w14:paraId="05088C1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6A08F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9D190F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炉拼台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212BEC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1.尺寸：300*1000*800+450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.不锈钢磨砂板，面板1.5mm、侧板1.2mm；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.横通采用不锈钢管连接，立管采用不锈钢管连接可调节高度子弹脚。</w:t>
            </w:r>
          </w:p>
        </w:tc>
      </w:tr>
      <w:tr w14:paraId="326E669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B5C51F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2CF1E9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单尾小炒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631343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1.尺寸：1800*1000*800+450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.材质：全SUS304不锈钢加厚机身，耐腐蚀，经久耐用。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.水龙头：配备SUS304不锈钢摇摆水龙头，可以180度旋转，安全防漏。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.面板：耐撞击高密度弧形微晶面板，坚固耐用。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.把手：5档火力调节，人机工效学设计，合金材质火力调节把手搭配硅</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胶防滑垫，档位清晰控感好，适应厨师使用习惯，可直接用膝盖控制。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.显示屏：LED彩色数码显示屏，能实时显示功率和当前火力档位，火力调控更加直观。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.防水：IPX6标准防水设计，清洁时可直接冲洗，台面无死角，不会藏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污纳垢。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.立体三防结构设计，防水、防油烟、防虫。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.功率：15KW*2/380V。</w:t>
            </w:r>
          </w:p>
        </w:tc>
      </w:tr>
      <w:tr w14:paraId="729E53D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104C6C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95F218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风冷双温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四门高身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EC834C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尺寸：1220x750x1960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.不锈钢板材；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.全铜管冷凝器、蒸发器；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.采用环戊烷发泡剂发泡；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.平台柜采用“前吸风、前排风”设计，可配挡水板；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.电压：220V/50HZ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.制冷温度范围：冷冻：-18~-10℃冷藏：-6~12℃保鲜。</w:t>
            </w:r>
          </w:p>
          <w:p w14:paraId="308A3C3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▲8、所使用不锈钢板符合GB/T 26572-2011《电子电气产品中限用物质的限量要求》及GB4806.9-2023《食品安全国家标准 食品接触用金属材料及制品》标准要求，并出具具有CMA、CNAS资质的第三方检测报告；                                                          </w:t>
            </w:r>
          </w:p>
          <w:p w14:paraId="0687740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▲9、因门封条与食品经常接触，要求所使用门封条板符合GB4806.7-2023《食品安全国家标准 食品接触用塑料材料及制品》标准要求，并出具具有CMA、CNAS资质的第三方检测报告；                                                                                                      </w:t>
            </w:r>
          </w:p>
          <w:p w14:paraId="61F5188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▲10、产品所用发泡料符合B1防火等级，并出具具有CMA、CNAS资质的第三方检测报告；                                                                                     </w:t>
            </w:r>
          </w:p>
          <w:p w14:paraId="353945E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▲11、为提高加热管使用寿命，所使用加热管为SUS321材质，符合GB/T20878-2007标准要求,镍含量&gt;9%，并出具具有CMA资质的第三方检测报告；</w:t>
            </w:r>
          </w:p>
        </w:tc>
      </w:tr>
      <w:tr w14:paraId="2EB90DD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A196EF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830036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C543C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1.尺寸：1600*800*800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4FD28F4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08A007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F6BCC4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F3C8BA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24AFC1F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BFB5DF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8E79E1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E901C0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509F5F0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86EDA0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4BC03C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餐厨垃圾</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处理器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5BE4E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尺寸：1500×800×1430mm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.外形尺寸：1500×800×1430mm；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.处理量：600Kg/h；</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.电源要求：380V/50Hz/3N；</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.功率：3.5kw；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.整机重量：400Kg；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.进水口：6分（DN20)；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.排水口：1.5寸（DN40)；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.所投食物残渣处理机依据GB/T 4208-2017、GB/T 2423.16-2022、</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GB/T 17626.2-2018、GB/T 17626.5-2019等标准对控制柜外壳/水泵防护等级（IP69）、静电放电抗扰度（对接触放电、空气放电、间接放电对金属部件、绝缘部件、人体感应开关、水平和垂直耦合面）、浪涌(冲击)抗扰度试验（浪涌次数：每相位施加正、负极性各5次的浪涌脉冲，合计40次）、中性盐雾试验（NSS）（试验温度：35℃,氯化钠溶液浓度：5%，溶液pH值：6.8，盐雾沉降率：1.5mL/80cm2*h，试验时间：360h）、防霉等级（黑曲霉、土曲霉、绿色木霉、绳状青霉、球毛壳霉、宛氏拟青霉、短帚霉0级）等进行检测，检测结果均为合格，报告带有CMA中国认可标记，报告可在国家认证认可监督管理委员会官网（www.cnca.gov.cn）查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10</w:t>
            </w:r>
            <w:r>
              <w:rPr>
                <w:rFonts w:hint="eastAsia" w:ascii="宋体" w:hAnsi="宋体" w:cs="宋体"/>
                <w:color w:val="auto"/>
                <w:sz w:val="22"/>
                <w:highlight w:val="none"/>
                <w:lang w:bidi="ar"/>
              </w:rPr>
              <w:t>.所投商用洗碗机、餐具传送机（输送带）、食物残渣处理机用不锈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钢板，对不锈钢板材的覆层及覆层焊缝分别进行检测，依据GB/T 17899-2023、GB/T 40393-2021、GB/T 39534-2020、GB/T 4334-2020、GB/T 2423.18-2021标准，对不锈钢板材进行中性交变盐雾氯化纳试验，试验时间为360小时，试验后样品无锈蚀、穿孔、裂纹、点蚀腐蚀现象，锈蚀等级参照GB/T 6461-2002标准，保护评级至少达到10级。提供由中国质量认证中心出具的检测报告，报告带有CMA中国认可标记，报告可在国家认证认可监督管理委员会官网（www.cnca.gov.cn）查询。</w:t>
            </w:r>
          </w:p>
          <w:p w14:paraId="5C4ACD7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val="en-US" w:bidi="ar"/>
              </w:rPr>
            </w:pP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11所投设备配件专业水泵依据GB/T 3216-2016《回转动力泵水力性能验收试验1级、2级和3级》、JB/T 9804-2014《微型泵》标准进行性能、温升等核心项目检测，水泵性能经多流量点测试各项参数均达标，定子绕组实测温升57.6K（≤80K 限值），提供检测合格的报告，报告内附样品实拍图片。报告需带有CMA、ilac-MRA、CNAS中国认可国际互认检测标识。</w:t>
            </w:r>
          </w:p>
        </w:tc>
      </w:tr>
      <w:tr w14:paraId="4CE7764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648CB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91CFF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紫外线消毒灯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D48423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1.尺寸：920*130*80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.电压:220V；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.功率:40W。</w:t>
            </w:r>
          </w:p>
        </w:tc>
      </w:tr>
      <w:tr w14:paraId="7544CB5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3AC939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5E6606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7CB7FD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56B528D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4DD5C8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1AD999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长龙洗碗机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61962C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尺寸：4400*990*2050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.整套长龙式洗碗机组成有：入口区、预洗区、主区洗、喷淋区烘干区、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出口区；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.洗涤量：6400碟/小时；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.所投洗碗机生产厂家依据GB/T 4706.50-2024标准的要求获得节水产品认证证书，认证模式为：初始工厂检查+产品抽样检测+获证后监督，产品符合《节水产品认证实施规则--商用电动洗碗机》XHRZ-GZ-J-11-15-0，提供有效期内的“节水产品认证证书”，证书可在国家认证认可监督管理委员会官网（www.cnca.gov.cn）查询并有效。</w:t>
            </w:r>
          </w:p>
          <w:p w14:paraId="3B85619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.所投洗碗机生产厂家生产的洗碗机产品中与食品接触用的内壁、主洗臂、漂洗臂/堵头、加热管、输送管路的杂质元素迁移量、合金元素迁移量优于GB 4806.9-2023《食品安全国家标准食品接触用金属材料及制品》试验要求。产品符合CQC 51-020304-2024认证规则及GB/T 24021-2024/ISO14021：2016的要求，由中国质量认证中心提供有效期内的“环保（II型）产品认证证书”，证书可在国家认证认可监督管理委员会官网（www.cnca.gov.cn）查询并有效。</w:t>
            </w:r>
          </w:p>
        </w:tc>
      </w:tr>
      <w:tr w14:paraId="6D19A12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44B0AA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EB9817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双门不锈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钢门消毒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015AD3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尺寸：13</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0*</w:t>
            </w:r>
            <w:r>
              <w:rPr>
                <w:rFonts w:hint="eastAsia" w:ascii="宋体" w:hAnsi="宋体" w:cs="宋体"/>
                <w:color w:val="auto"/>
                <w:sz w:val="22"/>
                <w:highlight w:val="none"/>
                <w:lang w:val="en-US" w:eastAsia="zh-CN" w:bidi="ar"/>
              </w:rPr>
              <w:t>70</w:t>
            </w:r>
            <w:r>
              <w:rPr>
                <w:rFonts w:hint="eastAsia" w:ascii="宋体" w:hAnsi="宋体" w:cs="宋体"/>
                <w:color w:val="auto"/>
                <w:sz w:val="22"/>
                <w:highlight w:val="none"/>
                <w:lang w:bidi="ar"/>
              </w:rPr>
              <w:t>0*1</w:t>
            </w:r>
            <w:r>
              <w:rPr>
                <w:rFonts w:hint="eastAsia" w:ascii="宋体" w:hAnsi="宋体" w:cs="宋体"/>
                <w:color w:val="auto"/>
                <w:sz w:val="22"/>
                <w:highlight w:val="none"/>
                <w:lang w:val="en-US" w:eastAsia="zh-CN" w:bidi="ar"/>
              </w:rPr>
              <w:t>95</w:t>
            </w:r>
            <w:r>
              <w:rPr>
                <w:rFonts w:hint="eastAsia" w:ascii="宋体" w:hAnsi="宋体" w:cs="宋体"/>
                <w:color w:val="auto"/>
                <w:sz w:val="22"/>
                <w:highlight w:val="none"/>
                <w:lang w:bidi="ar"/>
              </w:rPr>
              <w:t>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.功率：4.6KW/220V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.本机采用加厚不锈钢内外柜体，全不锈钢，六面加厚发泡保温节能。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.拥有变频升温技术，可有效节能。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.使用不锈钢加热叶轮，防水、防锈、经久耐用。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.智能触摸屏控制，拥有定时、定温、预约消毒等功能。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.容积：810L。</w:t>
            </w:r>
          </w:p>
          <w:p w14:paraId="4A55EAA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产品在满载的状态下作用90min，机器每层的测试点对肠道病毒-71型的测试结果均符合GB/T17988-2024的标准要求(活对数值≥4.00)，提供所投产品通过国家认可的第三方检测机构检测并获得CNAS和CMA标志的检测报告扫描件加盖制造商公章佐证。</w:t>
            </w:r>
          </w:p>
          <w:p w14:paraId="1A85839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▲产品整机开启“消毒功能”，设置温度125C，消毒作用90 min，对金黄色葡萄球菌的杀灭对数值均&gt;3.00，符合《消毒技术规范》(2002年版）的要求。提供所投产品通过国家认可的第三方检测机构检测并获得CNAS和CMA标志的检测报告扫描件及网络查询截图加盖制造商公章佐证。</w:t>
            </w:r>
          </w:p>
        </w:tc>
      </w:tr>
      <w:tr w14:paraId="1F08DBA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415F7B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B2471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普通式油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网烟罩</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FFE79D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1.尺寸：4400*1000*670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.罩体主筋：不锈钢板,板厚1.0mm；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.两侧板：不锈钢板,板厚1.0mm；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.滤油板:不锈钢板,板厚1.0mm。</w:t>
            </w:r>
          </w:p>
        </w:tc>
      </w:tr>
      <w:tr w14:paraId="59A0DB2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3F5F1B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8CA8DA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双孔收餐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EEAC19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.立柱使用Φ38*1.0mm不锈钢圆管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1C5B209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6B88A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71135C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四门碗柜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8DE12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.下层、侧板板厚度1.5mm,并用1.5mm厚不锈钢板折成加强筋加固；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.脚管采用Ф48*1.5mm厚不锈钢圆管；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0EAFD6D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921725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DE41AB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双门不锈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钢门消毒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4E4F9E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1.尺寸：13</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0*</w:t>
            </w:r>
            <w:r>
              <w:rPr>
                <w:rFonts w:hint="eastAsia" w:ascii="宋体" w:hAnsi="宋体" w:cs="宋体"/>
                <w:color w:val="auto"/>
                <w:sz w:val="22"/>
                <w:highlight w:val="none"/>
                <w:lang w:val="en-US" w:eastAsia="zh-CN" w:bidi="ar"/>
              </w:rPr>
              <w:t>70</w:t>
            </w:r>
            <w:r>
              <w:rPr>
                <w:rFonts w:hint="eastAsia" w:ascii="宋体" w:hAnsi="宋体" w:cs="宋体"/>
                <w:color w:val="auto"/>
                <w:sz w:val="22"/>
                <w:highlight w:val="none"/>
                <w:lang w:bidi="ar"/>
              </w:rPr>
              <w:t>0*1</w:t>
            </w:r>
            <w:r>
              <w:rPr>
                <w:rFonts w:hint="eastAsia" w:ascii="宋体" w:hAnsi="宋体" w:cs="宋体"/>
                <w:color w:val="auto"/>
                <w:sz w:val="22"/>
                <w:highlight w:val="none"/>
                <w:lang w:val="en-US" w:eastAsia="zh-CN" w:bidi="ar"/>
              </w:rPr>
              <w:t>95</w:t>
            </w:r>
            <w:r>
              <w:rPr>
                <w:rFonts w:hint="eastAsia" w:ascii="宋体" w:hAnsi="宋体" w:cs="宋体"/>
                <w:color w:val="auto"/>
                <w:sz w:val="22"/>
                <w:highlight w:val="none"/>
                <w:lang w:bidi="ar"/>
              </w:rPr>
              <w:t>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.功率：4.6KW/220V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.本机采用加厚不锈钢内外柜体，全不锈钢，六面加厚发泡保温节能。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.拥有变频升温技术，可有效节能。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.使用不锈钢加热叶轮，防水、防锈、经久耐用。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.智能触摸屏控制，拥有定时、定温、预约消毒。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.容积：810L。</w:t>
            </w:r>
          </w:p>
        </w:tc>
      </w:tr>
      <w:tr w14:paraId="0856F5B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7B2B3C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9AFFDC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7D795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199234D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0DB5A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0242C1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紫外线消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毒灯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313A7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1.尺寸：920*130*80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.电压:220V；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.功率:40W。</w:t>
            </w:r>
          </w:p>
        </w:tc>
      </w:tr>
      <w:tr w14:paraId="0EEAA02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DDD924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A32B16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灭蚊灯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14797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1.尺寸：400*120*170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.工作方式：粘捕式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.额定功率：0.008KW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覆盖面积：30-50㎡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.灯管:1*8w飞利浦灯管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.外壳材质：ABS阻燃材质</w:t>
            </w:r>
          </w:p>
        </w:tc>
      </w:tr>
      <w:tr w14:paraId="3B9038B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5826A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BDB6A4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干手器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57C39D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1.尺寸：156*176*207</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.外壳一体成型，外壳底部厚度19CM；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.强劲双面出风喷气，5-7秒快速干手，内置空气压缩箱，提高风速，一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边风干一边沥干；</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.1000W大功率电机，噪音低，启动性能好；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.结合全金属涡轮增压风扇，金属结构承受高强度压力；</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.48个圆形风孔，带降噪音圆弧，以波长为主要感应距离的近红外线应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用技术，搭配高灵敏的收送感光材料，智能快速感应。</w:t>
            </w:r>
          </w:p>
        </w:tc>
      </w:tr>
      <w:tr w14:paraId="354E058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EC95F1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71B59A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灭蚊灯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31E16D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1.尺寸：400*120*170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.工作方式：粘捕式；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.额定功率：0.008KW；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.覆盖面积：30-50㎡；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.灯管:1*8w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.外壳材质：ABS阻燃材质。</w:t>
            </w:r>
          </w:p>
        </w:tc>
      </w:tr>
      <w:tr w14:paraId="7B927DA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5D388E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2874E4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双星盆水池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C6B683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1.尺寸：1000*500*800+150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.星盆斗厚1.2mm，星盆斗尺寸：500*500*280mm，配置提篮式不锈钢下水器；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.横撑采用Ф32*1.5mm圆通。</w:t>
            </w:r>
          </w:p>
        </w:tc>
      </w:tr>
      <w:tr w14:paraId="12B472E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B25F51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2AE6EF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台式混水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龙头</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963298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1.尺寸：315*345*253</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.-12"摆动式水嘴；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.台面安装孔直径:25mmX2。</w:t>
            </w:r>
          </w:p>
        </w:tc>
      </w:tr>
      <w:tr w14:paraId="646CAA3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BE56AA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AD7EBF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冷藏大双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玻璃门高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身柜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6306D3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1.尺寸：1220*760*1980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.采用压缩机，全铜管制冷系统；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.R134a制冷剂、环戊烷发泡剂；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.电子式控制器，自闭门结构，一体发泡技术；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.PE网架、环保不锈钢；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.脚轮底脚可互换，平台台面整体发泡，可配挡水板；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.制冷温度范围：-6~12℃。</w:t>
            </w:r>
          </w:p>
        </w:tc>
      </w:tr>
      <w:tr w14:paraId="54E8C50F">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25ABA5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250CED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紫外线消毒灯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61F01E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.尺寸：920*130*80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.电压:220V；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.功率:40W。</w:t>
            </w:r>
          </w:p>
        </w:tc>
      </w:tr>
      <w:tr w14:paraId="18DFABEF">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E868E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31EE9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台面双层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01F33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1.尺寸：1800*400*700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.支撑管采用φ48mm，1.5mm厚不锈钢圆管制作。</w:t>
            </w:r>
          </w:p>
        </w:tc>
      </w:tr>
      <w:tr w14:paraId="329FDC3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40B84B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BEC873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风冷双门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平台雪柜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37C3F1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.采用压缩机，全铜管制冷系统；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.R134a制冷剂、环戊烷发泡剂；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.电子式控制器，自闭门结构，一体发泡技术；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.PE网架、环保不锈钢；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.脚轮底脚可互换，平台台面整体发泡，可配挡水板；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.制冷温度范围：-6~12℃。</w:t>
            </w:r>
          </w:p>
        </w:tc>
      </w:tr>
      <w:tr w14:paraId="61185EF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9C21BC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C3437A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D11E31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1A11A58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DDF491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4A3AF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3C6280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1.尺寸：700*700*800+150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.星盆斗厚1.2mm，星盆斗尺寸：500*500*280mm，配置提篮式不锈钢下水器；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053AE87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A5C79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DAC277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1AD773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.尺寸：2200*1300*960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.设备可根据现场情况选配自带变频功能，档位可选择调节，依据声环境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质量标准GB 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1DBFF94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8AD6DB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7A6802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F2CBA2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.设备可根据现场情况选配自带变频功能，档位可选择调节，依据声环境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质量标准GB 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079E3BC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AD4C10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F343D6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电磁单头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高背矮汤</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BB1A65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1.尺寸：700*850*800+450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.采用SUS304不锈钢板材，面板用1.5mm板，前板用1.2mm板，其他用1.0mm板；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.铜条稳流机芯，双冗余过流保护，自适应功率补偿，安全高效；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.全铜密绕线盘、双核防护、猛火安全新标准；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4.火力开关采用8档360度旋转脚动式磁感开关，霍尔传感器+防误触算</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法，超精准可靠控火；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.极光弧显屏幕，具动态光弧13级能量环，直观反馈火力动态，四重中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文故障显示(无锅、传感器、超温、电压)，具电里统计功能。</w:t>
            </w:r>
          </w:p>
        </w:tc>
      </w:tr>
      <w:tr w14:paraId="1FD66D1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7A6E96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FAE9EB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单尾小炒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CCAB14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1.尺寸：1800*1000*800+450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.材质：全SUS304不锈钢加厚机身，耐腐蚀，经久耐用。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.水龙头：配备SUS304不锈钢摇摆水龙头，可以180度旋转，安全防</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.面板：耐撞击高密度弧形微晶面板，坚固耐用。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.把手：5档火力调节，人机工效学设计，合金材质火力调节把手搭配硅</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胶防滑垫，档位清晰控感好，适应厨师使用习惯，可直接用膝盖控制。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.显示屏：LED彩色数码显示屏，能实时显示功率和当前火力档位，火力调控更加直观。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.防水：IPX6标准防水设计，清洁时可直接冲洗，台面无死角，不会藏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污纳垢。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.立体三防结构设计，防水、防油烟、防虫。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.功率：15KW*2/380V。</w:t>
            </w:r>
          </w:p>
        </w:tc>
      </w:tr>
      <w:tr w14:paraId="484FE9F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ACC437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C6FC4E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AB8367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1.尺寸：700*700*800+150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.星盆斗厚1.2mm，星盆斗尺寸：500*500*280mm，配置提篮式不锈钢下水器；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37B76DE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88A588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55531A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E55709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1473400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F8815F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3B8593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炉拼台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46196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1.尺寸：300*1000*800+450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.不锈钢磨砂板，面板1.5mm、侧板1.2mm；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.不锈钢后挡炉背板；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.横通采用不锈钢管连接，立管采用不锈钢管连可调节高度子弹脚。</w:t>
            </w:r>
          </w:p>
        </w:tc>
      </w:tr>
      <w:tr w14:paraId="5D467B6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D948C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80C0E6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蒸饭车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ACAA67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1.尺寸：1150*840*1650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.一体成型柜体设计，锁住蒸汽不流失，热效率更高，上汽速度快；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.低水位保护系统，水位精确控制，蒸汽产生时间更快、蒸饭效率更高；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.安装方便、易操作：可拆卸、可清洗式密封门，更加卫生健康；304精</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铸门合叶铰链，更加耐用、美观大方；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.安全可靠、更耐用：液体膨胀式干烧保护系统；整机三防设计，IPX4防水等级；脚踏机械式排水；可清洁式主副水箱设计；内置溢流保护系统，避免因为元器件失效而产生烫、触电等安全隐患发生。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.尺寸：1150*840*1650；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.功率：24kw/380v。</w:t>
            </w:r>
          </w:p>
        </w:tc>
      </w:tr>
      <w:tr w14:paraId="4F20467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ACEC5B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A25CE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93C268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2B18906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554B2A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A4B2B6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CAB29B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5CDC456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D24F0B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C026F3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9127B9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.整体采用SUS不锈钢制作，平板厚度1.5mm；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.立柱采用38×38×1.5mm方管；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.配不锈钢可调子弹脚。</w:t>
            </w:r>
          </w:p>
        </w:tc>
      </w:tr>
      <w:tr w14:paraId="27CE667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7E1C2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91C40A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E64FB2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1.尺寸：2800*1300*960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.设备可根据现场情况选配自带变频功能，档位可选择调节，依据声环境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质量标准GB12348-2008，满足噪声≤60分贝。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04D4ED1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6A9BD6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E3DF71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三层六盘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不锈钢烤</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箱</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02029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1.尺寸：1240*875*1660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.功率：19.8kw；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.电压：380V；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.整机重量：215kg；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.尺寸：1240*875*1660mm。</w:t>
            </w:r>
          </w:p>
        </w:tc>
      </w:tr>
      <w:tr w14:paraId="7876A5A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617F63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670EC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风冷双温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四门高身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55E24A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尺寸：1220x750x1960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.不锈钢板材；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.全铜管冷凝器、蒸发器；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..采用环戊烷发泡剂发泡；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.平台柜采用“前吸风、前排风”设计，可配挡水板；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.电压：220V/50HZ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.制冷温度范围：冷冻：-18~-10℃冷藏：-6~12℃保鲜。</w:t>
            </w:r>
          </w:p>
        </w:tc>
      </w:tr>
      <w:tr w14:paraId="6934DB2F">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19A052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1E7FF6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不锈钢双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门发酵箱</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19ECC9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1.尺寸：990*710*1860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.箱体内外采用不锈钢材料制造，经久耐用。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.全自动微电脑触摸式数控系统，能精准控制箱内温、湿度。</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.内置式风机循环装置，使箱内温度均匀一致。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.宽敞玻璃视窗和内置照明系统，发酵过程一目了然。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.特设自动进水装置和任意调节层架。</w:t>
            </w:r>
          </w:p>
        </w:tc>
      </w:tr>
      <w:tr w14:paraId="67FF3F4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482670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55B822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压面机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71CE11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1.尺寸：650*645*1200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、生产能力：25-30Kg/h；</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、全不锈钢外壳配1.5mm切面机刀组，有3mm、5mm规格刀组可选。</w:t>
            </w:r>
          </w:p>
        </w:tc>
      </w:tr>
      <w:tr w14:paraId="281406E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C1349E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B8CB0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B30数控定时调速搅拌机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1C3BAB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1.尺寸：660*560*1240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.变频搅拌机，预设六个速度带定时和数控调速，料桶容量30L。</w:t>
            </w:r>
          </w:p>
        </w:tc>
      </w:tr>
      <w:tr w14:paraId="04B4901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703172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48881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双动和面机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8E25A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1.尺寸：530*920*935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.料桶容积：50L；</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.额定电压：220V；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.额定频率：50Hz；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.电机功率：2.2KW；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.和面量：20Kg；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.搅拌转速：185r；</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.料桶转速：15r；</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.整机重量：130kg。</w:t>
            </w:r>
          </w:p>
        </w:tc>
      </w:tr>
      <w:tr w14:paraId="23FD88D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934972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43A03A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D76F56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0364BDC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D8AA0B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A436E3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CF336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1.尺寸：1300*760*800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7898787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C3EE0D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2A05BD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十二盆饼车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BB9B7F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1.尺寸：500*650*1360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.选用不锈钢板制造，δ=1.5mm,配万向脚轮。</w:t>
            </w:r>
          </w:p>
        </w:tc>
      </w:tr>
      <w:tr w14:paraId="589AEBB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277E2A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064F3F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电饼铛</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645EB3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1.尺寸：720*655*745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.全不锈钢机身、不锈钢辊轴，安全节能、操作简便；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.装备恒温装置，工作温度：50℃-300℃。</w:t>
            </w:r>
          </w:p>
        </w:tc>
      </w:tr>
      <w:tr w14:paraId="7A13809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2788A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080BB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蒸饭车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75EAD4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1.尺寸：1150*840*1650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.一体成型柜体设计，锁住蒸汽不流失，热效率更高，上汽速度快；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.低水位保护系统，水位精确控制，蒸汽产生时间更快、蒸饭效率更高；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.安装方便、易操作：可拆卸、可清洗式密封门，更加卫生健康；304精</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铸门合叶铰链，更加耐用、美观大方；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.安全可靠、更耐用：液体膨胀式干烧保护系统，产品使用寿命更长；整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机三防设计，IPX4防水等级；脚踏机械式排水，更加方便、可靠；可清</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洁式主副水箱设计，更卫生、蒸品口感佳；内置溢流保护系统，避免因为元器件失效而产生烫伤、触电等安全隐患发生。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.尺寸：1150*840*1650；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.功率：24kw/380v。</w:t>
            </w:r>
          </w:p>
        </w:tc>
      </w:tr>
      <w:tr w14:paraId="3F39C9F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C99A88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2DB104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包边木案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98E30E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.脚管采用Ф48*1.5mm厚不锈钢圆管；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.台面是银杏木板；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1250DC8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09F62F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201DE8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面粉车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7EA40F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1.尺寸：500*525*500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.设置不锈钢推拉手，下配两定两动静音轮；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.下层板厚度1.5mm。</w:t>
            </w:r>
          </w:p>
        </w:tc>
      </w:tr>
      <w:tr w14:paraId="32AE562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A676D7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7823E1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米面架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48758E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1.尺寸：1200*500*200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.横柱用38×25×0.8mm厚不锈钢；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.立柱采用38×38×1.5mm方管；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.配置调节脚。</w:t>
            </w:r>
          </w:p>
        </w:tc>
      </w:tr>
      <w:tr w14:paraId="08E4625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A97C6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99C538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双孔收餐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A3FB4D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.立柱使用Φ38*1.0mm不锈钢圆管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08F7712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63A96E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C8F0B7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紫外线消毒灯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25F93F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1.尺寸：920*130*80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.电压:220V；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.功率:40W。</w:t>
            </w:r>
          </w:p>
        </w:tc>
      </w:tr>
      <w:tr w14:paraId="7F4CD96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5DA81E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A6596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长龙洗碗机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3A7C50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1.尺寸：4400*990*2050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.整套长龙式洗碗机组成有：入口区、预洗区、主区洗、喷淋区烘干区、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出口区；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.洗涤量：6400碟/小时。</w:t>
            </w:r>
          </w:p>
        </w:tc>
      </w:tr>
      <w:tr w14:paraId="7081043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F43062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15744E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普通式油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网烟罩</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DE8703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1.尺寸：4400*1000*670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.材质：SUS304#板材；罩体主筋：</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.不锈钢板,板厚1.0mm；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.两侧板：不锈钢板,板厚1.0mm；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.滤油板:不锈钢板,板厚1.0mm</w:t>
            </w:r>
          </w:p>
        </w:tc>
      </w:tr>
      <w:tr w14:paraId="689BB30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29657E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B498C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80AAF5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.星盆斗厚1.2mm，星盆斗尺寸：1300*500*280mm，配置提篮式不锈钢下水器；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20A7D65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C72128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9AEB9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双门不锈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钢门消毒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6A4EC3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1.尺寸：13</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0*</w:t>
            </w:r>
            <w:r>
              <w:rPr>
                <w:rFonts w:hint="eastAsia" w:ascii="宋体" w:hAnsi="宋体" w:cs="宋体"/>
                <w:color w:val="auto"/>
                <w:sz w:val="22"/>
                <w:highlight w:val="none"/>
                <w:lang w:val="en-US" w:eastAsia="zh-CN" w:bidi="ar"/>
              </w:rPr>
              <w:t>70</w:t>
            </w:r>
            <w:r>
              <w:rPr>
                <w:rFonts w:hint="eastAsia" w:ascii="宋体" w:hAnsi="宋体" w:cs="宋体"/>
                <w:color w:val="auto"/>
                <w:sz w:val="22"/>
                <w:highlight w:val="none"/>
                <w:lang w:bidi="ar"/>
              </w:rPr>
              <w:t>0*1</w:t>
            </w:r>
            <w:r>
              <w:rPr>
                <w:rFonts w:hint="eastAsia" w:ascii="宋体" w:hAnsi="宋体" w:cs="宋体"/>
                <w:color w:val="auto"/>
                <w:sz w:val="22"/>
                <w:highlight w:val="none"/>
                <w:lang w:val="en-US" w:eastAsia="zh-CN" w:bidi="ar"/>
              </w:rPr>
              <w:t>95</w:t>
            </w:r>
            <w:r>
              <w:rPr>
                <w:rFonts w:hint="eastAsia" w:ascii="宋体" w:hAnsi="宋体" w:cs="宋体"/>
                <w:color w:val="auto"/>
                <w:sz w:val="22"/>
                <w:highlight w:val="none"/>
                <w:lang w:bidi="ar"/>
              </w:rPr>
              <w:t>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.功率：4.6KW/220V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.本机采用加厚不锈钢内外柜体，全不锈钢，六面加厚发泡保温节能。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.拥有变频升温技术，可有效节能。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.使用不锈钢加热叶轮，防水、防锈、经久耐用。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.智能触摸屏控制，拥有定时、定温、预约消毒。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.容积：810L。</w:t>
            </w:r>
          </w:p>
        </w:tc>
      </w:tr>
      <w:tr w14:paraId="0620055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F7B538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7A47C6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干手器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D2B714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1.尺寸：156*176*207</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.外壳一体成型，外壳底部厚度19CM；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.强劲双面出风喷气，5-7秒快速干手；</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.内置空气压缩箱，提高风速，一边风干一边沥干；</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.1000W大功率电机，噪音低，启动性能好，结合全金属涡轮增压风扇，金属结构承受高强度压力；</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5.48个圆形风孔，带降噪音园弧，以波长为主要感应距离的近红外线应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用技术，搭配高灵敏的收送感光材料，智能快速感应。</w:t>
            </w:r>
          </w:p>
        </w:tc>
      </w:tr>
      <w:tr w14:paraId="30D735D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4B5B54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D8460C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单星水池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63EEF3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1.尺寸：500*500*800+150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.星盆斗厚1.2mm，星盆斗尺寸：300*500*280mm，配置提篮式不锈钢下水器；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60D7B95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C4DA85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FC77F5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9B21F5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.星盆斗厚1.2mm，星盆斗尺寸：1300*500*280mm，配置提篮式不锈钢下水器；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08C84FC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C2E042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D486C9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7A7855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1.尺寸：1000*760*800+150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.星盆斗厚1.2mm，星盆斗尺寸：800*500*280mm，配置提篮式不锈钢下水器；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62F8716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04465F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90BE37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高低温双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机冷库</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E25D6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1.尺寸：7600*3600*2600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.采用燃烧性能检测项目(氧指数+可燃性)达到8624-2012《建筑材料及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制品燃烧性能分级》B1级阻燃要求的保温板</w:t>
            </w:r>
          </w:p>
        </w:tc>
      </w:tr>
      <w:tr w14:paraId="4E28879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8C85C7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4812DD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不锈钢烟管(涵盖所有管道及弯头等异型管连接管）</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A44B7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val="en-US" w:bidi="ar"/>
              </w:rPr>
            </w:pPr>
            <w:r>
              <w:rPr>
                <w:rFonts w:hint="eastAsia" w:ascii="宋体" w:hAnsi="宋体" w:cs="宋体"/>
                <w:color w:val="auto"/>
                <w:sz w:val="22"/>
                <w:highlight w:val="none"/>
                <w:lang w:bidi="ar"/>
              </w:rPr>
              <w:t>1.整体不锈钢制作，</w:t>
            </w:r>
            <w:r>
              <w:rPr>
                <w:rFonts w:hint="eastAsia" w:ascii="宋体" w:hAnsi="宋体" w:cs="宋体"/>
                <w:color w:val="auto"/>
                <w:sz w:val="22"/>
                <w:highlight w:val="none"/>
                <w:lang w:eastAsia="zh-CN" w:bidi="ar"/>
              </w:rPr>
              <w:t>厚度为</w:t>
            </w:r>
            <w:r>
              <w:rPr>
                <w:rFonts w:hint="eastAsia" w:ascii="宋体" w:hAnsi="宋体" w:cs="宋体"/>
                <w:color w:val="auto"/>
                <w:sz w:val="22"/>
                <w:highlight w:val="none"/>
                <w:lang w:val="en-US" w:eastAsia="zh-CN" w:bidi="ar"/>
              </w:rPr>
              <w:t>1.00mm</w:t>
            </w:r>
          </w:p>
        </w:tc>
      </w:tr>
      <w:tr w14:paraId="178AC6D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9A7D3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1E082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厨房新风</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制冷机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FED63E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1.存水量：80-100L；</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2.功率：1.5KW；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3.电压：220V/380V；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4.耗水量：10-15L/H；</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5.制冷面积：100-160平方；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6.产品重量：60KG；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7.风量：18000-25000m3/h；</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8.档位：1-50档无极变速；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9.逆风距离：20-26M；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10.噪音：&lt;65分贝。</w:t>
            </w:r>
          </w:p>
        </w:tc>
      </w:tr>
      <w:tr w14:paraId="0D84E7D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2D0995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8A5238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新风管道</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1D1B68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1.采用镀锌板，厚度1.0mm</w:t>
            </w:r>
          </w:p>
        </w:tc>
      </w:tr>
      <w:tr w14:paraId="6D5774C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E111F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398A6D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11kw静音</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风柜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0459B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1.风量：28000-35000m3/h；</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2.功率：11kw；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3.箱体：设备箱体制作框架采用一次成型型材、倾角架构、美观、坚固，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易拆除；面板采用厚度1.0mm的碳钢材质，室外烤漆板，强度高、耐高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温、防暴晒、不褪色；</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4.配套电机：电机防护等级IP55，电机绝缘等级F。</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5.叶轮：采用多翼式柳钉冲压式叶轮，叶轮材质采用热镀锌钢板，厚度：</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≥1.0mm，含锌层的厚度:按GB 510018-2002规定热镀锌钢板含锌层含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量是220g/㎡，牢固，稳定，整机噪声≤65Db。</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6.皮带，动平衡性能好；不易损坏；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7.内部采用高效离心风机（高效离心叶轮，电机外置，皮带传动），排油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烟风机的电机不能内置，以免电机在箱体内后期会过热，箱体内长期使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用，集油多，温度过高，有火灾隐患；</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▲8.风机在转速小于或等于1000R/min时，比A声压级（LSA）噪声≤</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16dB,供应商需提供符合上述要求的产品检验报告。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▲9.风机运转时，刚性支承时轴承部位测得的振动速度有效值应该≤</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4.0mm/s,供应商需提供符合上述要求的具有</w:t>
            </w:r>
            <w:r>
              <w:rPr>
                <w:rFonts w:hint="eastAsia" w:ascii="宋体" w:hAnsi="宋体" w:cs="宋体"/>
                <w:color w:val="auto"/>
                <w:sz w:val="22"/>
                <w:highlight w:val="none"/>
                <w:lang w:val="en-US" w:eastAsia="zh-CN" w:bidi="ar"/>
              </w:rPr>
              <w:t>CMA标志</w:t>
            </w:r>
            <w:r>
              <w:rPr>
                <w:rFonts w:hint="eastAsia" w:ascii="宋体" w:hAnsi="宋体" w:cs="宋体"/>
                <w:color w:val="auto"/>
                <w:sz w:val="22"/>
                <w:highlight w:val="none"/>
                <w:lang w:bidi="ar"/>
              </w:rPr>
              <w:t>产品检验报告。</w:t>
            </w:r>
          </w:p>
        </w:tc>
      </w:tr>
      <w:tr w14:paraId="2C9408F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959BBB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376DC0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18.5kw静</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音风柜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912828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1.风量：52000-55000m3/h；</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2.功率：18.5kw；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3.箱体：设备箱体制作框架采用一次成型型材、倾角架构、美观、坚固，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易拆除；面板采用厚度1.0mm的碳钢材质，室外烤漆板，强度高、耐高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温、防暴晒、不褪色；</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4.配套电机：电机防护等级IP55，电机绝缘等级F。</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5.叶轮：采用多翼式柳钉冲压式叶轮，叶轮材质采用国标热镀锌钢板，厚</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度：≥1.0mm，含锌层的厚度:按GB 510018-2002规定热镀锌钢板含锌层含量是220g/㎡，牢固，稳定，整机噪声≤65Db。</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6.皮带盘统一采用欧标锥套盘，动平衡性能好；不易损坏；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7.内部采用高效离心风机（高效离心叶轮，电机外置，皮带传动），排油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烟风机的电机不能内置，以免电机在箱体内后期会过热，箱体内长期使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用，集油多，温度过高，有火灾隐患；</w:t>
            </w:r>
            <w:r>
              <w:rPr>
                <w:rFonts w:hint="eastAsia" w:ascii="宋体" w:hAnsi="宋体" w:cs="宋体"/>
                <w:color w:val="auto"/>
                <w:sz w:val="22"/>
                <w:highlight w:val="none"/>
                <w:lang w:bidi="ar"/>
              </w:rPr>
              <w:br w:type="textWrapping"/>
            </w:r>
          </w:p>
        </w:tc>
      </w:tr>
      <w:tr w14:paraId="474BF36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73C5B0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3EE3C5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风机支架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B16486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1.角铁</w:t>
            </w:r>
          </w:p>
        </w:tc>
      </w:tr>
      <w:tr w14:paraId="4A77A82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130565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0392CB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配件打胶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费</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429DD2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1.法兰吊杆等配件的打胶费。</w:t>
            </w:r>
          </w:p>
        </w:tc>
      </w:tr>
      <w:tr w14:paraId="5057CA3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D57EE5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8F9BC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不锈钢烟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罩封墙板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装饰板</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7E9E9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1尺寸：200平方</w:t>
            </w:r>
          </w:p>
          <w:p w14:paraId="0B7AE26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.整体不锈钢制作，一级板材；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.采用1.0mm。</w:t>
            </w:r>
          </w:p>
        </w:tc>
      </w:tr>
      <w:tr w14:paraId="0CB5E91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DE7240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AF2149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厨房灭火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系统</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65FDFE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1.组厨房灭火装置组件：包括机械驱动器、驱动气瓶、灭火剂瓶、水流</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阀、减压阀、控制盘、连接气管、连接水管、复位保险扳手等组成。每个装置设计需要的感温易融金属拉索释放器、远程手动启动器和燃料紧急切断阀等设备都与装置组件相连。装置可以自动或者手动启动，当感温易融金属拉索释放器中的易融金属片被火灾熔断时，装置就自动启动；或当有人拉下手动启动器时，装置手动启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2.厨房设备灭火装置使用温度：最低4℃,最高55℃;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3.主体箱规格：CMJS18-2-ZC（双瓶组）：长685mm*宽220mm*高640mm；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4.工作原理：机械感温，机械启动；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5.驱动器：符合GA 61-2010的规定，接口螺纹M27*1.5，驱动力200±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6.提供灭火剂试验报告（其中包括但不限于自燃点为357℃的食用油，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灭火时间≤1.5s，火焰熄灭后20min无复燃），供应商需提供具有CMA认证的第三方检测机构出具的检测报告复印件并加盖投标人公</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章；</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▲7.装置具有独立控制盘，达到抗干扰要求：供应商需提供厨房设备灭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火装置厂家智能自动灭火系统装置控制盘通过静电放电抗扰度检测依据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GB/T30148-2013《静电放电抗扰度、电快速瞬变脉冲群抗扰度》提供第</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三方权威部门检验报告复印件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▲8.供应商须提供食用油灭火系统药剂通过GB/T27857-2011检测依据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，生物降解性60天内总生物降解达到&gt;77%的第三方检测机构出具的检验报告复印件。</w:t>
            </w:r>
          </w:p>
        </w:tc>
      </w:tr>
      <w:tr w14:paraId="2262717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7FCAB3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F082E4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智慧食堂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管理软件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601EA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1.本地化部署，软件采用B/S架构；</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2.智慧食堂功能：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（1）数据总览：全可视化数据图文展示，展示类型至少包括营业额、用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户数、订单数、均单价、审批流程、食堂档口营业统计、服务器运行监</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控、营业餐次占比、订单类型占比、满意度排行、档口营业额、菜品利润</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排行、用户画像分析、次数、金额、沉默时长；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（2）基础设置：支持移动端，具体管理类型至少包括食堂档口管理、餐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具管理、支付管理及算法管理；</w:t>
            </w:r>
          </w:p>
        </w:tc>
      </w:tr>
      <w:tr w14:paraId="61D06FB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FF9376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F5675B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移动管理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端APP</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2E85F7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1.支持数据展示，包含今日营业数据、当餐营业数据、充值数据、菜品销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售排行；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2.支持待办事项管理，包含我发起的及待我审批。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3.支持菜品管理，包含商品原料、菜品管理、菜谱管理、设备排菜。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4.支持订单管理，包含消费订单、充值订单、提现订单、退款订单、订单</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纠错、用户信息。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5.支持供应链管理，包含供应商信息、生产计划、采购计划、采购订单、</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验货单、入库单、出库单、退货单、应收应付、账单管理、库存。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6.支持食安管理，包含投诉建议、环境监控、原料检测、消毒管理、厨余</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处理、设备运行、初加工管理、切配管理、烹饪管理。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7.支持员工管理，包含员工培训、员工晨检、员工考勤、健康证预警、出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入权限。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8.支持巡查管理，包含视频巡查、食堂自检、AI巡查、巡查记录、巡查</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任务。</w:t>
            </w:r>
          </w:p>
        </w:tc>
      </w:tr>
      <w:tr w14:paraId="008AEA3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7E2A35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8047B2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移动客户</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（小程序/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公众号）</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356F92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功能：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1.预订餐，点餐，报餐，菜品公示，余额查询，访客申请；</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2.订单状态：可按食堂档口，商品，菜品筛选，全部订单，待支付订单，</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进行中的单，退款订单；</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3.推荐菜品，热销菜品，订单，个人信息；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4.个人服务：个人信息录入（人脸上传，头像，基本信息，健康信息，地</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址，修改密码，绑定手机号，挂失解挂；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5.营养管理：可在H5发布营养科普功能，查看订餐的营养摄入分析，用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餐记录支持自定义添加菜品，或菜品库添加；</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6.投诉建议：按食堂，写投诉建议，可上传图片，联系电话；</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7.食堂评价：按食堂档口评价，包括仪容仪表，服务态度，口味，品种，卫生，价格，包括支持后台自定义评价内容，及意见和建议；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8.支持后台自定义营养顾问，在H5上展示；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9.支持添加体检报告；</w:t>
            </w:r>
          </w:p>
        </w:tc>
      </w:tr>
      <w:tr w14:paraId="1E76163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857C88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E3D351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云服务</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CAF061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1.域名服务部署及维护。</w:t>
            </w:r>
          </w:p>
        </w:tc>
      </w:tr>
      <w:tr w14:paraId="6644B31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6CDB39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FFD1AC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物理服务器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C241D5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1.内存：32GECC内存；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2.硬盘-SATA硬盘：1T*2；</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3.控制器：RAID1；</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4.网卡：1Gbe；</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5.支持操作系统：CentOS系统7.9、redhat企业版、Ubuntu20.04、统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信UOSV2.0、中标麒麟（AMD64版V10）、AlibabaCloudLinux3.2104</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LTS64位；</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6.支持数据库版本：mysql8.0；</w:t>
            </w:r>
          </w:p>
        </w:tc>
      </w:tr>
      <w:tr w14:paraId="5C6C1F9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8B80DD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302B95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eastAsia="zh-CN" w:bidi="ar"/>
              </w:rPr>
            </w:pPr>
            <w:r>
              <w:rPr>
                <w:rFonts w:hint="eastAsia" w:ascii="宋体" w:hAnsi="宋体" w:cs="宋体"/>
                <w:color w:val="auto"/>
                <w:sz w:val="22"/>
                <w:highlight w:val="none"/>
                <w:lang w:eastAsia="zh-CN" w:bidi="ar"/>
              </w:rPr>
              <w:t>电脑</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1070DA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1.内存：8G；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2.硬盘：1T；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3.网卡：1000M；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4.显示屏：23.8英寸；</w:t>
            </w:r>
            <w:r>
              <w:rPr>
                <w:rFonts w:hint="eastAsia" w:ascii="宋体" w:hAnsi="宋体" w:cs="宋体"/>
                <w:color w:val="auto"/>
                <w:sz w:val="22"/>
                <w:highlight w:val="none"/>
                <w:lang w:bidi="ar"/>
              </w:rPr>
              <w:br w:type="textWrapping"/>
            </w:r>
            <w:r>
              <w:rPr>
                <w:rFonts w:hint="default" w:ascii="宋体" w:hAnsi="宋体" w:cs="宋体"/>
                <w:color w:val="auto"/>
                <w:sz w:val="22"/>
                <w:highlight w:val="none"/>
                <w:lang w:bidi="ar"/>
              </w:rPr>
              <w:t>5.</w:t>
            </w:r>
            <w:r>
              <w:rPr>
                <w:rFonts w:hint="eastAsia" w:ascii="宋体" w:hAnsi="宋体" w:cs="宋体"/>
                <w:color w:val="auto"/>
                <w:sz w:val="22"/>
                <w:highlight w:val="none"/>
                <w:lang w:bidi="ar"/>
              </w:rPr>
              <w:t>配置</w:t>
            </w:r>
            <w:r>
              <w:rPr>
                <w:rFonts w:hint="default" w:ascii="宋体" w:hAnsi="宋体" w:cs="宋体"/>
                <w:color w:val="auto"/>
                <w:sz w:val="22"/>
                <w:highlight w:val="none"/>
                <w:lang w:bidi="ar"/>
              </w:rPr>
              <w:t>键鼠。</w:t>
            </w:r>
          </w:p>
        </w:tc>
      </w:tr>
      <w:tr w14:paraId="773A5B7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71029D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A91A7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餐饮数据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大屏</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4155FB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default" w:ascii="宋体" w:hAnsi="宋体" w:cs="宋体"/>
                <w:color w:val="auto"/>
                <w:sz w:val="22"/>
                <w:highlight w:val="none"/>
                <w:lang w:bidi="ar"/>
              </w:rPr>
              <w:t>显示：4K UHD（3840×2160），60Hz 刷新率，500 尼特峰值亮度，DCI-P3 94% 色域，10 亿色 (8bit+FRC)，178° 可视角度，屏占比 97%</w:t>
            </w:r>
          </w:p>
          <w:p w14:paraId="1A3CB9F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2.</w:t>
            </w:r>
            <w:r>
              <w:rPr>
                <w:rFonts w:hint="default" w:ascii="宋体" w:hAnsi="宋体" w:cs="宋体"/>
                <w:color w:val="auto"/>
                <w:sz w:val="22"/>
                <w:highlight w:val="none"/>
                <w:lang w:bidi="ar"/>
              </w:rPr>
              <w:t>处理器：A55 四核 1.5GHz，内存：2GB RAM + 16GB ROM</w:t>
            </w:r>
          </w:p>
          <w:p w14:paraId="211BE95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3.</w:t>
            </w:r>
            <w:r>
              <w:rPr>
                <w:rFonts w:hint="default" w:ascii="宋体" w:hAnsi="宋体" w:cs="宋体"/>
                <w:color w:val="auto"/>
                <w:sz w:val="22"/>
                <w:highlight w:val="none"/>
                <w:lang w:bidi="ar"/>
              </w:rPr>
              <w:t>音响：2×10W 立体声，功耗：220W，重量：约 40kg</w:t>
            </w:r>
          </w:p>
          <w:p w14:paraId="68E1A3C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4.</w:t>
            </w:r>
            <w:r>
              <w:rPr>
                <w:rFonts w:hint="default" w:ascii="宋体" w:hAnsi="宋体" w:cs="宋体"/>
                <w:color w:val="auto"/>
                <w:sz w:val="22"/>
                <w:highlight w:val="none"/>
                <w:lang w:bidi="ar"/>
              </w:rPr>
              <w:t>接口：HDMI 2.0×2，USB 2.0×1，USB 3.0×1，AV 输入，RJ45 网口</w:t>
            </w:r>
          </w:p>
          <w:p w14:paraId="416265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5.</w:t>
            </w:r>
            <w:r>
              <w:rPr>
                <w:rFonts w:hint="default" w:ascii="宋体" w:hAnsi="宋体" w:cs="宋体"/>
                <w:color w:val="auto"/>
                <w:sz w:val="22"/>
                <w:highlight w:val="none"/>
                <w:lang w:bidi="ar"/>
              </w:rPr>
              <w:t>特色：支持 MEMC 运动补偿，色准 dE&lt;3，</w:t>
            </w:r>
          </w:p>
        </w:tc>
      </w:tr>
      <w:tr w14:paraId="7770A83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5F18D7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E98DCE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智慧后厨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可视化中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心大屏</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BFE072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default" w:ascii="宋体" w:hAnsi="宋体" w:cs="宋体"/>
                <w:color w:val="auto"/>
                <w:sz w:val="22"/>
                <w:highlight w:val="none"/>
                <w:lang w:bidi="ar"/>
              </w:rPr>
              <w:t>显示：4K UHD（3840×2160），60Hz 刷新率，500 尼特峰值亮度，DCI-P3 94% 色域，10 亿色 (8bit+FRC)，178° 可视角度，屏占比 97%</w:t>
            </w:r>
          </w:p>
          <w:p w14:paraId="0B2F1A0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2.</w:t>
            </w:r>
            <w:r>
              <w:rPr>
                <w:rFonts w:hint="default" w:ascii="宋体" w:hAnsi="宋体" w:cs="宋体"/>
                <w:color w:val="auto"/>
                <w:sz w:val="22"/>
                <w:highlight w:val="none"/>
                <w:lang w:bidi="ar"/>
              </w:rPr>
              <w:t>处理器：A55 四核 1.5GHz，内存：2GB RAM + 16GB ROM</w:t>
            </w:r>
          </w:p>
          <w:p w14:paraId="085233C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3.</w:t>
            </w:r>
            <w:r>
              <w:rPr>
                <w:rFonts w:hint="default" w:ascii="宋体" w:hAnsi="宋体" w:cs="宋体"/>
                <w:color w:val="auto"/>
                <w:sz w:val="22"/>
                <w:highlight w:val="none"/>
                <w:lang w:bidi="ar"/>
              </w:rPr>
              <w:t>音响：2×10W 立体声，功耗：220W，重量：约 40kg</w:t>
            </w:r>
          </w:p>
          <w:p w14:paraId="0090279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4.</w:t>
            </w:r>
            <w:r>
              <w:rPr>
                <w:rFonts w:hint="default" w:ascii="宋体" w:hAnsi="宋体" w:cs="宋体"/>
                <w:color w:val="auto"/>
                <w:sz w:val="22"/>
                <w:highlight w:val="none"/>
                <w:lang w:bidi="ar"/>
              </w:rPr>
              <w:t>接口：HDMI 2.0×2，USB 2.0×1，USB 3.0×1，AV 输入，RJ45 网口</w:t>
            </w:r>
          </w:p>
        </w:tc>
      </w:tr>
      <w:tr w14:paraId="1EAEA47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307623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BAB68D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RFID读写器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E3E935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1.工作电压：DC5V；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2.工作环境温度：-20℃~+60℃;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3.相对湿度：≤95%；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4.通讯接口：USB/RS232；</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5.通讯波特率：9600b/s；</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6.卡片类型：非接触式IC卡、CPU卡；</w:t>
            </w:r>
          </w:p>
        </w:tc>
      </w:tr>
      <w:tr w14:paraId="5CA0FD6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367F20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656DF1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用户卡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（白卡）</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D02A17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1.卡类型：M1；</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2.工作频率：13.56MHz；</w:t>
            </w:r>
          </w:p>
        </w:tc>
      </w:tr>
      <w:tr w14:paraId="632EAA3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686E7D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C6973C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视觉识别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智慧餐台</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（人脸+刷</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卡+扫码）</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187574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1.CPU的配置不低于：四核64位Cortex-A55</w:t>
            </w:r>
            <w:r>
              <w:rPr>
                <w:rFonts w:hint="eastAsia" w:ascii="宋体" w:hAnsi="宋体" w:cs="宋体"/>
                <w:color w:val="auto"/>
                <w:sz w:val="22"/>
                <w:highlight w:val="none"/>
                <w:lang w:val="en-US" w:eastAsia="zh-CN" w:bidi="ar"/>
              </w:rPr>
              <w:t xml:space="preserve"> </w:t>
            </w:r>
            <w:r>
              <w:rPr>
                <w:rFonts w:hint="eastAsia" w:ascii="宋体" w:hAnsi="宋体" w:cs="宋体"/>
                <w:color w:val="auto"/>
                <w:sz w:val="22"/>
                <w:highlight w:val="none"/>
                <w:lang w:bidi="ar"/>
              </w:rPr>
              <w:t>CPU、主频：2.0GHz、算力1TOPS（供应商需提供具有CMA认证的检测机构出具的产品检测报告来证明，并标明在此条在检测报告对应的条目）；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2.存储不低于：内存不小于4GB，硬盘不小于32GB；</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3.双显示屏，具有客屏和操作屏双显示屏，双屏尺寸不小于15寸，分辨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率不小于1920*1080，双屏为电容触摸屏，支持多点触控；</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4.人脸识别摄像头为红外双目摄像头，不低于200万像素，菜品识别摄像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头像素不低于800万；</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5.刷卡识别：刷卡识别距离大于50mm，刷卡识别区域不小于50*50mm，刷卡识别时间小于0.2S；</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6.刷码识别：扫码识别距离大于80mm，扫码识别区域不小于40*50mm，扫码识别时间小于0.2S；</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7.人脸识别：人脸模板容量大于2万人，人脸识别成功率大于99.9%，</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人脸识别时间大于0.2S（供应商需提供具有CMA认证的检测机构出具的产品检测报告来证明，并标明在此条在检测报告对应的条目）。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8.进行人脸识别显示时，用户显示屏上可以显示活体分和识别分；</w:t>
            </w:r>
          </w:p>
        </w:tc>
      </w:tr>
      <w:tr w14:paraId="2C71CFB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494778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E48086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台面式AI</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菜品注册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E838DE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1.使用场景：适用于自选餐线菜品识别方案中，用于后厨菜品采集，避免</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将后厨菜品拿到前场注册的麻烦。</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2.精确识别：采用AI图像识别技术高精度识别菜品，方便注册。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3.菜品无需装盘：利用视觉识别可以注册砂锅、酸奶、水果等无需装盘。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4.处理器：CPU主频1.8GHz。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5.存储：内存2GB（可扩展）、硬盘16GB（可扩展）。</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6.操作系统：Android。</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7.操作显示屏：15.6英寸电容触摸屏(支持多点触控)，分辨率1920*1080。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8.菜品识别摄像头：800万摄像头，支持自动曝光和自动白平衡。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9.识别区域：370*280mm。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10.菜品注册：单餐菜品注册80个菜品的注册时间不超过2分钟。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11.通讯：TCP/IP/WiFi。</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12.使用环境：温度-5℃-65℃。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13.材质：桌面采用磨砂防反光钢化玻璃，表面金属喷涂。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14.尺寸：550mm*450mm*900mm。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15.重量：17kg。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16.电源：12V/5A。</w:t>
            </w:r>
          </w:p>
        </w:tc>
      </w:tr>
      <w:tr w14:paraId="1781C46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C123FD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72184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视觉识别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服务器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（含算</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法）</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B2E2C0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1.内存：16G；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2.SSD硬盘（固态硬盘）：1T；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3.网卡：1000M；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4.操作系统：Ubuntu20.04；</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5.内置菜品识别算法软件；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6.一台服务器可带8台设备。</w:t>
            </w:r>
          </w:p>
        </w:tc>
      </w:tr>
      <w:tr w14:paraId="4BE0997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8E42A6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918BDD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电子菜牌</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5FE693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1.结合后台系统设置的菜谱进行展示；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2.展示内容：当餐菜品名称、单价、营养素；</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3.展示菜品可进行滚动播放；</w:t>
            </w:r>
          </w:p>
        </w:tc>
      </w:tr>
      <w:tr w14:paraId="0569709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F57FE6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7CDA04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餐具（菜品）</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FCE233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val="en-US" w:eastAsia="zh-CN" w:bidi="ar"/>
              </w:rPr>
            </w:pPr>
            <w:r>
              <w:rPr>
                <w:rFonts w:hint="eastAsia" w:ascii="宋体" w:hAnsi="宋体" w:cs="宋体"/>
                <w:color w:val="auto"/>
                <w:sz w:val="22"/>
                <w:highlight w:val="none"/>
                <w:lang w:bidi="ar"/>
              </w:rPr>
              <w:t>1.耐高温清洗无异味经久耐用，</w:t>
            </w:r>
          </w:p>
        </w:tc>
      </w:tr>
      <w:tr w14:paraId="3439832F">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F67FFD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1D708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餐具（汤饭）</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C3337C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val="en-US" w:eastAsia="zh-CN" w:bidi="ar"/>
              </w:rPr>
              <w:t>食品级A5密胺材质；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2.内置智能芯片；</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3.耐高温120℃、洗碗机内热水建议控制在61℃,易清洗无异味经久耐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用。</w:t>
            </w:r>
          </w:p>
        </w:tc>
      </w:tr>
      <w:tr w14:paraId="1C8639D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30440F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F70E0D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双屏消费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（人脸识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别+刷卡+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扫码）</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23198D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CPU的配置不低于：四核64位Cortex-A55</w:t>
            </w:r>
            <w:r>
              <w:rPr>
                <w:rFonts w:hint="eastAsia" w:ascii="宋体" w:hAnsi="宋体" w:cs="宋体"/>
                <w:color w:val="auto"/>
                <w:sz w:val="22"/>
                <w:highlight w:val="none"/>
                <w:lang w:val="en-US" w:eastAsia="zh-CN" w:bidi="ar"/>
              </w:rPr>
              <w:t xml:space="preserve"> </w:t>
            </w:r>
            <w:r>
              <w:rPr>
                <w:rFonts w:hint="eastAsia" w:ascii="宋体" w:hAnsi="宋体" w:cs="宋体"/>
                <w:color w:val="auto"/>
                <w:sz w:val="22"/>
                <w:highlight w:val="none"/>
                <w:lang w:bidi="ar"/>
              </w:rPr>
              <w:t>CPU、主频：2.0GHz、算力1TOPS；</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2.存储不低于：内存2GB、硬盘16GB；</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3.双显示屏，显示屏尺寸大于15寸，分辨率不小于1920*1080；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4.采用电容触摸屏，双屏均可多点触控；</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5.红外双目摄像头，200W像素、内置读卡模块、内置扫码模块、内置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80mm热敏打印机；</w:t>
            </w:r>
          </w:p>
        </w:tc>
      </w:tr>
      <w:tr w14:paraId="22E3C38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F076D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2461A1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小票打印机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A39217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1.数据传输方式：WiFi、4G全网通（移动、联通、电信）；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2.集成方式：API/驱动集成；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3.SIM卡：自带4G移动物联网卡；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4.监控管理：在线、缺纸状态查询；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5.内置声音：真人语音/嘀嘀；</w:t>
            </w:r>
          </w:p>
        </w:tc>
      </w:tr>
      <w:tr w14:paraId="0601FF1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B0F872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6C95B2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核销手持机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622B80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1.操作系统：Android11；</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2.处理器：Cortex-A53，4核1.5GHz；</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3.存储器：1GB RAM+8GB ROM；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4.显示屏：5.5"HD+，1440*720电容多点式触摸；；</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5.摄像头：前置：0.3MPFF(中国版本支持，海外版本选配)；后置：5MP</w:t>
            </w:r>
          </w:p>
        </w:tc>
      </w:tr>
      <w:tr w14:paraId="13E544A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0E2AE4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239C7D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4G流量卡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（1年）</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2E0AEB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1.配合手持机使用</w:t>
            </w:r>
          </w:p>
        </w:tc>
      </w:tr>
      <w:tr w14:paraId="38BE958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379E62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6ED2FF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晨检机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FC565B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晨检数据上传：用户身份验证后，可按照设定晨检要求逐项核验及拍</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照，核验结果可在食堂安全监管营运平台查询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2.可正确识别手心或者手背。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3.可正确识别识别戒指、指甲油、（伤口）创口贴等，100次识别、准确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率100%；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4.支持今日健康状态反馈：用户可对今日健康状况行选择反馈；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5.支持测温功能可对人员进行体温测量并在显示屏进行显示，体温异常可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在显示屏提醒，包括体温正常、体温过低和您发烧了的提醒，非体温正常情况无法通过晨检；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6.晨检健康答题，通过触摸屏选择正确答案方可通过晨检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7.晨检视频记录：晨检时，可通过人脸识别摄像头记录晨检过程的视频</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并保存到食堂安全监管营运平台</w:t>
            </w:r>
          </w:p>
          <w:p w14:paraId="26A3DF9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8.晨检尾随抓拍：可关联红外光栅和摄像头，关联后晨检通过用户以外的</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其他人员尾随时可记录异常情况；</w:t>
            </w:r>
          </w:p>
        </w:tc>
      </w:tr>
      <w:tr w14:paraId="52EA6E4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44584F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B4AFB4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智能单门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留样柜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7698E3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1.菜品留样专人管理，人脸识别开柜；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2.菜品扫码出入柜，实时记录菜品信息；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3.菜品留样时长管理，未达时长取出报警；</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4.菜谱和留样记录比对，即时提醒未留样菜品；</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5.支持人脸识别验证人员信息；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6.支持扫码识别留样菜品信息；</w:t>
            </w:r>
          </w:p>
        </w:tc>
      </w:tr>
      <w:tr w14:paraId="17AE68F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624CC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AA1EAE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留样称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CB10DA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尺寸：定制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1.留样管控：未达规定重量不给予打印，重量达标方可打印</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2.AI识别：自动检测样品、AI识别菜品名称（供应商需提供具有CMA认证的检测机构出具的产品检测报告来证明，并标明在此条在检测报告对应的条目）；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3.内置2000个以上菜品库，常规菜品无需录入即可识别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4.打印内容：菜品名称、档口、餐次、留样量、留样人、有效期、留样时</w:t>
            </w:r>
          </w:p>
        </w:tc>
      </w:tr>
      <w:tr w14:paraId="77E29B7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58A504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9BFD66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农残检测仪</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72F256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1.机箱采用塑料箱，方便携带，稳固耐用，便于流动测试。</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2.安卓操作系统，采用更加人性化操作，主控采用多核处理器，主频</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1.88Ghz。</w:t>
            </w:r>
          </w:p>
        </w:tc>
      </w:tr>
      <w:tr w14:paraId="1EE33C5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360C57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6292A2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智能厨房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网关</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014B9E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1.温湿度检测：实时显示温湿度传感器所处环境的温度值及湿度值。</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2.空气质量检测：实时显示气体检测传感器所处环境的TVOC、一氧化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碳、甲烷浓度。</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3.烟感检测：实时显示烟雾传感器所处环境是否产生烟雾报警状态。</w:t>
            </w:r>
          </w:p>
        </w:tc>
      </w:tr>
      <w:tr w14:paraId="31527F1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696CD3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C8B72E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温湿度传感器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4BB95C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1.实时监测并显示设备所处环境的温度值及湿度值；</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2.直流供电：DC10-30V；</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3.最大功耗：0.4W；</w:t>
            </w:r>
          </w:p>
        </w:tc>
      </w:tr>
      <w:tr w14:paraId="6A43725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5F74DF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223106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烟雾检测器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917F2C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1.支持全方位360°监测烟雾并发出警报的功能；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2.静态功耗：0.12W；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3.报警功耗：0.7W；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4.报警声响：≥80dB；</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5.信号输出：RS485；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6.通信协议：ModBus-RTU；</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7.烟雾灵敏度：1.06±0.26%FT；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8.符合标准：GB4715-2005；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9.工作环境：-10℃~50℃,≤95%（非结露）；</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10.重量：170g；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11.供电电源：10~30VDC；</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12.尺寸：103mm*55mm。</w:t>
            </w:r>
          </w:p>
        </w:tc>
      </w:tr>
      <w:tr w14:paraId="25D3EFD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F42E44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56E0F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AI分析终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端（16</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EF0BB9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1.可对接16台摄像机，支持对每个摄像机配置算法，算法可包括环境风</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险、人员着装和人员行为；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2.环境风险算法（老鼠检测，垃圾桶未盖检测，动火离人检测同时实</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现）；</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3.人员着装算法（厨师服检测，厨师帽检测，手套检测，口罩检测同时实</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现）；</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4.人员行为算法（抽烟、打电话、看手机、睡岗同时实现）；</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5.可接入符合GB/T 28181标准的高清网络摄像机；</w:t>
            </w:r>
          </w:p>
        </w:tc>
      </w:tr>
      <w:tr w14:paraId="750DCFD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E71C99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180C6E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16路硬盘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录像机NVR</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（2盘位）</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455B72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1.主处理器：嵌入式微控制器；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2.操作系统：嵌入式Linux操作系统；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3.操作界面：Web，本地GUI；</w:t>
            </w:r>
          </w:p>
        </w:tc>
      </w:tr>
      <w:tr w14:paraId="2314EEC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98D973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0178B5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6T硬盘</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8DC1A4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1.单盘容量：6TB；</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2.硬盘接口：SATA；</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3.转速：5400RPM；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4.缓存：256MB</w:t>
            </w:r>
          </w:p>
        </w:tc>
      </w:tr>
      <w:tr w14:paraId="1E30CC5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B8E18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4600AF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摄像机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（400万像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素）-枪机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2A8CC4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1.传感器类型：1/3英寸CMOS；</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2.像素：400万；</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3.最大分辨率：2560×1440；</w:t>
            </w:r>
          </w:p>
        </w:tc>
      </w:tr>
      <w:tr w14:paraId="6303DCE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B0242A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13B762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24口POE</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交换机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（千兆）</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C30249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1.千兆RJ45端口：24个；</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2.千兆SFP端口：2个；</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3.IEEE802.3af/atPoE端口：24个；</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4.最大整机PoE供电功率：225W。</w:t>
            </w:r>
          </w:p>
        </w:tc>
      </w:tr>
      <w:tr w14:paraId="3AA7BB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89ECF0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AC8C9F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智能电子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秤</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（AI版本+</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卡码脸+打</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印+蓄电</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CFD469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1.CPU：不小于八核2.4GHz，NPU不小于6Tops</w:t>
            </w:r>
          </w:p>
          <w:p w14:paraId="020D97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.存储：内存不小于4GB、硬盘不小于32G；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3.显示屏：不小于15.6英寸电容触摸屏（支持多点触控），分辨率不小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于1920*1080；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4.通讯方式：支持WLAN/WIFI/4G；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5.量程：0-150kg，可精确到10g；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6.打印机：内置58mm热敏打印机，打印速度100毫米/秒；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7.蓄电池：内置12V/7AH蓄电池,满电可工作不小于2小时；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8.摄像头：1个红外双目摄像头，不小于200万像素，1个单目摄像头，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不小于200W像素，带补光灯；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9.材质：秤架结构高强度碳钢秤架，201不锈钢秤盘；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10.外部接口：1个USB扩展口、1个RJ45、1个电源DC口；</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11.外接设备：支持外接扫码枪；</w:t>
            </w:r>
          </w:p>
        </w:tc>
      </w:tr>
      <w:tr w14:paraId="52EE6FF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B4FFDA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8293B0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条码枪</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240B05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1.产品颜色：黑色；</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2.扫码类别：一维码；</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3.扫描原理：激光式；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4.抗震能力：1-1.5m；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5.产品材质：ABS+TPU；</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6.按键寿命：≥500万次；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7.重量：380g；</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8.尺寸：168*72*88mm；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9.配置：扫描枪×1、USB接收器×1、充电线×1；</w:t>
            </w:r>
          </w:p>
        </w:tc>
      </w:tr>
      <w:tr w14:paraId="47245CF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21ACB7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3619EF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机柜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F9CAD3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1.22U网络机柜1200*600*800mm19英寸标准机房弱电机柜</w:t>
            </w:r>
          </w:p>
        </w:tc>
      </w:tr>
      <w:tr w14:paraId="36FD60D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095B5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0D9B07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24口千兆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交换机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EA18D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1.散热方式：自然散热；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2.上行端口速率：千兆；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3.下行端口速率：千兆；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4.端口数量：24口；</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5.端口类型：电口；</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6.网管类型：非网管；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7.下行接口类型：以太网交换机端口；</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8.供电功能：非POE供电；</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9.适用场景：接入交换机；</w:t>
            </w:r>
          </w:p>
        </w:tc>
      </w:tr>
      <w:tr w14:paraId="3EED5FA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15FEE1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91F41F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智慧食堂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运输及系</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统安装调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试服务</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21CE9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eastAsia="zh-CN" w:bidi="ar"/>
              </w:rPr>
              <w:t>系统安装调试运输培训</w:t>
            </w:r>
          </w:p>
        </w:tc>
      </w:tr>
      <w:tr w14:paraId="4D1CFFF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F8302C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542AF5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电热恒温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暖饭车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AB6091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.尺寸：700*700*868</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45D958C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9B43A8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B8578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电热十桶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保温粥车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30EA13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尺寸：1900*800*850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41AE600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DC9BF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35849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电热煮面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连汤炉</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（方孔）</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DFAEFB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.尺寸：960*650*910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.水缸采用不锈钢材质，快速升温效率高。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.独立汤池不串味，易清洗。</w:t>
            </w:r>
          </w:p>
        </w:tc>
      </w:tr>
      <w:tr w14:paraId="7F1A1C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965529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772483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五格售饭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柜连蒸菜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柜带双层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小碗菜放</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置架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CABFA9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尺寸：1500*800*810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30967B1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DDCE9E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772690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98%净化效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率油烟净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化集成一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87504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尺寸：3000*1300*960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52170D4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329AE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7A04E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电热恒温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暖饭车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CD0063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尺寸：700*700*868</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6B1E676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33568C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AAEB3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电热十桶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保温粥车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7774E5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尺寸：1900*800*850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60304AB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F04CAC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66A939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电热煮面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连汤炉</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（方孔）</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2C0620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尺寸：960*650*910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.水缸采用不锈钢材质，加粗发热管，快速升温效率高。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.独立汤池不串味，易清洗。</w:t>
            </w:r>
          </w:p>
        </w:tc>
      </w:tr>
      <w:tr w14:paraId="55A7049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BD3FF6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9DDC93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五格售饭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柜连蒸菜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柜带双层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小碗菜放</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置架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AA8110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尺寸：1500*800*810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28B964D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970A86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FFFD8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98%净化效率油烟净化集成一体机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3A18ED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尺寸：3000*1300*960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p>
        </w:tc>
      </w:tr>
    </w:tbl>
    <w:p w14:paraId="7E05B4E1">
      <w:pPr>
        <w:spacing w:line="264" w:lineRule="auto"/>
        <w:rPr>
          <w:rFonts w:ascii="黑体" w:hAnsi="黑体" w:eastAsia="黑体" w:cs="黑体"/>
          <w:color w:val="auto"/>
          <w:sz w:val="24"/>
          <w:szCs w:val="24"/>
          <w:highlight w:val="none"/>
        </w:rPr>
      </w:pPr>
      <w:r>
        <w:rPr>
          <w:rFonts w:hint="eastAsia" w:ascii="宋体" w:hAnsi="宋体"/>
          <w:color w:val="auto"/>
          <w:sz w:val="24"/>
          <w:highlight w:val="none"/>
        </w:rPr>
        <w:t>★</w:t>
      </w:r>
      <w:r>
        <w:rPr>
          <w:rFonts w:hint="eastAsia" w:ascii="宋体" w:hAnsi="宋体" w:cs="宋体"/>
          <w:bCs/>
          <w:color w:val="auto"/>
          <w:sz w:val="24"/>
          <w:szCs w:val="24"/>
          <w:highlight w:val="none"/>
        </w:rPr>
        <w:t>（二）商务要求</w:t>
      </w:r>
    </w:p>
    <w:p w14:paraId="13013185">
      <w:pPr>
        <w:spacing w:line="264" w:lineRule="auto"/>
        <w:ind w:firstLine="480" w:firstLineChars="200"/>
        <w:rPr>
          <w:rFonts w:cs="宋体"/>
          <w:color w:val="auto"/>
          <w:sz w:val="24"/>
          <w:szCs w:val="24"/>
          <w:highlight w:val="none"/>
        </w:rPr>
      </w:pPr>
      <w:r>
        <w:rPr>
          <w:rFonts w:hint="eastAsia" w:cs="宋体"/>
          <w:color w:val="auto"/>
          <w:sz w:val="24"/>
          <w:szCs w:val="24"/>
          <w:highlight w:val="none"/>
        </w:rPr>
        <w:t>1.报价要求：</w:t>
      </w:r>
    </w:p>
    <w:p w14:paraId="36FCEACE">
      <w:pPr>
        <w:spacing w:line="264" w:lineRule="auto"/>
        <w:ind w:firstLine="480" w:firstLineChars="200"/>
        <w:rPr>
          <w:rFonts w:cs="宋体"/>
          <w:bCs/>
          <w:color w:val="auto"/>
          <w:sz w:val="24"/>
          <w:szCs w:val="24"/>
          <w:highlight w:val="none"/>
        </w:rPr>
      </w:pPr>
      <w:r>
        <w:rPr>
          <w:rFonts w:hint="eastAsia" w:cs="宋体"/>
          <w:bCs/>
          <w:color w:val="auto"/>
          <w:sz w:val="24"/>
          <w:szCs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33D3CD3">
      <w:pPr>
        <w:spacing w:line="264" w:lineRule="auto"/>
        <w:ind w:firstLine="480" w:firstLineChars="200"/>
        <w:rPr>
          <w:rFonts w:cs="宋体"/>
          <w:bCs/>
          <w:color w:val="auto"/>
          <w:sz w:val="24"/>
          <w:szCs w:val="24"/>
          <w:highlight w:val="none"/>
        </w:rPr>
      </w:pPr>
      <w:r>
        <w:rPr>
          <w:rFonts w:hint="eastAsia" w:cs="宋体"/>
          <w:bCs/>
          <w:color w:val="auto"/>
          <w:sz w:val="24"/>
          <w:szCs w:val="24"/>
          <w:highlight w:val="none"/>
        </w:rPr>
        <w:t>（2）供应商的任何错漏、优惠、竞争性报价不得作为减轻责任、减少服务、增加收费、降低服务质量的理由。</w:t>
      </w:r>
    </w:p>
    <w:p w14:paraId="0F04995B">
      <w:pPr>
        <w:spacing w:line="264" w:lineRule="auto"/>
        <w:ind w:firstLine="480" w:firstLineChars="200"/>
        <w:rPr>
          <w:rFonts w:cs="宋体"/>
          <w:bCs/>
          <w:color w:val="auto"/>
          <w:sz w:val="24"/>
          <w:szCs w:val="24"/>
          <w:highlight w:val="none"/>
        </w:rPr>
      </w:pPr>
      <w:r>
        <w:rPr>
          <w:rFonts w:hint="eastAsia" w:cs="宋体"/>
          <w:bCs/>
          <w:color w:val="auto"/>
          <w:sz w:val="24"/>
          <w:szCs w:val="24"/>
          <w:highlight w:val="none"/>
        </w:rPr>
        <w:t>（3）供应商报价除包含招标文件中列明的项目外，还应包括保障产品正常使用应当具有的物资和服务，对产品正常使用应当具有的物资和服务理解不一致的以采购单位理解为准。</w:t>
      </w:r>
    </w:p>
    <w:p w14:paraId="51EEF487">
      <w:pPr>
        <w:spacing w:line="264" w:lineRule="auto"/>
        <w:ind w:firstLine="480" w:firstLineChars="200"/>
        <w:rPr>
          <w:rFonts w:ascii="宋体" w:hAnsi="宋体" w:cs="宋体"/>
          <w:bCs/>
          <w:color w:val="auto"/>
          <w:sz w:val="24"/>
          <w:szCs w:val="24"/>
          <w:highlight w:val="none"/>
        </w:rPr>
      </w:pPr>
      <w:r>
        <w:rPr>
          <w:rFonts w:hint="eastAsia" w:cs="宋体"/>
          <w:bCs/>
          <w:color w:val="auto"/>
          <w:sz w:val="24"/>
          <w:szCs w:val="24"/>
          <w:highlight w:val="none"/>
        </w:rPr>
        <w:t>（4）本项目最高限价</w:t>
      </w:r>
      <w:r>
        <w:rPr>
          <w:rFonts w:hint="eastAsia" w:cs="宋体"/>
          <w:bCs/>
          <w:color w:val="auto"/>
          <w:sz w:val="24"/>
          <w:szCs w:val="24"/>
          <w:highlight w:val="none"/>
        </w:rPr>
        <w:t>370万元</w:t>
      </w:r>
      <w:r>
        <w:rPr>
          <w:rFonts w:hint="eastAsia" w:cs="宋体"/>
          <w:bCs/>
          <w:color w:val="auto"/>
          <w:sz w:val="24"/>
          <w:szCs w:val="24"/>
          <w:highlight w:val="none"/>
        </w:rPr>
        <w:t>,供应商报价不得超过最高限价，否则做无效投标处理。</w:t>
      </w:r>
    </w:p>
    <w:p w14:paraId="29C9245D">
      <w:pPr>
        <w:spacing w:line="264"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2.项目验收</w:t>
      </w:r>
    </w:p>
    <w:p w14:paraId="70A23927">
      <w:pPr>
        <w:widowControl/>
        <w:ind w:firstLine="480" w:firstLineChars="200"/>
        <w:jc w:val="left"/>
        <w:rPr>
          <w:rFonts w:hint="eastAsia" w:ascii="宋体" w:hAnsi="宋体" w:cs="宋体"/>
          <w:color w:val="auto"/>
          <w:highlight w:val="none"/>
        </w:rPr>
      </w:pPr>
      <w:r>
        <w:rPr>
          <w:rFonts w:hint="eastAsia" w:ascii="宋体" w:hAnsi="宋体" w:cs="宋体"/>
          <w:color w:val="auto"/>
          <w:sz w:val="24"/>
          <w:szCs w:val="24"/>
          <w:highlight w:val="none"/>
        </w:rPr>
        <w:t>（1）如开箱检验不在合同设备交付时进行，则开箱检验时发现的合同设备的短缺、损坏或其他与合同约定不符合的情况下，责任承担方的约定：第一次验收：设备运抵甲方现场后，监理、甲方、乙方三方共同派员验收，如发生数量短少、外观缺损，由乙方负责免费补齐、调换。乙方同时提供质量检验合格证、设备测试报告、报关资料、商检证明及包装完整无破损等；</w:t>
      </w:r>
    </w:p>
    <w:p w14:paraId="02DA65BB">
      <w:pPr>
        <w:widowControl/>
        <w:ind w:firstLine="480" w:firstLineChars="200"/>
        <w:jc w:val="left"/>
        <w:rPr>
          <w:rFonts w:hint="eastAsia" w:ascii="宋体" w:hAnsi="宋体" w:cs="宋体"/>
          <w:color w:val="auto"/>
          <w:highlight w:val="none"/>
        </w:rPr>
      </w:pPr>
      <w:r>
        <w:rPr>
          <w:rFonts w:hint="eastAsia" w:ascii="宋体" w:hAnsi="宋体" w:cs="宋体"/>
          <w:color w:val="auto"/>
          <w:sz w:val="24"/>
          <w:szCs w:val="24"/>
          <w:highlight w:val="none"/>
        </w:rPr>
        <w:t>（2）第二次验收：设备安装、调试结束，联动试车24小时，达到验收标准，监理、甲方、乙方、使用方共同验收合格，并经相关部门验收合格；</w:t>
      </w:r>
    </w:p>
    <w:p w14:paraId="09E81355">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rPr>
        <w:t>最</w:t>
      </w:r>
      <w:r>
        <w:rPr>
          <w:rFonts w:hint="eastAsia" w:ascii="宋体" w:hAnsi="宋体" w:cs="宋体"/>
          <w:color w:val="auto"/>
          <w:sz w:val="24"/>
          <w:szCs w:val="24"/>
          <w:highlight w:val="none"/>
        </w:rPr>
        <w:t>终验收：质保期满，系统所有设备、材料及安装无质量问题，监理、甲方、乙方、使用方共同验收合格。说明：上述各次验收，无论是否通过了乙方的验收，均不能免除合同规定的乙方的责任与义务。</w:t>
      </w:r>
    </w:p>
    <w:p w14:paraId="21D2D94F">
      <w:pPr>
        <w:widowControl/>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（4）开箱检验完成后，双方应对合同设备进行安装、调试，以使其具备考核的状态。乙方按照合同约定完成合同设备的安装、调试工作。</w:t>
      </w:r>
    </w:p>
    <w:p w14:paraId="536B7D33">
      <w:pPr>
        <w:widowControl/>
        <w:ind w:firstLine="480" w:firstLineChars="200"/>
        <w:jc w:val="left"/>
        <w:rPr>
          <w:rFonts w:hint="eastAsia" w:ascii="宋体" w:hAnsi="宋体" w:cs="宋体"/>
          <w:color w:val="auto"/>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rPr>
        <w:t>售后服务要求：</w:t>
      </w:r>
    </w:p>
    <w:p w14:paraId="7EEB079C">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整套设备要求提供整体质量保证期24个月，每天24小时内有人服务。整体质量保证期内发生故障时，乙方接到报修后4小时内(或投标文件中另有相应高于本条约定标准的承诺的，按承诺执行)须到达维修，维修两次仍不能满足使用要求的，甲方有权另请有资质的单位维修或更换，其费用由乙方承担；</w:t>
      </w:r>
    </w:p>
    <w:p w14:paraId="1311FD10">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（2）乙方应提供设备的最低使用年限，在此期间内，不应发生非人为操作原因的重大故障(如无法使用、设备质保期内的故障等)，否则，甲方有权追究乙方的责任；</w:t>
      </w:r>
    </w:p>
    <w:p w14:paraId="4967922B">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（3）当备件停止生产的情况下，乙方应事先将停止生产的计划通知甲方，使甲方有足够的时间采购所需的备件；在停止生产后，如甲方要求，乙方应免费向甲方提供备件的蓝图、图纸和规格；</w:t>
      </w:r>
    </w:p>
    <w:p w14:paraId="561E606F">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（4）乙方应提供维保措施和计划(资质维修站地点、技术功能比例结构、收费标准等)；</w:t>
      </w:r>
    </w:p>
    <w:p w14:paraId="2A4442FD">
      <w:pPr>
        <w:widowControl/>
        <w:ind w:firstLine="480" w:firstLineChars="200"/>
        <w:jc w:val="left"/>
        <w:rPr>
          <w:rFonts w:cs="宋体"/>
          <w:bCs/>
          <w:color w:val="auto"/>
          <w:sz w:val="24"/>
          <w:szCs w:val="24"/>
          <w:highlight w:val="none"/>
        </w:rPr>
      </w:pPr>
      <w:r>
        <w:rPr>
          <w:rFonts w:hint="eastAsia" w:ascii="宋体" w:hAnsi="宋体" w:cs="宋体"/>
          <w:color w:val="auto"/>
          <w:sz w:val="24"/>
          <w:szCs w:val="24"/>
          <w:highlight w:val="none"/>
        </w:rPr>
        <w:t>（5）应提供的伴随服务:①安装调试中负责进行电气及机械设备维修、操作及对操作、维护人员的培训直到甲方人员可以掌握相应技能，免费提供上述服务；②)要求提供的备件：保证货物正常运行的标准配置的附件及专用工具，均应包括在货物的投标报价中，并应将数量和单价单列。</w:t>
      </w:r>
    </w:p>
    <w:p w14:paraId="489617AA">
      <w:pPr>
        <w:pStyle w:val="210"/>
        <w:spacing w:line="360" w:lineRule="auto"/>
        <w:ind w:firstLine="480" w:firstLineChars="200"/>
        <w:rPr>
          <w:rFonts w:hAnsi="宋体" w:cs="宋体"/>
          <w:bCs/>
          <w:color w:val="auto"/>
          <w:sz w:val="24"/>
          <w:szCs w:val="24"/>
          <w:highlight w:val="none"/>
          <w:lang w:eastAsia="zh-CN"/>
        </w:rPr>
      </w:pPr>
      <w:r>
        <w:rPr>
          <w:rFonts w:hint="eastAsia" w:hAnsi="宋体" w:cs="宋体"/>
          <w:bCs/>
          <w:color w:val="auto"/>
          <w:sz w:val="24"/>
          <w:szCs w:val="24"/>
          <w:highlight w:val="none"/>
          <w:lang w:eastAsia="zh-CN"/>
        </w:rPr>
        <w:t>4.付款条件</w:t>
      </w:r>
    </w:p>
    <w:p w14:paraId="547EF7B2">
      <w:pPr>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（1）预付款：合同签订后甲方签发书面供货通知书后30日内支付合同价格的</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0%作为预付款；</w:t>
      </w:r>
    </w:p>
    <w:p w14:paraId="2058899E">
      <w:pPr>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（2）进度款：</w:t>
      </w:r>
    </w:p>
    <w:p w14:paraId="17B90684">
      <w:pPr>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①乙方将设备、材料运抵安装现场后，甲方支付至该批次合同价格的60%；</w:t>
      </w:r>
    </w:p>
    <w:p w14:paraId="733BB389">
      <w:pPr>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②当安装调试完成后，经甲方消防和竣工验收合格，并提供经甲方认可的货物资料（包括但不限于《产品保修卡》、产品合格证等）后，甲方向乙方支付至对应批次合同价格的90%；</w:t>
      </w:r>
    </w:p>
    <w:p w14:paraId="703ABED0">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③项目采购过程中，对进场货物进行质量验收。设备和产品安装工程中，应按施工总承包单位创建鲁班奖质量和安全要求来施工。安装完成后，进行系统设备联调联试，符合项目</w:t>
      </w:r>
      <w:bookmarkStart w:id="139" w:name="_GoBack"/>
      <w:bookmarkEnd w:id="139"/>
      <w:r>
        <w:rPr>
          <w:rFonts w:hint="eastAsia" w:ascii="宋体" w:hAnsi="宋体" w:cs="宋体"/>
          <w:color w:val="auto"/>
          <w:sz w:val="24"/>
          <w:szCs w:val="24"/>
          <w:highlight w:val="none"/>
        </w:rPr>
        <w:t>竣工质量验收要求。</w:t>
      </w:r>
      <w:r>
        <w:rPr>
          <w:rFonts w:hint="eastAsia" w:ascii="宋体" w:hAnsi="宋体" w:cs="宋体"/>
          <w:color w:val="auto"/>
          <w:sz w:val="24"/>
          <w:szCs w:val="24"/>
          <w:highlight w:val="none"/>
        </w:rPr>
        <w:t>工程结算审核完成后且审计单位出具审定单并经各方签字确认后，支付至工程结算审计核定总价的</w:t>
      </w:r>
      <w:r>
        <w:rPr>
          <w:rFonts w:hint="eastAsia" w:ascii="宋体" w:hAnsi="宋体" w:cs="宋体"/>
          <w:color w:val="auto"/>
          <w:sz w:val="24"/>
          <w:szCs w:val="24"/>
          <w:highlight w:val="none"/>
          <w:lang w:val="en-US" w:eastAsia="zh-CN"/>
        </w:rPr>
        <w:t>97</w:t>
      </w:r>
      <w:r>
        <w:rPr>
          <w:rFonts w:hint="eastAsia" w:ascii="宋体" w:hAnsi="宋体" w:cs="宋体"/>
          <w:color w:val="auto"/>
          <w:sz w:val="24"/>
          <w:szCs w:val="24"/>
          <w:highlight w:val="none"/>
        </w:rPr>
        <w:t>%。</w:t>
      </w:r>
    </w:p>
    <w:p w14:paraId="6C517204">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④供应货物的保质期（质量保修期）2年，自竣工验收合格之日起计算，质保期满后</w:t>
      </w:r>
      <w:r>
        <w:rPr>
          <w:rFonts w:hint="eastAsia" w:ascii="宋体" w:hAnsi="宋体" w:cs="宋体"/>
          <w:color w:val="auto"/>
          <w:sz w:val="24"/>
          <w:szCs w:val="24"/>
          <w:highlight w:val="none"/>
        </w:rPr>
        <w:t>，所有设备、材料无质量问题，甲方向乙方结清质保金（无息）。</w:t>
      </w:r>
    </w:p>
    <w:p w14:paraId="58DBAA13">
      <w:pPr>
        <w:spacing w:line="264" w:lineRule="auto"/>
        <w:ind w:firstLine="480" w:firstLineChars="200"/>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人员要求 无</w:t>
      </w:r>
    </w:p>
    <w:p w14:paraId="553F8029">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6.其他要求</w:t>
      </w:r>
    </w:p>
    <w:p w14:paraId="566C7EC9">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招标文件中要求签订合同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2095D66B">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5F96CC52">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7462BB5C">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61F61673">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73E7F2AD">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5882B05">
      <w:pPr>
        <w:spacing w:before="145" w:after="145" w:line="264" w:lineRule="auto"/>
        <w:jc w:val="center"/>
        <w:outlineLvl w:val="0"/>
        <w:rPr>
          <w:rFonts w:ascii="黑体" w:hAnsi="黑体" w:eastAsia="黑体" w:cs="方正小标宋简体"/>
          <w:bCs/>
          <w:color w:val="auto"/>
          <w:sz w:val="32"/>
          <w:szCs w:val="32"/>
          <w:highlight w:val="none"/>
        </w:rPr>
      </w:pPr>
      <w:r>
        <w:rPr>
          <w:rFonts w:hint="eastAsia" w:ascii="黑体" w:hAnsi="黑体" w:eastAsia="黑体" w:cs="方正小标宋简体"/>
          <w:bCs/>
          <w:color w:val="auto"/>
          <w:sz w:val="32"/>
          <w:szCs w:val="32"/>
          <w:highlight w:val="none"/>
        </w:rPr>
        <w:t>政府采购合同（货物）</w:t>
      </w:r>
    </w:p>
    <w:p w14:paraId="378E38E9">
      <w:pPr>
        <w:spacing w:before="145" w:after="145" w:line="264"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合同编号：</w:t>
      </w:r>
    </w:p>
    <w:p w14:paraId="2538C687">
      <w:pPr>
        <w:spacing w:before="145" w:after="145" w:line="264" w:lineRule="auto"/>
        <w:outlineLvl w:val="0"/>
        <w:rPr>
          <w:rFonts w:ascii="宋体" w:hAnsi="宋体" w:cs="Courier New"/>
          <w:color w:val="auto"/>
          <w:sz w:val="24"/>
          <w:szCs w:val="24"/>
          <w:highlight w:val="none"/>
        </w:rPr>
      </w:pPr>
      <w:r>
        <w:rPr>
          <w:rFonts w:ascii="宋体" w:hAnsi="宋体" w:cs="Courier New"/>
          <w:color w:val="auto"/>
          <w:sz w:val="24"/>
          <w:szCs w:val="24"/>
          <w:highlight w:val="none"/>
        </w:rPr>
        <w:t>项目名称：项目编号：</w:t>
      </w:r>
    </w:p>
    <w:p w14:paraId="62EF6E57">
      <w:pPr>
        <w:spacing w:before="145" w:after="145" w:line="264"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甲方：（</w:t>
      </w:r>
      <w:r>
        <w:rPr>
          <w:rFonts w:hint="eastAsia" w:ascii="宋体" w:hAnsi="宋体" w:cs="Courier New"/>
          <w:color w:val="auto"/>
          <w:sz w:val="24"/>
          <w:szCs w:val="24"/>
          <w:highlight w:val="none"/>
        </w:rPr>
        <w:t>甲方</w:t>
      </w:r>
      <w:r>
        <w:rPr>
          <w:rFonts w:ascii="宋体" w:hAnsi="宋体" w:cs="Courier New"/>
          <w:color w:val="auto"/>
          <w:sz w:val="24"/>
          <w:szCs w:val="24"/>
          <w:highlight w:val="none"/>
        </w:rPr>
        <w:t>）</w:t>
      </w:r>
    </w:p>
    <w:p w14:paraId="7E74D501">
      <w:pPr>
        <w:spacing w:before="145" w:after="145" w:line="264"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乙方：（</w:t>
      </w:r>
      <w:r>
        <w:rPr>
          <w:rFonts w:hint="eastAsia" w:ascii="宋体" w:hAnsi="宋体" w:cs="Courier New"/>
          <w:color w:val="auto"/>
          <w:sz w:val="24"/>
          <w:szCs w:val="24"/>
          <w:highlight w:val="none"/>
        </w:rPr>
        <w:t>乙方</w:t>
      </w:r>
      <w:r>
        <w:rPr>
          <w:rFonts w:ascii="宋体" w:hAnsi="宋体" w:cs="Courier New"/>
          <w:color w:val="auto"/>
          <w:sz w:val="24"/>
          <w:szCs w:val="24"/>
          <w:highlight w:val="none"/>
        </w:rPr>
        <w:t>）</w:t>
      </w:r>
    </w:p>
    <w:p w14:paraId="4F1BADCD">
      <w:pPr>
        <w:ind w:firstLine="480" w:firstLineChars="200"/>
        <w:rPr>
          <w:rFonts w:ascii="宋体" w:hAnsi="宋体" w:cs="Courier New"/>
          <w:b/>
          <w:color w:val="auto"/>
          <w:sz w:val="24"/>
          <w:szCs w:val="24"/>
          <w:highlight w:val="none"/>
        </w:rPr>
      </w:pPr>
      <w:r>
        <w:rPr>
          <w:rFonts w:hint="eastAsia" w:ascii="宋体" w:hAnsi="宋体" w:cs="Courier New"/>
          <w:color w:val="auto"/>
          <w:sz w:val="24"/>
          <w:szCs w:val="24"/>
          <w:highlight w:val="none"/>
        </w:rPr>
        <w:t>甲、乙双方根据南京市公共资源交易中心江宁分中心组织的</w:t>
      </w:r>
      <w:r>
        <w:rPr>
          <w:rFonts w:hint="eastAsia" w:ascii="宋体" w:hAnsi="宋体" w:cs="Courier New"/>
          <w:color w:val="auto"/>
          <w:sz w:val="24"/>
          <w:szCs w:val="24"/>
          <w:highlight w:val="none"/>
          <w:u w:val="single"/>
          <w:lang w:val="en-US" w:eastAsia="zh-CN"/>
        </w:rPr>
        <w:t xml:space="preserve">    </w:t>
      </w:r>
      <w:r>
        <w:rPr>
          <w:rFonts w:ascii="宋体" w:hAnsi="宋体" w:cs="Courier New"/>
          <w:color w:val="auto"/>
          <w:sz w:val="24"/>
          <w:szCs w:val="24"/>
          <w:highlight w:val="none"/>
        </w:rPr>
        <w:t>项目公开招标结果，签署本合同。</w:t>
      </w:r>
    </w:p>
    <w:p w14:paraId="3B7E0155">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一、合同内容</w:t>
      </w:r>
    </w:p>
    <w:p w14:paraId="0DB3258E">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1.1</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6BC97580">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标的质量：按招标文件及投标文件执行。</w:t>
      </w:r>
    </w:p>
    <w:p w14:paraId="47CCA0ED">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1.3标的数量（规模）：按招标文件及投标文件执行。</w:t>
      </w:r>
    </w:p>
    <w:p w14:paraId="193AA9B6">
      <w:pPr>
        <w:widowControl/>
        <w:jc w:val="left"/>
        <w:rPr>
          <w:rFonts w:ascii="宋体" w:hAnsi="宋体" w:cs="Courier New"/>
          <w:color w:val="auto"/>
          <w:sz w:val="24"/>
          <w:szCs w:val="24"/>
          <w:highlight w:val="none"/>
        </w:rPr>
      </w:pPr>
      <w:r>
        <w:rPr>
          <w:rFonts w:hint="eastAsia" w:ascii="宋体" w:hAnsi="宋体" w:cs="Courier New"/>
          <w:color w:val="auto"/>
          <w:sz w:val="24"/>
          <w:szCs w:val="24"/>
          <w:highlight w:val="none"/>
        </w:rPr>
        <w:t>1.4履行时间（期限）：</w:t>
      </w:r>
      <w:r>
        <w:rPr>
          <w:rFonts w:hint="eastAsia" w:ascii="宋体" w:hAnsi="宋体" w:cs="宋体"/>
          <w:color w:val="auto"/>
          <w:sz w:val="24"/>
          <w:szCs w:val="24"/>
          <w:highlight w:val="none"/>
        </w:rPr>
        <w:t>接到甲方书面通知书后按通知书批次要求120日历日内完成</w:t>
      </w:r>
      <w:r>
        <w:rPr>
          <w:rFonts w:hint="eastAsia" w:ascii="宋体" w:hAnsi="宋体" w:cs="宋体"/>
          <w:color w:val="auto"/>
          <w:sz w:val="24"/>
          <w:szCs w:val="24"/>
          <w:highlight w:val="none"/>
        </w:rPr>
        <w:t>供货</w:t>
      </w:r>
      <w:r>
        <w:rPr>
          <w:rFonts w:hint="eastAsia" w:ascii="宋体" w:hAnsi="宋体" w:cs="宋体"/>
          <w:color w:val="auto"/>
          <w:sz w:val="24"/>
          <w:szCs w:val="24"/>
          <w:highlight w:val="none"/>
        </w:rPr>
        <w:t>。本项目按批次供货，每批次以甲方书面通知为准。</w:t>
      </w:r>
    </w:p>
    <w:p w14:paraId="7A9611BF">
      <w:pPr>
        <w:widowControl/>
        <w:jc w:val="left"/>
        <w:rPr>
          <w:rFonts w:ascii="宋体" w:hAnsi="宋体" w:cs="Courier New"/>
          <w:color w:val="auto"/>
          <w:sz w:val="24"/>
          <w:szCs w:val="24"/>
          <w:highlight w:val="none"/>
        </w:rPr>
      </w:pPr>
      <w:r>
        <w:rPr>
          <w:rFonts w:hint="eastAsia" w:ascii="宋体" w:hAnsi="宋体" w:cs="Courier New"/>
          <w:color w:val="auto"/>
          <w:sz w:val="24"/>
          <w:szCs w:val="24"/>
          <w:highlight w:val="none"/>
        </w:rPr>
        <w:t>1.5履行地点：</w:t>
      </w:r>
      <w:r>
        <w:rPr>
          <w:rFonts w:hint="eastAsia" w:ascii="宋体" w:hAnsi="宋体" w:cs="宋体"/>
          <w:color w:val="auto"/>
          <w:sz w:val="24"/>
          <w:szCs w:val="24"/>
          <w:highlight w:val="none"/>
        </w:rPr>
        <w:t>项目施工现场，具体按甲方要求。</w:t>
      </w:r>
    </w:p>
    <w:p w14:paraId="02AD9E27">
      <w:pPr>
        <w:widowControl/>
        <w:jc w:val="left"/>
        <w:rPr>
          <w:color w:val="auto"/>
          <w:highlight w:val="none"/>
        </w:rPr>
      </w:pPr>
      <w:r>
        <w:rPr>
          <w:rFonts w:hint="eastAsia" w:ascii="宋体" w:hAnsi="宋体" w:cs="Courier New"/>
          <w:color w:val="auto"/>
          <w:sz w:val="24"/>
          <w:szCs w:val="24"/>
          <w:highlight w:val="none"/>
        </w:rPr>
        <w:t>1.6履行方式：本项目为交钥匙工程，合同价款包括招标文件所确定的招标范围内全部工作内容的价格总和。其包含设备(包括配件及连接五金件等)吊装、组装就位、安装、质保期内维修、更换及保养等，并负责安装、调试，各类检验、检测、直至买、卖双方共同验收合格</w:t>
      </w:r>
      <w:r>
        <w:rPr>
          <w:rFonts w:hint="eastAsia" w:ascii="宋体" w:hAnsi="宋体" w:cs="Courier New"/>
          <w:color w:val="auto"/>
          <w:sz w:val="24"/>
          <w:szCs w:val="24"/>
          <w:highlight w:val="none"/>
        </w:rPr>
        <w:t>，</w:t>
      </w:r>
      <w:r>
        <w:rPr>
          <w:rFonts w:hint="eastAsia" w:ascii="宋体" w:hAnsi="宋体" w:cs="Courier New"/>
          <w:color w:val="auto"/>
          <w:sz w:val="24"/>
          <w:szCs w:val="24"/>
          <w:highlight w:val="none"/>
        </w:rPr>
        <w:t>还应包括但不限于乙方承担的本招标项目所需的深化设计费、材料采购、制作、供应、运输费、保管费、成品保护费、二次搬运费、安装费、检测试验费、建筑垃圾清运费、维护费、安装、缺陷修补以及合同文件中规定的其它工作义务所需的一切人工、材料、机械、管理费、利润、材料涨价以及为完成上述内容所必须的等发生的全部费用和本合同文件明示或暗示的所有风险、责任和义务费用。</w:t>
      </w:r>
    </w:p>
    <w:p w14:paraId="2985BF97">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1.7合同形式：</w:t>
      </w:r>
      <w:r>
        <w:rPr>
          <w:rFonts w:hint="eastAsia" w:ascii="宋体" w:hAnsi="宋体" w:cs="宋体"/>
          <w:color w:val="auto"/>
          <w:sz w:val="24"/>
          <w:szCs w:val="24"/>
          <w:highlight w:val="none"/>
        </w:rPr>
        <w:t>全费用固定综合单价。</w:t>
      </w:r>
    </w:p>
    <w:p w14:paraId="54566861">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1.8包装方式：按招标文件及投标文件执行。</w:t>
      </w:r>
    </w:p>
    <w:p w14:paraId="4965F2F2">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二、合同金额</w:t>
      </w:r>
    </w:p>
    <w:p w14:paraId="7DE6FFF2">
      <w:pPr>
        <w:pStyle w:val="210"/>
        <w:spacing w:line="264" w:lineRule="auto"/>
        <w:rPr>
          <w:rFonts w:hAnsi="宋体" w:cs="Courier New"/>
          <w:color w:val="auto"/>
          <w:sz w:val="24"/>
          <w:szCs w:val="24"/>
          <w:highlight w:val="none"/>
          <w:lang w:eastAsia="zh-CN"/>
        </w:rPr>
      </w:pPr>
      <w:r>
        <w:rPr>
          <w:rFonts w:hAnsi="宋体" w:cs="Courier New"/>
          <w:color w:val="auto"/>
          <w:sz w:val="24"/>
          <w:szCs w:val="24"/>
          <w:highlight w:val="none"/>
          <w:lang w:eastAsia="zh-CN"/>
        </w:rPr>
        <w:t>2.1</w:t>
      </w:r>
      <w:r>
        <w:rPr>
          <w:rFonts w:hint="eastAsia" w:hAnsi="宋体" w:cs="Courier New"/>
          <w:color w:val="auto"/>
          <w:sz w:val="24"/>
          <w:szCs w:val="24"/>
          <w:highlight w:val="none"/>
          <w:lang w:eastAsia="zh-CN"/>
        </w:rPr>
        <w:t>本合同金额为（大写）：____________________圆（____________________元）人民币。</w:t>
      </w:r>
    </w:p>
    <w:p w14:paraId="381A8B78">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三、技术资料</w:t>
      </w:r>
    </w:p>
    <w:p w14:paraId="4355762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3.1乙方应交付技术资料的名称、期限和方式：(1)应明确主要部件及主材的型号、品牌、制造商及出产地，提供货物配置一览表。(2)随货物提供的备品、配件的明细清单。(3)明确各类货物所要求的允许波动范围。随同报价文件提供产品技术性能说明书及产品样本等。(5)乙方所提供的货物或部件在货物交货时，应同时提供货物产品合格证书，所提供的货物、部件或配套件。（6）接到中标通知书后10天内，向甲方提供所供设备的有关图纸、资料，以满足设计院土建、电气、控制等专业施工设计的需要，得到甲方与设计院认可后，方能进行制造和安装。（7）安装调试完毕后应向甲方提供设备、材料的装箱清单、使用说明书、操作规程、保养、维护所必须的资料、设备出厂前的各项测试报告和产品合格证书。</w:t>
      </w:r>
    </w:p>
    <w:p w14:paraId="19C09956">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73EBD7C8">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四、知识产权</w:t>
      </w:r>
    </w:p>
    <w:p w14:paraId="2608D645">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4.1乙方应保证甲方在使用、接受本合同货物（包含与货物相关的服务）或其任何一部分时不受第三方提出侵犯其专利权、著作权、商标权、工业设计权、商业秘密等知识产权的起诉。一旦出现侵权，由乙方负全部责任。</w:t>
      </w:r>
    </w:p>
    <w:p w14:paraId="30D189C3">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五、产权担保</w:t>
      </w:r>
    </w:p>
    <w:p w14:paraId="0E67A8C7">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5.1乙方保证所交付的货物（包含与货物相关的服务）的所有权完全属于乙方且无任何抵押、查封等产权瑕疵。</w:t>
      </w:r>
    </w:p>
    <w:p w14:paraId="600B28FE">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六、履约保函</w:t>
      </w:r>
    </w:p>
    <w:p w14:paraId="0ECD93D9">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6.1签订合同5个工作日内，乙方按照合同金额</w:t>
      </w:r>
      <w:r>
        <w:rPr>
          <w:rFonts w:hint="eastAsia" w:ascii="宋体" w:hAnsi="宋体" w:cs="Courier New"/>
          <w:color w:val="auto"/>
          <w:sz w:val="24"/>
          <w:szCs w:val="24"/>
          <w:highlight w:val="none"/>
          <w:u w:val="single"/>
        </w:rPr>
        <w:t>3%</w:t>
      </w:r>
      <w:r>
        <w:rPr>
          <w:rFonts w:hint="eastAsia" w:ascii="宋体" w:hAnsi="宋体" w:cs="Courier New"/>
          <w:color w:val="auto"/>
          <w:sz w:val="24"/>
          <w:szCs w:val="24"/>
          <w:highlight w:val="none"/>
        </w:rPr>
        <w:t>缴纳履约保涵。合同履行结束后，甲方按以下约定退还：</w:t>
      </w:r>
    </w:p>
    <w:p w14:paraId="43039199">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6.1.1退还时间及条件：验收合格且合同履行期结束后5个工作日内。</w:t>
      </w:r>
    </w:p>
    <w:p w14:paraId="3A66D7F1">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6.1.2退还方式：扣除违约费用后一次性无息退还。</w:t>
      </w:r>
    </w:p>
    <w:p w14:paraId="62E2059D">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6.1.3不予退还的情形：合同约定的交付期内未履约完成、验收不合格、整改不到位等情形。</w:t>
      </w:r>
    </w:p>
    <w:p w14:paraId="32C26001">
      <w:pPr>
        <w:pStyle w:val="198"/>
        <w:ind w:left="0"/>
        <w:rPr>
          <w:color w:val="auto"/>
          <w:highlight w:val="none"/>
        </w:rPr>
      </w:pPr>
      <w:r>
        <w:rPr>
          <w:rFonts w:hint="eastAsia" w:ascii="宋体" w:hAnsi="宋体" w:cs="Courier New"/>
          <w:color w:val="auto"/>
          <w:kern w:val="2"/>
          <w:sz w:val="24"/>
          <w:szCs w:val="24"/>
          <w:highlight w:val="none"/>
          <w:lang w:val="en-US"/>
        </w:rPr>
        <w:t>6.2乙方可以采用</w:t>
      </w:r>
      <w:r>
        <w:rPr>
          <w:rFonts w:hint="eastAsia" w:ascii="宋体" w:hAnsi="宋体" w:eastAsia="宋体" w:cs="Courier New"/>
          <w:color w:val="auto"/>
          <w:kern w:val="2"/>
          <w:sz w:val="24"/>
          <w:szCs w:val="24"/>
          <w:highlight w:val="none"/>
          <w:lang w:val="en-US"/>
        </w:rPr>
        <w:t>银行、</w:t>
      </w:r>
      <w:r>
        <w:rPr>
          <w:rFonts w:hint="eastAsia" w:ascii="宋体" w:hAnsi="宋体" w:cs="Courier New"/>
          <w:color w:val="auto"/>
          <w:kern w:val="2"/>
          <w:sz w:val="24"/>
          <w:szCs w:val="24"/>
          <w:highlight w:val="none"/>
          <w:lang w:val="en-US"/>
        </w:rPr>
        <w:t>保险公司、</w:t>
      </w:r>
      <w:r>
        <w:rPr>
          <w:rFonts w:hint="eastAsia" w:ascii="宋体" w:hAnsi="宋体" w:eastAsia="宋体" w:cs="Courier New"/>
          <w:color w:val="auto"/>
          <w:kern w:val="2"/>
          <w:sz w:val="24"/>
          <w:szCs w:val="24"/>
          <w:highlight w:val="none"/>
          <w:lang w:val="en-US"/>
        </w:rPr>
        <w:t>担保公司等</w:t>
      </w:r>
      <w:r>
        <w:rPr>
          <w:rFonts w:hint="eastAsia" w:ascii="宋体" w:hAnsi="宋体" w:cs="Courier New"/>
          <w:color w:val="auto"/>
          <w:kern w:val="2"/>
          <w:sz w:val="24"/>
          <w:szCs w:val="24"/>
          <w:highlight w:val="none"/>
          <w:lang w:val="en-US"/>
        </w:rPr>
        <w:t>第三方机构</w:t>
      </w:r>
      <w:r>
        <w:rPr>
          <w:rFonts w:hint="eastAsia" w:ascii="宋体" w:hAnsi="宋体" w:eastAsia="宋体" w:cs="Courier New"/>
          <w:color w:val="auto"/>
          <w:kern w:val="2"/>
          <w:sz w:val="24"/>
          <w:szCs w:val="24"/>
          <w:highlight w:val="none"/>
          <w:lang w:val="en-US"/>
        </w:rPr>
        <w:t>出具的</w:t>
      </w:r>
      <w:r>
        <w:rPr>
          <w:rFonts w:hint="eastAsia" w:ascii="宋体" w:hAnsi="宋体" w:cs="Courier New"/>
          <w:color w:val="auto"/>
          <w:kern w:val="2"/>
          <w:sz w:val="24"/>
          <w:szCs w:val="24"/>
          <w:highlight w:val="none"/>
          <w:lang w:val="en-US"/>
        </w:rPr>
        <w:t>履约保函（保险）代替缴纳履约保证金，</w:t>
      </w:r>
      <w:r>
        <w:rPr>
          <w:rFonts w:hint="eastAsia" w:ascii="宋体" w:hAnsi="宋体" w:eastAsia="宋体" w:cs="Courier New"/>
          <w:color w:val="auto"/>
          <w:kern w:val="2"/>
          <w:sz w:val="24"/>
          <w:szCs w:val="24"/>
          <w:highlight w:val="none"/>
          <w:lang w:val="en-US"/>
        </w:rPr>
        <w:t>保函（保险）有效期届满且担保人按照约定履行了担保责任后自动失效</w:t>
      </w:r>
      <w:r>
        <w:rPr>
          <w:rFonts w:hint="eastAsia" w:ascii="宋体" w:hAnsi="宋体" w:cs="Courier New"/>
          <w:color w:val="auto"/>
          <w:kern w:val="2"/>
          <w:sz w:val="24"/>
          <w:szCs w:val="24"/>
          <w:highlight w:val="none"/>
          <w:lang w:val="en-US"/>
        </w:rPr>
        <w:t>。如乙方未按要求履行合同义务，由担保人按照合同约定对甲方承担赔偿责任</w:t>
      </w:r>
      <w:r>
        <w:rPr>
          <w:rFonts w:hint="eastAsia" w:ascii="宋体" w:hAnsi="宋体" w:eastAsia="宋体" w:cs="Courier New"/>
          <w:color w:val="auto"/>
          <w:kern w:val="2"/>
          <w:sz w:val="24"/>
          <w:szCs w:val="24"/>
          <w:highlight w:val="none"/>
          <w:lang w:val="en-US"/>
        </w:rPr>
        <w:t>。</w:t>
      </w:r>
    </w:p>
    <w:p w14:paraId="630453AB">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七、合同转包或分包</w:t>
      </w:r>
    </w:p>
    <w:p w14:paraId="7FEA56A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7.1乙方不得将合同标的转包给他人履行。</w:t>
      </w:r>
    </w:p>
    <w:p w14:paraId="0DE4A68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7.2</w:t>
      </w:r>
      <w:r>
        <w:rPr>
          <w:rFonts w:hint="eastAsia" w:ascii="宋体" w:hAnsi="宋体" w:cs="Courier New"/>
          <w:color w:val="auto"/>
          <w:sz w:val="24"/>
          <w:szCs w:val="24"/>
          <w:highlight w:val="none"/>
        </w:rPr>
        <w:t>除招标文件接受分包并经甲方同意，乙方可按分包意向协议分包情况外，乙方不得将合同标的分包给他人履行。</w:t>
      </w:r>
    </w:p>
    <w:p w14:paraId="3B7B67A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7.3乙方如有转包或未经甲方同意的分包行为，甲方有权终止合同。</w:t>
      </w:r>
    </w:p>
    <w:p w14:paraId="0D94CE09">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八、合同款项支付</w:t>
      </w:r>
    </w:p>
    <w:p w14:paraId="61328B44">
      <w:pPr>
        <w:pStyle w:val="210"/>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8.1合同款项的支付方式及时间</w:t>
      </w:r>
    </w:p>
    <w:p w14:paraId="577531D5">
      <w:pPr>
        <w:pStyle w:val="210"/>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8.1.1合同款的支付方式：银行转账、汇票、本票、网银、电汇等</w:t>
      </w:r>
    </w:p>
    <w:p w14:paraId="53512138">
      <w:pPr>
        <w:pStyle w:val="210"/>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8.1.2支付时间及比例：</w:t>
      </w:r>
      <w:bookmarkStart w:id="132" w:name="OLE_LINK32"/>
      <w:bookmarkStart w:id="133" w:name="OLE_LINK33"/>
    </w:p>
    <w:p w14:paraId="03C14078">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（1）预付款：合同签订后甲方签发书面供货通知书后30日内支付合同价格的30%作为预付款；</w:t>
      </w:r>
    </w:p>
    <w:p w14:paraId="409B9B76">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（2）进度款：</w:t>
      </w:r>
    </w:p>
    <w:p w14:paraId="5351BB84">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①乙方将设备、材料运抵安装现场后，甲方支付至该批次合同价格的60%；</w:t>
      </w:r>
    </w:p>
    <w:p w14:paraId="0F898D8F">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②当安装调试完成后，提供经甲方认可的货物资料（包括但不限于《产品保修卡》、产品合格证等）后，甲方向乙方支付至对应批次合同价格的90%；</w:t>
      </w:r>
    </w:p>
    <w:p w14:paraId="2E4161A4">
      <w:pPr>
        <w:spacing w:line="264" w:lineRule="auto"/>
        <w:rPr>
          <w:rFonts w:hint="eastAsia" w:ascii="宋体" w:hAnsi="宋体" w:cs="Courier New"/>
          <w:color w:val="auto"/>
          <w:sz w:val="24"/>
          <w:szCs w:val="24"/>
          <w:highlight w:val="none"/>
          <w:lang w:eastAsia="zh-CN"/>
        </w:rPr>
      </w:pPr>
      <w:r>
        <w:rPr>
          <w:rFonts w:hint="eastAsia" w:ascii="宋体" w:hAnsi="宋体" w:cs="Courier New"/>
          <w:color w:val="auto"/>
          <w:sz w:val="24"/>
          <w:szCs w:val="24"/>
          <w:highlight w:val="none"/>
        </w:rPr>
        <w:t>③项目采购过程中，对进场货物进行质量验收。设备和产品安装工程中，应按施工总承包单位创建</w:t>
      </w:r>
      <w:r>
        <w:rPr>
          <w:rFonts w:hint="eastAsia" w:ascii="宋体" w:hAnsi="宋体" w:cs="Courier New"/>
          <w:color w:val="auto"/>
          <w:sz w:val="24"/>
          <w:szCs w:val="24"/>
          <w:highlight w:val="none"/>
        </w:rPr>
        <w:t>鲁班奖质量和安全要求来施工。安装完成后，进行系统设备联调联试，符合项目竣工质量验收要求。经甲方消防和竣工验收合格，工程结算审核完成后且审计单位出具审定单并经各方签字确认后，</w:t>
      </w:r>
      <w:r>
        <w:rPr>
          <w:rFonts w:hint="eastAsia" w:ascii="宋体" w:hAnsi="宋体" w:cs="Courier New"/>
          <w:color w:val="auto"/>
          <w:sz w:val="24"/>
          <w:szCs w:val="24"/>
          <w:highlight w:val="none"/>
        </w:rPr>
        <w:t>支付至工程结算审计核定总价的</w:t>
      </w:r>
      <w:r>
        <w:rPr>
          <w:rFonts w:hint="eastAsia" w:ascii="宋体" w:hAnsi="宋体" w:cs="Courier New"/>
          <w:color w:val="auto"/>
          <w:sz w:val="24"/>
          <w:szCs w:val="24"/>
          <w:highlight w:val="none"/>
          <w:lang w:val="en-US" w:eastAsia="zh-CN"/>
        </w:rPr>
        <w:t>97</w:t>
      </w:r>
      <w:r>
        <w:rPr>
          <w:rFonts w:hint="eastAsia" w:ascii="宋体" w:hAnsi="宋体" w:cs="Courier New"/>
          <w:color w:val="auto"/>
          <w:sz w:val="24"/>
          <w:szCs w:val="24"/>
          <w:highlight w:val="none"/>
        </w:rPr>
        <w:t>%</w:t>
      </w:r>
      <w:r>
        <w:rPr>
          <w:rFonts w:hint="eastAsia" w:ascii="宋体" w:hAnsi="宋体" w:cs="Courier New"/>
          <w:color w:val="auto"/>
          <w:sz w:val="24"/>
          <w:szCs w:val="24"/>
          <w:highlight w:val="none"/>
          <w:lang w:eastAsia="zh-CN"/>
        </w:rPr>
        <w:t>。</w:t>
      </w:r>
    </w:p>
    <w:p w14:paraId="4753009B">
      <w:pPr>
        <w:spacing w:line="264"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④</w:t>
      </w:r>
      <w:r>
        <w:rPr>
          <w:rFonts w:hint="eastAsia" w:ascii="宋体" w:hAnsi="宋体" w:cs="宋体"/>
          <w:color w:val="auto"/>
          <w:sz w:val="24"/>
          <w:szCs w:val="24"/>
          <w:highlight w:val="none"/>
        </w:rPr>
        <w:t>供应货物的保质期（质量保修期）2年，自竣工验收合格之日起计算，质保期满后</w:t>
      </w:r>
      <w:r>
        <w:rPr>
          <w:rFonts w:hint="eastAsia" w:ascii="宋体" w:hAnsi="宋体" w:cs="宋体"/>
          <w:color w:val="auto"/>
          <w:sz w:val="24"/>
          <w:szCs w:val="24"/>
          <w:highlight w:val="none"/>
        </w:rPr>
        <w:t>，所有设备、材料无质量问题，甲方向乙方结清</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质保金（无息）。</w:t>
      </w:r>
    </w:p>
    <w:bookmarkEnd w:id="132"/>
    <w:bookmarkEnd w:id="133"/>
    <w:p w14:paraId="5ACF2DCA">
      <w:pPr>
        <w:spacing w:line="264" w:lineRule="auto"/>
        <w:rPr>
          <w:rFonts w:hint="eastAsia"/>
          <w:color w:val="auto"/>
          <w:highlight w:val="none"/>
        </w:rPr>
      </w:pPr>
      <w:r>
        <w:rPr>
          <w:rFonts w:hint="eastAsia" w:ascii="宋体" w:hAnsi="宋体" w:cs="宋体"/>
          <w:color w:val="auto"/>
          <w:sz w:val="24"/>
          <w:szCs w:val="24"/>
          <w:highlight w:val="none"/>
        </w:rPr>
        <w:t>8.2</w:t>
      </w:r>
      <w:r>
        <w:rPr>
          <w:rFonts w:hint="eastAsia" w:ascii="宋体" w:hAnsi="宋体" w:cs="Courier New"/>
          <w:color w:val="auto"/>
          <w:sz w:val="24"/>
          <w:szCs w:val="24"/>
          <w:highlight w:val="none"/>
        </w:rPr>
        <w:t>甲方每次付款均以乙方开具等额正规增值税专用发票为前提，完税发票必须符合项目所在地税收征管要求。</w:t>
      </w:r>
      <w:r>
        <w:rPr>
          <w:rFonts w:hint="eastAsia" w:ascii="宋体" w:hAnsi="宋体" w:cs="宋体"/>
          <w:color w:val="auto"/>
          <w:sz w:val="24"/>
          <w:szCs w:val="24"/>
          <w:highlight w:val="none"/>
        </w:rPr>
        <w:t>每次付款的同时，乙方需开具抬头为</w:t>
      </w:r>
      <w:r>
        <w:rPr>
          <w:rFonts w:hint="eastAsia" w:ascii="宋体" w:hAnsi="宋体" w:cs="宋体"/>
          <w:color w:val="auto"/>
          <w:sz w:val="24"/>
          <w:szCs w:val="24"/>
          <w:highlight w:val="none"/>
        </w:rPr>
        <w:t>“南京市江宁</w:t>
      </w:r>
      <w:r>
        <w:rPr>
          <w:rFonts w:hint="eastAsia" w:ascii="宋体" w:hAnsi="宋体" w:cs="宋体"/>
          <w:color w:val="auto"/>
          <w:sz w:val="24"/>
          <w:szCs w:val="24"/>
          <w:highlight w:val="none"/>
          <w:lang w:val="en-US" w:eastAsia="zh-CN"/>
        </w:rPr>
        <w:t>妇幼保健院</w:t>
      </w:r>
      <w:r>
        <w:rPr>
          <w:rFonts w:hint="eastAsia" w:ascii="宋体" w:hAnsi="宋体" w:cs="宋体"/>
          <w:color w:val="auto"/>
          <w:sz w:val="24"/>
          <w:szCs w:val="24"/>
          <w:highlight w:val="none"/>
        </w:rPr>
        <w:t>”</w:t>
      </w:r>
      <w:r>
        <w:rPr>
          <w:rFonts w:hint="eastAsia" w:ascii="宋体" w:hAnsi="宋体" w:cs="宋体"/>
          <w:color w:val="auto"/>
          <w:sz w:val="24"/>
          <w:szCs w:val="24"/>
          <w:highlight w:val="none"/>
        </w:rPr>
        <w:t>的</w:t>
      </w:r>
      <w:r>
        <w:rPr>
          <w:rFonts w:hint="eastAsia" w:ascii="宋体" w:hAnsi="宋体" w:cs="宋体"/>
          <w:color w:val="auto"/>
          <w:sz w:val="24"/>
          <w:szCs w:val="24"/>
          <w:highlight w:val="none"/>
        </w:rPr>
        <w:t>合法有效的普通发票</w:t>
      </w:r>
      <w:r>
        <w:rPr>
          <w:rFonts w:hint="eastAsia" w:ascii="宋体" w:hAnsi="宋体" w:cs="宋体"/>
          <w:color w:val="auto"/>
          <w:sz w:val="24"/>
          <w:szCs w:val="24"/>
          <w:highlight w:val="none"/>
        </w:rPr>
        <w:t>，否则甲方有权拒绝付款，且不承担违约责任。付款申请审核通过后由甲方付款给乙方。</w:t>
      </w:r>
    </w:p>
    <w:p w14:paraId="35449FF1">
      <w:pPr>
        <w:widowControl/>
        <w:jc w:val="left"/>
        <w:rPr>
          <w:rFonts w:hint="eastAsia"/>
          <w:color w:val="auto"/>
          <w:highlight w:val="none"/>
        </w:rPr>
      </w:pPr>
      <w:r>
        <w:rPr>
          <w:rFonts w:hint="eastAsia" w:ascii="宋体" w:hAnsi="宋体" w:cs="宋体"/>
          <w:color w:val="auto"/>
          <w:sz w:val="24"/>
          <w:szCs w:val="24"/>
          <w:highlight w:val="none"/>
        </w:rPr>
        <w:t>开票信息：</w:t>
      </w:r>
    </w:p>
    <w:p w14:paraId="307285F4">
      <w:pPr>
        <w:spacing w:line="264" w:lineRule="auto"/>
        <w:rPr>
          <w:rFonts w:hint="eastAsia" w:ascii="宋体" w:hAnsi="宋体" w:cs="Courier New"/>
          <w:color w:val="auto"/>
          <w:sz w:val="24"/>
          <w:szCs w:val="24"/>
          <w:highlight w:val="none"/>
          <w:lang w:eastAsia="zh-CN"/>
        </w:rPr>
      </w:pPr>
      <w:r>
        <w:rPr>
          <w:rFonts w:hint="eastAsia" w:ascii="宋体" w:hAnsi="宋体" w:cs="Courier New"/>
          <w:color w:val="auto"/>
          <w:sz w:val="24"/>
          <w:szCs w:val="24"/>
          <w:highlight w:val="none"/>
        </w:rPr>
        <w:t>名称：南京市江宁妇幼保健</w:t>
      </w:r>
      <w:r>
        <w:rPr>
          <w:rFonts w:hint="eastAsia" w:ascii="宋体" w:hAnsi="宋体" w:cs="Courier New"/>
          <w:color w:val="auto"/>
          <w:sz w:val="24"/>
          <w:szCs w:val="24"/>
          <w:highlight w:val="none"/>
          <w:lang w:eastAsia="zh-CN"/>
        </w:rPr>
        <w:t>院</w:t>
      </w:r>
    </w:p>
    <w:p w14:paraId="15B6C6D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纳税人识别号：12320115426032456W</w:t>
      </w:r>
    </w:p>
    <w:p w14:paraId="2EE8FA04">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联系电话：52281381</w:t>
      </w:r>
    </w:p>
    <w:p w14:paraId="0A32EAE5">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地址：江宁区东山街道上元大街415号</w:t>
      </w:r>
    </w:p>
    <w:p w14:paraId="54ECDC89">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开户行：中行大市口支行</w:t>
      </w:r>
    </w:p>
    <w:p w14:paraId="44C6C1C0">
      <w:pPr>
        <w:spacing w:line="264" w:lineRule="auto"/>
        <w:rPr>
          <w:rFonts w:hint="default"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账号：5365 5819 1963</w:t>
      </w:r>
    </w:p>
    <w:p w14:paraId="0F385EA8">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8.3在合同履行过程中，如需对合同进行变更，合同各方应签订书面协议，并经合同各方法定代表人(单位负责人)或其授权代表签字并加盖公章或合同专用章后生效。</w:t>
      </w:r>
    </w:p>
    <w:p w14:paraId="7AA8BB28">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8.3.1合同价格调整</w:t>
      </w:r>
    </w:p>
    <w:p w14:paraId="3E38CE3A">
      <w:pPr>
        <w:widowControl/>
        <w:jc w:val="left"/>
        <w:rPr>
          <w:rFonts w:hint="eastAsia"/>
          <w:color w:val="auto"/>
          <w:highlight w:val="none"/>
        </w:rPr>
      </w:pPr>
      <w:r>
        <w:rPr>
          <w:rFonts w:hint="eastAsia" w:ascii="宋体" w:hAnsi="宋体" w:cs="宋体"/>
          <w:color w:val="auto"/>
          <w:sz w:val="24"/>
          <w:szCs w:val="24"/>
          <w:highlight w:val="none"/>
        </w:rPr>
        <w:t>（1）合同为固定不变单价，单价不因政策性调整和市场风险（包括但不限于原材料或人工价格成本等的波动）而调整。</w:t>
      </w:r>
    </w:p>
    <w:p w14:paraId="7378BC79">
      <w:pPr>
        <w:widowControl/>
        <w:jc w:val="left"/>
        <w:rPr>
          <w:rFonts w:hint="eastAsia"/>
          <w:color w:val="auto"/>
          <w:highlight w:val="none"/>
        </w:rPr>
      </w:pPr>
      <w:r>
        <w:rPr>
          <w:rFonts w:hint="eastAsia" w:ascii="宋体" w:hAnsi="宋体" w:cs="宋体"/>
          <w:color w:val="auto"/>
          <w:sz w:val="24"/>
          <w:szCs w:val="24"/>
          <w:highlight w:val="none"/>
        </w:rPr>
        <w:t>（2）合同费用已包含与其他施工单位的配合、交叉施工费用。</w:t>
      </w:r>
    </w:p>
    <w:p w14:paraId="071E7950">
      <w:pPr>
        <w:widowControl/>
        <w:jc w:val="left"/>
        <w:rPr>
          <w:rFonts w:hint="eastAsia"/>
          <w:color w:val="auto"/>
          <w:highlight w:val="none"/>
        </w:rPr>
      </w:pPr>
      <w:r>
        <w:rPr>
          <w:rFonts w:hint="eastAsia" w:ascii="宋体" w:hAnsi="宋体" w:cs="宋体"/>
          <w:color w:val="auto"/>
          <w:sz w:val="24"/>
          <w:szCs w:val="24"/>
          <w:highlight w:val="none"/>
        </w:rPr>
        <w:t>（3）合同价为固定全费用综合单价，乙方需在报价包含与本项目实施相关的一切费用，合同签订后，除相关法律、政策调整及不可抗力、本项目合同专用条款有约定的除外，合同综合单价不予调整；本次招标文件供货要求中已明确：深化设计应经甲方认可后方可安装，深化设计费用包含在合同总价中，节点深化后，不增加合同总价。图纸中要求及明确施工过程中其深化设计费用，请供应商投标报价时综合考虑，结算时不予增加。</w:t>
      </w:r>
    </w:p>
    <w:p w14:paraId="05E60BAE">
      <w:pPr>
        <w:widowControl/>
        <w:jc w:val="left"/>
        <w:rPr>
          <w:rFonts w:hint="eastAsia"/>
          <w:color w:val="auto"/>
          <w:highlight w:val="none"/>
        </w:rPr>
      </w:pPr>
      <w:r>
        <w:rPr>
          <w:rFonts w:hint="eastAsia" w:ascii="宋体" w:hAnsi="宋体" w:cs="宋体"/>
          <w:color w:val="auto"/>
          <w:sz w:val="24"/>
          <w:szCs w:val="24"/>
          <w:highlight w:val="none"/>
        </w:rPr>
        <w:t>（4）因设备清单漏项或非乙方原因的调整变更，造成增加新的清单项目，由于乙方原因造成的增加，由乙方承担。乙方因以上原因在引起价格调整的事项发生后的7天内且施工14天前向甲方提出报告，经监理单位、跟踪审单位审核并报甲方确认后调整。如果乙方未事先提交给甲方确认，则视为不引起合同价格的增加。</w:t>
      </w:r>
    </w:p>
    <w:p w14:paraId="35143243">
      <w:pPr>
        <w:widowControl/>
        <w:numPr>
          <w:ilvl w:val="0"/>
          <w:numId w:val="3"/>
        </w:numPr>
        <w:jc w:val="left"/>
        <w:rPr>
          <w:rFonts w:ascii="宋体" w:hAnsi="宋体" w:cs="宋体"/>
          <w:color w:val="auto"/>
          <w:sz w:val="24"/>
          <w:szCs w:val="24"/>
          <w:highlight w:val="none"/>
        </w:rPr>
      </w:pPr>
      <w:r>
        <w:rPr>
          <w:rFonts w:hint="eastAsia" w:ascii="宋体" w:hAnsi="宋体" w:cs="宋体"/>
          <w:color w:val="auto"/>
          <w:sz w:val="24"/>
          <w:szCs w:val="24"/>
          <w:highlight w:val="none"/>
        </w:rPr>
        <w:t>对于由乙方采购的材料（包括成品、半成品和配件等），乙方应根据材料规格、平面尺寸等自行测算其加工损耗，材料的加工辅助材料费用、加工人工机械费用、采保费、包装费、运输费、上下力费等均包含在合同价中。</w:t>
      </w:r>
    </w:p>
    <w:p w14:paraId="477C2CE9">
      <w:pPr>
        <w:widowControl/>
        <w:jc w:val="left"/>
        <w:rPr>
          <w:rFonts w:hint="eastAsia"/>
          <w:color w:val="auto"/>
          <w:highlight w:val="none"/>
        </w:rPr>
      </w:pPr>
      <w:r>
        <w:rPr>
          <w:rFonts w:hint="eastAsia" w:ascii="宋体" w:hAnsi="宋体" w:cs="宋体"/>
          <w:color w:val="auto"/>
          <w:sz w:val="24"/>
          <w:szCs w:val="24"/>
          <w:highlight w:val="none"/>
        </w:rPr>
        <w:t>8.4变更：</w:t>
      </w:r>
    </w:p>
    <w:p w14:paraId="4ED58E1D">
      <w:pPr>
        <w:widowControl/>
        <w:jc w:val="left"/>
        <w:rPr>
          <w:rFonts w:hint="eastAsia"/>
          <w:color w:val="auto"/>
          <w:highlight w:val="none"/>
        </w:rPr>
      </w:pPr>
      <w:r>
        <w:rPr>
          <w:rFonts w:hint="eastAsia" w:ascii="宋体" w:hAnsi="宋体" w:cs="宋体"/>
          <w:color w:val="auto"/>
          <w:sz w:val="24"/>
          <w:szCs w:val="24"/>
          <w:highlight w:val="none"/>
        </w:rPr>
        <w:t>（1）有效变更签证的认定原则：签证、变更单上必须有甲方代表、跟踪审计、监理工程师、乙方（项目部）、设计单位的共同签字和盖章，方可作为结算的依据；且签证单上必须附影像资料，明确签证的原因、位置、尺寸、数量、材料、人工、机械台班、价格等和签证时间。</w:t>
      </w:r>
    </w:p>
    <w:p w14:paraId="25F8AF58">
      <w:pPr>
        <w:widowControl/>
        <w:jc w:val="left"/>
        <w:rPr>
          <w:rFonts w:hint="eastAsia"/>
          <w:color w:val="auto"/>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rPr>
        <w:t>2</w:t>
      </w:r>
      <w:r>
        <w:rPr>
          <w:rFonts w:hint="eastAsia" w:ascii="宋体" w:hAnsi="宋体" w:cs="宋体"/>
          <w:color w:val="auto"/>
          <w:sz w:val="24"/>
          <w:szCs w:val="24"/>
          <w:highlight w:val="none"/>
        </w:rPr>
        <w:t>）对于临时用工的签证事项，双方应在签证通知单上协商确定以下问题：工作内容及工作量、工作时间、工作人数、取定的人工单价（是综合单价，已含管理费和利润）；</w:t>
      </w:r>
    </w:p>
    <w:p w14:paraId="3EBA080A">
      <w:pPr>
        <w:widowControl/>
        <w:jc w:val="left"/>
        <w:rPr>
          <w:rFonts w:hint="eastAsia"/>
          <w:color w:val="auto"/>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rPr>
        <w:t>3</w:t>
      </w:r>
      <w:r>
        <w:rPr>
          <w:rFonts w:hint="eastAsia" w:ascii="宋体" w:hAnsi="宋体" w:cs="宋体"/>
          <w:color w:val="auto"/>
          <w:sz w:val="24"/>
          <w:szCs w:val="24"/>
          <w:highlight w:val="none"/>
        </w:rPr>
        <w:t>）变更的工作内容完成之后，乙方要及时督促监理人员和甲方工地代表共同书面签字确认，对于隐蔽工程的签证，必须在覆盖前保留影像资料、完成验收手续、工程量的确认和费用的报送，否则甲方可以不予支付。</w:t>
      </w:r>
    </w:p>
    <w:p w14:paraId="44AEBF03">
      <w:pPr>
        <w:widowControl/>
        <w:jc w:val="left"/>
        <w:rPr>
          <w:rFonts w:hint="eastAsia"/>
          <w:color w:val="auto"/>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rPr>
        <w:t>4</w:t>
      </w:r>
      <w:r>
        <w:rPr>
          <w:rFonts w:hint="eastAsia" w:ascii="宋体" w:hAnsi="宋体" w:cs="宋体"/>
          <w:color w:val="auto"/>
          <w:sz w:val="24"/>
          <w:szCs w:val="24"/>
          <w:highlight w:val="none"/>
        </w:rPr>
        <w:t>）乙方每月25日前报送变更、签证预算；每月25日前，买卖双方应就截止上月末尚未确定最终审定价的变更的费用预算书，进行综合性核对和价格商谈，并形成核对与商谈记录清单。</w:t>
      </w:r>
    </w:p>
    <w:p w14:paraId="6E635FAC">
      <w:pPr>
        <w:widowControl/>
        <w:jc w:val="left"/>
        <w:rPr>
          <w:rFonts w:hint="eastAsia"/>
          <w:color w:val="auto"/>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rPr>
        <w:t>5</w:t>
      </w:r>
      <w:r>
        <w:rPr>
          <w:rFonts w:hint="eastAsia" w:ascii="宋体" w:hAnsi="宋体" w:cs="宋体"/>
          <w:color w:val="auto"/>
          <w:sz w:val="24"/>
          <w:szCs w:val="24"/>
          <w:highlight w:val="none"/>
        </w:rPr>
        <w:t>）经甲方现场项目部、监理、跟踪审计书面认可的变更签证造价费用须经买方及跟踪审计审核后方为有效。</w:t>
      </w:r>
    </w:p>
    <w:p w14:paraId="692A9B23">
      <w:pPr>
        <w:widowControl/>
        <w:jc w:val="left"/>
        <w:rPr>
          <w:rFonts w:hint="eastAsia"/>
          <w:color w:val="auto"/>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rPr>
        <w:t>6</w:t>
      </w:r>
      <w:r>
        <w:rPr>
          <w:rFonts w:hint="eastAsia" w:ascii="宋体" w:hAnsi="宋体" w:cs="宋体"/>
          <w:color w:val="auto"/>
          <w:sz w:val="24"/>
          <w:szCs w:val="24"/>
          <w:highlight w:val="none"/>
        </w:rPr>
        <w:t>）签证变更逾期提出，甲方对此将视作乙方无费用增加，不计入结算造价中；格式不符合规定的变更签证，甲方结算不予认可；费用减少的，无需签证，甲方可据实扣除。</w:t>
      </w:r>
    </w:p>
    <w:p w14:paraId="3396334A">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rPr>
        <w:t>7</w:t>
      </w:r>
      <w:r>
        <w:rPr>
          <w:rFonts w:hint="eastAsia" w:ascii="宋体" w:hAnsi="宋体" w:cs="宋体"/>
          <w:color w:val="auto"/>
          <w:sz w:val="24"/>
          <w:szCs w:val="24"/>
          <w:highlight w:val="none"/>
        </w:rPr>
        <w:t>）结算审计：工程竣工结算时，乙方应遵循实事求是的原则编制结算文件，乙方申报的工程结算及变更签证费用不得高估冒算。如经审计后的最终结算价核减额在乙方送审金额的5%（含5%）以内的，审计费用由甲方承担。如经审计后的最终结算价核减额在乙方送审金额的5%（不含5%）-10%（不含10%）区间内，则超出5%部分的审计费用由乙方承担。如经审计后的最终结算价核减额在乙方送审金额的10%（含10%）以上的，则所有审计费用由乙方承担。乙方签字确认结算审计报告后，应由乙方承担的结算审计费用，在乙方的合同款中直接扣除。合同（结）决算最终以政府审计的审定价为准。乙方应根据甲方要求，指定专人配合监理、审计，集中进行决算审核工作直至项目审计结束。审核工作完成后，乙方应在7天内对审计结果进行书面确认；如逾期视同乙方认可审计结果。</w:t>
      </w:r>
    </w:p>
    <w:p w14:paraId="21C9366D">
      <w:pPr>
        <w:widowControl/>
        <w:jc w:val="left"/>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九、税费</w:t>
      </w:r>
    </w:p>
    <w:p w14:paraId="672E48B2">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9.1本合同执行中的相关税费均由乙方负担。</w:t>
      </w:r>
    </w:p>
    <w:p w14:paraId="13986992">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十、质量保修范围和保修期及售后服务</w:t>
      </w:r>
    </w:p>
    <w:p w14:paraId="02E5B824">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10.1质保期服务：</w:t>
      </w:r>
    </w:p>
    <w:p w14:paraId="4DE94A87">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10.1.1乙方应按招标文件规定的货物性能、技术要求、质量标准向甲方提供未经使用的全新产品。</w:t>
      </w:r>
    </w:p>
    <w:p w14:paraId="16C5647A">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10.1.2乙方提供的货物在质保期内因货物本身的质量问题发生故障，乙方应负责免费更换。对达不到技术要求者，根据实际情况，经双方协商可按以下方式处理：</w:t>
      </w:r>
    </w:p>
    <w:p w14:paraId="279CBC3B">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10.1.2.1更换：由乙方承担所发生的全部费用。</w:t>
      </w:r>
    </w:p>
    <w:p w14:paraId="010523DF">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10.1.2.2贬值处理：由甲乙双方合议定价。</w:t>
      </w:r>
    </w:p>
    <w:p w14:paraId="5D392218">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10.1.2.3退货处理：乙方应退还甲方支付的合同款，同时应承担该货物的直接费用（运输、保险、检验、货款利息及银行手续费等）。</w:t>
      </w:r>
    </w:p>
    <w:p w14:paraId="4C1F8B01">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10.1.2如在使用过程中发生质量问题，乙方应在接到甲方通知后</w:t>
      </w:r>
      <w:r>
        <w:rPr>
          <w:rFonts w:hint="eastAsia" w:ascii="宋体" w:hAnsi="宋体" w:cs="Courier New"/>
          <w:color w:val="auto"/>
          <w:sz w:val="24"/>
          <w:szCs w:val="24"/>
          <w:highlight w:val="none"/>
          <w:u w:val="single"/>
        </w:rPr>
        <w:t>4</w:t>
      </w:r>
      <w:r>
        <w:rPr>
          <w:rFonts w:hint="eastAsia" w:ascii="宋体" w:hAnsi="宋体" w:cs="Courier New"/>
          <w:color w:val="auto"/>
          <w:sz w:val="24"/>
          <w:szCs w:val="24"/>
          <w:highlight w:val="none"/>
        </w:rPr>
        <w:t>小时内到达甲方现场。</w:t>
      </w:r>
    </w:p>
    <w:p w14:paraId="67A0D292">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10.1.3质保期内，乙方应对货物出现的质量及安全问题负责处理解决并承担一切费用。</w:t>
      </w:r>
    </w:p>
    <w:p w14:paraId="6897DDDF">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10.1.4质保期为自交货验收合格之日起</w:t>
      </w:r>
      <w:r>
        <w:rPr>
          <w:rFonts w:hint="eastAsia" w:ascii="宋体" w:hAnsi="宋体" w:cs="Courier New"/>
          <w:color w:val="auto"/>
          <w:sz w:val="24"/>
          <w:szCs w:val="24"/>
          <w:highlight w:val="none"/>
          <w:u w:val="single"/>
        </w:rPr>
        <w:t>2</w:t>
      </w:r>
      <w:r>
        <w:rPr>
          <w:rFonts w:hint="eastAsia" w:ascii="宋体" w:hAnsi="宋体" w:cs="Courier New"/>
          <w:color w:val="auto"/>
          <w:sz w:val="24"/>
          <w:szCs w:val="24"/>
          <w:highlight w:val="none"/>
        </w:rPr>
        <w:t>年，因人为因素出现的故障不在质保范围内。超过质保期的乙方负责终生维修，维修时只收取部件成本费。</w:t>
      </w:r>
    </w:p>
    <w:p w14:paraId="0D6C664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10.1.5质保期:从项目整体竣工验收备案之日起开始计算。乙方需确保项目完成后通过相关主管部门(包括但不限于环保、卫生、安监等)的验收，否则视为验收不合格，验收合格日以第二次验收的“设备交货验收证明”上的时间为准。如果法律法规规定的质保期或乙方承诺的设备质保期长于24个月的，按照最长时间执行。质保期间的维修保养由乙方直接负责。在质保期内，乙方接到报修后4小时内(或投标文件中另有相应高于本条约定标准的承诺的，按承诺执行)须到达维修，乙方未及时提供服务，甲方有权自行委托第三人维修，由此产生的费用由乙方承担。</w:t>
      </w:r>
    </w:p>
    <w:p w14:paraId="75062ED5">
      <w:pPr>
        <w:widowControl/>
        <w:jc w:val="left"/>
        <w:rPr>
          <w:rFonts w:hint="eastAsia"/>
          <w:color w:val="auto"/>
          <w:highlight w:val="none"/>
        </w:rPr>
      </w:pPr>
      <w:r>
        <w:rPr>
          <w:rFonts w:hint="eastAsia" w:ascii="宋体" w:hAnsi="宋体" w:cs="宋体"/>
          <w:color w:val="auto"/>
          <w:sz w:val="24"/>
          <w:szCs w:val="24"/>
          <w:highlight w:val="none"/>
        </w:rPr>
        <w:t>10.2售后服务要求：</w:t>
      </w:r>
    </w:p>
    <w:p w14:paraId="7CBD2805">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10.2.1整套设备要求提供整体质量保证期24个月，每天24小时内有人服务。整体质量保证期内发生故障时，乙方接到报修后4小时内(或投标文件中另有相应高于本条约定标准的承诺的，按承诺执行)须到达维修，维修两次仍不能满足使用要求的，甲方有权另请有资质的单位维修或更换，其费用由乙方承担；</w:t>
      </w:r>
    </w:p>
    <w:p w14:paraId="5193391A">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10.2.2乙方应提供设备的最低使用年限，在此期间内，不应发生非人为操作原因的重大故障(如无法使用、设备质保期内的故障等)，否则，甲方有权追究乙方的责任；</w:t>
      </w:r>
    </w:p>
    <w:p w14:paraId="12B805A7">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10.2.3当备件停止生产的情况下，乙方应事先将停止生产的计划通知甲方，使甲方有足够的时间采购所需的备件;在停止生产后，如甲方要求，乙方应免费向甲方提供备件的蓝图、图纸和规格；</w:t>
      </w:r>
    </w:p>
    <w:p w14:paraId="01353881">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10.2.4乙方应提供维保措施和计划(资质维修站地点、技术功能比例结构、收费标准等)；</w:t>
      </w:r>
    </w:p>
    <w:p w14:paraId="32831E3F">
      <w:pPr>
        <w:widowControl/>
        <w:jc w:val="left"/>
        <w:rPr>
          <w:rFonts w:ascii="宋体" w:hAnsi="宋体" w:cs="Courier New"/>
          <w:color w:val="auto"/>
          <w:sz w:val="24"/>
          <w:szCs w:val="24"/>
          <w:highlight w:val="none"/>
        </w:rPr>
      </w:pPr>
      <w:r>
        <w:rPr>
          <w:rFonts w:hint="eastAsia" w:ascii="宋体" w:hAnsi="宋体" w:cs="宋体"/>
          <w:color w:val="auto"/>
          <w:sz w:val="24"/>
          <w:szCs w:val="24"/>
          <w:highlight w:val="none"/>
        </w:rPr>
        <w:t>10.2.5应提供的伴随服务：①安装调试中负责进行电气及机械设备维修、操作及对操作、维护人员的培训直到甲方人员可以掌握相应技能，免费提供上述服务；②要求提供的备件：保证货物正常运行的标准配置的附件及专用工具，均应包括在货物的投标报价中，并应将数量和单价单列。</w:t>
      </w:r>
    </w:p>
    <w:p w14:paraId="1B16483F">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十一、项目验收</w:t>
      </w:r>
    </w:p>
    <w:p w14:paraId="2A9114F1">
      <w:pPr>
        <w:widowControl/>
        <w:jc w:val="left"/>
        <w:rPr>
          <w:color w:val="auto"/>
          <w:highlight w:val="none"/>
        </w:rPr>
      </w:pPr>
      <w:r>
        <w:rPr>
          <w:rFonts w:hint="eastAsia" w:ascii="宋体" w:hAnsi="宋体" w:cs="宋体"/>
          <w:color w:val="auto"/>
          <w:sz w:val="24"/>
          <w:szCs w:val="24"/>
          <w:highlight w:val="none"/>
        </w:rPr>
        <w:t>11.1检验时发现的合同设备的短缺、损坏或其他与合同约定不符合的情况下，责任承担方的约定：第一次验收：设备运抵甲方现场后，监理、甲方、乙方三方共同派员验收，如发生数量短少、外观缺损等问题，由乙方负责免费补齐、调换。乙方同时提供质量检验合格证、设备测试报告、报关资料、商检证明及包装完整无破损等；</w:t>
      </w:r>
    </w:p>
    <w:p w14:paraId="453AAB3D">
      <w:pPr>
        <w:widowControl/>
        <w:jc w:val="left"/>
        <w:rPr>
          <w:rFonts w:hint="eastAsia"/>
          <w:color w:val="auto"/>
          <w:highlight w:val="none"/>
        </w:rPr>
      </w:pPr>
      <w:r>
        <w:rPr>
          <w:rFonts w:hint="eastAsia" w:ascii="宋体" w:hAnsi="宋体" w:cs="宋体"/>
          <w:color w:val="auto"/>
          <w:sz w:val="24"/>
          <w:szCs w:val="24"/>
          <w:highlight w:val="none"/>
        </w:rPr>
        <w:t>11.2第二次验收：设备安装、调试结束后，联动试车24小时，监理、甲方、乙方、使用方共同进行验收，并经相关部门确认是否达到验收标准；</w:t>
      </w:r>
    </w:p>
    <w:p w14:paraId="741D7C4A">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11.3最终验收：质保期满后，若系统所有设备、材料及安装无质量问题，监理、甲方、乙方、使用方共同进行验收。说明：上述各次验收，无论是否通过了乙方的验收，均不能免除合同规定的乙方的责任与义务；</w:t>
      </w:r>
    </w:p>
    <w:p w14:paraId="0D44DC3A">
      <w:pPr>
        <w:widowControl/>
        <w:jc w:val="left"/>
        <w:rPr>
          <w:rFonts w:ascii="方正黑体_GBK" w:hAnsi="方正黑体_GBK" w:eastAsia="方正黑体_GBK" w:cs="方正黑体_GBK"/>
          <w:bCs/>
          <w:color w:val="auto"/>
          <w:sz w:val="24"/>
          <w:szCs w:val="24"/>
          <w:highlight w:val="none"/>
        </w:rPr>
      </w:pPr>
      <w:r>
        <w:rPr>
          <w:rFonts w:hint="eastAsia" w:ascii="宋体" w:hAnsi="宋体" w:cs="宋体"/>
          <w:color w:val="auto"/>
          <w:sz w:val="24"/>
          <w:szCs w:val="24"/>
          <w:highlight w:val="none"/>
        </w:rPr>
        <w:t>11.4乙方按照合同约定完成合</w:t>
      </w:r>
      <w:r>
        <w:rPr>
          <w:rFonts w:hint="eastAsia" w:ascii="宋体" w:hAnsi="宋体" w:cs="宋体"/>
          <w:color w:val="auto"/>
          <w:sz w:val="24"/>
          <w:szCs w:val="24"/>
          <w:highlight w:val="none"/>
        </w:rPr>
        <w:t>同设备的安装、调试工作。</w:t>
      </w:r>
      <w:r>
        <w:rPr>
          <w:rFonts w:hint="eastAsia" w:ascii="宋体" w:hAnsi="宋体" w:cs="宋体"/>
          <w:color w:val="auto"/>
          <w:sz w:val="24"/>
          <w:szCs w:val="24"/>
          <w:highlight w:val="none"/>
        </w:rPr>
        <w:t>双方应对合同设备进行安装、调试，以使其保持通过考核的状态。</w:t>
      </w:r>
    </w:p>
    <w:p w14:paraId="68C46E4E">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十二、货物的包装、发运及运输</w:t>
      </w:r>
    </w:p>
    <w:p w14:paraId="4119D0AF">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12.1乙方交付使用的批次和期限:</w:t>
      </w:r>
    </w:p>
    <w:p w14:paraId="45DAD6A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12.1.1乙方采购的材料、设备必须符合有关规范、设计图纸、招标文件规定的质量要求，并提供产品的资质资料，报甲方、监理、设计单位书面确认。甲方、监理、设计单位将在乙方提供生产厂家(分包单位)的资质资料后七个工作日内予以确认。乙方提供产品出厂证明、合格证书，并按规定在使用前进行材料检测或复试，不合格的不得使用，所有费用由乙方承担(甲方另行委托第三方检测的检测费用除外)，若因材料原因导致工期延误，乙方承担违约责任，每延误一天，按合同总价的0.5%向甲方偿付违约金。代用材料时，须经甲方书面认可。甲方可随时抽查。工程量清单中未确定品牌、规格及档次的材料必须经甲方认可后方可采购施工。</w:t>
      </w:r>
    </w:p>
    <w:p w14:paraId="2A08F40B">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12.1.2乙方应保证充足的货源，并按照甲方和项目实际进度分批次交付和安装，每批次的交货期：甲方在供货日期7天前向乙方发出供货通知(可采用电话、邮件、传真等方式)，乙方应在甲方要求的时间内完成各项工作、竣工验收并交付使用。</w:t>
      </w:r>
    </w:p>
    <w:p w14:paraId="25F42584">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12.1.3乙方至少提前发货日3天书面通知甲方准确交付资料，包括有关货物的预计发货时间、预计到达时间、装箱清单副本(包括品名、件数、尺寸、毛重净重)等说明货物情况的资料。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4C8AA2DD">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12.1.4乙方须在发货日7日前向甲方书面通知设备入场所需的场地条件和安装条件并经甲方书面确认，乙方在安装前确认安装环境，当场未提出异议并说明理由的视为认可现场条件，因乙方未提前通知或未及时确认所产生的保管、施工、工期延误等费用和青任，由乙方承担。</w:t>
      </w:r>
    </w:p>
    <w:p w14:paraId="33A98055">
      <w:pPr>
        <w:numPr>
          <w:ilvl w:val="0"/>
          <w:numId w:val="4"/>
        </w:num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违约责任</w:t>
      </w:r>
    </w:p>
    <w:p w14:paraId="69E0397B">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13.1乙方未按合同规定的质量、技术等标准要求履行合同（包括但不限于交货、安装、调试、保修），甲方有权拒收</w:t>
      </w:r>
      <w:r>
        <w:rPr>
          <w:rFonts w:hint="eastAsia" w:ascii="宋体" w:hAnsi="宋体" w:cs="宋体"/>
          <w:color w:val="auto"/>
          <w:sz w:val="24"/>
          <w:szCs w:val="24"/>
          <w:highlight w:val="none"/>
        </w:rPr>
        <w:t>或要求乙方进行退货、更换、重做，同时乙方应按照甲方要求无条件进行整改，直至验收合格。如果在甲方要求的时间内拒绝整改或经两次整改仍未能验收合格，甲方有权委托第三方采取补救措施，就此产生的费用由乙方承担；若单方解除本合同，乙方应向甲方支付总合同价款30%的违约责任；如果合同货物在检验、安装、试运行、性能考核和保证期内，乙方未能履行其在本合同项下承担的义务，乙方除按照本合同约定承担违约责任外，甲方有权向乙方提出下列救济方式：</w:t>
      </w:r>
    </w:p>
    <w:p w14:paraId="6DC45A04">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（1）由乙方自负费用修理有缺陷的合同货物或消除合同货物的缺陷或不符合合同之处。如果乙方不能派遣人员到工作现场，甲方有权自行消除缺陷或不符合合同之处，由此产生的一切费用均由乙方承担；</w:t>
      </w:r>
    </w:p>
    <w:p w14:paraId="07C1068D">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由乙方自负费用以新货物替换有缺陷的合同货物或用新的技术资料替换有错误的技术资料，或者补供遗漏的合同货物或技术资料，同时乙方应在重新起算的保证期内对替换后的货物作出质量保证。乙方应自负风险和费用将替换后的货物或补供的货物运抵工作现场。对于急需的货物，乙方应以最快捷的方式，包括专车直送、空运等方式送达工作现场，并承担相关费用；</w:t>
      </w:r>
    </w:p>
    <w:p w14:paraId="1FE7BC46">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（3）按质量低劣的程度、甲方受损害的程度及损失的数额对合同货物进行降价；</w:t>
      </w:r>
    </w:p>
    <w:p w14:paraId="09254246">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（4）由甲方拒收货物，乙方退还甲方已支付的合同价款，同时承担相关的损失和费用，包括利息、银行费用、运费、保费、检验费、仓储费、装卸费以及全部保管和维护被拒收货物必需的其它费用；</w:t>
      </w:r>
    </w:p>
    <w:p w14:paraId="7D3C735C">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（5）乙方赔偿由违</w:t>
      </w:r>
      <w:r>
        <w:rPr>
          <w:rFonts w:hint="eastAsia" w:ascii="宋体" w:hAnsi="宋体" w:cs="宋体"/>
          <w:color w:val="auto"/>
          <w:sz w:val="24"/>
          <w:szCs w:val="24"/>
          <w:highlight w:val="none"/>
        </w:rPr>
        <w:t>约引起的其他损失，包括但不限于因乙方原因导致甲方被第三方追责所产生的费用等。</w:t>
      </w:r>
    </w:p>
    <w:p w14:paraId="04160A00">
      <w:pPr>
        <w:widowControl/>
        <w:jc w:val="left"/>
        <w:rPr>
          <w:rFonts w:hint="eastAsia"/>
          <w:color w:val="auto"/>
          <w:highlight w:val="none"/>
        </w:rPr>
      </w:pPr>
      <w:r>
        <w:rPr>
          <w:rFonts w:hint="eastAsia" w:ascii="宋体" w:hAnsi="宋体" w:cs="宋体"/>
          <w:color w:val="auto"/>
          <w:sz w:val="24"/>
          <w:szCs w:val="24"/>
          <w:highlight w:val="none"/>
        </w:rPr>
        <w:t>（注：根据乙方违约的程度，甲方有权采取上述五种救济方式中的任何一种或几种）</w:t>
      </w:r>
    </w:p>
    <w:p w14:paraId="40A9CF14">
      <w:pPr>
        <w:widowControl/>
        <w:jc w:val="left"/>
        <w:rPr>
          <w:rFonts w:hint="eastAsia"/>
          <w:color w:val="auto"/>
          <w:highlight w:val="none"/>
        </w:rPr>
      </w:pPr>
      <w:r>
        <w:rPr>
          <w:rFonts w:hint="eastAsia" w:ascii="宋体" w:hAnsi="宋体" w:cs="宋体"/>
          <w:color w:val="auto"/>
          <w:sz w:val="24"/>
          <w:szCs w:val="24"/>
          <w:highlight w:val="none"/>
        </w:rPr>
        <w:t>13.2乙方不能按合同规定的时间提供合格货物、完成安装并验收合格或提供保修等服务时，甲方有权要求乙方按照合同总价的0.5%/天承担违约责任，如果逾期超过7日的，甲方有权单方解除本合同并追究乙方的违约责任。合同货物错发到货地点时，由此造成的直接损失和间接损失均由乙方负责赔偿。</w:t>
      </w:r>
    </w:p>
    <w:p w14:paraId="1E809849">
      <w:pPr>
        <w:widowControl/>
        <w:jc w:val="left"/>
        <w:rPr>
          <w:rFonts w:hint="eastAsia"/>
          <w:color w:val="auto"/>
          <w:highlight w:val="none"/>
        </w:rPr>
      </w:pPr>
      <w:r>
        <w:rPr>
          <w:rFonts w:hint="eastAsia" w:ascii="宋体" w:hAnsi="宋体" w:cs="宋体"/>
          <w:color w:val="auto"/>
          <w:sz w:val="24"/>
          <w:szCs w:val="24"/>
          <w:highlight w:val="none"/>
        </w:rPr>
        <w:t>13.3乙方有下列情形之一的，甲方有权单方解除合同：（1）未经甲方书面同意，将本合同约定权利义务转让给第三方。（2）侵犯他人合法权益的事情，包括但不限于知识产权、人身财产权益；（3）未履行合同信息保密和使用约定的；（4）未履行本合同约定其他义务的，经委托人催告后7日内，仍未整改的。</w:t>
      </w:r>
    </w:p>
    <w:p w14:paraId="22CA8FD2">
      <w:pPr>
        <w:widowControl/>
        <w:jc w:val="left"/>
        <w:rPr>
          <w:rFonts w:hint="eastAsia"/>
          <w:color w:val="auto"/>
          <w:highlight w:val="none"/>
        </w:rPr>
      </w:pPr>
      <w:r>
        <w:rPr>
          <w:rFonts w:hint="eastAsia" w:ascii="宋体" w:hAnsi="宋体" w:cs="宋体"/>
          <w:color w:val="auto"/>
          <w:sz w:val="24"/>
          <w:szCs w:val="24"/>
          <w:highlight w:val="none"/>
        </w:rPr>
        <w:t>13.4甲方依法或依据本合同约定单方解除本合同的，乙方应将甲方已经支付的款项全部退回，并按照合同总价的30%向甲方承担违约责任；或者</w:t>
      </w:r>
      <w:r>
        <w:rPr>
          <w:rFonts w:hint="eastAsia" w:ascii="宋体" w:hAnsi="宋体" w:cs="宋体"/>
          <w:color w:val="auto"/>
          <w:sz w:val="24"/>
          <w:szCs w:val="24"/>
          <w:highlight w:val="none"/>
        </w:rPr>
        <w:t>甲方因乙方违约而追究乙方违约责任的，因此支付的一切费用由乙方承担，包括但不限于诉讼费、律师费、保全费、鉴定费等。</w:t>
      </w:r>
    </w:p>
    <w:p w14:paraId="7F8E8AED">
      <w:pPr>
        <w:widowControl/>
        <w:jc w:val="left"/>
        <w:rPr>
          <w:rFonts w:hint="eastAsia"/>
          <w:color w:val="auto"/>
          <w:highlight w:val="none"/>
        </w:rPr>
      </w:pPr>
      <w:r>
        <w:rPr>
          <w:rFonts w:hint="eastAsia" w:ascii="宋体" w:hAnsi="宋体" w:cs="宋体"/>
          <w:color w:val="auto"/>
          <w:sz w:val="24"/>
          <w:szCs w:val="24"/>
          <w:highlight w:val="none"/>
        </w:rPr>
        <w:t>13.5乙方未履行合同约定的，甲方有权选择要求乙方按照合同约定的任一或多种方式承担违约责任，乙方还应按合同约定承担赔偿责任。</w:t>
      </w:r>
    </w:p>
    <w:p w14:paraId="3DA12D03">
      <w:pPr>
        <w:widowControl/>
        <w:jc w:val="left"/>
        <w:rPr>
          <w:rFonts w:hint="eastAsia"/>
          <w:color w:val="auto"/>
          <w:highlight w:val="none"/>
        </w:rPr>
      </w:pPr>
      <w:r>
        <w:rPr>
          <w:rFonts w:hint="eastAsia" w:ascii="宋体" w:hAnsi="宋体" w:cs="宋体"/>
          <w:color w:val="auto"/>
          <w:sz w:val="24"/>
          <w:szCs w:val="24"/>
          <w:highlight w:val="none"/>
        </w:rPr>
        <w:t>13.6如果乙方在收到甲方索赔要求后，在7日内未能做出书面回复，该索赔要求将被视为已被乙方接受。如乙方在收到甲方发出的索赔通知后，未能在7日内或甲方同意的延长期限内，按照本条约定的任何一种方法解决索赔事宜，甲方有权从乙方应付款中扣回索赔金额，超出的部分乙方应另行赔付。</w:t>
      </w:r>
    </w:p>
    <w:p w14:paraId="3F7E2F3F">
      <w:pPr>
        <w:widowControl/>
        <w:jc w:val="left"/>
        <w:rPr>
          <w:rFonts w:hint="eastAsia"/>
          <w:color w:val="auto"/>
          <w:highlight w:val="none"/>
        </w:rPr>
      </w:pPr>
      <w:r>
        <w:rPr>
          <w:rFonts w:hint="eastAsia" w:ascii="宋体" w:hAnsi="宋体" w:cs="宋体"/>
          <w:color w:val="auto"/>
          <w:sz w:val="24"/>
          <w:szCs w:val="24"/>
          <w:highlight w:val="none"/>
        </w:rPr>
        <w:t>13.7因乙方行为给甲方造成损失的赔偿范围，包括但不限于行政处罚金、侵权赔偿金、调查费、诉讼费、保全费、鉴定费、律师费等。</w:t>
      </w:r>
    </w:p>
    <w:p w14:paraId="69EC1952">
      <w:pPr>
        <w:widowControl/>
        <w:jc w:val="left"/>
        <w:rPr>
          <w:rFonts w:hint="eastAsia"/>
          <w:color w:val="auto"/>
          <w:highlight w:val="none"/>
        </w:rPr>
      </w:pPr>
      <w:r>
        <w:rPr>
          <w:rFonts w:hint="eastAsia" w:ascii="宋体" w:hAnsi="宋体" w:cs="宋体"/>
          <w:color w:val="auto"/>
          <w:sz w:val="24"/>
          <w:szCs w:val="24"/>
          <w:highlight w:val="none"/>
        </w:rPr>
        <w:t>13.8甲方有权从履约保证金或应支付给乙方的费用中直接扣除违约金、赔偿金等所有上述费用，不足以扣除的，甲方应在收到乙方通知后的7日内予以补足。</w:t>
      </w:r>
    </w:p>
    <w:p w14:paraId="5A5F6E1E">
      <w:pPr>
        <w:widowControl/>
        <w:jc w:val="left"/>
        <w:rPr>
          <w:rFonts w:hint="eastAsia"/>
          <w:color w:val="auto"/>
          <w:highlight w:val="none"/>
        </w:rPr>
      </w:pPr>
      <w:r>
        <w:rPr>
          <w:rFonts w:hint="eastAsia" w:ascii="宋体" w:hAnsi="宋体" w:cs="宋体"/>
          <w:color w:val="auto"/>
          <w:sz w:val="24"/>
          <w:szCs w:val="24"/>
          <w:highlight w:val="none"/>
        </w:rPr>
        <w:t>13.9乙方采购的材料和设备不符合设计或有关标准要求时，乙方应在监理人要求的合理期限内将不符合设计或有关标准要求的材料、设备运出施工现场，并重新采购符合要求的材料、设备，由此增加的费用和（或）延误的工期，由乙方承担。同时乙方按照合同总价的30%向甲方支付补偿金。</w:t>
      </w:r>
    </w:p>
    <w:p w14:paraId="4034984C">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13.10专用条款与通用条款不一致的，以专用条款为准。合同条款与补充条款不一致的，以补充条款为准。本协议未约定事宜，各方可以协商，并签订书面的补充协议。因履行本合同所产生的任何争议，可以向甲方所在地人民法院提起诉讼。</w:t>
      </w:r>
    </w:p>
    <w:p w14:paraId="7DC3CCFA">
      <w:pPr>
        <w:widowControl/>
        <w:jc w:val="left"/>
        <w:rPr>
          <w:rFonts w:hint="eastAsia"/>
          <w:color w:val="auto"/>
          <w:highlight w:val="none"/>
        </w:rPr>
      </w:pPr>
      <w:r>
        <w:rPr>
          <w:rFonts w:hint="eastAsia" w:ascii="宋体" w:hAnsi="宋体" w:cs="宋体"/>
          <w:color w:val="auto"/>
          <w:sz w:val="24"/>
          <w:szCs w:val="24"/>
          <w:highlight w:val="none"/>
        </w:rPr>
        <w:t>13.11设备交付时，开箱检验如发现的合同设备的短缺、损坏或其他与合同约定不符合的情况下，责任承担方的约定：</w:t>
      </w:r>
    </w:p>
    <w:p w14:paraId="7A39ED44">
      <w:pPr>
        <w:widowControl/>
        <w:jc w:val="left"/>
        <w:rPr>
          <w:rFonts w:hint="eastAsia"/>
          <w:color w:val="auto"/>
          <w:highlight w:val="none"/>
        </w:rPr>
      </w:pPr>
      <w:r>
        <w:rPr>
          <w:rFonts w:hint="eastAsia" w:ascii="宋体" w:hAnsi="宋体" w:cs="宋体"/>
          <w:color w:val="auto"/>
          <w:sz w:val="24"/>
          <w:szCs w:val="24"/>
          <w:highlight w:val="none"/>
        </w:rPr>
        <w:t>（1）第一次验收：设备运抵甲方现场后，监理、甲方、乙方三方共同派员验收，如发生数量短少、外观缺损，由乙方负责免费补齐、调换。乙方同时提供质量检验合格证、设备测试报告、报关资料、商检证明及包装完整无破损等；</w:t>
      </w:r>
    </w:p>
    <w:p w14:paraId="509283E4">
      <w:pPr>
        <w:widowControl/>
        <w:jc w:val="left"/>
        <w:rPr>
          <w:rFonts w:hint="eastAsia"/>
          <w:color w:val="auto"/>
          <w:highlight w:val="none"/>
        </w:rPr>
      </w:pPr>
      <w:r>
        <w:rPr>
          <w:rFonts w:hint="eastAsia" w:ascii="宋体" w:hAnsi="宋体" w:cs="宋体"/>
          <w:color w:val="auto"/>
          <w:sz w:val="24"/>
          <w:szCs w:val="24"/>
          <w:highlight w:val="none"/>
        </w:rPr>
        <w:t>（2）第二次验收：设备安装、调试结束，联动试车24小时，达到验收标准，监理、甲方、乙方、使用方共同验收合格，并经有关部门验收合格；</w:t>
      </w:r>
    </w:p>
    <w:p w14:paraId="2D202E16">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rPr>
        <w:t>最终</w:t>
      </w:r>
      <w:r>
        <w:rPr>
          <w:rFonts w:hint="eastAsia" w:ascii="宋体" w:hAnsi="宋体" w:cs="宋体"/>
          <w:color w:val="auto"/>
          <w:sz w:val="24"/>
          <w:szCs w:val="24"/>
          <w:highlight w:val="none"/>
        </w:rPr>
        <w:t>验收：质保期满，系统所有设备、材料及安装无质量问题，监理、甲方、乙方、使用方共同验收合格。</w:t>
      </w:r>
    </w:p>
    <w:p w14:paraId="3F4B2979">
      <w:pPr>
        <w:widowControl/>
        <w:jc w:val="left"/>
        <w:rPr>
          <w:rFonts w:hint="eastAsia"/>
          <w:color w:val="auto"/>
          <w:highlight w:val="none"/>
        </w:rPr>
      </w:pPr>
      <w:r>
        <w:rPr>
          <w:rFonts w:hint="eastAsia" w:ascii="宋体" w:hAnsi="宋体" w:cs="宋体"/>
          <w:color w:val="auto"/>
          <w:sz w:val="24"/>
          <w:szCs w:val="24"/>
          <w:highlight w:val="none"/>
        </w:rPr>
        <w:t>说明：上述各次验收，无论是否通过了甲方的验收，均不能免除合同规定的乙方的责任与义务。</w:t>
      </w:r>
    </w:p>
    <w:p w14:paraId="12D7EDB8">
      <w:pPr>
        <w:widowControl/>
        <w:jc w:val="left"/>
        <w:rPr>
          <w:rFonts w:hint="eastAsia"/>
          <w:color w:val="auto"/>
          <w:highlight w:val="none"/>
        </w:rPr>
      </w:pPr>
      <w:r>
        <w:rPr>
          <w:rFonts w:hint="eastAsia" w:ascii="宋体" w:hAnsi="宋体" w:cs="宋体"/>
          <w:color w:val="auto"/>
          <w:sz w:val="24"/>
          <w:szCs w:val="24"/>
          <w:highlight w:val="none"/>
        </w:rPr>
        <w:t>13.12乙方所供本合同确定的货物须达到国家或部颁标准及江苏省、南京市地方标准；以上标准如有最新标准，按最新标准执行；设备大气污染排放的各项指标应符合国家及当地的环保要求、标准；设备的设计、制作、安装应严格按照环保法规、规范要求实施。</w:t>
      </w:r>
    </w:p>
    <w:p w14:paraId="7D735C8B">
      <w:pPr>
        <w:widowControl/>
        <w:jc w:val="left"/>
        <w:rPr>
          <w:rFonts w:hint="eastAsia"/>
          <w:color w:val="auto"/>
          <w:highlight w:val="none"/>
        </w:rPr>
      </w:pPr>
      <w:r>
        <w:rPr>
          <w:rFonts w:hint="eastAsia" w:ascii="宋体" w:hAnsi="宋体" w:cs="宋体"/>
          <w:color w:val="auto"/>
          <w:sz w:val="24"/>
          <w:szCs w:val="24"/>
          <w:highlight w:val="none"/>
        </w:rPr>
        <w:t>货物性能考核指标：按现行法规、条例、规范及招标文件要求进行考核。如不满足要求，同时乙方按照合同总价的30%向甲方支付补偿金。</w:t>
      </w:r>
    </w:p>
    <w:p w14:paraId="0577C4EF">
      <w:pPr>
        <w:widowControl/>
        <w:jc w:val="left"/>
        <w:rPr>
          <w:rFonts w:hint="eastAsia"/>
          <w:color w:val="auto"/>
          <w:highlight w:val="none"/>
        </w:rPr>
      </w:pPr>
      <w:r>
        <w:rPr>
          <w:rFonts w:hint="eastAsia" w:ascii="宋体" w:hAnsi="宋体" w:cs="宋体"/>
          <w:color w:val="auto"/>
          <w:sz w:val="24"/>
          <w:szCs w:val="24"/>
          <w:highlight w:val="none"/>
        </w:rPr>
        <w:t>13.13设备在使用过程中因乙方制造质量引起的安全事故，由乙方承担全部赔偿责任。同时乙方按照合同总价的30%向甲方支付补偿金。</w:t>
      </w:r>
    </w:p>
    <w:p w14:paraId="6F6A8307">
      <w:pPr>
        <w:widowControl/>
        <w:jc w:val="left"/>
        <w:rPr>
          <w:rFonts w:hint="eastAsia"/>
          <w:color w:val="auto"/>
          <w:highlight w:val="none"/>
        </w:rPr>
      </w:pPr>
      <w:r>
        <w:rPr>
          <w:rFonts w:hint="eastAsia" w:ascii="宋体" w:hAnsi="宋体" w:cs="宋体"/>
          <w:color w:val="auto"/>
          <w:sz w:val="24"/>
          <w:szCs w:val="24"/>
          <w:highlight w:val="none"/>
        </w:rPr>
        <w:t>13.14乙方必须保守甲方的商业秘密，不得将涉及甲方的商业秘密和技术文件故意或过失泄露给第三方，否则依法向甲方承担商业损害赔偿责任。</w:t>
      </w:r>
    </w:p>
    <w:p w14:paraId="5676B355">
      <w:pPr>
        <w:widowControl/>
        <w:jc w:val="left"/>
        <w:rPr>
          <w:color w:val="auto"/>
          <w:highlight w:val="none"/>
        </w:rPr>
      </w:pPr>
      <w:r>
        <w:rPr>
          <w:rFonts w:hint="eastAsia" w:ascii="宋体" w:hAnsi="宋体" w:cs="宋体"/>
          <w:color w:val="auto"/>
          <w:sz w:val="24"/>
          <w:szCs w:val="24"/>
          <w:highlight w:val="none"/>
        </w:rPr>
        <w:t>13.15本项目要求总承包单位创鲁班奖，乙方须服从本项目总承包单位的统一创建要求及部署安排；乙方在配合总承包单位争创过程中应当自行考虑成本，配合总承包单位争创过程中所发生的与本项目相关的一切费用由乙方自行承担，无论结果如何，不得向甲方索要争创过程费及其他发生的额外费用。如因乙方原因（包括但不限于不配合总承包单位统一创建要求及部署安排等）导致创优失败，则乙方须按合同价的2%向甲方支付违约金，并按总承包单位及有关创建奖项要求整改，该赔偿不能免除合同规定的乙方的责任与义务。若项目要求使用成品支架，乙方应积极配合并承担相应费用。</w:t>
      </w:r>
    </w:p>
    <w:p w14:paraId="26F37656">
      <w:pPr>
        <w:widowControl/>
        <w:jc w:val="left"/>
        <w:rPr>
          <w:color w:val="auto"/>
          <w:highlight w:val="none"/>
        </w:rPr>
      </w:pPr>
      <w:r>
        <w:rPr>
          <w:rFonts w:hint="eastAsia" w:ascii="宋体" w:hAnsi="宋体" w:cs="宋体"/>
          <w:color w:val="auto"/>
          <w:sz w:val="24"/>
          <w:szCs w:val="24"/>
          <w:highlight w:val="none"/>
        </w:rPr>
        <w:t>13.16乙方需确保项目完成后通过相关医疗主管部门的验收，否则视为验收不合格，如果验收不合格，同时乙方应按照甲方要求无条件进行整改，相关整改费用由乙方自行承担。直至通过相关医疗主管部门的验收。如果在甲方要求的时间内拒绝整改或经两次整改仍未能验收合格，甲方有权委托第三方采取补救措施，就此产生的费用由乙方承担；或单方解除本合同，乙方应向甲方支付总合同价款30%的违约责任。</w:t>
      </w:r>
    </w:p>
    <w:p w14:paraId="49C342C4">
      <w:pPr>
        <w:widowControl/>
        <w:jc w:val="left"/>
        <w:rPr>
          <w:rFonts w:hint="eastAsia"/>
          <w:color w:val="auto"/>
          <w:highlight w:val="none"/>
        </w:rPr>
      </w:pPr>
      <w:r>
        <w:rPr>
          <w:rFonts w:hint="eastAsia" w:ascii="宋体" w:hAnsi="宋体" w:cs="宋体"/>
          <w:color w:val="auto"/>
          <w:sz w:val="24"/>
          <w:szCs w:val="24"/>
          <w:highlight w:val="none"/>
        </w:rPr>
        <w:t>13.17如涉及有关行业主管部门（包括但不限于建管部门、卫健委或环保部门等）检查或专项验收，乙方需确保符合相关规范及主管部门提出的要求，如有相关整改意见，由乙方负责协调解决，直至项目验收合格，费用综合考虑在投标报价中，甲方不再额外支付相关费用。</w:t>
      </w:r>
    </w:p>
    <w:p w14:paraId="78889549">
      <w:pPr>
        <w:widowControl/>
        <w:jc w:val="left"/>
        <w:rPr>
          <w:color w:val="auto"/>
          <w:highlight w:val="none"/>
        </w:rPr>
      </w:pPr>
      <w:r>
        <w:rPr>
          <w:rFonts w:hint="eastAsia" w:ascii="宋体" w:hAnsi="宋体" w:cs="宋体"/>
          <w:color w:val="auto"/>
          <w:sz w:val="24"/>
          <w:szCs w:val="24"/>
          <w:highlight w:val="none"/>
        </w:rPr>
        <w:t>13.18合同中约定的违约责任不一致的，甲方有权选择适用的违约条款，但买方保留要求乙方按照法律和合同约定的最高标准承担违约责任的权利。本协议未约定事宜，各方可以协商，并签订书面的补充协议。因履行本合同所产生的任何争议，可以向甲方所在地人民法院提起诉讼。</w:t>
      </w:r>
    </w:p>
    <w:p w14:paraId="15A98C03">
      <w:pPr>
        <w:widowControl/>
        <w:jc w:val="left"/>
        <w:rPr>
          <w:color w:val="auto"/>
          <w:highlight w:val="none"/>
        </w:rPr>
      </w:pPr>
      <w:r>
        <w:rPr>
          <w:rFonts w:hint="eastAsia" w:ascii="宋体" w:hAnsi="宋体" w:cs="宋体"/>
          <w:color w:val="auto"/>
          <w:sz w:val="24"/>
          <w:szCs w:val="24"/>
          <w:highlight w:val="none"/>
        </w:rPr>
        <w:t>18.19乙方必须按照甲方要求使用数字化管理平台，否则甲方有权向乙方追究。</w:t>
      </w:r>
    </w:p>
    <w:p w14:paraId="35B4B94A">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十四、不可抗力事件处理</w:t>
      </w:r>
    </w:p>
    <w:p w14:paraId="5D066615">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14.1在合同有效期内，任何一方因不可抗力事件导致不能履行合同，则合同履行期可延长，其延长期与不可抗力影响期相同。</w:t>
      </w:r>
    </w:p>
    <w:p w14:paraId="234D9960">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14.2不可抗力事件发生后，应立即通知对方并寄送有关权威机构出具的证明。</w:t>
      </w:r>
    </w:p>
    <w:p w14:paraId="77315CA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14.3不可抗力事件延续120天以上，双方应通过友好协商确定是否继续履行合同。</w:t>
      </w:r>
    </w:p>
    <w:p w14:paraId="5E20619C">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十五、解决争议的方法</w:t>
      </w:r>
    </w:p>
    <w:p w14:paraId="7FFEEA0C">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15.1甲乙双方因合同签订、履行而发生的一切争议，应通过友好协商解决。协商不成的由甲方住所地人民法院管辖。</w:t>
      </w:r>
    </w:p>
    <w:p w14:paraId="1063E4BA">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十六、合同生效及其它</w:t>
      </w:r>
    </w:p>
    <w:p w14:paraId="63E25273">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16.1本合同经双方加盖单位公章后生效。</w:t>
      </w:r>
    </w:p>
    <w:p w14:paraId="6B31A5EA">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16.2本合同未尽事宜，遵照《中华人民共和国民法典》《中华人民共和国政府采购法》有关条文执行。</w:t>
      </w:r>
    </w:p>
    <w:p w14:paraId="304490F4">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16.3本合同正本一式陆份，具有同等法律效力，甲方、乙方各执叁份。</w:t>
      </w:r>
    </w:p>
    <w:p w14:paraId="7B05A2DC">
      <w:pPr>
        <w:pStyle w:val="210"/>
        <w:spacing w:before="120" w:after="120" w:line="264" w:lineRule="auto"/>
        <w:rPr>
          <w:rFonts w:hAnsi="宋体" w:cs="Courier New"/>
          <w:color w:val="auto"/>
          <w:sz w:val="24"/>
          <w:szCs w:val="24"/>
          <w:highlight w:val="none"/>
          <w:lang w:eastAsia="zh-CN"/>
        </w:rPr>
      </w:pPr>
      <w:bookmarkStart w:id="134" w:name="_Hlt16619369"/>
      <w:bookmarkEnd w:id="134"/>
    </w:p>
    <w:p w14:paraId="6200E67C">
      <w:pPr>
        <w:pStyle w:val="210"/>
        <w:spacing w:before="120" w:after="120" w:line="264" w:lineRule="auto"/>
        <w:rPr>
          <w:rFonts w:hint="eastAsia" w:hAnsi="宋体" w:cs="Courier New"/>
          <w:color w:val="auto"/>
          <w:sz w:val="24"/>
          <w:szCs w:val="24"/>
          <w:highlight w:val="none"/>
          <w:lang w:eastAsia="zh-CN"/>
        </w:rPr>
      </w:pPr>
      <w:r>
        <w:rPr>
          <w:rFonts w:hint="eastAsia" w:hAnsi="宋体" w:cs="Courier New"/>
          <w:color w:val="auto"/>
          <w:sz w:val="24"/>
          <w:szCs w:val="24"/>
          <w:highlight w:val="none"/>
        </w:rPr>
        <w:t>甲方：（公章）乙方：（公章）</w:t>
      </w:r>
    </w:p>
    <w:p w14:paraId="570ED834">
      <w:pPr>
        <w:pStyle w:val="210"/>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地址：地址：</w:t>
      </w:r>
    </w:p>
    <w:p w14:paraId="68FB4BC8">
      <w:pPr>
        <w:pStyle w:val="210"/>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法定代表人或授权代表：法定代表人或授权代表：</w:t>
      </w:r>
    </w:p>
    <w:p w14:paraId="13F0667B">
      <w:pPr>
        <w:pStyle w:val="210"/>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联系电话：联系电话：</w:t>
      </w:r>
    </w:p>
    <w:p w14:paraId="502C1843">
      <w:pPr>
        <w:pStyle w:val="210"/>
        <w:spacing w:before="120" w:after="120" w:line="264" w:lineRule="auto"/>
        <w:rPr>
          <w:rFonts w:hAnsi="宋体" w:cs="Courier New"/>
          <w:color w:val="auto"/>
          <w:sz w:val="24"/>
          <w:szCs w:val="24"/>
          <w:highlight w:val="none"/>
          <w:lang w:eastAsia="zh-CN"/>
        </w:rPr>
      </w:pPr>
    </w:p>
    <w:p w14:paraId="32E30BE0">
      <w:pPr>
        <w:pStyle w:val="210"/>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签订日期：签订日期：</w:t>
      </w:r>
    </w:p>
    <w:p w14:paraId="6B088998">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2AA1FA2D">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73D6C99A">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4588F895">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7FAEE949">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631314A1">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007FDBD2">
      <w:pPr>
        <w:jc w:val="center"/>
        <w:rPr>
          <w:rFonts w:hint="eastAsia" w:ascii="宋体" w:hAnsi="宋体" w:eastAsia="宋体" w:cs="宋体"/>
          <w:b/>
          <w:color w:val="auto"/>
          <w:sz w:val="72"/>
          <w:szCs w:val="21"/>
          <w:highlight w:val="none"/>
        </w:rPr>
      </w:pPr>
    </w:p>
    <w:p w14:paraId="0542DF78">
      <w:pPr>
        <w:jc w:val="center"/>
        <w:rPr>
          <w:rFonts w:hint="eastAsia" w:ascii="宋体" w:hAnsi="宋体" w:eastAsia="宋体" w:cs="宋体"/>
          <w:b/>
          <w:color w:val="auto"/>
          <w:sz w:val="72"/>
          <w:szCs w:val="21"/>
          <w:highlight w:val="none"/>
        </w:rPr>
      </w:pPr>
    </w:p>
    <w:p w14:paraId="7D00C60A">
      <w:pPr>
        <w:jc w:val="center"/>
        <w:rPr>
          <w:rFonts w:hint="eastAsia" w:ascii="宋体" w:hAnsi="宋体" w:eastAsia="宋体" w:cs="宋体"/>
          <w:b/>
          <w:color w:val="auto"/>
          <w:sz w:val="36"/>
          <w:szCs w:val="21"/>
          <w:highlight w:val="none"/>
        </w:rPr>
      </w:pPr>
    </w:p>
    <w:p w14:paraId="3C6BA6F5">
      <w:pPr>
        <w:jc w:val="center"/>
        <w:rPr>
          <w:rFonts w:hint="eastAsia" w:ascii="宋体" w:hAnsi="宋体" w:eastAsia="宋体" w:cs="宋体"/>
          <w:b/>
          <w:color w:val="auto"/>
          <w:sz w:val="36"/>
          <w:szCs w:val="21"/>
          <w:highlight w:val="none"/>
        </w:rPr>
      </w:pPr>
    </w:p>
    <w:p w14:paraId="2F9CA9E4">
      <w:pPr>
        <w:jc w:val="center"/>
        <w:rPr>
          <w:rFonts w:hint="eastAsia" w:ascii="宋体" w:hAnsi="宋体" w:eastAsia="宋体" w:cs="宋体"/>
          <w:b/>
          <w:color w:val="auto"/>
          <w:sz w:val="36"/>
          <w:szCs w:val="21"/>
          <w:highlight w:val="none"/>
        </w:rPr>
      </w:pPr>
    </w:p>
    <w:p w14:paraId="65C42EC5">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6AB0C546">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36901ECD">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1FF78C39">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6DF55E5A">
      <w:pPr>
        <w:spacing w:line="440" w:lineRule="exact"/>
        <w:jc w:val="center"/>
        <w:rPr>
          <w:rFonts w:hint="eastAsia" w:ascii="宋体" w:hAnsi="宋体" w:eastAsia="宋体" w:cs="宋体"/>
          <w:b/>
          <w:bCs/>
          <w:color w:val="auto"/>
          <w:sz w:val="32"/>
          <w:szCs w:val="32"/>
          <w:highlight w:val="none"/>
        </w:rPr>
      </w:pPr>
    </w:p>
    <w:p w14:paraId="625AB9F0">
      <w:pPr>
        <w:spacing w:line="440" w:lineRule="exact"/>
        <w:rPr>
          <w:rFonts w:hint="eastAsia" w:ascii="宋体" w:hAnsi="宋体" w:eastAsia="宋体" w:cs="宋体"/>
          <w:color w:val="auto"/>
          <w:szCs w:val="21"/>
          <w:highlight w:val="none"/>
        </w:rPr>
      </w:pPr>
    </w:p>
    <w:p w14:paraId="007A72BF">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7E0768EE">
      <w:pPr>
        <w:spacing w:line="600" w:lineRule="exact"/>
        <w:ind w:firstLine="560"/>
        <w:rPr>
          <w:rFonts w:hint="eastAsia" w:ascii="宋体" w:hAnsi="宋体" w:eastAsia="宋体" w:cs="宋体"/>
          <w:color w:val="auto"/>
          <w:sz w:val="28"/>
          <w:szCs w:val="28"/>
          <w:highlight w:val="none"/>
        </w:rPr>
      </w:pPr>
      <w:bookmarkStart w:id="135" w:name="_Toc120614284"/>
      <w:r>
        <w:rPr>
          <w:rFonts w:hint="eastAsia" w:ascii="宋体" w:hAnsi="宋体" w:eastAsia="宋体" w:cs="宋体"/>
          <w:color w:val="auto"/>
          <w:sz w:val="28"/>
          <w:szCs w:val="28"/>
          <w:highlight w:val="none"/>
        </w:rPr>
        <w:t>一、供应商信用承诺函</w:t>
      </w:r>
    </w:p>
    <w:p w14:paraId="0590E8C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001B8DC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77FA37B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2225630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5141807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5BD41F0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287FCF3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159F545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5CF5C55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7AE9A6EB">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761E2C2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525B52E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6C3B78C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567CA026">
      <w:pPr>
        <w:pStyle w:val="35"/>
        <w:rPr>
          <w:rFonts w:hint="eastAsia"/>
          <w:color w:val="auto"/>
          <w:highlight w:val="none"/>
        </w:rPr>
      </w:pPr>
    </w:p>
    <w:p w14:paraId="4453C36B">
      <w:pPr>
        <w:pStyle w:val="35"/>
        <w:rPr>
          <w:rFonts w:hint="eastAsia"/>
          <w:color w:val="auto"/>
          <w:highlight w:val="none"/>
        </w:rPr>
      </w:pPr>
    </w:p>
    <w:p w14:paraId="386C0F62">
      <w:pPr>
        <w:spacing w:line="600" w:lineRule="exact"/>
        <w:ind w:firstLine="560"/>
        <w:rPr>
          <w:rFonts w:hint="eastAsia" w:ascii="宋体" w:hAnsi="宋体" w:eastAsia="宋体" w:cs="宋体"/>
          <w:color w:val="auto"/>
          <w:sz w:val="28"/>
          <w:szCs w:val="28"/>
          <w:highlight w:val="none"/>
        </w:rPr>
      </w:pPr>
    </w:p>
    <w:p w14:paraId="21B4147C">
      <w:pPr>
        <w:spacing w:line="440" w:lineRule="exact"/>
        <w:ind w:firstLine="480"/>
        <w:rPr>
          <w:rFonts w:hint="eastAsia" w:ascii="宋体" w:hAnsi="宋体" w:eastAsia="宋体" w:cs="宋体"/>
          <w:color w:val="auto"/>
          <w:sz w:val="24"/>
          <w:highlight w:val="none"/>
        </w:rPr>
      </w:pPr>
    </w:p>
    <w:p w14:paraId="5B913066">
      <w:pPr>
        <w:spacing w:line="440" w:lineRule="exact"/>
        <w:ind w:firstLine="480"/>
        <w:rPr>
          <w:rFonts w:hint="eastAsia" w:ascii="宋体" w:hAnsi="宋体" w:eastAsia="宋体" w:cs="宋体"/>
          <w:color w:val="auto"/>
          <w:sz w:val="24"/>
          <w:highlight w:val="none"/>
        </w:rPr>
      </w:pPr>
    </w:p>
    <w:p w14:paraId="7BDB3126">
      <w:pPr>
        <w:spacing w:line="440" w:lineRule="exact"/>
        <w:ind w:firstLine="480"/>
        <w:rPr>
          <w:rFonts w:hint="eastAsia" w:ascii="宋体" w:hAnsi="宋体" w:eastAsia="宋体" w:cs="宋体"/>
          <w:color w:val="auto"/>
          <w:sz w:val="24"/>
          <w:szCs w:val="24"/>
          <w:highlight w:val="none"/>
        </w:rPr>
      </w:pPr>
    </w:p>
    <w:p w14:paraId="6BEA0550">
      <w:pPr>
        <w:spacing w:line="440" w:lineRule="exact"/>
        <w:ind w:firstLine="480"/>
        <w:rPr>
          <w:rFonts w:hint="eastAsia" w:ascii="宋体" w:hAnsi="宋体" w:eastAsia="宋体" w:cs="宋体"/>
          <w:color w:val="auto"/>
          <w:sz w:val="24"/>
          <w:szCs w:val="24"/>
          <w:highlight w:val="none"/>
        </w:rPr>
      </w:pPr>
    </w:p>
    <w:p w14:paraId="33D73BE5">
      <w:pPr>
        <w:spacing w:line="440" w:lineRule="exact"/>
        <w:ind w:firstLine="480"/>
        <w:rPr>
          <w:rFonts w:hint="eastAsia" w:ascii="宋体" w:hAnsi="宋体" w:eastAsia="宋体" w:cs="宋体"/>
          <w:color w:val="auto"/>
          <w:sz w:val="24"/>
          <w:szCs w:val="24"/>
          <w:highlight w:val="none"/>
        </w:rPr>
      </w:pPr>
    </w:p>
    <w:p w14:paraId="0EE47BFA">
      <w:pPr>
        <w:spacing w:line="440" w:lineRule="exact"/>
        <w:ind w:firstLine="480"/>
        <w:rPr>
          <w:rFonts w:hint="eastAsia" w:ascii="宋体" w:hAnsi="宋体" w:eastAsia="宋体" w:cs="宋体"/>
          <w:color w:val="auto"/>
          <w:sz w:val="24"/>
          <w:szCs w:val="24"/>
          <w:highlight w:val="none"/>
        </w:rPr>
      </w:pPr>
    </w:p>
    <w:p w14:paraId="5BA23E4E">
      <w:pPr>
        <w:spacing w:line="440" w:lineRule="exact"/>
        <w:ind w:firstLine="480"/>
        <w:rPr>
          <w:rFonts w:hint="eastAsia" w:ascii="宋体" w:hAnsi="宋体" w:eastAsia="宋体" w:cs="宋体"/>
          <w:color w:val="auto"/>
          <w:sz w:val="24"/>
          <w:szCs w:val="24"/>
          <w:highlight w:val="none"/>
        </w:rPr>
      </w:pPr>
    </w:p>
    <w:p w14:paraId="409DC550">
      <w:pPr>
        <w:pStyle w:val="199"/>
        <w:rPr>
          <w:rFonts w:hint="eastAsia" w:ascii="宋体" w:hAnsi="宋体" w:eastAsia="宋体" w:cs="宋体"/>
          <w:color w:val="auto"/>
          <w:sz w:val="24"/>
          <w:highlight w:val="none"/>
        </w:rPr>
      </w:pPr>
    </w:p>
    <w:p w14:paraId="2859763E">
      <w:pPr>
        <w:pStyle w:val="199"/>
        <w:rPr>
          <w:rFonts w:hint="eastAsia" w:ascii="宋体" w:hAnsi="宋体" w:eastAsia="宋体" w:cs="宋体"/>
          <w:color w:val="auto"/>
          <w:sz w:val="24"/>
          <w:highlight w:val="none"/>
        </w:rPr>
      </w:pPr>
    </w:p>
    <w:p w14:paraId="00F18C04">
      <w:pPr>
        <w:pStyle w:val="199"/>
        <w:rPr>
          <w:rFonts w:hint="eastAsia" w:ascii="宋体" w:hAnsi="宋体" w:eastAsia="宋体" w:cs="宋体"/>
          <w:color w:val="auto"/>
          <w:sz w:val="24"/>
          <w:highlight w:val="none"/>
        </w:rPr>
      </w:pPr>
    </w:p>
    <w:p w14:paraId="67F62D94">
      <w:pPr>
        <w:pStyle w:val="199"/>
        <w:rPr>
          <w:rFonts w:hint="eastAsia" w:ascii="宋体" w:hAnsi="宋体" w:eastAsia="宋体" w:cs="宋体"/>
          <w:color w:val="auto"/>
          <w:sz w:val="24"/>
          <w:highlight w:val="none"/>
        </w:rPr>
      </w:pPr>
    </w:p>
    <w:p w14:paraId="62FAA447">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CA842B0">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6AE8005D">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33A251D5">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62C1266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53788DA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6F92892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0519FD9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54A6ED8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257E4EA7">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41111E4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0F427DA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5F6BBF2F">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657201E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1201C79F">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5640975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38EB4F3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5BF46F03">
      <w:pPr>
        <w:spacing w:line="460" w:lineRule="exact"/>
        <w:ind w:firstLine="492"/>
        <w:rPr>
          <w:rFonts w:hint="eastAsia" w:ascii="宋体" w:hAnsi="宋体" w:eastAsia="宋体" w:cs="宋体"/>
          <w:color w:val="auto"/>
          <w:sz w:val="24"/>
          <w:szCs w:val="24"/>
          <w:highlight w:val="none"/>
        </w:rPr>
      </w:pPr>
    </w:p>
    <w:p w14:paraId="3B22B1DE">
      <w:pPr>
        <w:pStyle w:val="200"/>
        <w:rPr>
          <w:rFonts w:hint="eastAsia" w:ascii="宋体" w:hAnsi="宋体" w:eastAsia="宋体" w:cs="宋体"/>
          <w:color w:val="auto"/>
          <w:sz w:val="24"/>
          <w:szCs w:val="24"/>
          <w:highlight w:val="none"/>
        </w:rPr>
      </w:pPr>
    </w:p>
    <w:p w14:paraId="401EBA7D">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5089A69B">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9E1D50B">
      <w:pPr>
        <w:rPr>
          <w:rFonts w:hint="eastAsia" w:ascii="宋体" w:hAnsi="宋体" w:eastAsia="宋体" w:cs="宋体"/>
          <w:color w:val="auto"/>
          <w:sz w:val="24"/>
          <w:szCs w:val="24"/>
          <w:highlight w:val="none"/>
        </w:rPr>
      </w:pPr>
    </w:p>
    <w:p w14:paraId="785D7990">
      <w:pPr>
        <w:spacing w:line="440" w:lineRule="exact"/>
        <w:rPr>
          <w:rFonts w:hint="eastAsia" w:ascii="宋体" w:hAnsi="宋体" w:eastAsia="宋体" w:cs="宋体"/>
          <w:color w:val="auto"/>
          <w:sz w:val="24"/>
          <w:szCs w:val="24"/>
          <w:highlight w:val="none"/>
        </w:rPr>
      </w:pPr>
    </w:p>
    <w:p w14:paraId="2E836009">
      <w:pPr>
        <w:spacing w:line="440" w:lineRule="exact"/>
        <w:ind w:firstLine="480"/>
        <w:rPr>
          <w:rFonts w:hint="eastAsia" w:ascii="宋体" w:hAnsi="宋体" w:eastAsia="宋体" w:cs="宋体"/>
          <w:color w:val="auto"/>
          <w:sz w:val="24"/>
          <w:szCs w:val="24"/>
          <w:highlight w:val="none"/>
        </w:rPr>
      </w:pPr>
    </w:p>
    <w:p w14:paraId="74DD3C14">
      <w:pPr>
        <w:spacing w:line="440" w:lineRule="exact"/>
        <w:ind w:firstLine="480"/>
        <w:rPr>
          <w:rFonts w:hint="eastAsia" w:ascii="宋体" w:hAnsi="宋体" w:eastAsia="宋体" w:cs="宋体"/>
          <w:color w:val="auto"/>
          <w:sz w:val="24"/>
          <w:szCs w:val="24"/>
          <w:highlight w:val="none"/>
        </w:rPr>
      </w:pPr>
    </w:p>
    <w:p w14:paraId="382DF301">
      <w:pPr>
        <w:spacing w:line="440" w:lineRule="exact"/>
        <w:ind w:firstLine="480"/>
        <w:rPr>
          <w:rFonts w:hint="eastAsia" w:ascii="宋体" w:hAnsi="宋体" w:eastAsia="宋体" w:cs="宋体"/>
          <w:color w:val="auto"/>
          <w:sz w:val="24"/>
          <w:szCs w:val="24"/>
          <w:highlight w:val="none"/>
        </w:rPr>
      </w:pPr>
    </w:p>
    <w:p w14:paraId="68178E46">
      <w:pPr>
        <w:rPr>
          <w:rFonts w:hint="eastAsia" w:ascii="宋体" w:hAnsi="宋体" w:eastAsia="宋体" w:cs="宋体"/>
          <w:i/>
          <w:color w:val="auto"/>
          <w:sz w:val="32"/>
          <w:szCs w:val="32"/>
          <w:highlight w:val="none"/>
          <w:u w:val="single"/>
        </w:rPr>
      </w:pPr>
    </w:p>
    <w:p w14:paraId="6003B84F">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4CF2975">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23AF42D9">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4B8B158A">
      <w:pPr>
        <w:rPr>
          <w:rFonts w:hint="eastAsia" w:ascii="宋体" w:hAnsi="宋体" w:eastAsia="宋体" w:cs="宋体"/>
          <w:i/>
          <w:color w:val="auto"/>
          <w:sz w:val="32"/>
          <w:szCs w:val="32"/>
          <w:highlight w:val="none"/>
          <w:u w:val="single"/>
        </w:rPr>
      </w:pPr>
    </w:p>
    <w:p w14:paraId="72D32659">
      <w:pPr>
        <w:pStyle w:val="202"/>
        <w:rPr>
          <w:rFonts w:hint="eastAsia" w:ascii="宋体" w:hAnsi="宋体" w:eastAsia="宋体" w:cs="宋体"/>
          <w:color w:val="auto"/>
          <w:highlight w:val="none"/>
          <w:lang w:eastAsia="zh-CN"/>
        </w:rPr>
      </w:pPr>
    </w:p>
    <w:p w14:paraId="3F3239A0">
      <w:pPr>
        <w:rPr>
          <w:rFonts w:hint="eastAsia" w:ascii="宋体" w:hAnsi="宋体" w:eastAsia="宋体" w:cs="宋体"/>
          <w:color w:val="auto"/>
          <w:highlight w:val="none"/>
        </w:rPr>
      </w:pPr>
    </w:p>
    <w:p w14:paraId="43782219">
      <w:pPr>
        <w:rPr>
          <w:rFonts w:hint="eastAsia" w:ascii="宋体" w:hAnsi="宋体" w:eastAsia="宋体" w:cs="宋体"/>
          <w:i/>
          <w:color w:val="auto"/>
          <w:sz w:val="32"/>
          <w:szCs w:val="32"/>
          <w:highlight w:val="none"/>
          <w:u w:val="single"/>
        </w:rPr>
      </w:pPr>
    </w:p>
    <w:p w14:paraId="2BD8FDF9">
      <w:pPr>
        <w:rPr>
          <w:rFonts w:hint="eastAsia" w:ascii="宋体" w:hAnsi="宋体" w:eastAsia="宋体" w:cs="宋体"/>
          <w:i/>
          <w:color w:val="auto"/>
          <w:sz w:val="32"/>
          <w:szCs w:val="32"/>
          <w:highlight w:val="none"/>
          <w:u w:val="single"/>
        </w:rPr>
      </w:pPr>
    </w:p>
    <w:p w14:paraId="69A61C48">
      <w:pPr>
        <w:rPr>
          <w:rFonts w:hint="eastAsia" w:ascii="宋体" w:hAnsi="宋体" w:eastAsia="宋体" w:cs="宋体"/>
          <w:i/>
          <w:color w:val="auto"/>
          <w:sz w:val="32"/>
          <w:szCs w:val="32"/>
          <w:highlight w:val="none"/>
          <w:u w:val="single"/>
        </w:rPr>
      </w:pPr>
    </w:p>
    <w:p w14:paraId="4CE6A422">
      <w:pPr>
        <w:rPr>
          <w:rFonts w:hint="eastAsia" w:ascii="宋体" w:hAnsi="宋体" w:eastAsia="宋体" w:cs="宋体"/>
          <w:i/>
          <w:color w:val="auto"/>
          <w:sz w:val="32"/>
          <w:szCs w:val="32"/>
          <w:highlight w:val="none"/>
          <w:u w:val="single"/>
        </w:rPr>
      </w:pPr>
    </w:p>
    <w:p w14:paraId="30417A10">
      <w:pPr>
        <w:spacing w:line="360" w:lineRule="auto"/>
        <w:jc w:val="left"/>
        <w:rPr>
          <w:rFonts w:hint="eastAsia" w:ascii="宋体" w:hAnsi="宋体" w:eastAsia="宋体" w:cs="宋体"/>
          <w:color w:val="auto"/>
          <w:sz w:val="32"/>
          <w:szCs w:val="32"/>
          <w:highlight w:val="none"/>
        </w:rPr>
      </w:pPr>
    </w:p>
    <w:p w14:paraId="219724AD">
      <w:pPr>
        <w:spacing w:line="360" w:lineRule="auto"/>
        <w:jc w:val="left"/>
        <w:rPr>
          <w:rFonts w:hint="eastAsia" w:ascii="宋体" w:hAnsi="宋体" w:eastAsia="宋体" w:cs="宋体"/>
          <w:color w:val="auto"/>
          <w:sz w:val="32"/>
          <w:szCs w:val="32"/>
          <w:highlight w:val="none"/>
        </w:rPr>
      </w:pPr>
    </w:p>
    <w:p w14:paraId="3E29781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46029427">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5C338B0A">
      <w:pPr>
        <w:pStyle w:val="201"/>
        <w:spacing w:line="420" w:lineRule="exact"/>
        <w:ind w:firstLine="480"/>
        <w:rPr>
          <w:rFonts w:hint="eastAsia" w:ascii="宋体" w:hAnsi="宋体" w:eastAsia="宋体" w:cs="宋体"/>
          <w:color w:val="auto"/>
          <w:sz w:val="24"/>
          <w:szCs w:val="24"/>
          <w:highlight w:val="none"/>
        </w:rPr>
      </w:pPr>
    </w:p>
    <w:p w14:paraId="63B64472">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384B21CD">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46122D55">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5463175E">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6D048D4F">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177C186D">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4BD01F0">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6" w:name="_Hlt26671380"/>
      <w:bookmarkEnd w:id="136"/>
      <w:bookmarkStart w:id="137" w:name="_格式3__银行出具的资信证明"/>
      <w:bookmarkEnd w:id="137"/>
      <w:bookmarkStart w:id="138" w:name="_Hlt26955070"/>
      <w:bookmarkEnd w:id="138"/>
    </w:p>
    <w:p w14:paraId="3915F20B">
      <w:pPr>
        <w:pStyle w:val="12"/>
        <w:rPr>
          <w:rFonts w:hint="eastAsia" w:ascii="宋体" w:hAnsi="宋体" w:eastAsia="宋体" w:cs="宋体"/>
          <w:i/>
          <w:color w:val="auto"/>
          <w:sz w:val="24"/>
          <w:szCs w:val="24"/>
          <w:highlight w:val="none"/>
          <w:u w:val="single"/>
          <w:lang w:eastAsia="zh-CN"/>
        </w:rPr>
      </w:pPr>
    </w:p>
    <w:p w14:paraId="043C2B3B">
      <w:pPr>
        <w:pStyle w:val="12"/>
        <w:ind w:firstLine="0"/>
        <w:rPr>
          <w:rFonts w:hint="eastAsia" w:ascii="宋体" w:hAnsi="宋体" w:eastAsia="宋体" w:cs="宋体"/>
          <w:color w:val="auto"/>
          <w:highlight w:val="none"/>
          <w:lang w:eastAsia="zh-CN"/>
        </w:rPr>
      </w:pPr>
    </w:p>
    <w:p w14:paraId="4F8EDDC8">
      <w:pPr>
        <w:spacing w:line="460" w:lineRule="exact"/>
        <w:rPr>
          <w:rFonts w:hint="eastAsia" w:ascii="宋体" w:hAnsi="宋体" w:eastAsia="宋体" w:cs="宋体"/>
          <w:bCs/>
          <w:color w:val="auto"/>
          <w:sz w:val="24"/>
          <w:szCs w:val="24"/>
          <w:highlight w:val="none"/>
        </w:rPr>
      </w:pPr>
    </w:p>
    <w:p w14:paraId="174FC641">
      <w:pPr>
        <w:spacing w:line="460" w:lineRule="exact"/>
        <w:rPr>
          <w:rFonts w:hint="eastAsia" w:ascii="宋体" w:hAnsi="宋体" w:eastAsia="宋体" w:cs="宋体"/>
          <w:color w:val="auto"/>
          <w:sz w:val="24"/>
          <w:szCs w:val="24"/>
          <w:highlight w:val="none"/>
        </w:rPr>
      </w:pPr>
    </w:p>
    <w:p w14:paraId="02B5E27A">
      <w:pPr>
        <w:spacing w:line="460" w:lineRule="exact"/>
        <w:rPr>
          <w:rFonts w:hint="eastAsia" w:ascii="宋体" w:hAnsi="宋体" w:eastAsia="宋体" w:cs="宋体"/>
          <w:color w:val="auto"/>
          <w:sz w:val="24"/>
          <w:szCs w:val="24"/>
          <w:highlight w:val="none"/>
        </w:rPr>
      </w:pPr>
    </w:p>
    <w:p w14:paraId="7F17E7BF">
      <w:pPr>
        <w:spacing w:line="460" w:lineRule="exact"/>
        <w:rPr>
          <w:rFonts w:hint="eastAsia" w:ascii="宋体" w:hAnsi="宋体" w:eastAsia="宋体" w:cs="宋体"/>
          <w:color w:val="auto"/>
          <w:sz w:val="24"/>
          <w:szCs w:val="24"/>
          <w:highlight w:val="none"/>
        </w:rPr>
      </w:pPr>
    </w:p>
    <w:p w14:paraId="378C4910">
      <w:pPr>
        <w:spacing w:line="460" w:lineRule="exact"/>
        <w:rPr>
          <w:rFonts w:hint="eastAsia" w:ascii="宋体" w:hAnsi="宋体" w:eastAsia="宋体" w:cs="宋体"/>
          <w:color w:val="auto"/>
          <w:sz w:val="24"/>
          <w:szCs w:val="24"/>
          <w:highlight w:val="none"/>
        </w:rPr>
      </w:pPr>
    </w:p>
    <w:p w14:paraId="33C91E29">
      <w:pPr>
        <w:spacing w:line="460" w:lineRule="exact"/>
        <w:rPr>
          <w:rFonts w:hint="eastAsia" w:ascii="宋体" w:hAnsi="宋体" w:eastAsia="宋体" w:cs="宋体"/>
          <w:color w:val="auto"/>
          <w:sz w:val="24"/>
          <w:szCs w:val="24"/>
          <w:highlight w:val="none"/>
        </w:rPr>
      </w:pPr>
    </w:p>
    <w:p w14:paraId="17B16D56">
      <w:pPr>
        <w:pStyle w:val="199"/>
        <w:rPr>
          <w:rFonts w:hint="eastAsia" w:ascii="宋体" w:hAnsi="宋体" w:eastAsia="宋体" w:cs="宋体"/>
          <w:bCs/>
          <w:color w:val="auto"/>
          <w:sz w:val="24"/>
          <w:highlight w:val="none"/>
        </w:rPr>
      </w:pPr>
    </w:p>
    <w:p w14:paraId="515A9222">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724BF4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73CBBD4D">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5B0F495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6E05C33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6FC84DB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7E2471A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4B57121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37C7B9D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10277FD4">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37A236F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38D56B7C">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4D1A4D1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5DC565D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3ED9DB73">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56DBE096">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18F81FEA">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48A3981F">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4601EE67">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107063AF">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48F34ACC">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16BEEFA6">
      <w:pPr>
        <w:spacing w:line="560" w:lineRule="exact"/>
        <w:ind w:firstLine="240"/>
        <w:jc w:val="center"/>
        <w:rPr>
          <w:rFonts w:hint="eastAsia" w:ascii="宋体" w:hAnsi="宋体" w:eastAsia="宋体" w:cs="宋体"/>
          <w:bCs/>
          <w:color w:val="auto"/>
          <w:sz w:val="24"/>
          <w:highlight w:val="none"/>
        </w:rPr>
      </w:pPr>
    </w:p>
    <w:p w14:paraId="6BFB1B63">
      <w:pPr>
        <w:spacing w:line="560" w:lineRule="exact"/>
        <w:ind w:firstLine="240"/>
        <w:jc w:val="center"/>
        <w:rPr>
          <w:rFonts w:hint="eastAsia" w:ascii="宋体" w:hAnsi="宋体" w:eastAsia="宋体" w:cs="宋体"/>
          <w:bCs/>
          <w:color w:val="auto"/>
          <w:sz w:val="24"/>
          <w:highlight w:val="none"/>
        </w:rPr>
      </w:pPr>
    </w:p>
    <w:p w14:paraId="70BB9D23">
      <w:pPr>
        <w:spacing w:line="560" w:lineRule="exact"/>
        <w:ind w:firstLine="240"/>
        <w:jc w:val="center"/>
        <w:rPr>
          <w:rFonts w:hint="eastAsia" w:ascii="宋体" w:hAnsi="宋体" w:eastAsia="宋体" w:cs="宋体"/>
          <w:bCs/>
          <w:color w:val="auto"/>
          <w:sz w:val="24"/>
          <w:highlight w:val="none"/>
        </w:rPr>
      </w:pPr>
    </w:p>
    <w:p w14:paraId="01115DD9">
      <w:pPr>
        <w:spacing w:line="360" w:lineRule="auto"/>
        <w:jc w:val="left"/>
        <w:rPr>
          <w:rFonts w:hint="eastAsia" w:ascii="宋体" w:hAnsi="宋体" w:eastAsia="宋体" w:cs="宋体"/>
          <w:color w:val="auto"/>
          <w:sz w:val="32"/>
          <w:szCs w:val="32"/>
          <w:highlight w:val="none"/>
        </w:rPr>
      </w:pPr>
    </w:p>
    <w:p w14:paraId="1C834882">
      <w:pPr>
        <w:spacing w:line="360" w:lineRule="auto"/>
        <w:jc w:val="left"/>
        <w:rPr>
          <w:rFonts w:hint="eastAsia" w:ascii="宋体" w:hAnsi="宋体" w:eastAsia="宋体" w:cs="宋体"/>
          <w:color w:val="auto"/>
          <w:sz w:val="32"/>
          <w:szCs w:val="32"/>
          <w:highlight w:val="none"/>
        </w:rPr>
      </w:pPr>
    </w:p>
    <w:p w14:paraId="2F59423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64880D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6D9E3BC7">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68E381F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1A930C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3FD8BEC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6"/>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2859C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vAlign w:val="center"/>
          </w:tcPr>
          <w:p w14:paraId="1CECCFC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7DDDB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0" w:hRule="atLeast"/>
        </w:trPr>
        <w:tc>
          <w:tcPr>
            <w:tcW w:w="9450" w:type="dxa"/>
            <w:vAlign w:val="center"/>
          </w:tcPr>
          <w:p w14:paraId="3EDF91AC">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5CE2D59A">
      <w:pPr>
        <w:rPr>
          <w:rFonts w:hint="eastAsia" w:ascii="宋体" w:hAnsi="宋体" w:eastAsia="宋体" w:cs="宋体"/>
          <w:color w:val="auto"/>
          <w:sz w:val="24"/>
          <w:szCs w:val="24"/>
          <w:highlight w:val="none"/>
        </w:rPr>
      </w:pPr>
    </w:p>
    <w:p w14:paraId="214A2C4B">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775E69CC">
      <w:pPr>
        <w:spacing w:line="480" w:lineRule="exact"/>
        <w:ind w:firstLine="482"/>
        <w:rPr>
          <w:rFonts w:hint="eastAsia" w:ascii="宋体" w:hAnsi="宋体" w:eastAsia="宋体" w:cs="宋体"/>
          <w:b/>
          <w:bCs/>
          <w:color w:val="auto"/>
          <w:sz w:val="24"/>
          <w:szCs w:val="24"/>
          <w:highlight w:val="none"/>
        </w:rPr>
      </w:pPr>
    </w:p>
    <w:p w14:paraId="0FFB1808">
      <w:pPr>
        <w:spacing w:line="480" w:lineRule="exact"/>
        <w:ind w:firstLine="482"/>
        <w:rPr>
          <w:rFonts w:hint="eastAsia" w:ascii="宋体" w:hAnsi="宋体" w:eastAsia="宋体" w:cs="宋体"/>
          <w:b/>
          <w:bCs/>
          <w:color w:val="auto"/>
          <w:sz w:val="24"/>
          <w:szCs w:val="24"/>
          <w:highlight w:val="none"/>
        </w:rPr>
      </w:pPr>
    </w:p>
    <w:p w14:paraId="2AB724F1">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305245EA">
      <w:pPr>
        <w:spacing w:line="360" w:lineRule="auto"/>
        <w:jc w:val="center"/>
        <w:rPr>
          <w:rFonts w:hint="eastAsia" w:ascii="宋体" w:hAnsi="宋体" w:eastAsia="宋体" w:cs="宋体"/>
          <w:color w:val="auto"/>
          <w:sz w:val="32"/>
          <w:szCs w:val="32"/>
          <w:highlight w:val="none"/>
        </w:rPr>
      </w:pPr>
    </w:p>
    <w:p w14:paraId="27C28742">
      <w:pPr>
        <w:spacing w:line="360" w:lineRule="auto"/>
        <w:jc w:val="center"/>
        <w:rPr>
          <w:rFonts w:hint="eastAsia" w:ascii="宋体" w:hAnsi="宋体" w:eastAsia="宋体" w:cs="宋体"/>
          <w:color w:val="auto"/>
          <w:sz w:val="32"/>
          <w:szCs w:val="32"/>
          <w:highlight w:val="none"/>
        </w:rPr>
      </w:pPr>
    </w:p>
    <w:p w14:paraId="3A224225">
      <w:pPr>
        <w:spacing w:line="360" w:lineRule="auto"/>
        <w:jc w:val="left"/>
        <w:rPr>
          <w:rFonts w:hint="eastAsia" w:ascii="宋体" w:hAnsi="宋体" w:eastAsia="宋体" w:cs="宋体"/>
          <w:color w:val="auto"/>
          <w:sz w:val="32"/>
          <w:szCs w:val="32"/>
          <w:highlight w:val="none"/>
        </w:rPr>
      </w:pPr>
    </w:p>
    <w:p w14:paraId="18CC81CE">
      <w:pPr>
        <w:spacing w:line="360" w:lineRule="auto"/>
        <w:jc w:val="left"/>
        <w:rPr>
          <w:rFonts w:hint="eastAsia" w:ascii="宋体" w:hAnsi="宋体" w:eastAsia="宋体" w:cs="宋体"/>
          <w:color w:val="auto"/>
          <w:sz w:val="32"/>
          <w:szCs w:val="32"/>
          <w:highlight w:val="none"/>
        </w:rPr>
      </w:pPr>
    </w:p>
    <w:p w14:paraId="2E2B57BE">
      <w:pPr>
        <w:spacing w:line="360" w:lineRule="auto"/>
        <w:jc w:val="left"/>
        <w:rPr>
          <w:rFonts w:hint="eastAsia" w:ascii="宋体" w:hAnsi="宋体" w:eastAsia="宋体" w:cs="宋体"/>
          <w:color w:val="auto"/>
          <w:sz w:val="32"/>
          <w:szCs w:val="32"/>
          <w:highlight w:val="none"/>
        </w:rPr>
      </w:pPr>
    </w:p>
    <w:p w14:paraId="2CA1ADC2">
      <w:pPr>
        <w:spacing w:line="360" w:lineRule="auto"/>
        <w:jc w:val="left"/>
        <w:rPr>
          <w:rFonts w:hint="eastAsia" w:ascii="宋体" w:hAnsi="宋体" w:eastAsia="宋体" w:cs="宋体"/>
          <w:color w:val="auto"/>
          <w:sz w:val="32"/>
          <w:szCs w:val="32"/>
          <w:highlight w:val="none"/>
        </w:rPr>
      </w:pPr>
    </w:p>
    <w:p w14:paraId="5C8023A5">
      <w:pPr>
        <w:spacing w:line="360" w:lineRule="auto"/>
        <w:jc w:val="left"/>
        <w:rPr>
          <w:rFonts w:hint="eastAsia" w:ascii="宋体" w:hAnsi="宋体" w:eastAsia="宋体" w:cs="宋体"/>
          <w:color w:val="auto"/>
          <w:sz w:val="32"/>
          <w:szCs w:val="32"/>
          <w:highlight w:val="none"/>
        </w:rPr>
      </w:pPr>
    </w:p>
    <w:p w14:paraId="7C58BD44">
      <w:pPr>
        <w:spacing w:line="360" w:lineRule="auto"/>
        <w:jc w:val="left"/>
        <w:rPr>
          <w:rFonts w:hint="eastAsia" w:ascii="宋体" w:hAnsi="宋体" w:eastAsia="宋体" w:cs="宋体"/>
          <w:color w:val="auto"/>
          <w:sz w:val="32"/>
          <w:szCs w:val="32"/>
          <w:highlight w:val="none"/>
        </w:rPr>
      </w:pPr>
    </w:p>
    <w:p w14:paraId="4660569F">
      <w:pPr>
        <w:spacing w:line="360" w:lineRule="auto"/>
        <w:jc w:val="left"/>
        <w:rPr>
          <w:rFonts w:hint="eastAsia" w:ascii="宋体" w:hAnsi="宋体" w:eastAsia="宋体" w:cs="宋体"/>
          <w:color w:val="auto"/>
          <w:sz w:val="32"/>
          <w:szCs w:val="32"/>
          <w:highlight w:val="none"/>
        </w:rPr>
      </w:pPr>
    </w:p>
    <w:p w14:paraId="109F89B4">
      <w:pPr>
        <w:spacing w:line="360" w:lineRule="auto"/>
        <w:jc w:val="left"/>
        <w:rPr>
          <w:rFonts w:hint="eastAsia" w:ascii="宋体" w:hAnsi="宋体" w:eastAsia="宋体" w:cs="宋体"/>
          <w:color w:val="auto"/>
          <w:sz w:val="32"/>
          <w:szCs w:val="32"/>
          <w:highlight w:val="none"/>
        </w:rPr>
      </w:pPr>
    </w:p>
    <w:p w14:paraId="5FC0E9FA">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A691829">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009E51ED">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6"/>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15A4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211CFE58">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2E8B21E3">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7B880970">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5DCC7AA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524DF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1235F0DC">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60896C7C">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04FBCB2E">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40F1C6C6">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0ADDA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D4A8094">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6271CABA">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2F839689">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6254CB75">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2EBBF48B">
      <w:pPr>
        <w:widowControl/>
        <w:spacing w:line="360" w:lineRule="auto"/>
        <w:ind w:firstLine="480"/>
        <w:jc w:val="left"/>
        <w:rPr>
          <w:rFonts w:hint="eastAsia" w:ascii="宋体" w:hAnsi="宋体" w:eastAsia="宋体" w:cs="宋体"/>
          <w:color w:val="auto"/>
          <w:sz w:val="24"/>
          <w:szCs w:val="24"/>
          <w:highlight w:val="none"/>
        </w:rPr>
      </w:pPr>
    </w:p>
    <w:p w14:paraId="160B4952">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5EAF8072">
      <w:pPr>
        <w:spacing w:line="480" w:lineRule="exact"/>
        <w:ind w:firstLine="482"/>
        <w:rPr>
          <w:rFonts w:hint="eastAsia" w:ascii="宋体" w:hAnsi="宋体" w:eastAsia="宋体" w:cs="宋体"/>
          <w:b/>
          <w:bCs/>
          <w:color w:val="auto"/>
          <w:sz w:val="24"/>
          <w:szCs w:val="24"/>
          <w:highlight w:val="none"/>
        </w:rPr>
      </w:pPr>
    </w:p>
    <w:p w14:paraId="756E2978">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2B4580DF">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71BE720C">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1F3950B4">
      <w:pPr>
        <w:spacing w:line="360" w:lineRule="auto"/>
        <w:jc w:val="left"/>
        <w:rPr>
          <w:rFonts w:hint="eastAsia" w:ascii="宋体" w:hAnsi="宋体" w:eastAsia="宋体" w:cs="宋体"/>
          <w:color w:val="auto"/>
          <w:sz w:val="32"/>
          <w:szCs w:val="32"/>
          <w:highlight w:val="none"/>
        </w:rPr>
      </w:pPr>
    </w:p>
    <w:p w14:paraId="2A3E3B83">
      <w:pPr>
        <w:spacing w:line="360" w:lineRule="auto"/>
        <w:jc w:val="left"/>
        <w:rPr>
          <w:rFonts w:hint="eastAsia" w:ascii="宋体" w:hAnsi="宋体" w:eastAsia="宋体" w:cs="宋体"/>
          <w:color w:val="auto"/>
          <w:sz w:val="32"/>
          <w:szCs w:val="32"/>
          <w:highlight w:val="none"/>
        </w:rPr>
      </w:pPr>
    </w:p>
    <w:p w14:paraId="419EB7F0">
      <w:pPr>
        <w:spacing w:line="360" w:lineRule="auto"/>
        <w:jc w:val="left"/>
        <w:rPr>
          <w:rFonts w:hint="eastAsia" w:ascii="宋体" w:hAnsi="宋体" w:eastAsia="宋体" w:cs="宋体"/>
          <w:color w:val="auto"/>
          <w:sz w:val="32"/>
          <w:szCs w:val="32"/>
          <w:highlight w:val="none"/>
        </w:rPr>
      </w:pPr>
    </w:p>
    <w:p w14:paraId="65276A8A">
      <w:pPr>
        <w:spacing w:line="360" w:lineRule="auto"/>
        <w:jc w:val="left"/>
        <w:rPr>
          <w:rFonts w:hint="eastAsia" w:ascii="宋体" w:hAnsi="宋体" w:eastAsia="宋体" w:cs="宋体"/>
          <w:color w:val="auto"/>
          <w:sz w:val="32"/>
          <w:szCs w:val="32"/>
          <w:highlight w:val="none"/>
        </w:rPr>
      </w:pPr>
    </w:p>
    <w:p w14:paraId="03552BC8">
      <w:pPr>
        <w:spacing w:line="360" w:lineRule="auto"/>
        <w:jc w:val="left"/>
        <w:rPr>
          <w:rFonts w:hint="eastAsia" w:ascii="宋体" w:hAnsi="宋体" w:eastAsia="宋体" w:cs="宋体"/>
          <w:color w:val="auto"/>
          <w:sz w:val="32"/>
          <w:szCs w:val="32"/>
          <w:highlight w:val="none"/>
        </w:rPr>
      </w:pPr>
    </w:p>
    <w:p w14:paraId="2063C4BF">
      <w:pPr>
        <w:spacing w:line="360" w:lineRule="auto"/>
        <w:jc w:val="left"/>
        <w:rPr>
          <w:rFonts w:hint="eastAsia" w:ascii="宋体" w:hAnsi="宋体" w:eastAsia="宋体" w:cs="宋体"/>
          <w:color w:val="auto"/>
          <w:sz w:val="32"/>
          <w:szCs w:val="32"/>
          <w:highlight w:val="none"/>
        </w:rPr>
      </w:pPr>
    </w:p>
    <w:p w14:paraId="07BA505B">
      <w:pPr>
        <w:spacing w:line="360" w:lineRule="auto"/>
        <w:jc w:val="left"/>
        <w:rPr>
          <w:rFonts w:hint="eastAsia" w:ascii="宋体" w:hAnsi="宋体" w:eastAsia="宋体" w:cs="宋体"/>
          <w:color w:val="auto"/>
          <w:sz w:val="32"/>
          <w:szCs w:val="32"/>
          <w:highlight w:val="none"/>
        </w:rPr>
      </w:pPr>
    </w:p>
    <w:p w14:paraId="4C4782C3">
      <w:pPr>
        <w:spacing w:line="360" w:lineRule="auto"/>
        <w:jc w:val="left"/>
        <w:rPr>
          <w:rFonts w:hint="eastAsia" w:ascii="宋体" w:hAnsi="宋体" w:eastAsia="宋体" w:cs="宋体"/>
          <w:color w:val="auto"/>
          <w:sz w:val="32"/>
          <w:szCs w:val="32"/>
          <w:highlight w:val="none"/>
        </w:rPr>
      </w:pPr>
    </w:p>
    <w:p w14:paraId="65C52E60">
      <w:pPr>
        <w:spacing w:line="360" w:lineRule="auto"/>
        <w:jc w:val="left"/>
        <w:rPr>
          <w:rFonts w:hint="eastAsia" w:ascii="宋体" w:hAnsi="宋体" w:eastAsia="宋体" w:cs="宋体"/>
          <w:color w:val="auto"/>
          <w:sz w:val="32"/>
          <w:szCs w:val="32"/>
          <w:highlight w:val="none"/>
        </w:rPr>
      </w:pPr>
    </w:p>
    <w:p w14:paraId="1D6E1B0D">
      <w:pPr>
        <w:spacing w:line="360" w:lineRule="auto"/>
        <w:jc w:val="left"/>
        <w:rPr>
          <w:rFonts w:hint="eastAsia" w:ascii="宋体" w:hAnsi="宋体" w:eastAsia="宋体" w:cs="宋体"/>
          <w:color w:val="auto"/>
          <w:sz w:val="32"/>
          <w:szCs w:val="32"/>
          <w:highlight w:val="none"/>
        </w:rPr>
      </w:pPr>
    </w:p>
    <w:p w14:paraId="625AF835">
      <w:pPr>
        <w:spacing w:line="360" w:lineRule="auto"/>
        <w:jc w:val="left"/>
        <w:rPr>
          <w:rFonts w:hint="eastAsia" w:ascii="宋体" w:hAnsi="宋体" w:eastAsia="宋体" w:cs="宋体"/>
          <w:color w:val="auto"/>
          <w:sz w:val="32"/>
          <w:szCs w:val="32"/>
          <w:highlight w:val="none"/>
        </w:rPr>
      </w:pPr>
    </w:p>
    <w:p w14:paraId="58F182D2">
      <w:pPr>
        <w:spacing w:line="360" w:lineRule="auto"/>
        <w:jc w:val="left"/>
        <w:rPr>
          <w:rFonts w:hint="eastAsia" w:ascii="宋体" w:hAnsi="宋体" w:eastAsia="宋体" w:cs="宋体"/>
          <w:color w:val="auto"/>
          <w:sz w:val="32"/>
          <w:szCs w:val="32"/>
          <w:highlight w:val="none"/>
        </w:rPr>
      </w:pPr>
    </w:p>
    <w:p w14:paraId="173E6A58">
      <w:pPr>
        <w:spacing w:line="360" w:lineRule="auto"/>
        <w:jc w:val="left"/>
        <w:rPr>
          <w:rFonts w:hint="eastAsia" w:ascii="宋体" w:hAnsi="宋体" w:eastAsia="宋体" w:cs="宋体"/>
          <w:color w:val="auto"/>
          <w:sz w:val="32"/>
          <w:szCs w:val="32"/>
          <w:highlight w:val="none"/>
        </w:rPr>
      </w:pPr>
    </w:p>
    <w:p w14:paraId="0A812D78">
      <w:pPr>
        <w:spacing w:line="360" w:lineRule="auto"/>
        <w:jc w:val="left"/>
        <w:rPr>
          <w:rFonts w:hint="eastAsia" w:ascii="宋体" w:hAnsi="宋体" w:eastAsia="宋体" w:cs="宋体"/>
          <w:color w:val="auto"/>
          <w:sz w:val="32"/>
          <w:szCs w:val="32"/>
          <w:highlight w:val="none"/>
        </w:rPr>
      </w:pPr>
    </w:p>
    <w:p w14:paraId="58EF0A4D">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571E4608">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6"/>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558EC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14427CC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695025E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481FDE88">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5DB493F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587642E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15DD772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678040B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05B045B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210" w:type="dxa"/>
            <w:vAlign w:val="center"/>
          </w:tcPr>
          <w:p w14:paraId="6A7DBC7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2E0C0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63BB3E6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1BABD96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4ECFE18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4C04892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31C1E00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435B372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60B91D9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0FDCD02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210" w:type="dxa"/>
            <w:vAlign w:val="center"/>
          </w:tcPr>
          <w:p w14:paraId="7CE725A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5DD2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638781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59A5B83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0BB1D1B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4AB49C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35C22D0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EE0035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2FD40B5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77D1464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11109495">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769BC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164F6CB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103EB7D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0E60C7B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277CEFD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250DDF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7C19B1F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4CE4B3B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1D99B0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6CD70872">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43800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57F2585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3FAF492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1E26228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D68C09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34DA47B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B9A63F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7729EB2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79419DE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2F89CD40">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CCA7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0DA2D53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290" w:type="dxa"/>
            <w:gridSpan w:val="8"/>
            <w:vAlign w:val="center"/>
          </w:tcPr>
          <w:p w14:paraId="4F1A632E">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0B20D288">
      <w:pPr>
        <w:ind w:firstLine="480"/>
        <w:rPr>
          <w:rFonts w:hint="eastAsia" w:ascii="宋体" w:hAnsi="宋体" w:eastAsia="宋体" w:cs="宋体"/>
          <w:color w:val="auto"/>
          <w:sz w:val="24"/>
          <w:szCs w:val="24"/>
          <w:highlight w:val="none"/>
        </w:rPr>
      </w:pPr>
    </w:p>
    <w:p w14:paraId="1C621486">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1266043">
      <w:pPr>
        <w:ind w:firstLine="480"/>
        <w:rPr>
          <w:rFonts w:hint="eastAsia" w:ascii="宋体" w:hAnsi="宋体" w:eastAsia="宋体" w:cs="宋体"/>
          <w:color w:val="auto"/>
          <w:sz w:val="24"/>
          <w:szCs w:val="24"/>
          <w:highlight w:val="none"/>
        </w:rPr>
      </w:pPr>
    </w:p>
    <w:p w14:paraId="519E833C">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768131BC">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4CB39F48">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5B3426F5">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”中的产品一一对应，如有缺项、漏项或者超出单价上限，视为无效投标。</w:t>
      </w:r>
    </w:p>
    <w:p w14:paraId="1CD7F9ED">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759E89BE">
      <w:pPr>
        <w:spacing w:line="480" w:lineRule="exact"/>
        <w:rPr>
          <w:rFonts w:hint="eastAsia" w:ascii="宋体" w:hAnsi="宋体" w:eastAsia="宋体" w:cs="宋体"/>
          <w:color w:val="auto"/>
          <w:sz w:val="24"/>
          <w:szCs w:val="24"/>
          <w:highlight w:val="none"/>
        </w:rPr>
      </w:pPr>
    </w:p>
    <w:p w14:paraId="3A71016B">
      <w:pPr>
        <w:rPr>
          <w:rFonts w:hint="eastAsia" w:ascii="宋体" w:hAnsi="宋体" w:eastAsia="宋体" w:cs="宋体"/>
          <w:color w:val="auto"/>
          <w:sz w:val="24"/>
          <w:szCs w:val="24"/>
          <w:highlight w:val="none"/>
        </w:rPr>
      </w:pPr>
    </w:p>
    <w:p w14:paraId="11757AF0">
      <w:pPr>
        <w:rPr>
          <w:rFonts w:hint="eastAsia" w:ascii="宋体" w:hAnsi="宋体" w:eastAsia="宋体" w:cs="宋体"/>
          <w:color w:val="auto"/>
          <w:sz w:val="24"/>
          <w:szCs w:val="24"/>
          <w:highlight w:val="none"/>
        </w:rPr>
      </w:pPr>
    </w:p>
    <w:p w14:paraId="0DB3AFAC">
      <w:pPr>
        <w:spacing w:line="360" w:lineRule="auto"/>
        <w:jc w:val="left"/>
        <w:rPr>
          <w:rFonts w:hint="eastAsia" w:ascii="宋体" w:hAnsi="宋体" w:eastAsia="宋体" w:cs="宋体"/>
          <w:color w:val="auto"/>
          <w:sz w:val="32"/>
          <w:szCs w:val="32"/>
          <w:highlight w:val="none"/>
        </w:rPr>
      </w:pPr>
    </w:p>
    <w:p w14:paraId="69C3ED11">
      <w:pPr>
        <w:spacing w:line="360" w:lineRule="auto"/>
        <w:jc w:val="left"/>
        <w:rPr>
          <w:rFonts w:hint="eastAsia" w:ascii="宋体" w:hAnsi="宋体" w:eastAsia="宋体" w:cs="宋体"/>
          <w:color w:val="auto"/>
          <w:sz w:val="32"/>
          <w:szCs w:val="32"/>
          <w:highlight w:val="none"/>
        </w:rPr>
      </w:pPr>
    </w:p>
    <w:p w14:paraId="72DE9F55">
      <w:pPr>
        <w:spacing w:line="360" w:lineRule="auto"/>
        <w:jc w:val="left"/>
        <w:rPr>
          <w:rFonts w:hint="eastAsia" w:ascii="宋体" w:hAnsi="宋体" w:eastAsia="宋体" w:cs="宋体"/>
          <w:color w:val="auto"/>
          <w:sz w:val="32"/>
          <w:szCs w:val="32"/>
          <w:highlight w:val="none"/>
        </w:rPr>
      </w:pPr>
    </w:p>
    <w:p w14:paraId="1D34A95A">
      <w:pPr>
        <w:spacing w:line="360" w:lineRule="auto"/>
        <w:jc w:val="left"/>
        <w:rPr>
          <w:rFonts w:hint="eastAsia" w:ascii="宋体" w:hAnsi="宋体" w:eastAsia="宋体" w:cs="宋体"/>
          <w:color w:val="auto"/>
          <w:sz w:val="32"/>
          <w:szCs w:val="32"/>
          <w:highlight w:val="none"/>
        </w:rPr>
      </w:pPr>
    </w:p>
    <w:p w14:paraId="39C670DF">
      <w:pPr>
        <w:spacing w:line="360" w:lineRule="auto"/>
        <w:jc w:val="left"/>
        <w:rPr>
          <w:rFonts w:hint="eastAsia" w:ascii="宋体" w:hAnsi="宋体" w:eastAsia="宋体" w:cs="宋体"/>
          <w:color w:val="auto"/>
          <w:sz w:val="32"/>
          <w:szCs w:val="32"/>
          <w:highlight w:val="none"/>
        </w:rPr>
      </w:pPr>
    </w:p>
    <w:p w14:paraId="69C064C4">
      <w:pPr>
        <w:spacing w:line="360" w:lineRule="auto"/>
        <w:jc w:val="left"/>
        <w:rPr>
          <w:rFonts w:hint="eastAsia" w:ascii="宋体" w:hAnsi="宋体" w:eastAsia="宋体" w:cs="宋体"/>
          <w:color w:val="auto"/>
          <w:sz w:val="32"/>
          <w:szCs w:val="32"/>
          <w:highlight w:val="none"/>
        </w:rPr>
      </w:pPr>
    </w:p>
    <w:p w14:paraId="43454445">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71A102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211E396A">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6"/>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A66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7318FEFF">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6639F04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11C1E09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5AA80087">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3ABDC072">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38722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F2BE550">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CB14EF1">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79F8725">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EEFDDE4">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689A4A4">
            <w:pPr>
              <w:widowControl w:val="0"/>
              <w:jc w:val="center"/>
              <w:rPr>
                <w:rFonts w:hint="eastAsia" w:ascii="宋体" w:hAnsi="宋体" w:eastAsia="宋体" w:cs="宋体"/>
                <w:color w:val="auto"/>
                <w:sz w:val="24"/>
                <w:szCs w:val="24"/>
                <w:highlight w:val="none"/>
                <w:lang w:val="en-US" w:eastAsia="en-US" w:bidi="ar-SA"/>
              </w:rPr>
            </w:pPr>
          </w:p>
        </w:tc>
      </w:tr>
      <w:tr w14:paraId="70444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441964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20CE4BE">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2F236C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1D57E49">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7DA76E5">
            <w:pPr>
              <w:widowControl w:val="0"/>
              <w:jc w:val="center"/>
              <w:rPr>
                <w:rFonts w:hint="eastAsia" w:ascii="宋体" w:hAnsi="宋体" w:eastAsia="宋体" w:cs="宋体"/>
                <w:color w:val="auto"/>
                <w:sz w:val="24"/>
                <w:szCs w:val="24"/>
                <w:highlight w:val="none"/>
                <w:lang w:val="en-US" w:eastAsia="en-US" w:bidi="ar-SA"/>
              </w:rPr>
            </w:pPr>
          </w:p>
        </w:tc>
      </w:tr>
      <w:tr w14:paraId="3511C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AB39B13">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3AF76F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AB366ED">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BFA5784">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A1F1A89">
            <w:pPr>
              <w:widowControl w:val="0"/>
              <w:jc w:val="center"/>
              <w:rPr>
                <w:rFonts w:hint="eastAsia" w:ascii="宋体" w:hAnsi="宋体" w:eastAsia="宋体" w:cs="宋体"/>
                <w:color w:val="auto"/>
                <w:sz w:val="24"/>
                <w:szCs w:val="24"/>
                <w:highlight w:val="none"/>
                <w:lang w:val="en-US" w:eastAsia="en-US" w:bidi="ar-SA"/>
              </w:rPr>
            </w:pPr>
          </w:p>
        </w:tc>
      </w:tr>
      <w:tr w14:paraId="1CA56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3DD94D4">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9D112C8">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38BFB300">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4BE62D5">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D8B2677">
            <w:pPr>
              <w:widowControl w:val="0"/>
              <w:jc w:val="center"/>
              <w:rPr>
                <w:rFonts w:hint="eastAsia" w:ascii="宋体" w:hAnsi="宋体" w:eastAsia="宋体" w:cs="宋体"/>
                <w:color w:val="auto"/>
                <w:sz w:val="24"/>
                <w:szCs w:val="24"/>
                <w:highlight w:val="none"/>
                <w:lang w:val="en-US" w:eastAsia="en-US" w:bidi="ar-SA"/>
              </w:rPr>
            </w:pPr>
          </w:p>
        </w:tc>
      </w:tr>
      <w:tr w14:paraId="6A685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9DCBD0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91E496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06C8153">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D300D6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E75621E">
            <w:pPr>
              <w:widowControl w:val="0"/>
              <w:jc w:val="center"/>
              <w:rPr>
                <w:rFonts w:hint="eastAsia" w:ascii="宋体" w:hAnsi="宋体" w:eastAsia="宋体" w:cs="宋体"/>
                <w:color w:val="auto"/>
                <w:sz w:val="24"/>
                <w:szCs w:val="24"/>
                <w:highlight w:val="none"/>
                <w:lang w:val="en-US" w:eastAsia="en-US" w:bidi="ar-SA"/>
              </w:rPr>
            </w:pPr>
          </w:p>
        </w:tc>
      </w:tr>
      <w:tr w14:paraId="1AF25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516299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0D4D913">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A49490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DF37645">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DEFCB25">
            <w:pPr>
              <w:widowControl w:val="0"/>
              <w:jc w:val="center"/>
              <w:rPr>
                <w:rFonts w:hint="eastAsia" w:ascii="宋体" w:hAnsi="宋体" w:eastAsia="宋体" w:cs="宋体"/>
                <w:color w:val="auto"/>
                <w:sz w:val="24"/>
                <w:szCs w:val="24"/>
                <w:highlight w:val="none"/>
                <w:lang w:val="en-US" w:eastAsia="en-US" w:bidi="ar-SA"/>
              </w:rPr>
            </w:pPr>
          </w:p>
        </w:tc>
      </w:tr>
      <w:tr w14:paraId="301F8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3CAF17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7E9EE2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5BDD55E">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63A9CE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4882B771">
            <w:pPr>
              <w:widowControl w:val="0"/>
              <w:jc w:val="center"/>
              <w:rPr>
                <w:rFonts w:hint="eastAsia" w:ascii="宋体" w:hAnsi="宋体" w:eastAsia="宋体" w:cs="宋体"/>
                <w:color w:val="auto"/>
                <w:sz w:val="24"/>
                <w:szCs w:val="24"/>
                <w:highlight w:val="none"/>
                <w:lang w:val="en-US" w:eastAsia="en-US" w:bidi="ar-SA"/>
              </w:rPr>
            </w:pPr>
          </w:p>
        </w:tc>
      </w:tr>
      <w:tr w14:paraId="4C1EB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F238BEE">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6B9FFE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20C5D8E">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340B0E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5306B1D">
            <w:pPr>
              <w:widowControl w:val="0"/>
              <w:jc w:val="center"/>
              <w:rPr>
                <w:rFonts w:hint="eastAsia" w:ascii="宋体" w:hAnsi="宋体" w:eastAsia="宋体" w:cs="宋体"/>
                <w:color w:val="auto"/>
                <w:sz w:val="24"/>
                <w:szCs w:val="24"/>
                <w:highlight w:val="none"/>
                <w:lang w:val="en-US" w:eastAsia="en-US" w:bidi="ar-SA"/>
              </w:rPr>
            </w:pPr>
          </w:p>
        </w:tc>
      </w:tr>
    </w:tbl>
    <w:p w14:paraId="118CDAE5">
      <w:pPr>
        <w:spacing w:line="560" w:lineRule="exact"/>
        <w:ind w:right="180" w:firstLine="480"/>
        <w:rPr>
          <w:rFonts w:hint="eastAsia" w:ascii="宋体" w:hAnsi="宋体" w:eastAsia="宋体" w:cs="宋体"/>
          <w:color w:val="auto"/>
          <w:sz w:val="24"/>
          <w:szCs w:val="24"/>
          <w:highlight w:val="none"/>
        </w:rPr>
      </w:pPr>
    </w:p>
    <w:p w14:paraId="6FD810D3">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A066943">
      <w:pPr>
        <w:pStyle w:val="33"/>
        <w:spacing w:before="0" w:beforeAutospacing="0" w:after="0" w:afterAutospacing="0"/>
        <w:ind w:firstLine="480"/>
        <w:jc w:val="both"/>
        <w:rPr>
          <w:rFonts w:hint="eastAsia" w:ascii="宋体" w:hAnsi="宋体" w:eastAsia="宋体" w:cs="宋体"/>
          <w:color w:val="auto"/>
          <w:highlight w:val="none"/>
        </w:rPr>
      </w:pPr>
    </w:p>
    <w:p w14:paraId="14662A00">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3D1E8DBE">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74E1C399">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清晰标明页码及条款号，未提供或未准确标明技术支持资料对应位置的，评审时视为负偏离。注：证明材料内容须清晰可见。项目参数、技术参数和相关要求响应情况需如实填写，不得虚假响应，否则视为提供虚假材料谋取中标。</w:t>
      </w:r>
    </w:p>
    <w:p w14:paraId="2C124FBF">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0001E1EB">
      <w:pPr>
        <w:spacing w:line="360" w:lineRule="auto"/>
        <w:jc w:val="left"/>
        <w:rPr>
          <w:rFonts w:hint="eastAsia" w:ascii="宋体" w:hAnsi="宋体" w:eastAsia="宋体" w:cs="宋体"/>
          <w:color w:val="auto"/>
          <w:sz w:val="32"/>
          <w:szCs w:val="32"/>
          <w:highlight w:val="none"/>
        </w:rPr>
      </w:pPr>
    </w:p>
    <w:p w14:paraId="65BDAA29">
      <w:pPr>
        <w:spacing w:line="360" w:lineRule="auto"/>
        <w:jc w:val="left"/>
        <w:rPr>
          <w:rFonts w:hint="eastAsia" w:ascii="宋体" w:hAnsi="宋体" w:eastAsia="宋体" w:cs="宋体"/>
          <w:color w:val="auto"/>
          <w:sz w:val="32"/>
          <w:szCs w:val="32"/>
          <w:highlight w:val="none"/>
        </w:rPr>
      </w:pPr>
    </w:p>
    <w:p w14:paraId="42A36CBB">
      <w:pPr>
        <w:rPr>
          <w:rFonts w:hint="eastAsia" w:ascii="宋体" w:hAnsi="宋体" w:eastAsia="宋体" w:cs="宋体"/>
          <w:color w:val="auto"/>
          <w:highlight w:val="none"/>
        </w:rPr>
      </w:pPr>
    </w:p>
    <w:p w14:paraId="64778E9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FADE9C3">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6FDB8DC4">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6"/>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3BB73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730D633D">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2774FC7C">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1BEC0B7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57BD1D36">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6F380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37D4922">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21C4B2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5DF421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270C18D">
            <w:pPr>
              <w:widowControl w:val="0"/>
              <w:jc w:val="center"/>
              <w:rPr>
                <w:rFonts w:hint="eastAsia" w:ascii="宋体" w:hAnsi="宋体" w:eastAsia="宋体" w:cs="宋体"/>
                <w:color w:val="auto"/>
                <w:sz w:val="24"/>
                <w:szCs w:val="24"/>
                <w:highlight w:val="none"/>
                <w:lang w:val="en-US" w:eastAsia="en-US" w:bidi="ar-SA"/>
              </w:rPr>
            </w:pPr>
          </w:p>
        </w:tc>
      </w:tr>
      <w:tr w14:paraId="37103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BDC038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E4E649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F8D31B2">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1DCA967">
            <w:pPr>
              <w:widowControl w:val="0"/>
              <w:jc w:val="center"/>
              <w:rPr>
                <w:rFonts w:hint="eastAsia" w:ascii="宋体" w:hAnsi="宋体" w:eastAsia="宋体" w:cs="宋体"/>
                <w:color w:val="auto"/>
                <w:sz w:val="24"/>
                <w:szCs w:val="24"/>
                <w:highlight w:val="none"/>
                <w:lang w:val="en-US" w:eastAsia="en-US" w:bidi="ar-SA"/>
              </w:rPr>
            </w:pPr>
          </w:p>
        </w:tc>
      </w:tr>
      <w:tr w14:paraId="5D235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730E6A5">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0602CB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11CF77E">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71B2B79D">
            <w:pPr>
              <w:widowControl w:val="0"/>
              <w:jc w:val="center"/>
              <w:rPr>
                <w:rFonts w:hint="eastAsia" w:ascii="宋体" w:hAnsi="宋体" w:eastAsia="宋体" w:cs="宋体"/>
                <w:color w:val="auto"/>
                <w:sz w:val="24"/>
                <w:szCs w:val="24"/>
                <w:highlight w:val="none"/>
                <w:lang w:val="en-US" w:eastAsia="en-US" w:bidi="ar-SA"/>
              </w:rPr>
            </w:pPr>
          </w:p>
        </w:tc>
      </w:tr>
      <w:tr w14:paraId="164C7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6C1BF62">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4F6F1D5">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9ADFF88">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79C2E3B6">
            <w:pPr>
              <w:widowControl w:val="0"/>
              <w:jc w:val="center"/>
              <w:rPr>
                <w:rFonts w:hint="eastAsia" w:ascii="宋体" w:hAnsi="宋体" w:eastAsia="宋体" w:cs="宋体"/>
                <w:color w:val="auto"/>
                <w:sz w:val="24"/>
                <w:szCs w:val="24"/>
                <w:highlight w:val="none"/>
                <w:lang w:val="en-US" w:eastAsia="en-US" w:bidi="ar-SA"/>
              </w:rPr>
            </w:pPr>
          </w:p>
        </w:tc>
      </w:tr>
      <w:tr w14:paraId="7E87F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B67F7A2">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8B2F3E5">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DACBE8B">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23957DE">
            <w:pPr>
              <w:widowControl w:val="0"/>
              <w:jc w:val="center"/>
              <w:rPr>
                <w:rFonts w:hint="eastAsia" w:ascii="宋体" w:hAnsi="宋体" w:eastAsia="宋体" w:cs="宋体"/>
                <w:color w:val="auto"/>
                <w:sz w:val="24"/>
                <w:szCs w:val="24"/>
                <w:highlight w:val="none"/>
                <w:lang w:val="en-US" w:eastAsia="en-US" w:bidi="ar-SA"/>
              </w:rPr>
            </w:pPr>
          </w:p>
        </w:tc>
      </w:tr>
      <w:tr w14:paraId="4A121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F5639A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E5AC82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A2D3EB8">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74A7583">
            <w:pPr>
              <w:widowControl w:val="0"/>
              <w:jc w:val="center"/>
              <w:rPr>
                <w:rFonts w:hint="eastAsia" w:ascii="宋体" w:hAnsi="宋体" w:eastAsia="宋体" w:cs="宋体"/>
                <w:color w:val="auto"/>
                <w:sz w:val="24"/>
                <w:szCs w:val="24"/>
                <w:highlight w:val="none"/>
                <w:lang w:val="en-US" w:eastAsia="en-US" w:bidi="ar-SA"/>
              </w:rPr>
            </w:pPr>
          </w:p>
        </w:tc>
      </w:tr>
      <w:tr w14:paraId="40244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00065948">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4DEF00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26A9B5B">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40C4158A">
            <w:pPr>
              <w:widowControl w:val="0"/>
              <w:jc w:val="center"/>
              <w:rPr>
                <w:rFonts w:hint="eastAsia" w:ascii="宋体" w:hAnsi="宋体" w:eastAsia="宋体" w:cs="宋体"/>
                <w:color w:val="auto"/>
                <w:sz w:val="24"/>
                <w:szCs w:val="24"/>
                <w:highlight w:val="none"/>
                <w:lang w:val="en-US" w:eastAsia="en-US" w:bidi="ar-SA"/>
              </w:rPr>
            </w:pPr>
          </w:p>
        </w:tc>
      </w:tr>
      <w:tr w14:paraId="3D4A2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4065DB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774D86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67D7E14">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02D6619">
            <w:pPr>
              <w:widowControl w:val="0"/>
              <w:jc w:val="center"/>
              <w:rPr>
                <w:rFonts w:hint="eastAsia" w:ascii="宋体" w:hAnsi="宋体" w:eastAsia="宋体" w:cs="宋体"/>
                <w:color w:val="auto"/>
                <w:sz w:val="24"/>
                <w:szCs w:val="24"/>
                <w:highlight w:val="none"/>
                <w:lang w:val="en-US" w:eastAsia="en-US" w:bidi="ar-SA"/>
              </w:rPr>
            </w:pPr>
          </w:p>
        </w:tc>
      </w:tr>
    </w:tbl>
    <w:p w14:paraId="1C4B8291">
      <w:pPr>
        <w:spacing w:line="560" w:lineRule="exact"/>
        <w:ind w:right="180" w:firstLine="480"/>
        <w:rPr>
          <w:rFonts w:hint="eastAsia" w:ascii="宋体" w:hAnsi="宋体" w:eastAsia="宋体" w:cs="宋体"/>
          <w:color w:val="auto"/>
          <w:sz w:val="24"/>
          <w:szCs w:val="24"/>
          <w:highlight w:val="none"/>
        </w:rPr>
      </w:pPr>
    </w:p>
    <w:p w14:paraId="48DDE569">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997A18F">
      <w:pPr>
        <w:ind w:firstLine="480"/>
        <w:rPr>
          <w:rFonts w:hint="eastAsia" w:ascii="宋体" w:hAnsi="宋体" w:eastAsia="宋体" w:cs="宋体"/>
          <w:color w:val="auto"/>
          <w:sz w:val="24"/>
          <w:szCs w:val="24"/>
          <w:highlight w:val="none"/>
        </w:rPr>
      </w:pPr>
    </w:p>
    <w:p w14:paraId="6F117B82">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0FB49352">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61584DC6">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36A2E809">
      <w:pPr>
        <w:spacing w:line="480" w:lineRule="auto"/>
        <w:rPr>
          <w:rFonts w:hint="eastAsia" w:ascii="宋体" w:hAnsi="宋体" w:eastAsia="宋体" w:cs="宋体"/>
          <w:color w:val="auto"/>
          <w:sz w:val="24"/>
          <w:szCs w:val="21"/>
          <w:highlight w:val="none"/>
        </w:rPr>
      </w:pPr>
    </w:p>
    <w:p w14:paraId="637EE005">
      <w:pPr>
        <w:spacing w:line="480" w:lineRule="auto"/>
        <w:rPr>
          <w:rFonts w:hint="eastAsia" w:ascii="宋体" w:hAnsi="宋体" w:eastAsia="宋体" w:cs="宋体"/>
          <w:color w:val="auto"/>
          <w:sz w:val="30"/>
          <w:szCs w:val="21"/>
          <w:highlight w:val="none"/>
        </w:rPr>
      </w:pPr>
    </w:p>
    <w:p w14:paraId="05C208F5">
      <w:pPr>
        <w:spacing w:line="360" w:lineRule="auto"/>
        <w:jc w:val="left"/>
        <w:rPr>
          <w:rFonts w:hint="eastAsia" w:ascii="宋体" w:hAnsi="宋体" w:eastAsia="宋体" w:cs="宋体"/>
          <w:color w:val="auto"/>
          <w:sz w:val="32"/>
          <w:szCs w:val="32"/>
          <w:highlight w:val="none"/>
        </w:rPr>
      </w:pPr>
    </w:p>
    <w:p w14:paraId="682D9AA5">
      <w:pPr>
        <w:spacing w:line="360" w:lineRule="auto"/>
        <w:jc w:val="left"/>
        <w:rPr>
          <w:rFonts w:hint="eastAsia" w:ascii="宋体" w:hAnsi="宋体" w:eastAsia="宋体" w:cs="宋体"/>
          <w:color w:val="auto"/>
          <w:sz w:val="32"/>
          <w:szCs w:val="32"/>
          <w:highlight w:val="none"/>
        </w:rPr>
      </w:pPr>
    </w:p>
    <w:p w14:paraId="457079C3">
      <w:pPr>
        <w:spacing w:line="360" w:lineRule="auto"/>
        <w:jc w:val="left"/>
        <w:rPr>
          <w:rFonts w:hint="eastAsia" w:ascii="宋体" w:hAnsi="宋体" w:eastAsia="宋体" w:cs="宋体"/>
          <w:color w:val="auto"/>
          <w:sz w:val="32"/>
          <w:szCs w:val="32"/>
          <w:highlight w:val="none"/>
        </w:rPr>
      </w:pPr>
    </w:p>
    <w:p w14:paraId="7AA46A71">
      <w:pPr>
        <w:pStyle w:val="198"/>
        <w:rPr>
          <w:rFonts w:hint="eastAsia" w:ascii="宋体" w:hAnsi="宋体" w:eastAsia="宋体" w:cs="宋体"/>
          <w:color w:val="auto"/>
          <w:sz w:val="32"/>
          <w:szCs w:val="32"/>
          <w:highlight w:val="none"/>
          <w:lang w:val="en-US"/>
        </w:rPr>
      </w:pPr>
    </w:p>
    <w:p w14:paraId="7AD80DEC">
      <w:pPr>
        <w:rPr>
          <w:rFonts w:hint="eastAsia" w:ascii="宋体" w:hAnsi="宋体" w:eastAsia="宋体" w:cs="宋体"/>
          <w:color w:val="auto"/>
          <w:highlight w:val="none"/>
        </w:rPr>
      </w:pPr>
    </w:p>
    <w:p w14:paraId="5A94C50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E8B895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1F5BDA91">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73BD4719">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72C1F6F">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832E6D3">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3B87C181">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8CBD279">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7984CA1">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CBB7F14">
      <w:pPr>
        <w:pStyle w:val="198"/>
        <w:spacing w:line="336" w:lineRule="auto"/>
        <w:rPr>
          <w:rFonts w:hint="eastAsia" w:ascii="宋体" w:hAnsi="宋体" w:eastAsia="宋体" w:cs="宋体"/>
          <w:color w:val="auto"/>
          <w:sz w:val="24"/>
          <w:szCs w:val="24"/>
          <w:highlight w:val="none"/>
        </w:rPr>
      </w:pPr>
    </w:p>
    <w:p w14:paraId="752614C2">
      <w:pPr>
        <w:spacing w:line="336" w:lineRule="auto"/>
        <w:rPr>
          <w:rFonts w:hint="eastAsia" w:ascii="宋体" w:hAnsi="宋体" w:eastAsia="宋体" w:cs="宋体"/>
          <w:color w:val="auto"/>
          <w:highlight w:val="none"/>
        </w:rPr>
      </w:pPr>
    </w:p>
    <w:p w14:paraId="50E99897">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1239D3D7">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2B31CB2">
      <w:pPr>
        <w:spacing w:line="336" w:lineRule="auto"/>
        <w:ind w:firstLine="480"/>
        <w:rPr>
          <w:rFonts w:hint="eastAsia" w:ascii="宋体" w:hAnsi="宋体" w:eastAsia="宋体" w:cs="宋体"/>
          <w:color w:val="auto"/>
          <w:sz w:val="24"/>
          <w:szCs w:val="24"/>
          <w:highlight w:val="none"/>
        </w:rPr>
      </w:pPr>
    </w:p>
    <w:p w14:paraId="12F20C69">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79F0B461">
      <w:pPr>
        <w:spacing w:line="360" w:lineRule="auto"/>
        <w:jc w:val="left"/>
        <w:rPr>
          <w:rFonts w:hint="eastAsia" w:ascii="宋体" w:hAnsi="宋体" w:eastAsia="宋体" w:cs="宋体"/>
          <w:color w:val="auto"/>
          <w:sz w:val="32"/>
          <w:szCs w:val="32"/>
          <w:highlight w:val="none"/>
        </w:rPr>
      </w:pPr>
    </w:p>
    <w:p w14:paraId="2B4C012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13737D69">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0A8A3A39">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438CA84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5D0115DE">
      <w:pPr>
        <w:pStyle w:val="198"/>
        <w:rPr>
          <w:rFonts w:hint="eastAsia" w:ascii="宋体" w:hAnsi="宋体" w:eastAsia="宋体" w:cs="宋体"/>
          <w:color w:val="auto"/>
          <w:sz w:val="24"/>
          <w:szCs w:val="24"/>
          <w:highlight w:val="none"/>
        </w:rPr>
      </w:pPr>
    </w:p>
    <w:p w14:paraId="1769F93A">
      <w:pPr>
        <w:rPr>
          <w:rFonts w:hint="eastAsia" w:ascii="宋体" w:hAnsi="宋体" w:eastAsia="宋体" w:cs="宋体"/>
          <w:color w:val="auto"/>
          <w:highlight w:val="none"/>
        </w:rPr>
      </w:pPr>
    </w:p>
    <w:p w14:paraId="066AA486">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39F07D54">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9D03BC8">
      <w:pPr>
        <w:spacing w:line="588" w:lineRule="exact"/>
        <w:ind w:firstLine="480"/>
        <w:rPr>
          <w:rFonts w:hint="eastAsia" w:ascii="宋体" w:hAnsi="宋体" w:eastAsia="宋体" w:cs="宋体"/>
          <w:color w:val="auto"/>
          <w:sz w:val="24"/>
          <w:highlight w:val="none"/>
        </w:rPr>
      </w:pPr>
    </w:p>
    <w:p w14:paraId="75F0888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0EAAB00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2A6F313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21300221">
      <w:pPr>
        <w:spacing w:line="480" w:lineRule="exact"/>
        <w:ind w:firstLine="624"/>
        <w:rPr>
          <w:rFonts w:hint="eastAsia" w:ascii="宋体" w:hAnsi="宋体" w:eastAsia="宋体" w:cs="宋体"/>
          <w:color w:val="auto"/>
          <w:spacing w:val="6"/>
          <w:sz w:val="30"/>
          <w:szCs w:val="30"/>
          <w:highlight w:val="none"/>
        </w:rPr>
      </w:pPr>
    </w:p>
    <w:p w14:paraId="44132947">
      <w:pPr>
        <w:pStyle w:val="199"/>
        <w:rPr>
          <w:rFonts w:hint="eastAsia" w:ascii="宋体" w:hAnsi="宋体" w:eastAsia="宋体" w:cs="宋体"/>
          <w:color w:val="auto"/>
          <w:highlight w:val="none"/>
        </w:rPr>
      </w:pPr>
    </w:p>
    <w:p w14:paraId="3F8D7AAF">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20AD563">
      <w:pPr>
        <w:spacing w:line="560" w:lineRule="exact"/>
        <w:jc w:val="center"/>
        <w:rPr>
          <w:rFonts w:hint="eastAsia" w:ascii="宋体" w:hAnsi="宋体" w:eastAsia="宋体" w:cs="宋体"/>
          <w:b/>
          <w:color w:val="auto"/>
          <w:sz w:val="32"/>
          <w:szCs w:val="32"/>
          <w:highlight w:val="none"/>
        </w:rPr>
      </w:pPr>
    </w:p>
    <w:p w14:paraId="024DE510">
      <w:pPr>
        <w:spacing w:line="560" w:lineRule="exact"/>
        <w:jc w:val="center"/>
        <w:rPr>
          <w:rFonts w:hint="eastAsia" w:ascii="宋体" w:hAnsi="宋体" w:eastAsia="宋体" w:cs="宋体"/>
          <w:b/>
          <w:color w:val="auto"/>
          <w:sz w:val="32"/>
          <w:szCs w:val="32"/>
          <w:highlight w:val="none"/>
        </w:rPr>
      </w:pPr>
    </w:p>
    <w:p w14:paraId="523746D3">
      <w:pPr>
        <w:spacing w:line="560" w:lineRule="exact"/>
        <w:jc w:val="center"/>
        <w:rPr>
          <w:rFonts w:hint="eastAsia" w:ascii="宋体" w:hAnsi="宋体" w:eastAsia="宋体" w:cs="宋体"/>
          <w:b/>
          <w:color w:val="auto"/>
          <w:sz w:val="32"/>
          <w:szCs w:val="32"/>
          <w:highlight w:val="none"/>
        </w:rPr>
      </w:pPr>
    </w:p>
    <w:p w14:paraId="044775FB">
      <w:pPr>
        <w:spacing w:line="560" w:lineRule="exact"/>
        <w:jc w:val="center"/>
        <w:rPr>
          <w:rFonts w:hint="eastAsia" w:ascii="宋体" w:hAnsi="宋体" w:eastAsia="宋体" w:cs="宋体"/>
          <w:b/>
          <w:color w:val="auto"/>
          <w:sz w:val="32"/>
          <w:szCs w:val="32"/>
          <w:highlight w:val="none"/>
        </w:rPr>
      </w:pPr>
    </w:p>
    <w:p w14:paraId="4CF2E804">
      <w:pPr>
        <w:spacing w:line="560" w:lineRule="exact"/>
        <w:jc w:val="center"/>
        <w:rPr>
          <w:rFonts w:hint="eastAsia" w:ascii="宋体" w:hAnsi="宋体" w:eastAsia="宋体" w:cs="宋体"/>
          <w:b/>
          <w:color w:val="auto"/>
          <w:sz w:val="32"/>
          <w:szCs w:val="32"/>
          <w:highlight w:val="none"/>
        </w:rPr>
      </w:pPr>
    </w:p>
    <w:p w14:paraId="61B18A53">
      <w:pPr>
        <w:spacing w:line="560" w:lineRule="exact"/>
        <w:jc w:val="center"/>
        <w:rPr>
          <w:rFonts w:hint="eastAsia" w:ascii="宋体" w:hAnsi="宋体" w:eastAsia="宋体" w:cs="宋体"/>
          <w:b/>
          <w:bCs/>
          <w:color w:val="auto"/>
          <w:sz w:val="32"/>
          <w:szCs w:val="32"/>
          <w:highlight w:val="none"/>
        </w:rPr>
      </w:pPr>
    </w:p>
    <w:p w14:paraId="23F2F06E">
      <w:pPr>
        <w:spacing w:line="560" w:lineRule="exact"/>
        <w:jc w:val="center"/>
        <w:rPr>
          <w:rFonts w:hint="eastAsia" w:ascii="宋体" w:hAnsi="宋体" w:eastAsia="宋体" w:cs="宋体"/>
          <w:b/>
          <w:bCs/>
          <w:color w:val="auto"/>
          <w:sz w:val="32"/>
          <w:szCs w:val="32"/>
          <w:highlight w:val="none"/>
        </w:rPr>
      </w:pPr>
    </w:p>
    <w:p w14:paraId="679D4959">
      <w:pPr>
        <w:spacing w:line="560" w:lineRule="exact"/>
        <w:jc w:val="center"/>
        <w:rPr>
          <w:rFonts w:hint="eastAsia" w:ascii="宋体" w:hAnsi="宋体" w:eastAsia="宋体" w:cs="宋体"/>
          <w:b/>
          <w:bCs/>
          <w:color w:val="auto"/>
          <w:sz w:val="32"/>
          <w:szCs w:val="32"/>
          <w:highlight w:val="none"/>
        </w:rPr>
      </w:pPr>
    </w:p>
    <w:p w14:paraId="0C740F53">
      <w:pPr>
        <w:spacing w:line="560" w:lineRule="exact"/>
        <w:jc w:val="center"/>
        <w:rPr>
          <w:rFonts w:hint="eastAsia" w:ascii="宋体" w:hAnsi="宋体" w:eastAsia="宋体" w:cs="宋体"/>
          <w:b/>
          <w:color w:val="auto"/>
          <w:sz w:val="32"/>
          <w:szCs w:val="32"/>
          <w:highlight w:val="none"/>
        </w:rPr>
      </w:pPr>
    </w:p>
    <w:p w14:paraId="78FF411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34028162">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4728C9F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7475C0CC">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0E9C6E73">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75780167">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E617F53">
      <w:pPr>
        <w:spacing w:line="560" w:lineRule="exact"/>
        <w:ind w:firstLine="645"/>
        <w:rPr>
          <w:rFonts w:hint="eastAsia" w:ascii="宋体" w:hAnsi="宋体" w:eastAsia="宋体" w:cs="宋体"/>
          <w:color w:val="auto"/>
          <w:sz w:val="24"/>
          <w:highlight w:val="none"/>
        </w:rPr>
      </w:pPr>
    </w:p>
    <w:p w14:paraId="3C1485E8">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6DECD0F">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17F3C342">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EBF9F0B">
      <w:pPr>
        <w:spacing w:line="480" w:lineRule="exact"/>
        <w:ind w:firstLine="480"/>
        <w:rPr>
          <w:rFonts w:hint="eastAsia" w:ascii="宋体" w:hAnsi="宋体" w:eastAsia="宋体" w:cs="宋体"/>
          <w:color w:val="auto"/>
          <w:sz w:val="24"/>
          <w:highlight w:val="none"/>
        </w:rPr>
      </w:pPr>
    </w:p>
    <w:p w14:paraId="127EA3E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00AD277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3539588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65C3DA3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1DFCF231">
      <w:pPr>
        <w:pStyle w:val="35"/>
        <w:ind w:firstLine="480"/>
        <w:rPr>
          <w:rFonts w:hint="eastAsia" w:ascii="宋体" w:hAnsi="宋体" w:eastAsia="宋体" w:cs="宋体"/>
          <w:color w:val="auto"/>
          <w:sz w:val="24"/>
          <w:highlight w:val="none"/>
          <w:lang w:eastAsia="zh-CN"/>
        </w:rPr>
      </w:pPr>
    </w:p>
    <w:p w14:paraId="539B69B8">
      <w:pPr>
        <w:rPr>
          <w:rFonts w:hint="eastAsia" w:ascii="宋体" w:hAnsi="宋体" w:eastAsia="宋体" w:cs="宋体"/>
          <w:color w:val="auto"/>
          <w:highlight w:val="none"/>
        </w:rPr>
      </w:pPr>
    </w:p>
    <w:p w14:paraId="104B57F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6C5BA14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35B2EDDF">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0F8C8A3B">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31422B84">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1"/>
          <w:rFonts w:hint="eastAsia" w:ascii="宋体" w:hAnsi="宋体" w:eastAsia="宋体" w:cs="宋体"/>
          <w:i w:val="0"/>
          <w:color w:val="auto"/>
          <w:highlight w:val="none"/>
          <w:u w:val="single"/>
          <w:shd w:val="clear" w:color="auto" w:fill="FFFFFF"/>
        </w:rPr>
        <w:t>（产品名称1）</w:t>
      </w:r>
      <w:r>
        <w:rPr>
          <w:rStyle w:val="41"/>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1"/>
          <w:rFonts w:hint="eastAsia" w:ascii="宋体" w:hAnsi="宋体" w:eastAsia="宋体" w:cs="宋体"/>
          <w:i w:val="0"/>
          <w:color w:val="auto"/>
          <w:highlight w:val="none"/>
          <w:u w:val="single"/>
          <w:shd w:val="clear" w:color="auto" w:fill="FFFFFF"/>
        </w:rPr>
        <w:t>（厂名）</w:t>
      </w:r>
      <w:r>
        <w:rPr>
          <w:rStyle w:val="41"/>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1"/>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1"/>
          <w:rFonts w:hint="eastAsia" w:ascii="宋体" w:hAnsi="宋体" w:eastAsia="宋体" w:cs="宋体"/>
          <w:i w:val="0"/>
          <w:strike w:val="0"/>
          <w:color w:val="auto"/>
          <w:highlight w:val="none"/>
          <w:u w:val="single"/>
          <w:shd w:val="clear" w:color="auto" w:fill="FFFFFF"/>
        </w:rPr>
        <w:t>（规定比例）</w:t>
      </w:r>
      <w:r>
        <w:rPr>
          <w:rStyle w:val="41"/>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（关键组件）</w:t>
      </w:r>
      <w:r>
        <w:rPr>
          <w:rStyle w:val="41"/>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（关键工序）</w:t>
      </w:r>
      <w:r>
        <w:rPr>
          <w:rStyle w:val="41"/>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4186BB19">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1"/>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1"/>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1"/>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4C5B169F">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4CDB0E6B">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1"/>
          <w:rFonts w:hint="eastAsia" w:ascii="宋体" w:hAnsi="宋体" w:eastAsia="宋体" w:cs="宋体"/>
          <w:color w:val="auto"/>
          <w:highlight w:val="none"/>
          <w:vertAlign w:val="superscript"/>
        </w:rPr>
        <w:t>6</w:t>
      </w:r>
    </w:p>
    <w:p w14:paraId="233BEB8B">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4C11802C">
      <w:pPr>
        <w:pStyle w:val="33"/>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612DD041">
      <w:pPr>
        <w:pStyle w:val="33"/>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5CD8B431">
      <w:pPr>
        <w:pStyle w:val="33"/>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0636D4D7">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68B3350E">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73799014">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0E8D6CDA">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617FC00F">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22C37127">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4AF6860">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5"/>
    </w:p>
    <w:p w14:paraId="57A3288A">
      <w:pPr>
        <w:pStyle w:val="35"/>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sectPr>
      <w:footerReference r:id="rId3" w:type="default"/>
      <w:pgSz w:w="11906" w:h="16838"/>
      <w:pgMar w:top="1134" w:right="1134" w:bottom="1134" w:left="1134" w:header="709" w:footer="709" w:gutter="0"/>
      <w:paperSrc/>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FA0FB">
    <w:pPr>
      <w:pStyle w:val="2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2A644AEE">
                          <w:pPr>
                            <w:pStyle w:val="23"/>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2A644AEE">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44923"/>
    <w:multiLevelType w:val="singleLevel"/>
    <w:tmpl w:val="A8044923"/>
    <w:lvl w:ilvl="0" w:tentative="0">
      <w:start w:val="13"/>
      <w:numFmt w:val="chineseCounting"/>
      <w:suff w:val="nothing"/>
      <w:lvlText w:val="%1、"/>
      <w:lvlJc w:val="left"/>
      <w:rPr>
        <w:rFonts w:hint="eastAsia"/>
      </w:rPr>
    </w:lvl>
  </w:abstractNum>
  <w:abstractNum w:abstractNumId="1">
    <w:nsid w:val="DF42F2F5"/>
    <w:multiLevelType w:val="singleLevel"/>
    <w:tmpl w:val="DF42F2F5"/>
    <w:lvl w:ilvl="0" w:tentative="0">
      <w:start w:val="5"/>
      <w:numFmt w:val="decimal"/>
      <w:suff w:val="nothing"/>
      <w:lvlText w:val="（%1）"/>
      <w:lvlJc w:val="left"/>
    </w:lvl>
  </w:abstractNum>
  <w:abstractNum w:abstractNumId="2">
    <w:nsid w:val="04F5FA48"/>
    <w:multiLevelType w:val="singleLevel"/>
    <w:tmpl w:val="04F5FA48"/>
    <w:lvl w:ilvl="0" w:tentative="0">
      <w:start w:val="1"/>
      <w:numFmt w:val="decimal"/>
      <w:suff w:val="nothing"/>
      <w:lvlText w:val="（%1）"/>
      <w:lvlJc w:val="left"/>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43C28E7"/>
    <w:rsid w:val="04AB3B40"/>
    <w:rsid w:val="05364520"/>
    <w:rsid w:val="06482B12"/>
    <w:rsid w:val="06F908C0"/>
    <w:rsid w:val="080E7D28"/>
    <w:rsid w:val="09990181"/>
    <w:rsid w:val="0C8622D0"/>
    <w:rsid w:val="0FF32684"/>
    <w:rsid w:val="10761BCF"/>
    <w:rsid w:val="124E4C68"/>
    <w:rsid w:val="14D369CF"/>
    <w:rsid w:val="153B6FB6"/>
    <w:rsid w:val="15C72B47"/>
    <w:rsid w:val="160C0529"/>
    <w:rsid w:val="171E6032"/>
    <w:rsid w:val="17667630"/>
    <w:rsid w:val="17EA193C"/>
    <w:rsid w:val="17FF62FE"/>
    <w:rsid w:val="193E2496"/>
    <w:rsid w:val="1B820AA2"/>
    <w:rsid w:val="1D385A0E"/>
    <w:rsid w:val="1DFF412F"/>
    <w:rsid w:val="1E853266"/>
    <w:rsid w:val="1FBA2C3C"/>
    <w:rsid w:val="230D1610"/>
    <w:rsid w:val="23FF4C83"/>
    <w:rsid w:val="250D5FC6"/>
    <w:rsid w:val="25527533"/>
    <w:rsid w:val="26442101"/>
    <w:rsid w:val="27405364"/>
    <w:rsid w:val="2776790F"/>
    <w:rsid w:val="27C77D91"/>
    <w:rsid w:val="27DB06E2"/>
    <w:rsid w:val="2B1D7FD4"/>
    <w:rsid w:val="2D3F3EC0"/>
    <w:rsid w:val="2D6D6966"/>
    <w:rsid w:val="2E0A6AF7"/>
    <w:rsid w:val="2E2F2B8E"/>
    <w:rsid w:val="2E78652E"/>
    <w:rsid w:val="2EE421F9"/>
    <w:rsid w:val="315F5333"/>
    <w:rsid w:val="32B84A10"/>
    <w:rsid w:val="33D47363"/>
    <w:rsid w:val="354B6B44"/>
    <w:rsid w:val="374F3770"/>
    <w:rsid w:val="376C024C"/>
    <w:rsid w:val="37973D18"/>
    <w:rsid w:val="39C85C5F"/>
    <w:rsid w:val="39CF0719"/>
    <w:rsid w:val="3A4E0949"/>
    <w:rsid w:val="3A6E02D4"/>
    <w:rsid w:val="3A7B0884"/>
    <w:rsid w:val="3BCA20EE"/>
    <w:rsid w:val="3C253401"/>
    <w:rsid w:val="3D7C212C"/>
    <w:rsid w:val="3EF7A2F7"/>
    <w:rsid w:val="43001F21"/>
    <w:rsid w:val="44E52CF4"/>
    <w:rsid w:val="47AE4D68"/>
    <w:rsid w:val="47C762C1"/>
    <w:rsid w:val="48CC531F"/>
    <w:rsid w:val="48F915F7"/>
    <w:rsid w:val="4A7219E2"/>
    <w:rsid w:val="4A7E511D"/>
    <w:rsid w:val="4B285CCA"/>
    <w:rsid w:val="4BA57DEC"/>
    <w:rsid w:val="4D824981"/>
    <w:rsid w:val="4DC80FAA"/>
    <w:rsid w:val="51B31F5E"/>
    <w:rsid w:val="52291028"/>
    <w:rsid w:val="52832A5B"/>
    <w:rsid w:val="529F2093"/>
    <w:rsid w:val="534348FB"/>
    <w:rsid w:val="5587547A"/>
    <w:rsid w:val="57E61810"/>
    <w:rsid w:val="5990139E"/>
    <w:rsid w:val="59C82F58"/>
    <w:rsid w:val="59F40440"/>
    <w:rsid w:val="60D63997"/>
    <w:rsid w:val="62D42BB6"/>
    <w:rsid w:val="63DE760D"/>
    <w:rsid w:val="641D5397"/>
    <w:rsid w:val="6472448E"/>
    <w:rsid w:val="659E4E5B"/>
    <w:rsid w:val="67DB5910"/>
    <w:rsid w:val="699B4E42"/>
    <w:rsid w:val="6AFE5CD9"/>
    <w:rsid w:val="6C155782"/>
    <w:rsid w:val="6D6A4A10"/>
    <w:rsid w:val="6F2F4F8C"/>
    <w:rsid w:val="709F07E0"/>
    <w:rsid w:val="715F2A36"/>
    <w:rsid w:val="7557E6C8"/>
    <w:rsid w:val="78795B54"/>
    <w:rsid w:val="78D71657"/>
    <w:rsid w:val="79814FA8"/>
    <w:rsid w:val="7B2D2C9E"/>
    <w:rsid w:val="7B6B216B"/>
    <w:rsid w:val="7B762D85"/>
    <w:rsid w:val="7B8B5F33"/>
    <w:rsid w:val="7D276660"/>
    <w:rsid w:val="EB4BED57"/>
    <w:rsid w:val="EEFD4C5B"/>
    <w:rsid w:val="F0EEE8E3"/>
    <w:rsid w:val="FDAE2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4">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8">
    <w:name w:val="Default Paragraph Font"/>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2">
    <w:name w:val="Normal Indent"/>
    <w:basedOn w:val="1"/>
    <w:qFormat/>
    <w:uiPriority w:val="0"/>
    <w:pPr>
      <w:ind w:firstLine="420"/>
    </w:pPr>
    <w:rPr>
      <w:sz w:val="20"/>
      <w:szCs w:val="21"/>
      <w:lang w:eastAsia="en-US"/>
    </w:rPr>
  </w:style>
  <w:style w:type="paragraph" w:styleId="13">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semiHidden/>
    <w:unhideWhenUsed/>
    <w:qFormat/>
    <w:uiPriority w:val="99"/>
    <w:pPr>
      <w:spacing w:after="120"/>
    </w:pPr>
  </w:style>
  <w:style w:type="paragraph" w:styleId="16">
    <w:name w:val="Body Text Indent"/>
    <w:basedOn w:val="1"/>
    <w:next w:val="17"/>
    <w:unhideWhenUsed/>
    <w:qFormat/>
    <w:uiPriority w:val="99"/>
    <w:pPr>
      <w:spacing w:after="120"/>
      <w:ind w:left="420"/>
    </w:pPr>
  </w:style>
  <w:style w:type="paragraph" w:styleId="17">
    <w:name w:val="envelope return"/>
    <w:basedOn w:val="1"/>
    <w:qFormat/>
    <w:uiPriority w:val="0"/>
    <w:rPr>
      <w:rFonts w:ascii="Arial" w:hAnsi="Arial" w:cs="宋体"/>
    </w:rPr>
  </w:style>
  <w:style w:type="paragraph" w:styleId="18">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19">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0">
    <w:name w:val="Plain Text"/>
    <w:basedOn w:val="1"/>
    <w:qFormat/>
    <w:uiPriority w:val="0"/>
    <w:rPr>
      <w:rFonts w:ascii="宋体" w:hAnsi="Courier New"/>
      <w:sz w:val="20"/>
      <w:szCs w:val="21"/>
      <w:lang w:eastAsia="en-US"/>
    </w:rPr>
  </w:style>
  <w:style w:type="paragraph" w:styleId="21">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2">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3">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4">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5">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6">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7">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28">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29">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0">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1">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2">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3">
    <w:name w:val="Normal (Web)"/>
    <w:basedOn w:val="1"/>
    <w:semiHidden/>
    <w:unhideWhenUsed/>
    <w:qFormat/>
    <w:uiPriority w:val="99"/>
    <w:pPr>
      <w:spacing w:beforeAutospacing="1" w:afterAutospacing="1"/>
      <w:jc w:val="left"/>
    </w:pPr>
  </w:style>
  <w:style w:type="paragraph" w:styleId="34">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5">
    <w:name w:val="Body Text First Indent 2"/>
    <w:basedOn w:val="16"/>
    <w:next w:val="1"/>
    <w:qFormat/>
    <w:uiPriority w:val="0"/>
    <w:pPr>
      <w:spacing w:after="0" w:line="360" w:lineRule="auto"/>
      <w:ind w:left="0" w:firstLine="420"/>
    </w:pPr>
    <w:rPr>
      <w:rFonts w:ascii="宋体" w:hAnsi="宋体"/>
      <w:sz w:val="20"/>
      <w:szCs w:val="20"/>
      <w:lang w:eastAsia="en-U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qFormat/>
    <w:uiPriority w:val="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unhideWhenUsed/>
    <w:qFormat/>
    <w:uiPriority w:val="99"/>
    <w:rPr>
      <w:sz w:val="21"/>
      <w:szCs w:val="21"/>
    </w:rPr>
  </w:style>
  <w:style w:type="character" w:styleId="44">
    <w:name w:val="footnote reference"/>
    <w:unhideWhenUsed/>
    <w:qFormat/>
    <w:uiPriority w:val="99"/>
    <w:rPr>
      <w:vertAlign w:val="superscript"/>
    </w:rPr>
  </w:style>
  <w:style w:type="character" w:customStyle="1" w:styleId="45">
    <w:name w:val="标题 1 字符"/>
    <w:link w:val="2"/>
    <w:qFormat/>
    <w:uiPriority w:val="9"/>
    <w:rPr>
      <w:rFonts w:ascii="Arial" w:hAnsi="Arial" w:eastAsia="Arial" w:cs="Arial"/>
      <w:sz w:val="40"/>
      <w:szCs w:val="40"/>
    </w:rPr>
  </w:style>
  <w:style w:type="character" w:customStyle="1" w:styleId="46">
    <w:name w:val="标题 2 字符"/>
    <w:link w:val="3"/>
    <w:qFormat/>
    <w:uiPriority w:val="9"/>
    <w:rPr>
      <w:rFonts w:ascii="Arial" w:hAnsi="Arial" w:eastAsia="Arial" w:cs="Arial"/>
      <w:sz w:val="34"/>
    </w:rPr>
  </w:style>
  <w:style w:type="character" w:customStyle="1" w:styleId="47">
    <w:name w:val="标题 3 字符"/>
    <w:link w:val="4"/>
    <w:qFormat/>
    <w:uiPriority w:val="9"/>
    <w:rPr>
      <w:rFonts w:ascii="Arial" w:hAnsi="Arial" w:eastAsia="Arial" w:cs="Arial"/>
      <w:sz w:val="30"/>
      <w:szCs w:val="30"/>
    </w:rPr>
  </w:style>
  <w:style w:type="character" w:customStyle="1" w:styleId="48">
    <w:name w:val="标题 4 字符"/>
    <w:link w:val="5"/>
    <w:qFormat/>
    <w:uiPriority w:val="9"/>
    <w:rPr>
      <w:rFonts w:ascii="Arial" w:hAnsi="Arial" w:eastAsia="Arial" w:cs="Arial"/>
      <w:b/>
      <w:bCs/>
      <w:sz w:val="26"/>
      <w:szCs w:val="26"/>
    </w:rPr>
  </w:style>
  <w:style w:type="character" w:customStyle="1" w:styleId="49">
    <w:name w:val="标题 5 字符"/>
    <w:link w:val="6"/>
    <w:qFormat/>
    <w:uiPriority w:val="9"/>
    <w:rPr>
      <w:rFonts w:ascii="Arial" w:hAnsi="Arial" w:eastAsia="Arial" w:cs="Arial"/>
      <w:b/>
      <w:bCs/>
      <w:sz w:val="24"/>
      <w:szCs w:val="24"/>
    </w:rPr>
  </w:style>
  <w:style w:type="character" w:customStyle="1" w:styleId="50">
    <w:name w:val="标题 6 字符"/>
    <w:link w:val="7"/>
    <w:qFormat/>
    <w:uiPriority w:val="9"/>
    <w:rPr>
      <w:rFonts w:ascii="Arial" w:hAnsi="Arial" w:eastAsia="Arial" w:cs="Arial"/>
      <w:b/>
      <w:bCs/>
      <w:sz w:val="22"/>
      <w:szCs w:val="22"/>
    </w:rPr>
  </w:style>
  <w:style w:type="character" w:customStyle="1" w:styleId="51">
    <w:name w:val="标题 7 字符"/>
    <w:link w:val="8"/>
    <w:qFormat/>
    <w:uiPriority w:val="9"/>
    <w:rPr>
      <w:rFonts w:ascii="Arial" w:hAnsi="Arial" w:eastAsia="Arial" w:cs="Arial"/>
      <w:b/>
      <w:bCs/>
      <w:i/>
      <w:iCs/>
      <w:sz w:val="22"/>
      <w:szCs w:val="22"/>
    </w:rPr>
  </w:style>
  <w:style w:type="character" w:customStyle="1" w:styleId="52">
    <w:name w:val="标题 8 字符"/>
    <w:link w:val="9"/>
    <w:qFormat/>
    <w:uiPriority w:val="9"/>
    <w:rPr>
      <w:rFonts w:ascii="Arial" w:hAnsi="Arial" w:eastAsia="Arial" w:cs="Arial"/>
      <w:i/>
      <w:iCs/>
      <w:sz w:val="22"/>
      <w:szCs w:val="22"/>
    </w:rPr>
  </w:style>
  <w:style w:type="character" w:customStyle="1" w:styleId="53">
    <w:name w:val="标题 9 字符"/>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4"/>
    <w:qFormat/>
    <w:uiPriority w:val="10"/>
    <w:rPr>
      <w:sz w:val="48"/>
      <w:szCs w:val="48"/>
    </w:rPr>
  </w:style>
  <w:style w:type="character" w:customStyle="1" w:styleId="57">
    <w:name w:val="副标题 字符"/>
    <w:link w:val="27"/>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4"/>
    <w:qFormat/>
    <w:uiPriority w:val="99"/>
  </w:style>
  <w:style w:type="character" w:customStyle="1" w:styleId="63">
    <w:name w:val="Footer Char"/>
    <w:qFormat/>
    <w:uiPriority w:val="99"/>
  </w:style>
  <w:style w:type="character" w:customStyle="1" w:styleId="64">
    <w:name w:val="页脚 字符"/>
    <w:link w:val="23"/>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28"/>
    <w:qFormat/>
    <w:uiPriority w:val="99"/>
    <w:rPr>
      <w:sz w:val="18"/>
    </w:rPr>
  </w:style>
  <w:style w:type="character" w:customStyle="1" w:styleId="191">
    <w:name w:val="尾注文本 字符"/>
    <w:link w:val="22"/>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2"/>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2"/>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38"/>
    <w:qFormat/>
    <w:uiPriority w:val="0"/>
    <w:rPr>
      <w:rFonts w:ascii="宋体" w:hAnsi="宋体" w:eastAsia="宋体" w:cs="宋体"/>
      <w:color w:val="000000"/>
      <w:sz w:val="18"/>
      <w:szCs w:val="18"/>
      <w:u w:val="none"/>
    </w:rPr>
  </w:style>
  <w:style w:type="character" w:customStyle="1" w:styleId="205">
    <w:name w:val="font11"/>
    <w:basedOn w:val="38"/>
    <w:qFormat/>
    <w:uiPriority w:val="0"/>
    <w:rPr>
      <w:rFonts w:hint="eastAsia" w:ascii="宋体" w:hAnsi="宋体" w:eastAsia="宋体" w:cs="宋体"/>
      <w:color w:val="FF0000"/>
      <w:sz w:val="22"/>
      <w:szCs w:val="22"/>
      <w:u w:val="none"/>
    </w:rPr>
  </w:style>
  <w:style w:type="character" w:customStyle="1" w:styleId="206">
    <w:name w:val="font01"/>
    <w:basedOn w:val="38"/>
    <w:qFormat/>
    <w:uiPriority w:val="0"/>
    <w:rPr>
      <w:rFonts w:hint="eastAsia" w:ascii="宋体" w:hAnsi="宋体" w:eastAsia="宋体" w:cs="宋体"/>
      <w:color w:val="000000"/>
      <w:sz w:val="22"/>
      <w:szCs w:val="22"/>
      <w:u w:val="none"/>
    </w:rPr>
  </w:style>
  <w:style w:type="character" w:customStyle="1" w:styleId="207">
    <w:name w:val="font21"/>
    <w:basedOn w:val="38"/>
    <w:qFormat/>
    <w:uiPriority w:val="0"/>
    <w:rPr>
      <w:rFonts w:hint="eastAsia" w:ascii="宋体" w:hAnsi="宋体" w:eastAsia="宋体" w:cs="宋体"/>
      <w:color w:val="000000"/>
      <w:sz w:val="21"/>
      <w:szCs w:val="21"/>
      <w:u w:val="none"/>
    </w:rPr>
  </w:style>
  <w:style w:type="character" w:customStyle="1" w:styleId="208">
    <w:name w:val="font31"/>
    <w:basedOn w:val="38"/>
    <w:qFormat/>
    <w:uiPriority w:val="0"/>
    <w:rPr>
      <w:rFonts w:hint="eastAsia" w:ascii="宋体" w:hAnsi="宋体" w:eastAsia="宋体" w:cs="宋体"/>
      <w:color w:val="FF0000"/>
      <w:sz w:val="21"/>
      <w:szCs w:val="21"/>
      <w:u w:val="none"/>
    </w:rPr>
  </w:style>
  <w:style w:type="character" w:customStyle="1" w:styleId="209">
    <w:name w:val="font41"/>
    <w:basedOn w:val="38"/>
    <w:qFormat/>
    <w:uiPriority w:val="0"/>
    <w:rPr>
      <w:rFonts w:hint="eastAsia" w:ascii="宋体" w:hAnsi="宋体" w:eastAsia="宋体" w:cs="宋体"/>
      <w:color w:val="000000"/>
      <w:sz w:val="21"/>
      <w:szCs w:val="21"/>
      <w:u w:val="none"/>
    </w:rPr>
  </w:style>
  <w:style w:type="paragraph" w:customStyle="1" w:styleId="210">
    <w:name w:val="纯文本1"/>
    <w:basedOn w:val="1"/>
    <w:qFormat/>
    <w:uiPriority w:val="0"/>
    <w:rPr>
      <w:rFonts w:ascii="宋体" w:hAnsi="Courier New"/>
      <w:sz w:val="20"/>
      <w:szCs w:val="21"/>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23507</Words>
  <Characters>27323</Characters>
  <Lines>1114</Lines>
  <Paragraphs>955</Paragraphs>
  <TotalTime>11</TotalTime>
  <ScaleCrop>false</ScaleCrop>
  <LinksUpToDate>false</LinksUpToDate>
  <CharactersWithSpaces>27597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2024-11-09T01:47:00Z</dcterms:created>
  <dc:creator>Apache POI</dc:creator>
  <cp:lastModifiedBy>Maxxie D</cp:lastModifiedBy>
  <cp:lastPrinted>2026-04-03T22:43:00Z</cp:lastPrinted>
  <dcterms:modified xsi:type="dcterms:W3CDTF">2026-04-21T03:12:15Z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002847CA595E40C0928C4653C69553F4_13</vt:lpwstr>
  </property>
  <property fmtid="{D5CDD505-2E9C-101B-9397-08002B2CF9AE}" pid="4" name="KSOTemplateDocerSaveRecord">
    <vt:lpwstr>eyJoZGlkIjoiNjRlNzRhY2E2OTdjMTZkMmU2NmU0ZDI5ZmVjNjRjOTkiLCJ1c2VySWQiOiIzMTg2NTgxNTYifQ==</vt:lpwstr>
  </property>
</Properties>
</file>