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86"/>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南京市第一医院科研管理系统 </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JSZC-320100-JZCG-C2026-0090</w:t>
      </w:r>
      <w:r>
        <w:rPr>
          <w:color w:val="000000"/>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pStyle w:val="958"/>
        <w:rPr>
          <w:rFonts w:hint="eastAsia"/>
          <w:color w:val="000000"/>
          <w:lang w:val="en-US" w:eastAsia="zh-CN"/>
        </w:rPr>
      </w:pPr>
      <w:r>
        <w:rPr>
          <w:rFonts w:hint="eastAsia"/>
          <w:color w:val="000000"/>
          <w:lang w:val="en-US"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6"/>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4</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513029200"/>
      <w:r/>
      <w:bookmarkStart w:id="1" w:name="_Toc16938516"/>
      <w:r/>
      <w:bookmarkStart w:id="2" w:name="_Toc20823272"/>
      <w:r/>
      <w:bookmarkStart w:id="3" w:name="_Toc479757206"/>
      <w:r/>
      <w:bookmarkStart w:id="4" w:name="_Toc523127445"/>
      <w:r/>
      <w:bookmarkStart w:id="5" w:name="_Toc120614210"/>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南京市第一医院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南京市第一医院科研管理系统</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JSZC-320100-JZCG-C2026-0090</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南京市第一医院科研管理系统</w:t>
      </w:r>
      <w:r>
        <w:rPr>
          <w:rFonts w:hint="eastAsia" w:ascii="宋体" w:hAnsi="宋体" w:eastAsia="宋体"/>
          <w:color w:val="000000"/>
          <w:sz w:val="24"/>
          <w:szCs w:val="24"/>
          <w:lang w:eastAsia="zh-CN"/>
        </w:rPr>
      </w:r>
      <w:r/>
    </w:p>
    <w:p>
      <w:pPr>
        <w:pStyle w:val="869"/>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70万元</w:t>
      </w:r>
      <w:r>
        <w:rPr>
          <w:rFonts w:ascii="宋体" w:hAnsi="宋体"/>
          <w:color w:val="000000"/>
          <w:sz w:val="24"/>
          <w:szCs w:val="24"/>
          <w:lang w:val="en-US"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最高限价：70万元</w:t>
      </w:r>
      <w:r>
        <w:rPr>
          <w:rFonts w:hint="eastAsia" w:ascii="宋体" w:hAnsi="宋体" w:eastAsia="宋体" w:cs="宋体"/>
          <w:color w:val="000000"/>
          <w:sz w:val="24"/>
          <w:szCs w:val="24"/>
          <w:highlight w:val="yellow"/>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u w:val="none"/>
          <w:lang w:val="en-US" w:eastAsia="zh-CN"/>
        </w:rPr>
        <w:t xml:space="preserve">南京市第一医院拟</w:t>
      </w:r>
      <w:r>
        <w:rPr>
          <w:rFonts w:hint="eastAsia" w:ascii="宋体" w:hAnsi="宋体"/>
          <w:color w:val="000000"/>
          <w:sz w:val="24"/>
          <w:szCs w:val="24"/>
          <w:lang w:val="en-US" w:eastAsia="zh-CN"/>
        </w:rPr>
        <w:t xml:space="preserve">通过建设科研管理系统、外文医学信息资源检索数据库平台和图书馆管理软件系统，形成覆盖“科研管理 + 文献资源服务 + 图书馆业务管理”的一体化信息化支撑体系，进一步提升医院科研管理效能、医学信息保障能力和图书馆服务水平。</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69"/>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45</w:t>
      </w:r>
      <w:r>
        <w:rPr>
          <w:rFonts w:hint="eastAsia" w:ascii="宋体" w:hAnsi="宋体" w:cs="Times New Roman"/>
          <w:color w:val="000000"/>
          <w:sz w:val="24"/>
          <w:szCs w:val="24"/>
          <w:lang w:val="en-US" w:eastAsia="zh-CN"/>
        </w:rPr>
        <w:t xml:space="preserve">个工作日</w:t>
      </w:r>
      <w:r>
        <w:rPr>
          <w:rFonts w:hint="eastAsia" w:ascii="宋体" w:hAnsi="宋体" w:eastAsia="宋体"/>
          <w:color w:val="000000"/>
          <w:sz w:val="24"/>
          <w:szCs w:val="24"/>
          <w:lang w:val="en-US" w:eastAsia="zh-CN"/>
        </w:rPr>
        <w:t xml:space="preserve">（系统开发及验收时间为合同签订后45</w:t>
      </w:r>
      <w:r>
        <w:rPr>
          <w:rFonts w:hint="eastAsia" w:ascii="宋体" w:hAnsi="宋体" w:cs="Times New Roman"/>
          <w:color w:val="000000"/>
          <w:sz w:val="24"/>
          <w:szCs w:val="24"/>
          <w:lang w:val="en-US" w:eastAsia="zh-CN"/>
        </w:rPr>
        <w:t xml:space="preserve">个工作日</w:t>
      </w:r>
      <w:r>
        <w:rPr>
          <w:rFonts w:hint="eastAsia" w:ascii="宋体" w:hAnsi="宋体" w:eastAsia="宋体"/>
          <w:color w:val="000000"/>
          <w:sz w:val="24"/>
          <w:szCs w:val="24"/>
          <w:lang w:val="en-US" w:eastAsia="zh-CN"/>
        </w:rPr>
        <w:t xml:space="preserve">内。</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yellow"/>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sz w:val="24"/>
          <w:szCs w:val="24"/>
          <w:highlight w:val="yellow"/>
        </w:rPr>
      </w:r>
      <w:r/>
    </w:p>
    <w:p>
      <w:pPr>
        <w:pStyle w:val="869"/>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rPr>
          <w:rFonts w:hint="eastAsia" w:ascii="宋体" w:hAnsi="宋体" w:eastAsia="宋体" w:cs="Times New Roman"/>
          <w:color w:val="000000"/>
          <w:sz w:val="24"/>
          <w:szCs w:val="24"/>
        </w:rPr>
      </w:r>
      <w:r/>
    </w:p>
    <w:p>
      <w:pPr>
        <w:pStyle w:val="869"/>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9"/>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val="0"/>
          <w:bCs w:val="0"/>
          <w:color w:val="000000" w:themeColor="text1"/>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年5</w:t>
      </w:r>
      <w:r>
        <w:rPr>
          <w:rFonts w:hint="eastAsia" w:ascii="宋体" w:hAnsi="宋体"/>
          <w:b w:val="0"/>
          <w:bCs w:val="0"/>
          <w:color w:val="000000" w:themeColor="text1"/>
          <w:sz w:val="24"/>
          <w:szCs w:val="24"/>
          <w:u w:val="none"/>
        </w:rPr>
        <w:t xml:space="preserve">月12</w:t>
      </w:r>
      <w:r>
        <w:rPr>
          <w:rFonts w:hint="eastAsia" w:ascii="宋体" w:hAnsi="宋体"/>
          <w:b w:val="0"/>
          <w:bCs w:val="0"/>
          <w:color w:val="000000" w:themeColor="text1"/>
          <w:sz w:val="24"/>
          <w:szCs w:val="24"/>
          <w:u w:val="none"/>
        </w:rPr>
        <w:t xml:space="preserve">日9</w:t>
      </w:r>
      <w:r>
        <w:rPr>
          <w:rFonts w:hint="eastAsia" w:ascii="Times New Roman" w:hAnsi="Times New Roman" w:eastAsia="宋体" w:cs="Times New Roman"/>
          <w:b w:val="0"/>
          <w:bCs w:val="0"/>
          <w:color w:val="000000" w:themeColor="text1"/>
          <w:sz w:val="24"/>
          <w:szCs w:val="24"/>
          <w:u w:val="none"/>
          <w:lang w:val="en-US" w:eastAsia="zh-CN"/>
        </w:rPr>
        <w:t xml:space="preserve">时30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9"/>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40" w:lineRule="auto"/>
        <w:rPr>
          <w:rFonts w:ascii="宋体" w:hAnsi="宋体" w:eastAsia="宋体" w:cs="Times New Roman"/>
          <w:b w:val="0"/>
          <w:bCs w:val="0"/>
          <w:color w:val="0000ff"/>
          <w:sz w:val="24"/>
          <w:lang w:val="en-US" w:eastAsia="zh-CN"/>
        </w:rPr>
      </w:pPr>
      <w:r>
        <w:rPr>
          <w:rFonts w:hint="eastAsia" w:ascii="宋体" w:hAnsi="宋体" w:eastAsia="宋体" w:cs="Times New Roman"/>
          <w:b w:val="0"/>
          <w:bCs w:val="0"/>
          <w:color w:val="000000"/>
          <w:sz w:val="24"/>
          <w:lang w:val="en-US" w:eastAsia="zh-CN"/>
        </w:rPr>
        <w:t xml:space="preserve">采购人《质疑函》收件人：郭老师，收件地址：</w:t>
      </w:r>
      <w:r>
        <w:rPr>
          <w:rFonts w:hint="eastAsia" w:ascii="宋体" w:hAnsi="宋体" w:eastAsia="宋体" w:cs="宋体"/>
          <w:color w:val="000000"/>
          <w:sz w:val="24"/>
          <w:szCs w:val="24"/>
          <w:highlight w:val="none"/>
          <w:u w:val="none"/>
          <w:lang w:val="en-US" w:eastAsia="zh-CN"/>
        </w:rPr>
        <w:t xml:space="preserve">南京市秦淮区长乐路68号3号楼3楼招标采购中心，</w:t>
      </w:r>
      <w:r>
        <w:rPr>
          <w:rFonts w:hint="eastAsia" w:ascii="宋体" w:hAnsi="宋体" w:eastAsia="宋体" w:cs="Times New Roman"/>
          <w:b w:val="0"/>
          <w:bCs w:val="0"/>
          <w:color w:val="000000"/>
          <w:sz w:val="24"/>
          <w:lang w:val="en-US" w:eastAsia="zh-CN"/>
        </w:rPr>
        <w:t xml:space="preserve">联系电话：025-52271107。</w:t>
      </w:r>
      <w:r>
        <w:rPr>
          <w:rFonts w:ascii="宋体" w:hAnsi="宋体" w:eastAsia="宋体" w:cs="Times New Roman"/>
          <w:b w:val="0"/>
          <w:bCs w:val="0"/>
          <w:color w:val="0000ff"/>
          <w:sz w:val="24"/>
          <w:lang w:val="en-US" w:eastAsia="zh-CN"/>
        </w:rPr>
      </w:r>
      <w:r/>
    </w:p>
    <w:p>
      <w:pPr>
        <w:pStyle w:val="869"/>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958"/>
        <w:rPr>
          <w:rFonts w:hint="eastAsia"/>
          <w:lang w:val="en-US" w:eastAsia="zh-CN"/>
        </w:rPr>
      </w:pPr>
      <w:r>
        <w:rPr>
          <w:rFonts w:hint="eastAsia"/>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南京市第一医院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南京市秦淮区长乐路68号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郭老师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联系电话：025-52271107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w:t>
      </w:r>
      <w:r>
        <w:rPr>
          <w:rFonts w:ascii="宋体" w:hAnsi="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9"/>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20823275"/>
      <w:r/>
      <w:bookmarkStart w:id="9" w:name="_Toc513029203"/>
      <w:r/>
      <w:bookmarkStart w:id="10" w:name="_Toc120614214"/>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4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8"/>
        <w:ind w:left="0" w:firstLine="0"/>
        <w:keepLines w:val="0"/>
        <w:keepNext w:val="0"/>
        <w:pageBreakBefore w:val="0"/>
        <w:spacing w:line="240" w:lineRule="auto"/>
        <w:widowControl w:val="off"/>
        <w:rPr>
          <w:rFonts w:hint="eastAsia"/>
          <w:lang w:eastAsia="zh-CN"/>
        </w:rPr>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合同签订且服务团队人员到位后，甲方支付甲方支付系统开发费用的30%作为预付款。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rPr>
        <w:t xml:space="preserve">软件完全交付并上线正式运行，经甲方验收合格后，</w:t>
      </w:r>
      <w:r>
        <w:rPr>
          <w:rFonts w:hint="eastAsia" w:ascii="宋体" w:hAnsi="宋体" w:eastAsia="宋体" w:cs="Courier New"/>
          <w:color w:val="000000"/>
          <w:sz w:val="24"/>
          <w:szCs w:val="24"/>
          <w:highlight w:val="none"/>
          <w:lang w:val="en-US" w:eastAsia="zh-CN"/>
        </w:rPr>
        <w:t xml:space="preserve">结清</w:t>
      </w:r>
      <w:r>
        <w:rPr>
          <w:rFonts w:hint="eastAsia" w:ascii="宋体" w:hAnsi="宋体" w:eastAsia="宋体" w:cs="Courier New"/>
          <w:color w:val="000000"/>
          <w:sz w:val="24"/>
          <w:szCs w:val="24"/>
          <w:highlight w:val="none"/>
        </w:rPr>
        <w:t xml:space="preserve">系统开发费用。</w:t>
      </w:r>
      <w:r>
        <w:rPr>
          <w:rFonts w:hint="eastAsia"/>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w:t>
      </w:r>
      <w:r>
        <w:rPr>
          <w:rFonts w:hint="eastAsia" w:ascii="宋体" w:hAnsi="宋体" w:eastAsia="宋体" w:cs="Courier New"/>
          <w:color w:val="000000"/>
          <w:sz w:val="24"/>
          <w:szCs w:val="24"/>
          <w:highlight w:val="none"/>
        </w:rPr>
        <w:t xml:space="preserve">系统验收合格后进入维保期，乙方维保满一年，经甲方考核合格后支付系统</w:t>
      </w:r>
      <w:r>
        <w:rPr>
          <w:rFonts w:hint="eastAsia" w:ascii="宋体" w:hAnsi="宋体" w:eastAsia="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rPr>
        <w:t xml:space="preserve">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以上款项均为无息支付。</w:t>
      </w:r>
      <w:r>
        <w:rPr>
          <w:rFonts w:hint="eastAsia" w:ascii="宋体" w:hAnsi="宋体" w:eastAsia="宋体" w:cs="Courier New"/>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5%</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5‰</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20%</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7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Hlt16619350"/>
      <w:r/>
      <w:bookmarkStart w:id="14" w:name="_Toc16938590"/>
      <w:r/>
      <w:bookmarkStart w:id="15" w:name="_Toc120614244"/>
      <w:r/>
      <w:bookmarkStart w:id="16" w:name="_Toc20823346"/>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当前，医院科研活动日益活跃，科研项目数量、经费规模及成果产出持续增长，对科研管理工作的规范化、精细化、高效化提出了更高要求。现有科研管理工作仍较多依赖线下流程、分散表格及人工沟通，存在流程碎片化、信息孤岛化、经费管理精细化不足、成果管理分散低效、绩效统计工作繁重等问题，难以满足科研全生命周期在线管理、全过程留痕和数据驱动决策的现实需要。</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设科研管理系统，旨在通过线上化、自动化、智能化手段，覆盖科研项目申报、立项、执行、结题、成果、经费、伦理、绩效、移动审批等业务环节，减轻科研人员非研究性事务负担，提升科研管理部门服务能力，实现“让信息多跑路，让科研人员少跑腿”。</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同时，医院对高质量外文医学文献资源的获取、检索、翻译、推送及全文传递需求不断增长，临床诊疗与科研工作均需要更加及时、准确、丰富的外文信息支撑；图书馆业务管理也需要实现馆藏管理、联机编目、流通借阅、WEB发布、网上预约续借及馆际互借等业务的信息化、网络化和标准化。</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本次采购拟通过建设科研管理系统、外文医学信息资源检索数据库平台和图书馆管理软件系统，形成覆盖“科研管理 + 文献资源服务 + 图书馆业务管理”的一体化信息化支撑体系，进一步提升医院科研管理效能、医学信息保障能力和图书馆服务水平。</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平台建设与运行应严格遵守《中华人民共和国网络安全法》《中华人民共和国著作权法》等相关法律法规。图书馆管理软件系统应符合国家图书文献标准、我国图书馆通用的 CNMARC 格式标准、《中图法》标准，以及 ISO2709、ISBD、GB3792、ISO 10160/10161、ANSI/NISO Z39.50 等相关标准和规范。</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0"/>
        <w:gridCol w:w="1358"/>
        <w:gridCol w:w="755"/>
        <w:gridCol w:w="717"/>
        <w:gridCol w:w="1053"/>
        <w:gridCol w:w="1066"/>
        <w:gridCol w:w="1325"/>
        <w:gridCol w:w="1096"/>
        <w:gridCol w:w="1130"/>
        <w:gridCol w:w="1007"/>
      </w:tblGrid>
      <w:tr>
        <w:trPr>
          <w:trHeight w:val="470"/>
        </w:trPr>
        <w:tc>
          <w:tcPr>
            <w:tcW w:w="5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35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7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7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0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06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13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109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11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10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5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1358"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科研管理系统</w:t>
            </w:r>
            <w:r>
              <w:rPr>
                <w:rFonts w:hint="eastAsia" w:ascii="宋体" w:hAnsi="宋体" w:eastAsia="宋体" w:cs="Times New Roman"/>
                <w:bCs/>
                <w:color w:val="000000"/>
                <w:sz w:val="24"/>
                <w:szCs w:val="24"/>
              </w:rPr>
            </w:r>
            <w:r/>
          </w:p>
        </w:tc>
        <w:tc>
          <w:tcPr>
            <w:tcW w:w="7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7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0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106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630000</w:t>
            </w:r>
            <w:r>
              <w:rPr>
                <w:rFonts w:hint="eastAsia" w:ascii="宋体" w:hAnsi="宋体" w:eastAsia="宋体" w:cs="Times New Roman"/>
                <w:bCs/>
                <w:color w:val="000000"/>
                <w:sz w:val="24"/>
                <w:szCs w:val="24"/>
              </w:rPr>
            </w:r>
            <w:r/>
          </w:p>
        </w:tc>
        <w:tc>
          <w:tcPr>
            <w:tcW w:w="13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109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13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rPr>
                <w:rFonts w:ascii="宋体" w:hAnsi="宋体" w:eastAsia="宋体" w:cs="宋体"/>
                <w:bCs/>
                <w:color w:val="000000"/>
                <w:sz w:val="24"/>
                <w:szCs w:val="24"/>
                <w:lang w:val="en-US" w:eastAsia="zh-CN"/>
              </w:rPr>
            </w:r>
            <w:r/>
          </w:p>
        </w:tc>
        <w:tc>
          <w:tcPr>
            <w:tcW w:w="10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c>
      </w:tr>
      <w:tr>
        <w:trPr>
          <w:trHeight w:val="597"/>
        </w:trPr>
        <w:tc>
          <w:tcPr>
            <w:tcW w:w="5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Times New Roman"/>
                <w:bCs/>
                <w:color w:val="000000"/>
                <w:sz w:val="24"/>
                <w:szCs w:val="24"/>
              </w:rPr>
            </w:r>
            <w:r/>
          </w:p>
        </w:tc>
        <w:tc>
          <w:tcPr>
            <w:tcW w:w="1358"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bCs/>
                <w:color w:val="000000"/>
                <w:sz w:val="24"/>
                <w:szCs w:val="24"/>
                <w:lang w:val="en-US" w:eastAsia="zh-CN"/>
              </w:rPr>
              <w:t xml:space="preserve">软件运维</w:t>
            </w:r>
            <w:r>
              <w:rPr>
                <w:rFonts w:hint="eastAsia" w:ascii="宋体" w:hAnsi="宋体" w:eastAsia="宋体" w:cs="Times New Roman"/>
                <w:color w:val="000000"/>
                <w:sz w:val="24"/>
                <w:szCs w:val="24"/>
                <w:lang w:val="en-US" w:eastAsia="zh-CN"/>
              </w:rPr>
            </w:r>
            <w:r/>
          </w:p>
        </w:tc>
        <w:tc>
          <w:tcPr>
            <w:tcW w:w="7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7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0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066"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70000</w:t>
            </w:r>
            <w:r>
              <w:rPr>
                <w:rFonts w:ascii="宋体" w:hAnsi="宋体" w:eastAsia="宋体" w:cs="Times New Roman"/>
                <w:bCs/>
                <w:color w:val="000000"/>
                <w:sz w:val="24"/>
                <w:szCs w:val="24"/>
                <w:lang w:val="en-US"/>
              </w:rPr>
            </w:r>
            <w:r/>
          </w:p>
        </w:tc>
        <w:tc>
          <w:tcPr>
            <w:tcW w:w="13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109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1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lang w:eastAsia="zh-CN"/>
              </w:rPr>
            </w:r>
            <w:r/>
          </w:p>
        </w:tc>
        <w:tc>
          <w:tcPr>
            <w:tcW w:w="10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1. 科研管理系统需求</w:t>
      </w:r>
      <w:r>
        <w:rPr>
          <w:rFonts w:hint="eastAsia" w:ascii="宋体" w:hAnsi="宋体" w:eastAsia="宋体" w:cs="Times New Roman"/>
          <w:b/>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总体要求：建设科研管理系统，构建覆盖科研全生命周期（申报、立项、执行、结题）和全要素（项目、人员、经费、成果、绩效）的集成化、数字化、智能化管理平台，实现业务流程在线化、数据资源一体化、决策支持科学化；系统应坚持一体化设计、用户友好、数据互通、安全可靠、灵活可扩展原则，并支持附件上传自动识别附件信息，减少医务人员重复填报。</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总体业务架构：系统至少应包含科研项目全流程管理、科研经费全过程管理、科研成果全维度管理、科研统计与绩效分析、系统管理与基础平台五大核心业务模块，实现模块间数据无缝流转。</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首页与门户网站：支持信息发布门户建设，页面风格个性化配置，能够将系统基础数据与门户网站联动，在门户上及时发布动态科研信息。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院内项目管理：支持申报计划在线发布、在线申报、项目查重、形式审查、学术审查、项目终审、申报进度跟踪、专家库管理、项目立项、合同签审、中期检查、项目信息变更、验收管理和项目档案管理；项目查重应支持历年项目材料向量化入库、采样段落比对、查重报告在线查看与下载，并支持相似比阈值设置。</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 纵向项目管理：支持根据上级单位批复开展立项信息登记、管理、导入导出、统计分析，并支持中期检查、信息变更、验收管理及项目档案归集。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 横向课题管理：支持横向课题合同签审、备案管理、合同变更、合作单位信息管理等功能，提供合同与成员、预算、附件等信息的在线登记、审核、统计、导入导出及备案。</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 临床研究项目管理：对接 HIS、PACS 等系统获取受试者病案信息和影像信息，支持申报申请、形式审查、学术/科学性审查、待立项审查、立项及备案审查、启动会审查、质控检查、全过程档案与可视化闭环管理；支持根据填写内容自动判断风险级别、人类遗传学资源审批等事项，并生成电子批件；可根据HIS端患者信息一键入组患者至系统，并配备随访系统。</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 GCP 管理：对接 HIS、PACS、财务等相关系统，支持项目申报、形式审查、伦理/备案、人遗办承诺书办理、协议审核与水印管理、受控文件管理、启动会审查、阶段性质控、药物与器械管理、经费管理、结题申请及项目档案展示。</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 经费管理：覆盖经费入账、分批到账、预算调剂、配套追加、预算变更、经费结转、冻结/解冻、预警设置、预警记录查询、经费流水、经费账本以及设备费/材料费、测试化验加工费、差旅费/会议费/国际合作交流费、专家咨询费、出版文献与知识产权事务费、其他费用等报销流程；应支持与财务系统及 OA 相关审批表单联动。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 成果管理：支持论文管理、期刊库维护、投稿登记、预警期刊提醒、论文发表登记、SCI 查收查引；支持专利投稿登记、专利发表登记、成果转化登记；支持学术会议交流、著作成果登记、学术任职登记、指南/共识/标准登记、科技奖项登记、软件著作权等其他学术成果登记，并可按期刊级别、影响因子、专利类别、科室、年龄、职称等维度开展统计分析。</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 业务申请与科研队伍管理：支持外出申请、劳务费申请、外采申请及其他经费事前申请；支持科研人员个人主页、学术任职展示、科研诚信档案等人才梯队管理功能。</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 伦理管理：系统应支持免除伦理审查、简易审查、会议审查、紧急会议审查等审查方式，覆盖初始审查、修正案审查、年度/定期跟踪审查、安全性事件审查、方案偏离/违背审查、暂停/终止研究审查、结题审查、复审等类别；支持人体研究伦理和动物伦理审查，具备线上申请、受理、主审、反馈、会审管理、档案归集、伦理委员会管理、送审文件清单设置和角色权限管理等能力。</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 统计分析与科研绩效：支持科研驾驶舱、科研大数据分析、科室/人员/学科科技影响力分析、项目/论文/奖项/知识产权/专著等统计分析，以及人员档案、科室档案生成；支持绩效考核方案、核算标准、目标设置、考核流程、分值确认与申诉处理、结果统计、奖励标准配置和奖励金额自动计算。</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 移动端与系统配置 支持移动科研消息提醒、业务审批和业务申请；支持通知公告、个人资料、员工管理、角色管理、字典管理、定时任务、操作日志、审核组管理、审核流程配置、流程干预、流程可视化、修改记录留痕及系统用户全量操作日志管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 学科团队：通过抓取对接系统数据支持学科申报计划（含重点专科及国考数据实时监测）、在线申报、形式审查、申报进度、学科信息登记、任务书填报、信息变更、验收申报。</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16）科研诚信：支持学术不端行为记录、科研诚信档案、诚信公示、科研诚信舆情监测、精准检索、统计可视化、消息订阅、个性化关注机构、学术不端官方链接等功能。</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★17) 第三方服务与 AI 应用：支持对接人事系统实现统一身份认证，对接 OA 办公平台、论文数据网推服务及历史数据导入；支持 AI 辅助填报、智能表单预填充、内容结构化解析、动态冲突检测、系统 AI 助手、场景化操作引导与智能问答等能力。</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18) 数据接口与迁移：系统应支持对接医院OA、HIS、PACS、</w:t>
      </w:r>
      <w:r>
        <w:rPr>
          <w:rFonts w:hint="eastAsia" w:ascii="宋体" w:hAnsi="宋体" w:cs="Times New Roman"/>
          <w:color w:val="000000"/>
          <w:sz w:val="24"/>
          <w:szCs w:val="24"/>
          <w:lang w:val="en-US" w:eastAsia="zh-CN"/>
        </w:rPr>
        <w:t xml:space="preserve">LIS、</w:t>
      </w:r>
      <w:r>
        <w:rPr>
          <w:rFonts w:hint="eastAsia" w:ascii="宋体" w:hAnsi="宋体" w:eastAsia="宋体" w:cs="Times New Roman"/>
          <w:color w:val="000000"/>
          <w:sz w:val="24"/>
          <w:szCs w:val="24"/>
          <w:lang w:val="en-US" w:eastAsia="zh-CN"/>
        </w:rPr>
        <w:t xml:space="preserve">样本库、财务、人事等相关系统；需提供完整接口清单、接口规范、数据迁移方案和历史数据导入方案；科研管理系统所涉及第三方系统接口费用由供应商承担。</w:t>
      </w: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2. 外文医学信息资源检索数据库平台需求</w:t>
      </w:r>
      <w:r>
        <w:rPr>
          <w:rFonts w:hint="eastAsia" w:ascii="宋体" w:hAnsi="宋体" w:eastAsia="宋体" w:cs="Times New Roman"/>
          <w:b/>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资质与合规保障：供应商应提供有效软件著作权证书供核验，确保平台知识产权归属清晰、合法无争议；严格遵守《中华人民共和国网络安全法》《中华人民共和国著作权法》等相关法律法规，所有资源收录和服务提供应通过合规授权渠道完成，如因内容或平台本身引发法律纠纷，由供应商承担全部责任。</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资源内容配置：平台应收录1995年至今的外文生物医学期刊不少于10万种，文献数据总量不少于1亿条，覆盖基础医学、临床医学、药学、公共卫生等全医学领域；建立每日数据更新机制，同步全球期刊最新年、卷、期信息并分类展示。</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平台功能要求：应支持互联网端、医院局域网端、移动 APP、微信端等多终端访问与检索；提供临床诊疗辅助功能，可基于患者基本情况快速获取诊断依据、病因分析、治疗方案、用药指南、预后判断及护</w:t>
      </w:r>
      <w:r>
        <w:rPr>
          <w:rFonts w:hint="eastAsia" w:ascii="宋体" w:hAnsi="宋体" w:eastAsia="宋体" w:cs="Times New Roman"/>
          <w:color w:val="000000"/>
          <w:sz w:val="24"/>
          <w:szCs w:val="24"/>
          <w:lang w:val="en-US" w:eastAsia="zh-CN"/>
        </w:rPr>
        <w:t xml:space="preserve">理要点；集成开放式发现与闭合式发现双引擎，支持科研选题推荐、研究假设验证及关联文献检索；支持个性化检索式与关注期刊定制、按日或按期自动推送相关文献至指定邮箱；具备PDF全文翻译、网页划词翻译、段落翻译等多模式在线翻译能力；建立医院专属微信服务群，提供合规的文献全文申请服务；应具备基础检索、高级检索、主题词检索、期刊导航、ICD-10 疾病导航、MeSH 疾病导航、药物导航、临床查询专项检索、检索历史保存与逻辑运算、PubMed 检索式导入等全方位检索体系，并提供“直接下载 + 文献传递”双渠道全文获取能力。</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技术及服务要求：平台应采用云端架构与本地备份双保障，保证系统稳定可靠、检索响应迅速、界面简洁友好；供应商应提供分阶段实施计划，涵盖平台部署、数据迁移、系统调试和试运行；提供分层培训方案，包括管理员操作培训、科研人员高级检索培训、临床医生诊疗辅助培训；建立“1小时响应、2小时解决、12小时备用方案”的售后服务机制，每年上门回访，持续提供运行维护报告与优化建议。</w:t>
      </w: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3. 图书馆管理软件系统需求</w:t>
      </w:r>
      <w:r>
        <w:rPr>
          <w:rFonts w:hint="eastAsia" w:ascii="宋体" w:hAnsi="宋体" w:eastAsia="宋体" w:cs="Times New Roman"/>
          <w:b/>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资质与合规保障：供应商应提供有效软件著作权证书供核验，确保平台知识产权归属清晰、合法无争议；软件应符合《中华人民共和国网络安全法》以及国家图书文献标准、我国图书馆通用的CNMARC格式标准和现行《中图法》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资源与业务管理要求：系统应在统一界面下实现图书、期刊等资源管理，支持假期设置、读者借阅权限控制、读者信息导入导出，并支持通过条码阅读器录入借书证号、ISBN、ISSN等信息；应建立联机编目数据库，实现资源共享；支持建设图书馆 WEB 主页，在互联网环境下开展书目信息检索，并具备网上图书预约、催还、续借和馆际互借等功能。</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平台功能与标准要求</w:t>
      </w:r>
      <w:r>
        <w:rPr>
          <w:rFonts w:hint="eastAsia" w:ascii="宋体" w:hAnsi="宋体" w:eastAsia="宋体" w:cs="Times New Roman"/>
          <w:color w:val="000000"/>
          <w:sz w:val="24"/>
          <w:szCs w:val="24"/>
          <w:lang w:val="en-US" w:eastAsia="zh-CN"/>
        </w:rPr>
        <w:t xml:space="preserve">：系统应符合中国机读目录格式标准和中国机读规范格式标准，书目数据采用国内标准MARC格式，机读数据应完全符合ISO2709，严格遵循CNMARC（UNIMARC）与LCMARC（USMARC）格式；书目及连续出版物著录应符合《国际标准书目著录（ISBD）》和《中国文献著录标准（GB3792）》，条码应符合中国图书馆行业条码标准（Code 39）；应符合中国文献著录规则、西文文献著录规则、ISO10160/10161馆际互借协议和ANSI/NISO Z39.50标准，支持OPAC检索与多个分离OPAC的连接。</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技术及服务要求：系统应为基于Internet的网络版图书馆管理系统，供应商应负责服务器配置、网络组建、软件安装调试及系统维护；用户注册后应可通过普通客户端电脑登录使用，支持图书采购、编目、典藏、流通借阅、期刊管理和馆藏查询等业务；平台应在符合国家标准的基础上允许按医院实际需求进行调整，可按需选择功能模块，并具备后续扩展、调整和重新规划能力。</w:t>
      </w: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4. 系统对接、运维与巡检相关技术要求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系统对接：供应商须配合完成与医院现有LIS、OA、人事、财务、HIS、PACS、样本库及其他相关系统的对接工作，确保审批、基础数据、科研业务数据、临床研究数据、经费数据等互联互通。（具体请与采购人联系，联系人：成伟，联系电话：025-52271079）</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 历史数据导入：应提供历史数据整理、清洗、映射、迁移和校验方案，保证历史项目、成果、经费、伦理、图书及文献等数据能够按需导入新系统。</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 运维保障：供应商应提供涵盖本次采购所涉及全部软件及其依赖服务器、操作系统、数据库等软硬件问题排查的运维服务，自系统部署并验收合格后提供2年运维。</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 预防性维护与巡检：供应商应制定并执行定期预防性维护计划，计划须经采购人审核；每周进行一次远程健康检查，每月进行一次现场深度巡检，巡检内容至少覆盖系统功能、服务器、操作系统、数据库运行状态、告警日志、备份执行情况、权限变更、性能指标与瓶颈分析等，并按周、按月提交巡检记录及优化分析报告。</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5) 变更管理与知识转移：所有影响系统运行的变更须提前书面申请，制定回滚方案，并在采购人同意的维护窗口内实施；供应商应定期提供运维报告，重大变更后更新运维手册、拓扑图和配置档案，并开展必要的运维知识培训。</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numPr>
          <w:ilvl w:val="0"/>
          <w:numId w:val="5"/>
        </w:numPr>
        <w:ind w:firstLine="480"/>
        <w:keepLines w:val="0"/>
        <w:keepNext w:val="0"/>
        <w:pageBreakBefore w:val="0"/>
        <w:spacing w:line="264" w:lineRule="auto"/>
        <w:widowControl w:val="off"/>
        <w:tabs>
          <w:tab w:val="left" w:pos="312" w:leader="none"/>
        </w:tabs>
        <w:rPr>
          <w:rFonts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9"/>
        <w:ind w:firstLine="480"/>
        <w:spacing w:line="264" w:lineRule="auto"/>
        <w:rPr>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本项目报价分为系统开发费用和</w:t>
      </w:r>
      <w:r>
        <w:rPr>
          <w:rFonts w:hint="eastAsia" w:ascii="宋体" w:hAnsi="宋体" w:eastAsia="宋体" w:cs="宋体"/>
          <w:sz w:val="24"/>
          <w:szCs w:val="24"/>
          <w:highlight w:val="none"/>
          <w:lang w:val="en-US" w:eastAsia="zh-CN"/>
        </w:rPr>
        <w:t xml:space="preserve">系统运维</w:t>
      </w:r>
      <w:r>
        <w:rPr>
          <w:rFonts w:hint="eastAsia" w:ascii="宋体" w:hAnsi="宋体" w:eastAsia="宋体" w:cs="宋体"/>
          <w:sz w:val="24"/>
          <w:szCs w:val="24"/>
          <w:highlight w:val="none"/>
        </w:rPr>
        <w:t xml:space="preserve">费用，其中</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费用</w:t>
      </w:r>
      <w:r>
        <w:rPr>
          <w:rFonts w:hint="eastAsia" w:ascii="宋体" w:hAnsi="宋体" w:eastAsia="宋体" w:cs="宋体"/>
          <w:sz w:val="24"/>
          <w:szCs w:val="24"/>
          <w:highlight w:val="none"/>
          <w:lang w:val="en-US" w:eastAsia="zh-CN"/>
        </w:rPr>
        <w:t xml:space="preserve">不超过</w:t>
      </w:r>
      <w:r>
        <w:rPr>
          <w:rFonts w:hint="eastAsia" w:ascii="宋体" w:hAnsi="宋体" w:eastAsia="宋体" w:cs="宋体"/>
          <w:sz w:val="24"/>
          <w:szCs w:val="24"/>
          <w:highlight w:val="none"/>
        </w:rPr>
        <w:t xml:space="preserve">总报价的10%。</w:t>
      </w:r>
      <w:r>
        <w:rPr>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w:t>
      </w:r>
      <w:r>
        <w:rPr>
          <w:rFonts w:hint="eastAsia" w:ascii="宋体" w:hAnsi="宋体" w:eastAsia="宋体" w:cs="宋体"/>
          <w:color w:val="000000"/>
          <w:sz w:val="24"/>
          <w:szCs w:val="24"/>
        </w:rPr>
        <w:t xml:space="preserve">资和服务，对服务正常运行应当具有的物资和服务理解不一致的以采购单位理解为准。</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供应商应根据采购人要求制定总体实施方案和分阶段实施计划，覆盖需求调研、系统设计、部署安装、接口联调、数据迁移、试运行、上线切换、风险应对等环节，确保不影响医院正常业务开展。</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供应商应提供7×24小时电话、远程技术支持与监控服务；建立快速响应机制，其中一般问题应及时受理并处理，重大故障应在1小时内响应、2小时内提供解决路径，必要时在12小时内提供备用方案。</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系统完成部署、调试、数据迁移、联调测试和试运行后，由采购人组织履约验收；验收内容应包括功能实现情况、性能指标、接口联通情况、数据迁移准确性、文档交付完整性及培训落实情况；供应商应提交自测报告、接口清单、系统说明书、培训材料、巡检与运行报告等验收材料。</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（4）运维服务要求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本项目所有软件系统应提供不少于</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lang w:val="en-US" w:eastAsia="zh-CN"/>
        </w:rPr>
        <w:t xml:space="preserve">年运维服务。服务范围应包括错误修复、轻量级需求优化、性能优化、运行环境诊断与保障、定期巡检、日志分析、备份检查、故障处理和知识转移等内容。</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①项目经理：1人，具有至少3年及以上信息化项目管理工作经验，项目开发期间需驻场服务，不得兼任其他岗位。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②技术负责人1人，具有至少3年及以上信息化项目技术管理工作经验，项目开发期间须驻场服务，不得兼任其他岗位。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③开发实施人员：不少于2人，项目开发期间须至少1人驻场服务。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④运维服务人员：不少于1人，须驻场服务。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供应商应保证在本项目中使用的任何产品和服务不会侵犯第三方知识产权；如发生相关纠纷，由供应商承担全部责任。平台资源、软件部署与服务提供应符合国家网络安全、版权合规及行业标准要求。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（7）建设成果要求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在项目各阶段提交相应成果文件，包括但不限于项目实施方案、需求分析说明书、概要设计/详细设计说明书、数据库设计说明书、接口说明书、上线部署方案、软件安装说明书、培训方案与手册、测试报告、试运行报告、验收方案、验收报告、运维方案与运维手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（8）培训要求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供应商应结合采购人实际情况提供分层分类培训，至少包括管理员培训、业务部门操作培训、科研人员/临床人员使用培训及运维培训，培训方式应包括线上课程、线下实操和培训资料发放。</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45</w:t>
      </w:r>
      <w:r>
        <w:rPr>
          <w:rFonts w:ascii="宋体" w:hAnsi="宋体" w:eastAsia="宋体" w:cs="宋体"/>
          <w:color w:val="000000"/>
          <w:sz w:val="24"/>
          <w:szCs w:val="24"/>
        </w:rPr>
        <w:t xml:space="preserve">个工作日</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rPr>
          <w:rFonts w:hint="eastAsia" w:ascii="宋体" w:hAnsi="宋体" w:eastAsia="宋体" w:cs="Times New Roman"/>
          <w:color w:val="000000"/>
          <w:sz w:val="24"/>
          <w:szCs w:val="24"/>
          <w:lang w:val="en-US" w:eastAsia="zh-CN"/>
        </w:rPr>
      </w:r>
      <w:r/>
    </w:p>
    <w:p>
      <w:pPr>
        <w:pStyle w:val="942"/>
        <w:numPr>
          <w:ilvl w:val="0"/>
          <w:numId w:val="0"/>
        </w:numPr>
        <w:jc w:val="both"/>
        <w:spacing w:after="0" w:line="264" w:lineRule="auto"/>
        <w:widowControl w:val="off"/>
        <w:rPr>
          <w:rFonts w:hint="eastAsia"/>
          <w:lang w:val="en-US" w:eastAsia="zh-CN"/>
        </w:rPr>
      </w:pPr>
      <w:r>
        <w:rPr>
          <w:rFonts w:hint="eastAsia"/>
          <w:lang w:val="en-US" w:eastAsia="zh-CN"/>
        </w:rPr>
      </w:r>
      <w:r/>
    </w:p>
    <w:p>
      <w:pPr>
        <w:pStyle w:val="869"/>
        <w:spacing w:line="264" w:lineRule="auto"/>
        <w:rPr>
          <w:rFonts w:hint="eastAsia"/>
          <w:lang w:val="en-US" w:eastAsia="zh-CN"/>
        </w:rPr>
      </w:pPr>
      <w:r>
        <w:rPr>
          <w:rFonts w:hint="eastAsia"/>
          <w:lang w:val="en-US" w:eastAsia="zh-CN"/>
        </w:rPr>
      </w:r>
      <w:r/>
    </w:p>
    <w:p>
      <w:pPr>
        <w:pStyle w:val="958"/>
        <w:spacing w:line="264" w:lineRule="auto"/>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7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eastAsia="宋体"/>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rPr>
          <w:rFonts w:eastAsia="宋体"/>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98"/>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9"/>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highlight w:val="none"/>
              </w:rPr>
            </w:pPr>
            <w:r>
              <w:rPr>
                <w:rFonts w:ascii="宋体" w:hAnsi="宋体" w:eastAsia="宋体" w:cs="宋体"/>
                <w:spacing w:val="-2"/>
                <w:highlight w:val="none"/>
              </w:rPr>
              <w:t xml:space="preserve">2.1</w:t>
            </w:r>
            <w:r>
              <w:rPr>
                <w:rFonts w:ascii="宋体" w:hAnsi="宋体" w:eastAsia="宋体" w:cs="宋体"/>
                <w:spacing w:val="-2"/>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highlight w:val="none"/>
                <w:lang w:eastAsia="zh-CN"/>
              </w:rPr>
            </w:pPr>
            <w:r>
              <w:rPr>
                <w:rFonts w:hint="eastAsia" w:ascii="Times New Roman" w:hAnsi="Times New Roman" w:eastAsia="宋体" w:cs="Times New Roman"/>
                <w:color w:val="000000"/>
                <w:highlight w:val="none"/>
                <w:lang w:val="en-US" w:eastAsia="zh-CN"/>
              </w:rPr>
              <w:t xml:space="preserve">产品技术参数</w:t>
            </w:r>
            <w:r>
              <w:rPr>
                <w:rFonts w:hint="eastAsia" w:ascii="宋体" w:hAnsi="宋体" w:eastAsia="宋体" w:cs="宋体"/>
                <w:spacing w:val="-2"/>
                <w:highlight w:val="none"/>
                <w:lang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产品技术参数全部满足招标要求的得满分，打★指标为必须满足项，如有负偏离将作为无效投标，其余指标（共计24项）有1项负偏离扣0.5分。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12</w:t>
            </w:r>
            <w:r>
              <w:rPr>
                <w:rFonts w:ascii="宋体" w:hAnsi="宋体" w:eastAsia="宋体" w:cs="宋体"/>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9"/>
              <w:ind w:right="108"/>
              <w:jc w:val="left"/>
              <w:spacing w:before="68" w:line="264" w:lineRule="auto"/>
              <w:rPr>
                <w:rFonts w:ascii="宋体" w:hAnsi="宋体" w:eastAsia="宋体" w:cs="宋体"/>
                <w:spacing w:val="-2"/>
                <w:sz w:val="21"/>
                <w:szCs w:val="21"/>
                <w:lang w:val="en-US" w:eastAsia="zh-CN" w:bidi="ar-SA"/>
              </w:rPr>
            </w:pPr>
            <w:r>
              <w:rPr>
                <w:rFonts w:hint="eastAsia" w:cs="Times New Roman"/>
                <w:color w:val="000000"/>
                <w:sz w:val="21"/>
                <w:szCs w:val="21"/>
                <w:lang w:val="en-US" w:eastAsia="zh-CN"/>
              </w:rPr>
              <w:t xml:space="preserve">需求理解</w:t>
            </w:r>
            <w:r>
              <w:rPr>
                <w:rFonts w:ascii="宋体" w:hAnsi="宋体" w:eastAsia="宋体" w:cs="宋体"/>
                <w:spacing w:val="-2"/>
                <w:sz w:val="21"/>
                <w:szCs w:val="21"/>
                <w:lang w:val="en-US" w:eastAsia="zh-CN" w:bidi="ar-SA"/>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提供的需求理解综合评分，包括1.针对本项目的系统整体情况的理解；2.针对本项目的历史数据迁移、系统切换风险及应对方案；3.针对本系统需求验证的理解。</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rPr>
                <w:rFonts w:hint="eastAsia" w:ascii="宋体" w:hAnsi="宋体" w:eastAsia="宋体" w:cs="宋体"/>
                <w:color w:val="000000"/>
                <w:sz w:val="21"/>
                <w:szCs w:val="21"/>
                <w:lang w:val="en-US" w:bidi="ar-SA"/>
              </w:rPr>
            </w:r>
            <w:r/>
          </w:p>
          <w:p>
            <w:pPr>
              <w:pStyle w:val="869"/>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方案内容对</w:t>
            </w:r>
            <w:r>
              <w:rPr>
                <w:rFonts w:hint="eastAsia" w:ascii="宋体" w:hAnsi="宋体" w:eastAsia="宋体" w:cs="宋体"/>
                <w:color w:val="000000"/>
                <w:sz w:val="21"/>
                <w:szCs w:val="21"/>
                <w:lang w:val="en-US"/>
              </w:rPr>
              <w:t xml:space="preserve">需求理解内容完整深刻，且专门针对本项目，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rPr>
            </w:r>
            <w:r/>
          </w:p>
          <w:p>
            <w:pPr>
              <w:pStyle w:val="869"/>
              <w:rPr>
                <w:rFonts w:ascii="宋体" w:hAnsi="宋体" w:eastAsia="宋体" w:cs="宋体"/>
                <w:spacing w:val="1"/>
                <w:sz w:val="21"/>
                <w:szCs w:val="21"/>
                <w:lang w:val="en-US" w:eastAsia="zh-CN" w:bidi="ar-SA"/>
              </w:rPr>
            </w:pPr>
            <w:r>
              <w:rPr>
                <w:rFonts w:hint="eastAsia" w:ascii="宋体" w:hAnsi="宋体" w:eastAsia="宋体" w:cs="宋体"/>
                <w:color w:val="000000"/>
                <w:sz w:val="21"/>
                <w:szCs w:val="21"/>
                <w:lang w:val="en-US"/>
              </w:rPr>
              <w:t xml:space="preserve">上述每项内容符合得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rPr>
              <w:t xml:space="preserve">分；部分符合得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分；不符合或不提供不得分。</w:t>
            </w:r>
            <w:r>
              <w:rPr>
                <w:rFonts w:ascii="宋体" w:hAnsi="宋体" w:eastAsia="宋体" w:cs="宋体"/>
                <w:spacing w:val="1"/>
                <w:sz w:val="21"/>
                <w:szCs w:val="21"/>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highlight w:val="yellow"/>
                <w:lang w:val="en-US" w:eastAsia="zh-CN" w:bidi="ar-SA"/>
              </w:rPr>
            </w:pPr>
            <w:r>
              <w:rPr>
                <w:rFonts w:hint="eastAsia" w:ascii="宋体" w:hAnsi="宋体" w:cs="宋体"/>
                <w:color w:val="000000"/>
                <w:lang w:val="en-US" w:eastAsia="zh-CN"/>
              </w:rPr>
              <w:t xml:space="preserve">9</w:t>
            </w:r>
            <w:r>
              <w:rPr>
                <w:rFonts w:hint="eastAsia" w:ascii="宋体" w:hAnsi="宋体" w:eastAsia="宋体" w:cs="宋体"/>
                <w:sz w:val="21"/>
                <w:szCs w:val="21"/>
                <w:highlight w:val="yellow"/>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69"/>
              <w:jc w:val="center"/>
              <w:spacing w:before="68" w:line="264" w:lineRule="auto"/>
              <w:rPr>
                <w:rFonts w:hint="eastAsia" w:ascii="宋体" w:hAnsi="宋体" w:eastAsia="宋体" w:cs="宋体"/>
                <w:spacing w:val="-2"/>
                <w:sz w:val="21"/>
                <w:szCs w:val="21"/>
                <w:lang w:val="en-US" w:eastAsia="zh-CN" w:bidi="ar-SA"/>
              </w:rPr>
            </w:pPr>
            <w:r>
              <w:rPr>
                <w:rFonts w:ascii="宋体" w:hAnsi="宋体" w:cs="宋体"/>
                <w:spacing w:val="-2"/>
              </w:rPr>
              <w:t xml:space="preserve">2.</w:t>
            </w:r>
            <w:r>
              <w:rPr>
                <w:rFonts w:hint="eastAsia" w:ascii="宋体" w:hAnsi="宋体" w:cs="宋体"/>
                <w:spacing w:val="-2"/>
                <w:lang w:val="en-US" w:eastAsia="zh-CN"/>
              </w:rPr>
              <w:t xml:space="preserve">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spacing w:val="-2"/>
                <w:sz w:val="21"/>
                <w:szCs w:val="21"/>
                <w:lang w:val="en-US" w:eastAsia="zh-CN" w:bidi="ar-SA"/>
              </w:rPr>
            </w:pPr>
            <w:r>
              <w:rPr>
                <w:rFonts w:ascii="宋体" w:hAnsi="宋体"/>
                <w:szCs w:val="21"/>
              </w:rPr>
              <w:t xml:space="preserve">科研管理系统技术方案</w:t>
            </w:r>
            <w:r>
              <w:rPr>
                <w:rFonts w:hint="eastAsia" w:ascii="宋体" w:hAnsi="宋体" w:eastAsia="宋体" w:cs="宋体"/>
                <w:spacing w:val="-2"/>
                <w:sz w:val="21"/>
                <w:szCs w:val="21"/>
                <w:lang w:val="en-US" w:eastAsia="zh-CN" w:bidi="ar-SA"/>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提供的科研管理系统技术方案综合评分，包括1.科研管理系统总体架构；2.核心模块设计；3.接口与数据迁移设计；4.AI 辅助能力设计。</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rPr>
                <w:rFonts w:hint="eastAsia" w:ascii="宋体" w:hAnsi="宋体" w:eastAsia="宋体" w:cs="宋体"/>
                <w:color w:val="000000"/>
                <w:sz w:val="21"/>
                <w:szCs w:val="21"/>
                <w:lang w:val="en-US" w:bidi="ar-SA"/>
              </w:rPr>
            </w:r>
            <w:r/>
          </w:p>
          <w:p>
            <w:pPr>
              <w:pStyle w:val="86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eastAsia="zh-CN"/>
              </w:rPr>
            </w:r>
            <w:r/>
          </w:p>
          <w:p>
            <w:pPr>
              <w:pStyle w:val="869"/>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分；部分符合得1分；不符合或不提供不得分。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highlight w:val="yellow"/>
                <w:lang w:val="en-US" w:eastAsia="zh-CN" w:bidi="ar-SA"/>
              </w:rPr>
            </w:pPr>
            <w:r>
              <w:rPr>
                <w:rFonts w:hint="eastAsia" w:ascii="宋体" w:hAnsi="宋体" w:cs="宋体"/>
                <w:color w:val="000000"/>
              </w:rPr>
              <w:t xml:space="preserve">8</w:t>
            </w:r>
            <w:r>
              <w:rPr>
                <w:rFonts w:hint="eastAsia"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69"/>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69"/>
              <w:ind w:right="108"/>
              <w:jc w:val="left"/>
              <w:spacing w:before="68" w:line="264" w:lineRule="auto"/>
              <w:rPr>
                <w:rFonts w:ascii="宋体" w:hAnsi="宋体"/>
                <w:szCs w:val="21"/>
              </w:rPr>
            </w:pPr>
            <w:r>
              <w:rPr>
                <w:rFonts w:ascii="宋体" w:hAnsi="宋体"/>
                <w:szCs w:val="21"/>
              </w:rPr>
              <w:t xml:space="preserve">外文医学信息资源平台方案</w:t>
            </w:r>
            <w:r>
              <w:rPr>
                <w:rFonts w:ascii="宋体" w:hAnsi="宋体"/>
                <w:szCs w:val="21"/>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提供的外文医学信息资源平台方案综合评分，包括1.医学信息资源规模；2.临床辅助检索设计；3.全文获取功能设计；4.翻译和推送服务设计。</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rPr>
                <w:rFonts w:hint="eastAsia" w:ascii="宋体" w:hAnsi="宋体" w:eastAsia="宋体" w:cs="宋体"/>
                <w:color w:val="000000"/>
                <w:sz w:val="21"/>
                <w:szCs w:val="21"/>
                <w:lang w:val="en-US" w:bidi="ar-SA"/>
              </w:rPr>
            </w:r>
            <w:r/>
          </w:p>
          <w:p>
            <w:pPr>
              <w:pStyle w:val="86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eastAsia="zh-CN"/>
              </w:rPr>
            </w:r>
            <w:r/>
          </w:p>
          <w:p>
            <w:pPr>
              <w:pStyle w:val="869"/>
              <w:rPr>
                <w:rFonts w:hint="eastAsia" w:eastAsia="宋体"/>
                <w:color w:val="000000"/>
                <w:lang w:val="en-US" w:eastAsia="zh-CN"/>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分；部分符合得1分；不符合或不提供不得分。</w:t>
            </w:r>
            <w:r>
              <w:rPr>
                <w:rFonts w:hint="eastAsia" w:eastAsia="宋体"/>
                <w:color w:val="000000"/>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8</w:t>
            </w:r>
            <w:r>
              <w:rPr>
                <w:rFonts w:hint="eastAsia" w:ascii="宋体" w:hAnsi="宋体" w:eastAsia="宋体" w:cs="宋体"/>
                <w:color w:val="000000"/>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4"/>
                <w:sz w:val="21"/>
                <w:szCs w:val="21"/>
                <w:lang w:eastAsia="zh-CN"/>
              </w:rPr>
            </w:pPr>
            <w:r>
              <w:rPr>
                <w:rFonts w:hint="eastAsia" w:ascii="宋体" w:hAnsi="宋体" w:eastAsia="宋体" w:cs="宋体"/>
                <w:spacing w:val="-4"/>
                <w:sz w:val="21"/>
                <w:szCs w:val="21"/>
                <w:lang w:eastAsia="zh-CN"/>
              </w:rPr>
              <w:t xml:space="preserve">主观分</w:t>
            </w:r>
            <w:r>
              <w:rPr>
                <w:rFonts w:hint="eastAsia" w:ascii="宋体" w:hAnsi="宋体" w:eastAsia="宋体" w:cs="宋体"/>
                <w:spacing w:val="-4"/>
                <w:sz w:val="21"/>
                <w:szCs w:val="21"/>
                <w:lang w:eastAsia="zh-CN"/>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spacing w:val="-2"/>
                <w:lang w:val="en-US" w:eastAsia="zh-CN"/>
              </w:rPr>
            </w:pPr>
            <w:r>
              <w:rPr>
                <w:rFonts w:hint="eastAsia" w:ascii="宋体" w:hAnsi="宋体" w:cs="宋体"/>
                <w:spacing w:val="-2"/>
                <w:lang w:val="en-US" w:eastAsia="zh-CN"/>
              </w:rPr>
              <w:t xml:space="preserve">2.5</w:t>
            </w:r>
            <w:r>
              <w:rPr>
                <w:rFonts w:ascii="宋体" w:hAnsi="宋体" w:cs="宋体"/>
                <w:spacing w:val="-2"/>
                <w:lang w:val="en-US" w:eastAsia="zh-CN"/>
              </w:rPr>
            </w:r>
            <w:r/>
          </w:p>
        </w:tc>
        <w:tc>
          <w:tcPr>
            <w:tcW w:w="1179" w:type="dxa"/>
            <w:vAlign w:val="center"/>
            <w:textDirection w:val="lrTb"/>
            <w:noWrap w:val="false"/>
          </w:tcPr>
          <w:p>
            <w:pPr>
              <w:pStyle w:val="869"/>
              <w:ind w:right="108"/>
              <w:jc w:val="left"/>
              <w:spacing w:before="68" w:line="264" w:lineRule="auto"/>
              <w:rPr>
                <w:rFonts w:ascii="宋体" w:hAnsi="宋体"/>
                <w:szCs w:val="21"/>
              </w:rPr>
            </w:pPr>
            <w:r>
              <w:rPr>
                <w:rFonts w:ascii="宋体" w:hAnsi="宋体"/>
                <w:szCs w:val="21"/>
              </w:rPr>
              <w:t xml:space="preserve">图书馆管理软件系统方案</w:t>
            </w:r>
            <w:r>
              <w:rPr>
                <w:rFonts w:ascii="宋体" w:hAnsi="宋体"/>
                <w:szCs w:val="21"/>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提供的图书馆管理软件系统方案综合评分</w:t>
            </w:r>
            <w:r>
              <w:rPr>
                <w:rFonts w:hint="eastAsia" w:ascii="宋体" w:hAnsi="宋体" w:eastAsia="宋体" w:cs="宋体"/>
                <w:color w:val="000000"/>
                <w:sz w:val="21"/>
                <w:szCs w:val="21"/>
                <w:lang w:val="en-US" w:bidi="ar-SA"/>
              </w:rPr>
              <w:t xml:space="preserve">，内容包含：1.</w:t>
            </w:r>
            <w:r>
              <w:rPr>
                <w:rFonts w:hint="eastAsia" w:ascii="宋体" w:hAnsi="宋体" w:eastAsia="宋体" w:cs="宋体"/>
                <w:sz w:val="21"/>
                <w:szCs w:val="21"/>
                <w:lang w:val="en-US" w:eastAsia="zh-CN" w:bidi="ar"/>
              </w:rPr>
              <w:t xml:space="preserve">图书馆管理系统的体系架构</w:t>
            </w:r>
            <w:r>
              <w:rPr>
                <w:rFonts w:hint="eastAsia" w:ascii="宋体" w:hAnsi="宋体" w:eastAsia="宋体" w:cs="宋体"/>
                <w:color w:val="000000"/>
                <w:sz w:val="21"/>
                <w:szCs w:val="21"/>
                <w:lang w:val="en-US" w:bidi="ar-SA"/>
              </w:rPr>
              <w:t xml:space="preserve">；2.</w:t>
            </w:r>
            <w:r>
              <w:rPr>
                <w:rFonts w:hint="eastAsia" w:ascii="宋体" w:hAnsi="宋体" w:eastAsia="宋体" w:cs="宋体"/>
                <w:sz w:val="21"/>
                <w:szCs w:val="21"/>
                <w:lang w:val="en-US" w:eastAsia="zh-CN" w:bidi="ar"/>
              </w:rPr>
              <w:t xml:space="preserve">系统的功能模块及功能设计</w:t>
            </w:r>
            <w:r>
              <w:rPr>
                <w:rFonts w:hint="eastAsia" w:ascii="宋体" w:hAnsi="宋体" w:eastAsia="宋体" w:cs="宋体"/>
                <w:color w:val="000000"/>
                <w:sz w:val="21"/>
                <w:szCs w:val="21"/>
                <w:lang w:val="en-US" w:bidi="ar-SA"/>
              </w:rPr>
              <w:t xml:space="preserve">；3.</w:t>
            </w:r>
            <w:r>
              <w:rPr>
                <w:rFonts w:hint="eastAsia" w:ascii="宋体" w:hAnsi="宋体" w:eastAsia="宋体" w:cs="宋体"/>
                <w:sz w:val="21"/>
                <w:szCs w:val="21"/>
                <w:lang w:val="en-US" w:eastAsia="zh-CN" w:bidi="ar"/>
              </w:rPr>
              <w:t xml:space="preserve">实现思路和关键技术</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rPr>
                <w:rFonts w:hint="eastAsia" w:ascii="宋体" w:hAnsi="宋体" w:eastAsia="宋体" w:cs="宋体"/>
                <w:color w:val="000000"/>
                <w:sz w:val="21"/>
                <w:szCs w:val="21"/>
                <w:lang w:val="en-US" w:bidi="ar-SA"/>
              </w:rPr>
            </w:r>
            <w:r/>
          </w:p>
          <w:p>
            <w:pPr>
              <w:pStyle w:val="86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eastAsia="zh-CN"/>
              </w:rPr>
            </w:r>
            <w:r/>
          </w:p>
          <w:p>
            <w:pPr>
              <w:pStyle w:val="869"/>
              <w:rPr>
                <w:rFonts w:hint="eastAsia"/>
                <w:color w:val="000000"/>
                <w:lang w:val="en-US"/>
              </w:rPr>
            </w:pPr>
            <w:r>
              <w:rPr>
                <w:rFonts w:hint="eastAsia" w:ascii="宋体" w:hAnsi="宋体" w:eastAsia="宋体" w:cs="宋体"/>
                <w:color w:val="000000"/>
                <w:sz w:val="21"/>
                <w:szCs w:val="21"/>
                <w:lang w:val="en-US"/>
              </w:rPr>
              <w:t xml:space="preserve">上述每项内容符合得2分；部分符合得1分；不符合或不提供不得分</w:t>
            </w:r>
            <w:r>
              <w:rPr>
                <w:rFonts w:hint="eastAsia" w:ascii="宋体" w:hAnsi="宋体" w:eastAsia="宋体" w:cs="宋体"/>
                <w:color w:val="000000"/>
                <w:sz w:val="21"/>
                <w:szCs w:val="21"/>
                <w:lang w:val="en-US" w:eastAsia="zh-CN"/>
              </w:rPr>
              <w:t xml:space="preserve">。</w:t>
            </w:r>
            <w:r>
              <w:rPr>
                <w:rFonts w:hint="eastAsia"/>
                <w:color w:val="000000"/>
                <w:lang w:val="en-US"/>
              </w:rPr>
            </w:r>
            <w:r/>
          </w:p>
        </w:tc>
        <w:tc>
          <w:tcPr>
            <w:tcW w:w="647" w:type="dxa"/>
            <w:vAlign w:val="center"/>
            <w:textDirection w:val="lrTb"/>
            <w:noWrap w:val="false"/>
          </w:tcPr>
          <w:p>
            <w:pPr>
              <w:pStyle w:val="869"/>
              <w:jc w:val="center"/>
              <w:spacing w:before="68" w:line="264" w:lineRule="auto"/>
              <w:rPr>
                <w:rFonts w:ascii="宋体" w:hAnsi="宋体" w:cs="宋体"/>
                <w:color w:val="000000"/>
                <w:lang w:val="en-US" w:eastAsia="zh-CN"/>
              </w:rPr>
            </w:pPr>
            <w:r>
              <w:rPr>
                <w:rFonts w:hint="eastAsia" w:ascii="宋体" w:hAnsi="宋体" w:cs="宋体"/>
                <w:color w:val="000000"/>
                <w:lang w:val="en-US" w:eastAsia="zh-CN"/>
              </w:rPr>
              <w:t xml:space="preserve">6</w:t>
            </w:r>
            <w:r>
              <w:rPr>
                <w:rFonts w:ascii="宋体" w:hAnsi="宋体" w:cs="宋体"/>
                <w:color w:val="000000"/>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4"/>
                <w:sz w:val="21"/>
                <w:szCs w:val="21"/>
                <w:lang w:eastAsia="zh-CN"/>
              </w:rPr>
            </w:pPr>
            <w:r>
              <w:rPr>
                <w:rFonts w:hint="eastAsia" w:ascii="宋体" w:hAnsi="宋体" w:eastAsia="宋体" w:cs="宋体"/>
                <w:spacing w:val="-4"/>
                <w:sz w:val="21"/>
                <w:szCs w:val="21"/>
                <w:lang w:eastAsia="zh-CN"/>
              </w:rPr>
              <w:t xml:space="preserve">主观分</w:t>
            </w:r>
            <w:r>
              <w:rPr>
                <w:rFonts w:hint="eastAsia" w:ascii="宋体" w:hAnsi="宋体" w:eastAsia="宋体" w:cs="宋体"/>
                <w:spacing w:val="-4"/>
                <w:sz w:val="21"/>
                <w:szCs w:val="21"/>
                <w:lang w:eastAsia="zh-CN"/>
              </w:rPr>
            </w:r>
            <w:r/>
          </w:p>
        </w:tc>
      </w:tr>
      <w:tr>
        <w:trPr>
          <w:trHeight w:val="889"/>
        </w:trPr>
        <w:tc>
          <w:tcPr>
            <w:tcW w:w="519" w:type="dxa"/>
            <w:vAlign w:val="center"/>
            <w:textDirection w:val="lrTb"/>
            <w:noWrap w:val="false"/>
          </w:tcPr>
          <w:p>
            <w:pPr>
              <w:pStyle w:val="869"/>
              <w:jc w:val="center"/>
              <w:spacing w:before="68" w:line="264" w:lineRule="auto"/>
              <w:rPr>
                <w:rFonts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2</w:t>
            </w:r>
            <w:r>
              <w:rPr>
                <w:rFonts w:ascii="宋体" w:hAnsi="宋体" w:cs="宋体"/>
                <w:color w:val="000000"/>
                <w:spacing w:val="-2"/>
              </w:rPr>
              <w:t xml:space="preserve">.</w:t>
            </w:r>
            <w:r>
              <w:rPr>
                <w:rFonts w:hint="eastAsia" w:ascii="宋体" w:hAnsi="宋体" w:cs="宋体"/>
                <w:color w:val="000000"/>
                <w:spacing w:val="-2"/>
                <w:lang w:val="en-US" w:eastAsia="zh-CN"/>
              </w:rPr>
              <w:t xml:space="preserve">6</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系统对接方案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提供的系统对接方案综合评分</w:t>
            </w:r>
            <w:r>
              <w:rPr>
                <w:rFonts w:hint="eastAsia" w:ascii="宋体" w:hAnsi="宋体" w:eastAsia="宋体" w:cs="宋体"/>
                <w:color w:val="000000"/>
                <w:sz w:val="21"/>
                <w:szCs w:val="21"/>
                <w:highlight w:val="none"/>
                <w:lang w:val="en-US" w:bidi="ar-SA"/>
              </w:rPr>
              <w:t xml:space="preserve">，内容</w:t>
            </w:r>
            <w:r>
              <w:rPr>
                <w:rFonts w:hint="eastAsia" w:ascii="宋体" w:hAnsi="宋体" w:eastAsia="宋体" w:cs="宋体"/>
                <w:color w:val="000000"/>
                <w:sz w:val="21"/>
                <w:szCs w:val="21"/>
                <w:highlight w:val="none"/>
                <w:lang w:val="en-US" w:eastAsia="zh-CN"/>
              </w:rPr>
              <w:t xml:space="preserve">包括1.对接实施计划；2.对接设计方案；3.对接保障措施方案。</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69"/>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sz w:val="21"/>
                <w:szCs w:val="21"/>
                <w:lang w:val="en-US"/>
              </w:rPr>
            </w:r>
            <w:r/>
          </w:p>
          <w:p>
            <w:pPr>
              <w:pStyle w:val="869"/>
              <w:jc w:val="left"/>
              <w:keepLines w:val="0"/>
              <w:keepNext w:val="0"/>
              <w:pageBreakBefore w:val="0"/>
              <w:spacing w:line="264" w:lineRule="auto"/>
              <w:widowControl/>
              <w:rPr>
                <w:rFonts w:ascii="宋体" w:hAnsi="宋体" w:eastAsia="宋体" w:cs="宋体"/>
                <w:color w:val="000000"/>
                <w:sz w:val="21"/>
                <w:szCs w:val="21"/>
                <w:lang w:val="zh-CN" w:eastAsia="zh-CN" w:bidi="ar-SA"/>
              </w:rPr>
            </w:pPr>
            <w:r>
              <w:rPr>
                <w:rFonts w:hint="eastAsia" w:ascii="宋体" w:hAnsi="宋体" w:eastAsia="宋体" w:cs="宋体"/>
                <w:color w:val="000000"/>
                <w:sz w:val="21"/>
                <w:szCs w:val="21"/>
                <w:highlight w:val="none"/>
                <w:lang w:val="en-US"/>
              </w:rPr>
              <w:t xml:space="preserve">上述每项内容符合得2分；部分符合得1分；不符合或不提供不得分</w:t>
            </w:r>
            <w:r>
              <w:rPr>
                <w:rFonts w:hint="eastAsia" w:ascii="宋体" w:hAnsi="宋体" w:eastAsia="宋体" w:cs="宋体"/>
                <w:color w:val="000000"/>
                <w:sz w:val="21"/>
                <w:szCs w:val="21"/>
                <w:lang w:val="en-US"/>
              </w:rPr>
              <w:t xml:space="preserve">。</w:t>
            </w:r>
            <w:r>
              <w:rPr>
                <w:rFonts w:ascii="宋体" w:hAnsi="宋体" w:eastAsia="宋体" w:cs="宋体"/>
                <w:color w:val="000000"/>
                <w:sz w:val="21"/>
                <w:szCs w:val="21"/>
                <w:lang w:val="zh-CN" w:eastAsia="zh-CN" w:bidi="ar-SA"/>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2.7</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rPr>
              <w:t xml:space="preserve">提供的演示视频（总演示时间不超过20分钟）综合评分。演示视频包括以下内容： </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1.论文、专利智能录入与成果归集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投标人需演示论文、专利成果智能录入功能，完整展示1篇论文及1项专利的录入全过程，系统需支持结构化信息自动提取、成果记录自动生成、重复成果智能识别，并自动形成成果台账。</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2.成果方向智能总结</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系统基于医院级、科室级成果数据，自动开展研究方向总结分析的功能。系统可对论文、专利、科研项目、获奖成果等进行统一归集分析，自动完成关键词提炼、研究热点归纳、成果方向画像及发展趋势变化分析。</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3.科研团队智能组建</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投标人需演示系统基于研究方向和人员信息，辅助开展科研团队组建的功能。需选取具体研究主题或申报方向进行演示，系统可根据预设条件自动推荐候选研究人员，并生成完整团队组建方案。</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4.GCP项目全流程管理演示</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投标人需演示GCP临床试验项目全流程管理功能。系统需支持全生命周期项目管理，可与HIS、PACS系统对接，实现项目全过程追踪管理及档案规范化留存。</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5.IIT 研究患者筛选入组与随访管理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投标人需演示 IIT 临床研究项目患者筛选、入组及随访管理功能。系统可按照研究方案条件自动筛选受试者，支持一键入组，同时实现随访任务自动生成、执行进度追踪及全过程档案留痕管理。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以上演示条款，采用类似真实系统演示全部功能每条得3分，采用系统原型（DEMO）演示全部内容每条得2分，采用PPT等方式演示全部内容每条得1分，不满足不得分；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采用类似真实系统演示最多得15分；采用系统原型（DEMO）最多得10分；采用PPT等方式演示最多得5分。 </w:t>
            </w:r>
            <w:r>
              <w:rPr>
                <w:rFonts w:hint="eastAsia" w:ascii="宋体" w:hAnsi="宋体" w:eastAsia="宋体" w:cs="宋体"/>
                <w:color w:val="000000"/>
                <w:sz w:val="21"/>
                <w:szCs w:val="21"/>
                <w:lang w:val="en-US" w:eastAsia="zh-CN"/>
              </w:rPr>
            </w:r>
            <w:r/>
          </w:p>
          <w:p>
            <w:pPr>
              <w:pStyle w:val="86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（未提供视频文件或因供应商自身原因视频文件无法打开或视频画面不清晰无法辨认的不得分。）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cs="Times New Roman"/>
                <w:color w:val="000000"/>
                <w:spacing w:val="0"/>
                <w:lang w:val="en-US" w:eastAsia="zh-CN"/>
              </w:rPr>
              <w:t xml:space="preserve"> </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bidi="ar-SA"/>
              </w:rPr>
              <w:t xml:space="preserve">评委根据</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bidi="ar-SA"/>
              </w:rPr>
              <w:t xml:space="preserve">提供的运维服务方案综合评分</w:t>
            </w:r>
            <w:r>
              <w:rPr>
                <w:rFonts w:hint="eastAsia" w:ascii="宋体" w:hAnsi="宋体" w:eastAsia="宋体" w:cs="宋体"/>
                <w:color w:val="000000"/>
                <w:sz w:val="21"/>
                <w:szCs w:val="21"/>
                <w:lang w:val="en-US" w:bidi="ar-SA"/>
              </w:rPr>
              <w:t xml:space="preserve">，内容</w:t>
            </w:r>
            <w:r>
              <w:rPr>
                <w:rFonts w:hint="eastAsia" w:ascii="宋体" w:hAnsi="宋体" w:eastAsia="宋体" w:cs="宋体"/>
                <w:color w:val="000000"/>
                <w:sz w:val="21"/>
                <w:szCs w:val="21"/>
                <w:lang w:val="en-US" w:eastAsia="zh-CN"/>
              </w:rPr>
              <w:t xml:space="preserve">包括：1.服务措施；2.应急举措；3.服务流程及服务保障体系；4.</w:t>
            </w:r>
            <w:r>
              <w:rPr>
                <w:rFonts w:hint="eastAsia" w:ascii="宋体" w:hAnsi="宋体" w:eastAsia="宋体" w:cs="宋体"/>
                <w:color w:val="000000"/>
                <w:sz w:val="21"/>
                <w:szCs w:val="21"/>
                <w:lang w:val="en-US" w:eastAsia="zh-CN" w:bidi="ar"/>
              </w:rPr>
              <w:t xml:space="preserve">预防性维护</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r>
            <w:r/>
          </w:p>
          <w:p>
            <w:pPr>
              <w:pStyle w:val="869"/>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sz w:val="21"/>
                <w:szCs w:val="21"/>
                <w:lang w:val="en-US"/>
              </w:rPr>
            </w:r>
            <w:r/>
          </w:p>
          <w:p>
            <w:pPr>
              <w:pStyle w:val="958"/>
              <w:ind w:left="0"/>
              <w:spacing w:line="264" w:lineRule="auto"/>
              <w:rPr>
                <w:rFonts w:ascii="Calibri" w:hAnsi="Calibri" w:eastAsia="Calibri" w:cs="宋体"/>
                <w:color w:val="000000"/>
                <w:sz w:val="20"/>
                <w:szCs w:val="21"/>
                <w:lang w:val="zh-CN" w:eastAsia="zh-CN" w:bidi="ar-SA"/>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分；部分符合得</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lang w:val="en-US"/>
              </w:rPr>
              <w:t xml:space="preserve">分；不符合或不提供不得分。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日（含）以来类似项目业绩，每提供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，最多得6分</w:t>
            </w:r>
            <w:r>
              <w:rPr>
                <w:rFonts w:ascii="宋体" w:hAnsi="宋体" w:eastAsia="宋体" w:cs="宋体"/>
                <w:color w:val="000000"/>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宋体" w:hAnsi="宋体" w:eastAsia="宋体" w:cs="宋体"/>
                <w:color w:val="000000"/>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拟投入本项目的项目经理：具有信息系统项目管理师证书，得2分。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年1月以来任意一个月的社保证明材料，缺一不可）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ff"/>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拟投入本项目的技术负责人：具有系统集成项目管理工程师证书，得2分。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年1月以来任意一个月的社保证明材料，缺一不可）</w:t>
            </w:r>
            <w:r>
              <w:rPr>
                <w:rFonts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5.3</w:t>
            </w:r>
            <w:r>
              <w:rPr>
                <w:rFonts w:ascii="宋体" w:hAnsi="宋体" w:eastAsia="宋体" w:cs="宋体"/>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项目实施团队能力（不含项目经理和技术负责人）：</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团队成员具有信息处理技术员证书、软件设计师证书、注册信息安全工程师证书，每提供1个证书得2分，最高4分。（多人一证、一人多证不重复计分，提供团队成员证书及供应商为其缴纳的202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w:t>
            </w:r>
            <w:r>
              <w:rPr>
                <w:rFonts w:hint="eastAsia" w:ascii="宋体" w:hAnsi="宋体" w:eastAsia="宋体" w:cs="宋体"/>
                <w:color w:val="000000"/>
                <w:sz w:val="21"/>
                <w:szCs w:val="21"/>
                <w:lang w:val="en-US" w:eastAsia="zh-CN"/>
              </w:rPr>
            </w:r>
            <w:r/>
          </w:p>
          <w:p>
            <w:pPr>
              <w:pStyle w:val="869"/>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团队成员</w:t>
            </w:r>
            <w:r>
              <w:rPr>
                <w:rFonts w:hint="eastAsia" w:ascii="宋体" w:hAnsi="宋体" w:eastAsia="宋体" w:cs="宋体"/>
                <w:color w:val="000000"/>
                <w:sz w:val="21"/>
                <w:szCs w:val="21"/>
                <w:lang w:val="en-US" w:eastAsia="zh-CN" w:bidi="ar-SA"/>
              </w:rPr>
              <w:t xml:space="preserve">具有参与实验室信息系统建设的实施经验，每提供一人得2分，最多得4分。</w:t>
            </w:r>
            <w:r>
              <w:rPr>
                <w:rFonts w:hint="eastAsia" w:ascii="宋体" w:hAnsi="宋体" w:eastAsia="宋体" w:cs="宋体"/>
                <w:color w:val="000000"/>
                <w:sz w:val="21"/>
                <w:szCs w:val="21"/>
                <w:lang w:val="en-US" w:eastAsia="zh-CN"/>
              </w:rPr>
              <w:t xml:space="preserve">（提供团队成员项目实施经验证明材料及供应商为其缴纳的202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5.4</w:t>
            </w:r>
            <w:r>
              <w:rPr>
                <w:rFonts w:ascii="宋体" w:hAnsi="宋体" w:eastAsia="宋体" w:cs="宋体"/>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rPr>
              <w:t xml:space="preserve">具有本项目相关的软件著作权证书，包括</w:t>
            </w:r>
            <w:r>
              <w:rPr>
                <w:rFonts w:ascii="宋体" w:hAnsi="宋体" w:eastAsia="宋体" w:cs="宋体"/>
                <w:color w:val="000000"/>
                <w:sz w:val="21"/>
                <w:szCs w:val="21"/>
                <w:lang w:val="en-US" w:eastAsia="zh-CN"/>
              </w:rPr>
              <w:t xml:space="preserve">“医院科研管理、临床研究管理、科研项目管理、课题申报、项目全流程管理、科研经费管理、科研成果管理、论文管理、专利管理、知识产权管理、科研绩效分析、科研统计分析、学科建设、科研团队管理、伦理审查管理、GCP管理、IIT管理、受试者筛选、随访管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医学文献检索”</w:t>
            </w:r>
            <w:r>
              <w:rPr>
                <w:rFonts w:hint="eastAsia" w:ascii="宋体" w:hAnsi="宋体" w:eastAsia="宋体" w:cs="宋体"/>
                <w:color w:val="000000"/>
                <w:sz w:val="21"/>
                <w:szCs w:val="21"/>
                <w:lang w:val="en-US" w:eastAsia="zh-CN"/>
              </w:rPr>
              <w:t xml:space="preserve">等，每提供1个证书得</w:t>
            </w: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分，最多得4分。 </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88" w:lineRule="auto"/>
        <w:widowControl w:val="off"/>
        <w:rPr>
          <w:rFonts w:hint="eastAsia"/>
        </w:rPr>
      </w:pPr>
      <w:r>
        <w:rPr>
          <w:rFonts w:hint="eastAsia"/>
        </w:rPr>
      </w:r>
      <w:r/>
    </w:p>
    <w:p>
      <w:pPr>
        <w:pStyle w:val="958"/>
        <w:keepLines w:val="0"/>
        <w:keepNext w:val="0"/>
        <w:pageBreakBefore w:val="0"/>
        <w:spacing w:line="288" w:lineRule="auto"/>
        <w:widowControl w:val="off"/>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szCs w:val="21"/>
        </w:rPr>
      </w:pPr>
      <w:r/>
      <w:bookmarkStart w:id="23" w:name="_Hlt26671244"/>
      <w:r/>
      <w:bookmarkEnd w:id="23"/>
      <w:r/>
      <w:bookmarkStart w:id="24" w:name="_Toc26554094"/>
      <w:r/>
      <w:bookmarkStart w:id="25" w:name="_Toc120614282"/>
      <w:r/>
      <w:bookmarkStart w:id="26" w:name="_Toc49090576"/>
      <w:r/>
      <w:bookmarkStart w:id="27" w:name="_Hlt26955039"/>
      <w:r/>
      <w:bookmarkEnd w:id="27"/>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1"/>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958"/>
        <w:rPr>
          <w:rFonts w:hint="eastAsia"/>
        </w:rPr>
      </w:pPr>
      <w:r>
        <w:rPr>
          <w:rFonts w:hint="eastAsia"/>
        </w:rPr>
      </w:r>
      <w:r/>
    </w:p>
    <w:p>
      <w:pPr>
        <w:pStyle w:val="869"/>
        <w:rPr>
          <w:rFonts w:hint="eastAsia" w:ascii="黑体" w:hAnsi="黑体" w:eastAsia="黑体" w:cs="Times New Roman"/>
          <w:i w:val="0"/>
          <w:color w:val="000000"/>
          <w:sz w:val="32"/>
          <w:szCs w:val="32"/>
          <w:u w:val="none"/>
          <w:lang w:val="en-US" w:eastAsia="zh-CN"/>
        </w:rPr>
      </w:pPr>
      <w:r/>
      <w:bookmarkEnd w:id="24"/>
      <w:r/>
      <w:bookmarkEnd w:id="25"/>
      <w:r/>
      <w:bookmarkEnd w:id="26"/>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8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8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8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8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8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8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8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Hlt26955070"/>
      <w:r/>
      <w:bookmarkEnd w:id="29"/>
      <w:r/>
      <w:bookmarkStart w:id="30" w:name="_格式3__银行出具的资信证明"/>
      <w:r/>
      <w:bookmarkEnd w:id="30"/>
      <w:r/>
      <w:bookmarkStart w:id="31" w:name="_Hlt26671380"/>
      <w:r/>
      <w:bookmarkEnd w:id="31"/>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86"/>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2"/>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86"/>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86"/>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8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8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8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8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86"/>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8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42"/>
        <w:ind w:firstLine="0"/>
        <w:rPr>
          <w:rFonts w:hint="eastAsia"/>
        </w:rPr>
      </w:pPr>
      <w:r>
        <w:rPr>
          <w:rFonts w:hint="eastAsia"/>
        </w:rPr>
      </w:r>
      <w:r/>
    </w:p>
    <w:p>
      <w:pPr>
        <w:pStyle w:val="958"/>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9"/>
        <w:rPr>
          <w:rFonts w:hint="eastAsia" w:ascii="黑体" w:hAnsi="黑体" w:eastAsia="黑体" w:cs="Times New Roman"/>
          <w:i w:val="0"/>
          <w:iCs/>
          <w:color w:val="000000"/>
          <w:sz w:val="32"/>
          <w:szCs w:val="32"/>
          <w:u w:val="none"/>
          <w:lang w:val="en-US" w:eastAsia="zh-CN"/>
        </w:rPr>
      </w:pPr>
      <w:r/>
      <w:bookmarkStart w:id="32" w:name="_Hlt26955054"/>
      <w:r/>
      <w:bookmarkEnd w:id="32"/>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33" w:name="_Hlt26671343"/>
            <w:r/>
            <w:bookmarkEnd w:id="33"/>
            <w:r/>
            <w:bookmarkStart w:id="34" w:name="_Hlt26955064"/>
            <w:r/>
            <w:bookmarkEnd w:id="34"/>
            <w:r/>
            <w:bookmarkStart w:id="35" w:name="_Hlt26671372"/>
            <w:r/>
            <w:bookmarkEnd w:id="35"/>
            <w:r/>
            <w:bookmarkStart w:id="36" w:name="_Hlt26580838"/>
            <w:r/>
            <w:bookmarkEnd w:id="36"/>
            <w:r/>
            <w:bookmarkStart w:id="37" w:name="_Hlt26609391"/>
            <w:r/>
            <w:bookmarkEnd w:id="37"/>
            <w:r/>
            <w:bookmarkStart w:id="38" w:name="_Hlt24879081"/>
            <w:r/>
            <w:bookmarkEnd w:id="38"/>
            <w:r/>
            <w:bookmarkStart w:id="39" w:name="_Hlt26782999"/>
            <w:r/>
            <w:bookmarkEnd w:id="39"/>
            <w:r/>
            <w:bookmarkStart w:id="40" w:name="_Hlt26955056"/>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942"/>
      </w:pPr>
      <w:r/>
      <w:r/>
    </w:p>
    <w:p>
      <w:pPr>
        <w:pStyle w:val="869"/>
      </w:pPr>
      <w:r/>
      <w:r/>
    </w:p>
    <w:p>
      <w:pPr>
        <w:pStyle w:val="942"/>
      </w:pPr>
      <w:r/>
      <w:r/>
    </w:p>
    <w:p>
      <w:pPr>
        <w:pStyle w:val="869"/>
      </w:pPr>
      <w:r/>
      <w:r/>
    </w:p>
    <w:p>
      <w:pPr>
        <w:pStyle w:val="958"/>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2"/>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58"/>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58"/>
        <w:rPr>
          <w:rFonts w:hint="eastAsia"/>
        </w:rPr>
      </w:pPr>
      <w:r>
        <w:rPr>
          <w:rFonts w:hint="eastAsia"/>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2"/>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2"/>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2"/>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8"/>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8"/>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8"/>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8"/>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8"/>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8"/>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6"/>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8"/>
        <w:rPr>
          <w:rFonts w:hint="eastAsia" w:ascii="宋体" w:hAnsi="宋体"/>
          <w:sz w:val="24"/>
        </w:rPr>
      </w:pPr>
      <w:r>
        <w:rPr>
          <w:rFonts w:hint="eastAsia" w:ascii="宋体" w:hAnsi="宋体"/>
          <w:sz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３９</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9"/>
    <w:next w:val="869"/>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9"/>
    <w:next w:val="869"/>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9"/>
    <w:next w:val="869"/>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9"/>
    <w:next w:val="869"/>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9"/>
    <w:next w:val="869"/>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9"/>
    <w:next w:val="869"/>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9"/>
    <w:next w:val="869"/>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9"/>
    <w:next w:val="869"/>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9"/>
    <w:next w:val="869"/>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eastAsia="宋体" w:cs="Times New Roman"/>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11"/>
    <w:basedOn w:val="882"/>
    <w:next w:val="869"/>
    <w:link w:val="869"/>
    <w:qFormat/>
    <w:pPr>
      <w:ind w:left="0" w:firstLine="420"/>
      <w:spacing w:after="0" w:line="360" w:lineRule="auto"/>
    </w:pPr>
    <w:rPr>
      <w:rFonts w:ascii="宋体" w:hAnsi="宋体" w:eastAsia="宋体" w:cs="Times New Roman"/>
      <w:szCs w:val="20"/>
    </w:rPr>
  </w:style>
  <w:style w:type="paragraph" w:styleId="882">
    <w:name w:val="正文文本缩进11"/>
    <w:basedOn w:val="869"/>
    <w:next w:val="883"/>
    <w:link w:val="869"/>
    <w:unhideWhenUsed/>
    <w:qFormat/>
    <w:pPr>
      <w:ind w:left="420"/>
      <w:spacing w:after="120"/>
    </w:pPr>
  </w:style>
  <w:style w:type="paragraph" w:styleId="883">
    <w:name w:val="寄信人地址1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qFormat/>
    <w:rPr>
      <w:rFonts w:ascii="Arial" w:hAnsi="Arial" w:eastAsia="幼圆" w:cs="Arial"/>
      <w:b/>
      <w:bCs/>
      <w:sz w:val="44"/>
      <w:szCs w:val="44"/>
    </w:rPr>
  </w:style>
  <w:style w:type="paragraph" w:styleId="886">
    <w:name w:val="正文缩进"/>
    <w:basedOn w:val="869"/>
    <w:next w:val="886"/>
    <w:link w:val="887"/>
    <w:qFormat/>
    <w:pPr>
      <w:ind w:firstLine="420"/>
    </w:pPr>
    <w:rPr>
      <w:szCs w:val="21"/>
    </w:rPr>
  </w:style>
  <w:style w:type="character" w:styleId="887">
    <w:name w:val="正文缩进 Char"/>
    <w:next w:val="887"/>
    <w:link w:val="886"/>
    <w:qFormat/>
    <w:rPr>
      <w:szCs w:val="21"/>
    </w:rPr>
  </w:style>
  <w:style w:type="character" w:styleId="888">
    <w:name w:val="标题 3 Char"/>
    <w:next w:val="888"/>
    <w:link w:val="872"/>
    <w:qFormat/>
    <w:rPr>
      <w:rFonts w:ascii="Times New Roman" w:hAnsi="Times New Roman" w:eastAsia="宋体" w:cs="Times New Roman"/>
      <w:b/>
      <w:bCs/>
      <w:sz w:val="32"/>
      <w:szCs w:val="32"/>
    </w:rPr>
  </w:style>
  <w:style w:type="character" w:styleId="889">
    <w:name w:val="标题 4 Char"/>
    <w:next w:val="889"/>
    <w:link w:val="873"/>
    <w:qFormat/>
    <w:rPr>
      <w:rFonts w:ascii="Arial" w:hAnsi="Arial" w:eastAsia="黑体" w:cs="Arial"/>
      <w:b/>
      <w:bCs/>
      <w:sz w:val="28"/>
      <w:szCs w:val="28"/>
    </w:rPr>
  </w:style>
  <w:style w:type="character" w:styleId="890">
    <w:name w:val="标题 5 Char"/>
    <w:next w:val="890"/>
    <w:link w:val="874"/>
    <w:qFormat/>
    <w:rPr>
      <w:rFonts w:ascii="宋体" w:hAnsi="Times New Roman" w:eastAsia="宋体" w:cs="Times New Roman"/>
      <w:color w:val="000000"/>
      <w:sz w:val="28"/>
      <w:szCs w:val="28"/>
    </w:rPr>
  </w:style>
  <w:style w:type="character" w:styleId="891">
    <w:name w:val="标题 6 Char"/>
    <w:next w:val="891"/>
    <w:link w:val="875"/>
    <w:qFormat/>
    <w:rPr>
      <w:rFonts w:ascii="Arial" w:hAnsi="Arial" w:eastAsia="黑体" w:cs="Times New Roman"/>
      <w:b/>
      <w:bCs/>
      <w:sz w:val="24"/>
      <w:szCs w:val="24"/>
    </w:rPr>
  </w:style>
  <w:style w:type="character" w:styleId="892">
    <w:name w:val="标题 7 Char"/>
    <w:next w:val="892"/>
    <w:link w:val="876"/>
    <w:qFormat/>
    <w:rPr>
      <w:rFonts w:ascii="Times New Roman" w:hAnsi="Times New Roman" w:eastAsia="宋体" w:cs="Times New Roman"/>
      <w:b/>
      <w:bCs/>
      <w:sz w:val="24"/>
      <w:szCs w:val="24"/>
    </w:rPr>
  </w:style>
  <w:style w:type="character" w:styleId="893">
    <w:name w:val="标题 8 Char"/>
    <w:next w:val="893"/>
    <w:link w:val="877"/>
    <w:qFormat/>
    <w:rPr>
      <w:rFonts w:ascii="Arial" w:hAnsi="Arial" w:eastAsia="黑体" w:cs="Times New Roman"/>
      <w:sz w:val="24"/>
      <w:szCs w:val="24"/>
    </w:rPr>
  </w:style>
  <w:style w:type="character" w:styleId="894">
    <w:name w:val="标题 9 Char"/>
    <w:next w:val="894"/>
    <w:link w:val="878"/>
    <w:qFormat/>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qFormat/>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Char"/>
    <w:basedOn w:val="879"/>
    <w:next w:val="900"/>
    <w:link w:val="899"/>
    <w:uiPriority w:val="99"/>
    <w:semiHidden/>
    <w:qFormat/>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Char"/>
    <w:next w:val="902"/>
    <w:link w:val="901"/>
    <w:qFormat/>
    <w:rPr>
      <w:rFonts w:ascii="仿宋_GB2312" w:hAnsi="Arial" w:eastAsia="仿宋_GB2312" w:cs="Times New Roman"/>
      <w:sz w:val="32"/>
      <w:szCs w:val="32"/>
    </w:rPr>
  </w:style>
  <w:style w:type="paragraph" w:styleId="903">
    <w:name w:val="正文文本"/>
    <w:basedOn w:val="869"/>
    <w:next w:val="903"/>
    <w:link w:val="904"/>
    <w:qFormat/>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unhideWhenUsed/>
    <w:qFormat/>
    <w:pPr>
      <w:ind w:left="420"/>
      <w:spacing w:after="120"/>
    </w:pPr>
  </w:style>
  <w:style w:type="character" w:styleId="906">
    <w:name w:val="正文文本缩进 Char"/>
    <w:basedOn w:val="879"/>
    <w:next w:val="906"/>
    <w:link w:val="905"/>
    <w:uiPriority w:val="99"/>
    <w:semiHidden/>
    <w:qFormat/>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qFormat/>
    <w:pPr>
      <w:ind w:left="100" w:hanging="200"/>
    </w:pPr>
    <w:rPr>
      <w:rFonts w:ascii="Times New Roman" w:hAnsi="Times New Roman" w:eastAsia="宋体" w:cs="Times New Roman"/>
      <w:szCs w:val="21"/>
    </w:rPr>
  </w:style>
  <w:style w:type="paragraph" w:styleId="909">
    <w:name w:val="索引 4"/>
    <w:basedOn w:val="869"/>
    <w:next w:val="869"/>
    <w:link w:val="869"/>
    <w:semiHidden/>
    <w:qFormat/>
    <w:pPr>
      <w:ind w:left="1260"/>
    </w:pPr>
    <w:rPr>
      <w:rFonts w:ascii="Calibri" w:hAnsi="Calibri" w:eastAsia="Calibri" w:cs="宋体"/>
      <w:sz w:val="20"/>
      <w:lang w:val="zh-CN"/>
    </w:rPr>
  </w:style>
  <w:style w:type="paragraph" w:styleId="910">
    <w:name w:val="目录 5"/>
    <w:basedOn w:val="869"/>
    <w:next w:val="869"/>
    <w:link w:val="869"/>
    <w:semiHidden/>
    <w:qFormat/>
    <w:pPr>
      <w:ind w:left="840"/>
      <w:jc w:val="left"/>
    </w:pPr>
    <w:rPr>
      <w:rFonts w:ascii="Times New Roman" w:hAnsi="Times New Roman" w:eastAsia="宋体" w:cs="Times New Roman"/>
      <w:szCs w:val="21"/>
    </w:rPr>
  </w:style>
  <w:style w:type="paragraph" w:styleId="911">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2">
    <w:name w:val="纯文本"/>
    <w:basedOn w:val="869"/>
    <w:next w:val="912"/>
    <w:link w:val="913"/>
    <w:qFormat/>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69"/>
    <w:next w:val="869"/>
    <w:link w:val="869"/>
    <w:semiHidden/>
    <w:qFormat/>
    <w:pPr>
      <w:ind w:left="1470"/>
      <w:jc w:val="left"/>
    </w:pPr>
    <w:rPr>
      <w:rFonts w:ascii="Times New Roman" w:hAnsi="Times New Roman" w:eastAsia="宋体" w:cs="Times New Roman"/>
      <w:szCs w:val="21"/>
    </w:rPr>
  </w:style>
  <w:style w:type="paragraph" w:styleId="915">
    <w:name w:val="日期"/>
    <w:basedOn w:val="869"/>
    <w:next w:val="869"/>
    <w:link w:val="916"/>
    <w:qFormat/>
    <w:rPr>
      <w:rFonts w:ascii="Times New Roman" w:hAnsi="Times New Roman" w:eastAsia="宋体" w:cs="Times New Roman"/>
      <w:sz w:val="24"/>
      <w:szCs w:val="24"/>
    </w:rPr>
  </w:style>
  <w:style w:type="character" w:styleId="916">
    <w:name w:val="日期 Char"/>
    <w:next w:val="916"/>
    <w:link w:val="915"/>
    <w:qFormat/>
    <w:rPr>
      <w:rFonts w:ascii="Times New Roman" w:hAnsi="Times New Roman" w:eastAsia="宋体" w:cs="Times New Roman"/>
      <w:sz w:val="24"/>
      <w:szCs w:val="24"/>
    </w:rPr>
  </w:style>
  <w:style w:type="paragraph" w:styleId="917">
    <w:name w:val="正文文本缩进 2"/>
    <w:basedOn w:val="869"/>
    <w:next w:val="917"/>
    <w:link w:val="918"/>
    <w:qFormat/>
    <w:pPr>
      <w:ind w:left="630" w:firstLine="645"/>
    </w:pPr>
    <w:rPr>
      <w:rFonts w:ascii="Arial" w:hAnsi="Arial" w:eastAsia="仿宋_GB2312" w:cs="Arial"/>
      <w:sz w:val="32"/>
      <w:szCs w:val="32"/>
    </w:rPr>
  </w:style>
  <w:style w:type="character" w:styleId="918">
    <w:name w:val="正文文本缩进 2 Char"/>
    <w:next w:val="918"/>
    <w:link w:val="917"/>
    <w:qFormat/>
    <w:rPr>
      <w:rFonts w:ascii="Arial" w:hAnsi="Arial" w:eastAsia="仿宋_GB2312" w:cs="Arial"/>
      <w:sz w:val="32"/>
      <w:szCs w:val="32"/>
    </w:rPr>
  </w:style>
  <w:style w:type="paragraph" w:styleId="919">
    <w:name w:val="批注框文本"/>
    <w:basedOn w:val="869"/>
    <w:next w:val="919"/>
    <w:link w:val="920"/>
    <w:semiHidden/>
    <w:rPr>
      <w:rFonts w:ascii="Times New Roman" w:hAnsi="Times New Roman" w:eastAsia="宋体" w:cs="Times New Roman"/>
      <w:sz w:val="18"/>
      <w:szCs w:val="18"/>
    </w:rPr>
  </w:style>
  <w:style w:type="character" w:styleId="920">
    <w:name w:val="批注框文本 Char"/>
    <w:next w:val="920"/>
    <w:link w:val="919"/>
    <w:semiHidden/>
    <w:qFormat/>
    <w:rPr>
      <w:rFonts w:ascii="Times New Roman" w:hAnsi="Times New Roman" w:eastAsia="宋体" w:cs="Times New Roman"/>
      <w:sz w:val="18"/>
      <w:szCs w:val="18"/>
    </w:rPr>
  </w:style>
  <w:style w:type="paragraph" w:styleId="921">
    <w:name w:val="页脚"/>
    <w:basedOn w:val="869"/>
    <w:next w:val="921"/>
    <w:link w:val="922"/>
    <w:qFormat/>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qFormat/>
    <w:rPr>
      <w:rFonts w:ascii="Times New Roman" w:hAnsi="Times New Roman" w:eastAsia="宋体" w:cs="Times New Roman"/>
      <w:sz w:val="18"/>
      <w:szCs w:val="18"/>
    </w:rPr>
  </w:style>
  <w:style w:type="paragraph" w:styleId="923">
    <w:name w:val="页眉"/>
    <w:basedOn w:val="869"/>
    <w:next w:val="923"/>
    <w:link w:val="92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69"/>
    <w:next w:val="869"/>
    <w:link w:val="869"/>
    <w:semiHidden/>
    <w:pPr>
      <w:ind w:left="630"/>
      <w:jc w:val="left"/>
    </w:pPr>
    <w:rPr>
      <w:rFonts w:ascii="Times New Roman" w:hAnsi="Times New Roman" w:eastAsia="宋体" w:cs="Times New Roman"/>
      <w:szCs w:val="21"/>
    </w:rPr>
  </w:style>
  <w:style w:type="paragraph" w:styleId="927">
    <w:name w:val="列表"/>
    <w:basedOn w:val="869"/>
    <w:next w:val="927"/>
    <w:link w:val="869"/>
    <w:qFormat/>
    <w:pPr>
      <w:ind w:left="200" w:hanging="200"/>
    </w:pPr>
    <w:rPr>
      <w:rFonts w:ascii="Times New Roman" w:hAnsi="Times New Roman" w:eastAsia="宋体" w:cs="Times New Roman"/>
      <w:szCs w:val="21"/>
    </w:rPr>
  </w:style>
  <w:style w:type="paragraph" w:styleId="928">
    <w:name w:val="目录 6"/>
    <w:basedOn w:val="869"/>
    <w:next w:val="869"/>
    <w:link w:val="869"/>
    <w:semiHidden/>
    <w:qFormat/>
    <w:pPr>
      <w:ind w:left="1050"/>
      <w:jc w:val="left"/>
    </w:pPr>
    <w:rPr>
      <w:rFonts w:ascii="Times New Roman" w:hAnsi="Times New Roman" w:eastAsia="宋体" w:cs="Times New Roman"/>
      <w:szCs w:val="21"/>
    </w:rPr>
  </w:style>
  <w:style w:type="paragraph" w:styleId="929">
    <w:name w:val="正文文本缩进 3"/>
    <w:basedOn w:val="869"/>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69"/>
    <w:next w:val="869"/>
    <w:link w:val="869"/>
    <w:semiHidden/>
    <w:qFormat/>
    <w:pPr>
      <w:ind w:left="840" w:hanging="420"/>
    </w:pPr>
    <w:rPr>
      <w:rFonts w:ascii="Times New Roman" w:hAnsi="Times New Roman" w:eastAsia="宋体" w:cs="Times New Roman"/>
      <w:szCs w:val="21"/>
    </w:rPr>
  </w:style>
  <w:style w:type="paragraph" w:styleId="932">
    <w:name w:val="目录 2"/>
    <w:basedOn w:val="869"/>
    <w:next w:val="869"/>
    <w:link w:val="869"/>
    <w:semiHidden/>
    <w:pPr>
      <w:ind w:left="210"/>
      <w:jc w:val="left"/>
    </w:pPr>
    <w:rPr>
      <w:rFonts w:ascii="Times New Roman" w:hAnsi="Times New Roman" w:eastAsia="宋体" w:cs="Times New Roman"/>
      <w:smallCaps/>
      <w:szCs w:val="24"/>
    </w:rPr>
  </w:style>
  <w:style w:type="paragraph" w:styleId="933">
    <w:name w:val="目录 9"/>
    <w:basedOn w:val="869"/>
    <w:next w:val="869"/>
    <w:link w:val="869"/>
    <w:semiHidden/>
    <w:pPr>
      <w:ind w:left="1680"/>
      <w:jc w:val="left"/>
    </w:pPr>
    <w:rPr>
      <w:rFonts w:ascii="Times New Roman" w:hAnsi="Times New Roman" w:eastAsia="宋体" w:cs="Times New Roman"/>
      <w:szCs w:val="21"/>
    </w:rPr>
  </w:style>
  <w:style w:type="paragraph" w:styleId="934">
    <w:name w:val="正文文本 2"/>
    <w:basedOn w:val="869"/>
    <w:next w:val="934"/>
    <w:link w:val="935"/>
    <w:qFormat/>
    <w:pPr>
      <w:jc w:val="center"/>
      <w:widowControl/>
    </w:pPr>
    <w:rPr>
      <w:rFonts w:ascii="楷体_GB2312" w:hAnsi="Times New Roman" w:eastAsia="楷体_GB2312" w:cs="Times New Roman"/>
      <w:sz w:val="28"/>
      <w:szCs w:val="28"/>
    </w:rPr>
  </w:style>
  <w:style w:type="character" w:styleId="935">
    <w:name w:val="正文文本 2 Char"/>
    <w:next w:val="935"/>
    <w:link w:val="934"/>
    <w:qFormat/>
    <w:rPr>
      <w:rFonts w:ascii="楷体_GB2312" w:hAnsi="Times New Roman" w:eastAsia="楷体_GB2312" w:cs="Times New Roman"/>
      <w:sz w:val="28"/>
      <w:szCs w:val="28"/>
    </w:rPr>
  </w:style>
  <w:style w:type="paragraph" w:styleId="936">
    <w:name w:val="普通(网站)"/>
    <w:basedOn w:val="869"/>
    <w:next w:val="936"/>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7">
    <w:name w:val="索引 1"/>
    <w:basedOn w:val="869"/>
    <w:next w:val="869"/>
    <w:link w:val="869"/>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qFormat/>
    <w:rPr>
      <w:rFonts w:ascii="Times New Roman" w:hAnsi="Times New Roman" w:eastAsia="宋体" w:cs="Times New Roman"/>
      <w:b/>
      <w:bCs/>
      <w:szCs w:val="21"/>
    </w:rPr>
  </w:style>
  <w:style w:type="character" w:styleId="939">
    <w:name w:val="批注主题 Char"/>
    <w:next w:val="939"/>
    <w:link w:val="938"/>
    <w:semiHidden/>
    <w:qFormat/>
    <w:rPr>
      <w:rFonts w:ascii="Times New Roman" w:hAnsi="Times New Roman" w:eastAsia="宋体" w:cs="Times New Roman"/>
      <w:b/>
      <w:bCs/>
      <w:szCs w:val="21"/>
    </w:rPr>
  </w:style>
  <w:style w:type="paragraph" w:styleId="940">
    <w:name w:val="正文首行缩进"/>
    <w:basedOn w:val="869"/>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qFormat/>
    <w:rPr>
      <w:rFonts w:ascii="仿宋_GB2312" w:hAnsi="Times New Roman" w:eastAsia="仿宋_GB2312" w:cs="Times New Roman"/>
      <w:sz w:val="30"/>
      <w:szCs w:val="30"/>
    </w:rPr>
  </w:style>
  <w:style w:type="paragraph" w:styleId="942">
    <w:name w:val="正文首行缩进 2"/>
    <w:basedOn w:val="905"/>
    <w:next w:val="869"/>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0"/>
    <w:next w:val="944"/>
    <w:link w:val="869"/>
    <w:qFormat/>
    <w:pPr>
      <w:jc w:val="both"/>
      <w:widowControl w:val="off"/>
    </w:pPr>
    <w:rPr>
      <w:rFonts w:ascii="Times New Roman" w:hAnsi="Times New Roman" w:eastAsia="宋体" w:cs="Times New Roman"/>
      <w:sz w:val="20"/>
      <w:szCs w:val="20"/>
    </w:rPr>
    <w:tblPr/>
  </w:style>
  <w:style w:type="character" w:styleId="945">
    <w:name w:val="要点"/>
    <w:next w:val="945"/>
    <w:link w:val="869"/>
    <w:qFormat/>
    <w:rPr>
      <w:b/>
      <w:bCs/>
    </w:rPr>
  </w:style>
  <w:style w:type="character" w:styleId="946">
    <w:name w:val="页码"/>
    <w:next w:val="946"/>
    <w:link w:val="869"/>
    <w:qFormat/>
  </w:style>
  <w:style w:type="character" w:styleId="947">
    <w:name w:val="已访问的超链接"/>
    <w:next w:val="947"/>
    <w:link w:val="869"/>
    <w:rPr>
      <w:color w:val="800080"/>
      <w:u w:val="single"/>
    </w:rPr>
  </w:style>
  <w:style w:type="character" w:styleId="948">
    <w:name w:val="强调"/>
    <w:next w:val="948"/>
    <w:link w:val="869"/>
    <w:qFormat/>
    <w:rPr>
      <w:i/>
    </w:rPr>
  </w:style>
  <w:style w:type="character" w:styleId="949">
    <w:name w:val="超链接"/>
    <w:next w:val="949"/>
    <w:link w:val="869"/>
    <w:rPr>
      <w:color w:val="0000ff"/>
      <w:u w:val="single"/>
    </w:rPr>
  </w:style>
  <w:style w:type="character" w:styleId="950">
    <w:name w:val="批注引用"/>
    <w:next w:val="950"/>
    <w:link w:val="869"/>
    <w:semiHidden/>
    <w:qFormat/>
    <w:rPr>
      <w:sz w:val="21"/>
      <w:szCs w:val="21"/>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qFormat/>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character" w:styleId="956">
    <w:name w:val="15"/>
    <w:basedOn w:val="879"/>
    <w:next w:val="956"/>
    <w:link w:val="869"/>
    <w:rPr>
      <w:rFonts w:ascii="Times New Roman" w:hAnsi="Times New Roman" w:cs="Times New Roman"/>
    </w:rPr>
  </w:style>
  <w:style w:type="paragraph" w:styleId="957">
    <w:name w:val="Char Char Char Char"/>
    <w:basedOn w:val="897"/>
    <w:next w:val="957"/>
    <w:link w:val="869"/>
    <w:pPr>
      <w:spacing w:line="360" w:lineRule="auto"/>
    </w:pPr>
    <w:rPr>
      <w:rFonts w:ascii="Tahoma" w:hAnsi="Tahoma"/>
      <w:sz w:val="24"/>
      <w:szCs w:val="24"/>
    </w:rPr>
  </w:style>
  <w:style w:type="paragraph" w:styleId="958">
    <w:name w:val="索引 41"/>
    <w:basedOn w:val="869"/>
    <w:next w:val="869"/>
    <w:link w:val="869"/>
    <w:semiHidden/>
    <w:qFormat/>
    <w:pPr>
      <w:ind w:left="1260"/>
    </w:pPr>
    <w:rPr>
      <w:rFonts w:ascii="Calibri" w:hAnsi="Calibri" w:eastAsia="Calibri" w:cs="宋体"/>
      <w:sz w:val="20"/>
      <w:lang w:val="zh-CN"/>
    </w:rPr>
  </w:style>
  <w:style w:type="paragraph" w:styleId="959">
    <w:name w:val="font5"/>
    <w:basedOn w:val="869"/>
    <w:next w:val="959"/>
    <w:link w:val="869"/>
    <w:pPr>
      <w:jc w:val="left"/>
      <w:spacing w:before="100" w:beforeAutospacing="1" w:after="100" w:afterAutospacing="1"/>
      <w:widowControl/>
    </w:pPr>
    <w:rPr>
      <w:rFonts w:hint="eastAsia" w:ascii="宋体" w:hAnsi="宋体" w:eastAsia="宋体" w:cs="Times New Roman"/>
      <w:sz w:val="28"/>
      <w:szCs w:val="28"/>
    </w:rPr>
  </w:style>
  <w:style w:type="paragraph" w:styleId="960">
    <w:name w:val="普通 (Web)"/>
    <w:basedOn w:val="869"/>
    <w:next w:val="960"/>
    <w:link w:val="869"/>
    <w:pPr>
      <w:jc w:val="left"/>
      <w:spacing w:before="100" w:beforeAutospacing="1" w:after="100" w:afterAutospacing="1"/>
      <w:widowControl/>
    </w:pPr>
    <w:rPr>
      <w:rFonts w:ascii="宋体" w:hAnsi="宋体" w:eastAsia="宋体" w:cs="Times New Roman"/>
      <w:sz w:val="24"/>
      <w:szCs w:val="24"/>
    </w:rPr>
  </w:style>
  <w:style w:type="paragraph" w:styleId="961">
    <w:name w:val=" Char Char Char Char Char Char Char Char"/>
    <w:basedOn w:val="869"/>
    <w:next w:val="961"/>
    <w:link w:val="869"/>
    <w:qFormat/>
    <w:pPr>
      <w:jc w:val="left"/>
      <w:spacing w:after="160" w:line="240" w:lineRule="exact"/>
      <w:widowControl/>
    </w:pPr>
    <w:rPr>
      <w:rFonts w:ascii="Verdana" w:hAnsi="Verdana" w:eastAsia="宋体" w:cs="Times New Roman"/>
      <w:sz w:val="20"/>
      <w:szCs w:val="20"/>
      <w:lang w:eastAsia="en-US"/>
    </w:rPr>
  </w:style>
  <w:style w:type="paragraph" w:styleId="962">
    <w:name w:val="_Style 112"/>
    <w:next w:val="962"/>
    <w:link w:val="869"/>
    <w:uiPriority w:val="99"/>
    <w:semiHidden/>
    <w:rPr>
      <w:rFonts w:ascii="Times New Roman" w:hAnsi="Times New Roman" w:eastAsia="宋体" w:cs="Times New Roman"/>
      <w:sz w:val="21"/>
      <w:szCs w:val="21"/>
      <w:lang w:val="en-US" w:eastAsia="zh-CN" w:bidi="ar-SA"/>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Char Char Char Char Char Char"/>
    <w:basedOn w:val="869"/>
    <w:next w:val="965"/>
    <w:link w:val="869"/>
    <w:qFormat/>
    <w:pPr>
      <w:spacing w:line="360" w:lineRule="auto"/>
    </w:pPr>
    <w:rPr>
      <w:rFonts w:ascii="Times New Roman" w:hAnsi="Times New Roman" w:eastAsia="宋体" w:cs="Times New Roman"/>
      <w:sz w:val="24"/>
      <w:szCs w:val="20"/>
    </w:rPr>
  </w:style>
  <w:style w:type="paragraph" w:styleId="966">
    <w:name w:val="xl26"/>
    <w:basedOn w:val="869"/>
    <w:next w:val="966"/>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name w:val="正文文本首行缩进 2"/>
    <w:basedOn w:val="969"/>
    <w:next w:val="968"/>
    <w:link w:val="869"/>
    <w:qFormat/>
    <w:pPr>
      <w:ind w:left="0" w:firstLine="420"/>
      <w:spacing w:after="0" w:line="360" w:lineRule="auto"/>
    </w:pPr>
    <w:rPr>
      <w:rFonts w:ascii="宋体" w:hAnsi="宋体"/>
      <w:sz w:val="20"/>
      <w:szCs w:val="20"/>
      <w:lang w:val="en-US" w:eastAsia="en-US"/>
    </w:rPr>
  </w:style>
  <w:style w:type="paragraph" w:styleId="969">
    <w:name w:val="正文文本缩进1"/>
    <w:basedOn w:val="869"/>
    <w:next w:val="970"/>
    <w:link w:val="869"/>
    <w:unhideWhenUsed/>
    <w:qFormat/>
    <w:pPr>
      <w:ind w:left="420"/>
      <w:spacing w:after="120"/>
    </w:pPr>
  </w:style>
  <w:style w:type="paragraph" w:styleId="970">
    <w:name w:val="寄信人地址1"/>
    <w:basedOn w:val="869"/>
    <w:next w:val="970"/>
    <w:link w:val="869"/>
    <w:qFormat/>
    <w:rPr>
      <w:rFonts w:ascii="Arial" w:hAnsi="Arial" w:eastAsia="宋体" w:cs="宋体"/>
    </w:rPr>
  </w:style>
  <w:style w:type="paragraph" w:styleId="971">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2">
    <w:name w:val="xl24"/>
    <w:basedOn w:val="869"/>
    <w:next w:val="97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样式1"/>
    <w:basedOn w:val="869"/>
    <w:next w:val="973"/>
    <w:link w:val="869"/>
    <w:pPr>
      <w:numPr>
        <w:ilvl w:val="0"/>
        <w:numId w:val="3"/>
      </w:numPr>
      <w:tabs>
        <w:tab w:val="left" w:pos="709" w:leader="none"/>
      </w:tabs>
    </w:pPr>
    <w:rPr>
      <w:rFonts w:ascii="宋体" w:hAnsi="宋体" w:eastAsia="宋体" w:cs="Times New Roman"/>
      <w:szCs w:val="21"/>
    </w:rPr>
  </w:style>
  <w:style w:type="paragraph" w:styleId="974">
    <w:name w:val="Char Char Char Char Char Char Char Char"/>
    <w:basedOn w:val="869"/>
    <w:next w:val="974"/>
    <w:link w:val="869"/>
    <w:qFormat/>
    <w:pPr>
      <w:jc w:val="left"/>
      <w:spacing w:after="160" w:line="240" w:lineRule="exact"/>
      <w:widowControl/>
    </w:pPr>
    <w:rPr>
      <w:rFonts w:ascii="Verdana" w:hAnsi="Verdana" w:eastAsia="宋体" w:cs="Times New Roman"/>
      <w:sz w:val="20"/>
      <w:szCs w:val="20"/>
      <w:lang w:eastAsia="en-US"/>
    </w:rPr>
  </w:style>
  <w:style w:type="paragraph" w:styleId="97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xl27"/>
    <w:basedOn w:val="869"/>
    <w:next w:val="976"/>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30"/>
    <w:basedOn w:val="869"/>
    <w:next w:val="977"/>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78">
    <w:name w:val="纯文本1"/>
    <w:basedOn w:val="869"/>
    <w:next w:val="978"/>
    <w:link w:val="869"/>
    <w:qFormat/>
    <w:rPr>
      <w:rFonts w:ascii="宋体" w:hAnsi="Courier New" w:cs="Courier New"/>
    </w:rPr>
  </w:style>
  <w:style w:type="paragraph" w:styleId="979">
    <w:name w:val="xl29"/>
    <w:basedOn w:val="869"/>
    <w:next w:val="979"/>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4"/>
    <w:basedOn w:val="869"/>
    <w:next w:val="929"/>
    <w:link w:val="869"/>
    <w:qFormat/>
    <w:pPr>
      <w:ind w:firstLine="420"/>
      <w:spacing w:line="360" w:lineRule="auto"/>
    </w:pPr>
    <w:rPr>
      <w:rFonts w:ascii="Times New Roman" w:hAnsi="Times New Roman" w:eastAsia="宋体" w:cs="Times New Roman"/>
      <w:color w:val="ff0000"/>
      <w:sz w:val="24"/>
      <w:szCs w:val="24"/>
    </w:rPr>
  </w:style>
  <w:style w:type="paragraph" w:styleId="981">
    <w:name w:val="正文文本 211"/>
    <w:basedOn w:val="869"/>
    <w:next w:val="981"/>
    <w:link w:val="869"/>
    <w:uiPriority w:val="99"/>
    <w:qFormat/>
    <w:pPr>
      <w:jc w:val="center"/>
    </w:pPr>
    <w:rPr>
      <w:b/>
      <w:bCs/>
      <w:sz w:val="20"/>
      <w:szCs w:val="20"/>
    </w:rPr>
  </w:style>
  <w:style w:type="paragraph" w:styleId="982">
    <w:name w:val="No Spacing"/>
    <w:next w:val="982"/>
    <w:link w:val="869"/>
    <w:uiPriority w:val="99"/>
    <w:qFormat/>
    <w:pPr>
      <w:jc w:val="both"/>
      <w:widowControl w:val="off"/>
    </w:pPr>
    <w:rPr>
      <w:rFonts w:ascii="Times New Roman" w:hAnsi="Times New Roman" w:eastAsia="宋体" w:cs="Times New Roman"/>
      <w:sz w:val="21"/>
      <w:szCs w:val="21"/>
      <w:lang w:val="en-US" w:eastAsia="zh-CN" w:bidi="ar-SA"/>
    </w:rPr>
  </w:style>
  <w:style w:type="paragraph" w:styleId="983">
    <w:name w:val="Body Text(ch)"/>
    <w:basedOn w:val="869"/>
    <w:next w:val="903"/>
    <w:link w:val="869"/>
    <w:qFormat/>
    <w:pPr>
      <w:spacing w:after="120"/>
    </w:pPr>
    <w:rPr>
      <w:rFonts w:ascii="宋体" w:hAnsi="Arial" w:eastAsia="宋体" w:cs="Times New Roman"/>
      <w:bCs/>
      <w:iCs/>
      <w:szCs w:val="24"/>
    </w:rPr>
  </w:style>
  <w:style w:type="paragraph" w:styleId="984">
    <w:name w:val="正文首行缩进 21"/>
    <w:basedOn w:val="969"/>
    <w:next w:val="869"/>
    <w:link w:val="869"/>
    <w:qFormat/>
    <w:pPr>
      <w:ind w:left="0" w:firstLine="420"/>
      <w:spacing w:after="0" w:line="360" w:lineRule="auto"/>
    </w:pPr>
    <w:rPr>
      <w:rFonts w:ascii="宋体" w:hAnsi="宋体"/>
      <w:sz w:val="20"/>
      <w:szCs w:val="20"/>
    </w:rPr>
  </w:style>
  <w:style w:type="paragraph" w:styleId="985">
    <w:name w:val=" Char Char Char Char"/>
    <w:basedOn w:val="897"/>
    <w:next w:val="985"/>
    <w:link w:val="869"/>
    <w:pPr>
      <w:spacing w:line="360" w:lineRule="auto"/>
    </w:pPr>
    <w:rPr>
      <w:rFonts w:ascii="Tahoma" w:hAnsi="Tahoma"/>
      <w:sz w:val="24"/>
      <w:szCs w:val="24"/>
    </w:rPr>
  </w:style>
  <w:style w:type="paragraph" w:styleId="986">
    <w:name w:val="普通正文"/>
    <w:basedOn w:val="869"/>
    <w:next w:val="986"/>
    <w:link w:val="869"/>
    <w:qFormat/>
    <w:pPr>
      <w:ind w:firstLine="480"/>
      <w:jc w:val="left"/>
      <w:spacing w:before="120" w:after="120" w:line="360" w:lineRule="auto"/>
    </w:pPr>
    <w:rPr>
      <w:rFonts w:ascii="Arial" w:hAnsi="Arial" w:eastAsia="宋体" w:cs="Times New Roman"/>
      <w:sz w:val="24"/>
      <w:szCs w:val="24"/>
    </w:rPr>
  </w:style>
  <w:style w:type="paragraph" w:styleId="987">
    <w:name w:val="Char"/>
    <w:basedOn w:val="869"/>
    <w:next w:val="987"/>
    <w:link w:val="869"/>
    <w:pPr>
      <w:ind w:firstLine="200"/>
      <w:tabs>
        <w:tab w:val="left" w:pos="360" w:leader="none"/>
      </w:tabs>
    </w:pPr>
    <w:rPr>
      <w:rFonts w:ascii="Times New Roman" w:hAnsi="Times New Roman" w:eastAsia="宋体" w:cs="Times New Roman"/>
      <w:sz w:val="28"/>
      <w:szCs w:val="30"/>
    </w:rPr>
  </w:style>
  <w:style w:type="paragraph" w:styleId="988">
    <w:name w:val=" Char"/>
    <w:basedOn w:val="897"/>
    <w:next w:val="988"/>
    <w:link w:val="869"/>
    <w:rPr>
      <w:rFonts w:ascii="Tahoma" w:hAnsi="Tahoma"/>
      <w:sz w:val="24"/>
      <w:szCs w:val="24"/>
    </w:rPr>
  </w:style>
  <w:style w:type="paragraph" w:styleId="989">
    <w:name w:val="table_1stline"/>
    <w:basedOn w:val="869"/>
    <w:next w:val="989"/>
    <w:link w:val="869"/>
    <w:pPr>
      <w:jc w:val="left"/>
      <w:spacing w:before="120"/>
      <w:widowControl/>
    </w:pPr>
    <w:rPr>
      <w:rFonts w:ascii="Times New Roman" w:hAnsi="Times New Roman" w:eastAsia="宋体" w:cs="Times New Roman"/>
      <w:bCs/>
      <w:sz w:val="20"/>
      <w:szCs w:val="20"/>
      <w:lang w:val="de-DE" w:eastAsia="de-DE"/>
    </w:rPr>
  </w:style>
  <w:style w:type="paragraph" w:styleId="990">
    <w:name w:val="table_lines"/>
    <w:basedOn w:val="869"/>
    <w:next w:val="990"/>
    <w:link w:val="869"/>
    <w:qFormat/>
    <w:pPr>
      <w:jc w:val="left"/>
      <w:widowControl/>
    </w:pPr>
    <w:rPr>
      <w:rFonts w:ascii="Times New Roman" w:hAnsi="Times New Roman" w:eastAsia="宋体" w:cs="Times New Roman"/>
      <w:sz w:val="20"/>
      <w:szCs w:val="20"/>
      <w:lang w:val="de-DE" w:eastAsia="de-DE"/>
    </w:rPr>
  </w:style>
  <w:style w:type="paragraph" w:styleId="991">
    <w:name w:val="List Paragraph"/>
    <w:basedOn w:val="869"/>
    <w:next w:val="991"/>
    <w:link w:val="869"/>
    <w:qFormat/>
    <w:pPr>
      <w:contextualSpacing/>
      <w:ind w:left="720"/>
      <w:jc w:val="left"/>
      <w:widowControl/>
    </w:pPr>
    <w:rPr>
      <w:rFonts w:ascii="Calibri" w:hAnsi="Calibri" w:eastAsia="宋体" w:cs="Times New Roman"/>
      <w:sz w:val="24"/>
      <w:szCs w:val="24"/>
      <w:lang w:eastAsia="en-US" w:bidi="en-US"/>
    </w:rPr>
  </w:style>
  <w:style w:type="paragraph" w:styleId="992">
    <w:name w:val="font6"/>
    <w:basedOn w:val="869"/>
    <w:next w:val="99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93">
    <w:name w:val="xl25"/>
    <w:basedOn w:val="869"/>
    <w:next w:val="99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xl28"/>
    <w:basedOn w:val="869"/>
    <w:next w:val="994"/>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5">
    <w:name w:val="正文文本1"/>
    <w:basedOn w:val="869"/>
    <w:next w:val="869"/>
    <w:link w:val="869"/>
    <w:semiHidden/>
    <w:qFormat/>
    <w:rPr>
      <w:rFonts w:ascii="Arial" w:hAnsi="Arial" w:eastAsia="Arial" w:cs="Arial"/>
      <w:sz w:val="21"/>
      <w:szCs w:val="21"/>
      <w:lang w:val="en-US" w:eastAsia="en-US" w:bidi="ar-SA"/>
    </w:rPr>
  </w:style>
  <w:style w:type="paragraph" w:styleId="996">
    <w:name w:val="正文文本12"/>
    <w:basedOn w:val="869"/>
    <w:next w:val="996"/>
    <w:link w:val="869"/>
    <w:uiPriority w:val="1"/>
    <w:qFormat/>
    <w:pPr>
      <w:ind w:left="120"/>
    </w:pPr>
    <w:rPr>
      <w:rFonts w:ascii="宋体" w:hAnsi="宋体" w:eastAsia="宋体" w:cs="宋体"/>
      <w:sz w:val="21"/>
      <w:szCs w:val="21"/>
      <w:lang w:val="zh-CN" w:eastAsia="zh-CN" w:bidi="zh-CN"/>
    </w:rPr>
  </w:style>
  <w:style w:type="table" w:styleId="997">
    <w:name w:val="普通表格1"/>
    <w:next w:val="997"/>
    <w:link w:val="869"/>
    <w:uiPriority w:val="99"/>
    <w:unhideWhenUsed/>
    <w:qFormat/>
    <w:tblPr/>
  </w:style>
  <w:style w:type="table" w:styleId="998">
    <w:name w:val="Table Normal"/>
    <w:next w:val="998"/>
    <w:link w:val="869"/>
    <w:qFormat/>
    <w:tblPr/>
  </w:style>
  <w:style w:type="table" w:styleId="999">
    <w:name w:val="网格型1"/>
    <w:basedOn w:val="997"/>
    <w:next w:val="999"/>
    <w:link w:val="869"/>
    <w:qFormat/>
    <w:pPr>
      <w:jc w:val="both"/>
      <w:widowControl w:val="off"/>
    </w:pPr>
    <w:tbl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3</cp:revision>
  <dcterms:created xsi:type="dcterms:W3CDTF">2023-03-27T07:28:00Z</dcterms:created>
  <dcterms:modified xsi:type="dcterms:W3CDTF">2026-04-29T06:39:38Z</dcterms:modified>
</cp:coreProperties>
</file>