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48"/>
          <w:szCs w:val="16"/>
          <w:highlight w:val="none"/>
        </w:rPr>
        <w:t xml:space="preserve">南京市栖霞区疾病预防控制中心实验室微生物质谱仪采购项目</w:t>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0" w:lineRule="atLeast"/>
        <w:rPr>
          <w:rFonts w:hint="eastAsia" w:ascii="宋体" w:hAnsi="宋体" w:eastAsia="宋体" w:cs="宋体"/>
          <w:b/>
          <w:color w:val="auto"/>
          <w:sz w:val="96"/>
          <w:szCs w:val="72"/>
          <w:highlight w:val="none"/>
        </w:rPr>
      </w:pPr>
      <w:r>
        <w:rPr>
          <w:rFonts w:hint="eastAsia" w:ascii="宋体" w:hAnsi="宋体" w:eastAsia="宋体" w:cs="宋体"/>
          <w:b/>
          <w:color w:val="auto"/>
          <w:sz w:val="96"/>
          <w:szCs w:val="72"/>
          <w:highlight w:val="none"/>
        </w:rPr>
      </w:r>
      <w:r/>
    </w:p>
    <w:p>
      <w:pPr>
        <w:jc w:val="center"/>
        <w:spacing w:line="0" w:lineRule="atLeast"/>
        <w:rPr>
          <w:rFonts w:hint="eastAsia" w:ascii="宋体" w:hAnsi="宋体" w:eastAsia="宋体" w:cs="宋体"/>
          <w:color w:val="auto"/>
          <w:sz w:val="144"/>
          <w:highlight w:val="none"/>
        </w:rPr>
      </w:pPr>
      <w:r>
        <w:rPr>
          <w:rFonts w:hint="eastAsia" w:ascii="宋体" w:hAnsi="宋体" w:eastAsia="宋体" w:cs="宋体"/>
          <w:b/>
          <w:color w:val="auto"/>
          <w:sz w:val="96"/>
          <w:szCs w:val="72"/>
          <w:highlight w:val="none"/>
        </w:rPr>
        <w:t xml:space="preserve">公开招标文件</w:t>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94"/>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项目编号：JSZC-320113-QZDG-G2026-0006</w:t>
      </w:r>
      <w:r/>
    </w:p>
    <w:p>
      <w:pPr>
        <w:spacing w:line="237"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采购人：南京市栖霞区疾病预防控制中心</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代理人：南京勤泽道工程项目管理有限公司</w:t>
      </w:r>
      <w:r/>
    </w:p>
    <w:p>
      <w:pPr>
        <w:jc w:val="center"/>
        <w:spacing w:line="360" w:lineRule="auto"/>
        <w:rPr>
          <w:rFonts w:hint="eastAsia" w:ascii="宋体" w:hAnsi="宋体" w:cs="仿宋"/>
          <w:b/>
          <w:bCs/>
          <w:color w:val="auto"/>
          <w:sz w:val="32"/>
          <w:szCs w:val="32"/>
          <w:highlight w:val="none"/>
        </w:rPr>
      </w:pPr>
      <w:r/>
      <w:bookmarkStart w:id="0" w:name="page2"/>
      <w:r/>
      <w:bookmarkEnd w:id="0"/>
      <w:r>
        <w:rPr>
          <w:rFonts w:hint="eastAsia" w:ascii="宋体" w:hAnsi="宋体" w:cs="仿宋"/>
          <w:b/>
          <w:bCs/>
          <w:color w:val="auto"/>
          <w:sz w:val="32"/>
          <w:szCs w:val="32"/>
          <w:highlight w:val="none"/>
        </w:rPr>
        <w:t xml:space="preserve">二〇二六年五月</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lang w:val="zh-CN"/>
        </w:rPr>
        <w:sectPr>
          <w:footnotePr/>
          <w:endnotePr/>
          <w:type w:val="nextPage"/>
          <w:pgSz w:w="11900" w:h="16838" w:orient="portrait"/>
          <w:pgMar w:top="1440" w:right="1304" w:bottom="1440" w:left="1304" w:header="0" w:footer="567" w:gutter="0"/>
          <w:pgNumType w:start="1"/>
          <w:cols w:num="1" w:sep="0" w:space="720" w:equalWidth="1"/>
          <w:docGrid w:linePitch="360"/>
        </w:sectPr>
      </w:pPr>
      <w:r>
        <w:rPr>
          <w:rFonts w:hint="eastAsia" w:ascii="宋体" w:hAnsi="宋体" w:eastAsia="宋体" w:cs="宋体"/>
          <w:color w:val="auto"/>
          <w:highlight w:val="none"/>
          <w:lang w:val="zh-CN"/>
        </w:rPr>
      </w:r>
      <w:r/>
    </w:p>
    <w:p>
      <w:pPr>
        <w:numPr>
          <w:ilvl w:val="0"/>
          <w:numId w:val="1"/>
        </w:numPr>
        <w:jc w:val="cente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招标公告</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南京市栖霞区疾病预防控制中心实验室微生物质谱仪采购项目JSZC-320113-QZDG-G2026-0006的潜在供应商应在江苏政府采购网“苏采云”系统获取招标文件，并于2026-</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 14</w:t>
      </w:r>
      <w:r>
        <w:rPr>
          <w:rFonts w:hint="eastAsia" w:ascii="宋体" w:hAnsi="宋体" w:eastAsia="宋体" w:cs="宋体"/>
          <w:color w:val="auto"/>
          <w:sz w:val="24"/>
          <w:highlight w:val="none"/>
        </w:rPr>
        <w:t xml:space="preserve">：00（北京时间）前递交投标文件。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项目编号：JSZC-320113-QZDG-G2026-0006</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项目名称：南京市栖霞区疾病预防控制中心实验室微生物质谱仪采购项目</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预算金额：170万元</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rPr>
        <w:t xml:space="preserve">170万元</w:t>
      </w:r>
      <w:r>
        <w:rPr>
          <w:rFonts w:hint="eastAsia" w:ascii="宋体" w:hAnsi="宋体" w:eastAsia="宋体" w:cs="宋体"/>
          <w:color w:val="auto"/>
          <w:sz w:val="24"/>
          <w:highlight w:val="none"/>
        </w:rPr>
        <w:t xml:space="preserve">，供应商报价超过最高限价的作无效标处理。</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采购需求：为提升突发公共卫生事件应急处置能力和日常检测效率、节省试剂耗材及人力成本，缩短检测时间，拟购置一套全自动微生物质谱仪，具体详见招标文件。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合同履行期限：详见招标文件。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iCs/>
          <w:color w:val="auto"/>
          <w:sz w:val="24"/>
          <w:highlight w:val="none"/>
        </w:rPr>
        <w:t xml:space="preserve">是/否</w:t>
      </w:r>
      <w:r>
        <w:rPr>
          <w:rFonts w:hint="eastAsia" w:ascii="宋体" w:hAnsi="宋体" w:eastAsia="宋体" w:cs="宋体"/>
          <w:color w:val="auto"/>
          <w:sz w:val="24"/>
          <w:highlight w:val="none"/>
        </w:rPr>
        <w:t xml:space="preserve">）接受联合体投标：否。</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二、申请人的资格要求：</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1.符合《中华人民共和国政府采购法》第二十二条规定：</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（1）具有独立承担民事责任的能力(提供法人或者其他组织的营业执照，自然人的身份证明，复印件加盖公章)；</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（2）具有良好的商业信誉和健全的财务会计制度(提供参加本次采购活动前半年任意一个月的会计报表或提供2024年度的财务报告，或投标截止时间前六个月内银行出具的资信证明，成立不满一个月不需提供)；</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（3）具有履行合同所必需的设备和专业技术能力的书面声明（供应商根据履行采购项目合同需要，提供履行合同所必需的设备和专业技术能力的证明材料）；</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（4）具有依法缴纳税收和社会保障资金的良好记录（提供参加本次政府采购活动前缴纳税收的凭据；并提供缴纳社会保险的凭据（专用收据或社会保险缴纳清单），成立不满一个月不需提供）；</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（5）参加政府采购活动前三年内，在经营活动中没有重大违法记录（格式见附件）；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（6）法律、行政法规规定的其他条件：无。</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投标人须提供有效的医疗器械产品注册证，投标时需提供复印件加盖公章；</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2）若投标供应商为代理商，须具有药监部门颁发的《医疗器械经营许可证》或《医疗器械经营备案凭证》，投标时需提供复印件加盖公章；</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3）若投标供应商为生产商，须具有药监局颁发的《医疗器械生产许可证》或《医疗器械经营备案凭证》，投标时需提供复印件加盖公章。</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1、时间：自招标文件公告发布之日起5个工作日</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2、地点：江苏政府采购网</w:t>
      </w:r>
      <w:r/>
    </w:p>
    <w:p>
      <w:pPr>
        <w:ind w:firstLine="482"/>
        <w:spacing w:line="324"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 xml:space="preserve">3、方式：网上下载。</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四、提交投标文件截止时间、开标时间和地点</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1、提交投标文件截止时间、开标时间：2026年</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14</w:t>
      </w:r>
      <w:r>
        <w:rPr>
          <w:rFonts w:hint="eastAsia" w:ascii="宋体" w:hAnsi="宋体" w:eastAsia="宋体" w:cs="宋体"/>
          <w:color w:val="auto"/>
          <w:sz w:val="24"/>
          <w:highlight w:val="none"/>
        </w:rPr>
        <w:t xml:space="preserve">:00（北京时间）</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2、地点：“苏采云”网上开标大厅（网址：http://jszfcg.jsczt.cn/）</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五、公告期限</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六、其他补充事宜</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本项目（是/否）接受进口设备：否</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2、拒绝下述供应商参加本次采购活动：</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（1）供应商单位负责人为同一人或者存在直接控股、管理关系的不同供应商，不得参加同一合同项下的政府采购活动。</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（2）供应商被“信用中国”网站、“中国政府采购网”网站、</w:t>
      </w:r>
      <w:r>
        <w:rPr>
          <w:rFonts w:hint="eastAsia" w:ascii="宋体" w:hAnsi="宋体" w:eastAsia="宋体" w:cs="宋体"/>
          <w:bCs/>
          <w:color w:val="auto"/>
          <w:sz w:val="24"/>
          <w:highlight w:val="none"/>
        </w:rPr>
        <w:t xml:space="preserve">“信用江苏”</w:t>
      </w:r>
      <w:r>
        <w:rPr>
          <w:rFonts w:hint="eastAsia" w:ascii="宋体" w:hAnsi="宋体" w:eastAsia="宋体" w:cs="宋体"/>
          <w:color w:val="auto"/>
          <w:sz w:val="24"/>
          <w:highlight w:val="none"/>
        </w:rPr>
        <w:t xml:space="preserve">列入失信被执行人、重大税收违法案件当事人名单、政府采购严重违法失信行为记录名单。</w:t>
      </w:r>
      <w:r/>
    </w:p>
    <w:p>
      <w:pPr>
        <w:ind w:firstLine="480"/>
        <w:spacing w:line="324"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3、供应商在参加政府采购活动前3年内因违法经营被禁止在一定期限内参加政府采购活动，期限届满的，可以参加政府采购活动。</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人不统一组织进行现场踏勘，供应商认为需要可自行进行踏勘现场，费用由供应商自理。有关本招标的事项若存在变动或修改，敬请及时关注“南京公共采购信息网”及“江苏政府采购网”发布的信息更正公告。若因供应商未及时关注网站公告导致误投标，其责任由供应商自行承担。</w:t>
      </w:r>
      <w:r/>
    </w:p>
    <w:p>
      <w:pPr>
        <w:ind w:firstLine="480"/>
        <w:jc w:val="left"/>
        <w:spacing w:line="324"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bCs/>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（2）“CA数字证书”的获取：供应商需办理CA锁，“苏采云”系统目前仅支持“苏采云”系统下的政务CA，省内各地区办理的“苏采云”系统下的政务CA全省通用。</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（3）“CA数字证书”的办理材料以及供应商操作手册详见：http://jsxcmm.com/help/gys.html。</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（4）潜在供应商访问“苏采云”系统的网络地址和方法：“苏采云”系统的网址：http://jszfcg.jsczt.cn/jszc/login。</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（5）采购文件（后缀名为“.kedt”）、供应商操作手册及政府采购客户端工具也可通过“苏采云”系统--已报名项目--报名详情页面内相应链接进行下载。</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（6）招标代理机构（采购代理机构）将数据电文形式的采购文件加载至“苏采云”系统，供潜在供应商下载或者查阅。    </w:t>
      </w:r>
      <w:r/>
    </w:p>
    <w:p>
      <w:pPr>
        <w:pStyle w:val="894"/>
        <w:ind w:firstLine="480"/>
        <w:spacing w:after="0" w:line="324" w:lineRule="auto"/>
        <w:rPr>
          <w:rFonts w:hint="eastAsia" w:ascii="宋体" w:hAnsi="宋体" w:cs="宋体"/>
          <w:color w:val="auto"/>
          <w:highlight w:val="none"/>
        </w:rPr>
      </w:pPr>
      <w:r>
        <w:rPr>
          <w:rFonts w:hint="eastAsia" w:ascii="宋体" w:hAnsi="宋体" w:cs="宋体"/>
          <w:bCs/>
          <w:color w:val="auto"/>
          <w:sz w:val="24"/>
          <w:szCs w:val="24"/>
          <w:highlight w:val="none"/>
        </w:rPr>
        <w:t xml:space="preserve">（7）苏采云系统使用谷歌浏览器参与不见面开标。</w:t>
      </w:r>
      <w:r/>
    </w:p>
    <w:p>
      <w:pPr>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6、政府采购信用承诺</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w:t>
      </w:r>
      <w:r>
        <w:rPr>
          <w:rFonts w:hint="eastAsia" w:ascii="宋体" w:hAnsi="宋体" w:eastAsia="宋体" w:cs="宋体"/>
          <w:color w:val="auto"/>
          <w:sz w:val="24"/>
          <w:highlight w:val="none"/>
        </w:rPr>
        <w:t xml:space="preserve">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在政府采购资格审查环节，供应商只需提供书面《南京市政府采购供应商信用记录表暨信用承诺书》，即可替代以下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（1）符合国家相关规定的财务状况报告；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（2）依法缴纳税收的证明材料；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（3）依法缴纳社会保障资金的证明材料；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（4）具备履行政府采购合同所必需的设备和专业技术能力的证明材料；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（6）未被列入失信被执行人、重大税收违法失信主体、政府采购严重违法失信行为记录名单的证明材料。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供应商涉及以下情形的，不适用信用承诺：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（1）供应商被列入严重失信主体名单；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（2）被相关监管部门作出行政处罚且尚在处罚有效期内；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（3）其他法律、行政法规规定的不适用信用承诺的情形。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供应商对信用承诺内容的真实性、合法性、有效性负责。如作出虚假信用承诺，视同为“提供虚假材料谋取中标、成交”的违法行为。</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七、对本次招标提出询问，请按以下方式联系</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名称：南京市栖霞区疾病预防控制中心</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地址：南京市栖霞区尧佳路66号</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联系人：窦雪如</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ascii="宋体" w:hAnsi="宋体" w:eastAsia="宋体" w:cs="宋体"/>
          <w:color w:val="auto"/>
          <w:sz w:val="24"/>
          <w:highlight w:val="none"/>
        </w:rPr>
        <w:t xml:space="preserve">02585562079</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名称：南京勤泽道工程项目管理有限公司</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地址：南京市玄武区红山路常发广场2号商务楼520室</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联系方式：13505198060</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项目联系人：杨保兰          </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电话：13505198060</w:t>
      </w:r>
      <w:r>
        <w:rPr>
          <w:rFonts w:hint="eastAsia" w:ascii="宋体" w:hAnsi="宋体" w:eastAsia="宋体" w:cs="宋体"/>
          <w:color w:val="auto"/>
          <w:sz w:val="24"/>
          <w:highlight w:val="none"/>
        </w:rPr>
        <w:br w:type="page" w:clear="all"/>
      </w:r>
      <w:r/>
    </w:p>
    <w:p>
      <w:pPr>
        <w:ind w:left="720"/>
        <w:jc w:val="cente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第二章</w:t>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val="zh-CN"/>
        </w:rPr>
        <w:t xml:space="preserve">供应商须知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一、总则</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1、适用法律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1.1《中华人民共和国政府采购法》、《中华人民共和国政府采购法实施条例》等有关法律、规章和规定等。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2、定义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2.1“供应商”是指参加投标竞争，并符合招标文件规定资格条件的法人、其他组织或者自然人。</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2.2“产品”指本招标文件中所述产品及相关服务。</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2.3“采购人或使用单位”是指使用的单位。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3、政策功能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政府采购促进中小企业发展，小企业（含小型、微型企业）提供的产品和服务或货物在评审时将获得优势，参加投标的小企业，应当提供《中小企业声明函》（“中小企业划型标准”详见《关于印发中小企业划型标准规定的通知》工信部联企业〔2011〕300号及《国家统计局关于印发统计上大中小微型企业划分办法（2017）的通知》国统字〔2017〕213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政府采购支持监狱和戒毒企业发展政策，监狱和戒毒企业提供的产品和服务或货物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3.4小型、微型企业提供中型或大型企业制造的货物的，视同为中型或大型企业。参加政府采购活动的中小企业应当按“关于印发《政府采购促进中小企业发展管理办法》的通知[财库〔2020〕46号]” 和《财库〔2022〕19号》规定提供《中小企业声明函》，未提供上述资料不得享受相关中小企业扶持政策。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3.7提供的产品属于政府强制采购节能产品的，供应商应当选择经过认证的节能产品投标，并提供有效的节能产品认证证书复印件。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3.8提供的产品属于环境标志产品的,供应商应当选择经过认证的环境标志产品投标,并提供有效的环境标志产品认证证书复印件。</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3.9.</w:t>
      </w:r>
      <w:r>
        <w:rPr>
          <w:rFonts w:hint="eastAsia" w:ascii="宋体" w:hAnsi="宋体" w:eastAsia="宋体" w:cs="宋体"/>
          <w:color w:val="auto"/>
          <w:sz w:val="24"/>
          <w:highlight w:val="none"/>
          <w:lang w:val="zh-CN"/>
        </w:rPr>
        <w:t xml:space="preserve">1.本项目对采购本国产品给予政策支持，具体内容见招标文件“第三章 评标方法与评标标准”。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3.9.</w:t>
      </w:r>
      <w:r>
        <w:rPr>
          <w:rFonts w:hint="eastAsia" w:ascii="宋体" w:hAnsi="宋体" w:eastAsia="宋体" w:cs="宋体"/>
          <w:color w:val="auto"/>
          <w:sz w:val="24"/>
          <w:highlight w:val="none"/>
          <w:lang w:val="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w:t>
      </w:r>
      <w:r>
        <w:rPr>
          <w:rFonts w:hint="eastAsia" w:ascii="宋体" w:hAnsi="宋体" w:eastAsia="宋体" w:cs="宋体"/>
          <w:color w:val="auto"/>
          <w:sz w:val="24"/>
          <w:highlight w:val="none"/>
          <w:lang w:val="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组成：招标公告、供应商须知、供应商应当提交的资格和资信证明文件、投标报价要求、投标文件编制要求、投标项目的技术规格、要求和数量、合同主要条款及合同签订方式、供货期、付款条件、评审方法、评审标准、无效投标和废标条款、附件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招标文件如果要求供应商提交备选投标方案的，供应商可以提交备选方案；否则，备选方案将被拒绝。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5、招标文件的澄清、修改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采购人或采购代理机构对已发出的招标文件进行必要澄清或者修改的，将在招标文件要求提交投标文件截止时间十五日前，在原公开招标公告媒体发布更正公告，该澄清或者修改的内容为招标文件的组成部分。</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供应商应在递交投标文件截止时间前关注原采购信息发布媒体上有关本招标项目有无变更公告。</w:t>
      </w:r>
      <w:r/>
    </w:p>
    <w:p>
      <w:pPr>
        <w:numPr>
          <w:ilvl w:val="0"/>
          <w:numId w:val="2"/>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6、投标文件的语言、计量单位、货币和编制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提交的投标文件、技术文件和资料，包括图纸中的说明，以及供应商与采购代理机构就有关投标响应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供应商所使用的计量单位应为国家法定计量单位。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供应商应用人民币报价。</w:t>
      </w:r>
      <w:r/>
    </w:p>
    <w:p>
      <w:pPr>
        <w:ind w:left="437"/>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7、联合投标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两个以上的自然人、法人或者其他组织可以组成一个联合体，以一个供应商的身份共同参加政府采购。</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鼓励大中型企业和其他自然人、法人或者其他组织与小型、微型企业组成联合体共同参加非专门面向中小企业的政府采购活动。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本次招标不接受联合体投标。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8、投标费用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8.1供应商应自行承担所有与准备和参加投标有关的费用。无论采购结果如何，采购代理和采购人在任何情况下均无义务和责任承担这些费用。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9、投标文件组成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当根据招标文件要求编制投标文件，投标文件应对招标文件提出的要求和条件作出实质性响应，并在《商务条款偏离表》和《技术条款偏离表》等处逐条标明满足与否。对带星号（“★”）的技术条款必须在投标文件中提供技术支持资料（如白皮书、彩页、手册、检测报告等），未提供技术支持资料的，评审时不予认可。（采购需求中另有规定的，也可从其规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投标文件由商务部分、技术部分、价格部分以及其他部分组成。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10、投标文件的商务部分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10.1商务部分是证明供应商有资格参加投标响应和中标后有能力履行合同的文件，这些文件应能满足投标的要求，包括但不限于下列文件，其中加★项目不得有缺失或无效。</w:t>
      </w:r>
      <w:r/>
    </w:p>
    <w:p>
      <w:pPr>
        <w:numPr>
          <w:ilvl w:val="0"/>
          <w:numId w:val="3"/>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★投标响应申请及声明；</w:t>
      </w:r>
      <w:r/>
    </w:p>
    <w:p>
      <w:pPr>
        <w:numPr>
          <w:ilvl w:val="0"/>
          <w:numId w:val="3"/>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★法定代表人授权委托书及委托代理人的身份证明文件；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（3）★第一章招标公告中第二条申请人的资格要求《中华人民共和国政府采购法》规定的资格条件承诺书（证明文件由中标供应商按招标文件要求提供）；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（4）★第一章招标公告中第二条申请人的资格要求,采购人根据采购项目的特殊要求规定的特定条件证明文件（若有）；</w:t>
      </w:r>
      <w:r/>
    </w:p>
    <w:p>
      <w:pPr>
        <w:ind w:left="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（5）★开标一览表及分项报价表；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（6）★《南京市政府采购供应商信用记录表暨信用承诺书》；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（7）★《商务条款偏离表》；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（8）供应商类似业绩情况表；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（9）★声明函；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(10)供应商认为需要提供的其他商务资料等。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11、投标文件的技术部分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技术部分是证明供应商提供的产品或服务是合格的、并符合招标文件要求的证明文件，以及对投标报价表中的服务的详细说明，这些文件可以是文字资料、图纸和数据等。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若技术性能无特殊说明，则按国家有关部门最新颁布的标准及规范为准；提供的货物或服务如与招标文件要求有不符之处，应说明其差别之所在，并在《技术条款偏离表》中逐条予以说明。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11.1投标文件应按照招标文件要求提供技术资料、文件和有关证明，包括但不限于其中加★项目不得有缺失或无效：</w:t>
      </w:r>
      <w:r/>
    </w:p>
    <w:p>
      <w:pPr>
        <w:numPr>
          <w:ilvl w:val="0"/>
          <w:numId w:val="4"/>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★《技术条款偏离表》；</w:t>
      </w:r>
      <w:r/>
    </w:p>
    <w:p>
      <w:pPr>
        <w:numPr>
          <w:ilvl w:val="0"/>
          <w:numId w:val="4"/>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方案及服务承诺；</w:t>
      </w:r>
      <w:r/>
    </w:p>
    <w:p>
      <w:pPr>
        <w:numPr>
          <w:ilvl w:val="0"/>
          <w:numId w:val="4"/>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供应商认为需要提供的其他技术资料。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12、投标文件的价格部分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12.1价格部分是对货物和服务价格构成的说明，招标文件如没有特别说明的话，对每一项货物和服务仅接受一个价格。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报价应包含设计、制造、包装、仓储、运输装卸、保险、安装、调试及其材料及验收合格之前保管及质保期内备品备件、专用工具、伴随服务、技术图纸资料、人员培训发生的所有含税费用、支付给员工的工资和国家强制缴纳的各种社会保障资金，以及供应商认为需要的其他费用等。</w:t>
      </w:r>
      <w:r/>
    </w:p>
    <w:p>
      <w:pPr>
        <w:ind w:firstLine="480"/>
        <w:spacing w:line="360" w:lineRule="auto"/>
        <w:rPr>
          <w:rFonts w:hint="eastAsia" w:ascii="宋体" w:hAnsi="宋体" w:eastAsia="宋体" w:cs="宋体"/>
          <w:color w:val="auto"/>
          <w:sz w:val="20"/>
          <w:highlight w:val="none"/>
        </w:rPr>
      </w:pPr>
      <w:r>
        <w:rPr>
          <w:rFonts w:hint="eastAsia" w:ascii="宋体" w:hAnsi="宋体" w:eastAsia="宋体" w:cs="宋体"/>
          <w:color w:val="auto"/>
          <w:sz w:val="24"/>
          <w:highlight w:val="none"/>
        </w:rPr>
        <w:t xml:space="preserve">12.3供应商应充分考虑到市场价格变动，以及项目实施过程中的不可预见因素，一旦中标，总价格不变。如果有漏项，视同让利。供应商的任何错漏、优惠、竞争性报价不得作为减轻责任、减少服务、增加收费、降低质量的理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供应商应在《开标一览表》、《分项报价表》等标明提供服务的单价、总价以及分项报价。供应商系小企业（含小型、微型企业），并提供本企业制造的货物、承担的工程或者服务，或者提供其他小企业制造的货物，须在《开标一览表》、《分项报价表》中注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13、投标文件的其他部分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其他部分由供应商根据编制投标文件需要提供的其他相关文件。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14、投标保证金</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本项目不需要交纳投标保证金。</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15、投标有效期自投标之日起90天内投标有效。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特殊情况下，在原投标有效期截止之前，采购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16、投标文件的签署</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16.1投标文件应按照招标文件要求加盖电子公章，否则视为无效投标。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17、投标文件的递交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供应商应当按照《操作手册》规定，在招标公告规定的投标截止时间前制作并上传电子投标文件。招标代理机构拒绝接收提交投标文件截止时间后上传的任何电子投标文件。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供应商应充分考虑网络环境、网络带宽等因素可能对投标产生的影响，如因供应商自身原因造成的电子投标文件上传不成功的，按照做无效投标处理。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17.3代理机构可以按照规定，通过修改招标文件酌情延长投标截止时间，在此情况下，供应商的所有权利和义务均以延长后新的截止时间为准。</w:t>
      </w:r>
      <w:r/>
    </w:p>
    <w:p>
      <w:pPr>
        <w:ind w:firstLine="480"/>
        <w:spacing w:line="36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17.4中标供应商须在中标公告结束后，领取中标通知书前向采购人免费提供叁份（一正二副）上传至苏采云系统的纸质投标文件（下简称纸质投标文件）纸质投标文件（正、副本）均应加盖中标单位公章，且装订成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18、投标文件的解密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供应商应当按照《操作手册》规定，在“苏采云”系统规定的时间内对投标文件进行解密。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18.2供应商应充分考虑网络环境、网络带宽等因素可能对投标产生的影响，如因供应商自身原因造成的电子投标文件解密不成功的，做无效投标处理。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19、投标文件的修改和撤回。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19.1供应商</w:t>
      </w:r>
      <w:r>
        <w:rPr>
          <w:rFonts w:hint="eastAsia" w:ascii="宋体" w:hAnsi="宋体" w:eastAsia="宋体" w:cs="宋体"/>
          <w:color w:val="auto"/>
          <w:sz w:val="24"/>
          <w:highlight w:val="none"/>
          <w:lang w:val="zh-CN"/>
        </w:rPr>
        <w:t xml:space="preserve">可在投标截止时间前撤回其电子投标文件，具体操作方法见《操作手册》。供应商撤回电子投标文件，则认为其不再参与本项目投标活动。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19.2 </w:t>
      </w:r>
      <w:r>
        <w:rPr>
          <w:rFonts w:hint="eastAsia" w:ascii="宋体" w:hAnsi="宋体" w:eastAsia="宋体" w:cs="宋体"/>
          <w:color w:val="auto"/>
          <w:sz w:val="24"/>
          <w:highlight w:val="none"/>
          <w:lang w:val="zh-CN"/>
        </w:rPr>
        <w:t xml:space="preserve">供应商可在投标截止时间前对其电子投标文件进行修改，具体操作方法见《操作手册》。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19.3投标文件截止时间之后，</w:t>
      </w:r>
      <w:r>
        <w:rPr>
          <w:rFonts w:hint="eastAsia" w:ascii="宋体" w:hAnsi="宋体" w:eastAsia="宋体" w:cs="宋体"/>
          <w:color w:val="auto"/>
          <w:sz w:val="24"/>
          <w:highlight w:val="none"/>
          <w:lang w:val="zh-CN"/>
        </w:rPr>
        <w:t xml:space="preserve">供应商不得对其电子投标文件作任何修改。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在投标截止时间至招标文件中规定的投标有效期满之间的这段时间内，供应商不得撤回其投标。</w:t>
      </w:r>
      <w:r/>
    </w:p>
    <w:p>
      <w:pPr>
        <w:numPr>
          <w:ilvl w:val="0"/>
          <w:numId w:val="2"/>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开标、评标与确定中标供应商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20、开标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20.2供应商在开标过程中涉及到的投标文件解密、开标结果确认等工作，应按照《操作手册》规定执行。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20.3供应商不足3家的，不得开标。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20.4供应商如果对开标过程和开标结果有疑义，应当根据《操作手册》规定提出，“苏采云”系统中《开标记录表》公布后5分钟内未提出的，视同认可开标结果。</w:t>
      </w:r>
      <w:r/>
    </w:p>
    <w:p>
      <w:pPr>
        <w:ind w:firstLine="480"/>
        <w:spacing w:line="360" w:lineRule="auto"/>
        <w:tabs>
          <w:tab w:val="left" w:pos="9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20.5公开开标数额标准以上的采购项目，递交投标文件截止后供应商不足3家或者通过资格审查</w:t>
      </w:r>
      <w:bookmarkStart w:id="1" w:name="page15"/>
      <w:r/>
      <w:bookmarkEnd w:id="1"/>
      <w:r>
        <w:rPr>
          <w:rFonts w:hint="eastAsia" w:ascii="宋体" w:hAnsi="宋体" w:eastAsia="宋体" w:cs="宋体"/>
          <w:color w:val="auto"/>
          <w:sz w:val="24"/>
          <w:highlight w:val="none"/>
        </w:rPr>
        <w:t xml:space="preserve">或符合性审查的供应商不足3家的，除采购任务取消情形外，按照以下方式处理：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（1）招标文件存在不合理条款或者开标程序不符合规定的，采购人、采购代理机构改正后依法重新开标；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文件没有不合理条款、开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21.1评标组织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21.1.1评标工作由采购代理机构负责组织，具体评标事务由依法组建的评标委员会负责，并独立履行下列职责：</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审查投标文件是否符合招标文件要求，并作出评价；</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要求供应商对投标文件有关事项作出解释或者澄清；</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推荐中标候选供应商名单，或者按照招标文件规定直接确定供应商；</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向财政部门报告非法干预评审工作的行为。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21.1.2评标委员会由采购人代表和有关技术、经济等方面的专家组成，独立开展评审工作。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21.2.1投标文件的资格性检查。公开招标采购项目开标结束后，采购人或者采购代理机构应当依法对投标人的资格进行审查，并将审查的结论向评委会进行反馈。合格投标人不足3家的，不得评标。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21.2.2投标文件的符合性检查。评标委员会对通过资格性检查的投标人的投标文件进行符合性审查，以确定其是否满足招标文件的实质性要求。投标文件有下列情况之一的，在符合性检查时按照无效投标处理：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（1）供应商在“苏采云”系统规定的时间内未成功解密电子投标文件的；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（2）供应商未按照招标文件要求上传电子投标文件的；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（3）同一供应商提交两个（含两个）以上不同的投标报价的；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（4）供应商未按照招标文件要求加盖电子公章的；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（5）不具备招标文件中规定资格要求的；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（6）报价超过招标文件中规定的预算金额或者最高限价的；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（7）投标文件含有采购人不能接受的附加条件的；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（8）投标文件内容不全或不符合招标文件中规定的其他实质性要求的；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（9）现行法律、法规、规章和招标文件规定的其他无效情形。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21.2.2.1实质性要求是指本招标文件中用带星号（“★”）、“必须”或“应（应当）”等其他文字说明的商务和技术要求。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21.2.2.2有下列情形之一的予以废标，同时将废标理由通知所有供应商：</w:t>
      </w:r>
      <w:r/>
    </w:p>
    <w:p>
      <w:pPr>
        <w:numPr>
          <w:ilvl w:val="0"/>
          <w:numId w:val="6"/>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符合专业条件的供应商或者对招标文件作实质性响应的供应商不足三家的；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（3）供应商的报价均超过了采购预算，采购人不能支付的；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（4）因苏采云系统故障造成开标不成功的；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（5）投标人以明显低于其他通过符合性审查投标人的报价，有可能影响产品质量或者不能诚信履约的，且不能证明其报价合理性的。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（6）因重大变故，采购任务取消的；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21.2.2.3在评标期间，出现符合专业条件的供应商或者对招标文件作出实质性响应的供应商不足三家情形的，比照20.5款执行。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21.2.3澄清有关问题。对投标文件中含义不明确、同类问题表述不一致或者明显文字和计算错误的内容，评标委员会可以要求供应商作出必要的澄清、说明或者补正。</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投标人的澄清、说明或者补正不得超出投标文件的范围或者改变投标文件的实质性内容。评委会并非对每个投标人都做澄清要求。</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21.2.3.1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21.2.3.2接到评委会澄清、说明和补正要求的，投标人如未按规定作出澄清、说明和补正，其风险由投标人自行承担。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21.2.3.3投标文件报价出现前后不一致的，除招标文件另有规定外，按照下列规定修正：</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21.2.3.4相同品牌产品投标的评审（货物项目适用）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非单一产品采购项目，确定核心产品的方法在招标文件技术需求中载明。多家投标人提供的核心产品品牌相同的，按前两款规定处理。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21.2.3.5投标人在开、评标全过程中应保持通讯畅通，及时登录苏采云系统查阅、答复相关信息，并安排专人与代理机构及评委会联系。</w:t>
      </w:r>
      <w:r/>
    </w:p>
    <w:p>
      <w:pPr>
        <w:ind w:firstLine="480"/>
        <w:spacing w:line="360" w:lineRule="auto"/>
        <w:rPr>
          <w:rFonts w:hint="eastAsia" w:ascii="新宋体" w:hAnsi="新宋体" w:eastAsia="新宋体" w:cs="新宋体"/>
          <w:b/>
          <w:bCs/>
          <w:color w:val="auto"/>
          <w:sz w:val="24"/>
          <w:highlight w:val="none"/>
        </w:rPr>
      </w:pPr>
      <w:r>
        <w:rPr>
          <w:rFonts w:hint="eastAsia" w:ascii="新宋体" w:hAnsi="新宋体" w:eastAsia="新宋体" w:cs="新宋体"/>
          <w:b/>
          <w:bCs/>
          <w:color w:val="auto"/>
          <w:sz w:val="24"/>
          <w:highlight w:val="none"/>
        </w:rPr>
        <w:t xml:space="preserve">24.2.3.6评审过程中出现下列情形之一的，评审委员会应当启动异常低价投标(响应)审查程序:</w:t>
      </w:r>
      <w:r/>
    </w:p>
    <w:p>
      <w:pPr>
        <w:ind w:firstLine="480"/>
        <w:spacing w:line="360" w:lineRule="auto"/>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①投标报价低于全部通过符合性审查供应商投标报价平均值</w:t>
      </w:r>
      <w:r>
        <w:rPr>
          <w:rFonts w:hint="eastAsia" w:ascii="新宋体" w:hAnsi="新宋体" w:eastAsia="新宋体" w:cs="新宋体"/>
          <w:color w:val="auto"/>
          <w:sz w:val="24"/>
          <w:highlight w:val="none"/>
        </w:rPr>
        <w:t xml:space="preserve">55%</w:t>
      </w:r>
      <w:r>
        <w:rPr>
          <w:rFonts w:hint="eastAsia" w:ascii="新宋体" w:hAnsi="新宋体" w:eastAsia="新宋体" w:cs="新宋体"/>
          <w:color w:val="auto"/>
          <w:sz w:val="24"/>
          <w:highlight w:val="none"/>
        </w:rPr>
        <w:t xml:space="preserve">的，即投标报价&lt;全部通过符合性审查供应商投标报价平均值×55%；</w:t>
      </w:r>
      <w:r/>
    </w:p>
    <w:p>
      <w:pPr>
        <w:ind w:firstLine="480"/>
        <w:spacing w:line="360" w:lineRule="auto"/>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②投标报价低于通过符合性审查的次低报价供应商投标报价</w:t>
      </w:r>
      <w:r>
        <w:rPr>
          <w:rFonts w:hint="eastAsia" w:ascii="新宋体" w:hAnsi="新宋体" w:eastAsia="新宋体" w:cs="新宋体"/>
          <w:color w:val="auto"/>
          <w:sz w:val="24"/>
          <w:highlight w:val="none"/>
        </w:rPr>
        <w:t xml:space="preserve">55%</w:t>
      </w:r>
      <w:r>
        <w:rPr>
          <w:rFonts w:hint="eastAsia" w:ascii="新宋体" w:hAnsi="新宋体" w:eastAsia="新宋体" w:cs="新宋体"/>
          <w:color w:val="auto"/>
          <w:sz w:val="24"/>
          <w:highlight w:val="none"/>
        </w:rPr>
        <w:t xml:space="preserve">的，即投标报价&lt;通过符合性审查的次低报价供应商投标报价×55%；</w:t>
      </w:r>
      <w:r/>
    </w:p>
    <w:p>
      <w:pPr>
        <w:ind w:firstLine="480"/>
        <w:spacing w:line="360" w:lineRule="auto"/>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③投标报价低于采购项目最高限价</w:t>
      </w:r>
      <w:r>
        <w:rPr>
          <w:rFonts w:hint="eastAsia" w:ascii="新宋体" w:hAnsi="新宋体" w:eastAsia="新宋体" w:cs="新宋体"/>
          <w:color w:val="auto"/>
          <w:sz w:val="24"/>
          <w:highlight w:val="none"/>
        </w:rPr>
        <w:t xml:space="preserve">55%</w:t>
      </w:r>
      <w:r>
        <w:rPr>
          <w:rFonts w:hint="eastAsia" w:ascii="新宋体" w:hAnsi="新宋体" w:eastAsia="新宋体" w:cs="新宋体"/>
          <w:color w:val="auto"/>
          <w:sz w:val="24"/>
          <w:highlight w:val="none"/>
        </w:rPr>
        <w:t xml:space="preserve">的，即投标报价&lt;采购项目最高限价×55%；</w:t>
      </w:r>
      <w:r/>
    </w:p>
    <w:p>
      <w:pPr>
        <w:ind w:firstLine="480"/>
        <w:spacing w:line="360" w:lineRule="auto"/>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新宋体" w:hAnsi="新宋体" w:eastAsia="新宋体" w:cs="新宋体"/>
          <w:color w:val="auto"/>
          <w:sz w:val="24"/>
          <w:highlight w:val="none"/>
        </w:rPr>
        <w:t xml:space="preserve">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21.2.4比较与评价。按照招标文件中规定的评审方法和标准，对资格性检查和符合性检查合格的投标文件进行商务和技术评估，综合比较与评价。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21.3评标方法和标准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21.3.1采用综合评分法。即在最大限度地满足招标文件实质性要求前提下，按照招标文件中规定的各项因素进行综合评审后，以评审总得分最高的供应商作为中标候选供应商或者中标供应商的评标方法。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21.3.2评审因素，包括价格、技术、商务等。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21.3.3评分标准详见文件第三章。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22、确定中标供应商</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22.1评审结果按评审后得分由高到低顺序排列</w:t>
      </w:r>
      <w:bookmarkStart w:id="2" w:name="_Hlk179291922"/>
      <w:r>
        <w:rPr>
          <w:rFonts w:hint="eastAsia" w:ascii="宋体" w:hAnsi="宋体" w:eastAsia="宋体" w:cs="宋体"/>
          <w:color w:val="auto"/>
          <w:sz w:val="24"/>
          <w:highlight w:val="none"/>
        </w:rPr>
        <w:t xml:space="preserve">确认中标供应商</w:t>
      </w:r>
      <w:bookmarkEnd w:id="2"/>
      <w:r>
        <w:rPr>
          <w:rFonts w:hint="eastAsia" w:ascii="宋体" w:hAnsi="宋体" w:eastAsia="宋体" w:cs="宋体"/>
          <w:color w:val="auto"/>
          <w:sz w:val="24"/>
          <w:highlight w:val="none"/>
        </w:rPr>
        <w:t xml:space="preserve">。得分相同的，按投标报价由低到高顺序排列。得分且投标报价相同的按技术评分得分自高到低顺序排列。</w:t>
      </w:r>
      <w:bookmarkStart w:id="3" w:name="_Hlk179291929"/>
      <w:r>
        <w:rPr>
          <w:rFonts w:hint="eastAsia" w:ascii="宋体" w:hAnsi="宋体" w:eastAsia="宋体" w:cs="宋体"/>
          <w:color w:val="auto"/>
          <w:sz w:val="24"/>
          <w:highlight w:val="none"/>
        </w:rPr>
        <w:t xml:space="preserve">投标文件满足招标文件全部实质性要求，</w:t>
      </w:r>
      <w:r>
        <w:rPr>
          <w:rFonts w:hint="eastAsia" w:ascii="宋体" w:hAnsi="宋体" w:cs="宋体"/>
          <w:color w:val="auto"/>
          <w:sz w:val="24"/>
          <w:highlight w:val="none"/>
        </w:rPr>
        <w:t xml:space="preserve">且按照评审因素的量化指标评审得分最高的供应商为中标候选人。</w:t>
      </w:r>
      <w:bookmarkEnd w:id="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22.2中标供应商确定后，将在财政部门指</w:t>
      </w:r>
      <w:bookmarkStart w:id="14" w:name="_GoBack"/>
      <w:r/>
      <w:bookmarkEnd w:id="14"/>
      <w:r>
        <w:rPr>
          <w:rFonts w:hint="eastAsia" w:ascii="宋体" w:hAnsi="宋体" w:eastAsia="宋体" w:cs="宋体"/>
          <w:color w:val="auto"/>
          <w:sz w:val="24"/>
          <w:highlight w:val="none"/>
        </w:rPr>
        <w:t xml:space="preserve">定的政府采购信息发布媒体上公告，中标供应商向采购代理机构支付招标费用后到采购代理机构领取中标通知书。</w:t>
      </w:r>
      <w:r/>
    </w:p>
    <w:p>
      <w:pPr>
        <w:ind w:firstLine="480"/>
        <w:spacing w:line="360" w:lineRule="auto"/>
        <w:shd w:val="clear" w:color="auto"/>
        <w:widowControl/>
        <w:rPr>
          <w:rFonts w:hint="eastAsia" w:ascii="宋体" w:hAnsi="宋体" w:eastAsia="宋体" w:cs="宋体"/>
          <w:bCs/>
          <w:color w:val="auto"/>
          <w:sz w:val="24"/>
          <w:highlight w:val="none"/>
        </w:rPr>
      </w:pPr>
      <w:r/>
      <w:bookmarkStart w:id="4" w:name="_Hlk179291939"/>
      <w:r>
        <w:rPr>
          <w:rFonts w:hint="eastAsia" w:ascii="宋体" w:hAnsi="宋体" w:eastAsia="宋体" w:cs="宋体"/>
          <w:color w:val="auto"/>
          <w:sz w:val="24"/>
          <w:highlight w:val="none"/>
        </w:rPr>
        <w:t xml:space="preserve">本项目的招标费用由中标供应商承担，招标代理收费参照《招标代理服务费管理暂行办法》（国家发展计划委员会计价格【2002】1980号）文件标准的85%计取。</w:t>
      </w:r>
      <w:bookmarkEnd w:id="4"/>
      <w:r>
        <w:rPr>
          <w:rFonts w:hint="eastAsia" w:ascii="宋体" w:hAnsi="宋体" w:eastAsia="宋体" w:cs="宋体"/>
          <w:bCs/>
          <w:color w:val="auto"/>
          <w:sz w:val="24"/>
          <w:highlight w:val="none"/>
        </w:rPr>
        <w:t xml:space="preserve">请各投标供应商在投标报价时，将上述费用综合考虑计入投标报价中，采购人后期不再对此费用进行单独列支与支付。 </w:t>
      </w:r>
      <w:r/>
    </w:p>
    <w:p>
      <w:pPr>
        <w:ind w:firstLine="4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专家评审费由采购人依据《关于规范江苏省政府采购专家评审费标准的通知》苏财购〔2016〕48号文件规定标准予以支付。</w:t>
      </w:r>
      <w:r/>
    </w:p>
    <w:p>
      <w:pPr>
        <w:ind w:firstLine="480"/>
        <w:spacing w:line="360" w:lineRule="auto"/>
        <w:tabs>
          <w:tab w:val="left" w:pos="9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22.3中标供应商确定后，在省级以上财政部门指定的媒体上公告中标结果，中标公告期为 1 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22.4中标通知书对采购人和中标供应商具有同等法律效力。</w:t>
      </w:r>
      <w:r/>
    </w:p>
    <w:p>
      <w:pPr>
        <w:ind w:firstLine="480"/>
        <w:spacing w:line="360" w:lineRule="auto"/>
        <w:rPr>
          <w:rFonts w:hint="eastAsia" w:ascii="宋体" w:hAnsi="宋体" w:eastAsia="宋体" w:cs="宋体"/>
          <w:color w:val="auto"/>
          <w:sz w:val="24"/>
          <w:highlight w:val="none"/>
        </w:rPr>
      </w:pPr>
      <w:r/>
      <w:bookmarkStart w:id="5" w:name="_Hlk99749347"/>
      <w:r>
        <w:rPr>
          <w:rFonts w:hint="eastAsia" w:ascii="宋体" w:hAnsi="宋体" w:eastAsia="宋体" w:cs="宋体"/>
          <w:color w:val="auto"/>
          <w:sz w:val="24"/>
          <w:highlight w:val="none"/>
        </w:rPr>
        <w:t xml:space="preserve">22.5中标通知书发出后，中标供应商除发生法律规定的不能预见、不能避免并不能克服的客观情况外，不得放弃或拒绝签订合同。放弃或拒绝签订合同的，中标供应商不得参加对该项目重新开展的采购活动，由财政部门按照《政府采购法》第七十七条第一款予以罚款，列入不良行为记录名单，在一至三年内禁止参加政府采购活动，并予以通报。 </w:t>
      </w:r>
      <w:bookmarkEnd w:id="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22.6采购代理机构和评标委员会对未中标的供应商不作未中标原因的解释。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22.7所有投标文件都将作为档案保存，不论中标与否，采购代理机构均不退回。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23、编写评审报告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23.1评标委员会根据全体评审成员签字的原始评审记录和评审结果编写评审报告。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24、评审过程的保密性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24.1采购代理机构将采取必要措施，保证评审在严格保密的情况下进行。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24.2任何单位和个人不得非法干预、影响评审办法的确定，以及评审过程和结果。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24.3凡是与审查、澄清、评价和比较投标的有关资料等，均不向供应商及与评审无关的其他人员透露。</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25.1中标供应商应当自中标通知书发出之日起三十日内，按照招标文件和中标供应商投标文件的约定与采购人签订采购合同，所签订的合同不得对招标文件和中标供应商投标文件作实质性修改。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25.4采购合同履行中，采购人需追加与合同标的相同货物或服务的，在不改变合同其他条款的前提下，可以与供应商协商签订补充合同，但所有补充合同的采购金额不得超过原合同采购金额的百分之十。</w:t>
      </w:r>
      <w:r/>
    </w:p>
    <w:p>
      <w:pPr>
        <w:ind w:left="42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六、询问、质疑、投诉和诚实信用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26.1供应商对投标活动事项有疑问的，可以向采购代理机构或采购人提出询问，采购代理机构或采购人将在三个工作日内作出答复，但答复的内容不涉及商业秘密。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27.1供应商认为采购文件、采购过程和中标结果使自己的合法权益受到损害的，可以在知道或者应当知道其权益受到损害之日起七个工作日内，将质疑文件原件送达采购代理机构。</w:t>
      </w:r>
      <w:r/>
    </w:p>
    <w:p>
      <w:pPr>
        <w:ind w:firstLine="42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供应商必须在法定质疑期内一次性提出针对同一采购程序环节的质疑。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采购信息公告期限自财政部门指定媒体发布公告之日起算，期限5个工作日。采购结果公告期限自财政部门指定媒体发布公告之日起算，期限1个工作日。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27.2质疑文件应包括以下主要内容，并按照“谁主张、谁举证”的原则，附上相关证明材料。否则，采购代理机构或采购人不予受理：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（1）质疑项目名称、项目编号、包号、招标公告发布时间、开标时间；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（2）提起质疑的日期、具体的质疑事项、质疑事项相关的请求及事实根据（具体条款）；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投标产品提出质疑，并提出修改理由和修改建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（4）质疑供应商名称、地址、邮编、联系人、联系电话（包括座机、手机、传真号码等）；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（5）质疑文件应当署名，质疑人为自然人的，应当由本人签字并附有效身份证明；质疑人为法人或其他组织的，应当由法定代表人签字并加盖单位公章。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（6）供应商委托代理质疑的，应当向被质疑人提交授权委托书，并载明委托代理的具体权限和事项。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质疑供应商是指直接参加本项目采购活动的供应商；对招标文件提出质疑的，应自供应商获得招标文件之日起计算，且应当在递交投标文件截止之日前提出；对采购过程提出质疑的，自采购程序环节结束之日起计算；对中标结果提出质疑的，自中标结果公告之日起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27.4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28、投诉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28.1质疑供应商对采购代理机构的答复不满意，或采购代理机构未在规定的时间内作出答复的，可以在答复期满后十五个工作日内向采购项目同级财政部门投诉。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28.2供应商投诉应当提交投诉书和必要的证明材料。供应商投诉的事项不得超出已质疑事项的范围，但基于质疑答复内容提出的投诉事项除外。</w:t>
      </w:r>
      <w:r/>
    </w:p>
    <w:p>
      <w:pPr>
        <w:ind w:firstLine="480"/>
        <w:spacing w:line="360" w:lineRule="auto"/>
        <w:tabs>
          <w:tab w:val="left" w:pos="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28.4投诉人有下列行为之一的，属于严重失信行为，由财政部门列入不良行为记录名单，禁止其一至三年内参加政府采购活动。</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（1）投诉人在全国范围12个月内三次以上投诉查无实据的；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（2）采用捏造事实、提供虚假材料或者以非法手段取得证明材料等方式进行虚假、恶意投诉证件来源的合法性存在明显疑问，投诉人无法证明其取得方式合法的，视为以非法手段取得证明材料。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29.1供应商之间不得相互串通报价，不得妨碍其他供应商的公平竞争，不得损害采购人和其他供应商的合法权益。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29.4供应商不得虚假承诺，否则，按照提供虚假材料谋取中标处理。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29.5供应商应自觉遵守开标、评审纪律，扰乱开标评审现场秩序的，属于失信行为，根据《江苏省政府采购供应商监督管理暂行办法》，失信行为将被记入供应商诚信档案。</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第三章 评标标准</w:t>
      </w:r>
      <w:r/>
    </w:p>
    <w:p>
      <w:pPr>
        <w:ind w:firstLine="480"/>
        <w:rPr>
          <w:rFonts w:hint="eastAsia" w:ascii="宋体" w:hAnsi="宋体" w:eastAsia="宋体" w:cs="宋体"/>
          <w:color w:val="auto"/>
          <w:sz w:val="24"/>
          <w:highlight w:val="none"/>
        </w:rPr>
      </w:pPr>
      <w:r/>
      <w:bookmarkStart w:id="6" w:name="_Hlk99749639"/>
      <w:r>
        <w:rPr>
          <w:rFonts w:hint="eastAsia" w:ascii="宋体" w:hAnsi="宋体" w:eastAsia="宋体" w:cs="宋体"/>
          <w:color w:val="auto"/>
          <w:sz w:val="24"/>
          <w:highlight w:val="none"/>
        </w:rPr>
        <w:t xml:space="preserve">本项目采用综合评分法，评分统计方法采用百分制（满分100分），将全部评委评分直接进行算术平均，小数点后保留2位。评审结果按评审后得分由高到低顺序排列，得分相同的，按投标报价由低到高顺序排列，得分且投标报价相同的，按技术评分得分自高到低顺序排列，由评标委员会确定中标候选人。</w:t>
      </w:r>
      <w:bookmarkEnd w:id="6"/>
      <w:r/>
      <w:r/>
    </w:p>
    <w:tbl>
      <w:tblPr>
        <w:tblStyle w:val="688"/>
        <w:tblW w:w="10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263"/>
        <w:gridCol w:w="8093"/>
        <w:gridCol w:w="850"/>
      </w:tblGrid>
      <w:tr>
        <w:trPr>
          <w:jc w:val="center"/>
          <w:trHeight w:val="355"/>
          <w:tblHeader/>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评分因素</w:t>
            </w:r>
            <w:r/>
          </w:p>
        </w:tc>
        <w:tc>
          <w:tcPr>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分值</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报价</w:t>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（30分）</w:t>
            </w:r>
            <w:r/>
          </w:p>
        </w:tc>
        <w:tc>
          <w:tcPr>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1.1满足招标文件要求投标最低价为评标基准值，评标基准值为满分。各家供应商的价格分值按照下列公式计算：投标报价得分=(评标基准值/投标报价)×30。（小数点后保留两位，第三位四舍五入）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30</w:t>
            </w:r>
            <w:r/>
          </w:p>
        </w:tc>
      </w:tr>
      <w:tr>
        <w:trPr>
          <w:jc w:val="center"/>
          <w:trHeight w:val="2121"/>
        </w:trPr>
        <w:tc>
          <w:tcPr>
            <w:tcBorders>
              <w:top w:val="single" w:color="000000" w:sz="4" w:space="0"/>
              <w:left w:val="single" w:color="000000" w:sz="4" w:space="0"/>
              <w:right w:val="single" w:color="000000" w:sz="4" w:space="0"/>
            </w:tcBorders>
            <w:tcW w:w="562"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left w:val="single" w:color="000000" w:sz="4" w:space="0"/>
              <w:right w:val="single" w:color="000000" w:sz="4" w:space="0"/>
            </w:tcBorders>
            <w:tcW w:w="1263"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技术参数</w:t>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响应</w:t>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35</w:t>
            </w:r>
            <w:r>
              <w:rPr>
                <w:rFonts w:hint="eastAsia" w:ascii="宋体" w:hAnsi="宋体" w:eastAsia="宋体" w:cs="宋体"/>
                <w:color w:val="auto"/>
                <w:sz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2.1设备技术参数全部满足招标要求的得满分</w:t>
            </w:r>
            <w:r>
              <w:rPr>
                <w:rFonts w:hint="eastAsia" w:ascii="宋体" w:hAnsi="宋体" w:eastAsia="宋体" w:cs="宋体"/>
                <w:color w:val="auto"/>
                <w:sz w:val="24"/>
                <w:highlight w:val="none"/>
              </w:rPr>
              <w:t xml:space="preserve">35</w:t>
            </w:r>
            <w:r>
              <w:rPr>
                <w:rFonts w:hint="eastAsia" w:ascii="宋体" w:hAnsi="宋体" w:eastAsia="宋体" w:cs="宋体"/>
                <w:color w:val="auto"/>
                <w:sz w:val="24"/>
                <w:highlight w:val="none"/>
                <w:lang w:val="zh-CN"/>
              </w:rPr>
              <w:t xml:space="preserve">分。正偏离不加分，打★号指标为必须满足项，如有负偏离将作为无效报价；</w:t>
            </w:r>
            <w:r>
              <w:rPr>
                <w:rFonts w:hint="eastAsia" w:ascii="宋体" w:hAnsi="宋体" w:eastAsia="宋体" w:cs="Times New Roman"/>
                <w:color w:val="auto"/>
                <w:sz w:val="24"/>
                <w:highlight w:val="none"/>
                <w:lang w:val="zh-CN"/>
              </w:rPr>
              <w:t xml:space="preserve">采购需求中打</w:t>
            </w:r>
            <w:r>
              <w:rPr>
                <w:rFonts w:hint="eastAsia" w:ascii="宋体" w:hAnsi="宋体" w:eastAsia="宋体" w:cs="宋体"/>
                <w:color w:val="auto"/>
                <w:sz w:val="24"/>
                <w:highlight w:val="none"/>
                <w:lang w:val="zh-CN"/>
              </w:rPr>
              <w:t xml:space="preserve">“▲”号指标有一个负偏离扣</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分，其余指标（</w:t>
            </w:r>
            <w:r>
              <w:rPr>
                <w:rFonts w:hint="eastAsia" w:ascii="宋体" w:hAnsi="宋体" w:eastAsia="宋体" w:cs="Times New Roman"/>
                <w:color w:val="auto"/>
                <w:sz w:val="24"/>
                <w:highlight w:val="none"/>
                <w:lang w:val="zh-CN"/>
              </w:rPr>
              <w:t xml:space="preserve">除 “▲”条款之外的</w:t>
            </w:r>
            <w:r>
              <w:rPr>
                <w:rFonts w:hint="eastAsia" w:ascii="宋体" w:hAnsi="宋体" w:eastAsia="宋体" w:cs="宋体"/>
                <w:color w:val="auto"/>
                <w:sz w:val="24"/>
                <w:highlight w:val="none"/>
                <w:lang w:val="zh-CN"/>
              </w:rPr>
              <w:t xml:space="preserve">）有一个负偏离扣</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分，扣完为止。</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说明：供应商应根据所投产品技术参数性能对招标文件技术需求进行逐条响应，并提供对应证明材料。其中，“▲”号的设备，供应商或产品制造商需提供有效技术支持资料（如需求中未明确要求提供何种证明材料的，投标人应</w:t>
            </w:r>
            <w:r>
              <w:rPr>
                <w:rFonts w:hint="eastAsia" w:ascii="宋体" w:hAnsi="宋体" w:eastAsia="宋体" w:cs="宋体"/>
                <w:color w:val="auto"/>
                <w:sz w:val="24"/>
                <w:highlight w:val="none"/>
                <w:lang w:val="zh-CN"/>
              </w:rPr>
              <w:t xml:space="preserve">自行提供证明材料。自行提供的证明材料是指以下任意一种：产品技术说明书或具有检测资质的第三方机构出具的检测报告或经评标委员会认可的证明材料）。供应商应准确标注每项证明材料的对应页码，并在证明材料上清晰标示该证明内容位置。供应商提供的证明材料无法充分证明所投产品满足招标文件所列技术需求的、未按要求提供证明材料、未能准确标注证明材料位置及内容的，评标委员会经评审后，有权在评审中按负偏离处理。项目参数、技术参数及相关要求响应情况须真实，不得虚假响应，否则视为提供虚假材料谋取中标，按无效投标处理，并依法追究相应责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r>
      <w:tr>
        <w:trPr>
          <w:jc w:val="center"/>
          <w:trHeight w:val="1360"/>
        </w:trPr>
        <w:tc>
          <w:tcPr>
            <w:tcBorders>
              <w:top w:val="single" w:color="000000" w:sz="4" w:space="0"/>
              <w:left w:val="single" w:color="000000" w:sz="4" w:space="0"/>
              <w:right w:val="single" w:color="000000" w:sz="4" w:space="0"/>
            </w:tcBorders>
            <w:tcW w:w="562"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left w:val="single" w:color="000000" w:sz="4" w:space="0"/>
              <w:right w:val="single" w:color="000000" w:sz="4" w:space="0"/>
            </w:tcBorders>
            <w:tcW w:w="1263"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业绩</w:t>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093" w:type="dxa"/>
            <w:vAlign w:val="center"/>
            <w:textDirection w:val="lrTb"/>
            <w:noWrap/>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3.1供应商业绩：提供自20</w:t>
            </w: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月1日至</w:t>
            </w:r>
            <w:r>
              <w:rPr>
                <w:rFonts w:hint="eastAsia" w:ascii="宋体" w:hAnsi="宋体" w:eastAsia="宋体" w:cs="宋体"/>
                <w:color w:val="auto"/>
                <w:sz w:val="24"/>
                <w:highlight w:val="none"/>
              </w:rPr>
              <w:t xml:space="preserve">今</w:t>
            </w:r>
            <w:r>
              <w:rPr>
                <w:rFonts w:ascii="宋体" w:hAnsi="宋体" w:eastAsia="宋体" w:cs="宋体"/>
                <w:color w:val="auto"/>
                <w:sz w:val="24"/>
                <w:highlight w:val="none"/>
              </w:rPr>
              <w:t xml:space="preserve">与本次</w:t>
            </w:r>
            <w:r>
              <w:rPr>
                <w:rFonts w:hint="eastAsia" w:ascii="宋体" w:hAnsi="宋体" w:eastAsia="宋体" w:cs="宋体"/>
                <w:color w:val="auto"/>
                <w:sz w:val="24"/>
                <w:highlight w:val="none"/>
              </w:rPr>
              <w:t xml:space="preserve">所投</w:t>
            </w:r>
            <w:r>
              <w:rPr>
                <w:rFonts w:ascii="宋体" w:hAnsi="宋体" w:eastAsia="宋体" w:cs="宋体"/>
                <w:color w:val="auto"/>
                <w:sz w:val="24"/>
                <w:highlight w:val="none"/>
              </w:rPr>
              <w:t xml:space="preserve">同型号</w:t>
            </w:r>
            <w:r>
              <w:rPr>
                <w:rFonts w:hint="eastAsia" w:ascii="宋体" w:hAnsi="宋体" w:eastAsia="宋体" w:cs="宋体"/>
                <w:color w:val="auto"/>
                <w:sz w:val="24"/>
                <w:highlight w:val="none"/>
              </w:rPr>
              <w:t xml:space="preserve">产品（全自动微生物质谱仪）</w:t>
            </w:r>
            <w:r>
              <w:rPr>
                <w:rFonts w:ascii="宋体" w:hAnsi="宋体" w:eastAsia="宋体" w:cs="宋体"/>
                <w:color w:val="auto"/>
                <w:sz w:val="24"/>
                <w:highlight w:val="none"/>
              </w:rPr>
              <w:t xml:space="preserve">的设备</w:t>
            </w:r>
            <w:r>
              <w:rPr>
                <w:rFonts w:hint="eastAsia" w:ascii="宋体" w:hAnsi="宋体" w:eastAsia="宋体" w:cs="宋体"/>
                <w:color w:val="auto"/>
                <w:sz w:val="24"/>
                <w:highlight w:val="none"/>
              </w:rPr>
              <w:t xml:space="preserve">业绩，每</w:t>
            </w:r>
            <w:r>
              <w:rPr>
                <w:rFonts w:hint="eastAsia" w:ascii="宋体" w:hAnsi="宋体" w:eastAsia="宋体" w:cs="宋体"/>
                <w:color w:val="auto"/>
                <w:sz w:val="24"/>
                <w:highlight w:val="none"/>
                <w:lang w:val="zh-CN"/>
              </w:rPr>
              <w:t xml:space="preserve">提供一个业绩得3分，最高得</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提供合同、</w:t>
            </w:r>
            <w:r>
              <w:rPr>
                <w:rFonts w:hint="eastAsia" w:ascii="宋体" w:hAnsi="宋体" w:eastAsia="宋体" w:cs="宋体"/>
                <w:color w:val="auto"/>
                <w:sz w:val="24"/>
                <w:highlight w:val="none"/>
              </w:rPr>
              <w:t xml:space="preserve">结算发票（任意一次支付款）扫描件</w:t>
            </w:r>
            <w:r>
              <w:rPr>
                <w:rFonts w:hint="eastAsia" w:ascii="宋体" w:hAnsi="宋体" w:eastAsia="宋体" w:cs="宋体"/>
                <w:color w:val="auto"/>
                <w:sz w:val="24"/>
                <w:highlight w:val="none"/>
                <w:lang w:val="zh-CN"/>
              </w:rPr>
              <w:t xml:space="preserve">，时间以合同签订日期为准，提供的合同等证明材料无法反映相关数据和内容的或未提供的不得分</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p>
        </w:tc>
      </w:tr>
      <w:tr>
        <w:trPr>
          <w:jc w:val="center"/>
          <w:trHeight w:val="837"/>
        </w:trPr>
        <w:tc>
          <w:tcPr>
            <w:tcBorders>
              <w:left w:val="single" w:color="000000" w:sz="4" w:space="0"/>
              <w:right w:val="single" w:color="000000" w:sz="4" w:space="0"/>
            </w:tcBorders>
            <w:tcW w:w="562"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left w:val="single" w:color="000000" w:sz="4" w:space="0"/>
              <w:right w:val="single" w:color="000000" w:sz="4" w:space="0"/>
            </w:tcBorders>
            <w:tcW w:w="1263" w:type="dxa"/>
            <w:vAlign w:val="center"/>
            <w:textDirection w:val="lrTb"/>
            <w:noWrap/>
          </w:tcPr>
          <w:p>
            <w:pPr>
              <w:jc w:val="center"/>
              <w:rPr>
                <w:rFonts w:hint="eastAsia" w:ascii="宋体" w:hAnsi="宋体" w:cs="仿宋"/>
                <w:color w:val="auto"/>
                <w:sz w:val="24"/>
                <w:highlight w:val="none"/>
              </w:rPr>
            </w:pPr>
            <w:r>
              <w:rPr>
                <w:rFonts w:hint="eastAsia" w:ascii="宋体" w:hAnsi="宋体" w:cs="仿宋"/>
                <w:color w:val="auto"/>
                <w:sz w:val="24"/>
                <w:highlight w:val="none"/>
              </w:rPr>
              <w:t xml:space="preserve">承诺书</w:t>
            </w:r>
            <w:r/>
          </w:p>
          <w:p>
            <w:pPr>
              <w:jc w:val="center"/>
              <w:rPr>
                <w:rFonts w:hint="eastAsia" w:ascii="宋体" w:hAnsi="宋体" w:cs="仿宋"/>
                <w:color w:val="auto"/>
                <w:sz w:val="24"/>
                <w:highlight w:val="none"/>
              </w:rPr>
            </w:pPr>
            <w:r>
              <w:rPr>
                <w:rFonts w:hint="eastAsia" w:ascii="宋体" w:hAnsi="宋体" w:cs="仿宋"/>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8093" w:type="dxa"/>
            <w:vAlign w:val="center"/>
            <w:textDirection w:val="lrTb"/>
            <w:noWrap/>
          </w:tcPr>
          <w:p>
            <w:pPr>
              <w:rPr>
                <w:rFonts w:hint="eastAsia" w:ascii="宋体" w:hAnsi="宋体" w:cs="仿宋"/>
                <w:color w:val="auto"/>
                <w:sz w:val="24"/>
                <w:highlight w:val="none"/>
              </w:rPr>
            </w:pPr>
            <w:r>
              <w:rPr>
                <w:rFonts w:hint="eastAsia" w:ascii="宋体" w:hAnsi="宋体" w:cs="仿宋"/>
                <w:color w:val="auto"/>
                <w:sz w:val="24"/>
                <w:highlight w:val="none"/>
              </w:rPr>
              <w:t xml:space="preserve">4.1供应商在满足采购需求规定的免费质保期基础上，每增加一年质保期得</w:t>
            </w:r>
            <w:r>
              <w:rPr>
                <w:rFonts w:hint="eastAsia" w:ascii="宋体" w:hAnsi="宋体" w:eastAsia="宋体" w:cs="宋体"/>
                <w:color w:val="auto"/>
                <w:sz w:val="24"/>
                <w:highlight w:val="none"/>
              </w:rPr>
              <w:t xml:space="preserve">3分，本项最高得6</w:t>
            </w:r>
            <w:r>
              <w:rPr>
                <w:rFonts w:hint="eastAsia" w:ascii="宋体" w:hAnsi="宋体" w:cs="仿宋"/>
                <w:color w:val="auto"/>
                <w:sz w:val="24"/>
                <w:highlight w:val="none"/>
              </w:rPr>
              <w:t xml:space="preserve">分。提供承诺书，格式自拟，</w:t>
            </w:r>
            <w:r>
              <w:rPr>
                <w:rFonts w:hint="eastAsia" w:ascii="宋体" w:hAnsi="宋体" w:eastAsia="宋体" w:cs="宋体"/>
                <w:color w:val="auto"/>
                <w:sz w:val="24"/>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jc w:val="center"/>
          <w:trHeight w:val="2022"/>
        </w:trPr>
        <w:tc>
          <w:tcPr>
            <w:tcBorders>
              <w:left w:val="single" w:color="000000" w:sz="4" w:space="0"/>
              <w:right w:val="single" w:color="000000" w:sz="4" w:space="0"/>
            </w:tcBorders>
            <w:tcW w:w="562"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 </w:t>
            </w:r>
            <w:r/>
          </w:p>
        </w:tc>
        <w:tc>
          <w:tcPr>
            <w:tcBorders>
              <w:left w:val="single" w:color="000000" w:sz="4" w:space="0"/>
              <w:right w:val="single" w:color="000000" w:sz="4" w:space="0"/>
            </w:tcBorders>
            <w:tcW w:w="1263" w:type="dxa"/>
            <w:vAlign w:val="center"/>
            <w:textDirection w:val="lrTb"/>
            <w:noWrap/>
          </w:tcPr>
          <w:p>
            <w:pPr>
              <w:jc w:val="center"/>
              <w:rPr>
                <w:rFonts w:hint="eastAsia" w:ascii="宋体" w:hAnsi="宋体" w:cs="仿宋"/>
                <w:color w:val="auto"/>
                <w:sz w:val="24"/>
                <w:highlight w:val="none"/>
              </w:rPr>
            </w:pPr>
            <w:r>
              <w:rPr>
                <w:rFonts w:hint="eastAsia" w:ascii="宋体" w:hAnsi="宋体" w:cs="仿宋"/>
                <w:color w:val="auto"/>
                <w:sz w:val="24"/>
                <w:highlight w:val="none"/>
              </w:rPr>
              <w:t xml:space="preserve">供货方案</w:t>
            </w:r>
            <w:r/>
          </w:p>
          <w:p>
            <w:pPr>
              <w:jc w:val="center"/>
              <w:rPr>
                <w:rFonts w:hint="eastAsia" w:ascii="宋体" w:hAnsi="宋体" w:eastAsia="宋体" w:cs="宋体"/>
                <w:color w:val="auto"/>
                <w:sz w:val="24"/>
                <w:highlight w:val="none"/>
                <w:lang w:val="zh-CN"/>
              </w:rPr>
            </w:pPr>
            <w:r>
              <w:rPr>
                <w:rFonts w:hint="eastAsia" w:ascii="宋体" w:hAnsi="宋体" w:cs="仿宋"/>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8093" w:type="dxa"/>
            <w:vAlign w:val="center"/>
            <w:textDirection w:val="lrTb"/>
            <w:noWrap/>
          </w:tcPr>
          <w:p>
            <w:pPr>
              <w:rPr>
                <w:rFonts w:hint="eastAsia" w:ascii="宋体" w:hAnsi="宋体" w:cs="宋体"/>
                <w:color w:val="auto"/>
                <w:sz w:val="24"/>
                <w:highlight w:val="none"/>
              </w:rPr>
            </w:pPr>
            <w:r>
              <w:rPr>
                <w:rFonts w:hint="eastAsia" w:ascii="宋体" w:hAnsi="宋体" w:cs="仿宋"/>
                <w:color w:val="auto"/>
                <w:sz w:val="24"/>
                <w:highlight w:val="none"/>
              </w:rPr>
              <w:t xml:space="preserve">5</w:t>
            </w:r>
            <w:r>
              <w:rPr>
                <w:rFonts w:ascii="宋体" w:hAnsi="宋体" w:cs="仿宋"/>
                <w:color w:val="auto"/>
                <w:sz w:val="24"/>
                <w:highlight w:val="none"/>
              </w:rPr>
              <w:t xml:space="preserve">.1</w:t>
            </w:r>
            <w:r>
              <w:rPr>
                <w:rFonts w:hint="eastAsia" w:ascii="宋体" w:hAnsi="宋体" w:cs="仿宋"/>
                <w:color w:val="auto"/>
                <w:sz w:val="24"/>
                <w:highlight w:val="none"/>
              </w:rPr>
              <w:t xml:space="preserve">评标委员会依据供应商所提供的设备供货方案进行综合评审打分，方案应至少包含以下方面：①设备出厂检验标准、包装防护；②设备运输方式、运输保险、交货期保障措施、现场卸货及交接流程；③设备安装调试流程、操作注意要点、项目实施人员配备、与采购人沟通配合。供货方案具备科学性、完整性、合理性、及准确反映建设需求、安装调试方案完整详实的得6分；供货方案较科学合理、较准确反映采购需求，安装方案较可行的得4分；供货方案基本完整、基本准确反映采购需求的得2分；未提供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jc w:val="center"/>
          <w:trHeight w:val="674"/>
        </w:trPr>
        <w:tc>
          <w:tcPr>
            <w:tcBorders>
              <w:left w:val="single" w:color="000000" w:sz="4" w:space="0"/>
              <w:right w:val="single" w:color="000000" w:sz="4" w:space="0"/>
            </w:tcBorders>
            <w:tcW w:w="562" w:type="dxa"/>
            <w:vAlign w:val="center"/>
            <w:vMerge w:val="restart"/>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left w:val="single" w:color="000000" w:sz="4" w:space="0"/>
              <w:right w:val="single" w:color="000000" w:sz="4" w:space="0"/>
            </w:tcBorders>
            <w:tcW w:w="1263" w:type="dxa"/>
            <w:vAlign w:val="center"/>
            <w:vMerge w:val="restart"/>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售后服务</w:t>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分）</w:t>
            </w:r>
            <w:r/>
          </w:p>
        </w:tc>
        <w:tc>
          <w:tcPr>
            <w:tcBorders>
              <w:top w:val="single" w:color="auto" w:sz="4" w:space="0"/>
              <w:left w:val="single" w:color="auto" w:sz="4" w:space="0"/>
              <w:right w:val="single" w:color="auto" w:sz="4" w:space="0"/>
            </w:tcBorders>
            <w:tcW w:w="8093" w:type="dxa"/>
            <w:vAlign w:val="center"/>
            <w:textDirection w:val="lrTb"/>
            <w:noWrap/>
          </w:tcPr>
          <w:p>
            <w:pPr>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6.</w:t>
            </w:r>
            <w:r>
              <w:rPr>
                <w:rFonts w:ascii="宋体" w:hAnsi="宋体" w:eastAsia="宋体" w:cs="宋体"/>
                <w:color w:val="auto"/>
                <w:sz w:val="24"/>
                <w:highlight w:val="none"/>
                <w:lang w:val="zh-CN"/>
              </w:rPr>
              <w:t xml:space="preserve">1</w:t>
            </w:r>
            <w:r>
              <w:rPr>
                <w:rFonts w:hint="eastAsia" w:ascii="宋体" w:hAnsi="宋体" w:eastAsia="宋体" w:cs="宋体"/>
                <w:color w:val="auto"/>
                <w:sz w:val="24"/>
                <w:highlight w:val="none"/>
                <w:lang w:val="zh-CN"/>
              </w:rPr>
              <w:t xml:space="preserve">售后服务方案：评标委员会根据供应商提供的售后服务方案进行综合评审打分，方案至少包含以下方面：①质保期内售后服务（定期回访巡检方案、常见故障及重大故障解决措施、技术人员保障措施等）；②服务能力（服务网点、维修网点设置情况以及技术人员配置情况）；③质保期满后售后服务（故障处理措施、技术人员支持与保障、</w:t>
            </w:r>
            <w:r>
              <w:rPr>
                <w:rFonts w:hint="eastAsia" w:ascii="宋体" w:hAnsi="宋体" w:eastAsia="宋体" w:cs="宋体"/>
                <w:color w:val="auto"/>
                <w:sz w:val="24"/>
                <w:highlight w:val="none"/>
              </w:rPr>
              <w:t xml:space="preserve">设备</w:t>
            </w:r>
            <w:r>
              <w:rPr>
                <w:rFonts w:hint="eastAsia" w:ascii="宋体" w:hAnsi="宋体" w:eastAsia="宋体" w:cs="宋体"/>
                <w:color w:val="auto"/>
                <w:sz w:val="24"/>
                <w:highlight w:val="none"/>
                <w:lang w:val="zh-CN"/>
              </w:rPr>
              <w:t xml:space="preserve">维护保养要点、备品配件价格等）。售后服务方案完整详实、论述清晰且保障性、可实施性强、</w:t>
            </w:r>
            <w:r>
              <w:rPr>
                <w:rFonts w:hint="eastAsia" w:ascii="宋体" w:hAnsi="宋体" w:eastAsia="宋体" w:cs="宋体"/>
                <w:color w:val="auto"/>
                <w:sz w:val="24"/>
                <w:highlight w:val="none"/>
              </w:rPr>
              <w:t xml:space="preserve">故障解决方案可行性强</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分；售后服务方案保障性及可实施性较强，</w:t>
            </w:r>
            <w:r>
              <w:rPr>
                <w:rFonts w:hint="eastAsia" w:ascii="宋体" w:hAnsi="宋体" w:eastAsia="宋体" w:cs="宋体"/>
                <w:color w:val="auto"/>
                <w:sz w:val="24"/>
                <w:highlight w:val="none"/>
              </w:rPr>
              <w:t xml:space="preserve">故障解决方案较合理</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分；售后服务方案完整性及可实施性一般的得</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分；未提供不得分。</w:t>
            </w:r>
            <w:r/>
          </w:p>
        </w:tc>
        <w:tc>
          <w:tcPr>
            <w:tcBorders>
              <w:top w:val="single" w:color="auto" w:sz="4" w:space="0"/>
              <w:left w:val="none" w:color="000000" w:sz="4" w:space="0"/>
              <w:right w:val="single" w:color="auto"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jc w:val="center"/>
          <w:trHeight w:val="974"/>
        </w:trPr>
        <w:tc>
          <w:tcPr>
            <w:tcBorders>
              <w:left w:val="single" w:color="000000" w:sz="4" w:space="0"/>
              <w:right w:val="single" w:color="000000" w:sz="4" w:space="0"/>
            </w:tcBorders>
            <w:tcW w:w="562" w:type="dxa"/>
            <w:vAlign w:val="center"/>
            <w:vMerge w:val="continue"/>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000000" w:sz="4" w:space="0"/>
              <w:right w:val="single" w:color="000000" w:sz="4" w:space="0"/>
            </w:tcBorders>
            <w:tcW w:w="1263" w:type="dxa"/>
            <w:vAlign w:val="center"/>
            <w:vMerge w:val="continue"/>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4" w:space="0"/>
              <w:left w:val="single" w:color="auto" w:sz="4" w:space="0"/>
              <w:right w:val="single" w:color="auto" w:sz="4" w:space="0"/>
            </w:tcBorders>
            <w:tcW w:w="8093" w:type="dxa"/>
            <w:vAlign w:val="center"/>
            <w:textDirection w:val="lrTb"/>
            <w:noWrap/>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6.2售后服务响应：</w:t>
            </w:r>
            <w:r>
              <w:rPr>
                <w:rFonts w:hint="eastAsia" w:ascii="宋体" w:hAnsi="宋体" w:cs="仿宋"/>
                <w:color w:val="auto"/>
                <w:sz w:val="24"/>
                <w:highlight w:val="none"/>
              </w:rPr>
              <w:t xml:space="preserve">供应商承诺</w:t>
            </w:r>
            <w:r>
              <w:rPr>
                <w:rFonts w:hint="eastAsia" w:ascii="宋体" w:hAnsi="宋体" w:eastAsia="宋体" w:cs="宋体"/>
                <w:color w:val="auto"/>
                <w:sz w:val="24"/>
                <w:highlight w:val="none"/>
              </w:rPr>
              <w:t xml:space="preserve">在质保期内接到通知电话1小时内响应，</w:t>
            </w:r>
            <w:r>
              <w:rPr>
                <w:rFonts w:hint="eastAsia" w:ascii="宋体" w:hAnsi="宋体" w:eastAsia="宋体" w:cs="宋体"/>
                <w:color w:val="auto"/>
                <w:sz w:val="24"/>
                <w:highlight w:val="none"/>
              </w:rPr>
              <w:t xml:space="preserve">且4小时内</w:t>
            </w:r>
            <w:r>
              <w:rPr>
                <w:rFonts w:hint="eastAsia" w:ascii="宋体" w:hAnsi="宋体" w:eastAsia="宋体" w:cs="宋体"/>
                <w:color w:val="auto"/>
                <w:sz w:val="24"/>
                <w:highlight w:val="none"/>
              </w:rPr>
              <w:t xml:space="preserve">专业工程师到达现场免费维修的得2分。提供承诺书加盖公章，格式自拟，未提供不得分。</w:t>
            </w:r>
            <w:r/>
          </w:p>
        </w:tc>
        <w:tc>
          <w:tcPr>
            <w:tcBorders>
              <w:top w:val="single" w:color="auto" w:sz="4" w:space="0"/>
              <w:left w:val="none" w:color="000000" w:sz="4" w:space="0"/>
              <w:right w:val="single" w:color="auto"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jc w:val="center"/>
          <w:trHeight w:val="1887"/>
        </w:trPr>
        <w:tc>
          <w:tcPr>
            <w:tcBorders>
              <w:left w:val="single" w:color="000000" w:sz="4" w:space="0"/>
              <w:right w:val="single" w:color="000000" w:sz="4" w:space="0"/>
            </w:tcBorders>
            <w:tcW w:w="562" w:type="dxa"/>
            <w:vAlign w:val="center"/>
            <w:vMerge w:val="continue"/>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000000" w:sz="4" w:space="0"/>
              <w:right w:val="single" w:color="000000" w:sz="4" w:space="0"/>
            </w:tcBorders>
            <w:tcW w:w="1263" w:type="dxa"/>
            <w:vAlign w:val="center"/>
            <w:vMerge w:val="continue"/>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4" w:space="0"/>
              <w:left w:val="single" w:color="auto" w:sz="4" w:space="0"/>
              <w:right w:val="single" w:color="auto" w:sz="4" w:space="0"/>
            </w:tcBorders>
            <w:tcW w:w="8093" w:type="dxa"/>
            <w:vAlign w:val="center"/>
            <w:textDirection w:val="lrTb"/>
            <w:noWrap/>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6.3培训服务：</w:t>
            </w:r>
            <w:r>
              <w:rPr>
                <w:rFonts w:hint="eastAsia" w:ascii="宋体" w:hAnsi="宋体" w:eastAsia="宋体" w:cs="宋体"/>
                <w:color w:val="auto"/>
                <w:sz w:val="24"/>
                <w:highlight w:val="none"/>
                <w:lang w:val="zh-CN"/>
              </w:rPr>
              <w:t xml:space="preserve">评标委员会根据供应商提供的培训方案，方案至少包含以下方面：①人员操作培训；②日常保养培训；③进阶培训、学习方案。培训服务方案明确、内容完整、安排合理、针对性强的得</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分；方案较切实可行、内容较完整、针对性较强的得</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分；方案内容基本完整、具有一定针对性的得</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分；未提供不得分。</w:t>
            </w:r>
            <w:r/>
          </w:p>
        </w:tc>
        <w:tc>
          <w:tcPr>
            <w:tcBorders>
              <w:top w:val="single" w:color="auto" w:sz="4" w:space="0"/>
              <w:left w:val="none" w:color="000000" w:sz="4" w:space="0"/>
              <w:right w:val="single" w:color="auto" w:sz="4" w:space="0"/>
            </w:tcBorders>
            <w:tcW w:w="850"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jc w:val="center"/>
          <w:trHeight w:val="584"/>
        </w:trPr>
        <w:tc>
          <w:tcPr>
            <w:tcBorders>
              <w:top w:val="single" w:color="000000" w:sz="4" w:space="0"/>
              <w:left w:val="single" w:color="000000" w:sz="4" w:space="0"/>
              <w:right w:val="single" w:color="000000" w:sz="4" w:space="0"/>
            </w:tcBorders>
            <w:tcW w:w="562"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合计</w:t>
            </w:r>
            <w:r/>
          </w:p>
        </w:tc>
        <w:tc>
          <w:tcPr>
            <w:gridSpan w:val="3"/>
            <w:tcBorders>
              <w:top w:val="none" w:color="000000" w:sz="4" w:space="0"/>
              <w:left w:val="single" w:color="000000" w:sz="4" w:space="0"/>
              <w:right w:val="single" w:color="000000" w:sz="4" w:space="0"/>
            </w:tcBorders>
            <w:tcW w:w="10206" w:type="dxa"/>
            <w:vAlign w:val="center"/>
            <w:textDirection w:val="lrTb"/>
            <w:noWrap/>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100分</w:t>
            </w:r>
            <w:r/>
          </w:p>
        </w:tc>
      </w:tr>
    </w:tbl>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1、所有认证、检测报告、证明和业绩均以有效的证明文件的复印件（扫描件）加盖公章。</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2、所有认证、检测报告、证明和业绩的单位名称须与供应商或制造商名称一致（以公章为准），否则不得分。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3、若供应商提供虚假资料，一经查实作无效投标处理。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5、小微企业的价格扣除</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（1）对小微企业生产的产品给予投标价的10%价格扣除，用扣除后的价格参与评审。</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（3）小企业（含小型、微型企业）应当同时符合以下条件：</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①供应商为小企业，且符合中小企业划分标准；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②提供本企业制造的货物、承担的工程或者服务，或者提供其他小企业制造的货物。如果提供的货物为大中型企业注册商标的货物，视同大中型企业。</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6、若供应商提供的认证证书、荣誉证书、专利是所投产品制造商的，请供应商与制造商在证书上加盖公章。</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7、残疾人福利单位价格扣除</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（1）本项目对残疾人福利性单位视同小型、微型企业，给予10%的价格扣除，用扣除后的价格参与评审。</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（2）残疾人福利单位需按照采购文件的要求提供《残疾人福利性单位声明函》。</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（3）残疾人福利单位标准请参照《关于促进残疾人就业政府采购政策的通知》（财库〔2017〕141号）。</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8、监狱和戒毒企业价格扣除</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（1）本项目对监狱和戒毒企业（简称监狱企业）视同小型、微型企业，给予10%的价格扣除，用扣除后的价格参与评审。</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（3）监狱企业标准请参照《关于政府采购支持监狱企业发展有关问题的通知》（财库[2014]68号）。</w:t>
      </w:r>
      <w:r/>
    </w:p>
    <w:p>
      <w:pPr>
        <w:spacing w:line="360" w:lineRule="auto"/>
        <w:rPr>
          <w:rFonts w:hint="eastAsia" w:ascii="宋体" w:hAnsi="宋体" w:eastAsia="宋体" w:cs="宋体"/>
          <w:color w:val="auto"/>
          <w:sz w:val="20"/>
          <w:szCs w:val="22"/>
          <w:highlight w:val="none"/>
        </w:rPr>
      </w:pPr>
      <w:r>
        <w:rPr>
          <w:rFonts w:hint="eastAsia" w:ascii="宋体" w:hAnsi="宋体" w:eastAsia="宋体" w:cs="宋体"/>
          <w:color w:val="auto"/>
          <w:sz w:val="22"/>
          <w:szCs w:val="22"/>
          <w:highlight w:val="none"/>
        </w:rPr>
        <w:t xml:space="preserve">9、残疾人福利单位、监狱企业属于小型、微型企业的，不重复享受政策。</w:t>
      </w:r>
      <w:r/>
    </w:p>
    <w:p>
      <w:pPr>
        <w:spacing w:line="360" w:lineRule="auto"/>
        <w:rPr>
          <w:rFonts w:hint="eastAsia" w:ascii="方正魏碑_GBK" w:hAnsi="方正魏碑_GBK" w:eastAsia="方正魏碑_GBK" w:cs="方正魏碑_GBK"/>
          <w:color w:val="auto"/>
          <w:szCs w:val="21"/>
          <w:highlight w:val="none"/>
        </w:rPr>
      </w:pPr>
      <w:r>
        <w:rPr>
          <w:rFonts w:hint="eastAsia" w:ascii="方正魏碑_GBK" w:hAnsi="方正魏碑_GBK" w:eastAsia="方正魏碑_GBK" w:cs="方正魏碑_GBK"/>
          <w:color w:val="auto"/>
          <w:szCs w:val="21"/>
          <w:highlight w:val="none"/>
        </w:rPr>
        <w:t xml:space="preserve">10、采购本国产品的支持政策</w:t>
      </w:r>
      <w:r/>
    </w:p>
    <w:p>
      <w:pPr>
        <w:ind w:firstLine="420"/>
        <w:spacing w:line="360" w:lineRule="auto"/>
        <w:rPr>
          <w:rFonts w:hint="eastAsia" w:ascii="方正魏碑_GBK" w:hAnsi="方正魏碑_GBK" w:eastAsia="方正魏碑_GBK" w:cs="方正魏碑_GBK"/>
          <w:color w:val="auto"/>
          <w:szCs w:val="21"/>
          <w:highlight w:val="none"/>
        </w:rPr>
      </w:pPr>
      <w:r>
        <w:rPr>
          <w:rFonts w:hint="eastAsia" w:ascii="方正魏碑_GBK" w:hAnsi="方正魏碑_GBK" w:eastAsia="方正魏碑_GBK" w:cs="方正魏碑_GBK"/>
          <w:color w:val="auto"/>
          <w:szCs w:val="21"/>
          <w:highlight w:val="none"/>
        </w:rPr>
        <w:t xml:space="preserve">10.1本项目政府采购活动中既有本国产品又有非本国产品参与竞争的，依法对本国产品给予价格评审优惠，对本国产品的报价给予</w:t>
      </w:r>
      <w:r>
        <w:rPr>
          <w:rFonts w:hint="eastAsia" w:ascii="方正魏碑_GBK" w:hAnsi="方正魏碑_GBK" w:eastAsia="方正魏碑_GBK" w:cs="方正魏碑_GBK"/>
          <w:color w:val="auto"/>
          <w:szCs w:val="21"/>
          <w:highlight w:val="none"/>
          <w:u w:val="single"/>
        </w:rPr>
        <w:t xml:space="preserve">20%</w:t>
      </w:r>
      <w:r>
        <w:rPr>
          <w:rFonts w:hint="eastAsia" w:ascii="方正魏碑_GBK" w:hAnsi="方正魏碑_GBK" w:eastAsia="方正魏碑_GBK" w:cs="方正魏碑_GBK"/>
          <w:color w:val="auto"/>
          <w:szCs w:val="21"/>
          <w:highlight w:val="none"/>
        </w:rPr>
        <w:t xml:space="preserve">的价格扣除，用扣除后的价格参与评审。</w:t>
      </w:r>
      <w:r/>
    </w:p>
    <w:p>
      <w:pPr>
        <w:ind w:firstLine="420"/>
        <w:spacing w:line="360" w:lineRule="auto"/>
        <w:rPr>
          <w:rFonts w:hint="eastAsia" w:ascii="方正魏碑_GBK" w:hAnsi="方正魏碑_GBK" w:eastAsia="方正魏碑_GBK" w:cs="方正魏碑_GBK"/>
          <w:color w:val="auto"/>
          <w:szCs w:val="21"/>
          <w:highlight w:val="none"/>
        </w:rPr>
      </w:pPr>
      <w:r>
        <w:rPr>
          <w:rFonts w:hint="eastAsia" w:ascii="方正魏碑_GBK" w:hAnsi="方正魏碑_GBK" w:eastAsia="方正魏碑_GBK" w:cs="方正魏碑_GBK"/>
          <w:color w:val="auto"/>
          <w:szCs w:val="21"/>
          <w:highlight w:val="none"/>
        </w:rPr>
        <w:t xml:space="preserve">10.2当采购项目或者采购包中含有多种产品，供应商为该采购项目或者采购包提供的符合本国产品标准的产品成本之和占该供应商提供的全部产品成本之和的比例达到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auto"/>
          <w:szCs w:val="21"/>
          <w:highlight w:val="none"/>
          <w:u w:val="single"/>
        </w:rPr>
        <w:t xml:space="preserve">80%</w:t>
      </w:r>
      <w:r>
        <w:rPr>
          <w:rFonts w:hint="eastAsia" w:ascii="方正魏碑_GBK" w:hAnsi="方正魏碑_GBK" w:eastAsia="方正魏碑_GBK" w:cs="方正魏碑_GBK"/>
          <w:color w:val="auto"/>
          <w:szCs w:val="21"/>
          <w:highlight w:val="none"/>
        </w:rPr>
        <w:t xml:space="preserve">以上时（供应商需在“第六章 投标文件格式”的“附件3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auto"/>
          <w:szCs w:val="21"/>
          <w:highlight w:val="none"/>
          <w:u w:val="single"/>
        </w:rPr>
        <w:t xml:space="preserve">20%</w:t>
      </w:r>
      <w:r>
        <w:rPr>
          <w:rFonts w:hint="eastAsia" w:ascii="方正魏碑_GBK" w:hAnsi="方正魏碑_GBK" w:eastAsia="方正魏碑_GBK" w:cs="方正魏碑_GBK"/>
          <w:color w:val="auto"/>
          <w:szCs w:val="21"/>
          <w:highlight w:val="none"/>
        </w:rPr>
        <w:t xml:space="preserve">的价格扣除，用扣除后的价格参与评审。供应商未填写比例数值，或比例数值未达到80%的，将不享受本国产品价格评审优惠。</w:t>
      </w:r>
      <w:r/>
    </w:p>
    <w:p>
      <w:pPr>
        <w:ind w:firstLine="420"/>
        <w:spacing w:line="360" w:lineRule="auto"/>
        <w:rPr>
          <w:rFonts w:hint="eastAsia" w:ascii="方正魏碑_GBK" w:hAnsi="方正魏碑_GBK" w:eastAsia="方正魏碑_GBK" w:cs="方正魏碑_GBK"/>
          <w:color w:val="auto"/>
          <w:szCs w:val="21"/>
          <w:highlight w:val="none"/>
        </w:rPr>
      </w:pPr>
      <w:r>
        <w:rPr>
          <w:rFonts w:hint="eastAsia" w:ascii="方正魏碑_GBK" w:hAnsi="方正魏碑_GBK" w:eastAsia="方正魏碑_GBK" w:cs="方正魏碑_GBK"/>
          <w:color w:val="auto"/>
          <w:szCs w:val="21"/>
          <w:highlight w:val="none"/>
        </w:rPr>
        <w:t xml:space="preserve">10.3供应商需按照招标文件的要求提供《关于符合本国产品标准的声明函》（以下简称《声明函》），如不提供将不享受本国产品价格评审优惠。</w:t>
      </w:r>
      <w:r/>
    </w:p>
    <w:p>
      <w:pPr>
        <w:ind w:firstLine="420"/>
        <w:spacing w:line="360" w:lineRule="auto"/>
        <w:rPr>
          <w:rFonts w:hint="eastAsia" w:ascii="方正魏碑_GBK" w:hAnsi="方正魏碑_GBK" w:eastAsia="方正魏碑_GBK" w:cs="方正魏碑_GBK"/>
          <w:color w:val="auto"/>
          <w:szCs w:val="21"/>
          <w:highlight w:val="none"/>
        </w:rPr>
      </w:pPr>
      <w:r>
        <w:rPr>
          <w:rFonts w:hint="eastAsia" w:ascii="方正魏碑_GBK" w:hAnsi="方正魏碑_GBK" w:eastAsia="方正魏碑_GBK" w:cs="方正魏碑_GBK"/>
          <w:color w:val="auto"/>
          <w:szCs w:val="21"/>
          <w:highlight w:val="none"/>
        </w:rPr>
        <w:t xml:space="preserve">10.4供应商需在《声明函》中逐一、</w:t>
      </w:r>
      <w:r>
        <w:rPr>
          <w:rFonts w:ascii="方正魏碑_GBK" w:hAnsi="方正魏碑_GBK" w:eastAsia="方正魏碑_GBK" w:cs="方正魏碑_GBK"/>
          <w:color w:val="auto"/>
          <w:szCs w:val="21"/>
          <w:highlight w:val="none"/>
        </w:rPr>
        <w:t xml:space="preserve">准确</w:t>
      </w:r>
      <w:r>
        <w:rPr>
          <w:rFonts w:hint="eastAsia" w:ascii="方正魏碑_GBK" w:hAnsi="方正魏碑_GBK" w:eastAsia="方正魏碑_GBK" w:cs="方正魏碑_GBK"/>
          <w:color w:val="auto"/>
          <w:szCs w:val="21"/>
          <w:highlight w:val="none"/>
        </w:rPr>
        <w:t xml:space="preserve">填写产品名称、厂名、生产厂址三项信息（《声明函》中用斜线划除的地方无需填写），三</w:t>
      </w:r>
      <w:r>
        <w:rPr>
          <w:rFonts w:ascii="方正魏碑_GBK" w:hAnsi="方正魏碑_GBK" w:eastAsia="方正魏碑_GBK" w:cs="方正魏碑_GBK"/>
          <w:color w:val="auto"/>
          <w:szCs w:val="21"/>
          <w:highlight w:val="none"/>
        </w:rPr>
        <w:t xml:space="preserve">项信息中</w:t>
      </w:r>
      <w:r>
        <w:rPr>
          <w:rFonts w:hint="eastAsia" w:ascii="方正魏碑_GBK" w:hAnsi="方正魏碑_GBK" w:eastAsia="方正魏碑_GBK" w:cs="方正魏碑_GBK"/>
          <w:color w:val="auto"/>
          <w:szCs w:val="21"/>
          <w:highlight w:val="none"/>
        </w:rPr>
        <w:t xml:space="preserve">任意一项未填写的视为该项产品不符合本国产品标准，不享受本国产品价格评审优惠。</w:t>
      </w:r>
      <w:r/>
    </w:p>
    <w:p>
      <w:pPr>
        <w:ind w:firstLine="420"/>
        <w:spacing w:line="360" w:lineRule="auto"/>
        <w:rPr>
          <w:rFonts w:hint="eastAsia"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Cs w:val="21"/>
          <w:highlight w:val="none"/>
        </w:rPr>
        <w:t xml:space="preserve">10.5评标过程中，如发现供应商在《声明函》内容</w:t>
      </w:r>
      <w:r>
        <w:rPr>
          <w:rFonts w:ascii="方正魏碑_GBK" w:hAnsi="方正魏碑_GBK" w:eastAsia="方正魏碑_GBK" w:cs="方正魏碑_GBK"/>
          <w:color w:val="auto"/>
          <w:szCs w:val="21"/>
          <w:highlight w:val="none"/>
        </w:rPr>
        <w:t xml:space="preserve">含义不明确、同类事项与投</w:t>
      </w:r>
      <w:r>
        <w:rPr>
          <w:rFonts w:hint="eastAsia" w:ascii="方正魏碑_GBK" w:hAnsi="方正魏碑_GBK" w:eastAsia="方正魏碑_GBK" w:cs="方正魏碑_GBK"/>
          <w:color w:val="auto"/>
          <w:szCs w:val="21"/>
          <w:highlight w:val="none"/>
        </w:rPr>
        <w:t xml:space="preserve">标</w:t>
      </w:r>
      <w:r>
        <w:rPr>
          <w:rFonts w:ascii="方正魏碑_GBK" w:hAnsi="方正魏碑_GBK" w:eastAsia="方正魏碑_GBK" w:cs="方正魏碑_GBK"/>
          <w:color w:val="auto"/>
          <w:szCs w:val="21"/>
          <w:highlight w:val="none"/>
        </w:rPr>
        <w:t xml:space="preserve">（</w:t>
      </w:r>
      <w:r>
        <w:rPr>
          <w:rFonts w:hint="eastAsia" w:ascii="方正魏碑_GBK" w:hAnsi="方正魏碑_GBK" w:eastAsia="方正魏碑_GBK" w:cs="方正魏碑_GBK"/>
          <w:color w:val="auto"/>
          <w:szCs w:val="21"/>
          <w:highlight w:val="none"/>
        </w:rPr>
        <w:t xml:space="preserve">响应</w:t>
      </w:r>
      <w:r>
        <w:rPr>
          <w:rFonts w:ascii="方正魏碑_GBK" w:hAnsi="方正魏碑_GBK" w:eastAsia="方正魏碑_GBK" w:cs="方正魏碑_GBK"/>
          <w:color w:val="auto"/>
          <w:szCs w:val="21"/>
          <w:highlight w:val="none"/>
        </w:rPr>
        <w:t xml:space="preserve">）</w:t>
      </w:r>
      <w:r>
        <w:rPr>
          <w:rFonts w:hint="eastAsia" w:ascii="方正魏碑_GBK" w:hAnsi="方正魏碑_GBK" w:eastAsia="方正魏碑_GBK" w:cs="方正魏碑_GBK"/>
          <w:color w:val="auto"/>
          <w:szCs w:val="21"/>
          <w:highlight w:val="none"/>
        </w:rPr>
        <w:t xml:space="preserve">文件</w:t>
      </w:r>
      <w:r>
        <w:rPr>
          <w:rFonts w:ascii="方正魏碑_GBK" w:hAnsi="方正魏碑_GBK" w:eastAsia="方正魏碑_GBK" w:cs="方正魏碑_GBK"/>
          <w:color w:val="auto"/>
          <w:szCs w:val="21"/>
          <w:highlight w:val="none"/>
        </w:rPr>
        <w:t xml:space="preserve">表述不一致或者有</w:t>
      </w:r>
      <w:r>
        <w:rPr>
          <w:rFonts w:hint="eastAsia" w:ascii="方正魏碑_GBK" w:hAnsi="方正魏碑_GBK" w:eastAsia="方正魏碑_GBK" w:cs="方正魏碑_GBK"/>
          <w:color w:val="auto"/>
          <w:szCs w:val="21"/>
          <w:highlight w:val="none"/>
        </w:rPr>
        <w:t xml:space="preserve">明显</w:t>
      </w:r>
      <w:r>
        <w:rPr>
          <w:rFonts w:ascii="方正魏碑_GBK" w:hAnsi="方正魏碑_GBK" w:eastAsia="方正魏碑_GBK" w:cs="方正魏碑_GBK"/>
          <w:color w:val="auto"/>
          <w:szCs w:val="21"/>
          <w:highlight w:val="none"/>
        </w:rPr>
        <w:t xml:space="preserve">文字错误等情况的</w:t>
      </w:r>
      <w:r>
        <w:rPr>
          <w:rFonts w:hint="eastAsia" w:ascii="方正魏碑_GBK" w:hAnsi="方正魏碑_GBK" w:eastAsia="方正魏碑_GBK" w:cs="方正魏碑_GBK"/>
          <w:color w:val="auto"/>
          <w:szCs w:val="21"/>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clear="all"/>
      </w:r>
      <w:r/>
    </w:p>
    <w:p>
      <w:pPr>
        <w:jc w:val="cente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第四章 </w:t>
      </w:r>
      <w:bookmarkStart w:id="7" w:name="_Hlk147842222"/>
      <w:r>
        <w:rPr>
          <w:rFonts w:hint="eastAsia" w:ascii="宋体" w:hAnsi="宋体" w:eastAsia="宋体" w:cs="宋体"/>
          <w:b/>
          <w:bCs/>
          <w:color w:val="auto"/>
          <w:sz w:val="36"/>
          <w:szCs w:val="36"/>
          <w:highlight w:val="none"/>
          <w:lang w:val="zh-CN"/>
        </w:rPr>
        <w:t xml:space="preserve"> 采购需求及要求</w:t>
      </w:r>
      <w:r/>
    </w:p>
    <w:p>
      <w:pPr>
        <w:spacing w:line="348" w:lineRule="auto"/>
        <w:rPr>
          <w:rStyle w:val="896"/>
          <w:rFonts w:hint="eastAsia" w:ascii="宋体" w:hAnsi="宋体" w:eastAsia="宋体" w:cs="宋体"/>
          <w:color w:val="auto"/>
          <w:sz w:val="24"/>
          <w:highlight w:val="none"/>
        </w:rPr>
      </w:pPr>
      <w:r>
        <w:rPr>
          <w:rStyle w:val="896"/>
          <w:rFonts w:hint="eastAsia" w:ascii="宋体" w:hAnsi="宋体" w:eastAsia="宋体" w:cs="宋体"/>
          <w:color w:val="auto"/>
          <w:sz w:val="24"/>
          <w:highlight w:val="none"/>
        </w:rPr>
        <w:t xml:space="preserve">一、项目概况：</w:t>
      </w:r>
      <w:bookmarkEnd w:id="7"/>
      <w:r/>
    </w:p>
    <w:p>
      <w:pPr>
        <w:pStyle w:val="681"/>
        <w:keepLines w:val="0"/>
        <w:keepNext w:val="0"/>
        <w:spacing w:before="0" w:after="0" w:line="324" w:lineRule="auto"/>
        <w:rPr>
          <w:rStyle w:val="896"/>
          <w:rFonts w:hint="eastAsia" w:ascii="宋体" w:hAnsi="宋体" w:eastAsia="宋体" w:cs="宋体"/>
          <w:b w:val="0"/>
          <w:color w:val="auto"/>
          <w:sz w:val="24"/>
          <w:szCs w:val="24"/>
          <w:highlight w:val="none"/>
        </w:rPr>
      </w:pPr>
      <w:r>
        <w:rPr>
          <w:rStyle w:val="896"/>
          <w:rFonts w:hint="eastAsia" w:ascii="宋体" w:hAnsi="宋体" w:eastAsia="宋体" w:cs="宋体"/>
          <w:b w:val="0"/>
          <w:color w:val="auto"/>
          <w:sz w:val="24"/>
          <w:szCs w:val="24"/>
          <w:highlight w:val="none"/>
        </w:rPr>
        <w:t xml:space="preserve">项目名称：南京市栖霞区疾病预防控制中心实验室微生物质谱仪采购项目</w:t>
      </w:r>
      <w:r/>
    </w:p>
    <w:p>
      <w:pPr>
        <w:pStyle w:val="689"/>
        <w:ind w:left="0" w:firstLine="0"/>
        <w:spacing w:line="324" w:lineRule="auto"/>
        <w:rPr>
          <w:rStyle w:val="896"/>
          <w:rFonts w:hint="eastAsia" w:ascii="宋体" w:hAnsi="宋体" w:eastAsia="宋体" w:cs="宋体"/>
          <w:b w:val="0"/>
          <w:bCs/>
          <w:color w:val="auto"/>
          <w:sz w:val="24"/>
          <w:highlight w:val="none"/>
        </w:rPr>
      </w:pPr>
      <w:r>
        <w:rPr>
          <w:rStyle w:val="896"/>
          <w:rFonts w:hint="eastAsia" w:ascii="宋体" w:hAnsi="宋体" w:eastAsia="宋体" w:cs="宋体"/>
          <w:b w:val="0"/>
          <w:bCs/>
          <w:color w:val="auto"/>
          <w:sz w:val="24"/>
          <w:highlight w:val="none"/>
        </w:rPr>
        <w:t xml:space="preserve">合同履行期限：自合同签订之日起</w:t>
      </w:r>
      <w:r>
        <w:rPr>
          <w:rFonts w:hint="eastAsia" w:eastAsia="宋体" w:cs="宋体"/>
          <w:color w:val="auto"/>
          <w:highlight w:val="none"/>
        </w:rPr>
        <w:t xml:space="preserve">30日历天内完成货物供货及安装就位。在收到采购人书面调试通知后一周内开展调试工作，确保项目通过采购人组织的验收并取得合格的验收报告。</w:t>
      </w:r>
      <w:r/>
    </w:p>
    <w:p>
      <w:pPr>
        <w:pStyle w:val="681"/>
        <w:keepLines w:val="0"/>
        <w:keepNext w:val="0"/>
        <w:spacing w:before="0" w:after="0" w:line="360" w:lineRule="auto"/>
        <w:rPr>
          <w:rStyle w:val="896"/>
          <w:rFonts w:hint="eastAsia" w:ascii="宋体" w:hAnsi="宋体" w:eastAsia="宋体" w:cs="宋体"/>
          <w:b/>
          <w:bCs w:val="0"/>
          <w:color w:val="auto"/>
          <w:sz w:val="24"/>
          <w:szCs w:val="24"/>
          <w:highlight w:val="none"/>
        </w:rPr>
      </w:pPr>
      <w:r>
        <w:rPr>
          <w:rStyle w:val="896"/>
          <w:rFonts w:hint="eastAsia" w:ascii="宋体" w:hAnsi="宋体" w:eastAsia="宋体" w:cs="宋体"/>
          <w:b/>
          <w:bCs w:val="0"/>
          <w:color w:val="auto"/>
          <w:sz w:val="24"/>
          <w:szCs w:val="24"/>
          <w:highlight w:val="none"/>
        </w:rPr>
        <w:t xml:space="preserve">二、项目清单</w:t>
      </w:r>
      <w:r/>
    </w:p>
    <w:tbl>
      <w:tblPr>
        <w:tblStyle w:val="714"/>
        <w:tblW w:w="48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3199"/>
        <w:gridCol w:w="1169"/>
        <w:gridCol w:w="1151"/>
        <w:gridCol w:w="1414"/>
        <w:gridCol w:w="1582"/>
      </w:tblGrid>
      <w:tr>
        <w:trPr>
          <w:trHeight w:val="736"/>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spacing w:line="264"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99" w:type="pct"/>
            <w:vAlign w:val="center"/>
            <w:textDirection w:val="lrTb"/>
            <w:noWrap/>
          </w:tcPr>
          <w:p>
            <w:pPr>
              <w:jc w:val="center"/>
              <w:spacing w:line="264" w:lineRule="auto"/>
              <w:rPr>
                <w:rFonts w:hint="eastAsia" w:ascii="宋体" w:hAnsi="宋体" w:cs="宋体"/>
                <w:bCs/>
                <w:color w:val="auto"/>
                <w:sz w:val="24"/>
                <w:highlight w:val="none"/>
              </w:rPr>
            </w:pPr>
            <w:r>
              <w:rPr>
                <w:rFonts w:hint="eastAsia" w:ascii="宋体" w:hAnsi="宋体"/>
                <w:bCs/>
                <w:color w:val="auto"/>
                <w:sz w:val="24"/>
                <w:highlight w:val="none"/>
              </w:rPr>
              <w:t xml:space="preserve">分项</w:t>
            </w:r>
            <w:r>
              <w:rPr>
                <w:rFonts w:hint="eastAsia" w:ascii="宋体" w:hAnsi="宋体" w:cs="宋体"/>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264"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jc w:val="center"/>
              <w:spacing w:line="264"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spacing w:line="264"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所属行业</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spacing w:line="264" w:lineRule="auto"/>
              <w:rPr>
                <w:rFonts w:hint="eastAsia" w:ascii="宋体" w:hAnsi="宋体"/>
                <w:bCs/>
                <w:color w:val="auto"/>
                <w:sz w:val="24"/>
                <w:highlight w:val="none"/>
              </w:rPr>
            </w:pPr>
            <w:r>
              <w:rPr>
                <w:rFonts w:hint="eastAsia" w:ascii="宋体" w:hAnsi="宋体"/>
                <w:bCs/>
                <w:color w:val="auto"/>
                <w:sz w:val="24"/>
                <w:highlight w:val="none"/>
              </w:rPr>
              <w:t xml:space="preserve">备注</w:t>
            </w:r>
            <w:r/>
          </w:p>
        </w:tc>
      </w:tr>
      <w:tr>
        <w:trPr>
          <w:trHeight w:val="703"/>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spacing w:line="288"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99" w:type="pct"/>
            <w:vAlign w:val="center"/>
            <w:textDirection w:val="lrTb"/>
            <w:noWrap/>
          </w:tcPr>
          <w:p>
            <w:pPr>
              <w:jc w:val="center"/>
              <w:spacing w:line="264" w:lineRule="auto"/>
              <w:rPr>
                <w:rFonts w:hint="eastAsia" w:ascii="宋体" w:hAnsi="宋体"/>
                <w:bCs/>
                <w:color w:val="auto"/>
                <w:sz w:val="24"/>
                <w:highlight w:val="none"/>
              </w:rPr>
            </w:pPr>
            <w:r>
              <w:rPr>
                <w:rFonts w:hint="eastAsia" w:ascii="宋体" w:hAnsi="宋体"/>
                <w:bCs/>
                <w:color w:val="auto"/>
                <w:sz w:val="24"/>
                <w:highlight w:val="none"/>
              </w:rPr>
              <w:t xml:space="preserve">全自动微生物质谱仪</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spacing w:line="288"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jc w:val="center"/>
              <w:spacing w:line="288"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tcPr>
          <w:p>
            <w:pPr>
              <w:jc w:val="center"/>
              <w:spacing w:line="288"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spacing w:line="288"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含配置</w:t>
            </w:r>
            <w:r/>
          </w:p>
        </w:tc>
      </w:tr>
    </w:tbl>
    <w:p>
      <w:pPr>
        <w:spacing w:line="360" w:lineRule="auto"/>
        <w:rPr>
          <w:rStyle w:val="896"/>
          <w:rFonts w:hint="eastAsia" w:ascii="宋体" w:hAnsi="宋体" w:eastAsia="宋体" w:cs="宋体"/>
          <w:color w:val="auto"/>
          <w:sz w:val="24"/>
          <w:highlight w:val="none"/>
        </w:rPr>
      </w:pPr>
      <w:r>
        <w:rPr>
          <w:rStyle w:val="896"/>
          <w:rFonts w:hint="eastAsia" w:ascii="宋体" w:hAnsi="宋体" w:eastAsia="宋体" w:cs="宋体"/>
          <w:color w:val="auto"/>
          <w:sz w:val="24"/>
          <w:highlight w:val="none"/>
        </w:rPr>
        <w:t xml:space="preserve">三、项目需求</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（一）设备主要用途及基本要求</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1、所投标质谱仪为桌面台式机，具备NMPA医疗器械注册证书（提供注册证），应用范围应包括对细菌、真菌的鉴定；</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2、可进行不同种类的化合物研究，包括蛋白质、核酸、脂质等样本。</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（二）设备技术参数要求</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1.质谱仪硬件性能规格要求：</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▲1.1激光器：采用固态激光器，频率在1～60 Hz范围内任意连续可调，激光发射次数≥20亿次，可长期使用（提供仪器内部照片及产品规格书）；</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1.2飞行管：飞行管采用直线形金属材质，飞行管长度≥1米，保证离子通道准确性和稳定性（提供证明材料，并可通过现场验收验证）；</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1.3具备温度补偿功能，消除环境温度变化对蛋白质量检测准确度的影响（提供相关证明材料）；</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1.4检测器：保障高分辨率，低谱图噪声，最大增益可达10</w:t>
      </w:r>
      <w:r>
        <w:rPr>
          <w:rFonts w:hint="eastAsia" w:ascii="宋体" w:hAnsi="宋体" w:eastAsia="宋体" w:cs="宋体"/>
          <w:color w:val="auto"/>
          <w:sz w:val="24"/>
          <w:highlight w:val="none"/>
          <w:vertAlign w:val="superscript"/>
        </w:rPr>
        <w:t xml:space="preserve">7</w:t>
      </w:r>
      <w:r>
        <w:rPr>
          <w:rFonts w:hint="eastAsia" w:ascii="宋体" w:hAnsi="宋体" w:eastAsia="宋体" w:cs="宋体"/>
          <w:color w:val="auto"/>
          <w:sz w:val="24"/>
          <w:highlight w:val="none"/>
        </w:rPr>
        <w:t xml:space="preserve">倍（提供检测器生产厂商说明书）；</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配备负离子检测模块，可进行脂质分析（提供证明材料）；</w:t>
      </w:r>
      <w:r/>
    </w:p>
    <w:p>
      <w:pPr>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1.6具备三脉冲高精度离子延迟引出技术，采用三脉冲搭载三电场（正/负电</w:t>
      </w:r>
      <w:r>
        <w:rPr>
          <w:rFonts w:ascii="宋体" w:hAnsi="宋体" w:eastAsia="宋体" w:cs="宋体"/>
          <w:color w:val="auto"/>
          <w:sz w:val="24"/>
          <w:highlight w:val="none"/>
        </w:rPr>
        <w:t xml:space="preserve">场</w:t>
      </w:r>
      <w:r>
        <w:rPr>
          <w:rFonts w:hint="eastAsia" w:ascii="宋体" w:hAnsi="宋体" w:eastAsia="宋体" w:cs="宋体"/>
          <w:color w:val="auto"/>
          <w:sz w:val="24"/>
          <w:highlight w:val="none"/>
        </w:rPr>
        <w:t xml:space="preserve">和混合电场）加速离子，实现离子的延时引出，延时精度误差≤100 ps；</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▲1.7前级泵为内置无油隔膜泵，无机油污染，维护时无需添加或更换机油，噪音低（提供内置无油隔膜泵安装在仪器内部的图片及技术说明书）；</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1.8分子泵：分子泵抽速≥300 L/s（提供所配置分子泵结构图和技术说明书）；</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1.9质谱仪从样品靶板放入质谱仪后到真空抽到3×10</w:t>
      </w:r>
      <w:r>
        <w:rPr>
          <w:rFonts w:hint="eastAsia" w:ascii="宋体" w:hAnsi="宋体" w:eastAsia="宋体" w:cs="宋体"/>
          <w:color w:val="auto"/>
          <w:sz w:val="24"/>
          <w:highlight w:val="none"/>
          <w:vertAlign w:val="superscript"/>
        </w:rPr>
        <w:t xml:space="preserve">-6</w:t>
      </w:r>
      <w:r>
        <w:rPr>
          <w:rFonts w:hint="eastAsia" w:ascii="宋体" w:hAnsi="宋体" w:eastAsia="宋体" w:cs="宋体"/>
          <w:color w:val="auto"/>
          <w:sz w:val="24"/>
          <w:highlight w:val="none"/>
        </w:rPr>
        <w:t xml:space="preserve">mbar以下所需时间＜50s；</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1.10可提供仪器配套使用的重复性靶板和一次性使用靶板，一次性上机通量≥96孔，完成96个样本鉴定时间≤17分钟（提供证明材料,并确保装机现场验收通过）；</w:t>
      </w:r>
      <w:r/>
    </w:p>
    <w:p>
      <w:pPr>
        <w:numPr>
          <w:ilvl w:val="0"/>
          <w:numId w:val="7"/>
        </w:num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软件系统要求：</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2.1软件具备仪器控制、数据采集、数据处理及微生物鉴定分析的全套功能，软件具有中文界面，方便实验人员使用鉴定和分析功能，可进行聚类分析、多重性分析、自建库等；</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▲2.2能通过智能算法，对系统进行大样本量训练，构建微生物鉴定区分模型，进行沙门氏菌不同型别、李斯特菌复合群、蜡样芽孢杆菌与苏云金芽孢杆菌等鉴定（提供相关文献或技术说明书等证明材料）；</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2.3鉴定结果：鉴定结果微生物名称中文和拉丁文同时输出，无需切换，在给出质谱鉴定结果的同时能提供菌株相关的形态学、生物特性、药敏、基因序列等信息（提供软件截图）；</w:t>
      </w:r>
      <w:r/>
    </w:p>
    <w:p>
      <w:pPr>
        <w:numPr>
          <w:ilvl w:val="0"/>
          <w:numId w:val="7"/>
        </w:num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数据库及功能：</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蛋白指纹图谱数据库：具有本地微生物菌种数据库，可鉴定菌种数量≥5000种，包括苛氧菌、厌氧菌、分枝杆菌等传统方法难以鉴定的疑难菌种，菌种鉴定正确率大于99%，数据库终身免费升级，并确保以上内容可在现场验证；</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3.2丝状真菌数据库≥500种，包含冠突曲霉、黄曲霉、短孢弯孢、草酸青霉、蜂蜜曲霉、黑根霉、酱油曲霉、燕麦镰刀菌、纸葡萄穗霉等真菌，菌种鉴定属正确率大于95%（提供相关文献或技术说明书等证明材料）；</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罕见菌和新发病原体有准确的鉴定能力，鉴定数据库需包含不限于霍乱弧菌、鼠疫耶尔森菌、肺炎链球菌、牛布鲁氏菌、羊布鲁氏菌、犬布鲁氏菌、嗜肺军团菌、白喉棒状杆菌、产气荚膜梭菌、脑膜炎奈瑟氏球菌等菌株数据，给出鉴定结果时对于布鲁氏菌等具有高危致病菌标识，提示生物安全风险（提供软件界面截图）；</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3.4细菌DNA预测蛋白图谱数据库：基于全球菌株基因组信息建立</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数据库</w:t>
      </w:r>
      <w:r>
        <w:rPr>
          <w:rFonts w:ascii="宋体" w:hAnsi="宋体" w:eastAsia="宋体" w:cs="宋体"/>
          <w:color w:val="auto"/>
          <w:sz w:val="24"/>
          <w:highlight w:val="none"/>
        </w:rPr>
        <w:t xml:space="preserve">＞10000种</w:t>
      </w:r>
      <w:r>
        <w:rPr>
          <w:rFonts w:hint="eastAsia" w:ascii="宋体" w:hAnsi="宋体" w:eastAsia="宋体" w:cs="宋体"/>
          <w:color w:val="auto"/>
          <w:sz w:val="24"/>
          <w:highlight w:val="none"/>
        </w:rPr>
        <w:t xml:space="preserve">，覆盖食品安全、临床诊断、环境监测等领域；</w:t>
      </w:r>
      <w:r/>
    </w:p>
    <w:p>
      <w:pPr>
        <w:numPr>
          <w:ilvl w:val="0"/>
          <w:numId w:val="7"/>
        </w:num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检测性能：</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4.1鉴定质量范围：1-500kDa；</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4.2质量分辨率（线性模式）：&gt;5000FWHM（血管紧张素，Angiotensin）；</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4.3质量准确度：≤100ppm（内部校正误差）；≤150ppm（外部校正误差）；</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4.4鉴定灵敏度：1 fmol/uL 人纤维蛋白肽B（信噪比≥10∶1）；100fmol/uL 牛血清白蛋白（信噪比≥50 : 1）；</w:t>
      </w:r>
      <w:r/>
    </w:p>
    <w:p>
      <w:pPr>
        <w:numPr>
          <w:ilvl w:val="0"/>
          <w:numId w:val="7"/>
        </w:num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试剂与耗材：</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5.1配套同品牌微生物质谱基质试剂盒、霉菌样本预处理试剂盒、血培养阳性样本质谱鉴定前处理试剂盒等试剂及校准品，</w:t>
      </w:r>
      <w:r>
        <w:rPr>
          <w:rFonts w:hint="eastAsia" w:ascii="宋体" w:hAnsi="宋体" w:eastAsia="宋体" w:cs="宋体"/>
          <w:b/>
          <w:bCs/>
          <w:color w:val="auto"/>
          <w:sz w:val="24"/>
          <w:highlight w:val="none"/>
        </w:rPr>
        <w:t xml:space="preserve">均取得医疗器械备案或注册证</w:t>
      </w:r>
      <w:r>
        <w:rPr>
          <w:rFonts w:hint="eastAsia" w:ascii="宋体" w:hAnsi="宋体" w:eastAsia="宋体" w:cs="宋体"/>
          <w:color w:val="auto"/>
          <w:sz w:val="24"/>
          <w:highlight w:val="none"/>
        </w:rPr>
        <w:t xml:space="preserve">；</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能提供同品牌可重复使用不锈钢靶板和一次性使用靶板，重复性靶板为一体式靶板，具备条形码，一体式靶板靶面精度2微米，确保高平整度且表面经镜面抛光处理，具有易于清洗、无残留的特性；（提供靶板图片及医疗器械注册证明）；</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▲5.3可提供核酸检测功能，能开展多病原核酸检测并配套同品牌检测试剂（提供证明材料）；</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★6.配置：</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6.1微生物鉴定质谱系统主机：1 台；</w:t>
      </w:r>
      <w:r>
        <w:rPr>
          <w:rFonts w:hint="eastAsia" w:ascii="宋体" w:hAnsi="宋体" w:eastAsia="宋体" w:cs="宋体"/>
          <w:b/>
          <w:color w:val="auto"/>
          <w:sz w:val="24"/>
          <w:highlight w:val="none"/>
        </w:rPr>
        <w:t xml:space="preserve"> </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6.2数据处理系统：专用电脑1台，Windows10以上操作系统，3.0GHzCPU四核处理器，16GB，1TB硬盘，液晶显示屏，条码扫描器1套；</w:t>
      </w:r>
      <w:r>
        <w:rPr>
          <w:rFonts w:hint="eastAsia" w:ascii="宋体" w:hAnsi="宋体" w:eastAsia="宋体" w:cs="宋体"/>
          <w:bCs/>
          <w:color w:val="auto"/>
          <w:sz w:val="24"/>
          <w:highlight w:val="none"/>
        </w:rPr>
        <w:t xml:space="preserve">（提供实物图片）</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6.3专用UPS电源设备1台，能保证机器运转2小时以上；</w:t>
      </w:r>
      <w:r>
        <w:rPr>
          <w:rFonts w:hint="eastAsia" w:ascii="宋体" w:hAnsi="宋体" w:eastAsia="宋体" w:cs="宋体"/>
          <w:bCs/>
          <w:color w:val="auto"/>
          <w:sz w:val="24"/>
          <w:highlight w:val="none"/>
        </w:rPr>
        <w:t xml:space="preserve">（提供实物图片）</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6.4可重复使用不锈钢靶板4块，一次性使用靶板10块；</w:t>
      </w:r>
      <w:r>
        <w:rPr>
          <w:rFonts w:hint="eastAsia" w:ascii="宋体" w:hAnsi="宋体" w:eastAsia="宋体" w:cs="宋体"/>
          <w:bCs/>
          <w:color w:val="auto"/>
          <w:sz w:val="24"/>
          <w:highlight w:val="none"/>
        </w:rPr>
        <w:t xml:space="preserve">（提供实物图片）</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6.5提供超声清洗仪1台，点靶台1个，实验台1张（长*宽*高：250cm*80cm*80cm，承重＞200kg）。</w:t>
      </w:r>
      <w:r>
        <w:rPr>
          <w:rFonts w:hint="eastAsia" w:ascii="宋体" w:hAnsi="宋体" w:eastAsia="宋体" w:cs="宋体"/>
          <w:bCs/>
          <w:color w:val="auto"/>
          <w:sz w:val="24"/>
          <w:highlight w:val="none"/>
        </w:rPr>
        <w:t xml:space="preserve">（提供实物图片）</w:t>
      </w:r>
      <w:r/>
    </w:p>
    <w:p>
      <w:pPr>
        <w:spacing w:line="276" w:lineRule="auto"/>
        <w:rPr>
          <w:rFonts w:hint="eastAsia" w:ascii="宋体" w:hAnsi="宋体" w:eastAsia="宋体" w:cs="宋体"/>
          <w:b/>
          <w:color w:val="auto"/>
          <w:sz w:val="24"/>
          <w:highlight w:val="none"/>
        </w:rPr>
      </w:pPr>
      <w:r>
        <w:rPr>
          <w:rStyle w:val="896"/>
          <w:rFonts w:hint="eastAsia" w:ascii="宋体" w:hAnsi="宋体" w:eastAsia="宋体" w:cs="宋体"/>
          <w:color w:val="auto"/>
          <w:sz w:val="24"/>
          <w:highlight w:val="none"/>
        </w:rPr>
        <w:t xml:space="preserve">四、</w:t>
      </w:r>
      <w:r>
        <w:rPr>
          <w:rFonts w:hint="eastAsia" w:ascii="宋体" w:hAnsi="宋体" w:eastAsia="宋体" w:cs="宋体"/>
          <w:b/>
          <w:color w:val="auto"/>
          <w:sz w:val="24"/>
          <w:highlight w:val="none"/>
        </w:rPr>
        <w:t xml:space="preserve">供货要求</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提供的货物（含配件）应是全新的、未使用过的原装合格正品，并保证所提供货物的开箱合格率为100%，外观和内在质量都不得有任何问题，在各个方面符合招标文件规定的质量、规格和性能要求。合同设备经过按时、正确安装、合理操作和维护保养，在设备寿命期内运转良好。在规定的质保期内，供应商应对由于设计、工艺或材料的缺陷或故障负责。在未验收前，货物保管、安全均由供应商负责。货物验收合格后风险转移至供应商。</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2、技术资料要求</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完整的技术资料，包括：产品验收标准（含产品合格证验收清单等）；技术说明书；使用说明书（中文和英文）；用户手册；设备安装调试资料、维修线路原理图及其维修资料；备品备件易耗件清单及合同中要求的其他文件资料。</w:t>
      </w:r>
      <w:r/>
    </w:p>
    <w:p>
      <w:pPr>
        <w:numPr>
          <w:ilvl w:val="0"/>
          <w:numId w:val="8"/>
        </w:num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安装到位后，供应商应按采购人指定时间对使用系统的人员和管理人员进行免费培训，使其能够掌握设备的操作、使用方法以及必要的维护技能，培训地点、人数、时间根据采购人要求确定。供应商须提供完善的针对采购方使用人员的培训计划、培训深度、培训范围及相关必要的设备使用维护技能的需要等培训方案。</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供应商须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5、安装调试要求：</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采购人提供详细的设备供货清单，由采购人确认。当货物到达采购人指定的安装现场后，双方依据设备供货清单共同对设备进行开箱验收，并对设备的数量、品质进行逐项检查，经采购人开箱验收合格后才可以进行设备安装，免费安装调试，调试期使用的试剂等相关耗材均由供应商承担，费用含在投标报价内，供应商应综合考虑，采购人不再另行支付。</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（2）在对设备安装调试完成以后，供应商应立即对用户有关操作人员进行上机培训，直至用户能够独立操作。</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五、验收</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1、项目应提交的成果和电子文档</w:t>
      </w:r>
      <w:r/>
    </w:p>
    <w:p>
      <w:pPr>
        <w:ind w:firstLine="480"/>
        <w:spacing w:line="276" w:lineRule="auto"/>
        <w:rPr>
          <w:rFonts w:hint="eastAsia" w:ascii="宋体" w:hAnsi="宋体" w:eastAsia="宋体" w:cs="宋体"/>
          <w:color w:val="auto"/>
          <w:sz w:val="24"/>
          <w:highlight w:val="none"/>
        </w:rPr>
      </w:pPr>
      <w:r/>
      <w:bookmarkStart w:id="8" w:name="_Toc502230034"/>
      <w:r>
        <w:rPr>
          <w:rFonts w:hint="eastAsia" w:ascii="宋体" w:hAnsi="宋体" w:eastAsia="宋体" w:cs="宋体"/>
          <w:color w:val="auto"/>
          <w:sz w:val="24"/>
          <w:highlight w:val="none"/>
        </w:rPr>
        <w:t xml:space="preserve">中标供应商需在交货后</w:t>
      </w:r>
      <w:r>
        <w:rPr>
          <w:rFonts w:hint="eastAsia" w:ascii="宋体" w:hAnsi="宋体" w:eastAsia="宋体" w:cs="宋体"/>
          <w:color w:val="auto"/>
          <w:sz w:val="24"/>
          <w:highlight w:val="none"/>
        </w:rPr>
        <w:t xml:space="preserve">五个工作日内免费提供全套资料</w:t>
      </w:r>
      <w:r>
        <w:rPr>
          <w:rFonts w:hint="eastAsia" w:ascii="宋体" w:hAnsi="宋体" w:eastAsia="宋体" w:cs="宋体"/>
          <w:color w:val="auto"/>
          <w:sz w:val="24"/>
          <w:highlight w:val="none"/>
        </w:rPr>
        <w:t xml:space="preserve">，包括但不限于产品合格证、出厂计量合格证（强检设备）、操作手册、维修手册（含详细电路图）、如技术资料不全，采购人有权不支付货款或退货，因此产生的损失由供应商自行承担。</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2、验收要求</w:t>
      </w:r>
      <w:bookmarkEnd w:id="8"/>
      <w:r>
        <w:rPr>
          <w:rFonts w:hint="eastAsia" w:ascii="宋体" w:hAnsi="宋体" w:eastAsia="宋体" w:cs="宋体"/>
          <w:color w:val="auto"/>
          <w:sz w:val="24"/>
          <w:highlight w:val="none"/>
        </w:rPr>
        <w:t xml:space="preserve">及其他</w:t>
      </w:r>
      <w:r/>
    </w:p>
    <w:p>
      <w:pPr>
        <w:ind w:firstLine="24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（1）验收方法：验收将按模块上线情况和维护服务情况综合验收，按采购文件要求所有系统完成后，进行项目总验收。中标供应商免费派工程师到达现场协助验收工作。</w:t>
      </w:r>
      <w:r/>
    </w:p>
    <w:p>
      <w:pPr>
        <w:ind w:firstLine="24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（2）验收时间：产品安装、调试完毕，并稳定运用后，由采购人组织验收。</w:t>
      </w:r>
      <w:r/>
    </w:p>
    <w:p>
      <w:pPr>
        <w:ind w:firstLine="24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（3）验收内容：按照招标文件、投标文件、合同、相关承诺和相关补充文件的内容进行验收。</w:t>
      </w:r>
      <w:r/>
    </w:p>
    <w:p>
      <w:pPr>
        <w:ind w:firstLine="24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（4）验收标准：</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①产品所有技术性能、规格及参数：应符合本项目采购文件、中标供应商投标文件及现行有效国家、行业相关标准所要求的技术要求及服务标准。系统运行稳定，无故障，数据无错误，确保满足项目使用需求。</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在验收时，中标供应商应向采购人提供货物的相关资料，按采购人提出的方式验收。由采购人对货物的质量、规格和数量其他进行检验。如发现质量、规格和数量等任何一项与采购要求规定不符，采购人有权拒绝接受。</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（5）验收合格后，采购人及中标供应商共同签署验收报告，验收报告一式肆份，采购人及中标供应商各留存贰份。</w:t>
      </w:r>
      <w:r/>
    </w:p>
    <w:p>
      <w:pPr>
        <w:ind w:firstLine="482"/>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六、售后服务</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1、质保期：三年，</w:t>
      </w:r>
      <w:r>
        <w:rPr>
          <w:rFonts w:hint="eastAsia" w:ascii="宋体" w:hAnsi="宋体" w:eastAsia="宋体" w:cs="宋体"/>
          <w:color w:val="auto"/>
          <w:sz w:val="24"/>
          <w:highlight w:val="none"/>
        </w:rPr>
        <w:t xml:space="preserve">自设备验收通过且出具验收报告之日起计算，提供终身维修服务。在质保期内提供设备的免费维护保养与检测校准服务。</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技术培训：</w:t>
      </w:r>
      <w:r>
        <w:rPr>
          <w:rFonts w:hint="eastAsia" w:ascii="宋体" w:hAnsi="宋体" w:eastAsia="宋体" w:cs="宋体"/>
          <w:color w:val="auto"/>
          <w:sz w:val="24"/>
          <w:highlight w:val="none"/>
        </w:rPr>
        <w:t xml:space="preserve">中标供应商须安排专业工程师提供技术指导，免费提供至少5次上门培训服务，具体培训次数及时间根据采购人需求及要求确定，培训内容包括仪器的技术原理、检测步骤、软件操作使用、数据处理及日常维护保养等相关内容。</w:t>
      </w:r>
      <w:r/>
    </w:p>
    <w:p>
      <w:pPr>
        <w:ind w:firstLine="480"/>
        <w:spacing w:line="276"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质保期内，中标供应商指定固定的售后服务人员，提供24小时热线服务，全年无节假日。确保质保期内接到通知电话2小时内响应，24小时内专业工程师到达现场免费维修。维修更换部件时须保证与原有产品的规格、型号、颜色和结构的一致性，并不得影响已使用场所正常工作的开展。</w:t>
      </w:r>
      <w:r>
        <w:rPr>
          <w:rFonts w:hint="eastAsia" w:ascii="宋体" w:hAnsi="宋体" w:cs="宋体"/>
          <w:color w:val="auto"/>
          <w:sz w:val="24"/>
          <w:highlight w:val="none"/>
        </w:rPr>
        <w:t xml:space="preserve">如果中标供应商无法及时完成维修及修复，采购人有权安排第三方进行维修及修复，费用由中标供应商承担。</w:t>
      </w:r>
      <w:r>
        <w:rPr>
          <w:rFonts w:hint="eastAsia" w:ascii="宋体" w:hAnsi="宋体" w:eastAsia="宋体" w:cs="宋体"/>
          <w:b/>
          <w:bCs/>
          <w:color w:val="auto"/>
          <w:sz w:val="24"/>
          <w:highlight w:val="none"/>
        </w:rPr>
        <w:t xml:space="preserve">（提供承诺书加盖公章，格式自拟）</w:t>
      </w:r>
      <w:r/>
    </w:p>
    <w:p>
      <w:pPr>
        <w:ind w:firstLine="480"/>
        <w:spacing w:line="276"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4、供应商承诺对货物提供终身免费软件升级服务，保证软件持续更新至最新、最高版本，并确保该版本功能完整、稳定可用，并对新软件的功能进行免费培训。</w:t>
      </w:r>
      <w:r>
        <w:rPr>
          <w:rFonts w:hint="eastAsia" w:ascii="宋体" w:hAnsi="宋体" w:eastAsia="宋体" w:cs="宋体"/>
          <w:b/>
          <w:bCs/>
          <w:color w:val="auto"/>
          <w:sz w:val="24"/>
          <w:highlight w:val="none"/>
        </w:rPr>
        <w:t xml:space="preserve">（提供承诺书加盖公章，格式自拟）</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5、设备</w:t>
      </w:r>
      <w:r>
        <w:rPr>
          <w:rFonts w:hint="eastAsia" w:ascii="宋体" w:hAnsi="宋体" w:eastAsia="宋体" w:cs="宋体"/>
          <w:color w:val="auto"/>
          <w:sz w:val="24"/>
          <w:highlight w:val="none"/>
          <w:lang w:val="zh-CN"/>
        </w:rPr>
        <w:t xml:space="preserve">质保期结束后，由</w:t>
      </w:r>
      <w:r>
        <w:rPr>
          <w:rFonts w:hint="eastAsia" w:ascii="宋体" w:hAnsi="宋体" w:eastAsia="宋体" w:cs="宋体"/>
          <w:color w:val="auto"/>
          <w:sz w:val="24"/>
          <w:highlight w:val="none"/>
        </w:rPr>
        <w:t xml:space="preserve">供应商提供终身免费维护保养与检测校准服务。如因设备故障需维修、更换配件，供应商应事先将维修内容、配件清单及费用等相关资料报请采购人审核，经供应商审核通过并书面确认后，方可实施维修及更换作业。未经采购人书面审核确认擅自进行维修、更换的，采购人有权不予认可、不予支付相关费用，由此产生的一切责任与费用由供应商自行承担。</w:t>
      </w:r>
      <w:r>
        <w:rPr>
          <w:rFonts w:hint="eastAsia" w:ascii="宋体" w:hAnsi="宋体" w:eastAsia="宋体" w:cs="宋体"/>
          <w:b/>
          <w:bCs/>
          <w:color w:val="auto"/>
          <w:sz w:val="24"/>
          <w:highlight w:val="none"/>
        </w:rPr>
        <w:t xml:space="preserve">（提供承诺书加盖公章，格式自拟）</w:t>
      </w:r>
      <w:r/>
    </w:p>
    <w:p>
      <w:pPr>
        <w:ind w:firstLine="482"/>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七、付款条件</w:t>
      </w:r>
      <w:r/>
    </w:p>
    <w:p>
      <w:pPr>
        <w:numPr>
          <w:ilvl w:val="0"/>
          <w:numId w:val="9"/>
        </w:numPr>
        <w:ind w:firstLine="482"/>
        <w:spacing w:line="276"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合同签订后，30天内甲方向乙方支付合同价的</w:t>
      </w:r>
      <w:r>
        <w:rPr>
          <w:rFonts w:hint="eastAsia" w:ascii="宋体" w:hAnsi="宋体" w:eastAsia="宋体" w:cs="宋体"/>
          <w:b/>
          <w:bCs/>
          <w:color w:val="auto"/>
          <w:sz w:val="24"/>
          <w:highlight w:val="none"/>
        </w:rPr>
        <w:t xml:space="preserve">45</w:t>
      </w:r>
      <w:r>
        <w:rPr>
          <w:rFonts w:hint="eastAsia" w:ascii="宋体" w:hAnsi="宋体" w:eastAsia="宋体" w:cs="宋体"/>
          <w:b/>
          <w:bCs/>
          <w:color w:val="auto"/>
          <w:sz w:val="24"/>
          <w:highlight w:val="none"/>
          <w:lang w:val="zh-CN"/>
        </w:rPr>
        <w:t xml:space="preserve">%；</w:t>
      </w:r>
      <w:r/>
    </w:p>
    <w:p>
      <w:pPr>
        <w:numPr>
          <w:ilvl w:val="0"/>
          <w:numId w:val="9"/>
        </w:numPr>
        <w:ind w:firstLine="482"/>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乙方完成安装并对甲方人员进行技术培训后，经培训的技术人员具备独立操作能力，该仪器设备方可正式投入使用。自设备正式投入使用之日起30日内，甲方向乙方支付合同总价的40%。</w:t>
      </w:r>
      <w:r/>
    </w:p>
    <w:p>
      <w:pPr>
        <w:ind w:firstLine="482"/>
        <w:spacing w:line="276"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3、终审验收后，60个工作日内</w:t>
      </w:r>
      <w:r>
        <w:rPr>
          <w:rFonts w:hint="eastAsia" w:ascii="宋体" w:hAnsi="宋体" w:eastAsia="宋体" w:cs="宋体"/>
          <w:b/>
          <w:bCs/>
          <w:color w:val="auto"/>
          <w:sz w:val="24"/>
          <w:highlight w:val="none"/>
          <w:lang w:val="zh-CN"/>
        </w:rPr>
        <w:t xml:space="preserve">甲方向乙方</w:t>
      </w:r>
      <w:r>
        <w:rPr>
          <w:rFonts w:hint="eastAsia" w:ascii="宋体" w:hAnsi="宋体" w:eastAsia="宋体" w:cs="宋体"/>
          <w:b/>
          <w:bCs/>
          <w:color w:val="auto"/>
          <w:sz w:val="24"/>
          <w:highlight w:val="none"/>
        </w:rPr>
        <w:t xml:space="preserve">支付合同价的余款</w:t>
      </w:r>
      <w:r>
        <w:rPr>
          <w:rFonts w:hint="eastAsia" w:ascii="宋体" w:hAnsi="宋体" w:eastAsia="宋体" w:cs="宋体"/>
          <w:b/>
          <w:bCs/>
          <w:color w:val="auto"/>
          <w:sz w:val="24"/>
          <w:highlight w:val="none"/>
          <w:lang w:val="zh-CN"/>
        </w:rPr>
        <w:t xml:space="preserve">（余款不计利息）。</w:t>
      </w:r>
      <w:r/>
    </w:p>
    <w:p>
      <w:pPr>
        <w:ind w:firstLine="482"/>
        <w:spacing w:line="276"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说明：乙方收款时向甲方开具正式发票。</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八、报价说明：</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含与本次采购项目有关的所有费用，并包含项目验收合格质保期内的服务费用及出质保期后，终身免费软件升级等费用。包含但不限于人员、设备、安装调试、耗材、验收、售后服务、伴随配套服务等所有含税费用。同时，还应包含支付给员工的工资和国家强制缴纳的各种社会保障资金，以及供应商认为需要的其他费用等。</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（2）供应商的任何错漏、优惠、竞争性报价不得作为减轻责任、减少服务、增加收费、降低服务质量的理由。</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（3）供应商报价除包含采购文件中列明的项目外还应包括保障服务正常运行应当具有的物资和服务，对服务正常运行应当具有的物资和服务理解不一致的以采购人理解为准。</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76" w:lineRule="auto"/>
        <w:rPr>
          <w:rFonts w:eastAsia="宋体" w:cs="宋体"/>
          <w:color w:val="auto"/>
          <w:highlight w:val="none"/>
        </w:rPr>
      </w:pPr>
      <w:r>
        <w:rPr>
          <w:rFonts w:ascii="宋体" w:hAnsi="宋体" w:eastAsia="宋体" w:cs="宋体"/>
          <w:color w:val="auto"/>
          <w:sz w:val="24"/>
          <w:highlight w:val="none"/>
        </w:rPr>
        <w:br w:type="page" w:clear="all"/>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10"/>
        </w:numPr>
        <w:jc w:val="center"/>
        <w:rPr>
          <w:rFonts w:hint="eastAsia" w:ascii="宋体" w:hAnsi="宋体" w:eastAsia="宋体" w:cs="宋体"/>
          <w:b/>
          <w:color w:val="auto"/>
          <w:sz w:val="40"/>
          <w:szCs w:val="40"/>
          <w:highlight w:val="none"/>
        </w:rPr>
      </w:pPr>
      <w:r/>
      <w:bookmarkStart w:id="9" w:name="page19"/>
      <w:r/>
      <w:bookmarkEnd w:id="9"/>
      <w:r>
        <w:rPr>
          <w:rFonts w:hint="eastAsia" w:ascii="宋体" w:hAnsi="宋体" w:eastAsia="宋体" w:cs="宋体"/>
          <w:b/>
          <w:color w:val="auto"/>
          <w:sz w:val="40"/>
          <w:szCs w:val="40"/>
          <w:highlight w:val="none"/>
        </w:rPr>
        <w:t xml:space="preserve">合同文本（参考）</w:t>
      </w:r>
      <w:r/>
    </w:p>
    <w:p>
      <w:pPr>
        <w:jc w:val="center"/>
        <w:spacing w:line="0" w:lineRule="atLeast"/>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56"/>
          <w:szCs w:val="28"/>
          <w:highlight w:val="none"/>
        </w:rPr>
      </w:pPr>
      <w:r>
        <w:rPr>
          <w:rFonts w:hint="eastAsia" w:ascii="宋体" w:hAnsi="宋体" w:eastAsia="宋体" w:cs="宋体"/>
          <w:color w:val="auto"/>
          <w:sz w:val="56"/>
          <w:szCs w:val="56"/>
          <w:highlight w:val="none"/>
        </w:rPr>
        <w:t xml:space="preserve">采  购  合  同</w:t>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807"/>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1803"/>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项目名称：</w:t>
      </w:r>
      <w:r/>
    </w:p>
    <w:p>
      <w:pPr>
        <w:ind w:firstLine="1803"/>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采购单位：</w:t>
      </w:r>
      <w:r/>
    </w:p>
    <w:p>
      <w:pPr>
        <w:ind w:firstLine="1803"/>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供货单位：</w:t>
      </w:r>
      <w:r/>
    </w:p>
    <w:p>
      <w:pPr>
        <w:ind w:firstLine="1803"/>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签订日期：</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2"/>
        <w:rPr>
          <w:rFonts w:hint="eastAsia" w:eastAsia="宋体" w:cs="宋体"/>
          <w:color w:val="auto"/>
          <w:highlight w:val="none"/>
          <w:lang w:val="zh-CN"/>
        </w:rPr>
      </w:pPr>
      <w:r>
        <w:rPr>
          <w:rFonts w:hint="eastAsia" w:eastAsia="宋体" w:cs="宋体"/>
          <w:color w:val="auto"/>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政府采购计划号：</w:t>
      </w:r>
      <w:r/>
    </w:p>
    <w:tbl>
      <w:tblPr>
        <w:tblStyle w:val="688"/>
        <w:tblW w:w="9286" w:type="dxa"/>
        <w:tblInd w:w="2"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采购</w:t>
            </w:r>
            <w:r>
              <w:rPr>
                <w:rFonts w:hint="eastAsia" w:ascii="宋体" w:hAnsi="宋体" w:eastAsia="宋体" w:cs="宋体"/>
                <w:color w:val="auto"/>
                <w:sz w:val="24"/>
                <w:highlight w:val="none"/>
                <w:lang w:val="zh-CN"/>
              </w:rPr>
              <w:t xml:space="preserve">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住所地：</w:t>
            </w:r>
            <w:r/>
          </w:p>
        </w:tc>
      </w:tr>
    </w:tbl>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根据《中华人民共和国政府采购法》、《中华人民共和国民法典》等法律法规的规定，甲乙双方按照采购代理机构的招标结果签订本合同。 </w:t>
      </w:r>
      <w:r/>
    </w:p>
    <w:p>
      <w:pPr>
        <w:ind w:firstLine="482"/>
        <w:spacing w:line="312"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第一条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合同标的</w:t>
      </w:r>
      <w:r/>
    </w:p>
    <w:p>
      <w:pPr>
        <w:pStyle w:val="759"/>
        <w:numPr>
          <w:ilvl w:val="0"/>
          <w:numId w:val="11"/>
        </w:numPr>
        <w:spacing w:line="312" w:lineRule="auto"/>
      </w:pPr>
      <w:r>
        <w:rPr>
          <w:rFonts w:hint="eastAsia" w:ascii="宋体" w:hAnsi="宋体" w:eastAsia="宋体" w:cs="宋体"/>
          <w:color w:val="auto"/>
          <w:sz w:val="24"/>
          <w:highlight w:val="none"/>
        </w:rPr>
        <w:t xml:space="preserve">乙方根据甲方需求提供下列货物：</w:t>
      </w:r>
      <w:r>
        <w:rPr>
          <w:rFonts w:hint="eastAsia" w:ascii="宋体" w:hAnsi="宋体" w:eastAsia="宋体" w:cs="宋体"/>
          <w:color w:val="auto"/>
          <w:sz w:val="24"/>
          <w:highlight w:val="none"/>
          <w:u w:val="single"/>
        </w:rPr>
      </w:r>
      <w:r>
        <w:rPr>
          <w:rFonts w:hint="eastAsia" w:ascii="宋体" w:hAnsi="宋体" w:eastAsia="宋体" w:cs="宋体"/>
          <w:color w:val="auto"/>
          <w:sz w:val="24"/>
          <w:highlight w:val="none"/>
        </w:rPr>
        <w:t xml:space="preserve">全自动微生物质谱仪</w:t>
      </w:r>
      <w:r>
        <w:rPr>
          <w:rFonts w:hint="eastAsia" w:ascii="宋体" w:hAnsi="宋体" w:eastAsia="宋体" w:cs="宋体"/>
          <w:color w:val="auto"/>
          <w:sz w:val="24"/>
          <w:highlight w:val="none"/>
        </w:rPr>
      </w:r>
      <w:r>
        <w:rPr>
          <w:rFonts w:hint="eastAsia" w:ascii="宋体" w:hAnsi="宋体" w:eastAsia="宋体" w:cs="宋体"/>
          <w:color w:val="auto"/>
          <w:sz w:val="24"/>
          <w:highlight w:val="none"/>
        </w:rPr>
      </w:r>
      <w:r>
        <w:t xml:space="preserve">。</w:t>
      </w:r>
      <w:r/>
      <w:r>
        <w:rPr>
          <w:rFonts w:hint="eastAsia" w:ascii="宋体" w:hAnsi="宋体" w:eastAsia="宋体" w:cs="宋体"/>
          <w:color w:val="auto"/>
          <w:sz w:val="24"/>
          <w:highlight w:val="none"/>
        </w:rPr>
      </w:r>
    </w:p>
    <w:p>
      <w:pPr>
        <w:ind w:firstLine="480"/>
        <w:spacing w:line="312" w:lineRule="auto"/>
        <w:rPr>
          <w:rFonts w:hint="eastAsia" w:ascii="宋体" w:hAnsi="宋体" w:eastAsia="宋体" w:cs="宋体"/>
          <w:b/>
          <w:bCs/>
          <w:color w:val="auto"/>
          <w:sz w:val="24"/>
          <w:highlight w:val="none"/>
          <w:lang w:val="zh-CN"/>
        </w:rPr>
      </w:pPr>
      <w:r>
        <w:rPr>
          <w:rFonts w:hint="eastAsia" w:ascii="宋体" w:hAnsi="宋体" w:eastAsia="宋体" w:cs="宋体"/>
          <w:color w:val="auto"/>
          <w:sz w:val="24"/>
          <w:highlight w:val="none"/>
          <w:lang w:val="zh-CN"/>
        </w:rPr>
        <w:t xml:space="preserve">2、具体货物或服务执行要求详见招标文件及乙方投标文件。</w:t>
      </w:r>
      <w:r/>
    </w:p>
    <w:p>
      <w:pPr>
        <w:ind w:firstLine="482"/>
        <w:spacing w:line="312"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第二条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合同总价款</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1、本合同项下货物总价款为（大写）</w:t>
      </w:r>
      <w:r>
        <w:rPr>
          <w:rFonts w:hint="eastAsia" w:ascii="宋体" w:hAnsi="宋体" w:eastAsia="宋体" w:cs="宋体"/>
          <w:color w:val="auto"/>
          <w:sz w:val="24"/>
          <w:highlight w:val="none"/>
          <w:u w:val="single"/>
          <w:lang w:val="zh-CN"/>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zh-CN"/>
        </w:rPr>
        <w:tab/>
      </w:r>
      <w:r>
        <w:rPr>
          <w:rFonts w:hint="eastAsia" w:ascii="宋体" w:hAnsi="宋体" w:eastAsia="宋体" w:cs="宋体"/>
          <w:color w:val="auto"/>
          <w:sz w:val="24"/>
          <w:highlight w:val="none"/>
          <w:lang w:val="zh-CN"/>
        </w:rPr>
        <w:t xml:space="preserve">）。 </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2、本合同总价款是完成本项目所发生的所有含税费用、支付给员工的工资和国家强制缴纳的各种社会保障资金，以及乙方认为需要的其他费用等。 </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3、本项目采用固定综合单价报价</w:t>
      </w:r>
      <w:r>
        <w:rPr>
          <w:rFonts w:hint="eastAsia" w:ascii="宋体" w:hAnsi="宋体" w:eastAsia="宋体" w:cs="宋体"/>
          <w:color w:val="auto"/>
          <w:sz w:val="24"/>
          <w:highlight w:val="none"/>
        </w:rPr>
        <w:t xml:space="preserve">。 </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第三条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组成本合同的有关文件</w:t>
      </w:r>
      <w:r>
        <w:rPr>
          <w:rFonts w:hint="eastAsia" w:ascii="宋体" w:hAnsi="宋体" w:eastAsia="宋体" w:cs="宋体"/>
          <w:color w:val="auto"/>
          <w:sz w:val="24"/>
          <w:highlight w:val="none"/>
          <w:lang w:val="zh-CN"/>
        </w:rPr>
        <w:tab/>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下列关于招投标文件或与本次采购活动方式相适应的文件及有关附件是本合同不可分割的组成部分，与本合同具有同等法律效力，这些文件包括但不限于： </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1、采购合同；</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2、乙方提供的投标文件和投标文件价格部分； </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3、技术条款偏离表； </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4、投标承诺/服务承诺； </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5、中标通知书； </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6、甲乙双方商定的其他文件等。</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第四条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权利保证</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第五条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质量保证</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在使用过程中，一旦发现乙方所提供的货物不符合以上约定，乙方无条件接受甲方退货，并按第十条给予乙方处罚。</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第六条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包装要求</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第七条 交付使用和验收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1、交货时间、地点：</w:t>
      </w:r>
      <w:r/>
    </w:p>
    <w:p>
      <w:pPr>
        <w:pStyle w:val="689"/>
        <w:ind w:left="0" w:right="0"/>
        <w:spacing w:line="324" w:lineRule="auto"/>
        <w:rPr>
          <w:rStyle w:val="896"/>
          <w:rFonts w:hint="eastAsia" w:ascii="宋体" w:hAnsi="宋体" w:eastAsia="宋体" w:cs="宋体"/>
          <w:b w:val="0"/>
          <w:bCs/>
          <w:color w:val="auto"/>
          <w:sz w:val="24"/>
          <w:highlight w:val="none"/>
        </w:rPr>
      </w:pPr>
      <w:r>
        <w:rPr>
          <w:rFonts w:hint="eastAsia" w:eastAsia="宋体" w:cs="宋体"/>
          <w:color w:val="auto"/>
          <w:highlight w:val="none"/>
        </w:rPr>
        <w:t xml:space="preserve">（1）</w:t>
      </w:r>
      <w:r>
        <w:rPr>
          <w:rStyle w:val="896"/>
          <w:rFonts w:hint="eastAsia" w:ascii="宋体" w:hAnsi="宋体" w:eastAsia="宋体" w:cs="宋体"/>
          <w:b w:val="0"/>
          <w:bCs/>
          <w:color w:val="auto"/>
          <w:sz w:val="24"/>
          <w:highlight w:val="none"/>
        </w:rPr>
        <w:t xml:space="preserve">合同履行期限：</w:t>
      </w:r>
      <w:r>
        <w:rPr>
          <w:rStyle w:val="896"/>
          <w:rFonts w:hint="eastAsia" w:ascii="宋体" w:hAnsi="宋体" w:eastAsia="宋体" w:cs="宋体"/>
          <w:b w:val="0"/>
          <w:bCs/>
          <w:color w:val="auto"/>
          <w:sz w:val="24"/>
          <w:highlight w:val="none"/>
        </w:rPr>
        <w:t xml:space="preserve">自合同签订之日起</w:t>
      </w:r>
      <w:r>
        <w:rPr>
          <w:rFonts w:hint="eastAsia" w:eastAsia="宋体" w:cs="宋体"/>
          <w:color w:val="auto"/>
          <w:highlight w:val="none"/>
        </w:rPr>
        <w:t xml:space="preserve">30日历天内完成货物供货及安装就位。在收到采购人书面调试通知后一周内开展调试工作，确保项目通过采购人组织的验收并取得合格的验收报告。</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交货地点：乙方负责将货物运到采购人指定地点并安装，由乙方负责办理运输和装卸等，费用由乙方负责，由采购人组织验收，检验不合格或不符合质量要求，乙方除无条件退货、返工外，还应承担采购人的一切损失。</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（3）乙方所供产品须为正品行货，原厂封装未使用过的产品，本项目验收前乙方承担所有货物的保管责任。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（4）质保期：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rPr>
        <w:t xml:space="preserve">，自设备验收通过且取得合格验收报告之日起计算，提供终身维修服务。在质保期内提供设备的免费维护保养与检测校准服务。</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2、安装调试要求：</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向甲方提供详细的设备供货清单，由甲方确认。当货物到达甲方指定的安装现场后，双方依据设备供货清单共同对设备进行开箱验收，并对设备的数量、品质进行逐项检查，经甲方开箱验收合格后才可以进行设备安装，免费安装调试。</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（2）在对设备安装调试完成以后，乙方应立即对用户有关操作人员进行上机培训，直至用户能够独立操作。</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3、验收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（1）项目应提交的成果和电子文档</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乙方需在交货后</w:t>
      </w:r>
      <w:r>
        <w:rPr>
          <w:rFonts w:hint="eastAsia" w:ascii="宋体" w:hAnsi="宋体" w:eastAsia="宋体" w:cs="宋体"/>
          <w:color w:val="auto"/>
          <w:sz w:val="24"/>
          <w:highlight w:val="none"/>
        </w:rPr>
        <w:t xml:space="preserve">五个工作日内免费提供全套资料</w:t>
      </w:r>
      <w:r>
        <w:rPr>
          <w:rFonts w:hint="eastAsia" w:ascii="宋体" w:hAnsi="宋体" w:eastAsia="宋体" w:cs="宋体"/>
          <w:color w:val="auto"/>
          <w:sz w:val="24"/>
          <w:highlight w:val="none"/>
        </w:rPr>
        <w:t xml:space="preserve">，含包括但不限于产品合格证、出厂计量合格证（强检设备）、操作手册、维修手册（含详细电路图）、如技术资料不全，甲方有权不支付货款或退货，因此产生的损失由乙方自行承担。</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（2）验收要求及其他</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1）验收方法：验收将按模块上线情况和维护服务情况综合验收，按采购文件要求所有系统完成后，进行项目总验收。乙方免费派工程师到达现场协助验收工作。</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2）验收时间：产品安装、调试完毕，并稳定运用后，由甲方组织验收。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3）验收内容：按照招标文件、投标文件、合同、相关承诺和相关补充文件的内容进行验收。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4）验收标准：</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①产品所有技术性能、规格及参数：应符合本项目采购文件、乙方投标文件及现行有效国家、行业相关标准所要求的技术要求及服务标准。系统运行稳定，无故障，数据无错误，确保满足项目使用需求。</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②在验收时，乙方应向甲方提供货物的相关资料，按甲方提出的方式验收。由甲方对货物的质量、规格和数量其他进行检验。如发现质量、规格和数量等任何一项与采购要求规定不符，甲方有权拒绝接受。</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5）验收合格后，甲方及乙方共同签署验收报告，</w:t>
      </w:r>
      <w:r>
        <w:rPr>
          <w:rFonts w:hint="eastAsia" w:ascii="宋体" w:hAnsi="宋体" w:eastAsia="宋体" w:cs="宋体"/>
          <w:color w:val="auto"/>
          <w:sz w:val="24"/>
          <w:highlight w:val="none"/>
        </w:rPr>
        <w:t xml:space="preserve">验收报告一式肆份</w:t>
      </w:r>
      <w:r>
        <w:rPr>
          <w:rFonts w:hint="eastAsia" w:ascii="宋体" w:hAnsi="宋体" w:eastAsia="宋体" w:cs="宋体"/>
          <w:color w:val="auto"/>
          <w:sz w:val="24"/>
          <w:highlight w:val="none"/>
        </w:rPr>
        <w:t xml:space="preserve">，甲方及乙方各留存贰份。</w:t>
      </w:r>
      <w:r/>
    </w:p>
    <w:p>
      <w:pPr>
        <w:numPr>
          <w:ilvl w:val="0"/>
          <w:numId w:val="12"/>
        </w:numPr>
        <w:ind w:firstLine="482"/>
        <w:spacing w:line="312"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付款条件：</w:t>
      </w:r>
      <w:r/>
    </w:p>
    <w:p>
      <w:pPr>
        <w:ind w:firstLine="482"/>
        <w:spacing w:line="276"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合同签订后，30天内甲方向乙方支付合同价的</w:t>
      </w:r>
      <w:r>
        <w:rPr>
          <w:rFonts w:hint="eastAsia" w:ascii="宋体" w:hAnsi="宋体" w:eastAsia="宋体" w:cs="宋体"/>
          <w:b/>
          <w:bCs/>
          <w:color w:val="auto"/>
          <w:sz w:val="24"/>
          <w:highlight w:val="none"/>
        </w:rPr>
        <w:t xml:space="preserve">45</w:t>
      </w:r>
      <w:r>
        <w:rPr>
          <w:rFonts w:hint="eastAsia" w:ascii="宋体" w:hAnsi="宋体" w:eastAsia="宋体" w:cs="宋体"/>
          <w:b/>
          <w:bCs/>
          <w:color w:val="auto"/>
          <w:sz w:val="24"/>
          <w:highlight w:val="none"/>
          <w:lang w:val="zh-CN"/>
        </w:rPr>
        <w:t xml:space="preserve">%；</w:t>
      </w:r>
      <w:r/>
    </w:p>
    <w:p>
      <w:pPr>
        <w:ind w:firstLine="482"/>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2、乙方完成安装并对甲方人员进行技术培训后，经培训的技术人员具备独立操作能力，该仪器设备方可正式投入使用。自设备正式投入使用之日起30日内，甲方向乙方支付合同总价的40%。</w:t>
      </w:r>
      <w:r/>
    </w:p>
    <w:p>
      <w:pPr>
        <w:ind w:firstLine="482"/>
        <w:spacing w:line="276"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3、终审验收后，60个工作日内</w:t>
      </w:r>
      <w:r>
        <w:rPr>
          <w:rFonts w:hint="eastAsia" w:ascii="宋体" w:hAnsi="宋体" w:eastAsia="宋体" w:cs="宋体"/>
          <w:b/>
          <w:bCs/>
          <w:color w:val="auto"/>
          <w:sz w:val="24"/>
          <w:highlight w:val="none"/>
          <w:lang w:val="zh-CN"/>
        </w:rPr>
        <w:t xml:space="preserve">甲方向乙方</w:t>
      </w:r>
      <w:r>
        <w:rPr>
          <w:rFonts w:hint="eastAsia" w:ascii="宋体" w:hAnsi="宋体" w:eastAsia="宋体" w:cs="宋体"/>
          <w:b/>
          <w:bCs/>
          <w:color w:val="auto"/>
          <w:sz w:val="24"/>
          <w:highlight w:val="none"/>
        </w:rPr>
        <w:t xml:space="preserve">支付合同价的余款</w:t>
      </w:r>
      <w:r>
        <w:rPr>
          <w:rFonts w:hint="eastAsia" w:ascii="宋体" w:hAnsi="宋体" w:eastAsia="宋体" w:cs="宋体"/>
          <w:b/>
          <w:bCs/>
          <w:color w:val="auto"/>
          <w:sz w:val="24"/>
          <w:highlight w:val="none"/>
          <w:lang w:val="zh-CN"/>
        </w:rPr>
        <w:t xml:space="preserve">（余款不计利息）。</w:t>
      </w:r>
      <w:r/>
    </w:p>
    <w:p>
      <w:pPr>
        <w:ind w:firstLine="482"/>
        <w:spacing w:line="276"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说明：乙方收款时向甲方开具正式发票。</w:t>
      </w:r>
      <w:r/>
    </w:p>
    <w:p>
      <w:pPr>
        <w:numPr>
          <w:ilvl w:val="0"/>
          <w:numId w:val="12"/>
        </w:numPr>
        <w:ind w:firstLine="482"/>
        <w:spacing w:line="312"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伴随服务／售后服务：</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1、乙方应按照国家有关法律法规规章和“三包”规定以及合同所附的“服务承诺”提供服务。</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2、除前款规定外，乙方还应提供下列服务：</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（1）货物的现场安装、调试和/或启动监督；</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（2）就货物的安装、启动、运行及维护等对甲方人员进行免费培训。</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3、若招标文件中不包含有关伴随服务或售后服务的承诺，双方作如下约定：</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）所购货物按乙方投标承诺提供免费维护和质量保证，保修费用计入投标总价。</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）质保期内，乙方负责对其提供的货物整机进行维修和系统维护，不再收取任何费用，但不可抗力（如火灾、雷击等）造成的故障除外。</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）货物故障报修的响应时间按乙方投标承诺执行。</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乙方承诺对货物提供终身免费软件升级服务，保证软件持续更新至最新、最高版本，并确保该版本功能完整、稳定可用，并对新软件的功能免费培训。</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w:t>
      </w:r>
      <w:r>
        <w:rPr>
          <w:rFonts w:hint="eastAsia" w:ascii="宋体" w:hAnsi="宋体" w:eastAsia="宋体" w:cs="宋体"/>
          <w:color w:val="auto"/>
          <w:sz w:val="24"/>
          <w:highlight w:val="none"/>
        </w:rPr>
        <w:t xml:space="preserve">设备</w:t>
      </w:r>
      <w:r>
        <w:rPr>
          <w:rFonts w:hint="eastAsia" w:ascii="宋体" w:hAnsi="宋体" w:eastAsia="宋体" w:cs="宋体"/>
          <w:color w:val="auto"/>
          <w:sz w:val="24"/>
          <w:highlight w:val="none"/>
          <w:lang w:val="zh-CN"/>
        </w:rPr>
        <w:t xml:space="preserve">质保期结束后，由</w:t>
      </w:r>
      <w:r>
        <w:rPr>
          <w:rFonts w:hint="eastAsia" w:ascii="宋体" w:hAnsi="宋体" w:eastAsia="宋体" w:cs="宋体"/>
          <w:color w:val="auto"/>
          <w:sz w:val="24"/>
          <w:highlight w:val="none"/>
        </w:rPr>
        <w:t xml:space="preserve">乙方提供终身免费维护保养与检测校准服务。如因设备故障需维修、更换配件，乙方应事先将维修内容、配件清单及费用等相关资料报请甲方审核，经甲方审核通过并书面确认后，方可实施维修及更换作业。未经甲方书面审核确认擅自进行维修、更换的，甲方有权不予认可、不予支付相关费用，由此产生的一切责任与费用由乙方自行承担。</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4、人员培训</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培训：在安装过程中或安装结束后，乙方有义务对甲方和操作人员进行现场维修、保养、操作培训并提供快捷操作指南（过塑封好，挂在设备上），解答甲方提出的问题。提供正规培训班培训，确保操作人员掌握完成日常工作所需的基本操作方法为止，甲方掌握基本的维护保养操作技术为止。乙方须安排专业工程师提供技术指导，免费提供至少5次上门培训服务，具体培训次数及时间根据采购人需求及要求确定，培训内容包括仪器的技术原理、检测步骤、软件操作使用、数据处理及日常维护保养等相关内容。</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第十条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违约责任：</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1、甲方无正当理由拒收货物、拒付货物款的，向乙方偿付合同总价的5%违约金。</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2、乙方不能按时交付货物、完成安装调试的，向甲方支付合同总价5%的违约金。</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3、乙方逾期交付的，每逾期1天，乙方向甲方偿付合同总额的5‰的滞纳金。如乙方逾期交付达10天，甲方有权解除合同，解除合同的通知自到达乙方时生效。</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乙方所交付的货物品种、型号、规格不符合合同规定的，甲方有权拒收。甲方拒收的，乙方应向甲方支付货款总额5%违约金。甲方未拒收的，一经发现后将向有关部门反映，并责成乙方按照采购结果提供货物和服务。</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质量保证期内，经乙方两次维修或更换，货物仍不能达到质量标准，甲方有权退货，乙方须退还全部货款，并按第3款承担逾期责任，同时赔偿甲方因此遭受的损失（包括但不限于工期损失、替代采购差价等）。</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6、乙方未按本合同及服务承诺提供伴随服务/售后服务的，按合同总价款的5%承担违约责任。</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、乙方在承担上述4-6款一项或多项违约责任后，仍应继续履行合同规定的义务（甲方解除合同的除外）。甲方未及时追究乙方的某项违约责任，不代表甲方放弃该项或其他违约责任。</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乙方存在虚假投标及虚假承诺，或经权威部门检测提供的货物不能满足招标文件要求，或是由于乙方过错导致合同无法继续履行的，甲方有权不予退还履约保证金，同时乙方还应赔偿甲方全部损失；如损失难以举证，赔偿金按合同总价的20%计算。</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第十一条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合同的变更和终止</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1、除《政府采购法》第50条第二款规定的情形外，本合同一经签订，甲乙双方不得擅自变更、中止或终止合同。</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2、除发生法律规定的不能预见、不能避免并不能克服的客观情况外，甲乙双方不得放弃或拒绝履行合同。乙方放弃或拒绝履行合同，保证金不予退还。</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第十二条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合同的转让</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乙方不得擅自部分或全部转让其应履行的合同义务。</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第十三条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争议的解决：</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2、因履行本合同引起的或与本合同有关的争议，甲、乙双方应首先通过友好协商解决，如果协商不能解决争议，则可向甲方所在地有管辖权的人民法院提起诉讼；</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3、在仲裁期间，本合同应继续履行。</w:t>
      </w:r>
      <w:r/>
    </w:p>
    <w:p>
      <w:pPr>
        <w:ind w:firstLine="482"/>
        <w:spacing w:line="312"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第十四</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诚实信用</w:t>
      </w:r>
      <w:r/>
    </w:p>
    <w:p>
      <w:pPr>
        <w:ind w:firstLine="480"/>
        <w:spacing w:line="312" w:lineRule="auto"/>
        <w:rPr>
          <w:rFonts w:hint="eastAsia" w:ascii="宋体" w:hAnsi="宋体" w:eastAsia="宋体" w:cs="宋体"/>
          <w:b/>
          <w:bCs/>
          <w:color w:val="auto"/>
          <w:sz w:val="24"/>
          <w:highlight w:val="none"/>
          <w:lang w:val="zh-CN"/>
        </w:rPr>
      </w:pPr>
      <w:r>
        <w:rPr>
          <w:rFonts w:hint="eastAsia" w:ascii="宋体" w:hAnsi="宋体" w:eastAsia="宋体" w:cs="宋体"/>
          <w:color w:val="auto"/>
          <w:sz w:val="24"/>
          <w:highlight w:val="none"/>
          <w:lang w:val="zh-CN"/>
        </w:rPr>
        <w:t xml:space="preserve">乙方应诚实信用，严格按照招标文件要求和投标承诺履行合同，不向甲方进行商业贿赂或者提供不正当利益。</w:t>
      </w:r>
      <w:r/>
    </w:p>
    <w:p>
      <w:pPr>
        <w:ind w:firstLine="482"/>
        <w:spacing w:line="312"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第十五条</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zh-CN"/>
        </w:rPr>
        <w:t xml:space="preserve">合同生效及其他:</w:t>
      </w:r>
      <w:r/>
    </w:p>
    <w:p>
      <w:pPr>
        <w:numPr>
          <w:ilvl w:val="0"/>
          <w:numId w:val="13"/>
        </w:num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本合同经甲方、乙方授权代表签字盖章后生效。</w:t>
      </w:r>
      <w:r/>
    </w:p>
    <w:p>
      <w:pPr>
        <w:numPr>
          <w:ilvl w:val="0"/>
          <w:numId w:val="13"/>
        </w:num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本合同</w:t>
      </w:r>
      <w:r>
        <w:rPr>
          <w:rFonts w:hint="eastAsia" w:ascii="宋体" w:hAnsi="宋体" w:eastAsia="宋体" w:cs="宋体"/>
          <w:color w:val="auto"/>
          <w:sz w:val="24"/>
          <w:highlight w:val="none"/>
          <w:lang w:val="zh-CN"/>
        </w:rPr>
        <w:t xml:space="preserve">一式陆份</w:t>
      </w:r>
      <w:r>
        <w:rPr>
          <w:rFonts w:hint="eastAsia" w:ascii="宋体" w:hAnsi="宋体" w:eastAsia="宋体" w:cs="宋体"/>
          <w:color w:val="auto"/>
          <w:sz w:val="24"/>
          <w:highlight w:val="none"/>
          <w:lang w:val="zh-CN"/>
        </w:rPr>
        <w:t xml:space="preserve">，甲方贰份，乙方贰份，监管部门壹份，代理单位壹份。</w:t>
      </w:r>
      <w:r/>
    </w:p>
    <w:p>
      <w:pPr>
        <w:ind w:firstLine="480"/>
        <w:spacing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4、本合同应按照中华人民共和国的现行法律进行解释。</w:t>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2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80"/>
        <w:spacing w:line="360" w:lineRule="auto"/>
        <w:tabs>
          <w:tab w:val="left" w:pos="5388"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val="zh-CN"/>
        </w:rPr>
        <w:t xml:space="preserve">（简称“甲方”）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供货单位（简称“乙方”）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（盖章）：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（盖章）：</w:t>
      </w:r>
      <w:r/>
    </w:p>
    <w:p>
      <w:pPr>
        <w:ind w:firstLine="480"/>
        <w:spacing w:line="360" w:lineRule="auto"/>
        <w:tabs>
          <w:tab w:val="left" w:pos="5388"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bookmarkStart w:id="10" w:name="page23"/>
      <w:r/>
      <w:bookmarkEnd w:id="10"/>
      <w:r/>
      <w:r/>
    </w:p>
    <w:p>
      <w:pPr>
        <w:ind w:firstLine="480"/>
        <w:spacing w:line="360" w:lineRule="auto"/>
        <w:tabs>
          <w:tab w:val="left" w:pos="5388"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法定代表人</w:t>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或授权委托代理人</w:t>
      </w:r>
      <w:r>
        <w:rPr>
          <w:rFonts w:hint="eastAsia" w:ascii="宋体" w:hAnsi="宋体" w:eastAsia="宋体" w:cs="宋体"/>
          <w:color w:val="auto"/>
          <w:sz w:val="24"/>
          <w:highlight w:val="none"/>
          <w:lang w:val="zh-CN"/>
        </w:rPr>
        <w:t xml:space="preserve">（签字或盖章）：</w:t>
      </w:r>
      <w:r>
        <w:rPr>
          <w:rFonts w:hint="eastAsia" w:ascii="宋体" w:hAnsi="宋体" w:eastAsia="宋体" w:cs="宋体"/>
          <w:color w:val="auto"/>
          <w:sz w:val="24"/>
          <w:highlight w:val="none"/>
        </w:rPr>
        <w:t xml:space="preserve">       或授权委托代理人</w:t>
      </w:r>
      <w:r>
        <w:rPr>
          <w:rFonts w:hint="eastAsia" w:ascii="宋体" w:hAnsi="宋体" w:eastAsia="宋体" w:cs="宋体"/>
          <w:color w:val="auto"/>
          <w:sz w:val="24"/>
          <w:highlight w:val="none"/>
          <w:lang w:val="zh-CN"/>
        </w:rPr>
        <w:t xml:space="preserve">（签字或盖章）：</w:t>
      </w:r>
      <w:r/>
    </w:p>
    <w:p>
      <w:pPr>
        <w:ind w:firstLine="480"/>
        <w:spacing w:line="360" w:lineRule="auto"/>
        <w:tabs>
          <w:tab w:val="left" w:pos="5388"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日期：  年  月  日</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年   月   日</w:t>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第六章 投标文件及附件格式</w:t>
      </w:r>
      <w:r/>
    </w:p>
    <w:p>
      <w:pPr>
        <w:jc w:val="cente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681"/>
        <w:rPr>
          <w:color w:val="auto"/>
          <w:highlight w:val="none"/>
        </w:rPr>
      </w:pPr>
      <w:r>
        <w:rPr>
          <w:color w:val="auto"/>
          <w:highlight w:val="none"/>
        </w:rPr>
      </w:r>
      <w:r/>
    </w:p>
    <w:p>
      <w:pPr>
        <w:jc w:val="center"/>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投 标 文 件</w:t>
      </w:r>
      <w:r/>
    </w:p>
    <w:p>
      <w:pPr>
        <w:jc w:val="center"/>
        <w:rPr>
          <w:rFonts w:hint="eastAsia" w:ascii="宋体" w:hAnsi="宋体" w:eastAsia="宋体" w:cs="宋体"/>
          <w:b/>
          <w:color w:val="auto"/>
          <w:sz w:val="43"/>
          <w:szCs w:val="43"/>
          <w:highlight w:val="none"/>
        </w:rPr>
      </w:pPr>
      <w:r>
        <w:rPr>
          <w:rFonts w:hint="eastAsia" w:ascii="宋体" w:hAnsi="宋体" w:eastAsia="宋体" w:cs="宋体"/>
          <w:b/>
          <w:color w:val="auto"/>
          <w:sz w:val="43"/>
          <w:szCs w:val="43"/>
          <w:highlight w:val="none"/>
        </w:rPr>
      </w:r>
      <w:r/>
    </w:p>
    <w:p>
      <w:pPr>
        <w:rPr>
          <w:rFonts w:hint="eastAsia" w:ascii="宋体" w:hAnsi="宋体" w:eastAsia="宋体" w:cs="宋体"/>
          <w:b/>
          <w:color w:val="auto"/>
          <w:sz w:val="43"/>
          <w:szCs w:val="43"/>
          <w:highlight w:val="none"/>
        </w:rPr>
      </w:pPr>
      <w:r>
        <w:rPr>
          <w:rFonts w:hint="eastAsia" w:ascii="宋体" w:hAnsi="宋体" w:eastAsia="宋体" w:cs="宋体"/>
          <w:b/>
          <w:color w:val="auto"/>
          <w:sz w:val="43"/>
          <w:szCs w:val="43"/>
          <w:highlight w:val="none"/>
        </w:rPr>
      </w:r>
      <w:r/>
    </w:p>
    <w:p>
      <w:pPr>
        <w:keepLines/>
        <w:keepNext/>
        <w:spacing w:before="340" w:after="330" w:line="578" w:lineRule="auto"/>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firstLine="108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项目编号：</w:t>
      </w:r>
      <w:r/>
    </w:p>
    <w:p>
      <w:pPr>
        <w:ind w:firstLine="1084"/>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项目名称：</w:t>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1083"/>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供应商名称：（加盖公章）</w:t>
      </w:r>
      <w:r/>
    </w:p>
    <w:p>
      <w:pPr>
        <w:ind w:firstLine="1083"/>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w:t>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color w:val="auto"/>
          <w:highlight w:val="none"/>
        </w:rPr>
      </w:pPr>
      <w:r>
        <w:rPr>
          <w:rFonts w:hint="eastAsia"/>
          <w:color w:val="auto"/>
          <w:highlight w:val="none"/>
        </w:rPr>
      </w:r>
      <w:r/>
    </w:p>
    <w:p>
      <w:pPr>
        <w:pStyle w:val="742"/>
        <w:rPr>
          <w:rFonts w:hint="eastAsia"/>
          <w:color w:val="auto"/>
          <w:highlight w:val="none"/>
        </w:rPr>
      </w:pPr>
      <w:r>
        <w:rPr>
          <w:rFonts w:hint="eastAsia"/>
          <w:color w:val="auto"/>
          <w:highlight w:val="none"/>
        </w:rPr>
      </w:r>
      <w:r/>
    </w:p>
    <w:p>
      <w:pPr>
        <w:rPr>
          <w:rFonts w:hint="eastAsia" w:ascii="宋体" w:hAnsi="宋体" w:eastAsia="宋体" w:cs="宋体"/>
          <w:b/>
          <w:bCs/>
          <w:color w:val="auto"/>
          <w:sz w:val="31"/>
          <w:szCs w:val="31"/>
          <w:highlight w:val="none"/>
        </w:rPr>
      </w:pPr>
      <w:r>
        <w:rPr>
          <w:rFonts w:hint="eastAsia" w:ascii="宋体" w:hAnsi="宋体" w:eastAsia="宋体" w:cs="宋体"/>
          <w:b/>
          <w:color w:val="auto"/>
          <w:sz w:val="31"/>
          <w:szCs w:val="31"/>
          <w:highlight w:val="none"/>
        </w:rPr>
        <w:t xml:space="preserve">附件一、投标申请及声明格式</w:t>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投标申请及声明</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南京市栖霞区疾病预防控制中心</w:t>
      </w:r>
      <w:r/>
    </w:p>
    <w:p>
      <w:pPr>
        <w:ind w:left="420"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 xml:space="preserve">投标邀请，正式授权下述签字人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(姓名)代表供应商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（供应商名称），提交投标文件。</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据此函，签字人兹宣布声明和承诺如下：</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1、我们的资格条件完全符合政府采购法和本次招标要求，我们同意并向贵方提供了与投标有关的所有证据和资料。</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2、按招标要求，我们的投标报价为</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其中，中、小、微型企业、残疾人 福利性单位、监狱企业产品</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3、项目负责人 </w:t>
      </w:r>
      <w:r>
        <w:rPr>
          <w:rFonts w:hint="eastAsia" w:ascii="宋体" w:hAnsi="宋体" w:eastAsia="宋体" w:cs="宋体"/>
          <w:color w:val="auto"/>
          <w:sz w:val="24"/>
          <w:highlight w:val="none"/>
          <w:u w:val="single"/>
        </w:rPr>
        <w:t xml:space="preserve">          （姓名）</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4、我们的投标产品中 </w:t>
      </w:r>
      <w:r>
        <w:rPr>
          <w:rFonts w:hint="eastAsia" w:ascii="宋体" w:hAnsi="宋体" w:eastAsia="宋体" w:cs="宋体"/>
          <w:color w:val="auto"/>
          <w:sz w:val="24"/>
          <w:highlight w:val="none"/>
          <w:u w:val="single"/>
        </w:rPr>
        <w:t xml:space="preserve">    （有或无）</w:t>
      </w:r>
      <w:r>
        <w:rPr>
          <w:rFonts w:hint="eastAsia" w:ascii="宋体" w:hAnsi="宋体" w:eastAsia="宋体" w:cs="宋体"/>
          <w:color w:val="auto"/>
          <w:sz w:val="24"/>
          <w:highlight w:val="none"/>
        </w:rPr>
        <w:t xml:space="preserve">进口产品。</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5、我们已详细审核全部招标文件及其有效补充文件，我们放弃对招标文件任何误解的权利，提交投标文件后，不对招标文件本身提出质疑。</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6、我们同意从规定的开标日期起遵循本投标文件，并在规定的投标有效期期满之前均具有约束力。</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7、一旦我方中标，我方将根据招标文件的规定严格履行合同，并保证于承诺的时间完成货物的启动/集成、调试等服务，交付采购人验收、使用。</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决不提供虚假材料谋取中标、决不采取不正当手段诋毁、排挤其他供应商、决不与采购人、其它供应商或者招标代理恶意串通、决不向采购人、采购单位工作人员和评委进行商业贿赂、决不在采购过程中与采购人进行协商谈判、决不拒绝有关部门监督检查或提供虚假情况，如有违反，无条件接受贵方及相关管理部门的处罚。</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9、与本投标有关的正式联系方式为：</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供应商授权代表姓名（签字或盖章）：</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rPr>
          <w:rFonts w:hint="eastAsia" w:ascii="宋体" w:hAnsi="宋体" w:eastAsia="宋体" w:cs="宋体"/>
          <w:b/>
          <w:color w:val="auto"/>
          <w:sz w:val="31"/>
          <w:szCs w:val="31"/>
          <w:highlight w:val="none"/>
        </w:rPr>
        <w:t xml:space="preserve">附件二、法定代表人授权委托书格式</w:t>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法定代表人授权委托书</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p>
    <w:p>
      <w:pPr>
        <w:ind w:left="-420"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本授权书声明：注册于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（供应商住址）的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（法定代表人姓名）代表本公司授权在下面签字的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（供应商代表姓名）为本公司的合法代理人，就贵方组织的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（项目编号）投标，以本公司名义处理一切与之有关的事务。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  年  月  日签字生效，特此声明。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委托代理人的身份证的复印件: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12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spacing w:after="120"/>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附件三、开标一览表及分项报价表格式</w:t>
      </w:r>
      <w:r/>
    </w:p>
    <w:p>
      <w:pPr>
        <w:pStyle w:val="721"/>
        <w:rPr>
          <w:color w:val="auto"/>
          <w:highlight w:val="none"/>
        </w:rPr>
      </w:pPr>
      <w:r>
        <w:rPr>
          <w:color w:val="auto"/>
          <w:highlight w:val="none"/>
        </w:rPr>
      </w:r>
      <w:r/>
    </w:p>
    <w:p>
      <w:pPr>
        <w:ind w:firstLine="3960"/>
        <w:spacing w:line="360" w:lineRule="auto"/>
        <w:shd w:val="clear" w:color="auto" w:fill="ffff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开标一览表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投标人名称：（加盖公章）</w:t>
      </w:r>
      <w:r/>
    </w:p>
    <w:p>
      <w:pPr>
        <w:spacing w:line="360" w:lineRule="auto"/>
        <w:rPr>
          <w:color w:val="auto"/>
          <w:sz w:val="24"/>
          <w:highlight w:val="none"/>
        </w:rPr>
      </w:pPr>
      <w:r>
        <w:rPr>
          <w:rFonts w:hint="eastAsia" w:ascii="宋体" w:hAnsi="宋体"/>
          <w:color w:val="auto"/>
          <w:sz w:val="24"/>
          <w:highlight w:val="none"/>
        </w:rPr>
        <w:t xml:space="preserve">项目名称：</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项目编号：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分包号：</w:t>
      </w:r>
      <w:r/>
    </w:p>
    <w:tbl>
      <w:tblPr>
        <w:tblStyle w:val="688"/>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42"/>
        </w:trPr>
        <w:tc>
          <w:tcPr>
            <w:tcW w:w="945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投标总报价（含税）</w:t>
            </w:r>
            <w:r/>
          </w:p>
        </w:tc>
      </w:tr>
      <w:tr>
        <w:trPr>
          <w:cantSplit/>
          <w:trHeight w:val="720"/>
        </w:trPr>
        <w:tc>
          <w:tcPr>
            <w:tcW w:w="9450" w:type="dxa"/>
            <w:vAlign w:val="center"/>
            <w:textDirection w:val="lrTb"/>
            <w:noWrap w:val="false"/>
          </w:tcPr>
          <w:p>
            <w:pPr>
              <w:pStyle w:val="902"/>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                         </w:t>
            </w:r>
            <w:r/>
          </w:p>
        </w:tc>
      </w:tr>
      <w:tr>
        <w:trPr>
          <w:cantSplit/>
          <w:trHeight w:val="747"/>
        </w:trPr>
        <w:tc>
          <w:tcPr>
            <w:tcW w:w="9450" w:type="dxa"/>
            <w:vAlign w:val="center"/>
            <w:textDirection w:val="lrTb"/>
            <w:noWrap w:val="false"/>
          </w:tcPr>
          <w:p>
            <w:pPr>
              <w:pStyle w:val="902"/>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大写（人民币）：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    </w:t>
            </w:r>
            <w:r/>
          </w:p>
        </w:tc>
      </w:tr>
    </w:tbl>
    <w:p>
      <w:pPr>
        <w:rPr>
          <w:rFonts w:hint="eastAsia" w:ascii="宋体" w:hAnsi="宋体"/>
          <w:color w:val="auto"/>
          <w:sz w:val="24"/>
          <w:highlight w:val="none"/>
        </w:rPr>
      </w:pPr>
      <w:r>
        <w:rPr>
          <w:rFonts w:hint="eastAsia" w:ascii="宋体" w:hAnsi="宋体"/>
          <w:color w:val="auto"/>
          <w:sz w:val="24"/>
          <w:highlight w:val="none"/>
        </w:rPr>
      </w:r>
      <w:r/>
    </w:p>
    <w:p>
      <w:pPr>
        <w:ind w:right="180" w:firstLine="480"/>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                                             供应商名称：（加盖电子公章）</w:t>
      </w:r>
      <w:r/>
    </w:p>
    <w:p>
      <w:pPr>
        <w:ind w:firstLine="720"/>
        <w:rPr>
          <w:rFonts w:hint="eastAsia" w:ascii="宋体" w:hAnsi="宋体"/>
          <w:color w:val="auto"/>
          <w:sz w:val="24"/>
          <w:highlight w:val="none"/>
        </w:rPr>
      </w:pPr>
      <w:r>
        <w:rPr>
          <w:rFonts w:hint="eastAsia" w:ascii="宋体" w:hAnsi="宋体"/>
          <w:color w:val="auto"/>
          <w:sz w:val="24"/>
          <w:highlight w:val="none"/>
        </w:rPr>
        <w:t xml:space="preserve">                                              日  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p>
    <w:p>
      <w:pPr>
        <w:jc w:val="center"/>
        <w:spacing w:line="288"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分项报价表</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项目名称：</w:t>
      </w:r>
      <w:r/>
    </w:p>
    <w:tbl>
      <w:tblPr>
        <w:tblStyle w:val="688"/>
        <w:tblW w:w="11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632"/>
        <w:gridCol w:w="2298"/>
        <w:gridCol w:w="1275"/>
        <w:gridCol w:w="1110"/>
        <w:gridCol w:w="1030"/>
        <w:gridCol w:w="1221"/>
        <w:gridCol w:w="1789"/>
      </w:tblGrid>
      <w:tr>
        <w:trPr>
          <w:cantSplit/>
          <w:jc w:val="center"/>
          <w:trHeight w:val="632"/>
        </w:trPr>
        <w:tc>
          <w:tcPr>
            <w:tcW w:w="773" w:type="dxa"/>
            <w:vAlign w:val="center"/>
            <w:textDirection w:val="lrTb"/>
            <w:noWrap w:val="false"/>
          </w:tcPr>
          <w:p>
            <w:pPr>
              <w:jc w:val="center"/>
              <w:spacing w:before="100" w:before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632" w:type="dxa"/>
            <w:vAlign w:val="center"/>
            <w:textDirection w:val="lrTb"/>
            <w:noWrap w:val="false"/>
          </w:tcPr>
          <w:p>
            <w:pPr>
              <w:jc w:val="center"/>
              <w:spacing w:before="100" w:before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货物名称</w:t>
            </w:r>
            <w:r/>
          </w:p>
        </w:tc>
        <w:tc>
          <w:tcPr>
            <w:tcW w:w="2298" w:type="dxa"/>
            <w:vAlign w:val="center"/>
            <w:textDirection w:val="lrTb"/>
            <w:noWrap w:val="false"/>
          </w:tcPr>
          <w:p>
            <w:pPr>
              <w:jc w:val="center"/>
              <w:spacing w:before="100" w:before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品牌/规格/产地</w:t>
            </w:r>
            <w:r/>
          </w:p>
        </w:tc>
        <w:tc>
          <w:tcPr>
            <w:tcW w:w="12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（元）</w:t>
            </w:r>
            <w:r/>
          </w:p>
        </w:tc>
        <w:tc>
          <w:tcPr>
            <w:tcW w:w="1110" w:type="dxa"/>
            <w:vAlign w:val="center"/>
            <w:textDirection w:val="lrTb"/>
            <w:noWrap w:val="false"/>
          </w:tcPr>
          <w:p>
            <w:pPr>
              <w:jc w:val="center"/>
              <w:spacing w:before="100" w:before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030" w:type="dxa"/>
            <w:vAlign w:val="center"/>
            <w:textDirection w:val="lrTb"/>
            <w:noWrap w:val="false"/>
          </w:tcPr>
          <w:p>
            <w:pPr>
              <w:jc w:val="center"/>
              <w:spacing w:before="100" w:before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22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合价</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（元）</w:t>
            </w:r>
            <w:r/>
          </w:p>
        </w:tc>
        <w:tc>
          <w:tcPr>
            <w:tcW w:w="1789" w:type="dxa"/>
            <w:vAlign w:val="center"/>
            <w:textDirection w:val="lrTb"/>
            <w:noWrap w:val="false"/>
          </w:tcPr>
          <w:p>
            <w:pPr>
              <w:jc w:val="center"/>
              <w:spacing w:before="100" w:before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备注（符合小微企业等规定的请注明）</w:t>
            </w:r>
            <w:r/>
          </w:p>
        </w:tc>
      </w:tr>
      <w:tr>
        <w:trPr>
          <w:cantSplit/>
          <w:jc w:val="center"/>
          <w:trHeight w:val="482"/>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微生物鉴定质谱仪</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专用电脑</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条码扫描器</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专用UPS电源</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超声清洗仪</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点靶台</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个</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70"/>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实验台</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0" w:type="dxa"/>
            <w:vAlign w:val="center"/>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68"/>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可重复使用不锈钢靶板</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块</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90"/>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一次性使用靶板</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块</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20"/>
        </w:trPr>
        <w:tc>
          <w:tcPr>
            <w:tcW w:w="7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63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298" w:type="dxa"/>
            <w:textDirection w:val="lrTb"/>
            <w:noWrap w:val="false"/>
          </w:tcPr>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0" w:type="dxa"/>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030" w:type="dxa"/>
            <w:vAlign w:val="center"/>
            <w:textDirection w:val="lrTb"/>
            <w:noWrap w:val="false"/>
          </w:tcPr>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65"/>
        </w:trPr>
        <w:tc>
          <w:tcPr>
            <w:tcW w:w="773" w:type="dxa"/>
            <w:vAlign w:val="center"/>
            <w:textDirection w:val="lrTb"/>
            <w:noWrap w:val="false"/>
          </w:tcPr>
          <w:p>
            <w:pPr>
              <w:jc w:val="center"/>
              <w:spacing w:line="560" w:lineRule="exact"/>
              <w:rPr>
                <w:rFonts w:hint="eastAsia" w:ascii="宋体" w:hAnsi="宋体" w:eastAsia="宋体" w:cs="宋体"/>
                <w:i/>
                <w:iCs/>
                <w:color w:val="auto"/>
                <w:sz w:val="24"/>
                <w:highlight w:val="none"/>
              </w:rPr>
            </w:pPr>
            <w:r>
              <w:rPr>
                <w:rFonts w:hint="eastAsia" w:ascii="宋体" w:hAnsi="宋体" w:eastAsia="宋体" w:cs="宋体"/>
                <w:i/>
                <w:iCs/>
                <w:color w:val="auto"/>
                <w:sz w:val="24"/>
                <w:highlight w:val="none"/>
              </w:rPr>
            </w:r>
            <w:r/>
          </w:p>
        </w:tc>
        <w:tc>
          <w:tcPr>
            <w:gridSpan w:val="4"/>
            <w:tcW w:w="6315"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iCs/>
                <w:color w:val="auto"/>
                <w:sz w:val="24"/>
                <w:highlight w:val="none"/>
              </w:rPr>
              <w:t xml:space="preserve">合计</w:t>
            </w:r>
            <w:r/>
          </w:p>
        </w:tc>
        <w:tc>
          <w:tcPr>
            <w:tcW w:w="1030" w:type="dxa"/>
            <w:vAlign w:val="center"/>
            <w:textDirection w:val="lrTb"/>
            <w:noWrap w:val="false"/>
          </w:tcPr>
          <w:p>
            <w:pPr>
              <w:jc w:val="center"/>
              <w:spacing w:line="560" w:lineRule="exac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221"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89" w:type="dxa"/>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70"/>
        </w:trPr>
        <w:tc>
          <w:tcPr>
            <w:gridSpan w:val="2"/>
            <w:tcW w:w="240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报价总计</w:t>
            </w:r>
            <w:r/>
          </w:p>
        </w:tc>
        <w:tc>
          <w:tcPr>
            <w:gridSpan w:val="6"/>
            <w:tcW w:w="872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63"/>
        </w:trPr>
        <w:tc>
          <w:tcPr>
            <w:gridSpan w:val="2"/>
            <w:tcW w:w="240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其中，小微型企业或残疾人福利性单位的产品报价总计</w:t>
            </w:r>
            <w:r/>
          </w:p>
        </w:tc>
        <w:tc>
          <w:tcPr>
            <w:gridSpan w:val="6"/>
            <w:tcW w:w="872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tc>
      </w:tr>
    </w:tbl>
    <w:p>
      <w:pPr>
        <w:ind w:firstLine="420"/>
        <w:spacing w:line="324"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供应商应分项进行填报，表中表格行数可自行添加。招标文件中未列出的相关辅助材料和在实施过程中涉及到的其它一切费用应在报价时一并考虑，项目实施过程中不再单独结算。表中报价总计应与对应报价一览表中总报价一致。</w:t>
      </w:r>
      <w:r/>
    </w:p>
    <w:p>
      <w:pPr>
        <w:ind w:firstLine="420"/>
        <w:spacing w:line="324"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在“备注（符合小微企业等规定的请注明）”栏内，填写“符合 小微型企业/监狱企业/残疾人福利性产品 报价”，“小微型企业、监狱企业或残疾人福利性产品报价总计”填写汇总价（报价折扣无需折算），如果未按上表格式填写，评审时将不享受价格扣除。</w:t>
      </w:r>
      <w:r/>
    </w:p>
    <w:p>
      <w:pPr>
        <w:ind w:right="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9"/>
        <w:jc w:val="righ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（盖章）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法定代表人或其授权代理人：</w:t>
      </w:r>
      <w:r>
        <w:rPr>
          <w:rFonts w:hint="eastAsia" w:ascii="宋体" w:hAnsi="宋体" w:eastAsia="宋体" w:cs="宋体"/>
          <w:color w:val="auto"/>
          <w:sz w:val="24"/>
          <w:highlight w:val="none"/>
          <w:u w:val="single"/>
        </w:rPr>
        <w:t xml:space="preserve">（签字或盖章）</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b/>
          <w:color w:val="auto"/>
          <w:sz w:val="31"/>
          <w:szCs w:val="31"/>
          <w:highlight w:val="none"/>
        </w:rPr>
        <w:sectPr>
          <w:headerReference w:type="default" r:id="rId9"/>
          <w:footerReference w:type="default" r:id="rId10"/>
          <w:footnotePr/>
          <w:endnotePr/>
          <w:type w:val="nextPage"/>
          <w:pgSz w:w="11900" w:h="16838" w:orient="portrait"/>
          <w:pgMar w:top="1270" w:right="1242" w:bottom="1157" w:left="1179" w:header="794" w:footer="680" w:gutter="0"/>
          <w:cols w:num="1" w:sep="0" w:space="0" w:equalWidth="1"/>
          <w:docGrid w:linePitch="360"/>
        </w:sectPr>
      </w:pPr>
      <w:r>
        <w:rPr>
          <w:rFonts w:hint="eastAsia" w:ascii="宋体" w:hAnsi="宋体" w:eastAsia="宋体" w:cs="宋体"/>
          <w:b/>
          <w:color w:val="auto"/>
          <w:sz w:val="31"/>
          <w:szCs w:val="31"/>
          <w:highlight w:val="none"/>
        </w:rPr>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color w:val="auto"/>
          <w:sz w:val="31"/>
          <w:szCs w:val="31"/>
          <w:highlight w:val="none"/>
        </w:rPr>
        <w:t xml:space="preserve">附件四、</w:t>
      </w:r>
      <w:r>
        <w:rPr>
          <w:rFonts w:hint="eastAsia" w:ascii="宋体" w:hAnsi="宋体" w:eastAsia="宋体" w:cs="宋体"/>
          <w:b/>
          <w:color w:val="auto"/>
          <w:sz w:val="31"/>
          <w:szCs w:val="31"/>
          <w:highlight w:val="none"/>
          <w:lang w:val="zh-CN"/>
        </w:rPr>
        <w:t xml:space="preserve">技术规格偏离表格式 </w:t>
      </w:r>
      <w:r/>
    </w:p>
    <w:p>
      <w:pPr>
        <w:ind w:left="420"/>
        <w:jc w:val="center"/>
        <w:spacing w:line="360" w:lineRule="auto"/>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技术规格偏离表</w:t>
      </w:r>
      <w:r/>
    </w:p>
    <w:tbl>
      <w:tblPr>
        <w:tblStyle w:val="688"/>
        <w:tblW w:w="8375" w:type="dxa"/>
        <w:jc w:val="center"/>
        <w:tblLayout w:type="fixed"/>
        <w:tblCellMar>
          <w:left w:w="0" w:type="dxa"/>
          <w:top w:w="0" w:type="dxa"/>
          <w:right w:w="0" w:type="dxa"/>
          <w:bottom w:w="0" w:type="dxa"/>
        </w:tblCellMar>
        <w:tblLook w:val="04A0" w:firstRow="1" w:lastRow="0" w:firstColumn="1" w:lastColumn="0" w:noHBand="0" w:noVBand="1"/>
      </w:tblPr>
      <w:tblGrid>
        <w:gridCol w:w="530"/>
        <w:gridCol w:w="1473"/>
        <w:gridCol w:w="1359"/>
        <w:gridCol w:w="255"/>
        <w:gridCol w:w="2235"/>
        <w:gridCol w:w="1186"/>
        <w:gridCol w:w="1337"/>
      </w:tblGrid>
      <w:tr>
        <w:trPr>
          <w:jc w:val="center"/>
          <w:trHeight w:val="470"/>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617"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758"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c>
      </w:tr>
      <w:tr>
        <w:trPr>
          <w:jc w:val="center"/>
          <w:trHeight w:val="4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4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3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7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9"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9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86"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37"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rPr>
          <w:rFonts w:hint="eastAsia" w:ascii="宋体" w:hAnsi="宋体" w:eastAsia="宋体" w:cs="宋体"/>
          <w:color w:val="auto"/>
          <w:sz w:val="22"/>
          <w:szCs w:val="22"/>
          <w:highlight w:val="none"/>
        </w:rPr>
        <w:t xml:space="preserve">1、提供的相关证明材料需在“备注”中标注证明材料在投标文件中的页码。</w:t>
      </w:r>
      <w:r/>
    </w:p>
    <w:p>
      <w:pPr>
        <w:ind w:firstLine="66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2、如果行数不够，请自行增加。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bookmarkStart w:id="11" w:name="_Toc2435"/>
      <w:r/>
      <w:bookmarkStart w:id="12" w:name="_Toc481604684"/>
      <w:r>
        <w:rPr>
          <w:rFonts w:hint="eastAsia" w:ascii="宋体" w:hAnsi="宋体" w:eastAsia="宋体" w:cs="宋体"/>
          <w:b/>
          <w:color w:val="auto"/>
          <w:sz w:val="31"/>
          <w:szCs w:val="31"/>
          <w:highlight w:val="none"/>
        </w:rPr>
        <w:t xml:space="preserve">附件五、商务条款偏离表格式</w:t>
      </w:r>
      <w:bookmarkEnd w:id="11"/>
      <w:r/>
      <w:bookmarkEnd w:id="12"/>
      <w:r/>
      <w:r/>
    </w:p>
    <w:p>
      <w:pPr>
        <w:ind w:left="420"/>
        <w:jc w:val="center"/>
        <w:spacing w:line="360" w:lineRule="auto"/>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商务条款偏离表</w:t>
      </w:r>
      <w:r/>
    </w:p>
    <w:tbl>
      <w:tblPr>
        <w:tblStyle w:val="688"/>
        <w:tblW w:w="8950" w:type="dxa"/>
        <w:jc w:val="center"/>
        <w:tblLayout w:type="fixed"/>
        <w:tblCellMar>
          <w:left w:w="0" w:type="dxa"/>
          <w:top w:w="0" w:type="dxa"/>
          <w:right w:w="0" w:type="dxa"/>
          <w:bottom w:w="0" w:type="dxa"/>
        </w:tblCellMar>
        <w:tblLook w:val="04A0" w:firstRow="1" w:lastRow="0" w:firstColumn="1" w:lastColumn="0" w:noHBand="0" w:noVBand="1"/>
      </w:tblPr>
      <w:tblGrid>
        <w:gridCol w:w="903"/>
        <w:gridCol w:w="1784"/>
        <w:gridCol w:w="2370"/>
        <w:gridCol w:w="933"/>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90"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2960"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招标文件要求的</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903"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784"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370"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933"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说明：如果行数不够，请自行增加。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31"/>
          <w:szCs w:val="31"/>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1"/>
          <w:szCs w:val="31"/>
          <w:highlight w:val="none"/>
        </w:rPr>
        <w:t xml:space="preserve">附件六、方案及服务承诺</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方案及服务承诺应根据采购人对项目的要求、评标标准的要求及项目本身的特点编写。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 w:val="31"/>
          <w:szCs w:val="31"/>
          <w:highlight w:val="none"/>
          <w:lang w:val="zh-CN"/>
        </w:rPr>
      </w:pPr>
      <w:r>
        <w:rPr>
          <w:rFonts w:hint="eastAsia" w:ascii="宋体" w:hAnsi="宋体" w:eastAsia="宋体" w:cs="宋体"/>
          <w:b/>
          <w:color w:val="auto"/>
          <w:sz w:val="31"/>
          <w:szCs w:val="31"/>
          <w:highlight w:val="none"/>
        </w:rPr>
        <w:t xml:space="preserve">附件七、</w:t>
      </w:r>
      <w:r>
        <w:rPr>
          <w:rFonts w:hint="eastAsia" w:ascii="宋体" w:hAnsi="宋体" w:eastAsia="宋体" w:cs="宋体"/>
          <w:b/>
          <w:color w:val="auto"/>
          <w:sz w:val="31"/>
          <w:szCs w:val="31"/>
          <w:highlight w:val="none"/>
          <w:lang w:val="zh-CN"/>
        </w:rPr>
        <w:t xml:space="preserve">供应商类似业绩情况表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bl>
      <w:tblPr>
        <w:tblStyle w:val="68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812"/>
        <w:gridCol w:w="1572"/>
        <w:gridCol w:w="1164"/>
        <w:gridCol w:w="1395"/>
      </w:tblGrid>
      <w:tr>
        <w:trPr>
          <w:jc w:val="center"/>
          <w:trHeight w:val="1315"/>
        </w:trPr>
        <w:tc>
          <w:tcPr>
            <w:tcW w:w="1129" w:type="dxa"/>
            <w:vAlign w:val="center"/>
            <w:textDirection w:val="lrTb"/>
            <w:noWrap/>
          </w:tcPr>
          <w:p>
            <w:pPr>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序号</w:t>
            </w:r>
            <w:r/>
          </w:p>
        </w:tc>
        <w:tc>
          <w:tcPr>
            <w:tcW w:w="3812" w:type="dxa"/>
            <w:vAlign w:val="center"/>
            <w:textDirection w:val="lrTb"/>
            <w:noWrap/>
          </w:tcPr>
          <w:p>
            <w:pPr>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项目名称</w:t>
            </w:r>
            <w:r/>
          </w:p>
        </w:tc>
        <w:tc>
          <w:tcPr>
            <w:tcW w:w="1572" w:type="dxa"/>
            <w:vAlign w:val="center"/>
            <w:textDirection w:val="lrTb"/>
            <w:noWrap/>
          </w:tcPr>
          <w:p>
            <w:pPr>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业主单位</w:t>
            </w:r>
            <w:r/>
          </w:p>
        </w:tc>
        <w:tc>
          <w:tcPr>
            <w:tcW w:w="1164"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合同签订时间</w:t>
            </w:r>
            <w:r/>
          </w:p>
        </w:tc>
        <w:tc>
          <w:tcPr>
            <w:tcW w:w="1395" w:type="dxa"/>
            <w:vAlign w:val="center"/>
            <w:textDirection w:val="lrTb"/>
            <w:noWrap/>
          </w:tcPr>
          <w:p>
            <w:pPr>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备注</w:t>
            </w:r>
            <w:r/>
          </w:p>
        </w:tc>
      </w:tr>
      <w:tr>
        <w:trPr>
          <w:jc w:val="center"/>
          <w:trHeight w:val="352"/>
        </w:trPr>
        <w:tc>
          <w:tcPr>
            <w:tcW w:w="1129"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52"/>
        </w:trPr>
        <w:tc>
          <w:tcPr>
            <w:tcW w:w="1129"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tcPr>
          <w:p>
            <w:pPr>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r>
            <w:r/>
          </w:p>
        </w:tc>
        <w:tc>
          <w:tcPr>
            <w:tcW w:w="157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bl>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1、如果行、列数不够，请自行增加。</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2、请供应商根据本格式要求如实填写业绩情况表，并附相关证明材料复印件。</w:t>
      </w:r>
      <w:r/>
    </w:p>
    <w:p>
      <w:pPr>
        <w:spacing w:line="24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0"/>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ind w:firstLine="400"/>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24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highlight w:val="none"/>
        </w:rPr>
      </w:pPr>
      <w:r>
        <w:rPr>
          <w:rFonts w:ascii="宋体" w:hAnsi="宋体" w:eastAsia="宋体" w:cs="宋体"/>
          <w:b/>
          <w:bCs/>
          <w:color w:val="auto"/>
          <w:highlight w:val="none"/>
        </w:rPr>
        <w:br w:type="page" w:clear="all"/>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附件八、企业声明函格式</w:t>
      </w:r>
      <w:r/>
    </w:p>
    <w:p>
      <w:pPr>
        <w:ind w:left="3260"/>
        <w:spacing w:line="0"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中小企业声明函（货物）</w:t>
      </w:r>
      <w:r/>
    </w:p>
    <w:p>
      <w:pPr>
        <w:ind w:firstLine="480"/>
        <w:spacing w:before="100" w:beforeAutospacing="1" w:after="100" w:afterAutospacing="1"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rPr>
        <w:t xml:space="preserve">     （单位名称）</w:t>
      </w:r>
      <w:r>
        <w:rPr>
          <w:rFonts w:hint="eastAsia" w:ascii="宋体" w:hAnsi="宋体" w:eastAsia="宋体" w:cs="宋体"/>
          <w:color w:val="auto"/>
          <w:sz w:val="24"/>
          <w:highlight w:val="none"/>
        </w:rPr>
        <w:t xml:space="preserve">的 </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 xml:space="preserve">采购活动，提供的货物全部由符合政策要求的中小企业制造。相关企业（含联合体中的中小企业、签订分包意向协议的中小企业）的具体情况如下：</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工业   </w:t>
      </w:r>
      <w:r>
        <w:rPr>
          <w:rFonts w:hint="eastAsia" w:ascii="宋体" w:hAnsi="宋体" w:eastAsia="宋体" w:cs="宋体"/>
          <w:color w:val="auto"/>
          <w:sz w:val="24"/>
          <w:highlight w:val="none"/>
        </w:rPr>
        <w:t xml:space="preserve">行业；制造商为 </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人</w:t>
      </w:r>
      <w:r>
        <w:rPr>
          <w:rFonts w:hint="eastAsia" w:ascii="宋体" w:hAnsi="宋体" w:eastAsia="宋体" w:cs="宋体"/>
          <w:color w:val="auto"/>
          <w:sz w:val="24"/>
          <w:highlight w:val="none"/>
        </w:rPr>
        <w:t xml:space="preserve">，营业收入为</w:t>
      </w:r>
      <w:r>
        <w:rPr>
          <w:rFonts w:hint="eastAsia" w:ascii="宋体" w:hAnsi="宋体" w:eastAsia="宋体" w:cs="宋体"/>
          <w:color w:val="auto"/>
          <w:sz w:val="24"/>
          <w:highlight w:val="none"/>
          <w:u w:val="single"/>
        </w:rPr>
        <w:t xml:space="preserve">    万元</w:t>
      </w:r>
      <w:r>
        <w:rPr>
          <w:rFonts w:hint="eastAsia" w:ascii="宋体" w:hAnsi="宋体" w:eastAsia="宋体" w:cs="宋体"/>
          <w:color w:val="auto"/>
          <w:sz w:val="24"/>
          <w:highlight w:val="none"/>
        </w:rPr>
        <w:t xml:space="preserve">，资产总额为</w:t>
      </w:r>
      <w:r>
        <w:rPr>
          <w:rFonts w:hint="eastAsia" w:ascii="宋体" w:hAnsi="宋体" w:eastAsia="宋体" w:cs="宋体"/>
          <w:color w:val="auto"/>
          <w:sz w:val="24"/>
          <w:highlight w:val="none"/>
          <w:u w:val="single"/>
        </w:rPr>
        <w:t xml:space="preserve">   万元</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（中型企业、小型企业、微型企业）</w:t>
      </w:r>
      <w:r>
        <w:rPr>
          <w:rFonts w:hint="eastAsia" w:ascii="宋体" w:hAnsi="宋体" w:eastAsia="宋体" w:cs="宋体"/>
          <w:color w:val="auto"/>
          <w:sz w:val="24"/>
          <w:highlight w:val="none"/>
        </w:rPr>
        <w:t xml:space="preserve">；</w:t>
      </w:r>
      <w:r/>
    </w:p>
    <w:p>
      <w:pPr>
        <w:ind w:firstLine="480"/>
        <w:spacing w:before="100" w:beforeAutospacing="1" w:after="100" w:afterAutospacing="1"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工业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人</w:t>
      </w:r>
      <w:r>
        <w:rPr>
          <w:rFonts w:hint="eastAsia" w:ascii="宋体" w:hAnsi="宋体" w:eastAsia="宋体" w:cs="宋体"/>
          <w:color w:val="auto"/>
          <w:sz w:val="24"/>
          <w:highlight w:val="none"/>
        </w:rPr>
        <w:t xml:space="preserve">，营业收入为</w:t>
      </w:r>
      <w:r>
        <w:rPr>
          <w:rFonts w:hint="eastAsia" w:ascii="宋体" w:hAnsi="宋体" w:eastAsia="宋体" w:cs="宋体"/>
          <w:color w:val="auto"/>
          <w:sz w:val="24"/>
          <w:highlight w:val="none"/>
          <w:u w:val="single"/>
        </w:rPr>
        <w:t xml:space="preserve">    万元</w:t>
      </w:r>
      <w:r>
        <w:rPr>
          <w:rFonts w:hint="eastAsia" w:ascii="宋体" w:hAnsi="宋体" w:eastAsia="宋体" w:cs="宋体"/>
          <w:color w:val="auto"/>
          <w:sz w:val="24"/>
          <w:highlight w:val="none"/>
        </w:rPr>
        <w:t xml:space="preserve">，资产总额为</w:t>
      </w:r>
      <w:r>
        <w:rPr>
          <w:rFonts w:hint="eastAsia" w:ascii="宋体" w:hAnsi="宋体" w:eastAsia="宋体" w:cs="宋体"/>
          <w:color w:val="auto"/>
          <w:sz w:val="24"/>
          <w:highlight w:val="none"/>
          <w:u w:val="single"/>
        </w:rPr>
        <w:t xml:space="preserve">   万</w:t>
      </w:r>
      <w:r>
        <w:rPr>
          <w:rFonts w:hint="eastAsia" w:ascii="宋体" w:hAnsi="宋体" w:eastAsia="宋体" w:cs="宋体"/>
          <w:color w:val="auto"/>
          <w:sz w:val="24"/>
          <w:highlight w:val="none"/>
        </w:rPr>
        <w:t xml:space="preserve">元，属于</w:t>
      </w:r>
      <w:r>
        <w:rPr>
          <w:rFonts w:hint="eastAsia" w:ascii="宋体" w:hAnsi="宋体" w:eastAsia="宋体" w:cs="宋体"/>
          <w:color w:val="auto"/>
          <w:sz w:val="24"/>
          <w:highlight w:val="none"/>
          <w:u w:val="single"/>
        </w:rPr>
        <w:t xml:space="preserve">     （中型企业、小型企业、微型企业）</w:t>
      </w:r>
      <w:r>
        <w:rPr>
          <w:rFonts w:hint="eastAsia" w:ascii="宋体" w:hAnsi="宋体" w:eastAsia="宋体" w:cs="宋体"/>
          <w:color w:val="auto"/>
          <w:sz w:val="24"/>
          <w:highlight w:val="none"/>
        </w:rPr>
        <w:t xml:space="preserve">；</w:t>
      </w:r>
      <w:r/>
    </w:p>
    <w:p>
      <w:pPr>
        <w:ind w:firstLine="480"/>
        <w:spacing w:before="100" w:beforeAutospacing="1" w:after="100" w:afterAutospacing="1"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before="100" w:beforeAutospacing="1" w:after="100" w:afterAutospacing="1"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before="100" w:beforeAutospacing="1" w:after="100" w:afterAutospacing="1"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629"/>
        <w:spacing w:line="7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w:t>
      </w:r>
      <w:r>
        <w:rPr>
          <w:rFonts w:hint="eastAsia" w:ascii="宋体" w:hAnsi="宋体" w:eastAsia="宋体" w:cs="宋体"/>
          <w:color w:val="auto"/>
          <w:sz w:val="24"/>
          <w:highlight w:val="none"/>
          <w:u w:val="single"/>
        </w:rPr>
        <w:t xml:space="preserve">                 </w:t>
      </w:r>
      <w:r/>
    </w:p>
    <w:p>
      <w:pPr>
        <w:ind w:firstLine="629"/>
        <w:spacing w:line="7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法定代表人（或授权代表）：（签字）</w:t>
      </w:r>
      <w:r>
        <w:rPr>
          <w:rFonts w:hint="eastAsia" w:ascii="宋体" w:hAnsi="宋体" w:eastAsia="宋体" w:cs="宋体"/>
          <w:color w:val="auto"/>
          <w:sz w:val="24"/>
          <w:highlight w:val="none"/>
          <w:u w:val="single"/>
        </w:rPr>
        <w:t xml:space="preserve">              </w:t>
      </w:r>
      <w:r/>
    </w:p>
    <w:p>
      <w:pPr>
        <w:ind w:firstLine="629"/>
        <w:spacing w:line="7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年     月   日</w:t>
      </w:r>
      <w:r/>
    </w:p>
    <w:p>
      <w:pPr>
        <w:ind w:firstLine="480"/>
        <w:spacing w:line="42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2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2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备注：如供应商所投货物的制造商均为中小企业的，须由供应商在响应文件中提供加盖本单位公章的</w:t>
      </w:r>
      <w:r>
        <w:rPr>
          <w:rFonts w:hint="eastAsia" w:ascii="宋体" w:hAnsi="宋体" w:eastAsia="宋体" w:cs="宋体"/>
          <w:b/>
          <w:color w:val="auto"/>
          <w:szCs w:val="21"/>
          <w:highlight w:val="none"/>
        </w:rPr>
        <w:t xml:space="preserve">声明</w:t>
      </w:r>
      <w:r>
        <w:rPr>
          <w:rFonts w:hint="eastAsia" w:ascii="宋体" w:hAnsi="宋体" w:eastAsia="宋体" w:cs="宋体"/>
          <w:b/>
          <w:bCs/>
          <w:color w:val="auto"/>
          <w:szCs w:val="21"/>
          <w:highlight w:val="none"/>
        </w:rPr>
        <w:t xml:space="preserve">函，供应商应从制造商处获得充分、准确的信息，并对其出具的《中小企业声明函》真实性负责。</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ind w:left="270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残疾人福利性单位声明函</w:t>
      </w:r>
      <w:r/>
    </w:p>
    <w:p>
      <w:pPr>
        <w:spacing w:line="312"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w:t>
      </w:r>
      <w:r/>
    </w:p>
    <w:p>
      <w:pPr>
        <w:spacing w:line="183"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政策的通知》（财库〔2017〕141号）的规定，本单位为符合条件的残疾人福利性单位，且</w:t>
      </w:r>
      <w:r/>
    </w:p>
    <w:p>
      <w:pPr>
        <w:spacing w:line="188"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本单位参加______单位的______项目采购活动提供本单位制造的货物（由本单位承担工程/提</w:t>
      </w:r>
      <w:r/>
    </w:p>
    <w:p>
      <w:pPr>
        <w:spacing w:line="203"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供服务），或者提供其他残疾人福利性单位制造的货物（不包括使用非残疾人福利性单位注册</w:t>
      </w:r>
      <w:r/>
    </w:p>
    <w:p>
      <w:pPr>
        <w:spacing w:line="197"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商标的货物）。</w:t>
      </w:r>
      <w:r/>
    </w:p>
    <w:p>
      <w:pPr>
        <w:spacing w:line="203"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spacing w:line="202"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5040"/>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单位名称（加盖电子公章）：</w:t>
      </w:r>
      <w:r/>
    </w:p>
    <w:p>
      <w:pPr>
        <w:spacing w:line="139" w:lineRule="exact"/>
        <w:rPr>
          <w:rFonts w:hint="eastAsia" w:ascii="宋体" w:hAnsi="宋体" w:eastAsia="宋体" w:cs="宋体"/>
          <w:color w:val="auto"/>
          <w:highlight w:val="none"/>
        </w:rPr>
      </w:pPr>
      <w:r/>
      <w:bookmarkStart w:id="13" w:name="page43"/>
      <w:r/>
      <w:bookmarkEnd w:id="13"/>
      <w:r/>
      <w:r/>
    </w:p>
    <w:p>
      <w:pPr>
        <w:ind w:left="5040"/>
        <w:spacing w:line="239" w:lineRule="exact"/>
        <w:tabs>
          <w:tab w:val="left" w:pos="544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期：</w:t>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98"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70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属于监狱企业的证明文件</w:t>
      </w:r>
      <w:r/>
    </w:p>
    <w:p>
      <w:pPr>
        <w:spacing w:line="259"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5"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（提供由省级以上监狱管理局、戒毒管理局(含新疆生产建设兵团)出具的属于监狱企业的证明</w:t>
      </w:r>
      <w:r/>
    </w:p>
    <w:p>
      <w:pPr>
        <w:spacing w:line="231"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39"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文件）</w:t>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节能产品认证证书</w:t>
      </w:r>
      <w:r/>
    </w:p>
    <w:p>
      <w:pPr>
        <w:spacing w:line="274"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39"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（提供国家确定的认证机构出具的、处于有效期之内的产品认证证书）</w:t>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28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28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环境标志产品认证证书</w:t>
      </w:r>
      <w:r/>
    </w:p>
    <w:p>
      <w:pPr>
        <w:spacing w:line="274"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39"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（提供国家确定的认证机构出具的、处于有效期之内的产品认证证书）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b/>
          <w:color w:val="auto"/>
          <w:sz w:val="24"/>
          <w:highlight w:val="none"/>
        </w:rPr>
        <w:t xml:space="preserve">关于符合本国产品标准的声明函</w:t>
      </w:r>
      <w:r/>
    </w:p>
    <w:p>
      <w:pPr>
        <w:pStyle w:val="710"/>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10"/>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4554855</wp:posOffset>
                </wp:positionH>
                <wp:positionV relativeFrom="paragraph">
                  <wp:posOffset>274320</wp:posOffset>
                </wp:positionV>
                <wp:extent cx="571500" cy="79375"/>
                <wp:effectExtent l="0" t="0" r="19050" b="34925"/>
                <wp:wrapNone/>
                <wp:docPr id="2" name="直接箭头连接符 10"/>
                <wp:cNvGraphicFramePr/>
                <a:graphic xmlns:a="http://schemas.openxmlformats.org/drawingml/2006/main">
                  <a:graphicData uri="http://schemas.microsoft.com/office/word/2010/wordprocessingShape">
                    <wps:wsp>
                      <wps:cNvPr id="0" name=""/>
                      <wps:cNvSpPr/>
                      <wps:spPr bwMode="auto">
                        <a:xfrm flipV="1">
                          <a:off x="0" y="0"/>
                          <a:ext cx="571500" cy="793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6432;o:allowoverlap:true;o:allowincell:true;mso-position-horizontal-relative:text;margin-left:358.6pt;mso-position-horizontal:absolute;mso-position-vertical-relative:text;margin-top:21.6pt;mso-position-vertical:absolute;width:45.0pt;height:6.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3303270</wp:posOffset>
                </wp:positionH>
                <wp:positionV relativeFrom="paragraph">
                  <wp:posOffset>264795</wp:posOffset>
                </wp:positionV>
                <wp:extent cx="816610" cy="103505"/>
                <wp:effectExtent l="635" t="4445" r="1905" b="6350"/>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60.1pt;mso-position-horizontal:absolute;mso-position-vertical-relative:text;margin-top:2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1835150</wp:posOffset>
                </wp:positionH>
                <wp:positionV relativeFrom="paragraph">
                  <wp:posOffset>483235</wp:posOffset>
                </wp:positionV>
                <wp:extent cx="784225" cy="78740"/>
                <wp:effectExtent l="0" t="0" r="34925" b="35560"/>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84225" cy="787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44.5pt;mso-position-horizontal:absolute;mso-position-vertical-relative:text;margin-top:38.0pt;mso-position-vertical:absolute;width:61.8pt;height:6.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806450</wp:posOffset>
                </wp:positionH>
                <wp:positionV relativeFrom="paragraph">
                  <wp:posOffset>442595</wp:posOffset>
                </wp:positionV>
                <wp:extent cx="565785" cy="130810"/>
                <wp:effectExtent l="1270" t="4445" r="4445" b="1714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63.5pt;mso-position-horizontal:absolute;mso-position-vertical-relative:text;margin-top:34.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2178050</wp:posOffset>
                </wp:positionH>
                <wp:positionV relativeFrom="paragraph">
                  <wp:posOffset>273685</wp:posOffset>
                </wp:positionV>
                <wp:extent cx="816610" cy="76200"/>
                <wp:effectExtent l="635" t="4445" r="1905" b="14604"/>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71.5pt;mso-position-horizontal:absolute;mso-position-vertical-relative:text;margin-top:21.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4946015</wp:posOffset>
                </wp:positionH>
                <wp:positionV relativeFrom="paragraph">
                  <wp:posOffset>64135</wp:posOffset>
                </wp:positionV>
                <wp:extent cx="577215" cy="92075"/>
                <wp:effectExtent l="635" t="4445" r="12700" b="1778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89.4pt;mso-position-horizontal:absolute;mso-position-vertical-relative:text;margin-top:5.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717"/>
          <w:rFonts w:hint="eastAsia" w:ascii="方正魏碑_GBK" w:hAnsi="方正魏碑_GBK" w:eastAsia="方正魏碑_GBK" w:cs="方正魏碑_GBK"/>
          <w:i w:val="0"/>
          <w:color w:val="auto"/>
          <w:highlight w:val="none"/>
          <w:u w:val="single"/>
          <w:shd w:val="clear" w:color="auto" w:fill="ffffff"/>
        </w:rPr>
        <w:t xml:space="preserve">（产品名称1）</w:t>
      </w:r>
      <w:r>
        <w:rPr>
          <w:rStyle w:val="717"/>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17"/>
          <w:rFonts w:hint="eastAsia" w:ascii="方正魏碑_GBK" w:hAnsi="方正魏碑_GBK" w:eastAsia="方正魏碑_GBK" w:cs="方正魏碑_GBK"/>
          <w:i w:val="0"/>
          <w:color w:val="auto"/>
          <w:highlight w:val="none"/>
          <w:u w:val="single"/>
          <w:shd w:val="clear" w:color="auto" w:fill="ffffff"/>
        </w:rPr>
        <w:t xml:space="preserve">（厂名）</w:t>
      </w:r>
      <w:r>
        <w:rPr>
          <w:rStyle w:val="717"/>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1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17"/>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17"/>
          <w:rFonts w:hint="eastAsia" w:ascii="方正魏碑_GBK" w:hAnsi="方正魏碑_GBK" w:eastAsia="方正魏碑_GBK" w:cs="方正魏碑_GBK"/>
          <w:i w:val="0"/>
          <w:color w:val="auto"/>
          <w:highlight w:val="none"/>
          <w:u w:val="single"/>
          <w:shd w:val="clear" w:color="auto" w:fill="ffffff"/>
        </w:rPr>
        <w:t xml:space="preserve">（规定</w:t>
      </w:r>
      <w:r>
        <w:rPr>
          <w:rStyle w:val="717"/>
          <w:rFonts w:ascii="方正魏碑_GBK" w:hAnsi="方正魏碑_GBK" w:eastAsia="方正魏碑_GBK" w:cs="方正魏碑_GBK"/>
          <w:i w:val="0"/>
          <w:color w:val="auto"/>
          <w:highlight w:val="none"/>
          <w:u w:val="single"/>
          <w:shd w:val="clear" w:color="auto" w:fill="ffffff"/>
        </w:rPr>
        <w:t xml:space="preserve">比例</w:t>
      </w:r>
      <w:r>
        <w:rPr>
          <w:rStyle w:val="717"/>
          <w:rFonts w:hint="eastAsia" w:ascii="方正魏碑_GBK" w:hAnsi="方正魏碑_GBK" w:eastAsia="方正魏碑_GBK" w:cs="方正魏碑_GBK"/>
          <w:i w:val="0"/>
          <w:color w:val="auto"/>
          <w:highlight w:val="none"/>
          <w:u w:val="single"/>
          <w:shd w:val="clear" w:color="auto" w:fill="ffffff"/>
        </w:rPr>
        <w:t xml:space="preserve">）</w:t>
      </w:r>
      <w:r>
        <w:rPr>
          <w:rStyle w:val="717"/>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1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17"/>
          <w:rFonts w:hint="eastAsia" w:ascii="方正魏碑_GBK" w:hAnsi="方正魏碑_GBK" w:eastAsia="方正魏碑_GBK" w:cs="方正魏碑_GBK"/>
          <w:i w:val="0"/>
          <w:color w:val="auto"/>
          <w:highlight w:val="none"/>
          <w:u w:val="single"/>
          <w:shd w:val="clear" w:color="auto" w:fill="ffffff"/>
        </w:rPr>
        <w:t xml:space="preserve">（关键</w:t>
      </w:r>
      <w:r>
        <w:rPr>
          <w:rStyle w:val="717"/>
          <w:rFonts w:ascii="方正魏碑_GBK" w:hAnsi="方正魏碑_GBK" w:eastAsia="方正魏碑_GBK" w:cs="方正魏碑_GBK"/>
          <w:i w:val="0"/>
          <w:color w:val="auto"/>
          <w:highlight w:val="none"/>
          <w:u w:val="single"/>
          <w:shd w:val="clear" w:color="auto" w:fill="ffffff"/>
        </w:rPr>
        <w:t xml:space="preserve">组件</w:t>
      </w:r>
      <w:r>
        <w:rPr>
          <w:rStyle w:val="717"/>
          <w:rFonts w:hint="eastAsia" w:ascii="方正魏碑_GBK" w:hAnsi="方正魏碑_GBK" w:eastAsia="方正魏碑_GBK" w:cs="方正魏碑_GBK"/>
          <w:i w:val="0"/>
          <w:color w:val="auto"/>
          <w:highlight w:val="none"/>
          <w:u w:val="single"/>
          <w:shd w:val="clear" w:color="auto" w:fill="ffffff"/>
        </w:rPr>
        <w:t xml:space="preserve">）</w:t>
      </w:r>
      <w:r>
        <w:rPr>
          <w:rStyle w:val="717"/>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1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17"/>
          <w:rFonts w:hint="eastAsia" w:ascii="方正魏碑_GBK" w:hAnsi="方正魏碑_GBK" w:eastAsia="方正魏碑_GBK" w:cs="方正魏碑_GBK"/>
          <w:i w:val="0"/>
          <w:color w:val="auto"/>
          <w:highlight w:val="none"/>
          <w:u w:val="single"/>
          <w:shd w:val="clear" w:color="auto" w:fill="ffffff"/>
        </w:rPr>
        <w:t xml:space="preserve">（关键工序）</w:t>
      </w:r>
      <w:r>
        <w:rPr>
          <w:rStyle w:val="717"/>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4369435</wp:posOffset>
                </wp:positionH>
                <wp:positionV relativeFrom="paragraph">
                  <wp:posOffset>203200</wp:posOffset>
                </wp:positionV>
                <wp:extent cx="462280" cy="147320"/>
                <wp:effectExtent l="1270" t="4445" r="12700" b="1968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44.1pt;mso-position-horizontal:absolute;mso-position-vertical-relative:text;margin-top:16.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1558925</wp:posOffset>
                </wp:positionH>
                <wp:positionV relativeFrom="paragraph">
                  <wp:posOffset>422275</wp:posOffset>
                </wp:positionV>
                <wp:extent cx="908685" cy="140970"/>
                <wp:effectExtent l="635" t="4445" r="5080" b="698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22.8pt;mso-position-horizontal:absolute;mso-position-vertical-relative:text;margin-top:33.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2983230</wp:posOffset>
                </wp:positionH>
                <wp:positionV relativeFrom="paragraph">
                  <wp:posOffset>216535</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34.9pt;mso-position-horizontal:absolute;mso-position-vertical-relative:text;margin-top:17.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1899285</wp:posOffset>
                </wp:positionH>
                <wp:positionV relativeFrom="paragraph">
                  <wp:posOffset>256540</wp:posOffset>
                </wp:positionV>
                <wp:extent cx="843915" cy="125730"/>
                <wp:effectExtent l="635" t="4445" r="12700" b="2222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49.5pt;mso-position-horizontal:absolute;mso-position-vertical-relative:text;margin-top:20.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591820</wp:posOffset>
                </wp:positionH>
                <wp:positionV relativeFrom="paragraph">
                  <wp:posOffset>435610</wp:posOffset>
                </wp:positionV>
                <wp:extent cx="424815" cy="112395"/>
                <wp:effectExtent l="1270" t="4445" r="12065" b="1651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46.6pt;mso-position-horizontal:absolute;mso-position-vertical-relative:text;margin-top:34.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71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17"/>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1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1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17"/>
          <w:rFonts w:hint="eastAsia" w:ascii="方正魏碑_GBK" w:hAnsi="方正魏碑_GBK" w:eastAsia="方正魏碑_GBK" w:cs="方正魏碑_GBK"/>
          <w:i w:val="0"/>
          <w:color w:val="auto"/>
          <w:highlight w:val="none"/>
          <w:u w:val="single"/>
          <w:shd w:val="clear" w:color="auto" w:fill="ffffff"/>
        </w:rPr>
        <w:t xml:space="preserve">（规定</w:t>
      </w:r>
      <w:r>
        <w:rPr>
          <w:rStyle w:val="717"/>
          <w:rFonts w:ascii="方正魏碑_GBK" w:hAnsi="方正魏碑_GBK" w:eastAsia="方正魏碑_GBK" w:cs="方正魏碑_GBK"/>
          <w:i w:val="0"/>
          <w:color w:val="auto"/>
          <w:highlight w:val="none"/>
          <w:u w:val="single"/>
          <w:shd w:val="clear" w:color="auto" w:fill="ffffff"/>
        </w:rPr>
        <w:t xml:space="preserve">比例</w:t>
      </w:r>
      <w:r>
        <w:rPr>
          <w:rStyle w:val="71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1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717"/>
          <w:rFonts w:hint="eastAsia" w:ascii="方正魏碑_GBK" w:hAnsi="方正魏碑_GBK" w:eastAsia="方正魏碑_GBK" w:cs="方正魏碑_GBK"/>
          <w:i w:val="0"/>
          <w:color w:val="auto"/>
          <w:highlight w:val="none"/>
          <w:u w:val="single"/>
          <w:shd w:val="clear" w:color="auto" w:fill="ffffff"/>
        </w:rPr>
        <w:t xml:space="preserve">（关键</w:t>
      </w:r>
      <w:r>
        <w:rPr>
          <w:rStyle w:val="717"/>
          <w:rFonts w:ascii="方正魏碑_GBK" w:hAnsi="方正魏碑_GBK" w:eastAsia="方正魏碑_GBK" w:cs="方正魏碑_GBK"/>
          <w:i w:val="0"/>
          <w:color w:val="auto"/>
          <w:highlight w:val="none"/>
          <w:u w:val="single"/>
          <w:shd w:val="clear" w:color="auto" w:fill="ffffff"/>
        </w:rPr>
        <w:t xml:space="preserve">组件</w:t>
      </w:r>
      <w:r>
        <w:rPr>
          <w:rStyle w:val="71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1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17"/>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1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1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10"/>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10"/>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1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10"/>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10"/>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附件九、声明函</w:t>
      </w:r>
      <w:r/>
    </w:p>
    <w:p>
      <w:pPr>
        <w:jc w:val="center"/>
        <w:spacing w:line="239" w:lineRule="auto"/>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t xml:space="preserve">（一）无重大违法记录声明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pacing w:val="-8"/>
          <w:sz w:val="24"/>
          <w:szCs w:val="20"/>
          <w:highlight w:val="none"/>
        </w:rPr>
      </w:pPr>
      <w:r>
        <w:rPr>
          <w:rFonts w:hint="eastAsia" w:ascii="宋体" w:hAnsi="宋体" w:eastAsia="宋体" w:cs="宋体"/>
          <w:color w:val="auto"/>
          <w:sz w:val="24"/>
          <w:szCs w:val="20"/>
          <w:highlight w:val="none"/>
        </w:rPr>
        <w:t xml:space="preserve">南京市栖霞区疾病预防控制中心：</w:t>
      </w:r>
      <w:r/>
    </w:p>
    <w:p>
      <w:pPr>
        <w:ind w:firstLine="672"/>
        <w:jc w:val="left"/>
        <w:spacing w:line="360" w:lineRule="auto"/>
        <w:widowControl/>
        <w:rPr>
          <w:rFonts w:hint="eastAsia" w:ascii="宋体" w:hAnsi="宋体" w:eastAsia="宋体" w:cs="宋体"/>
          <w:color w:val="auto"/>
          <w:spacing w:val="-8"/>
          <w:sz w:val="24"/>
          <w:szCs w:val="20"/>
          <w:highlight w:val="none"/>
        </w:rPr>
      </w:pPr>
      <w:r>
        <w:rPr>
          <w:rFonts w:hint="eastAsia" w:ascii="宋体" w:hAnsi="宋体" w:eastAsia="宋体" w:cs="宋体"/>
          <w:color w:val="auto"/>
          <w:spacing w:val="-8"/>
          <w:sz w:val="24"/>
          <w:szCs w:val="20"/>
          <w:highlight w:val="none"/>
        </w:rPr>
        <w:t xml:space="preserve">我单位 </w:t>
      </w:r>
      <w:r>
        <w:rPr>
          <w:rFonts w:hint="eastAsia" w:ascii="宋体" w:hAnsi="宋体" w:eastAsia="宋体" w:cs="宋体"/>
          <w:color w:val="auto"/>
          <w:spacing w:val="-8"/>
          <w:sz w:val="24"/>
          <w:szCs w:val="20"/>
          <w:highlight w:val="none"/>
          <w:u w:val="single"/>
        </w:rPr>
        <w:t xml:space="preserve">            </w:t>
      </w:r>
      <w:r>
        <w:rPr>
          <w:rFonts w:hint="eastAsia" w:ascii="宋体" w:hAnsi="宋体" w:eastAsia="宋体" w:cs="宋体"/>
          <w:color w:val="auto"/>
          <w:spacing w:val="-8"/>
          <w:sz w:val="24"/>
          <w:szCs w:val="20"/>
          <w:highlight w:val="none"/>
        </w:rPr>
        <w:t xml:space="preserve">（供应商名称）郑重声明：</w:t>
      </w:r>
      <w:r/>
    </w:p>
    <w:p>
      <w:pPr>
        <w:ind w:firstLine="690"/>
        <w:jc w:val="left"/>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color w:val="auto"/>
          <w:spacing w:val="-5"/>
          <w:sz w:val="24"/>
          <w:szCs w:val="20"/>
          <w:highlight w:val="none"/>
        </w:rPr>
        <w:t xml:space="preserve">我单位参加政府采购活动前3</w:t>
      </w:r>
      <w:r>
        <w:rPr>
          <w:rFonts w:hint="eastAsia" w:ascii="宋体" w:hAnsi="宋体" w:eastAsia="宋体" w:cs="宋体"/>
          <w:color w:val="auto"/>
          <w:spacing w:val="-8"/>
          <w:sz w:val="24"/>
          <w:szCs w:val="20"/>
          <w:highlight w:val="none"/>
        </w:rPr>
        <w:t xml:space="preserve"> 年内在经营活动中</w:t>
      </w:r>
      <w:r>
        <w:rPr>
          <w:rFonts w:hint="eastAsia" w:ascii="宋体" w:hAnsi="宋体" w:eastAsia="宋体" w:cs="宋体"/>
          <w:color w:val="auto"/>
          <w:spacing w:val="-8"/>
          <w:sz w:val="24"/>
          <w:szCs w:val="20"/>
          <w:highlight w:val="none"/>
          <w:u w:val="single"/>
        </w:rPr>
        <w:t xml:space="preserve">      </w:t>
      </w:r>
      <w:r>
        <w:rPr>
          <w:rFonts w:hint="eastAsia" w:ascii="宋体" w:hAnsi="宋体" w:eastAsia="宋体" w:cs="宋体"/>
          <w:color w:val="auto"/>
          <w:sz w:val="24"/>
          <w:szCs w:val="20"/>
          <w:highlight w:val="none"/>
          <w:u w:val="single"/>
        </w:rPr>
        <w:t xml:space="preserve">（</w:t>
      </w:r>
      <w:r>
        <w:rPr>
          <w:rFonts w:hint="eastAsia" w:ascii="宋体" w:hAnsi="宋体" w:eastAsia="宋体" w:cs="宋体"/>
          <w:b/>
          <w:color w:val="auto"/>
          <w:sz w:val="24"/>
          <w:szCs w:val="20"/>
          <w:highlight w:val="none"/>
          <w:u w:val="single"/>
        </w:rPr>
        <w:t xml:space="preserve">在下划线上如实填写：有或没有</w:t>
      </w:r>
      <w:r>
        <w:rPr>
          <w:rFonts w:hint="eastAsia" w:ascii="宋体" w:hAnsi="宋体" w:eastAsia="宋体" w:cs="宋体"/>
          <w:color w:val="auto"/>
          <w:spacing w:val="-3"/>
          <w:sz w:val="24"/>
          <w:szCs w:val="20"/>
          <w:highlight w:val="none"/>
        </w:rPr>
        <w:t xml:space="preserve">）</w:t>
      </w:r>
      <w:r>
        <w:rPr>
          <w:rFonts w:hint="eastAsia" w:ascii="宋体" w:hAnsi="宋体" w:eastAsia="宋体" w:cs="宋体"/>
          <w:b/>
          <w:bCs/>
          <w:color w:val="auto"/>
          <w:sz w:val="24"/>
          <w:szCs w:val="20"/>
          <w:highlight w:val="none"/>
        </w:rPr>
        <w:t xml:space="preserve">重大违法记录，且不是失信被执行人、重大税收违法案件当事人名单、严重违法失信行为记录名单的供应商</w:t>
      </w:r>
      <w:r>
        <w:rPr>
          <w:rFonts w:hint="eastAsia" w:ascii="宋体" w:hAnsi="宋体" w:eastAsia="宋体" w:cs="宋体"/>
          <w:b/>
          <w:color w:val="auto"/>
          <w:spacing w:val="1"/>
          <w:sz w:val="24"/>
          <w:szCs w:val="20"/>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990"/>
        <w:jc w:val="right"/>
        <w:spacing w:line="360" w:lineRule="auto"/>
        <w:tabs>
          <w:tab w:val="left" w:pos="5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990"/>
        <w:jc w:val="right"/>
        <w:spacing w:line="360" w:lineRule="auto"/>
        <w:tabs>
          <w:tab w:val="left" w:pos="5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声明人：</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（电子公章）</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期：</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日</w:t>
      </w:r>
      <w:r/>
    </w:p>
    <w:p>
      <w:pPr>
        <w:jc w:val="cente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（二）承诺函</w:t>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jc w:val="left"/>
        <w:spacing w:line="360" w:lineRule="auto"/>
        <w:rPr>
          <w:rFonts w:ascii="Calibri" w:hAnsi="Calibri" w:eastAsia="宋体" w:cs="Times New Roman"/>
          <w:color w:val="auto"/>
          <w:spacing w:val="-8"/>
          <w:sz w:val="24"/>
          <w:szCs w:val="20"/>
          <w:highlight w:val="none"/>
        </w:rPr>
      </w:pPr>
      <w:r>
        <w:rPr>
          <w:rFonts w:hint="eastAsia" w:ascii="Calibri" w:hAnsi="Calibri" w:eastAsia="宋体" w:cs="Times New Roman"/>
          <w:color w:val="auto"/>
          <w:sz w:val="24"/>
          <w:szCs w:val="20"/>
          <w:highlight w:val="none"/>
        </w:rPr>
        <w:t xml:space="preserve">南京市栖霞区疾病预防控制中心：</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rPr>
        <w:t xml:space="preserve">我单位</w:t>
      </w:r>
      <w:r>
        <w:rPr>
          <w:rFonts w:hint="eastAsia" w:ascii="宋体" w:hAnsi="宋体" w:cs="宋体"/>
          <w:color w:val="auto"/>
          <w:sz w:val="24"/>
          <w:szCs w:val="21"/>
          <w:highlight w:val="none"/>
          <w:u w:val="single"/>
        </w:rPr>
        <w:t xml:space="preserve">        （供应商名称）</w:t>
      </w:r>
      <w:r>
        <w:rPr>
          <w:rFonts w:hint="eastAsia" w:ascii="宋体" w:hAnsi="宋体" w:cs="宋体"/>
          <w:bCs/>
          <w:color w:val="auto"/>
          <w:sz w:val="24"/>
          <w:highlight w:val="none"/>
        </w:rPr>
        <w:t xml:space="preserve">郑重承诺以下事项，若有虚假承诺愿承担一切相关责任：</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（1）单位负责人为同一人或者存在直接控股、管理关系的不同供应商，不得参加同一合同项下的政府采购活动。</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（3）未被“信用中国”网站、“中国政府采网”网站、“信用江苏”列入失信被执行人、重大税收违法案件当事人名单、政府采购严重违法失信行为记录名单。</w:t>
      </w:r>
      <w:r/>
    </w:p>
    <w:p>
      <w:pPr>
        <w:ind w:firstLine="240"/>
        <w:rPr>
          <w:rFonts w:hint="eastAsia" w:ascii="宋体" w:hAnsi="宋体" w:cs="宋体"/>
          <w:b/>
          <w:color w:val="auto"/>
          <w:sz w:val="31"/>
          <w:szCs w:val="31"/>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我单位为非联合体投标。</w:t>
      </w:r>
      <w:r/>
    </w:p>
    <w:p>
      <w:pPr>
        <w:ind w:right="9"/>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9" w:firstLine="609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（电子公章）</w:t>
      </w:r>
      <w:r/>
    </w:p>
    <w:p>
      <w:pPr>
        <w:ind w:right="9" w:firstLine="46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法定代表人或其授权代理人：</w:t>
      </w:r>
      <w:r>
        <w:rPr>
          <w:rFonts w:hint="eastAsia" w:ascii="宋体" w:hAnsi="宋体" w:cs="宋体"/>
          <w:color w:val="auto"/>
          <w:szCs w:val="21"/>
          <w:highlight w:val="none"/>
          <w:u w:val="single"/>
        </w:rPr>
        <w:t xml:space="preserve">（签字或盖章）</w:t>
      </w:r>
      <w:r/>
    </w:p>
    <w:p>
      <w:pPr>
        <w:jc w:val="center"/>
        <w:rPr>
          <w:rFonts w:hint="eastAsia" w:ascii="宋体" w:hAnsi="宋体" w:eastAsia="宋体" w:cs="宋体"/>
          <w:b/>
          <w:color w:val="auto"/>
          <w:sz w:val="31"/>
          <w:szCs w:val="31"/>
          <w:highlight w:val="none"/>
        </w:rPr>
      </w:pPr>
      <w:r>
        <w:rPr>
          <w:rFonts w:hint="eastAsia" w:cs="宋体"/>
          <w:color w:val="auto"/>
          <w:szCs w:val="21"/>
          <w:highlight w:val="none"/>
        </w:rPr>
        <w:t xml:space="preserve">                                           日期：   年   月   日</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p>
    <w:p>
      <w:pPr>
        <w:pStyle w:val="742"/>
        <w:rPr>
          <w:rFonts w:hint="eastAsia"/>
          <w:color w:val="auto"/>
          <w:highlight w:val="none"/>
        </w:rPr>
      </w:pPr>
      <w:r>
        <w:rPr>
          <w:rFonts w:hint="eastAsia"/>
          <w:color w:val="auto"/>
          <w:highlight w:val="none"/>
        </w:rPr>
      </w:r>
      <w:r/>
    </w:p>
    <w:p>
      <w:pPr>
        <w:rPr>
          <w:rFonts w:hint="eastAsia" w:ascii="宋体" w:hAnsi="宋体" w:eastAsia="宋体" w:cs="宋体"/>
          <w:b/>
          <w:bCs/>
          <w:color w:val="auto"/>
          <w:sz w:val="31"/>
          <w:szCs w:val="31"/>
          <w:highlight w:val="none"/>
        </w:rPr>
      </w:pPr>
      <w:r>
        <w:rPr>
          <w:rFonts w:hint="eastAsia" w:ascii="宋体" w:hAnsi="宋体" w:eastAsia="宋体" w:cs="宋体"/>
          <w:b/>
          <w:color w:val="auto"/>
          <w:sz w:val="31"/>
          <w:szCs w:val="31"/>
          <w:highlight w:val="none"/>
        </w:rPr>
        <w:t xml:space="preserve">附件十、《南京市政府采购供应商信用记录表暨信用承诺书》 </w:t>
      </w:r>
      <w:r/>
    </w:p>
    <w:p>
      <w:pPr>
        <w:ind w:firstLine="189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ascii="宋体" w:hAnsi="宋体" w:eastAsia="宋体" w:cs="宋体"/>
          <w:color w:val="auto"/>
          <w:sz w:val="22"/>
          <w:szCs w:val="22"/>
          <w:highlight w:val="none"/>
        </w:rPr>
        <w:t xml:space="preserve">网站在线打印签字并加盖公章</w:t>
      </w:r>
      <w:r>
        <w:rPr>
          <w:rFonts w:hint="eastAsia" w:ascii="宋体" w:hAnsi="宋体" w:eastAsia="宋体" w:cs="宋体"/>
          <w:color w:val="auto"/>
          <w:szCs w:val="21"/>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1"/>
          <w:szCs w:val="31"/>
          <w:highlight w:val="none"/>
        </w:rPr>
        <w:t xml:space="preserve">附件十一、投标需要的其他证明文件及材料（若有）</w:t>
      </w:r>
      <w:r/>
    </w:p>
    <w:p>
      <w:pPr>
        <w:ind w:left="3800"/>
        <w:spacing w:line="239" w:lineRule="auto"/>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0" w:h="16838" w:orient="portrait"/>
      <w:pgMar w:top="1270" w:right="1242" w:bottom="1157" w:left="1179" w:header="794"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2865" w:hanging="360"/>
      </w:pPr>
      <w:rPr>
        <w:rFonts w:hint="default" w:ascii="Courier New" w:hAnsi="Courier New" w:eastAsia="Courier New" w:cs="Courier New"/>
      </w:rPr>
    </w:lvl>
    <w:lvl w:ilvl="2">
      <w:start w:val="1"/>
      <w:numFmt w:val="bullet"/>
      <w:isLgl w:val="false"/>
      <w:suff w:val="tab"/>
      <w:lvlText w:val="§"/>
      <w:lvlJc w:val="left"/>
      <w:pPr>
        <w:ind w:left="3585" w:hanging="360"/>
      </w:pPr>
      <w:rPr>
        <w:rFonts w:hint="default" w:ascii="Wingdings" w:hAnsi="Wingdings" w:eastAsia="Wingdings" w:cs="Wingdings"/>
      </w:rPr>
    </w:lvl>
    <w:lvl w:ilvl="3">
      <w:start w:val="1"/>
      <w:numFmt w:val="bullet"/>
      <w:isLgl w:val="false"/>
      <w:suff w:val="tab"/>
      <w:lvlText w:val="·"/>
      <w:lvlJc w:val="left"/>
      <w:pPr>
        <w:ind w:left="4305" w:hanging="360"/>
      </w:pPr>
      <w:rPr>
        <w:rFonts w:hint="default" w:ascii="Symbol" w:hAnsi="Symbol" w:eastAsia="Symbol" w:cs="Symbol"/>
      </w:rPr>
    </w:lvl>
    <w:lvl w:ilvl="4">
      <w:start w:val="1"/>
      <w:numFmt w:val="bullet"/>
      <w:isLgl w:val="false"/>
      <w:suff w:val="tab"/>
      <w:lvlText w:val="o"/>
      <w:lvlJc w:val="left"/>
      <w:pPr>
        <w:ind w:left="5025" w:hanging="360"/>
      </w:pPr>
      <w:rPr>
        <w:rFonts w:hint="default" w:ascii="Courier New" w:hAnsi="Courier New" w:eastAsia="Courier New" w:cs="Courier New"/>
      </w:rPr>
    </w:lvl>
    <w:lvl w:ilvl="5">
      <w:start w:val="1"/>
      <w:numFmt w:val="bullet"/>
      <w:isLgl w:val="false"/>
      <w:suff w:val="tab"/>
      <w:lvlText w:val="§"/>
      <w:lvlJc w:val="left"/>
      <w:pPr>
        <w:ind w:left="5745" w:hanging="360"/>
      </w:pPr>
      <w:rPr>
        <w:rFonts w:hint="default" w:ascii="Wingdings" w:hAnsi="Wingdings" w:eastAsia="Wingdings" w:cs="Wingdings"/>
      </w:rPr>
    </w:lvl>
    <w:lvl w:ilvl="6">
      <w:start w:val="1"/>
      <w:numFmt w:val="bullet"/>
      <w:isLgl w:val="false"/>
      <w:suff w:val="tab"/>
      <w:lvlText w:val="·"/>
      <w:lvlJc w:val="left"/>
      <w:pPr>
        <w:ind w:left="6465" w:hanging="360"/>
      </w:pPr>
      <w:rPr>
        <w:rFonts w:hint="default" w:ascii="Symbol" w:hAnsi="Symbol" w:eastAsia="Symbol" w:cs="Symbol"/>
      </w:rPr>
    </w:lvl>
    <w:lvl w:ilvl="7">
      <w:start w:val="1"/>
      <w:numFmt w:val="bullet"/>
      <w:isLgl w:val="false"/>
      <w:suff w:val="tab"/>
      <w:lvlText w:val="o"/>
      <w:lvlJc w:val="left"/>
      <w:pPr>
        <w:ind w:left="7185" w:hanging="360"/>
      </w:pPr>
      <w:rPr>
        <w:rFonts w:hint="default" w:ascii="Courier New" w:hAnsi="Courier New" w:eastAsia="Courier New" w:cs="Courier New"/>
      </w:rPr>
    </w:lvl>
    <w:lvl w:ilvl="8">
      <w:start w:val="1"/>
      <w:numFmt w:val="bullet"/>
      <w:isLgl w:val="false"/>
      <w:suff w:val="tab"/>
      <w:lvlText w:val="§"/>
      <w:lvlJc w:val="left"/>
      <w:pPr>
        <w:ind w:left="7905"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2160" w:hanging="144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6"/>
  </w:num>
  <w:num w:numId="7">
    <w:abstractNumId w:val="0"/>
  </w:num>
  <w:num w:numId="8">
    <w:abstractNumId w:val="9"/>
  </w:num>
  <w:num w:numId="9">
    <w:abstractNumId w:val="8"/>
  </w:num>
  <w:num w:numId="10">
    <w:abstractNumId w:val="12"/>
  </w:num>
  <w:num w:numId="11">
    <w:abstractNumId w:val="7"/>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8">
    <w:name w:val="Heading 1"/>
    <w:basedOn w:val="677"/>
    <w:next w:val="677"/>
    <w:uiPriority w:val="99"/>
    <w:qFormat/>
    <w:pPr>
      <w:keepLines/>
      <w:keepNext/>
      <w:spacing w:before="340" w:after="330" w:line="578" w:lineRule="auto"/>
      <w:outlineLvl w:val="0"/>
    </w:pPr>
    <w:rPr>
      <w:b/>
      <w:bCs/>
      <w:sz w:val="44"/>
      <w:szCs w:val="44"/>
    </w:rPr>
  </w:style>
  <w:style w:type="paragraph" w:styleId="679">
    <w:name w:val="Heading 2"/>
    <w:basedOn w:val="677"/>
    <w:next w:val="677"/>
    <w:link w:val="761"/>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77"/>
    <w:link w:val="762"/>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89"/>
    <w:link w:val="763"/>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64"/>
    <w:uiPriority w:val="9"/>
    <w:unhideWhenUsed/>
    <w:qFormat/>
    <w:pPr>
      <w:keepLines/>
      <w:keepNext/>
      <w:spacing w:before="320" w:after="200"/>
      <w:outlineLvl w:val="4"/>
    </w:pPr>
    <w:rPr>
      <w:rFonts w:ascii="Arial" w:hAnsi="Arial" w:eastAsia="Arial" w:cs="Arial"/>
      <w:b/>
      <w:bCs/>
      <w:sz w:val="24"/>
    </w:rPr>
  </w:style>
  <w:style w:type="paragraph" w:styleId="683">
    <w:name w:val="Heading 6"/>
    <w:basedOn w:val="677"/>
    <w:next w:val="677"/>
    <w:link w:val="765"/>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67"/>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68"/>
    <w:uiPriority w:val="9"/>
    <w:unhideWhenUsed/>
    <w:qFormat/>
    <w:pPr>
      <w:keepLines/>
      <w:keepNext/>
      <w:spacing w:before="320" w:after="200"/>
      <w:outlineLvl w:val="8"/>
    </w:pPr>
    <w:rPr>
      <w:rFonts w:ascii="Arial" w:hAnsi="Arial" w:eastAsia="Arial" w:cs="Arial"/>
      <w:i/>
      <w:iCs/>
      <w:szCs w:val="21"/>
    </w:rPr>
  </w:style>
  <w:style w:type="character" w:styleId="687" w:default="1">
    <w:name w:val="Default Paragraph Font"/>
    <w:uiPriority w:val="1"/>
    <w:semiHidden/>
    <w:unhideWhenUsed/>
  </w:style>
  <w:style w:type="table" w:styleId="688" w:default="1">
    <w:name w:val="Normal Table"/>
    <w:uiPriority w:val="99"/>
    <w:semiHidden/>
    <w:unhideWhenUsed/>
    <w:tblPr>
      <w:tblCellMar>
        <w:left w:w="108" w:type="dxa"/>
        <w:top w:w="0" w:type="dxa"/>
        <w:right w:w="108" w:type="dxa"/>
        <w:bottom w:w="0" w:type="dxa"/>
      </w:tblCellMar>
    </w:tblPr>
  </w:style>
  <w:style w:type="paragraph" w:styleId="689" w:customStyle="1">
    <w:name w:val="正文首缩两字"/>
    <w:basedOn w:val="677"/>
    <w:uiPriority w:val="0"/>
    <w:qFormat/>
    <w:pPr>
      <w:ind w:left="210" w:right="210" w:firstLine="480"/>
      <w:spacing w:line="360" w:lineRule="auto"/>
    </w:pPr>
    <w:rPr>
      <w:rFonts w:ascii="宋体" w:hAnsi="宋体" w:eastAsia="仿宋_GB2312"/>
      <w:sz w:val="24"/>
    </w:rPr>
  </w:style>
  <w:style w:type="paragraph" w:styleId="690">
    <w:name w:val="toc 7"/>
    <w:basedOn w:val="677"/>
    <w:next w:val="677"/>
    <w:uiPriority w:val="39"/>
    <w:unhideWhenUsed/>
    <w:qFormat/>
    <w:pPr>
      <w:ind w:left="1701"/>
      <w:spacing w:after="57"/>
    </w:pPr>
  </w:style>
  <w:style w:type="paragraph" w:styleId="691">
    <w:name w:val="Normal Indent"/>
    <w:basedOn w:val="677"/>
    <w:uiPriority w:val="0"/>
    <w:qFormat/>
    <w:pPr>
      <w:ind w:firstLine="420"/>
    </w:pPr>
  </w:style>
  <w:style w:type="paragraph" w:styleId="692">
    <w:name w:val="Caption"/>
    <w:basedOn w:val="677"/>
    <w:next w:val="67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3">
    <w:name w:val="annotation text"/>
    <w:basedOn w:val="677"/>
    <w:link w:val="892"/>
    <w:uiPriority w:val="99"/>
    <w:unhideWhenUsed/>
    <w:qFormat/>
    <w:pPr>
      <w:jc w:val="left"/>
    </w:pPr>
  </w:style>
  <w:style w:type="paragraph" w:styleId="694">
    <w:name w:val="Body Text"/>
    <w:basedOn w:val="677"/>
    <w:uiPriority w:val="99"/>
    <w:qFormat/>
    <w:pPr>
      <w:spacing w:after="120"/>
    </w:pPr>
    <w:rPr>
      <w:sz w:val="24"/>
    </w:rPr>
  </w:style>
  <w:style w:type="paragraph" w:styleId="695">
    <w:name w:val="Body Text Indent"/>
    <w:basedOn w:val="677"/>
    <w:next w:val="677"/>
    <w:uiPriority w:val="0"/>
    <w:qFormat/>
    <w:pPr>
      <w:ind w:left="420"/>
      <w:spacing w:after="120"/>
    </w:pPr>
    <w:rPr>
      <w:sz w:val="24"/>
    </w:rPr>
  </w:style>
  <w:style w:type="paragraph" w:styleId="696">
    <w:name w:val="toc 5"/>
    <w:basedOn w:val="677"/>
    <w:next w:val="677"/>
    <w:uiPriority w:val="39"/>
    <w:unhideWhenUsed/>
    <w:qFormat/>
    <w:pPr>
      <w:ind w:left="1134"/>
      <w:spacing w:after="57"/>
    </w:pPr>
  </w:style>
  <w:style w:type="paragraph" w:styleId="697">
    <w:name w:val="toc 3"/>
    <w:basedOn w:val="677"/>
    <w:next w:val="677"/>
    <w:uiPriority w:val="39"/>
    <w:unhideWhenUsed/>
    <w:qFormat/>
    <w:pPr>
      <w:ind w:left="567"/>
      <w:spacing w:after="57"/>
    </w:pPr>
  </w:style>
  <w:style w:type="paragraph" w:styleId="698">
    <w:name w:val="toc 8"/>
    <w:basedOn w:val="677"/>
    <w:next w:val="677"/>
    <w:uiPriority w:val="39"/>
    <w:unhideWhenUsed/>
    <w:qFormat/>
    <w:pPr>
      <w:ind w:left="1984"/>
      <w:spacing w:after="57"/>
    </w:pPr>
  </w:style>
  <w:style w:type="paragraph" w:styleId="699">
    <w:name w:val="endnote text"/>
    <w:basedOn w:val="677"/>
    <w:link w:val="886"/>
    <w:uiPriority w:val="99"/>
    <w:semiHidden/>
    <w:unhideWhenUsed/>
    <w:qFormat/>
    <w:rPr>
      <w:sz w:val="20"/>
    </w:rPr>
  </w:style>
  <w:style w:type="paragraph" w:styleId="700">
    <w:name w:val="Footer"/>
    <w:basedOn w:val="677"/>
    <w:link w:val="900"/>
    <w:uiPriority w:val="99"/>
    <w:unhideWhenUsed/>
    <w:qFormat/>
    <w:pPr>
      <w:tabs>
        <w:tab w:val="center" w:pos="4153" w:leader="none"/>
        <w:tab w:val="right" w:pos="8306" w:leader="none"/>
      </w:tabs>
    </w:pPr>
    <w:rPr>
      <w:sz w:val="18"/>
    </w:rPr>
  </w:style>
  <w:style w:type="paragraph" w:styleId="701">
    <w:name w:val="Header"/>
    <w:basedOn w:val="677"/>
    <w:link w:val="776"/>
    <w:uiPriority w:val="99"/>
    <w:unhideWhenUsed/>
    <w:qFormat/>
    <w:pPr>
      <w:tabs>
        <w:tab w:val="center" w:pos="7143" w:leader="none"/>
        <w:tab w:val="right" w:pos="14287" w:leader="none"/>
      </w:tabs>
    </w:pPr>
  </w:style>
  <w:style w:type="paragraph" w:styleId="702">
    <w:name w:val="toc 1"/>
    <w:basedOn w:val="677"/>
    <w:next w:val="677"/>
    <w:uiPriority w:val="39"/>
    <w:unhideWhenUsed/>
    <w:qFormat/>
    <w:pPr>
      <w:spacing w:after="57"/>
    </w:pPr>
  </w:style>
  <w:style w:type="paragraph" w:styleId="703">
    <w:name w:val="toc 4"/>
    <w:basedOn w:val="677"/>
    <w:next w:val="677"/>
    <w:uiPriority w:val="39"/>
    <w:unhideWhenUsed/>
    <w:qFormat/>
    <w:pPr>
      <w:ind w:left="850"/>
      <w:spacing w:after="57"/>
    </w:pPr>
  </w:style>
  <w:style w:type="paragraph" w:styleId="704">
    <w:name w:val="Subtitle"/>
    <w:basedOn w:val="677"/>
    <w:next w:val="677"/>
    <w:link w:val="771"/>
    <w:uiPriority w:val="11"/>
    <w:qFormat/>
    <w:pPr>
      <w:spacing w:before="200" w:after="200"/>
    </w:pPr>
    <w:rPr>
      <w:sz w:val="24"/>
    </w:rPr>
  </w:style>
  <w:style w:type="paragraph" w:styleId="705">
    <w:name w:val="footnote text"/>
    <w:basedOn w:val="677"/>
    <w:link w:val="885"/>
    <w:uiPriority w:val="99"/>
    <w:semiHidden/>
    <w:unhideWhenUsed/>
    <w:qFormat/>
    <w:pPr>
      <w:spacing w:after="40"/>
    </w:pPr>
    <w:rPr>
      <w:sz w:val="18"/>
    </w:rPr>
  </w:style>
  <w:style w:type="paragraph" w:styleId="706">
    <w:name w:val="toc 6"/>
    <w:basedOn w:val="677"/>
    <w:next w:val="677"/>
    <w:uiPriority w:val="39"/>
    <w:unhideWhenUsed/>
    <w:qFormat/>
    <w:pPr>
      <w:ind w:left="1417"/>
      <w:spacing w:after="57"/>
    </w:pPr>
  </w:style>
  <w:style w:type="paragraph" w:styleId="707">
    <w:name w:val="table of figures"/>
    <w:basedOn w:val="677"/>
    <w:next w:val="677"/>
    <w:uiPriority w:val="99"/>
    <w:unhideWhenUsed/>
    <w:qFormat/>
  </w:style>
  <w:style w:type="paragraph" w:styleId="708">
    <w:name w:val="toc 2"/>
    <w:basedOn w:val="677"/>
    <w:next w:val="677"/>
    <w:uiPriority w:val="39"/>
    <w:unhideWhenUsed/>
    <w:qFormat/>
    <w:pPr>
      <w:ind w:left="283"/>
      <w:spacing w:after="57"/>
    </w:pPr>
  </w:style>
  <w:style w:type="paragraph" w:styleId="709">
    <w:name w:val="toc 9"/>
    <w:basedOn w:val="677"/>
    <w:next w:val="677"/>
    <w:uiPriority w:val="39"/>
    <w:unhideWhenUsed/>
    <w:qFormat/>
    <w:pPr>
      <w:ind w:left="2268"/>
      <w:spacing w:after="57"/>
    </w:pPr>
  </w:style>
  <w:style w:type="paragraph" w:styleId="710">
    <w:name w:val="Normal (Web)"/>
    <w:basedOn w:val="677"/>
    <w:uiPriority w:val="99"/>
    <w:unhideWhenUsed/>
    <w:qFormat/>
    <w:pPr>
      <w:spacing w:before="100" w:beforeAutospacing="1" w:after="100" w:afterAutospacing="1"/>
    </w:pPr>
    <w:rPr>
      <w:rFonts w:ascii="宋体" w:hAnsi="宋体" w:cs="宋体"/>
      <w:sz w:val="24"/>
    </w:rPr>
  </w:style>
  <w:style w:type="paragraph" w:styleId="711">
    <w:name w:val="Title"/>
    <w:basedOn w:val="677"/>
    <w:next w:val="677"/>
    <w:link w:val="770"/>
    <w:uiPriority w:val="10"/>
    <w:qFormat/>
    <w:pPr>
      <w:contextualSpacing/>
      <w:spacing w:before="300" w:after="200"/>
    </w:pPr>
    <w:rPr>
      <w:sz w:val="48"/>
      <w:szCs w:val="48"/>
    </w:rPr>
  </w:style>
  <w:style w:type="paragraph" w:styleId="712">
    <w:name w:val="annotation subject"/>
    <w:basedOn w:val="693"/>
    <w:next w:val="693"/>
    <w:link w:val="893"/>
    <w:uiPriority w:val="99"/>
    <w:semiHidden/>
    <w:unhideWhenUsed/>
    <w:qFormat/>
    <w:rPr>
      <w:b/>
      <w:bCs/>
    </w:rPr>
  </w:style>
  <w:style w:type="paragraph" w:styleId="713">
    <w:name w:val="Body Text First Indent 2"/>
    <w:basedOn w:val="695"/>
    <w:uiPriority w:val="0"/>
    <w:qFormat/>
    <w:pPr>
      <w:ind w:left="0" w:firstLine="420"/>
      <w:spacing w:after="0" w:line="360" w:lineRule="auto"/>
    </w:pPr>
    <w:rPr>
      <w:rFonts w:ascii="宋体" w:hAnsi="宋体"/>
      <w:sz w:val="20"/>
    </w:rPr>
  </w:style>
  <w:style w:type="table" w:styleId="714">
    <w:name w:val="Table Grid"/>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endnote reference"/>
    <w:basedOn w:val="687"/>
    <w:uiPriority w:val="99"/>
    <w:semiHidden/>
    <w:unhideWhenUsed/>
    <w:qFormat/>
    <w:rPr>
      <w:vertAlign w:val="superscript"/>
    </w:rPr>
  </w:style>
  <w:style w:type="character" w:styleId="716">
    <w:name w:val="FollowedHyperlink"/>
    <w:basedOn w:val="687"/>
    <w:uiPriority w:val="99"/>
    <w:qFormat/>
    <w:rPr>
      <w:color w:val="800080"/>
      <w:u w:val="single"/>
    </w:rPr>
  </w:style>
  <w:style w:type="character" w:styleId="717">
    <w:name w:val="Emphasis"/>
    <w:uiPriority w:val="20"/>
    <w:qFormat/>
    <w:rPr>
      <w:i/>
      <w:iCs/>
    </w:rPr>
  </w:style>
  <w:style w:type="character" w:styleId="718">
    <w:name w:val="Hyperlink"/>
    <w:uiPriority w:val="99"/>
    <w:qFormat/>
    <w:rPr>
      <w:color w:val="0000ff"/>
      <w:u w:val="single"/>
    </w:rPr>
  </w:style>
  <w:style w:type="character" w:styleId="719">
    <w:name w:val="annotation reference"/>
    <w:basedOn w:val="687"/>
    <w:uiPriority w:val="99"/>
    <w:semiHidden/>
    <w:unhideWhenUsed/>
    <w:qFormat/>
    <w:rPr>
      <w:sz w:val="21"/>
      <w:szCs w:val="21"/>
    </w:rPr>
  </w:style>
  <w:style w:type="character" w:styleId="720">
    <w:name w:val="footnote reference"/>
    <w:basedOn w:val="687"/>
    <w:uiPriority w:val="99"/>
    <w:unhideWhenUsed/>
    <w:qFormat/>
    <w:rPr>
      <w:vertAlign w:val="superscript"/>
    </w:rPr>
  </w:style>
  <w:style w:type="paragraph" w:styleId="721" w:customStyle="1">
    <w:name w:val="BodyText"/>
    <w:basedOn w:val="677"/>
    <w:uiPriority w:val="0"/>
    <w:qFormat/>
    <w:pPr>
      <w:spacing w:after="120"/>
    </w:pPr>
  </w:style>
  <w:style w:type="table" w:styleId="722"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3"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4"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6"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9"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0"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1" w:customStyle="1">
    <w:name w:val="TOC 标题1"/>
    <w:uiPriority w:val="39"/>
    <w:unhideWhenUsed/>
    <w:qFormat/>
    <w:rPr>
      <w:rFonts w:ascii="Times New Roman" w:hAnsi="Times New Roman" w:eastAsia="宋体" w:cs="Times New Roman"/>
      <w:lang w:val="en-US" w:eastAsia="zh-CN" w:bidi="ar-SA"/>
    </w:rPr>
  </w:style>
  <w:style w:type="paragraph" w:styleId="742" w:customStyle="1">
    <w:name w:val="首行缩进"/>
    <w:basedOn w:val="677"/>
    <w:uiPriority w:val="99"/>
    <w:qFormat/>
    <w:pPr>
      <w:ind w:firstLine="480"/>
      <w:spacing w:line="360" w:lineRule="auto"/>
    </w:pPr>
    <w:rPr>
      <w:rFonts w:ascii="宋体" w:hAnsi="宋体"/>
      <w:sz w:val="24"/>
    </w:rPr>
  </w:style>
  <w:style w:type="character" w:styleId="743" w:customStyle="1">
    <w:name w:val="Heading 2 Char"/>
    <w:basedOn w:val="687"/>
    <w:uiPriority w:val="9"/>
    <w:qFormat/>
    <w:rPr>
      <w:rFonts w:ascii="Arial" w:hAnsi="Arial" w:eastAsia="Arial" w:cs="Arial"/>
      <w:sz w:val="34"/>
    </w:rPr>
  </w:style>
  <w:style w:type="character" w:styleId="744" w:customStyle="1">
    <w:name w:val="Heading 3 Char"/>
    <w:basedOn w:val="687"/>
    <w:uiPriority w:val="9"/>
    <w:qFormat/>
    <w:rPr>
      <w:rFonts w:ascii="Arial" w:hAnsi="Arial" w:eastAsia="Arial" w:cs="Arial"/>
      <w:sz w:val="30"/>
      <w:szCs w:val="30"/>
    </w:rPr>
  </w:style>
  <w:style w:type="character" w:styleId="745" w:customStyle="1">
    <w:name w:val="Heading 4 Char"/>
    <w:basedOn w:val="687"/>
    <w:uiPriority w:val="9"/>
    <w:qFormat/>
    <w:rPr>
      <w:rFonts w:ascii="Arial" w:hAnsi="Arial" w:eastAsia="Arial" w:cs="Arial"/>
      <w:b/>
      <w:bCs/>
      <w:sz w:val="26"/>
      <w:szCs w:val="26"/>
    </w:rPr>
  </w:style>
  <w:style w:type="character" w:styleId="746" w:customStyle="1">
    <w:name w:val="Heading 5 Char"/>
    <w:basedOn w:val="687"/>
    <w:uiPriority w:val="9"/>
    <w:qFormat/>
    <w:rPr>
      <w:rFonts w:ascii="Arial" w:hAnsi="Arial" w:eastAsia="Arial" w:cs="Arial"/>
      <w:b/>
      <w:bCs/>
      <w:sz w:val="24"/>
      <w:szCs w:val="24"/>
    </w:rPr>
  </w:style>
  <w:style w:type="character" w:styleId="747" w:customStyle="1">
    <w:name w:val="Heading 6 Char"/>
    <w:basedOn w:val="687"/>
    <w:uiPriority w:val="9"/>
    <w:qFormat/>
    <w:rPr>
      <w:rFonts w:ascii="Arial" w:hAnsi="Arial" w:eastAsia="Arial" w:cs="Arial"/>
      <w:b/>
      <w:bCs/>
      <w:sz w:val="22"/>
      <w:szCs w:val="22"/>
    </w:rPr>
  </w:style>
  <w:style w:type="character" w:styleId="748" w:customStyle="1">
    <w:name w:val="Heading 7 Char"/>
    <w:basedOn w:val="687"/>
    <w:uiPriority w:val="9"/>
    <w:qFormat/>
    <w:rPr>
      <w:rFonts w:ascii="Arial" w:hAnsi="Arial" w:eastAsia="Arial" w:cs="Arial"/>
      <w:b/>
      <w:bCs/>
      <w:i/>
      <w:iCs/>
      <w:sz w:val="22"/>
      <w:szCs w:val="22"/>
    </w:rPr>
  </w:style>
  <w:style w:type="character" w:styleId="749" w:customStyle="1">
    <w:name w:val="Heading 8 Char"/>
    <w:basedOn w:val="687"/>
    <w:uiPriority w:val="9"/>
    <w:qFormat/>
    <w:rPr>
      <w:rFonts w:ascii="Arial" w:hAnsi="Arial" w:eastAsia="Arial" w:cs="Arial"/>
      <w:i/>
      <w:iCs/>
      <w:sz w:val="22"/>
      <w:szCs w:val="22"/>
    </w:rPr>
  </w:style>
  <w:style w:type="character" w:styleId="750" w:customStyle="1">
    <w:name w:val="Heading 9 Char"/>
    <w:basedOn w:val="687"/>
    <w:uiPriority w:val="9"/>
    <w:qFormat/>
    <w:rPr>
      <w:rFonts w:ascii="Arial" w:hAnsi="Arial" w:eastAsia="Arial" w:cs="Arial"/>
      <w:i/>
      <w:iCs/>
      <w:sz w:val="21"/>
      <w:szCs w:val="21"/>
    </w:rPr>
  </w:style>
  <w:style w:type="character" w:styleId="751" w:customStyle="1">
    <w:name w:val="Title Char"/>
    <w:basedOn w:val="687"/>
    <w:uiPriority w:val="10"/>
    <w:qFormat/>
    <w:rPr>
      <w:sz w:val="48"/>
      <w:szCs w:val="48"/>
    </w:rPr>
  </w:style>
  <w:style w:type="character" w:styleId="752" w:customStyle="1">
    <w:name w:val="Subtitle Char"/>
    <w:basedOn w:val="687"/>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687"/>
    <w:uiPriority w:val="99"/>
    <w:qFormat/>
  </w:style>
  <w:style w:type="character" w:styleId="756" w:customStyle="1">
    <w:name w:val="Footnote Text Char"/>
    <w:uiPriority w:val="99"/>
    <w:qFormat/>
    <w:rPr>
      <w:sz w:val="18"/>
    </w:rPr>
  </w:style>
  <w:style w:type="character" w:styleId="757" w:customStyle="1">
    <w:name w:val="Endnote Text Char"/>
    <w:uiPriority w:val="99"/>
    <w:qFormat/>
    <w:rPr>
      <w:sz w:val="20"/>
    </w:rPr>
  </w:style>
  <w:style w:type="paragraph" w:styleId="758" w:customStyle="1">
    <w:name w:val="TOC 标题111"/>
    <w:uiPriority w:val="39"/>
    <w:unhideWhenUsed/>
    <w:qFormat/>
    <w:rPr>
      <w:rFonts w:ascii="Times New Roman" w:hAnsi="Times New Roman" w:eastAsia="宋体" w:cs="Times New Roman"/>
      <w:lang w:val="en-US" w:eastAsia="zh-CN" w:bidi="ar-SA"/>
    </w:rPr>
  </w:style>
  <w:style w:type="paragraph" w:styleId="759">
    <w:name w:val="List Paragraph"/>
    <w:basedOn w:val="677"/>
    <w:next w:val="693"/>
    <w:uiPriority w:val="34"/>
    <w:qFormat/>
    <w:pPr>
      <w:ind w:firstLine="420"/>
    </w:pPr>
  </w:style>
  <w:style w:type="character" w:styleId="760" w:customStyle="1">
    <w:name w:val="Heading 1 Char"/>
    <w:basedOn w:val="687"/>
    <w:uiPriority w:val="9"/>
    <w:qFormat/>
    <w:rPr>
      <w:rFonts w:ascii="Arial" w:hAnsi="Arial" w:eastAsia="Arial" w:cs="Arial"/>
      <w:sz w:val="40"/>
      <w:szCs w:val="40"/>
    </w:rPr>
  </w:style>
  <w:style w:type="character" w:styleId="761" w:customStyle="1">
    <w:name w:val="标题 2 字符"/>
    <w:basedOn w:val="687"/>
    <w:link w:val="679"/>
    <w:uiPriority w:val="9"/>
    <w:qFormat/>
    <w:rPr>
      <w:rFonts w:ascii="Arial" w:hAnsi="Arial" w:eastAsia="Arial" w:cs="Arial"/>
      <w:sz w:val="34"/>
    </w:rPr>
  </w:style>
  <w:style w:type="character" w:styleId="762" w:customStyle="1">
    <w:name w:val="标题 3 字符"/>
    <w:basedOn w:val="687"/>
    <w:link w:val="680"/>
    <w:uiPriority w:val="9"/>
    <w:qFormat/>
    <w:rPr>
      <w:rFonts w:ascii="Arial" w:hAnsi="Arial" w:eastAsia="Arial" w:cs="Arial"/>
      <w:sz w:val="30"/>
      <w:szCs w:val="30"/>
    </w:rPr>
  </w:style>
  <w:style w:type="character" w:styleId="763" w:customStyle="1">
    <w:name w:val="标题 4 字符"/>
    <w:basedOn w:val="687"/>
    <w:link w:val="681"/>
    <w:uiPriority w:val="9"/>
    <w:qFormat/>
    <w:rPr>
      <w:rFonts w:ascii="Arial" w:hAnsi="Arial" w:eastAsia="Arial" w:cs="Arial"/>
      <w:b/>
      <w:bCs/>
      <w:sz w:val="26"/>
      <w:szCs w:val="26"/>
    </w:rPr>
  </w:style>
  <w:style w:type="character" w:styleId="764" w:customStyle="1">
    <w:name w:val="标题 5 字符"/>
    <w:basedOn w:val="687"/>
    <w:link w:val="682"/>
    <w:uiPriority w:val="9"/>
    <w:qFormat/>
    <w:rPr>
      <w:rFonts w:ascii="Arial" w:hAnsi="Arial" w:eastAsia="Arial" w:cs="Arial"/>
      <w:b/>
      <w:bCs/>
      <w:sz w:val="24"/>
      <w:szCs w:val="24"/>
    </w:rPr>
  </w:style>
  <w:style w:type="character" w:styleId="765" w:customStyle="1">
    <w:name w:val="标题 6 字符"/>
    <w:basedOn w:val="687"/>
    <w:link w:val="683"/>
    <w:uiPriority w:val="9"/>
    <w:qFormat/>
    <w:rPr>
      <w:rFonts w:ascii="Arial" w:hAnsi="Arial" w:eastAsia="Arial" w:cs="Arial"/>
      <w:b/>
      <w:bCs/>
      <w:sz w:val="22"/>
      <w:szCs w:val="22"/>
    </w:rPr>
  </w:style>
  <w:style w:type="character" w:styleId="766" w:customStyle="1">
    <w:name w:val="标题 7 字符"/>
    <w:basedOn w:val="687"/>
    <w:link w:val="684"/>
    <w:uiPriority w:val="9"/>
    <w:qFormat/>
    <w:rPr>
      <w:rFonts w:ascii="Arial" w:hAnsi="Arial" w:eastAsia="Arial" w:cs="Arial"/>
      <w:b/>
      <w:bCs/>
      <w:i/>
      <w:iCs/>
      <w:sz w:val="22"/>
      <w:szCs w:val="22"/>
    </w:rPr>
  </w:style>
  <w:style w:type="character" w:styleId="767" w:customStyle="1">
    <w:name w:val="标题 8 字符"/>
    <w:basedOn w:val="687"/>
    <w:link w:val="685"/>
    <w:uiPriority w:val="9"/>
    <w:qFormat/>
    <w:rPr>
      <w:rFonts w:ascii="Arial" w:hAnsi="Arial" w:eastAsia="Arial" w:cs="Arial"/>
      <w:i/>
      <w:iCs/>
      <w:sz w:val="22"/>
      <w:szCs w:val="22"/>
    </w:rPr>
  </w:style>
  <w:style w:type="character" w:styleId="768" w:customStyle="1">
    <w:name w:val="标题 9 字符"/>
    <w:basedOn w:val="687"/>
    <w:link w:val="686"/>
    <w:uiPriority w:val="9"/>
    <w:qFormat/>
    <w:rPr>
      <w:rFonts w:ascii="Arial" w:hAnsi="Arial" w:eastAsia="Arial" w:cs="Arial"/>
      <w:i/>
      <w:iCs/>
      <w:sz w:val="21"/>
      <w:szCs w:val="21"/>
    </w:rPr>
  </w:style>
  <w:style w:type="paragraph" w:styleId="769">
    <w:name w:val="No Spacing"/>
    <w:uiPriority w:val="1"/>
    <w:qFormat/>
    <w:rPr>
      <w:rFonts w:asciiTheme="minorHAnsi" w:hAnsiTheme="minorHAnsi" w:eastAsiaTheme="minorEastAsia" w:cstheme="minorBidi"/>
      <w:lang w:val="en-US" w:eastAsia="zh-CN" w:bidi="ar-SA"/>
    </w:rPr>
  </w:style>
  <w:style w:type="character" w:styleId="770" w:customStyle="1">
    <w:name w:val="标题 字符"/>
    <w:basedOn w:val="687"/>
    <w:link w:val="711"/>
    <w:uiPriority w:val="10"/>
    <w:qFormat/>
    <w:rPr>
      <w:sz w:val="48"/>
      <w:szCs w:val="48"/>
    </w:rPr>
  </w:style>
  <w:style w:type="character" w:styleId="771" w:customStyle="1">
    <w:name w:val="副标题 字符"/>
    <w:basedOn w:val="687"/>
    <w:link w:val="704"/>
    <w:uiPriority w:val="11"/>
    <w:qFormat/>
    <w:rPr>
      <w:sz w:val="24"/>
      <w:szCs w:val="24"/>
    </w:rPr>
  </w:style>
  <w:style w:type="paragraph" w:styleId="772">
    <w:name w:val="Quote"/>
    <w:basedOn w:val="677"/>
    <w:next w:val="677"/>
    <w:link w:val="773"/>
    <w:uiPriority w:val="29"/>
    <w:qFormat/>
    <w:pPr>
      <w:ind w:left="720" w:right="720"/>
    </w:pPr>
    <w:rPr>
      <w:i/>
    </w:rPr>
  </w:style>
  <w:style w:type="character" w:styleId="773" w:customStyle="1">
    <w:name w:val="引用 字符"/>
    <w:link w:val="772"/>
    <w:uiPriority w:val="29"/>
    <w:qFormat/>
    <w:rPr>
      <w:i/>
    </w:rPr>
  </w:style>
  <w:style w:type="paragraph" w:styleId="774">
    <w:name w:val="Intense Quote"/>
    <w:basedOn w:val="677"/>
    <w:next w:val="677"/>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字符"/>
    <w:link w:val="774"/>
    <w:uiPriority w:val="30"/>
    <w:qFormat/>
    <w:rPr>
      <w:i/>
    </w:rPr>
  </w:style>
  <w:style w:type="character" w:styleId="776" w:customStyle="1">
    <w:name w:val="页眉 字符"/>
    <w:basedOn w:val="687"/>
    <w:link w:val="701"/>
    <w:uiPriority w:val="99"/>
    <w:qFormat/>
  </w:style>
  <w:style w:type="character" w:styleId="777" w:customStyle="1">
    <w:name w:val="Footer Char"/>
    <w:basedOn w:val="687"/>
    <w:uiPriority w:val="99"/>
    <w:qFormat/>
  </w:style>
  <w:style w:type="character" w:styleId="778" w:customStyle="1">
    <w:name w:val="Caption Char"/>
    <w:uiPriority w:val="99"/>
    <w:qFormat/>
  </w:style>
  <w:style w:type="table" w:styleId="779"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0"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2" w:customStyle="1">
    <w:name w:val="Grid Table 3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 Accent 1"/>
    <w:basedOn w:val="6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9"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0"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1"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2" w:customStyle="1">
    <w:name w:val="Grid Table 4 - Accent 5"/>
    <w:basedOn w:val="6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3"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4"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5"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9"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Grid Table 6 Colorful - Accent 1"/>
    <w:basedOn w:val="6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3"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6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Grid Table 7 Colorful - Accent 1"/>
    <w:basedOn w:val="6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 Accent 1"/>
    <w:basedOn w:val="6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6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List Table 2 - Accent 1"/>
    <w:basedOn w:val="6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9"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2" w:customStyle="1">
    <w:name w:val="List Table 2 - Accent 5"/>
    <w:basedOn w:val="6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3"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5"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6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0"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2"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3"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4" w:customStyle="1">
    <w:name w:val="List Table 4 - Accent 5"/>
    <w:basedOn w:val="6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5"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6"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basedOn w:val="6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3"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4"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5"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6" w:customStyle="1">
    <w:name w:val="List Table 6 Colorful - Accent 5"/>
    <w:basedOn w:val="6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7"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8" w:customStyle="1">
    <w:name w:val="List Table 7 Colorful - Accent 1"/>
    <w:basedOn w:val="6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6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6"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7"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8"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9"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0"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1"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6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Bordered &amp; Lined - Accent 5"/>
    <w:basedOn w:val="6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0"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1"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2"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3" w:customStyle="1">
    <w:name w:val="Bordered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4"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5" w:customStyle="1">
    <w:name w:val="脚注文本 字符"/>
    <w:link w:val="705"/>
    <w:uiPriority w:val="99"/>
    <w:qFormat/>
    <w:rPr>
      <w:sz w:val="18"/>
    </w:rPr>
  </w:style>
  <w:style w:type="character" w:styleId="886" w:customStyle="1">
    <w:name w:val="尾注文本 字符"/>
    <w:link w:val="699"/>
    <w:uiPriority w:val="99"/>
    <w:qFormat/>
    <w:rPr>
      <w:sz w:val="20"/>
    </w:rPr>
  </w:style>
  <w:style w:type="paragraph" w:styleId="887" w:customStyle="1">
    <w:name w:val="TOC 标题11"/>
    <w:uiPriority w:val="39"/>
    <w:unhideWhenUsed/>
    <w:qFormat/>
    <w:rPr>
      <w:rFonts w:asciiTheme="minorHAnsi" w:hAnsiTheme="minorHAnsi" w:eastAsiaTheme="minorEastAsia" w:cstheme="minorBidi"/>
      <w:lang w:val="en-US" w:eastAsia="zh-CN" w:bidi="ar-SA"/>
    </w:rPr>
  </w:style>
  <w:style w:type="character" w:styleId="888" w:customStyle="1">
    <w:name w:val="font41"/>
    <w:basedOn w:val="687"/>
    <w:uiPriority w:val="0"/>
    <w:qFormat/>
    <w:rPr>
      <w:rFonts w:hint="eastAsia" w:ascii="宋体" w:hAnsi="宋体" w:eastAsia="宋体" w:cs="宋体"/>
      <w:color w:val="2c42ea"/>
      <w:sz w:val="22"/>
      <w:szCs w:val="22"/>
      <w:u w:val="none"/>
    </w:rPr>
  </w:style>
  <w:style w:type="paragraph" w:styleId="889" w:customStyle="1">
    <w:name w:val="Table Paragraph"/>
    <w:basedOn w:val="677"/>
    <w:uiPriority w:val="1"/>
    <w:qFormat/>
  </w:style>
  <w:style w:type="paragraph" w:styleId="890"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891"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892" w:customStyle="1">
    <w:name w:val="批注文字 字符"/>
    <w:basedOn w:val="687"/>
    <w:link w:val="693"/>
    <w:uiPriority w:val="99"/>
    <w:qFormat/>
    <w:rPr>
      <w:rFonts w:asciiTheme="minorHAnsi" w:hAnsiTheme="minorHAnsi" w:eastAsiaTheme="minorEastAsia" w:cstheme="minorBidi"/>
      <w:sz w:val="21"/>
      <w:szCs w:val="24"/>
    </w:rPr>
  </w:style>
  <w:style w:type="character" w:styleId="893" w:customStyle="1">
    <w:name w:val="批注主题 字符"/>
    <w:basedOn w:val="892"/>
    <w:link w:val="712"/>
    <w:uiPriority w:val="99"/>
    <w:semiHidden/>
    <w:qFormat/>
    <w:rPr>
      <w:rFonts w:asciiTheme="minorHAnsi" w:hAnsiTheme="minorHAnsi" w:eastAsiaTheme="minorEastAsia" w:cstheme="minorBidi"/>
      <w:b/>
      <w:bCs/>
      <w:sz w:val="21"/>
      <w:szCs w:val="24"/>
    </w:rPr>
  </w:style>
  <w:style w:type="paragraph" w:styleId="894" w:customStyle="1">
    <w:name w:val="正文文本1"/>
    <w:basedOn w:val="895"/>
    <w:next w:val="677"/>
    <w:uiPriority w:val="0"/>
    <w:qFormat/>
    <w:pPr>
      <w:spacing w:after="120"/>
    </w:pPr>
    <w:rPr>
      <w:sz w:val="28"/>
    </w:rPr>
  </w:style>
  <w:style w:type="paragraph" w:styleId="895" w:customStyle="1">
    <w:name w:val="正文1"/>
    <w:next w:val="894"/>
    <w:uiPriority w:val="0"/>
    <w:qFormat/>
    <w:pPr>
      <w:jc w:val="both"/>
      <w:widowControl w:val="off"/>
    </w:pPr>
    <w:rPr>
      <w:rFonts w:ascii="Calibri" w:hAnsi="Calibri" w:eastAsia="宋体" w:cs="Times New Roman"/>
      <w:sz w:val="21"/>
      <w:szCs w:val="22"/>
      <w:lang w:val="en-US" w:eastAsia="zh-CN" w:bidi="ar-SA"/>
    </w:rPr>
  </w:style>
  <w:style w:type="character" w:styleId="896" w:customStyle="1">
    <w:name w:val="22 C"/>
    <w:uiPriority w:val="0"/>
    <w:qFormat/>
    <w:rPr>
      <w:rFonts w:ascii="Arial" w:hAnsi="Arial" w:eastAsia="黑体"/>
      <w:b/>
      <w:color w:val="000000"/>
      <w:sz w:val="30"/>
      <w:lang w:val="en-US" w:eastAsia="zh-CN"/>
    </w:rPr>
  </w:style>
  <w:style w:type="table" w:styleId="897" w:customStyle="1">
    <w:name w:val="Table Normal"/>
    <w:uiPriority w:val="0"/>
    <w:qFormat/>
    <w:tblPr>
      <w:tblCellMar>
        <w:left w:w="0" w:type="dxa"/>
        <w:top w:w="0" w:type="dxa"/>
        <w:right w:w="0" w:type="dxa"/>
        <w:bottom w:w="0" w:type="dxa"/>
      </w:tblCellMar>
    </w:tblPr>
  </w:style>
  <w:style w:type="character" w:styleId="898" w:customStyle="1">
    <w:name w:val="style4"/>
    <w:uiPriority w:val="0"/>
    <w:qFormat/>
  </w:style>
  <w:style w:type="paragraph" w:styleId="899" w:customStyle="1">
    <w:name w:val="Table Text"/>
    <w:basedOn w:val="677"/>
    <w:uiPriority w:val="0"/>
    <w:semiHidden/>
    <w:qFormat/>
    <w:rPr>
      <w:rFonts w:ascii="宋体" w:hAnsi="宋体" w:eastAsia="宋体" w:cs="宋体"/>
      <w:szCs w:val="21"/>
      <w:lang w:eastAsia="en-US"/>
    </w:rPr>
  </w:style>
  <w:style w:type="character" w:styleId="900" w:customStyle="1">
    <w:name w:val="页脚 字符"/>
    <w:basedOn w:val="687"/>
    <w:link w:val="700"/>
    <w:uiPriority w:val="99"/>
    <w:qFormat/>
    <w:rPr>
      <w:rFonts w:asciiTheme="minorHAnsi" w:hAnsiTheme="minorHAnsi" w:eastAsiaTheme="minorEastAsia" w:cstheme="minorBidi"/>
      <w:sz w:val="18"/>
      <w:szCs w:val="24"/>
    </w:rPr>
  </w:style>
  <w:style w:type="paragraph" w:styleId="901" w:customStyle="1">
    <w:name w:val="☆ 正文"/>
    <w:basedOn w:val="677"/>
    <w:uiPriority w:val="0"/>
    <w:qFormat/>
    <w:rPr>
      <w:rFonts w:eastAsia="宋体" w:cs="Times New Roman"/>
      <w:szCs w:val="22"/>
    </w:rPr>
  </w:style>
  <w:style w:type="paragraph" w:styleId="902" w:customStyle="1">
    <w:name w:val="普通正文"/>
    <w:basedOn w:val="677"/>
    <w:uiPriority w:val="0"/>
    <w:qFormat/>
    <w:pPr>
      <w:ind w:firstLine="480"/>
      <w:jc w:val="left"/>
      <w:spacing w:before="120" w:after="120" w:line="360" w:lineRule="auto"/>
    </w:pPr>
    <w:rPr>
      <w:rFonts w:ascii="Arial" w:hAnsi="Arial" w:eastAsia="宋体" w:cs="Times New Roman"/>
      <w:sz w:val="24"/>
    </w:rPr>
  </w:style>
  <w:style w:type="paragraph" w:styleId="903" w:customStyle="1">
    <w:name w:val="msonormal"/>
    <w:basedOn w:val="677"/>
    <w:uiPriority w:val="0"/>
    <w:qFormat/>
    <w:pPr>
      <w:jc w:val="left"/>
      <w:spacing w:before="100" w:beforeAutospacing="1" w:after="100" w:afterAutospacing="1"/>
      <w:widowControl/>
    </w:pPr>
    <w:rPr>
      <w:rFonts w:ascii="宋体" w:hAnsi="宋体" w:eastAsia="宋体" w:cs="宋体"/>
      <w:sz w:val="24"/>
    </w:rPr>
  </w:style>
  <w:style w:type="paragraph" w:styleId="904" w:customStyle="1">
    <w:name w:val="font5"/>
    <w:basedOn w:val="677"/>
    <w:uiPriority w:val="0"/>
    <w:qFormat/>
    <w:pPr>
      <w:jc w:val="left"/>
      <w:spacing w:before="100" w:beforeAutospacing="1" w:after="100" w:afterAutospacing="1"/>
      <w:widowControl/>
    </w:pPr>
    <w:rPr>
      <w:rFonts w:ascii="等线" w:hAnsi="等线" w:eastAsia="等线" w:cs="宋体"/>
      <w:sz w:val="18"/>
      <w:szCs w:val="18"/>
    </w:rPr>
  </w:style>
  <w:style w:type="paragraph" w:styleId="905" w:customStyle="1">
    <w:name w:val="font6"/>
    <w:basedOn w:val="677"/>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906" w:customStyle="1">
    <w:name w:val="font7"/>
    <w:basedOn w:val="677"/>
    <w:uiPriority w:val="0"/>
    <w:qFormat/>
    <w:pPr>
      <w:jc w:val="left"/>
      <w:spacing w:before="100" w:beforeAutospacing="1" w:after="100" w:afterAutospacing="1"/>
      <w:widowControl/>
    </w:pPr>
    <w:rPr>
      <w:rFonts w:ascii="宋体" w:hAnsi="宋体" w:eastAsia="宋体" w:cs="宋体"/>
      <w:color w:val="000000"/>
      <w:sz w:val="22"/>
      <w:szCs w:val="22"/>
      <w:u w:val="single"/>
    </w:rPr>
  </w:style>
  <w:style w:type="paragraph" w:styleId="907" w:customStyle="1">
    <w:name w:val="xl64"/>
    <w:basedOn w:val="677"/>
    <w:uiPriority w:val="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color w:val="0000ff"/>
      <w:sz w:val="24"/>
    </w:rPr>
  </w:style>
  <w:style w:type="paragraph" w:styleId="908" w:customStyle="1">
    <w:name w:val="xl65"/>
    <w:basedOn w:val="677"/>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ff"/>
      <w:sz w:val="24"/>
    </w:rPr>
  </w:style>
  <w:style w:type="paragraph" w:styleId="909" w:customStyle="1">
    <w:name w:val="xl66"/>
    <w:basedOn w:val="677"/>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10" w:customStyle="1">
    <w:name w:val="xl67"/>
    <w:basedOn w:val="677"/>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color w:val="000000"/>
      <w:sz w:val="24"/>
    </w:rPr>
  </w:style>
  <w:style w:type="paragraph" w:styleId="911" w:customStyle="1">
    <w:name w:val="xl68"/>
    <w:basedOn w:val="677"/>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12" w:customStyle="1">
    <w:name w:val="xl69"/>
    <w:basedOn w:val="677"/>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13" w:customStyle="1">
    <w:name w:val="xl70"/>
    <w:basedOn w:val="677"/>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14" w:customStyle="1">
    <w:name w:val="xl71"/>
    <w:basedOn w:val="677"/>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15" w:customStyle="1">
    <w:name w:val="xl72"/>
    <w:basedOn w:val="677"/>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16" w:customStyle="1">
    <w:name w:val="xl73"/>
    <w:basedOn w:val="677"/>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17" w:customStyle="1">
    <w:name w:val="xl74"/>
    <w:basedOn w:val="677"/>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18" w:customStyle="1">
    <w:name w:val="xl75"/>
    <w:basedOn w:val="677"/>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b/>
      <w:bCs/>
      <w:color w:val="000000"/>
      <w:sz w:val="24"/>
    </w:rPr>
  </w:style>
  <w:style w:type="paragraph" w:styleId="919" w:customStyle="1">
    <w:name w:val="xl76"/>
    <w:basedOn w:val="677"/>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00"/>
      <w:sz w:val="24"/>
    </w:rPr>
  </w:style>
  <w:style w:type="paragraph" w:styleId="920" w:customStyle="1">
    <w:name w:val="xl77"/>
    <w:basedOn w:val="677"/>
    <w:uiPriority w:val="0"/>
    <w:qFormat/>
    <w:pP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rPr>
  </w:style>
  <w:style w:type="paragraph" w:styleId="921" w:customStyle="1">
    <w:name w:val="xl78"/>
    <w:basedOn w:val="677"/>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4"/>
    </w:rPr>
  </w:style>
  <w:style w:type="paragraph" w:styleId="922" w:customStyle="1">
    <w:name w:val="xl79"/>
    <w:basedOn w:val="677"/>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23" w:customStyle="1">
    <w:name w:val="xl80"/>
    <w:basedOn w:val="677"/>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0"/>
      <w:szCs w:val="20"/>
    </w:rPr>
  </w:style>
  <w:style w:type="paragraph" w:styleId="924" w:customStyle="1">
    <w:name w:val="xl81"/>
    <w:basedOn w:val="677"/>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0"/>
      <w:szCs w:val="20"/>
    </w:rPr>
  </w:style>
  <w:style w:type="paragraph" w:styleId="925" w:customStyle="1">
    <w:name w:val="xl82"/>
    <w:basedOn w:val="677"/>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ff"/>
      <w:sz w:val="24"/>
    </w:rPr>
  </w:style>
  <w:style w:type="paragraph" w:styleId="926" w:customStyle="1">
    <w:name w:val="xl83"/>
    <w:basedOn w:val="677"/>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27" w:customStyle="1">
    <w:name w:val="xl84"/>
    <w:basedOn w:val="677"/>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28" w:customStyle="1">
    <w:name w:val="xl85"/>
    <w:basedOn w:val="677"/>
    <w:uiPriority w:val="0"/>
    <w:qFormat/>
    <w:pPr>
      <w:jc w:val="left"/>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29" w:customStyle="1">
    <w:name w:val="xl86"/>
    <w:basedOn w:val="677"/>
    <w:uiPriority w:val="0"/>
    <w:qFormat/>
    <w:pPr>
      <w:jc w:val="left"/>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30" w:customStyle="1">
    <w:name w:val="xl87"/>
    <w:basedOn w:val="677"/>
    <w:uiPriority w:val="0"/>
    <w:qFormat/>
    <w:pPr>
      <w:jc w:val="left"/>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31" w:customStyle="1">
    <w:name w:val="xl88"/>
    <w:basedOn w:val="677"/>
    <w:uiPriority w:val="0"/>
    <w:qFormat/>
    <w:pP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32" w:customStyle="1">
    <w:name w:val="xl89"/>
    <w:basedOn w:val="677"/>
    <w:uiPriority w:val="0"/>
    <w:qFormat/>
    <w:pP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33" w:customStyle="1">
    <w:name w:val="xl90"/>
    <w:basedOn w:val="677"/>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34" w:customStyle="1">
    <w:name w:val="xl91"/>
    <w:basedOn w:val="677"/>
    <w:uiPriority w:val="0"/>
    <w:qFormat/>
    <w:pPr>
      <w:jc w:val="center"/>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color w:val="000000"/>
      <w:sz w:val="24"/>
    </w:rPr>
  </w:style>
  <w:style w:type="paragraph" w:styleId="935" w:customStyle="1">
    <w:name w:val="xl92"/>
    <w:basedOn w:val="677"/>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36" w:customStyle="1">
    <w:name w:val="xl93"/>
    <w:basedOn w:val="677"/>
    <w:uiPriority w:val="0"/>
    <w:qFormat/>
    <w:pPr>
      <w:jc w:val="left"/>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37" w:customStyle="1">
    <w:name w:val="xl94"/>
    <w:basedOn w:val="677"/>
    <w:uiPriority w:val="0"/>
    <w:qFormat/>
    <w:pPr>
      <w:jc w:val="left"/>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38" w:customStyle="1">
    <w:name w:val="xl95"/>
    <w:basedOn w:val="677"/>
    <w:uiPriority w:val="0"/>
    <w:qFormat/>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39" w:customStyle="1">
    <w:name w:val="xl96"/>
    <w:basedOn w:val="677"/>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40" w:customStyle="1">
    <w:name w:val="xl97"/>
    <w:basedOn w:val="677"/>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41" w:customStyle="1">
    <w:name w:val="xl98"/>
    <w:basedOn w:val="677"/>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42" w:customStyle="1">
    <w:name w:val="xl99"/>
    <w:basedOn w:val="677"/>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43" w:customStyle="1">
    <w:name w:val="xl100"/>
    <w:basedOn w:val="67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44" w:customStyle="1">
    <w:name w:val="xl101"/>
    <w:basedOn w:val="677"/>
    <w:uiPriority w:val="0"/>
    <w:qFormat/>
    <w:pPr>
      <w:jc w:val="left"/>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b/>
      <w:bCs/>
      <w:color w:val="0000ff"/>
      <w:sz w:val="24"/>
    </w:rPr>
  </w:style>
  <w:style w:type="paragraph" w:styleId="945" w:customStyle="1">
    <w:name w:val="xl102"/>
    <w:basedOn w:val="677"/>
    <w:uiPriority w:val="0"/>
    <w:qFormat/>
    <w:pPr>
      <w:jc w:val="left"/>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b/>
      <w:bCs/>
      <w:color w:val="0000ff"/>
      <w:sz w:val="24"/>
    </w:rPr>
  </w:style>
  <w:style w:type="paragraph" w:styleId="946" w:customStyle="1">
    <w:name w:val="xl103"/>
    <w:basedOn w:val="677"/>
    <w:uiPriority w:val="0"/>
    <w:qFormat/>
    <w:pPr>
      <w:jc w:val="left"/>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47" w:customStyle="1">
    <w:name w:val="xl104"/>
    <w:basedOn w:val="677"/>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sz w:val="24"/>
    </w:rPr>
  </w:style>
  <w:style w:type="paragraph" w:styleId="948" w:customStyle="1">
    <w:name w:val="xl105"/>
    <w:basedOn w:val="677"/>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sz w:val="24"/>
    </w:rPr>
  </w:style>
  <w:style w:type="paragraph" w:styleId="949" w:customStyle="1">
    <w:name w:val="xl106"/>
    <w:basedOn w:val="677"/>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sz w:val="24"/>
    </w:rPr>
  </w:style>
  <w:style w:type="paragraph" w:styleId="950" w:customStyle="1">
    <w:name w:val="正文文本缩进1"/>
    <w:basedOn w:val="677"/>
    <w:uiPriority w:val="99"/>
    <w:qFormat/>
    <w:pPr>
      <w:ind w:firstLine="574"/>
      <w:spacing w:line="312" w:lineRule="atLeast"/>
    </w:pPr>
    <w:rPr>
      <w:rFonts w:ascii="宋体"/>
      <w:sz w:val="28"/>
    </w:rPr>
  </w:style>
  <w:style w:type="numbering" w:styleId="7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94E29BB-7456-4859-8914-38F36065C2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杨保兰</cp:lastModifiedBy>
  <cp:revision>213</cp:revision>
  <dcterms:created xsi:type="dcterms:W3CDTF">2025-01-15T01:44:00Z</dcterms:created>
  <dcterms:modified xsi:type="dcterms:W3CDTF">2026-05-09T00:55:30Z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220F878AF2D64CD9A96B8777226C8BC2_13</vt:lpwstr>
  </property>
  <property fmtid="{D5CDD505-2E9C-101B-9397-08002B2CF9AE}" pid="4" name="KSOTemplateDocerSaveRecord">
    <vt:lpwstr>eyJoZGlkIjoiMzE4Y2ZkMzUwODQ3ZWEyOGU1YWMxYjg4ZTQ0Mjg0YWUiLCJ1c2VySWQiOiIyMzUxNTc5NjkifQ==</vt:lpwstr>
  </property>
</Properties>
</file>