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957"/>
        <w:rPr>
          <w:rFonts w:hint="eastAsia"/>
        </w:rPr>
      </w:pPr>
      <w:r>
        <w:rPr>
          <w:rFonts w:hint="eastAsia"/>
        </w:rPr>
      </w:r>
      <w:r/>
    </w:p>
    <w:p>
      <w:pPr>
        <w:pStyle w:val="970"/>
        <w:jc w:val="center"/>
        <w:rPr>
          <w:rFonts w:hint="eastAsia" w:ascii="Arial" w:hAnsi="Arial" w:eastAsia="黑体" w:cs="Times New Roman"/>
          <w:b/>
          <w:bCs/>
          <w:color w:val="000000"/>
          <w:sz w:val="84"/>
          <w:szCs w:val="24"/>
        </w:rPr>
      </w:pPr>
      <w:r>
        <w:rPr>
          <w:rFonts w:hint="eastAsia" w:ascii="Arial" w:hAnsi="Arial" w:eastAsia="黑体" w:cs="Times New Roman"/>
          <w:b/>
          <w:bCs/>
          <w:color w:val="000000"/>
          <w:sz w:val="84"/>
          <w:szCs w:val="24"/>
        </w:rPr>
        <w:t xml:space="preserve">招　标　文　件</w:t>
      </w:r>
      <w:r/>
    </w:p>
    <w:p>
      <w:pPr>
        <w:jc w:val="center"/>
        <w:rPr>
          <w:rFonts w:eastAsia="宋体" w:cs="Times New Roman"/>
          <w:b/>
          <w:color w:val="000000"/>
          <w:sz w:val="30"/>
          <w:szCs w:val="30"/>
          <w:u w:val="single"/>
          <w:lang w:val="en-US" w:eastAsia="zh-CN"/>
        </w:rPr>
      </w:pPr>
      <w:r>
        <w:rPr>
          <w:rFonts w:hint="eastAsia" w:eastAsia="宋体" w:cs="Times New Roman"/>
          <w:b/>
          <w:color w:val="000000"/>
          <w:sz w:val="30"/>
          <w:szCs w:val="30"/>
          <w:lang w:eastAsia="zh-CN"/>
        </w:rPr>
        <w:t xml:space="preserve">项目名称：</w:t>
      </w:r>
      <w:r>
        <w:rPr>
          <w:rFonts w:hint="eastAsia" w:cs="Times New Roman"/>
          <w:b/>
          <w:color w:val="000000"/>
          <w:sz w:val="30"/>
          <w:szCs w:val="30"/>
          <w:lang w:eastAsia="zh-CN"/>
        </w:rPr>
        <w:t xml:space="preserve">江浦街道中心幼儿园新世纪分园货物及设备购置项目</w:t>
      </w:r>
      <w:r/>
    </w:p>
    <w:p>
      <w:pPr>
        <w:ind w:firstLine="602"/>
        <w:rPr>
          <w:rFonts w:hint="eastAsia" w:eastAsia="宋体" w:cs="Times New Roman"/>
          <w:b/>
          <w:color w:val="ff0000"/>
          <w:sz w:val="30"/>
          <w:szCs w:val="30"/>
          <w:lang w:eastAsia="zh-CN"/>
        </w:rPr>
      </w:pPr>
      <w:r>
        <w:rPr>
          <w:rFonts w:hint="eastAsia" w:eastAsia="宋体" w:cs="Times New Roman"/>
          <w:b/>
          <w:color w:val="000000"/>
          <w:sz w:val="30"/>
          <w:szCs w:val="30"/>
          <w:lang w:eastAsia="zh-CN"/>
        </w:rPr>
        <w:t xml:space="preserve">项目编号：</w:t>
      </w:r>
      <w:r>
        <w:rPr>
          <w:rFonts w:ascii="Arial" w:hAnsi="Arial" w:eastAsia="Arial" w:cs="Arial"/>
          <w:color w:val="000000"/>
          <w:sz w:val="21"/>
          <w:highlight w:val="white"/>
        </w:rPr>
        <w:t xml:space="preserve">JSZC-320111-JZCG-G2026-0039</w:t>
      </w:r>
      <w:r>
        <w:rPr>
          <w:rFonts w:hint="eastAsia" w:cs="Times New Roman"/>
          <w:b/>
          <w:bCs w:val="0"/>
          <w:color w:val="000000"/>
          <w:sz w:val="32"/>
          <w:szCs w:val="32"/>
          <w:u w:val="none"/>
          <w:lang w:val="en-US" w:eastAsia="zh-CN"/>
        </w:rPr>
        <w:t xml:space="preserve"> </w:t>
      </w:r>
      <w:r>
        <w:rPr>
          <w:rFonts w:hint="eastAsia" w:ascii="Times New Roman" w:hAnsi="Times New Roman" w:eastAsia="宋体" w:cs="Times New Roman"/>
          <w:b/>
          <w:bCs w:val="0"/>
          <w:color w:val="0000ff"/>
          <w:sz w:val="32"/>
          <w:szCs w:val="32"/>
          <w:u w:val="none"/>
          <w:lang w:eastAsia="zh-CN"/>
        </w:rPr>
        <w:t xml:space="preserve"> </w:t>
      </w:r>
      <w:r>
        <w:rPr>
          <w:rFonts w:hint="eastAsia" w:eastAsia="宋体" w:cs="Times New Roman"/>
          <w:b/>
          <w:color w:val="0000ff"/>
          <w:sz w:val="30"/>
          <w:szCs w:val="30"/>
          <w:lang w:eastAsia="zh-CN"/>
        </w:rPr>
        <w:t xml:space="preserve"> </w:t>
      </w:r>
      <w:r>
        <w:rPr>
          <w:rFonts w:hint="eastAsia" w:eastAsia="宋体" w:cs="Times New Roman"/>
          <w:b/>
          <w:color w:val="000000"/>
          <w:sz w:val="30"/>
          <w:szCs w:val="30"/>
          <w:lang w:eastAsia="zh-CN"/>
        </w:rPr>
        <w:t xml:space="preserve"> </w:t>
      </w:r>
      <w:r>
        <w:rPr>
          <w:rFonts w:hint="eastAsia" w:eastAsia="宋体" w:cs="Times New Roman"/>
          <w:b/>
          <w:color w:val="ff0000"/>
          <w:sz w:val="30"/>
          <w:szCs w:val="30"/>
          <w:lang w:eastAsia="zh-CN"/>
        </w:rPr>
        <w:t xml:space="preserve">            </w:t>
      </w:r>
      <w:r/>
    </w:p>
    <w:p>
      <w:pPr>
        <w:jc w:val="center"/>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专门</w:t>
      </w:r>
      <w:r>
        <w:rPr>
          <w:rFonts w:hint="eastAsia" w:ascii="Times New Roman" w:hAnsi="Times New Roman" w:eastAsia="宋体" w:cs="Times New Roman"/>
          <w:b/>
          <w:bCs w:val="0"/>
          <w:color w:val="000000"/>
          <w:sz w:val="30"/>
          <w:szCs w:val="30"/>
          <w:lang w:eastAsia="zh-CN"/>
        </w:rPr>
        <w:t xml:space="preserve">面向中小企业</w:t>
      </w:r>
      <w:r>
        <w:rPr>
          <w:rFonts w:hint="eastAsia" w:eastAsia="宋体" w:cs="Times New Roman"/>
          <w:b/>
          <w:color w:val="000000"/>
          <w:sz w:val="30"/>
          <w:szCs w:val="30"/>
          <w:lang w:eastAsia="zh-CN"/>
        </w:rPr>
        <w:t xml:space="preserve">）</w:t>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70"/>
        <w:ind w:firstLine="0"/>
        <w:jc w:val="center"/>
        <w:rPr>
          <w:rFonts w:hint="eastAsia"/>
          <w:b/>
          <w:bCs/>
          <w:sz w:val="32"/>
          <w:lang w:eastAsia="zh-CN"/>
        </w:rPr>
      </w:pPr>
      <w:r>
        <w:rPr>
          <w:rFonts w:hint="eastAsia"/>
          <w:b/>
          <w:bCs/>
          <w:sz w:val="32"/>
          <w:lang w:eastAsia="zh-CN"/>
        </w:rPr>
        <w:t xml:space="preserve">南京市公共资源交易中心浦口分中心</w:t>
      </w:r>
      <w:r/>
    </w:p>
    <w:p>
      <w:pPr>
        <w:ind w:firstLine="0"/>
        <w:jc w:val="center"/>
        <w:rPr>
          <w:rFonts w:hint="eastAsia" w:ascii="Times New Roman" w:hAnsi="Times New Roman" w:eastAsia="宋体" w:cs="Times New Roman"/>
          <w:b/>
          <w:bCs w:val="0"/>
          <w:color w:val="000000"/>
          <w:sz w:val="32"/>
          <w:szCs w:val="32"/>
          <w:u w:val="none"/>
          <w:lang w:val="en-US" w:eastAsia="zh-CN"/>
        </w:rPr>
      </w:pPr>
      <w:r>
        <w:rPr>
          <w:rFonts w:hint="eastAsia" w:cs="Times New Roman"/>
          <w:b/>
          <w:bCs w:val="0"/>
          <w:color w:val="000000"/>
          <w:sz w:val="32"/>
          <w:szCs w:val="32"/>
          <w:u w:val="none"/>
          <w:lang w:val="en-US" w:eastAsia="zh-CN"/>
        </w:rPr>
        <w:t xml:space="preserve">2026年6月</w:t>
      </w:r>
      <w:r/>
    </w:p>
    <w:p>
      <w:pPr>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p>
    <w:p>
      <w:pPr>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jc w:val="center"/>
        <w:spacing w:line="480" w:lineRule="auto"/>
        <w:rPr>
          <w:rFonts w:ascii="Times New Roman" w:hAnsi="Times New Roman"/>
          <w:color w:val="000000"/>
          <w:szCs w:val="21"/>
        </w:rPr>
        <w:outlineLvl w:val="0"/>
      </w:pPr>
      <w:r>
        <w:rPr>
          <w:rFonts w:ascii="Times New Roman" w:hAnsi="Times New Roman"/>
          <w:color w:val="000000"/>
          <w:szCs w:val="21"/>
        </w:rPr>
      </w:r>
      <w:r/>
    </w:p>
    <w:p>
      <w:pPr>
        <w:jc w:val="center"/>
        <w:spacing w:line="480" w:lineRule="auto"/>
        <w:rPr>
          <w:rFonts w:hint="eastAsia" w:ascii="黑体" w:hAnsi="Arial" w:eastAsia="黑体"/>
          <w:b/>
          <w:color w:val="000000"/>
          <w:sz w:val="44"/>
          <w:szCs w:val="21"/>
        </w:rPr>
        <w:outlineLvl w:val="0"/>
      </w:pPr>
      <w:r>
        <w:rPr>
          <w:rFonts w:ascii="Times New Roman" w:hAnsi="Times New Roman"/>
          <w:color w:val="000000"/>
          <w:szCs w:val="21"/>
        </w:rPr>
        <w:br w:type="page" w:clear="all"/>
      </w:r>
      <w:bookmarkStart w:id="0" w:name="_Toc120614210"/>
      <w:r/>
      <w:bookmarkStart w:id="1" w:name="_Toc16938516"/>
      <w:r/>
      <w:bookmarkStart w:id="2" w:name="_Toc523127445"/>
      <w:r/>
      <w:bookmarkStart w:id="3" w:name="_Toc479757206"/>
      <w:r/>
      <w:bookmarkStart w:id="4" w:name="_Toc20823272"/>
      <w:r/>
      <w:bookmarkStart w:id="5" w:name="_Toc513029200"/>
      <w:r>
        <w:rPr>
          <w:rFonts w:hint="eastAsia" w:ascii="黑体" w:hAnsi="Arial" w:eastAsia="黑体" w:cs="Times New Roman"/>
          <w:b/>
          <w:color w:val="000000"/>
          <w:sz w:val="44"/>
          <w:szCs w:val="21"/>
        </w:rPr>
        <w:t xml:space="preserve">总  目  录</w:t>
      </w:r>
      <w:r/>
    </w:p>
    <w:p>
      <w:pPr>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themeColor="text1"/>
          <w:sz w:val="36"/>
          <w:szCs w:val="21"/>
          <w14:textFill>
            <w14:solidFill>
              <w14:schemeClr w14:val="tx1"/>
            </w14:solidFill>
          </w14:textFill>
        </w:rPr>
        <w:outlineLvl w:val="0"/>
      </w:pPr>
      <w:r>
        <w:rPr>
          <w:rFonts w:hint="eastAsia" w:ascii="黑体" w:hAnsi="宋体" w:eastAsia="黑体" w:cs="Times New Roman"/>
          <w:color w:val="000000" w:themeColor="text1"/>
          <w:sz w:val="36"/>
          <w:szCs w:val="21"/>
          <w14:textFill>
            <w14:solidFill>
              <w14:schemeClr w14:val="tx1"/>
            </w14:solidFill>
          </w14:textFill>
        </w:rPr>
        <w:t xml:space="preserve">投标邀请…………………………………… 3</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themeColor="text1"/>
          <w:sz w:val="36"/>
          <w:szCs w:val="21"/>
          <w14:textFill>
            <w14:solidFill>
              <w14:schemeClr w14:val="tx1"/>
            </w14:solidFill>
          </w14:textFill>
        </w:rPr>
        <w:outlineLvl w:val="0"/>
      </w:pPr>
      <w:r>
        <w:rPr>
          <w:rFonts w:hint="eastAsia" w:ascii="黑体" w:hAnsi="宋体" w:eastAsia="黑体" w:cs="Times New Roman"/>
          <w:color w:val="000000" w:themeColor="text1"/>
          <w:sz w:val="36"/>
          <w:szCs w:val="21"/>
          <w14:textFill>
            <w14:solidFill>
              <w14:schemeClr w14:val="tx1"/>
            </w14:solidFill>
          </w14:textFill>
        </w:rPr>
        <w:t xml:space="preserve">投标人须知………………………………… </w:t>
      </w:r>
      <w:r>
        <w:rPr>
          <w:rFonts w:hint="eastAsia" w:ascii="黑体" w:hAnsi="宋体" w:eastAsia="黑体" w:cs="Times New Roman"/>
          <w:color w:val="000000" w:themeColor="text1"/>
          <w:sz w:val="36"/>
          <w:szCs w:val="21"/>
          <w:lang w:val="en-US" w:eastAsia="zh-CN"/>
          <w14:textFill>
            <w14:solidFill>
              <w14:schemeClr w14:val="tx1"/>
            </w14:solidFill>
          </w14:textFill>
        </w:rPr>
        <w:t xml:space="preserve">5</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themeColor="text1"/>
          <w:sz w:val="36"/>
          <w:szCs w:val="21"/>
          <w14:textFill>
            <w14:solidFill>
              <w14:schemeClr w14:val="tx1"/>
            </w14:solidFill>
          </w14:textFill>
        </w:rPr>
        <w:outlineLvl w:val="0"/>
      </w:pPr>
      <w:r>
        <w:rPr>
          <w:rFonts w:hint="eastAsia" w:ascii="黑体" w:hAnsi="宋体" w:eastAsia="黑体" w:cs="Times New Roman"/>
          <w:color w:val="000000" w:themeColor="text1"/>
          <w:sz w:val="36"/>
          <w:szCs w:val="21"/>
          <w14:textFill>
            <w14:solidFill>
              <w14:schemeClr w14:val="tx1"/>
            </w14:solidFill>
          </w14:textFill>
        </w:rPr>
        <w:t xml:space="preserve">合同文本……………………………………</w:t>
      </w:r>
      <w:r>
        <w:rPr>
          <w:rFonts w:hint="eastAsia" w:ascii="黑体" w:hAnsi="宋体" w:eastAsia="黑体" w:cs="Times New Roman"/>
          <w:color w:val="000000" w:themeColor="text1"/>
          <w:sz w:val="36"/>
          <w:szCs w:val="21"/>
          <w:lang w:val="en-US" w:eastAsia="zh-CN"/>
          <w14:textFill>
            <w14:solidFill>
              <w14:schemeClr w14:val="tx1"/>
            </w14:solidFill>
          </w14:textFill>
        </w:rPr>
        <w:t xml:space="preserve">14</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themeColor="text1"/>
          <w:sz w:val="36"/>
          <w:szCs w:val="21"/>
          <w14:textFill>
            <w14:solidFill>
              <w14:schemeClr w14:val="tx1"/>
            </w14:solidFill>
          </w14:textFill>
        </w:rPr>
        <w:outlineLvl w:val="0"/>
      </w:pPr>
      <w:r>
        <w:rPr>
          <w:rFonts w:hint="eastAsia" w:ascii="黑体" w:hAnsi="宋体" w:eastAsia="黑体" w:cs="Times New Roman"/>
          <w:color w:val="000000" w:themeColor="text1"/>
          <w:sz w:val="36"/>
          <w:szCs w:val="21"/>
          <w14:textFill>
            <w14:solidFill>
              <w14:schemeClr w14:val="tx1"/>
            </w14:solidFill>
          </w14:textFill>
        </w:rPr>
        <w:t xml:space="preserve">采购需求……………………………………</w:t>
      </w:r>
      <w:r>
        <w:rPr>
          <w:rFonts w:hint="eastAsia" w:ascii="黑体" w:hAnsi="宋体" w:eastAsia="黑体" w:cs="Times New Roman"/>
          <w:color w:val="000000" w:themeColor="text1"/>
          <w:sz w:val="36"/>
          <w:szCs w:val="21"/>
          <w:lang w:val="en-US" w:eastAsia="zh-CN"/>
          <w14:textFill>
            <w14:solidFill>
              <w14:schemeClr w14:val="tx1"/>
            </w14:solidFill>
          </w14:textFill>
        </w:rPr>
        <w:t xml:space="preserve">18</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themeColor="text1"/>
          <w:sz w:val="36"/>
          <w:szCs w:val="21"/>
          <w14:textFill>
            <w14:solidFill>
              <w14:schemeClr w14:val="tx1"/>
            </w14:solidFill>
          </w14:textFill>
        </w:rPr>
        <w:outlineLvl w:val="0"/>
      </w:pPr>
      <w:r>
        <w:rPr>
          <w:rFonts w:hint="eastAsia" w:ascii="黑体" w:hAnsi="宋体" w:eastAsia="黑体" w:cs="Times New Roman"/>
          <w:color w:val="000000" w:themeColor="text1"/>
          <w:sz w:val="36"/>
          <w:szCs w:val="21"/>
          <w14:textFill>
            <w14:solidFill>
              <w14:schemeClr w14:val="tx1"/>
            </w14:solidFill>
          </w14:textFill>
        </w:rPr>
        <w:t xml:space="preserve">评标方法与评标标准………………………</w:t>
      </w:r>
      <w:r>
        <w:rPr>
          <w:rFonts w:hint="eastAsia" w:ascii="黑体" w:hAnsi="宋体" w:eastAsia="黑体" w:cs="Times New Roman"/>
          <w:color w:val="000000" w:themeColor="text1"/>
          <w:sz w:val="36"/>
          <w:szCs w:val="21"/>
          <w:lang w:val="en-US" w:eastAsia="zh-CN"/>
          <w14:textFill>
            <w14:solidFill>
              <w14:schemeClr w14:val="tx1"/>
            </w14:solidFill>
          </w14:textFill>
        </w:rPr>
        <w:t xml:space="preserve">89</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000000" w:themeColor="text1"/>
          <w:sz w:val="36"/>
          <w:szCs w:val="21"/>
          <w14:textFill>
            <w14:solidFill>
              <w14:schemeClr w14:val="tx1"/>
            </w14:solidFill>
          </w14:textFill>
        </w:rPr>
        <w:outlineLvl w:val="0"/>
      </w:pPr>
      <w:r>
        <w:rPr>
          <w:rFonts w:hint="eastAsia" w:ascii="黑体" w:hAnsi="宋体" w:eastAsia="黑体" w:cs="Times New Roman"/>
          <w:color w:val="000000" w:themeColor="text1"/>
          <w:sz w:val="36"/>
          <w:szCs w:val="21"/>
          <w14:textFill>
            <w14:solidFill>
              <w14:schemeClr w14:val="tx1"/>
            </w14:solidFill>
          </w14:textFill>
        </w:rPr>
        <w:t xml:space="preserve">投标文件格式………………………………</w:t>
      </w:r>
      <w:r>
        <w:rPr>
          <w:rFonts w:hint="eastAsia" w:ascii="黑体" w:hAnsi="宋体" w:eastAsia="黑体" w:cs="Times New Roman"/>
          <w:color w:val="000000" w:themeColor="text1"/>
          <w:sz w:val="36"/>
          <w:szCs w:val="21"/>
          <w:lang w:val="en-US" w:eastAsia="zh-CN"/>
          <w14:textFill>
            <w14:solidFill>
              <w14:schemeClr w14:val="tx1"/>
            </w14:solidFill>
          </w14:textFill>
        </w:rPr>
        <w:t xml:space="preserve">107</w:t>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 xml:space="preserve">第一章  </w:t>
      </w:r>
      <w:bookmarkEnd w:id="0"/>
      <w:r>
        <w:rPr>
          <w:rFonts w:hint="eastAsia" w:ascii="方正小标宋简体" w:hAnsi="方正小标宋简体" w:eastAsia="方正小标宋简体" w:cs="方正小标宋简体"/>
          <w:color w:val="000000"/>
          <w:sz w:val="36"/>
          <w:szCs w:val="36"/>
        </w:rPr>
        <w:t xml:space="preserve">投标邀请</w:t>
      </w:r>
      <w:r/>
    </w:p>
    <w:p>
      <w:pPr>
        <w:ind w:firstLine="480"/>
        <w:pageBreakBefore w:val="0"/>
        <w:spacing w:line="264" w:lineRule="auto"/>
        <w:widowControl w:val="off"/>
        <w:rPr>
          <w:rFonts w:hint="eastAsia" w:ascii="宋体" w:hAnsi="宋体"/>
          <w:sz w:val="24"/>
          <w:szCs w:val="24"/>
        </w:rPr>
      </w:pPr>
      <w:r>
        <w:rPr>
          <w:rFonts w:hint="eastAsia" w:ascii="宋体" w:hAnsi="宋体"/>
          <w:sz w:val="24"/>
          <w:szCs w:val="24"/>
        </w:rPr>
      </w:r>
      <w:r/>
    </w:p>
    <w:p>
      <w:pPr>
        <w:ind w:firstLine="480"/>
        <w:pageBreakBefore w:val="0"/>
        <w:spacing w:line="360" w:lineRule="auto"/>
        <w:widowControl w:val="off"/>
        <w:rPr>
          <w:rFonts w:ascii="宋体" w:hAnsi="宋体"/>
          <w:sz w:val="24"/>
          <w:szCs w:val="24"/>
        </w:rPr>
      </w:pPr>
      <w:r>
        <w:rPr>
          <w:rFonts w:hint="eastAsia" w:ascii="宋体" w:hAnsi="宋体" w:eastAsia="宋体" w:cs="Times New Roman"/>
          <w:color w:val="000000"/>
          <w:sz w:val="24"/>
          <w:szCs w:val="24"/>
          <w:lang w:eastAsia="zh-CN"/>
        </w:rPr>
        <w:t xml:space="preserve">受</w:t>
      </w:r>
      <w:r>
        <w:rPr>
          <w:rFonts w:hint="eastAsia" w:ascii="宋体" w:hAnsi="宋体" w:cs="Times New Roman"/>
          <w:color w:val="000000"/>
          <w:sz w:val="24"/>
          <w:szCs w:val="24"/>
          <w:lang w:eastAsia="zh-CN"/>
        </w:rPr>
        <w:t xml:space="preserve">南京市浦口区人民政府江浦街道办事处</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采购</w:t>
      </w:r>
      <w:r>
        <w:rPr>
          <w:rFonts w:hint="eastAsia" w:ascii="宋体" w:hAnsi="宋体" w:eastAsia="宋体" w:cs="Times New Roman"/>
          <w:color w:val="000000"/>
          <w:sz w:val="24"/>
          <w:szCs w:val="24"/>
          <w:lang w:eastAsia="zh-CN"/>
        </w:rPr>
        <w:t xml:space="preserve">单位）委托，</w:t>
      </w:r>
      <w:r>
        <w:rPr>
          <w:rFonts w:hint="eastAsia" w:ascii="宋体" w:hAnsi="宋体" w:cs="Times New Roman"/>
          <w:color w:val="000000"/>
          <w:sz w:val="24"/>
          <w:szCs w:val="24"/>
          <w:lang w:eastAsia="zh-CN"/>
        </w:rPr>
        <w:t xml:space="preserve">南京市公共资源交易中心浦口分中心</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以下简称“交易中心”</w:t>
      </w:r>
      <w:r>
        <w:rPr>
          <w:rFonts w:hint="eastAsia" w:ascii="宋体" w:hAnsi="宋体" w:eastAsia="宋体" w:cs="Times New Roman"/>
          <w:color w:val="000000"/>
          <w:sz w:val="24"/>
          <w:szCs w:val="24"/>
          <w:lang w:eastAsia="zh-CN"/>
        </w:rPr>
        <w:t xml:space="preserve">）就</w:t>
      </w:r>
      <w:r>
        <w:rPr>
          <w:rFonts w:hint="eastAsia" w:ascii="宋体" w:hAnsi="宋体" w:cs="Times New Roman"/>
          <w:color w:val="000000"/>
          <w:sz w:val="24"/>
          <w:szCs w:val="24"/>
          <w:lang w:eastAsia="zh-CN"/>
        </w:rPr>
        <w:t xml:space="preserve">江浦街道中心幼儿园新世纪分园货物及设备购置项目</w:t>
      </w:r>
      <w:r>
        <w:rPr>
          <w:rFonts w:hint="eastAsia" w:ascii="宋体" w:hAnsi="宋体" w:eastAsia="宋体" w:cs="Times New Roman"/>
          <w:color w:val="000000"/>
          <w:sz w:val="24"/>
          <w:szCs w:val="24"/>
          <w:lang w:val="en-US" w:eastAsia="zh-CN"/>
        </w:rPr>
        <w:t xml:space="preserve">（</w:t>
      </w:r>
      <w:r>
        <w:rPr>
          <w:rFonts w:hint="eastAsia" w:ascii="宋体" w:hAnsi="宋体" w:eastAsia="宋体" w:cs="Times New Roman"/>
          <w:color w:val="000000"/>
          <w:sz w:val="24"/>
          <w:szCs w:val="24"/>
          <w:lang w:eastAsia="zh-CN"/>
        </w:rPr>
        <w:t xml:space="preserve">项目名称</w:t>
      </w:r>
      <w:r>
        <w:rPr>
          <w:rFonts w:hint="eastAsia" w:ascii="宋体" w:hAnsi="宋体" w:eastAsia="宋体" w:cs="Times New Roman"/>
          <w:color w:val="000000"/>
          <w:sz w:val="24"/>
          <w:szCs w:val="24"/>
          <w:lang w:val="en-US" w:eastAsia="zh-CN"/>
        </w:rPr>
        <w:t xml:space="preserve">）项目</w:t>
      </w:r>
      <w:r>
        <w:rPr>
          <w:rFonts w:hint="eastAsia" w:ascii="宋体" w:hAnsi="宋体" w:eastAsia="宋体" w:cs="Times New Roman"/>
          <w:color w:val="000000"/>
          <w:sz w:val="24"/>
          <w:szCs w:val="24"/>
          <w:lang w:eastAsia="zh-CN"/>
        </w:rPr>
        <w:t xml:space="preserve">进</w:t>
      </w:r>
      <w:r>
        <w:rPr>
          <w:rFonts w:hint="eastAsia" w:ascii="宋体" w:hAnsi="宋体"/>
          <w:sz w:val="24"/>
          <w:szCs w:val="24"/>
        </w:rPr>
        <w:t xml:space="preserve">行公开招标采购，欢迎符合条件的供应商投标。</w:t>
      </w:r>
      <w:r/>
    </w:p>
    <w:p>
      <w:pPr>
        <w:pStyle w:val="884"/>
        <w:ind w:firstLine="465"/>
        <w:pageBreakBefore w:val="0"/>
        <w:spacing w:before="0" w:after="0" w:line="360" w:lineRule="auto"/>
        <w:widowControl w:val="off"/>
        <w:rPr>
          <w:rFonts w:hint="eastAsia" w:ascii="方正黑体_GBK" w:hAnsi="方正黑体_GBK" w:eastAsia="方正黑体_GBK" w:cs="方正黑体_GBK"/>
          <w:b w:val="0"/>
          <w:bCs w:val="0"/>
          <w:color w:val="000000"/>
          <w:sz w:val="30"/>
          <w:szCs w:val="30"/>
        </w:rPr>
      </w:pPr>
      <w:r/>
      <w:bookmarkStart w:id="6" w:name="_Toc35393790"/>
      <w:r/>
      <w:bookmarkStart w:id="7" w:name="_Toc28359002"/>
      <w:r/>
      <w:bookmarkStart w:id="8" w:name="_Toc38985263"/>
      <w:r/>
      <w:bookmarkStart w:id="9" w:name="_Toc35393621"/>
      <w:r/>
      <w:bookmarkStart w:id="10" w:name="_Toc28359079"/>
      <w:r/>
      <w:bookmarkStart w:id="11" w:name="_Hlk24379207"/>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r/>
    </w:p>
    <w:p>
      <w:pPr>
        <w:ind w:firstLine="480"/>
        <w:pageBreakBefore w:val="0"/>
        <w:spacing w:line="360" w:lineRule="auto"/>
        <w:widowControl w:val="off"/>
        <w:rPr>
          <w:rFonts w:ascii="宋体" w:hAnsi="宋体"/>
          <w:color w:val="000000"/>
          <w:sz w:val="24"/>
          <w:szCs w:val="24"/>
          <w:lang w:val="en-US"/>
        </w:rPr>
      </w:pPr>
      <w:r>
        <w:rPr>
          <w:rFonts w:hint="eastAsia" w:ascii="宋体" w:hAnsi="宋体"/>
          <w:sz w:val="24"/>
          <w:szCs w:val="24"/>
        </w:rPr>
        <w:t xml:space="preserve">1.项目编号：</w:t>
      </w:r>
      <w:r>
        <w:rPr>
          <w:rFonts w:ascii="Arial" w:hAnsi="Arial" w:eastAsia="Arial" w:cs="Arial"/>
          <w:color w:val="000000"/>
          <w:sz w:val="21"/>
          <w:highlight w:val="white"/>
        </w:rPr>
        <w:t xml:space="preserve">JSZC-320111-JZCG-G2026-0039</w:t>
      </w:r>
      <w:r>
        <w:rPr>
          <w:rFonts w:hint="eastAsia" w:ascii="宋体" w:hAnsi="宋体" w:cs="Times New Roman"/>
          <w:color w:val="000000"/>
          <w:sz w:val="24"/>
          <w:szCs w:val="24"/>
          <w:lang w:val="en-US" w:eastAsia="zh-CN"/>
        </w:rPr>
        <w:t xml:space="preserve"> </w:t>
      </w:r>
      <w:r/>
    </w:p>
    <w:p>
      <w:pPr>
        <w:ind w:firstLine="480"/>
        <w:pageBreakBefore w:val="0"/>
        <w:spacing w:line="360" w:lineRule="auto"/>
        <w:widowControl w:val="off"/>
        <w:rPr>
          <w:rFonts w:hint="eastAsia" w:ascii="宋体" w:hAnsi="宋体" w:eastAsia="宋体"/>
          <w:color w:val="000000"/>
          <w:sz w:val="24"/>
          <w:szCs w:val="24"/>
          <w:lang w:eastAsia="zh-CN"/>
        </w:rPr>
      </w:pPr>
      <w:r>
        <w:rPr>
          <w:rFonts w:hint="eastAsia" w:ascii="宋体" w:hAnsi="宋体"/>
          <w:color w:val="000000"/>
          <w:sz w:val="24"/>
          <w:szCs w:val="24"/>
        </w:rPr>
        <w:t xml:space="preserve">2.项目名称：</w:t>
      </w:r>
      <w:r>
        <w:rPr>
          <w:rFonts w:hint="eastAsia" w:ascii="宋体" w:hAnsi="宋体" w:cs="Times New Roman"/>
          <w:color w:val="000000"/>
          <w:sz w:val="24"/>
          <w:szCs w:val="24"/>
          <w:lang w:eastAsia="zh-CN"/>
        </w:rPr>
        <w:t xml:space="preserve">江浦街道中心幼儿园新世纪分园货物及设备购置项目</w:t>
      </w:r>
      <w:bookmarkEnd w:id="11"/>
      <w:r/>
      <w:r/>
    </w:p>
    <w:p>
      <w:pPr>
        <w:ind w:firstLine="48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3.预算金额：</w:t>
      </w:r>
      <w:r>
        <w:rPr>
          <w:rFonts w:hint="eastAsia" w:ascii="宋体" w:hAnsi="宋体"/>
          <w:color w:val="000000"/>
          <w:sz w:val="24"/>
          <w:szCs w:val="24"/>
          <w:lang w:val="en-US" w:eastAsia="zh-CN"/>
        </w:rPr>
        <w:t xml:space="preserve">290</w:t>
      </w:r>
      <w:r>
        <w:rPr>
          <w:rFonts w:hint="eastAsia" w:ascii="宋体" w:hAnsi="宋体" w:eastAsia="宋体" w:cs="Times New Roman"/>
          <w:color w:val="000000"/>
          <w:sz w:val="24"/>
          <w:szCs w:val="24"/>
          <w:highlight w:val="none"/>
        </w:rPr>
        <w:t xml:space="preserve">万元</w:t>
      </w:r>
      <w:r/>
    </w:p>
    <w:p>
      <w:pPr>
        <w:ind w:firstLine="480"/>
        <w:pageBreakBefore w:val="0"/>
        <w:spacing w:line="360" w:lineRule="auto"/>
        <w:widowControl w:val="off"/>
        <w:rPr>
          <w:rFonts w:hint="eastAsia" w:ascii="宋体" w:hAnsi="宋体"/>
          <w:color w:val="000000"/>
          <w:sz w:val="24"/>
          <w:szCs w:val="24"/>
          <w:lang w:eastAsia="zh-CN"/>
        </w:rPr>
      </w:pPr>
      <w:r>
        <w:rPr>
          <w:rFonts w:hint="eastAsia" w:ascii="宋体" w:hAnsi="宋体"/>
          <w:color w:val="000000"/>
          <w:sz w:val="24"/>
          <w:szCs w:val="24"/>
        </w:rPr>
        <w:t xml:space="preserve">4.</w:t>
      </w:r>
      <w:r>
        <w:rPr>
          <w:rFonts w:hint="eastAsia" w:ascii="宋体" w:hAnsi="宋体"/>
          <w:color w:val="000000"/>
          <w:sz w:val="24"/>
          <w:szCs w:val="24"/>
          <w:lang w:val="en-US" w:eastAsia="zh-CN"/>
        </w:rPr>
        <w:t xml:space="preserve">最高限价：279.9587</w:t>
      </w:r>
      <w:r>
        <w:rPr>
          <w:rFonts w:hint="eastAsia" w:ascii="宋体" w:hAnsi="宋体" w:eastAsia="宋体" w:cs="宋体"/>
          <w:b w:val="0"/>
          <w:bCs/>
          <w:color w:val="000000"/>
          <w:sz w:val="24"/>
          <w:lang w:eastAsia="zh-CN"/>
        </w:rPr>
        <w:t xml:space="preserve">万元，供应商报价超过采购控制价的为无效报价，按照无效标处理。</w:t>
      </w:r>
      <w:r/>
    </w:p>
    <w:p>
      <w:pPr>
        <w:ind w:firstLine="480"/>
        <w:pageBreakBefore w:val="0"/>
        <w:spacing w:line="360" w:lineRule="auto"/>
        <w:widowControl w:val="off"/>
        <w:rPr>
          <w:rFonts w:hint="eastAsia" w:ascii="宋体" w:hAnsi="宋体" w:cs="宋体"/>
          <w:sz w:val="24"/>
          <w:szCs w:val="24"/>
        </w:rPr>
      </w:pPr>
      <w:r>
        <w:rPr>
          <w:rFonts w:hint="eastAsia" w:ascii="宋体" w:hAnsi="宋体"/>
          <w:sz w:val="24"/>
          <w:szCs w:val="24"/>
        </w:rPr>
        <w:t xml:space="preserve">5.采购需求（简介）：</w:t>
      </w:r>
      <w:r>
        <w:rPr>
          <w:rFonts w:hint="eastAsia" w:ascii="宋体" w:hAnsi="宋体" w:eastAsia="宋体" w:cs="宋体"/>
          <w:b w:val="0"/>
          <w:bCs/>
          <w:color w:val="000000"/>
          <w:sz w:val="24"/>
          <w:lang w:val="en-US" w:eastAsia="zh-CN"/>
        </w:rPr>
        <w:t xml:space="preserve">新世纪分园重建工程已全面竣工，园所校舍环境实现整体提档升级，但园内教学活动、生活起居、休闲娱乐及安全保卫等配套设施尚未配置，整体设施条件处于空白状态。为切实保障幼儿园顺利开园、规范办学，满足日常教育教学、幼儿生活照料与校园安全管理的基本需求，需配齐各类必备设施设备。具体详见第四章采购需求。</w:t>
      </w:r>
      <w:r/>
    </w:p>
    <w:p>
      <w:pPr>
        <w:ind w:firstLine="480"/>
        <w:pageBreakBefore w:val="0"/>
        <w:spacing w:line="360" w:lineRule="auto"/>
        <w:widowControl w:val="off"/>
        <w:rPr>
          <w:rFonts w:hint="eastAsia" w:ascii="宋体" w:hAnsi="宋体" w:eastAsia="宋体"/>
          <w:color w:val="000000"/>
          <w:sz w:val="24"/>
          <w:szCs w:val="24"/>
          <w:lang w:eastAsia="zh-CN"/>
        </w:rPr>
      </w:pPr>
      <w:r>
        <w:rPr>
          <w:rFonts w:hint="eastAsia" w:ascii="宋体" w:hAnsi="宋体"/>
          <w:sz w:val="24"/>
          <w:szCs w:val="24"/>
        </w:rPr>
        <w:t xml:space="preserve">6.合同履行期限</w:t>
      </w:r>
      <w:r>
        <w:rPr>
          <w:rFonts w:hint="eastAsia" w:ascii="宋体" w:hAnsi="宋体"/>
          <w:color w:val="000000"/>
          <w:sz w:val="24"/>
          <w:szCs w:val="24"/>
        </w:rPr>
        <w:t xml:space="preserve">：</w:t>
      </w:r>
      <w:r>
        <w:rPr>
          <w:rFonts w:hint="eastAsia" w:ascii="宋体" w:hAnsi="宋体" w:cs="宋体"/>
          <w:color w:val="000000"/>
          <w:sz w:val="24"/>
          <w:szCs w:val="24"/>
          <w:lang w:val="en-US" w:eastAsia="zh-CN"/>
        </w:rPr>
        <w:t xml:space="preserve">45天</w:t>
      </w:r>
      <w:r>
        <w:rPr>
          <w:rFonts w:hint="eastAsia" w:ascii="宋体" w:hAnsi="宋体" w:eastAsia="宋体" w:cs="宋体"/>
          <w:color w:val="000000"/>
          <w:sz w:val="24"/>
          <w:szCs w:val="24"/>
          <w:lang w:val="en-US" w:eastAsia="zh-CN"/>
        </w:rPr>
        <w:t xml:space="preserve">。</w:t>
      </w:r>
      <w:r/>
    </w:p>
    <w:p>
      <w:pPr>
        <w:ind w:firstLine="480"/>
        <w:pageBreakBefore w:val="0"/>
        <w:spacing w:line="36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7.本项目</w:t>
      </w:r>
      <w:r>
        <w:rPr>
          <w:rFonts w:hint="eastAsia" w:ascii="宋体" w:hAnsi="宋体" w:eastAsia="宋体" w:cs="Times New Roman"/>
          <w:color w:val="000000"/>
          <w:sz w:val="24"/>
          <w:szCs w:val="24"/>
          <w:u w:val="none"/>
          <w:lang w:val="en-US" w:eastAsia="zh-CN"/>
        </w:rPr>
        <w:t xml:space="preserve">不接受</w:t>
      </w:r>
      <w:r>
        <w:rPr>
          <w:rFonts w:hint="eastAsia" w:ascii="宋体" w:hAnsi="宋体" w:eastAsia="宋体" w:cs="Times New Roman"/>
          <w:color w:val="000000"/>
          <w:sz w:val="24"/>
          <w:szCs w:val="24"/>
          <w:lang w:val="en-US" w:eastAsia="zh-CN"/>
        </w:rPr>
        <w:t xml:space="preserve">进口产品投标。</w:t>
      </w:r>
      <w:r/>
    </w:p>
    <w:p>
      <w:pPr>
        <w:ind w:firstLine="48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w:t>
      </w:r>
      <w:r>
        <w:rPr>
          <w:rFonts w:hint="eastAsia" w:ascii="宋体" w:hAnsi="宋体" w:eastAsia="宋体" w:cs="宋体"/>
          <w:sz w:val="24"/>
          <w:szCs w:val="24"/>
          <w:highlight w:val="none"/>
          <w:lang w:val="en-US" w:eastAsia="zh-CN"/>
        </w:rPr>
        <w:t xml:space="preserve">投标。</w:t>
      </w:r>
      <w:r/>
    </w:p>
    <w:p>
      <w:pPr>
        <w:pStyle w:val="884"/>
        <w:ind w:firstLine="465"/>
        <w:pageBreakBefore w:val="0"/>
        <w:spacing w:before="0" w:after="0" w:line="360" w:lineRule="auto"/>
        <w:widowControl w:val="off"/>
        <w:rPr>
          <w:rFonts w:hint="eastAsia" w:ascii="方正黑体_GBK" w:hAnsi="方正黑体_GBK" w:eastAsia="方正黑体_GBK" w:cs="方正黑体_GBK"/>
          <w:b w:val="0"/>
          <w:bCs w:val="0"/>
          <w:color w:val="000000"/>
          <w:sz w:val="30"/>
          <w:szCs w:val="30"/>
        </w:rPr>
      </w:pPr>
      <w:r/>
      <w:bookmarkStart w:id="12" w:name="_Toc38985264"/>
      <w:r/>
      <w:bookmarkStart w:id="13" w:name="_Toc35393622"/>
      <w:r/>
      <w:bookmarkStart w:id="14" w:name="_Toc35393791"/>
      <w:r/>
      <w:bookmarkStart w:id="15" w:name="_Toc28359080"/>
      <w:r/>
      <w:bookmarkStart w:id="16" w:name="_Toc28359003"/>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
    </w:p>
    <w:p>
      <w:pPr>
        <w:ind w:firstLine="480"/>
        <w:pageBreakBefore w:val="0"/>
        <w:spacing w:line="360" w:lineRule="auto"/>
        <w:widowControl w:val="off"/>
        <w:rPr>
          <w:rFonts w:hint="eastAsia" w:ascii="宋体" w:hAnsi="宋体" w:eastAsia="宋体" w:cs="宋体"/>
          <w:b w:val="0"/>
          <w:bCs w:val="0"/>
          <w:sz w:val="24"/>
          <w:szCs w:val="24"/>
          <w:highlight w:val="none"/>
        </w:rPr>
      </w:pPr>
      <w:r/>
      <w:bookmarkStart w:id="17" w:name="_Toc28359004"/>
      <w:r/>
      <w:bookmarkStart w:id="18" w:name="_Toc28359081"/>
      <w:r/>
      <w:bookmarkStart w:id="19" w:name="_Toc35393792"/>
      <w:r/>
      <w:bookmarkStart w:id="20" w:name="_Toc35393623"/>
      <w:r/>
      <w:bookmarkStart w:id="21" w:name="_Toc38985265"/>
      <w:r>
        <w:rPr>
          <w:rFonts w:hint="eastAsia" w:ascii="宋体" w:hAnsi="宋体" w:eastAsia="宋体" w:cs="宋体"/>
          <w:b w:val="0"/>
          <w:bCs w:val="0"/>
          <w:sz w:val="24"/>
          <w:szCs w:val="24"/>
          <w:highlight w:val="none"/>
        </w:rPr>
        <w:t xml:space="preserve">（一）通用资格要求</w:t>
      </w:r>
      <w:r/>
    </w:p>
    <w:p>
      <w:pPr>
        <w:ind w:firstLine="480"/>
        <w:pageBreakBefore w:val="0"/>
        <w:spacing w:line="360" w:lineRule="auto"/>
        <w:widowControl w:val="off"/>
        <w:rPr>
          <w:rFonts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pageBreakBefore w:val="0"/>
        <w:spacing w:line="360" w:lineRule="auto"/>
        <w:widowControl w:val="off"/>
        <w:rPr>
          <w:rFonts w:hint="eastAsia" w:ascii="宋体" w:hAnsi="宋体" w:eastAsia="宋体"/>
          <w:b w:val="0"/>
          <w:bCs w:val="0"/>
          <w:sz w:val="24"/>
          <w:szCs w:val="24"/>
          <w:highlight w:val="none"/>
          <w:lang w:eastAsia="zh-CN"/>
        </w:rPr>
      </w:pPr>
      <w:r>
        <w:rPr>
          <w:rFonts w:hint="eastAsia" w:ascii="宋体" w:hAnsi="宋体"/>
          <w:b w:val="0"/>
          <w:bCs w:val="0"/>
          <w:sz w:val="24"/>
          <w:szCs w:val="24"/>
          <w:highlight w:val="none"/>
          <w:lang w:val="en-US" w:eastAsia="zh-CN"/>
        </w:rPr>
        <w:t xml:space="preserve">1.1</w:t>
      </w:r>
      <w:r>
        <w:rPr>
          <w:rFonts w:hint="eastAsia" w:ascii="宋体" w:hAnsi="宋体" w:eastAsia="宋体" w:cs="Times New Roman"/>
          <w:sz w:val="24"/>
          <w:szCs w:val="24"/>
          <w:highlight w:val="none"/>
          <w:lang w:val="zh-CN"/>
        </w:rPr>
        <w:t xml:space="preserve">供应商</w:t>
      </w:r>
      <w:r>
        <w:rPr>
          <w:rFonts w:hint="eastAsia" w:ascii="宋体" w:hAnsi="宋体" w:cs="Times New Roman"/>
          <w:sz w:val="24"/>
          <w:szCs w:val="24"/>
          <w:highlight w:val="none"/>
          <w:lang w:val="zh-CN"/>
        </w:rPr>
        <w:t xml:space="preserve">信用</w:t>
      </w:r>
      <w:r>
        <w:rPr>
          <w:rFonts w:hint="eastAsia" w:ascii="宋体" w:hAnsi="宋体" w:eastAsia="宋体" w:cs="Times New Roman"/>
          <w:sz w:val="24"/>
          <w:szCs w:val="24"/>
          <w:highlight w:val="none"/>
          <w:lang w:val="zh-CN"/>
        </w:rPr>
        <w:t xml:space="preserve">承诺函</w:t>
      </w:r>
      <w:r>
        <w:rPr>
          <w:rFonts w:hint="eastAsia" w:ascii="宋体" w:hAnsi="宋体" w:cs="Times New Roman"/>
          <w:sz w:val="24"/>
          <w:szCs w:val="24"/>
          <w:highlight w:val="none"/>
          <w:lang w:val="zh-CN"/>
        </w:rPr>
        <w:t xml:space="preserve">（</w:t>
      </w:r>
      <w:r>
        <w:rPr>
          <w:rFonts w:hint="eastAsia" w:ascii="宋体" w:hAnsi="宋体" w:cs="Times New Roman"/>
          <w:sz w:val="24"/>
          <w:szCs w:val="24"/>
          <w:highlight w:val="none"/>
          <w:lang w:val="zh-CN" w:eastAsia="zh-CN"/>
        </w:rPr>
        <w:t xml:space="preserve">格式见第六章</w:t>
      </w:r>
      <w:r>
        <w:rPr>
          <w:rFonts w:hint="eastAsia" w:ascii="宋体" w:hAnsi="宋体" w:cs="Times New Roman"/>
          <w:sz w:val="24"/>
          <w:szCs w:val="24"/>
          <w:highlight w:val="none"/>
          <w:lang w:val="zh-CN"/>
        </w:rPr>
        <w:t xml:space="preserve">）</w:t>
      </w:r>
      <w:r>
        <w:rPr>
          <w:rFonts w:hint="eastAsia" w:ascii="宋体" w:hAnsi="宋体"/>
          <w:b w:val="0"/>
          <w:bCs w:val="0"/>
          <w:sz w:val="24"/>
          <w:szCs w:val="24"/>
          <w:highlight w:val="none"/>
          <w:lang w:val="zh-CN" w:eastAsia="zh-CN"/>
        </w:rPr>
        <w:t xml:space="preserve">。</w:t>
      </w:r>
      <w:r/>
    </w:p>
    <w:p>
      <w:pPr>
        <w:ind w:firstLine="480"/>
        <w:pageBreakBefore w:val="0"/>
        <w:spacing w:line="360"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sz w:val="24"/>
          <w:szCs w:val="24"/>
        </w:rPr>
        <w:t xml:space="preserve">2.落实政府采购政策需满足的资格要求：本项目专门面向中小微企业采购，供应商应为中小微企业或监狱企业或残疾人福利性单位。（声明函格式见第六章）</w:t>
      </w:r>
      <w:r/>
    </w:p>
    <w:p>
      <w:pPr>
        <w:ind w:firstLine="480"/>
        <w:pageBreakBefore w:val="0"/>
        <w:spacing w:line="360" w:lineRule="auto"/>
        <w:widowControl w:val="off"/>
        <w:rPr>
          <w:rFonts w:hint="eastAsia" w:ascii="宋体" w:hAnsi="宋体" w:eastAsia="宋体" w:cs="Times New Roman"/>
          <w:sz w:val="24"/>
          <w:szCs w:val="24"/>
          <w:lang w:val="zh-CN"/>
        </w:rPr>
      </w:pPr>
      <w:r>
        <w:rPr>
          <w:rFonts w:hint="eastAsia" w:ascii="宋体" w:hAnsi="宋体" w:eastAsia="宋体" w:cs="Times New Roman"/>
          <w:sz w:val="24"/>
          <w:szCs w:val="24"/>
          <w:lang w:val="zh-CN"/>
        </w:rPr>
        <w:t xml:space="preserve">本项目采购标的对应的中小企业划分标准所属行业为：</w:t>
      </w:r>
      <w:r>
        <w:rPr>
          <w:rFonts w:hint="eastAsia" w:ascii="宋体" w:hAnsi="宋体" w:eastAsia="宋体" w:cs="Times New Roman"/>
          <w:sz w:val="24"/>
          <w:szCs w:val="24"/>
          <w:u w:val="none"/>
          <w:lang w:val="en-US" w:eastAsia="zh-CN"/>
        </w:rPr>
        <w:t xml:space="preserve">工</w:t>
      </w:r>
      <w:r>
        <w:rPr>
          <w:rFonts w:hint="eastAsia" w:ascii="宋体" w:hAnsi="宋体" w:eastAsia="宋体" w:cs="Times New Roman"/>
          <w:sz w:val="24"/>
          <w:szCs w:val="24"/>
          <w:u w:val="none"/>
          <w:lang w:val="zh-CN"/>
        </w:rPr>
        <w:t xml:space="preserve">业。</w:t>
      </w:r>
      <w:r>
        <w:rPr>
          <w:rFonts w:hint="eastAsia" w:ascii="宋体" w:hAnsi="宋体" w:eastAsia="宋体" w:cs="Times New Roman"/>
          <w:sz w:val="24"/>
          <w:szCs w:val="24"/>
        </w:rPr>
        <w:t xml:space="preserve">根据《中小企业划型标准规定》</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工信部联企业</w:t>
      </w:r>
      <w:r>
        <w:rPr>
          <w:rFonts w:hint="eastAsia" w:ascii="宋体" w:hAnsi="宋体" w:eastAsia="宋体" w:cs="宋体"/>
          <w:sz w:val="24"/>
          <w:szCs w:val="24"/>
        </w:rPr>
        <w:t xml:space="preserve">〔</w:t>
      </w:r>
      <w:r>
        <w:rPr>
          <w:rFonts w:hint="eastAsia" w:ascii="宋体" w:hAnsi="宋体" w:eastAsia="宋体" w:cs="Times New Roman"/>
          <w:sz w:val="24"/>
          <w:szCs w:val="24"/>
        </w:rPr>
        <w:t xml:space="preserve">2011</w:t>
      </w:r>
      <w:r>
        <w:rPr>
          <w:rFonts w:hint="eastAsia" w:ascii="宋体" w:hAnsi="宋体" w:eastAsia="宋体" w:cs="宋体"/>
          <w:sz w:val="24"/>
          <w:szCs w:val="24"/>
        </w:rPr>
        <w:t xml:space="preserve">〕</w:t>
      </w:r>
      <w:r>
        <w:rPr>
          <w:rFonts w:hint="eastAsia" w:ascii="宋体" w:hAnsi="宋体" w:eastAsia="宋体" w:cs="Times New Roman"/>
          <w:sz w:val="24"/>
          <w:szCs w:val="24"/>
        </w:rPr>
        <w:t xml:space="preserve">300号</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pageBreakBefore w:val="0"/>
        <w:spacing w:line="360" w:lineRule="auto"/>
        <w:widowControl w:val="off"/>
        <w:rPr>
          <w:rFonts w:hint="eastAsia" w:ascii="宋体" w:hAnsi="宋体" w:eastAsia="宋体" w:cs="Times New Roman"/>
          <w:color w:val="0000ff"/>
          <w:sz w:val="24"/>
          <w:szCs w:val="24"/>
          <w:u w:val="none"/>
          <w:lang w:val="en-US" w:eastAsia="zh-CN"/>
        </w:rPr>
      </w:pPr>
      <w:r>
        <w:rPr>
          <w:rFonts w:hint="eastAsia" w:ascii="宋体" w:hAnsi="宋体" w:eastAsia="宋体" w:cs="宋体"/>
          <w:sz w:val="24"/>
          <w:szCs w:val="24"/>
          <w:highlight w:val="none"/>
        </w:rPr>
        <w:t xml:space="preserve">（二）本项目特定资格要求</w:t>
      </w:r>
      <w:r>
        <w:rPr>
          <w:rFonts w:hint="eastAsia" w:ascii="宋体" w:hAnsi="宋体" w:eastAsia="宋体" w:cs="宋体"/>
          <w:sz w:val="24"/>
          <w:szCs w:val="24"/>
          <w:highlight w:val="none"/>
          <w:lang w:eastAsia="zh-CN"/>
        </w:rPr>
        <w:t xml:space="preserve">：</w:t>
      </w:r>
      <w:r>
        <w:rPr>
          <w:rFonts w:hint="eastAsia" w:ascii="宋体" w:hAnsi="宋体" w:eastAsia="宋体" w:cs="Times New Roman"/>
          <w:color w:val="000000"/>
          <w:sz w:val="24"/>
          <w:szCs w:val="24"/>
          <w:u w:val="none"/>
          <w:lang w:val="en-US" w:eastAsia="zh-CN"/>
        </w:rPr>
        <w:t xml:space="preserve">无。</w:t>
      </w:r>
      <w:r/>
    </w:p>
    <w:p>
      <w:pPr>
        <w:ind w:firstLine="48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三</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拒绝下述供应商参加本次采购活动</w:t>
      </w:r>
      <w:r/>
    </w:p>
    <w:p>
      <w:pPr>
        <w:ind w:firstLine="480"/>
        <w:pageBreakBefore w:val="0"/>
        <w:spacing w:line="360"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单位负责人为同一人或者存在直接控股、管理关系的不同供应商，不得参加同一合同项下的政府采购活动</w:t>
      </w:r>
      <w:r>
        <w:rPr>
          <w:rFonts w:hint="eastAsia" w:ascii="宋体" w:hAnsi="宋体" w:eastAsia="宋体" w:cs="Times New Roman"/>
          <w:sz w:val="24"/>
          <w:szCs w:val="24"/>
          <w:lang w:eastAsia="zh-CN"/>
        </w:rPr>
        <w:t xml:space="preserve">。</w:t>
      </w:r>
      <w:r/>
    </w:p>
    <w:p>
      <w:pPr>
        <w:ind w:firstLine="480"/>
        <w:pageBreakBefore w:val="0"/>
        <w:spacing w:line="360"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rPr>
        <w:t xml:space="preserve">为采购项目提供整体设计、规范编制或者项目管理、监理、检测等服务的供应商，不得参加本项目的采购活动</w:t>
      </w:r>
      <w:r>
        <w:rPr>
          <w:rFonts w:hint="eastAsia" w:ascii="宋体" w:hAnsi="宋体" w:eastAsia="宋体" w:cs="Times New Roman"/>
          <w:sz w:val="24"/>
          <w:szCs w:val="24"/>
          <w:lang w:eastAsia="zh-CN"/>
        </w:rPr>
        <w:t xml:space="preserve">。</w:t>
      </w:r>
      <w:r/>
    </w:p>
    <w:p>
      <w:pPr>
        <w:ind w:firstLine="480"/>
        <w:pageBreakBefore w:val="0"/>
        <w:spacing w:line="360"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eastAsia="宋体" w:cs="Times New Roman"/>
          <w:sz w:val="24"/>
          <w:szCs w:val="24"/>
          <w:lang w:eastAsia="zh-CN"/>
        </w:rPr>
        <w:t xml:space="preserve">。</w:t>
      </w:r>
      <w:r/>
    </w:p>
    <w:p>
      <w:pPr>
        <w:pStyle w:val="884"/>
        <w:ind w:firstLine="465"/>
        <w:pageBreakBefore w:val="0"/>
        <w:spacing w:before="0" w:after="0" w:line="36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
    </w:p>
    <w:p>
      <w:pPr>
        <w:ind w:firstLine="480"/>
        <w:pageBreakBefore w:val="0"/>
        <w:spacing w:line="360" w:lineRule="auto"/>
        <w:widowControl w:val="off"/>
        <w:rPr>
          <w:rFonts w:ascii="宋体" w:hAnsi="宋体" w:cs="宋体"/>
          <w:sz w:val="24"/>
          <w:szCs w:val="24"/>
        </w:rPr>
      </w:pPr>
      <w:r/>
      <w:bookmarkStart w:id="22" w:name="_Toc28359082"/>
      <w:r/>
      <w:bookmarkStart w:id="23" w:name="_Toc28359005"/>
      <w:r/>
      <w:bookmarkStart w:id="24" w:name="_Toc38985266"/>
      <w:r/>
      <w:bookmarkStart w:id="25" w:name="_Toc35393793"/>
      <w:r/>
      <w:bookmarkStart w:id="26" w:name="_Toc35393624"/>
      <w:r>
        <w:rPr>
          <w:rFonts w:hint="eastAsia" w:ascii="宋体" w:hAnsi="宋体" w:cs="宋体"/>
          <w:sz w:val="24"/>
          <w:szCs w:val="24"/>
        </w:rPr>
        <w:t xml:space="preserve">1.时间：自招标文件公告发布之日起5个工作日。</w:t>
      </w:r>
      <w:r/>
    </w:p>
    <w:p>
      <w:pPr>
        <w:ind w:firstLine="480"/>
        <w:pageBreakBefore w:val="0"/>
        <w:spacing w:line="360" w:lineRule="auto"/>
        <w:widowControl w:val="off"/>
        <w:rPr>
          <w:rFonts w:ascii="宋体" w:hAnsi="宋体" w:cs="宋体"/>
          <w:sz w:val="24"/>
          <w:szCs w:val="24"/>
          <w:u w:val="single"/>
        </w:rPr>
      </w:pPr>
      <w:r>
        <w:rPr>
          <w:rFonts w:hint="eastAsia" w:ascii="宋体" w:hAnsi="宋体" w:cs="宋体"/>
          <w:sz w:val="24"/>
          <w:szCs w:val="24"/>
        </w:rPr>
        <w:t xml:space="preserve">2.方式：在“江苏政府采购网”免费下载。</w:t>
      </w:r>
      <w:r/>
    </w:p>
    <w:p>
      <w:pPr>
        <w:pStyle w:val="884"/>
        <w:ind w:firstLine="465"/>
        <w:pageBreakBefore w:val="0"/>
        <w:spacing w:before="0" w:after="0" w:line="36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2"/>
      <w:r/>
      <w:bookmarkEnd w:id="23"/>
      <w:r>
        <w:rPr>
          <w:rFonts w:hint="eastAsia" w:ascii="方正黑体_GBK" w:hAnsi="方正黑体_GBK" w:eastAsia="方正黑体_GBK" w:cs="方正黑体_GBK"/>
          <w:b w:val="0"/>
          <w:bCs w:val="0"/>
          <w:color w:val="000000"/>
          <w:sz w:val="30"/>
          <w:szCs w:val="30"/>
        </w:rPr>
        <w:t xml:space="preserve">截止时间、开标时间和地点</w:t>
      </w:r>
      <w:bookmarkEnd w:id="24"/>
      <w:r/>
      <w:bookmarkEnd w:id="25"/>
      <w:r/>
      <w:bookmarkEnd w:id="26"/>
      <w:r/>
      <w:r/>
    </w:p>
    <w:p>
      <w:pPr>
        <w:ind w:firstLine="480"/>
        <w:pageBreakBefore w:val="0"/>
        <w:spacing w:line="360" w:lineRule="auto"/>
        <w:widowControl w:val="off"/>
        <w:rPr>
          <w:rFonts w:hint="eastAsia" w:ascii="宋体" w:hAnsi="宋体" w:eastAsia="宋体"/>
          <w:bCs/>
          <w:sz w:val="24"/>
          <w:szCs w:val="24"/>
          <w:u w:val="single"/>
          <w:lang w:val="en-US" w:eastAsia="zh-CN"/>
        </w:rPr>
      </w:pPr>
      <w:r>
        <w:rPr>
          <w:rFonts w:hint="eastAsia" w:ascii="宋体" w:hAnsi="宋体" w:eastAsia="宋体" w:cs="宋体"/>
          <w:sz w:val="24"/>
          <w:szCs w:val="24"/>
        </w:rPr>
        <w:t xml:space="preserve">1.提交投标文件截止时间、开标时间</w:t>
      </w:r>
      <w:r>
        <w:rPr>
          <w:rFonts w:hint="eastAsia" w:ascii="宋体" w:hAnsi="宋体" w:eastAsia="宋体" w:cs="宋体"/>
          <w:sz w:val="24"/>
          <w:szCs w:val="24"/>
          <w:lang w:eastAsia="zh-CN"/>
        </w:rPr>
        <w:t xml:space="preserve">：</w:t>
      </w:r>
      <w:r>
        <w:rPr>
          <w:rFonts w:hint="eastAsia" w:ascii="宋体" w:hAnsi="宋体" w:eastAsia="宋体" w:cs="宋体"/>
          <w:bCs/>
          <w:color w:val="000000" w:themeColor="text1"/>
          <w:sz w:val="24"/>
          <w:szCs w:val="24"/>
          <w:u w:val="none"/>
          <w:lang w:val="en-US" w:eastAsia="zh-CN"/>
          <w14:textFill>
            <w14:solidFill>
              <w14:schemeClr w14:val="tx1"/>
            </w14:solidFill>
          </w14:textFill>
        </w:rPr>
        <w:t xml:space="preserve">20</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2</w:t>
      </w:r>
      <w:r>
        <w:rPr>
          <w:rFonts w:hint="eastAsia" w:ascii="宋体" w:hAnsi="宋体" w:cs="宋体"/>
          <w:color w:val="000000" w:themeColor="text1"/>
          <w:sz w:val="24"/>
          <w:szCs w:val="24"/>
          <w:highlight w:val="none"/>
          <w:u w:val="none"/>
          <w:lang w:val="en-US" w:eastAsia="zh-CN"/>
          <w14:textFill>
            <w14:solidFill>
              <w14:schemeClr w14:val="tx1"/>
            </w14:solidFill>
          </w14:textFill>
        </w:rPr>
        <w:t xml:space="preserve">6</w:t>
      </w:r>
      <w:r>
        <w:rPr>
          <w:rFonts w:hint="eastAsia" w:ascii="宋体" w:hAnsi="宋体"/>
          <w:bCs/>
          <w:color w:val="000000" w:themeColor="text1"/>
          <w:sz w:val="24"/>
          <w:szCs w:val="24"/>
          <w:u w:val="none"/>
          <w14:textFill>
            <w14:solidFill>
              <w14:schemeClr w14:val="tx1"/>
            </w14:solidFill>
          </w14:textFill>
        </w:rPr>
        <w:t xml:space="preserve">年</w:t>
      </w:r>
      <w:r>
        <w:rPr>
          <w:rFonts w:hint="eastAsia" w:ascii="宋体" w:hAnsi="宋体" w:cs="宋体"/>
          <w:color w:val="000000" w:themeColor="text1"/>
          <w:sz w:val="24"/>
          <w:szCs w:val="24"/>
          <w:highlight w:val="none"/>
          <w:u w:val="none"/>
          <w:lang w:val="en-US" w:eastAsia="zh-CN"/>
          <w14:textFill>
            <w14:solidFill>
              <w14:schemeClr w14:val="tx1"/>
            </w14:solidFill>
          </w14:textFill>
        </w:rPr>
        <w:t xml:space="preserve">07</w:t>
      </w:r>
      <w:r>
        <w:rPr>
          <w:rFonts w:hint="eastAsia" w:ascii="宋体" w:hAnsi="宋体"/>
          <w:bCs/>
          <w:color w:val="000000" w:themeColor="text1"/>
          <w:sz w:val="24"/>
          <w:szCs w:val="24"/>
          <w:u w:val="none"/>
          <w14:textFill>
            <w14:solidFill>
              <w14:schemeClr w14:val="tx1"/>
            </w14:solidFill>
          </w14:textFill>
        </w:rPr>
        <w:t xml:space="preserve">月</w:t>
      </w:r>
      <w:r>
        <w:rPr>
          <w:rFonts w:hint="eastAsia" w:ascii="宋体" w:hAnsi="宋体"/>
          <w:bCs/>
          <w:color w:val="000000" w:themeColor="text1"/>
          <w:sz w:val="24"/>
          <w:szCs w:val="24"/>
          <w:u w:val="none"/>
          <w:lang w:val="en-US" w:eastAsia="zh-CN"/>
          <w14:textFill>
            <w14:solidFill>
              <w14:schemeClr w14:val="tx1"/>
            </w14:solidFill>
          </w14:textFill>
        </w:rPr>
        <w:t xml:space="preserve">07</w:t>
      </w:r>
      <w:r>
        <w:rPr>
          <w:rFonts w:hint="eastAsia" w:ascii="宋体" w:hAnsi="宋体"/>
          <w:bCs/>
          <w:color w:val="000000" w:themeColor="text1"/>
          <w:sz w:val="24"/>
          <w:szCs w:val="24"/>
          <w:u w:val="none"/>
          <w14:textFill>
            <w14:solidFill>
              <w14:schemeClr w14:val="tx1"/>
            </w14:solidFill>
          </w14:textFill>
        </w:rPr>
        <w:t xml:space="preserve">日</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09</w:t>
      </w:r>
      <w:r>
        <w:rPr>
          <w:rFonts w:hint="eastAsia" w:ascii="Times New Roman" w:hAnsi="Times New Roman" w:eastAsia="宋体" w:cs="Times New Roman"/>
          <w:bCs/>
          <w:color w:val="000000" w:themeColor="text1"/>
          <w:sz w:val="24"/>
          <w:szCs w:val="24"/>
          <w:u w:val="none"/>
          <w:lang w:val="en-US" w:eastAsia="zh-CN"/>
          <w14:textFill>
            <w14:solidFill>
              <w14:schemeClr w14:val="tx1"/>
            </w14:solidFill>
          </w14:textFill>
        </w:rPr>
        <w:t xml:space="preserve">时</w:t>
      </w:r>
      <w:r>
        <w:rPr>
          <w:rFonts w:hint="eastAsia" w:ascii="宋体" w:hAnsi="宋体" w:eastAsia="宋体" w:cs="宋体"/>
          <w:color w:val="000000" w:themeColor="text1"/>
          <w:sz w:val="24"/>
          <w:szCs w:val="24"/>
          <w:highlight w:val="none"/>
          <w:u w:val="none"/>
          <w:lang w:val="en-US" w:eastAsia="zh-CN"/>
          <w14:textFill>
            <w14:solidFill>
              <w14:schemeClr w14:val="tx1"/>
            </w14:solidFill>
          </w14:textFill>
        </w:rPr>
        <w:t xml:space="preserve">30</w:t>
      </w:r>
      <w:r>
        <w:rPr>
          <w:rFonts w:hint="eastAsia" w:ascii="宋体" w:hAnsi="宋体"/>
          <w:bCs/>
          <w:color w:val="000000" w:themeColor="text1"/>
          <w:sz w:val="24"/>
          <w:szCs w:val="24"/>
          <w:u w:val="none"/>
          <w14:textFill>
            <w14:solidFill>
              <w14:schemeClr w14:val="tx1"/>
            </w14:solidFill>
          </w14:textFill>
        </w:rPr>
        <w:t xml:space="preserve">分</w:t>
      </w:r>
      <w:r>
        <w:rPr>
          <w:rFonts w:hint="eastAsia" w:ascii="宋体" w:hAnsi="宋体"/>
          <w:bCs/>
          <w:sz w:val="24"/>
          <w:szCs w:val="24"/>
        </w:rPr>
        <w:t xml:space="preserve">（北京时间）</w:t>
      </w:r>
      <w:r>
        <w:rPr>
          <w:rFonts w:hint="eastAsia" w:ascii="宋体" w:hAnsi="宋体"/>
          <w:bCs/>
          <w:sz w:val="24"/>
          <w:szCs w:val="24"/>
          <w:lang w:val="en-US" w:eastAsia="zh-CN"/>
        </w:rPr>
        <w:t xml:space="preserve">。</w:t>
      </w:r>
      <w:r/>
    </w:p>
    <w:p>
      <w:pPr>
        <w:ind w:firstLine="480"/>
        <w:pageBreakBefore w:val="0"/>
        <w:spacing w:line="360" w:lineRule="auto"/>
        <w:widowControl w:val="off"/>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sz w:val="24"/>
          <w:szCs w:val="24"/>
          <w:lang w:eastAsia="zh-CN"/>
        </w:rPr>
        <w:t xml:space="preserve">：</w:t>
      </w:r>
      <w:r>
        <w:rPr>
          <w:rFonts w:hint="eastAsia" w:ascii="宋体" w:hAnsi="宋体" w:eastAsia="宋体" w:cs="宋体"/>
          <w:sz w:val="24"/>
          <w:szCs w:val="24"/>
          <w:lang w:val="en-US" w:eastAsia="zh-CN"/>
        </w:rPr>
        <w:t xml:space="preserve">江苏省</w:t>
      </w:r>
      <w:r>
        <w:rPr>
          <w:rFonts w:hint="eastAsia" w:ascii="宋体" w:hAnsi="宋体" w:eastAsia="宋体" w:cs="宋体"/>
          <w:sz w:val="24"/>
          <w:szCs w:val="24"/>
        </w:rPr>
        <w:t xml:space="preserve">政府采购交易系统</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以下简称“苏采云系统”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网上开标大厅。</w:t>
      </w:r>
      <w:r/>
    </w:p>
    <w:p>
      <w:pPr>
        <w:pStyle w:val="884"/>
        <w:ind w:firstLine="465"/>
        <w:pageBreakBefore w:val="0"/>
        <w:spacing w:before="0" w:after="0" w:line="360" w:lineRule="auto"/>
        <w:widowControl w:val="off"/>
        <w:rPr>
          <w:rFonts w:hint="eastAsia" w:ascii="方正黑体_GBK" w:hAnsi="方正黑体_GBK" w:eastAsia="方正黑体_GBK" w:cs="方正黑体_GBK"/>
          <w:b w:val="0"/>
          <w:bCs w:val="0"/>
          <w:color w:val="000000"/>
          <w:sz w:val="30"/>
          <w:szCs w:val="30"/>
        </w:rPr>
      </w:pPr>
      <w:r/>
      <w:bookmarkStart w:id="27" w:name="_Toc28359084"/>
      <w:r/>
      <w:bookmarkStart w:id="28" w:name="_Toc28359007"/>
      <w:r/>
      <w:bookmarkStart w:id="29" w:name="_Toc38985267"/>
      <w:r/>
      <w:bookmarkStart w:id="30" w:name="_Toc35393794"/>
      <w:r/>
      <w:bookmarkStart w:id="31" w:name="_Toc35393625"/>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
    </w:p>
    <w:p>
      <w:pPr>
        <w:ind w:firstLine="480"/>
        <w:pageBreakBefore w:val="0"/>
        <w:spacing w:line="360" w:lineRule="auto"/>
        <w:widowControl w:val="off"/>
        <w:rPr>
          <w:rFonts w:ascii="宋体" w:hAnsi="宋体" w:cs="宋体"/>
          <w:sz w:val="24"/>
          <w:szCs w:val="24"/>
        </w:rPr>
      </w:pPr>
      <w:r/>
      <w:bookmarkStart w:id="32" w:name="_Toc35393795"/>
      <w:r/>
      <w:bookmarkStart w:id="33" w:name="_Toc35393626"/>
      <w:r/>
      <w:bookmarkStart w:id="34" w:name="_Toc38985268"/>
      <w:r>
        <w:rPr>
          <w:rFonts w:hint="eastAsia" w:ascii="宋体" w:hAnsi="宋体" w:cs="宋体"/>
          <w:sz w:val="24"/>
          <w:szCs w:val="24"/>
        </w:rPr>
        <w:t xml:space="preserve">公告期限为自本公告发布之日起5个工作日。</w:t>
      </w:r>
      <w:r/>
    </w:p>
    <w:p>
      <w:pPr>
        <w:pStyle w:val="884"/>
        <w:ind w:firstLine="465"/>
        <w:pageBreakBefore w:val="0"/>
        <w:spacing w:before="0" w:after="0" w:line="36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六、其他事宜</w:t>
      </w:r>
      <w:bookmarkEnd w:id="32"/>
      <w:r/>
      <w:bookmarkEnd w:id="33"/>
      <w:r/>
      <w:bookmarkEnd w:id="34"/>
      <w:r/>
      <w:r/>
    </w:p>
    <w:p>
      <w:pPr>
        <w:ind w:firstLine="480"/>
        <w:pageBreakBefore w:val="0"/>
        <w:spacing w:line="360" w:lineRule="auto"/>
        <w:widowControl w:val="off"/>
        <w:tabs>
          <w:tab w:val="left" w:pos="900" w:leader="none"/>
        </w:tabs>
        <w:rPr>
          <w:rFonts w:hint="eastAsia" w:ascii="宋体" w:hAnsi="宋体"/>
          <w:bCs/>
          <w:sz w:val="24"/>
          <w:szCs w:val="24"/>
        </w:rPr>
      </w:pPr>
      <w:r/>
      <w:bookmarkStart w:id="35" w:name="_Toc28359085"/>
      <w:r/>
      <w:bookmarkStart w:id="36" w:name="_Toc35393796"/>
      <w:r/>
      <w:bookmarkStart w:id="37" w:name="_Toc28359008"/>
      <w:r/>
      <w:bookmarkStart w:id="38" w:name="_Toc38985269"/>
      <w:r/>
      <w:bookmarkStart w:id="39" w:name="_Toc35393627"/>
      <w:r>
        <w:rPr>
          <w:rFonts w:hint="eastAsia" w:ascii="宋体" w:hAnsi="宋体" w:eastAsia="宋体" w:cs="宋体"/>
          <w:sz w:val="24"/>
          <w:szCs w:val="24"/>
        </w:rPr>
        <w:t xml:space="preserve">1.</w:t>
      </w:r>
      <w:r>
        <w:rPr>
          <w:rFonts w:hint="eastAsia" w:ascii="宋体" w:hAnsi="宋体"/>
          <w:bCs/>
          <w:sz w:val="24"/>
          <w:szCs w:val="24"/>
        </w:rPr>
        <w:t xml:space="preserve">本次招标不收取投标保证金。</w:t>
      </w:r>
      <w:r/>
    </w:p>
    <w:p>
      <w:pPr>
        <w:ind w:firstLine="480"/>
        <w:pageBreakBefore w:val="0"/>
        <w:spacing w:line="360" w:lineRule="auto"/>
        <w:widowControl w:val="off"/>
        <w:rPr>
          <w:rFonts w:hint="eastAsia" w:ascii="宋体" w:hAnsi="宋体" w:eastAsia="宋体" w:cs="宋体"/>
          <w:color w:val="0000ff"/>
          <w:sz w:val="24"/>
          <w:szCs w:val="24"/>
          <w:highlight w:val="none"/>
          <w:lang w:val="en-US" w:eastAsia="zh-CN"/>
        </w:rPr>
      </w:pPr>
      <w:r>
        <w:rPr>
          <w:rFonts w:hint="eastAsia" w:ascii="宋体" w:hAnsi="宋体"/>
          <w:sz w:val="24"/>
          <w:szCs w:val="24"/>
        </w:rPr>
        <w:t xml:space="preserve">2.现场勘察及答疑:供应商代表携带营业执照复印件(加盖单位公章)、法定代表人授权委托书、身份证参加集中考察或答疑，</w:t>
      </w:r>
      <w:r>
        <w:rPr>
          <w:rFonts w:hint="eastAsia" w:ascii="宋体" w:hAnsi="宋体"/>
          <w:color w:val="auto"/>
          <w:sz w:val="24"/>
          <w:szCs w:val="24"/>
          <w:highlight w:val="none"/>
        </w:rPr>
        <w:t xml:space="preserve">现场勘察签到开始时间:2026年06月</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日09:00，签到截止时间:2026年06月</w:t>
      </w:r>
      <w:r>
        <w:rPr>
          <w:rFonts w:hint="eastAsia" w:ascii="宋体" w:hAnsi="宋体"/>
          <w:color w:val="auto"/>
          <w:sz w:val="24"/>
          <w:szCs w:val="24"/>
          <w:highlight w:val="none"/>
          <w:lang w:val="en-US" w:eastAsia="zh-CN"/>
        </w:rPr>
        <w:t xml:space="preserve">18</w:t>
      </w:r>
      <w:r>
        <w:rPr>
          <w:rFonts w:hint="eastAsia" w:ascii="宋体" w:hAnsi="宋体"/>
          <w:color w:val="auto"/>
          <w:sz w:val="24"/>
          <w:szCs w:val="24"/>
          <w:highlight w:val="none"/>
        </w:rPr>
        <w:t xml:space="preserve">日09:30，地点:</w:t>
      </w:r>
      <w:r>
        <w:rPr>
          <w:rFonts w:hint="eastAsia" w:ascii="宋体" w:hAnsi="宋体"/>
          <w:color w:val="auto"/>
          <w:sz w:val="24"/>
          <w:szCs w:val="24"/>
          <w:highlight w:val="none"/>
          <w:lang w:val="en-US" w:eastAsia="zh-CN"/>
        </w:rPr>
        <w:t xml:space="preserve">南京市浦口区新珠巷2号</w:t>
      </w:r>
      <w:r>
        <w:rPr>
          <w:rFonts w:hint="eastAsia" w:ascii="宋体" w:hAnsi="宋体"/>
          <w:color w:val="auto"/>
          <w:sz w:val="24"/>
          <w:szCs w:val="24"/>
          <w:highlight w:val="none"/>
        </w:rPr>
        <w:t xml:space="preserve">，联系人:</w:t>
      </w:r>
      <w:r>
        <w:rPr>
          <w:rFonts w:hint="eastAsia" w:ascii="宋体" w:hAnsi="宋体"/>
          <w:color w:val="auto"/>
          <w:sz w:val="24"/>
          <w:szCs w:val="24"/>
          <w:highlight w:val="none"/>
          <w:lang w:val="en-US" w:eastAsia="zh-CN"/>
        </w:rPr>
        <w:t xml:space="preserve">荣蓉</w:t>
      </w:r>
      <w:r>
        <w:rPr>
          <w:rFonts w:hint="eastAsia" w:ascii="宋体" w:hAnsi="宋体"/>
          <w:color w:val="auto"/>
          <w:sz w:val="24"/>
          <w:szCs w:val="24"/>
          <w:highlight w:val="none"/>
        </w:rPr>
        <w:t xml:space="preserve">，联系电话:</w:t>
      </w:r>
      <w:r>
        <w:rPr>
          <w:rFonts w:hint="eastAsia" w:ascii="宋体" w:hAnsi="宋体"/>
          <w:color w:val="auto"/>
          <w:sz w:val="24"/>
          <w:szCs w:val="24"/>
          <w:highlight w:val="none"/>
          <w:lang w:val="en-US" w:eastAsia="zh-CN"/>
        </w:rPr>
        <w:t xml:space="preserve">17372216934</w:t>
      </w:r>
      <w:r>
        <w:rPr>
          <w:rFonts w:hint="eastAsia" w:ascii="宋体" w:hAnsi="宋体"/>
          <w:color w:val="auto"/>
          <w:sz w:val="24"/>
          <w:szCs w:val="24"/>
          <w:highlight w:val="none"/>
        </w:rPr>
        <w:t xml:space="preserve">，超过规</w:t>
      </w:r>
      <w:r>
        <w:rPr>
          <w:rFonts w:hint="eastAsia" w:ascii="宋体" w:hAnsi="宋体"/>
          <w:sz w:val="24"/>
          <w:szCs w:val="24"/>
        </w:rPr>
        <w:t xml:space="preserve">定时间到达的投标供应商，不再另行组织踏勘。投标供应商应对项目现场和周围环境进行仔细认真地查勘并复核技术参数，在随后的采购中，对现场资料和数据所作出的推论、解释和结论及由此造成的后果由投标供应商负责。踏勘现场按照自愿原则，无论参与与否不影响供应商参与后续采购活动。未踏勘现场或踏勘工作不详细的供应商，不得以不完全了解现场情况为理由而向采购人提出任何索赔或其他要求，对此采购人不承担任何责任。</w:t>
      </w:r>
      <w:r/>
    </w:p>
    <w:p>
      <w:pPr>
        <w:ind w:firstLine="48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苏采云”南京地区客服热线025-83633744、025-83633743）。《操作手册》下载地址：http://www.ccgp-jiangsu.gov.cn/jiangsu/zlxz/ee/ee3a4bc5a3454aa2b0d9312230633ce9.html</w:t>
      </w:r>
      <w:r/>
    </w:p>
    <w:p>
      <w:pPr>
        <w:ind w:firstLine="48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.有关本次招标的事项若存在变动或修改，请及时关注“江苏政府采购网”（www.ccgp-jiangsu.gov.cn）更正公告。</w:t>
      </w:r>
      <w:r/>
    </w:p>
    <w:p>
      <w:pPr>
        <w:pStyle w:val="884"/>
        <w:ind w:firstLine="465"/>
        <w:pageBreakBefore w:val="0"/>
        <w:spacing w:before="0" w:after="0" w:line="36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5"/>
      <w:r/>
      <w:bookmarkEnd w:id="36"/>
      <w:r/>
      <w:bookmarkEnd w:id="37"/>
      <w:r/>
      <w:bookmarkEnd w:id="38"/>
      <w:r/>
      <w:bookmarkEnd w:id="39"/>
      <w:r/>
      <w:r/>
    </w:p>
    <w:p>
      <w:pPr>
        <w:ind w:firstLine="480"/>
        <w:pageBreakBefore w:val="0"/>
        <w:spacing w:line="360"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1.采购人</w:t>
      </w:r>
      <w:r/>
    </w:p>
    <w:p>
      <w:pPr>
        <w:ind w:firstLine="480"/>
        <w:pageBreakBefore w:val="0"/>
        <w:spacing w:line="360"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名  称：</w:t>
      </w:r>
      <w:r>
        <w:rPr>
          <w:rFonts w:hint="eastAsia" w:ascii="宋体" w:hAnsi="宋体" w:cs="Times New Roman"/>
          <w:color w:val="000000"/>
          <w:sz w:val="24"/>
          <w:szCs w:val="24"/>
          <w:lang w:eastAsia="zh-CN"/>
        </w:rPr>
        <w:t xml:space="preserve">南京市浦口区人民政府江浦街道办事处</w:t>
      </w:r>
      <w:r>
        <w:rPr>
          <w:rFonts w:hint="eastAsia" w:ascii="宋体" w:hAnsi="宋体" w:eastAsia="宋体" w:cs="Times New Roman"/>
          <w:color w:val="0000ff"/>
          <w:sz w:val="24"/>
          <w:szCs w:val="24"/>
          <w:u w:val="none"/>
          <w:lang w:val="en-US" w:eastAsia="zh-CN"/>
        </w:rPr>
        <w:t xml:space="preserve">          </w:t>
      </w:r>
      <w:r/>
    </w:p>
    <w:p>
      <w:pPr>
        <w:ind w:firstLine="480"/>
        <w:pageBreakBefore w:val="0"/>
        <w:spacing w:line="36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sz w:val="24"/>
          <w:szCs w:val="24"/>
          <w:u w:val="none"/>
          <w:lang w:val="en-US" w:eastAsia="zh-CN"/>
        </w:rPr>
        <w:t xml:space="preserve">地  址：</w:t>
      </w:r>
      <w:r>
        <w:rPr>
          <w:rFonts w:ascii="宋体" w:hAnsi="宋体" w:eastAsia="宋体" w:cs="宋体"/>
          <w:color w:val="000000"/>
          <w:sz w:val="24"/>
        </w:rPr>
        <w:t xml:space="preserve">南京市浦口区江浦街道珠泉西路5号</w:t>
      </w:r>
      <w:r>
        <w:rPr>
          <w:rFonts w:hint="eastAsia" w:ascii="宋体" w:hAnsi="宋体" w:eastAsia="宋体" w:cs="Times New Roman"/>
          <w:color w:val="000000"/>
          <w:sz w:val="24"/>
          <w:szCs w:val="24"/>
          <w:u w:val="none"/>
          <w:lang w:val="en-US" w:eastAsia="zh-CN"/>
        </w:rPr>
        <w:t xml:space="preserve">    </w:t>
      </w:r>
      <w:r/>
    </w:p>
    <w:p>
      <w:pPr>
        <w:ind w:firstLine="480"/>
        <w:pageBreakBefore w:val="0"/>
        <w:spacing w:line="360" w:lineRule="auto"/>
        <w:widowControl w:val="off"/>
        <w:rPr>
          <w:rFonts w:hint="default" w:ascii="宋体" w:hAnsi="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w:t>
      </w:r>
      <w:r>
        <w:rPr>
          <w:rFonts w:hint="eastAsia" w:ascii="宋体" w:hAnsi="宋体" w:cs="Times New Roman"/>
          <w:color w:val="000000"/>
          <w:sz w:val="24"/>
          <w:szCs w:val="24"/>
          <w:u w:val="none"/>
          <w:lang w:val="en-US" w:eastAsia="zh-CN"/>
        </w:rPr>
        <w:t xml:space="preserve"> 周阳</w:t>
      </w:r>
      <w:r/>
    </w:p>
    <w:p>
      <w:pPr>
        <w:ind w:firstLine="480"/>
        <w:pageBreakBefore w:val="0"/>
        <w:spacing w:line="36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联系电话：</w:t>
      </w:r>
      <w:bookmarkStart w:id="40" w:name="_Toc28359086"/>
      <w:r/>
      <w:bookmarkStart w:id="41" w:name="_Toc28359009"/>
      <w:r>
        <w:rPr>
          <w:rFonts w:hint="eastAsia" w:ascii="宋体" w:hAnsi="宋体" w:cs="Times New Roman"/>
          <w:color w:val="000000"/>
          <w:sz w:val="24"/>
          <w:szCs w:val="24"/>
          <w:u w:val="none"/>
          <w:lang w:val="en-US" w:eastAsia="zh-CN"/>
        </w:rPr>
        <w:t xml:space="preserve">13400066182</w:t>
      </w:r>
      <w:r>
        <w:rPr>
          <w:rFonts w:hint="eastAsia" w:ascii="宋体" w:hAnsi="宋体"/>
          <w:color w:val="000000"/>
          <w:sz w:val="24"/>
          <w:szCs w:val="24"/>
          <w:lang w:val="en-US" w:eastAsia="zh-CN"/>
        </w:rPr>
        <w:t xml:space="preserve"> </w:t>
      </w:r>
      <w:r/>
    </w:p>
    <w:p>
      <w:pPr>
        <w:ind w:firstLine="480"/>
        <w:pageBreakBefore w:val="0"/>
        <w:spacing w:line="360"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2.交易中心</w:t>
      </w:r>
      <w:bookmarkEnd w:id="40"/>
      <w:r/>
      <w:bookmarkEnd w:id="41"/>
      <w:r/>
      <w:r/>
    </w:p>
    <w:p>
      <w:pPr>
        <w:ind w:firstLine="480"/>
        <w:pageBreakBefore w:val="0"/>
        <w:spacing w:line="360"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地　址：南京市浦口区象山路4号浦口市民中心B幢五楼受理大厅  　　　　　　　　　　　</w:t>
      </w:r>
      <w:r/>
    </w:p>
    <w:p>
      <w:pPr>
        <w:ind w:firstLine="480"/>
        <w:pageBreakBefore w:val="0"/>
        <w:spacing w:line="360"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联系人：</w:t>
      </w:r>
      <w:r>
        <w:rPr>
          <w:rFonts w:hint="eastAsia" w:ascii="宋体" w:hAnsi="宋体" w:cs="Times New Roman"/>
          <w:sz w:val="24"/>
          <w:szCs w:val="24"/>
          <w:u w:val="none"/>
          <w:lang w:val="en-US" w:eastAsia="zh-CN"/>
        </w:rPr>
        <w:t xml:space="preserve">戴工 </w:t>
      </w:r>
      <w:r>
        <w:rPr>
          <w:rFonts w:hint="eastAsia" w:ascii="宋体" w:hAnsi="宋体" w:eastAsia="宋体" w:cs="Times New Roman"/>
          <w:sz w:val="24"/>
          <w:szCs w:val="24"/>
          <w:u w:val="none"/>
          <w:lang w:val="en-US" w:eastAsia="zh-CN"/>
        </w:rPr>
        <w:t xml:space="preserve">                             </w:t>
      </w:r>
      <w:r/>
    </w:p>
    <w:p>
      <w:pPr>
        <w:ind w:firstLine="480"/>
        <w:pageBreakBefore w:val="0"/>
        <w:spacing w:line="360" w:lineRule="auto"/>
        <w:widowControl w:val="off"/>
        <w:rPr>
          <w:rFonts w:hint="eastAsia"/>
          <w:u w:val="none"/>
        </w:rPr>
      </w:pPr>
      <w:r>
        <w:rPr>
          <w:rFonts w:hint="eastAsia" w:ascii="宋体" w:hAnsi="宋体" w:eastAsia="宋体" w:cs="Times New Roman"/>
          <w:sz w:val="24"/>
          <w:szCs w:val="24"/>
          <w:u w:val="none"/>
          <w:lang w:val="en-US" w:eastAsia="zh-CN"/>
        </w:rPr>
        <w:t xml:space="preserve">联系电话：</w:t>
      </w:r>
      <w:r>
        <w:rPr>
          <w:rFonts w:hint="eastAsia" w:ascii="宋体" w:hAnsi="宋体" w:cs="Times New Roman"/>
          <w:sz w:val="24"/>
          <w:szCs w:val="24"/>
          <w:u w:val="none"/>
          <w:lang w:val="en-US" w:eastAsia="zh-CN"/>
        </w:rPr>
        <w:t xml:space="preserve">025-69659047 </w:t>
      </w:r>
      <w:r>
        <w:rPr>
          <w:rFonts w:hint="eastAsia" w:ascii="宋体" w:hAnsi="宋体" w:eastAsia="宋体" w:cs="Times New Roman"/>
          <w:color w:val="0000ff"/>
          <w:sz w:val="24"/>
          <w:szCs w:val="24"/>
          <w:u w:val="none"/>
          <w:lang w:val="en-US" w:eastAsia="zh-CN"/>
        </w:rPr>
        <w:t xml:space="preserve">  </w:t>
      </w:r>
      <w:r/>
    </w:p>
    <w:p>
      <w:pPr>
        <w:ind w:right="840"/>
        <w:jc w:val="center"/>
        <w:rPr>
          <w:rFonts w:hint="eastAsia" w:ascii="方正小标宋简体" w:hAnsi="方正小标宋简体" w:eastAsia="方正小标宋简体" w:cs="方正小标宋简体"/>
          <w:color w:val="000000"/>
          <w:sz w:val="36"/>
          <w:szCs w:val="36"/>
        </w:rPr>
      </w:pPr>
      <w:r>
        <w:rPr>
          <w:rFonts w:ascii="宋体" w:hAnsi="宋体"/>
          <w:color w:val="000000"/>
          <w:sz w:val="24"/>
          <w:szCs w:val="24"/>
        </w:rPr>
        <w:br w:type="page" w:clear="all"/>
      </w:r>
      <w:bookmarkStart w:id="42" w:name="_Toc120614211"/>
      <w:r>
        <w:rPr>
          <w:rFonts w:hint="eastAsia" w:ascii="方正小标宋简体" w:hAnsi="方正小标宋简体" w:eastAsia="方正小标宋简体" w:cs="方正小标宋简体"/>
          <w:color w:val="000000"/>
          <w:sz w:val="36"/>
          <w:szCs w:val="36"/>
        </w:rPr>
        <w:t xml:space="preserve">第二章  </w:t>
      </w:r>
      <w:bookmarkEnd w:id="1"/>
      <w:r/>
      <w:bookmarkEnd w:id="2"/>
      <w:r/>
      <w:bookmarkEnd w:id="3"/>
      <w:r/>
      <w:bookmarkEnd w:id="4"/>
      <w:r/>
      <w:bookmarkEnd w:id="5"/>
      <w:r/>
      <w:bookmarkEnd w:id="42"/>
      <w:r/>
      <w:bookmarkStart w:id="43" w:name="_Toc20823274"/>
      <w:r/>
      <w:bookmarkStart w:id="44" w:name="_Toc16938518"/>
      <w:r/>
      <w:bookmarkStart w:id="45" w:name="_Toc120614213"/>
      <w:r/>
      <w:bookmarkStart w:id="46" w:name="_Toc513029202"/>
      <w:r>
        <w:rPr>
          <w:rFonts w:hint="eastAsia" w:ascii="方正小标宋简体" w:hAnsi="方正小标宋简体" w:eastAsia="方正小标宋简体" w:cs="方正小标宋简体"/>
          <w:color w:val="000000"/>
          <w:sz w:val="36"/>
          <w:szCs w:val="36"/>
        </w:rPr>
        <w:t xml:space="preserve">投标人须知</w:t>
      </w:r>
      <w:bookmarkEnd w:id="43"/>
      <w:r/>
      <w:bookmarkEnd w:id="44"/>
      <w:r/>
      <w:bookmarkEnd w:id="45"/>
      <w:r/>
      <w:bookmarkEnd w:id="46"/>
      <w:r/>
      <w:r/>
    </w:p>
    <w:p>
      <w:pPr>
        <w:pStyle w:val="88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47" w:name="_Toc120614214"/>
      <w:r/>
      <w:bookmarkStart w:id="48" w:name="_Toc16938519"/>
      <w:r/>
      <w:bookmarkStart w:id="49" w:name="_Toc20823275"/>
      <w:r/>
      <w:bookmarkStart w:id="50" w:name="_Toc513029203"/>
      <w:r/>
      <w:bookmarkStart w:id="51" w:name="_Toc513029242"/>
      <w:r/>
      <w:bookmarkStart w:id="52" w:name="_Toc120614221"/>
      <w:r/>
      <w:bookmarkStart w:id="53" w:name="_Toc479757207"/>
      <w:r/>
      <w:bookmarkStart w:id="54" w:name="_Toc16938558"/>
      <w:r/>
      <w:bookmarkStart w:id="55" w:name="_Toc20823314"/>
      <w:r>
        <w:rPr>
          <w:rFonts w:hint="eastAsia" w:ascii="方正黑体_GBK" w:hAnsi="方正黑体_GBK" w:eastAsia="方正黑体_GBK" w:cs="方正黑体_GBK"/>
          <w:b w:val="0"/>
          <w:bCs w:val="0"/>
          <w:color w:val="000000"/>
          <w:sz w:val="30"/>
          <w:szCs w:val="30"/>
        </w:rPr>
        <w:t xml:space="preserve">一、总则</w:t>
      </w:r>
      <w:bookmarkEnd w:id="47"/>
      <w:r/>
      <w:bookmarkEnd w:id="48"/>
      <w:r/>
      <w:bookmarkEnd w:id="49"/>
      <w:r/>
      <w:bookmarkEnd w:id="50"/>
      <w:r/>
      <w:r/>
    </w:p>
    <w:p>
      <w:pPr>
        <w:pStyle w:val="885"/>
        <w:ind w:firstLine="422"/>
        <w:pageBreakBefore w:val="0"/>
        <w:spacing w:before="0" w:after="0" w:line="240" w:lineRule="auto"/>
        <w:widowControl w:val="off"/>
        <w:rPr>
          <w:rFonts w:hint="eastAsia" w:ascii="方正楷体_GBK" w:hAnsi="方正楷体_GBK" w:eastAsia="方正楷体_GBK" w:cs="方正楷体_GBK"/>
          <w:b/>
          <w:bCs/>
        </w:rPr>
      </w:pPr>
      <w:r/>
      <w:bookmarkStart w:id="56" w:name="_Hlt16619475"/>
      <w:r/>
      <w:bookmarkEnd w:id="56"/>
      <w:r/>
      <w:bookmarkStart w:id="57" w:name="_Toc458694821"/>
      <w:r/>
      <w:bookmarkStart w:id="58" w:name="_Toc20823276"/>
      <w:r/>
      <w:bookmarkStart w:id="59" w:name="_Toc16938520"/>
      <w:r/>
      <w:bookmarkStart w:id="60" w:name="_Toc513029204"/>
      <w:r>
        <w:rPr>
          <w:rFonts w:hint="eastAsia" w:ascii="方正楷体_GBK" w:hAnsi="方正楷体_GBK" w:eastAsia="方正楷体_GBK" w:cs="方正楷体_GBK"/>
          <w:b/>
          <w:bCs/>
        </w:rPr>
        <w:t xml:space="preserve">1</w:t>
      </w:r>
      <w:bookmarkEnd w:id="57"/>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招标方式</w:t>
      </w:r>
      <w:bookmarkEnd w:id="58"/>
      <w:r/>
      <w:bookmarkEnd w:id="59"/>
      <w:r/>
      <w:bookmarkEnd w:id="60"/>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 本次招标采取公开招标方式，本文件仅适用于招标公告中所述项目。</w:t>
      </w:r>
      <w:r/>
    </w:p>
    <w:p>
      <w:pPr>
        <w:pStyle w:val="885"/>
        <w:ind w:firstLine="422"/>
        <w:pageBreakBefore w:val="0"/>
        <w:spacing w:before="0" w:after="0" w:line="240" w:lineRule="auto"/>
        <w:widowControl w:val="off"/>
        <w:rPr>
          <w:rFonts w:hint="eastAsia" w:ascii="方正楷体_GBK" w:hAnsi="方正楷体_GBK" w:eastAsia="方正楷体_GBK" w:cs="方正楷体_GBK"/>
          <w:b/>
          <w:bCs/>
        </w:rPr>
      </w:pPr>
      <w:r/>
      <w:bookmarkStart w:id="61" w:name="_Toc20823277"/>
      <w:r/>
      <w:bookmarkStart w:id="62" w:name="_Toc16938521"/>
      <w:r/>
      <w:bookmarkStart w:id="63" w:name="_Toc513029205"/>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合格的投标人</w:t>
      </w:r>
      <w:bookmarkEnd w:id="61"/>
      <w:r/>
      <w:bookmarkEnd w:id="62"/>
      <w:r/>
      <w:bookmarkEnd w:id="63"/>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满足招标公告</w:t>
      </w:r>
      <w:r>
        <w:rPr>
          <w:rFonts w:hint="eastAsia" w:ascii="宋体" w:hAnsi="宋体" w:eastAsia="宋体" w:cs="Times New Roman"/>
          <w:color w:val="000000"/>
          <w:sz w:val="24"/>
          <w:lang w:eastAsia="zh-CN"/>
        </w:rPr>
        <w:t xml:space="preserve">对</w:t>
      </w:r>
      <w:r>
        <w:rPr>
          <w:rFonts w:hint="eastAsia" w:ascii="宋体" w:hAnsi="宋体" w:eastAsia="宋体" w:cs="Times New Roman"/>
          <w:color w:val="000000"/>
          <w:sz w:val="24"/>
        </w:rPr>
        <w:t xml:space="preserve">供应商资格要求的规定。</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2.2 满足</w:t>
      </w:r>
      <w:r>
        <w:rPr>
          <w:rFonts w:hint="eastAsia" w:ascii="宋体" w:hAnsi="宋体" w:eastAsia="宋体" w:cs="Times New Roman"/>
          <w:color w:val="000000"/>
          <w:sz w:val="24"/>
          <w:lang w:eastAsia="zh-CN"/>
        </w:rPr>
        <w:t xml:space="preserve">招标</w:t>
      </w:r>
      <w:r>
        <w:rPr>
          <w:rFonts w:hint="eastAsia" w:ascii="宋体" w:hAnsi="宋体" w:eastAsia="宋体" w:cs="Times New Roman"/>
          <w:color w:val="000000"/>
          <w:sz w:val="24"/>
        </w:rPr>
        <w:t xml:space="preserve">文件</w:t>
      </w:r>
      <w:r>
        <w:rPr>
          <w:rFonts w:hint="eastAsia" w:ascii="宋体" w:hAnsi="宋体" w:eastAsia="宋体" w:cs="Times New Roman"/>
          <w:color w:val="000000"/>
          <w:sz w:val="24"/>
          <w:lang w:eastAsia="zh-CN"/>
        </w:rPr>
        <w:t xml:space="preserve">规定的</w:t>
      </w:r>
      <w:r>
        <w:rPr>
          <w:rFonts w:hint="eastAsia" w:ascii="宋体" w:hAnsi="宋体" w:eastAsia="宋体" w:cs="Times New Roman"/>
          <w:color w:val="000000"/>
          <w:sz w:val="24"/>
        </w:rPr>
        <w:t xml:space="preserve">实质性要求和条件。</w:t>
      </w:r>
      <w:r/>
    </w:p>
    <w:p>
      <w:pPr>
        <w:pStyle w:val="885"/>
        <w:ind w:firstLine="422"/>
        <w:pageBreakBefore w:val="0"/>
        <w:spacing w:before="0" w:after="0" w:line="240" w:lineRule="auto"/>
        <w:widowControl w:val="off"/>
        <w:rPr>
          <w:rFonts w:hint="eastAsia" w:ascii="方正楷体_GBK" w:hAnsi="方正楷体_GBK" w:eastAsia="方正楷体_GBK" w:cs="方正楷体_GBK"/>
          <w:b/>
          <w:bCs/>
        </w:rPr>
      </w:pPr>
      <w:r/>
      <w:bookmarkStart w:id="64" w:name="_Toc20823278"/>
      <w:r/>
      <w:bookmarkStart w:id="65" w:name="_Toc513029206"/>
      <w:r/>
      <w:bookmarkStart w:id="66" w:name="_Toc16938522"/>
      <w:r>
        <w:rPr>
          <w:rFonts w:hint="eastAsia" w:ascii="方正楷体_GBK" w:hAnsi="方正楷体_GBK" w:eastAsia="方正楷体_GBK" w:cs="方正楷体_GBK"/>
          <w:b/>
          <w:bCs/>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适用法律</w:t>
      </w:r>
      <w:bookmarkEnd w:id="64"/>
      <w:r/>
      <w:bookmarkEnd w:id="65"/>
      <w:r/>
      <w:bookmarkEnd w:id="66"/>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3.1 本次招标及由此产生的合同受中华人民共和国有关的法律法规制约和保护。</w:t>
      </w:r>
      <w:r/>
    </w:p>
    <w:p>
      <w:pPr>
        <w:pStyle w:val="885"/>
        <w:ind w:firstLine="422"/>
        <w:pageBreakBefore w:val="0"/>
        <w:spacing w:before="0" w:after="0" w:line="240" w:lineRule="auto"/>
        <w:widowControl w:val="off"/>
        <w:rPr>
          <w:rFonts w:hint="eastAsia" w:ascii="方正楷体_GBK" w:hAnsi="方正楷体_GBK" w:eastAsia="方正楷体_GBK" w:cs="方正楷体_GBK"/>
          <w:b/>
          <w:bCs/>
        </w:rPr>
      </w:pPr>
      <w:r/>
      <w:bookmarkStart w:id="67" w:name="_Toc513029207"/>
      <w:r/>
      <w:bookmarkStart w:id="68" w:name="_Toc462564067"/>
      <w:r/>
      <w:bookmarkStart w:id="69" w:name="_Toc16938523"/>
      <w:r/>
      <w:bookmarkStart w:id="70" w:name="_Toc20823279"/>
      <w:r>
        <w:rPr>
          <w:rFonts w:hint="eastAsia" w:ascii="方正楷体_GBK" w:hAnsi="方正楷体_GBK" w:eastAsia="方正楷体_GBK" w:cs="方正楷体_GBK"/>
          <w:b/>
          <w:bCs/>
        </w:rPr>
        <w:t xml:space="preserve">4</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投标费用</w:t>
      </w:r>
      <w:bookmarkEnd w:id="67"/>
      <w:r/>
      <w:bookmarkEnd w:id="68"/>
      <w:r/>
      <w:bookmarkEnd w:id="69"/>
      <w:r/>
      <w:bookmarkEnd w:id="70"/>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4.1 投标人应自行承担所有与参加投标有关的费用，无论投标过程中的做法和结果如何，</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本次招标</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和采购人不收取标书工本费与中标服务费。</w:t>
      </w:r>
      <w:r/>
    </w:p>
    <w:p>
      <w:pPr>
        <w:pStyle w:val="885"/>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招标文件的约束力</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5.1 投标人一旦参加本项目采购活动，即被认为接受了本文件的规定和约束。</w:t>
      </w:r>
      <w:r/>
    </w:p>
    <w:p>
      <w:pPr>
        <w:pStyle w:val="88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71" w:name="_Toc16938525"/>
      <w:r/>
      <w:bookmarkStart w:id="72" w:name="_Toc120614215"/>
      <w:r/>
      <w:bookmarkStart w:id="73" w:name="_Toc513029209"/>
      <w:r/>
      <w:bookmarkStart w:id="74" w:name="_Toc20823281"/>
      <w:r>
        <w:rPr>
          <w:rFonts w:hint="eastAsia" w:ascii="方正黑体_GBK" w:hAnsi="方正黑体_GBK" w:eastAsia="方正黑体_GBK" w:cs="方正黑体_GBK"/>
          <w:b w:val="0"/>
          <w:bCs w:val="0"/>
          <w:color w:val="000000"/>
          <w:sz w:val="30"/>
          <w:szCs w:val="30"/>
        </w:rPr>
        <w:t xml:space="preserve">二、招标文件</w:t>
      </w:r>
      <w:bookmarkEnd w:id="71"/>
      <w:r/>
      <w:bookmarkEnd w:id="72"/>
      <w:r/>
      <w:bookmarkEnd w:id="73"/>
      <w:r/>
      <w:bookmarkEnd w:id="74"/>
      <w:r/>
      <w:r/>
    </w:p>
    <w:p>
      <w:pPr>
        <w:pStyle w:val="885"/>
        <w:ind w:firstLine="422"/>
        <w:pageBreakBefore w:val="0"/>
        <w:spacing w:before="0" w:after="0" w:line="240" w:lineRule="auto"/>
        <w:widowControl w:val="off"/>
        <w:rPr>
          <w:rFonts w:hint="eastAsia" w:ascii="方正楷体_GBK" w:hAnsi="方正楷体_GBK" w:eastAsia="方正楷体_GBK" w:cs="方正楷体_GBK"/>
          <w:b/>
          <w:bCs/>
        </w:rPr>
      </w:pPr>
      <w:r/>
      <w:bookmarkStart w:id="75" w:name="_Toc16938526"/>
      <w:r/>
      <w:bookmarkStart w:id="76" w:name="_Toc513029210"/>
      <w:r/>
      <w:bookmarkStart w:id="77" w:name="_Toc20823282"/>
      <w:r>
        <w:rPr>
          <w:rFonts w:hint="eastAsia" w:ascii="方正楷体_GBK" w:hAnsi="方正楷体_GBK" w:eastAsia="方正楷体_GBK" w:cs="方正楷体_GBK"/>
          <w:b/>
          <w:bCs/>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招标文件构成</w:t>
      </w:r>
      <w:bookmarkEnd w:id="75"/>
      <w:r/>
      <w:bookmarkEnd w:id="76"/>
      <w:r/>
      <w:bookmarkEnd w:id="77"/>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6.1 招标文件由以下部分组成：</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（1）投标邀请</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（2）投标人须知</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（5）评标方法与评标标准</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（6）投标文件格式</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投标人应</w:t>
      </w:r>
      <w:r>
        <w:rPr>
          <w:rFonts w:hint="eastAsia" w:ascii="宋体" w:hAnsi="宋体" w:eastAsia="宋体" w:cs="Times New Roman"/>
          <w:color w:val="000000"/>
          <w:sz w:val="24"/>
        </w:rPr>
        <w:t xml:space="preserve">仔细检查招标文件是否齐全，如有缺漏请立即与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联系。</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85"/>
        <w:ind w:firstLine="422"/>
        <w:pageBreakBefore w:val="0"/>
        <w:spacing w:before="0" w:after="0" w:line="240" w:lineRule="auto"/>
        <w:widowControl w:val="off"/>
        <w:rPr>
          <w:rFonts w:hint="eastAsia" w:ascii="方正楷体_GBK" w:hAnsi="方正楷体_GBK" w:eastAsia="方正楷体_GBK" w:cs="方正楷体_GBK"/>
          <w:b/>
          <w:bCs/>
        </w:rPr>
      </w:pPr>
      <w:r/>
      <w:bookmarkStart w:id="78" w:name="_Toc513029211"/>
      <w:r/>
      <w:bookmarkStart w:id="79" w:name="_Toc16938527"/>
      <w:r/>
      <w:bookmarkStart w:id="80" w:name="_Toc20823283"/>
      <w:r/>
      <w:bookmarkStart w:id="81" w:name="_Toc462564070"/>
      <w:r>
        <w:rPr>
          <w:rFonts w:hint="eastAsia" w:ascii="方正楷体_GBK" w:hAnsi="方正楷体_GBK" w:eastAsia="方正楷体_GBK" w:cs="方正楷体_GBK"/>
          <w:b/>
          <w:bCs/>
        </w:rPr>
        <w:t xml:space="preserve">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招标文件的澄清</w:t>
      </w:r>
      <w:bookmarkEnd w:id="78"/>
      <w:r/>
      <w:bookmarkEnd w:id="79"/>
      <w:r/>
      <w:bookmarkEnd w:id="80"/>
      <w:r/>
      <w:bookmarkEnd w:id="81"/>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7.1 任何要求对招标文件进行澄清的投标人，应在投标截止期十日前按招标公告中的通讯地址，以书面形式通知</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w:t>
      </w:r>
      <w:r/>
    </w:p>
    <w:p>
      <w:pPr>
        <w:pStyle w:val="885"/>
        <w:ind w:firstLine="422"/>
        <w:pageBreakBefore w:val="0"/>
        <w:spacing w:before="0" w:after="0" w:line="240" w:lineRule="auto"/>
        <w:widowControl w:val="off"/>
        <w:rPr>
          <w:rFonts w:hint="eastAsia" w:ascii="方正楷体_GBK" w:hAnsi="方正楷体_GBK" w:eastAsia="方正楷体_GBK" w:cs="方正楷体_GBK"/>
          <w:b/>
          <w:bCs/>
        </w:rPr>
      </w:pPr>
      <w:r/>
      <w:bookmarkStart w:id="82" w:name="_Toc16938528"/>
      <w:r/>
      <w:bookmarkStart w:id="83" w:name="_Toc20823284"/>
      <w:r/>
      <w:bookmarkStart w:id="84" w:name="_Toc462564071"/>
      <w:r/>
      <w:bookmarkStart w:id="85" w:name="_Toc513029212"/>
      <w:r>
        <w:rPr>
          <w:rFonts w:hint="eastAsia" w:ascii="方正楷体_GBK" w:hAnsi="方正楷体_GBK" w:eastAsia="方正楷体_GBK" w:cs="方正楷体_GBK"/>
          <w:b/>
          <w:bCs/>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招标文件的修改</w:t>
      </w:r>
      <w:bookmarkEnd w:id="82"/>
      <w:r/>
      <w:bookmarkEnd w:id="83"/>
      <w:r/>
      <w:bookmarkEnd w:id="84"/>
      <w:r/>
      <w:bookmarkEnd w:id="85"/>
      <w:r/>
      <w:r/>
    </w:p>
    <w:p>
      <w:pPr>
        <w:ind w:firstLine="420"/>
        <w:keepLines w:val="0"/>
        <w:keepNext w:val="0"/>
        <w:pageBreakBefore w:val="0"/>
        <w:spacing w:line="240" w:lineRule="auto"/>
        <w:widowControl w:val="off"/>
        <w:rPr>
          <w:rFonts w:hint="eastAsia" w:ascii="宋体" w:hAnsi="宋体" w:eastAsia="宋体" w:cs="Times New Roman"/>
          <w:color w:val="000000"/>
          <w:sz w:val="24"/>
        </w:rPr>
      </w:pPr>
      <w:r/>
      <w:bookmarkStart w:id="86" w:name="_Toc462564072"/>
      <w:r/>
      <w:bookmarkStart w:id="87" w:name="_Toc16938529"/>
      <w:r/>
      <w:bookmarkStart w:id="88" w:name="_Toc120614216"/>
      <w:r/>
      <w:bookmarkStart w:id="89" w:name="_Toc513029213"/>
      <w:r/>
      <w:bookmarkStart w:id="90" w:name="_Toc20823285"/>
      <w:r>
        <w:rPr>
          <w:rFonts w:hint="eastAsia" w:ascii="宋体" w:hAnsi="宋体" w:eastAsia="宋体" w:cs="Times New Roman"/>
          <w:color w:val="000000"/>
          <w:sz w:val="24"/>
        </w:rPr>
        <w:t xml:space="preserve">8.1 在投标截止时间前，交易中心可以对招标文件进行修改。招标文件的修改将在原公告媒体发布更正公告，更正内容将作为招标文件的组成部分，并对投标人具有约束力。</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投标人应在提交投标文件截止时间前，关注原公告媒体有关本项目的更正公告，根据更正公告内容自行决定是否需要重新制作和提交投标文件，并承担由此产生的相应责任。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交易中心有权按照法定的要求推迟投标截止日期和开标日期，并在原公告媒体发布更正公告。</w:t>
      </w:r>
      <w:r/>
    </w:p>
    <w:p>
      <w:pPr>
        <w:pStyle w:val="88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三、投标文件的编制</w:t>
      </w:r>
      <w:bookmarkEnd w:id="86"/>
      <w:r/>
      <w:bookmarkEnd w:id="87"/>
      <w:r/>
      <w:bookmarkEnd w:id="88"/>
      <w:r/>
      <w:bookmarkEnd w:id="89"/>
      <w:r/>
      <w:bookmarkEnd w:id="90"/>
      <w:r/>
      <w:r/>
    </w:p>
    <w:p>
      <w:pPr>
        <w:pStyle w:val="885"/>
        <w:ind w:firstLine="422"/>
        <w:pageBreakBefore w:val="0"/>
        <w:spacing w:before="0" w:after="0" w:line="240" w:lineRule="auto"/>
        <w:widowControl w:val="off"/>
        <w:rPr>
          <w:rFonts w:hint="eastAsia" w:ascii="方正楷体_GBK" w:hAnsi="方正楷体_GBK" w:eastAsia="方正楷体_GBK" w:cs="方正楷体_GBK"/>
          <w:b/>
          <w:bCs/>
        </w:rPr>
      </w:pPr>
      <w:r/>
      <w:bookmarkStart w:id="91" w:name="_Toc16938530"/>
      <w:r/>
      <w:bookmarkStart w:id="92" w:name="_Toc462564073"/>
      <w:r/>
      <w:bookmarkStart w:id="93" w:name="_Toc20823286"/>
      <w:r/>
      <w:bookmarkStart w:id="94" w:name="_Toc513029214"/>
      <w:r>
        <w:rPr>
          <w:rFonts w:hint="eastAsia" w:ascii="方正楷体_GBK" w:hAnsi="方正楷体_GBK" w:eastAsia="方正楷体_GBK" w:cs="方正楷体_GBK"/>
          <w:b/>
          <w:bCs/>
        </w:rPr>
        <w:t xml:space="preserve">9</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投标文件的语言及度量衡单位</w:t>
      </w:r>
      <w:bookmarkEnd w:id="91"/>
      <w:r/>
      <w:bookmarkEnd w:id="92"/>
      <w:r/>
      <w:bookmarkEnd w:id="93"/>
      <w:r/>
      <w:bookmarkEnd w:id="94"/>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9.1 投标人提交的投标文件以及投标人与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就有关投标的所有来往通知、函件和文件均应使用简体中文。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9.2 除技术性能另有规定外，投标文件所使用的度量衡单位，均须采用国家法定计量单位。</w:t>
      </w:r>
      <w:r/>
    </w:p>
    <w:p>
      <w:pPr>
        <w:pStyle w:val="885"/>
        <w:ind w:firstLine="422"/>
        <w:pageBreakBefore w:val="0"/>
        <w:spacing w:before="0" w:after="0" w:line="240" w:lineRule="auto"/>
        <w:widowControl w:val="off"/>
        <w:rPr>
          <w:rFonts w:hint="eastAsia" w:ascii="方正楷体_GBK" w:hAnsi="方正楷体_GBK" w:eastAsia="方正楷体_GBK" w:cs="方正楷体_GBK"/>
          <w:b/>
          <w:bCs/>
        </w:rPr>
      </w:pPr>
      <w:r/>
      <w:bookmarkStart w:id="95" w:name="_Toc462564074"/>
      <w:r/>
      <w:bookmarkStart w:id="96" w:name="_Toc20823287"/>
      <w:r/>
      <w:bookmarkStart w:id="97" w:name="_Toc513029215"/>
      <w:r/>
      <w:bookmarkStart w:id="98" w:name="_Toc16938531"/>
      <w:r>
        <w:rPr>
          <w:rFonts w:hint="eastAsia" w:ascii="方正楷体_GBK" w:hAnsi="方正楷体_GBK" w:eastAsia="方正楷体_GBK" w:cs="方正楷体_GBK"/>
          <w:b/>
          <w:bCs/>
        </w:rPr>
        <w:t xml:space="preserve">10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投标文件构成</w:t>
      </w:r>
      <w:bookmarkEnd w:id="95"/>
      <w:r/>
      <w:bookmarkEnd w:id="96"/>
      <w:r/>
      <w:bookmarkEnd w:id="97"/>
      <w:r/>
      <w:bookmarkEnd w:id="98"/>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10.1 投标人编写的投标文件应包括资格证明文件、符合性证明文件、投标分项报价表、响应及偏离表、其他证明文件、投标函、开标一览表等部分。</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10.2 如标书制作工具中格式和内容与“江苏政府采购网”发布的招标文件不一致，</w:t>
      </w:r>
      <w:r>
        <w:rPr>
          <w:rFonts w:hint="eastAsia" w:ascii="宋体" w:hAnsi="宋体" w:eastAsia="宋体" w:cs="Times New Roman"/>
          <w:b w:val="0"/>
          <w:bCs w:val="0"/>
          <w:i w:val="0"/>
          <w:iCs w:val="0"/>
          <w:color w:val="000000"/>
          <w:sz w:val="24"/>
          <w:u w:val="none"/>
        </w:rPr>
        <w:t xml:space="preserve">以“江苏政府采购网”发布的招标文件为准。</w:t>
      </w:r>
      <w:r/>
    </w:p>
    <w:p>
      <w:pPr>
        <w:pStyle w:val="885"/>
        <w:ind w:firstLine="422"/>
        <w:pageBreakBefore w:val="0"/>
        <w:spacing w:before="0" w:after="0" w:line="240" w:lineRule="auto"/>
        <w:widowControl w:val="off"/>
        <w:rPr>
          <w:rFonts w:hint="eastAsia" w:ascii="方正楷体_GBK" w:hAnsi="方正楷体_GBK" w:eastAsia="方正楷体_GBK" w:cs="方正楷体_GBK"/>
          <w:b/>
          <w:bCs/>
        </w:rPr>
      </w:pPr>
      <w:r/>
      <w:bookmarkStart w:id="99" w:name="_Hlt26954838"/>
      <w:r/>
      <w:bookmarkEnd w:id="99"/>
      <w:r/>
      <w:bookmarkStart w:id="100" w:name="_Hlt26670360"/>
      <w:r/>
      <w:bookmarkEnd w:id="100"/>
      <w:r/>
      <w:bookmarkStart w:id="101" w:name="_Hlt26668975"/>
      <w:r/>
      <w:bookmarkEnd w:id="101"/>
      <w:r/>
      <w:bookmarkStart w:id="102" w:name="_Toc49090509"/>
      <w:r/>
      <w:bookmarkStart w:id="103" w:name="_Toc14577357"/>
      <w:r/>
      <w:bookmarkStart w:id="104" w:name="_Toc513029219"/>
      <w:r/>
      <w:bookmarkStart w:id="105" w:name="_Toc49090507"/>
      <w:r/>
      <w:bookmarkStart w:id="106" w:name="_Toc513029216"/>
      <w:r/>
      <w:bookmarkStart w:id="107" w:name="_Toc14577354"/>
      <w:r>
        <w:rPr>
          <w:rFonts w:hint="eastAsia" w:ascii="方正楷体_GBK" w:hAnsi="方正楷体_GBK" w:eastAsia="方正楷体_GBK" w:cs="方正楷体_GBK"/>
          <w:b/>
          <w:bCs/>
        </w:rPr>
        <w:t xml:space="preserve">11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证明投标人及投标标的符合招标文件规定的文件</w:t>
      </w:r>
      <w:bookmarkEnd w:id="102"/>
      <w:r/>
      <w:bookmarkEnd w:id="103"/>
      <w:r/>
      <w:bookmarkEnd w:id="104"/>
      <w:r/>
      <w:bookmarkEnd w:id="105"/>
      <w:r/>
      <w:bookmarkEnd w:id="106"/>
      <w:r/>
      <w:bookmarkEnd w:id="107"/>
      <w:r/>
      <w:r/>
    </w:p>
    <w:p>
      <w:pPr>
        <w:ind w:firstLine="420"/>
        <w:keepLines w:val="0"/>
        <w:keepNext w:val="0"/>
        <w:pageBreakBefore w:val="0"/>
        <w:spacing w:line="240" w:lineRule="auto"/>
        <w:widowControl w:val="off"/>
        <w:rPr>
          <w:rFonts w:hint="eastAsia" w:ascii="宋体" w:hAnsi="宋体" w:eastAsia="宋体" w:cs="Times New Roman"/>
          <w:color w:val="000000"/>
          <w:sz w:val="24"/>
        </w:rPr>
      </w:pPr>
      <w:r/>
      <w:bookmarkStart w:id="108" w:name="_Toc49090508"/>
      <w:r/>
      <w:bookmarkStart w:id="109" w:name="_Toc14577355"/>
      <w:r>
        <w:rPr>
          <w:rFonts w:hint="eastAsia" w:ascii="宋体" w:hAnsi="宋体" w:eastAsia="宋体" w:cs="Times New Roman"/>
          <w:color w:val="000000"/>
          <w:sz w:val="24"/>
        </w:rPr>
        <w:t xml:space="preserve">11.1 投标人应按照法律、法规、规章和规范性文件以及招标文件要求提交证明文件，证明其投标标的符合招标文件规定。</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招标文件对证明文件无明确形式要求的，证明文件可以以文字资料、图纸和数据等形式提交。</w:t>
      </w:r>
      <w:r/>
    </w:p>
    <w:p>
      <w:pPr>
        <w:pStyle w:val="885"/>
        <w:ind w:firstLine="422"/>
        <w:pageBreakBefore w:val="0"/>
        <w:spacing w:before="0" w:after="0" w:line="240" w:lineRule="auto"/>
        <w:widowControl w:val="off"/>
        <w:rPr>
          <w:rFonts w:hint="eastAsia" w:ascii="方正楷体_GBK" w:hAnsi="方正楷体_GBK" w:eastAsia="方正楷体_GBK" w:cs="方正楷体_GBK"/>
          <w:b/>
          <w:bCs/>
          <w:lang w:eastAsia="zh-CN"/>
        </w:rPr>
      </w:pPr>
      <w:r>
        <w:rPr>
          <w:rFonts w:hint="eastAsia" w:ascii="方正楷体_GBK" w:hAnsi="方正楷体_GBK" w:eastAsia="方正楷体_GBK" w:cs="方正楷体_GBK"/>
          <w:b/>
          <w:bCs/>
        </w:rPr>
        <w:t xml:space="preserve">12</w:t>
      </w:r>
      <w:r>
        <w:rPr>
          <w:rFonts w:hint="eastAsia" w:ascii="方正楷体_GBK" w:hAnsi="方正楷体_GBK" w:eastAsia="方正楷体_GBK" w:cs="方正楷体_GBK"/>
          <w:b/>
          <w:bCs/>
          <w:lang w:val="en-US" w:eastAsia="zh-CN"/>
        </w:rPr>
        <w:t xml:space="preserve">.</w:t>
      </w:r>
      <w:bookmarkEnd w:id="108"/>
      <w:r/>
      <w:bookmarkEnd w:id="109"/>
      <w:r>
        <w:rPr>
          <w:rFonts w:hint="eastAsia" w:ascii="方正楷体_GBK" w:hAnsi="方正楷体_GBK" w:eastAsia="方正楷体_GBK" w:cs="方正楷体_GBK"/>
          <w:b/>
          <w:bCs/>
          <w:lang w:val="en-US" w:eastAsia="zh-CN"/>
        </w:rPr>
        <w:t xml:space="preserve">投标报价明细表</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12.1 投</w:t>
      </w:r>
      <w:bookmarkStart w:id="110" w:name="_Hlt26954840"/>
      <w:r/>
      <w:bookmarkEnd w:id="110"/>
      <w:r>
        <w:rPr>
          <w:rFonts w:hint="eastAsia" w:ascii="宋体" w:hAnsi="宋体" w:eastAsia="宋体" w:cs="Times New Roman"/>
          <w:color w:val="000000"/>
          <w:sz w:val="24"/>
        </w:rPr>
        <w:t xml:space="preserve">标人应按照招标文件规定格式填报投标分项报价表</w:t>
      </w:r>
      <w:bookmarkStart w:id="111" w:name="_Hlt26670399"/>
      <w:r/>
      <w:bookmarkEnd w:id="111"/>
      <w:r>
        <w:rPr>
          <w:rFonts w:hint="eastAsia" w:ascii="宋体" w:hAnsi="宋体" w:eastAsia="宋体" w:cs="Times New Roman"/>
          <w:color w:val="000000"/>
          <w:sz w:val="24"/>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投标文件中的单价和总价无特殊规定的采用人民币报价，以元为单位标注。招标文件另有规定的按规定执行。</w:t>
      </w:r>
      <w:r/>
    </w:p>
    <w:p>
      <w:pPr>
        <w:pStyle w:val="885"/>
        <w:ind w:firstLine="422"/>
        <w:pageBreakBefore w:val="0"/>
        <w:spacing w:before="0" w:after="0" w:line="240" w:lineRule="auto"/>
        <w:widowControl w:val="off"/>
        <w:rPr>
          <w:rFonts w:hint="eastAsia" w:ascii="方正楷体_GBK" w:hAnsi="方正楷体_GBK" w:eastAsia="方正楷体_GBK" w:cs="方正楷体_GBK"/>
          <w:b/>
          <w:bCs/>
        </w:rPr>
      </w:pPr>
      <w:r/>
      <w:bookmarkStart w:id="112" w:name="_Hlt26668983"/>
      <w:r/>
      <w:bookmarkEnd w:id="112"/>
      <w:r/>
      <w:bookmarkStart w:id="113" w:name="_Hlt26954846"/>
      <w:r/>
      <w:bookmarkEnd w:id="113"/>
      <w:r/>
      <w:bookmarkStart w:id="114" w:name="_Hlt26670403"/>
      <w:r/>
      <w:bookmarkEnd w:id="114"/>
      <w:r/>
      <w:bookmarkStart w:id="115" w:name="_Hlt26670482"/>
      <w:r/>
      <w:bookmarkEnd w:id="115"/>
      <w:r/>
      <w:bookmarkStart w:id="116" w:name="_Hlt26670486"/>
      <w:r/>
      <w:bookmarkEnd w:id="116"/>
      <w:r/>
      <w:bookmarkStart w:id="117" w:name="_Hlt26954848"/>
      <w:r/>
      <w:bookmarkEnd w:id="117"/>
      <w:r/>
      <w:bookmarkStart w:id="118" w:name="_Hlt26954844"/>
      <w:r/>
      <w:bookmarkEnd w:id="118"/>
      <w:r/>
      <w:bookmarkStart w:id="119" w:name="_Hlt26954731"/>
      <w:r/>
      <w:bookmarkEnd w:id="119"/>
      <w:r/>
      <w:bookmarkStart w:id="120" w:name="_Hlt26670425"/>
      <w:r/>
      <w:bookmarkEnd w:id="120"/>
      <w:r/>
      <w:bookmarkStart w:id="121" w:name="_Hlt26954842"/>
      <w:r/>
      <w:bookmarkEnd w:id="121"/>
      <w:r>
        <w:rPr>
          <w:rFonts w:hint="eastAsia" w:ascii="方正楷体_GBK" w:hAnsi="方正楷体_GBK" w:eastAsia="方正楷体_GBK" w:cs="方正楷体_GBK"/>
          <w:b/>
          <w:bCs/>
        </w:rPr>
        <w:t xml:space="preserve">13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响应及偏离表</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13.1 投标人需对招标文件中的技术要求与商务要求逐项作出响应或偏离说明。</w:t>
      </w:r>
      <w:r/>
    </w:p>
    <w:p>
      <w:pPr>
        <w:ind w:firstLine="420"/>
        <w:keepLines w:val="0"/>
        <w:keepNext w:val="0"/>
        <w:pageBreakBefore w:val="0"/>
        <w:spacing w:line="240" w:lineRule="auto"/>
        <w:widowControl w:val="off"/>
        <w:rPr>
          <w:rFonts w:hint="eastAsia" w:ascii="宋体" w:hAnsi="宋体" w:eastAsia="宋体" w:cs="Times New Roman"/>
          <w:sz w:val="24"/>
          <w:lang w:val="zh-CN"/>
        </w:rPr>
      </w:pPr>
      <w:r>
        <w:rPr>
          <w:rFonts w:hint="eastAsia" w:ascii="宋体" w:hAnsi="宋体" w:eastAsia="宋体" w:cs="Times New Roman"/>
          <w:color w:val="000000"/>
          <w:sz w:val="24"/>
          <w:lang w:val="zh-CN"/>
        </w:rPr>
        <w:t xml:space="preserve">13.2 投标人可以在投标文件中提供认为需要的其他技术文件或说明。</w:t>
      </w:r>
      <w:r/>
    </w:p>
    <w:p>
      <w:pPr>
        <w:pStyle w:val="885"/>
        <w:ind w:firstLine="422"/>
        <w:pageBreakBefore w:val="0"/>
        <w:spacing w:before="0" w:after="0" w:line="240" w:lineRule="auto"/>
        <w:widowControl w:val="off"/>
        <w:rPr>
          <w:rFonts w:hint="eastAsia" w:ascii="方正楷体_GBK" w:hAnsi="方正楷体_GBK" w:eastAsia="方正楷体_GBK" w:cs="方正楷体_GBK"/>
          <w:b/>
          <w:bCs/>
        </w:rPr>
      </w:pPr>
      <w:r/>
      <w:bookmarkStart w:id="122" w:name="_Toc14577359"/>
      <w:r/>
      <w:bookmarkStart w:id="123" w:name="_Toc49090510"/>
      <w:r>
        <w:rPr>
          <w:rFonts w:hint="eastAsia" w:ascii="方正楷体_GBK" w:hAnsi="方正楷体_GBK" w:eastAsia="方正楷体_GBK" w:cs="方正楷体_GBK"/>
          <w:b/>
          <w:bCs/>
        </w:rPr>
        <w:t xml:space="preserve">14</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投标函和开标一览表</w:t>
      </w:r>
      <w:r>
        <w:rPr>
          <w:rFonts w:hint="eastAsia" w:ascii="方正楷体_GBK" w:hAnsi="方正楷体_GBK" w:eastAsia="方正楷体_GBK" w:cs="方正楷体_GBK"/>
          <w:b/>
          <w:bCs/>
          <w:lang w:val="en-US" w:eastAsia="zh-CN"/>
        </w:rPr>
        <w:t xml:space="preserve">及核心产品品牌一览表</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14.1 投标人应按照招标文件规定格式完整、正确填报投标函、开标一览表及</w:t>
      </w:r>
      <w:r>
        <w:rPr>
          <w:rFonts w:hint="eastAsia" w:ascii="宋体" w:hAnsi="宋体" w:eastAsia="宋体" w:cs="Times New Roman"/>
          <w:color w:val="000000"/>
          <w:sz w:val="24"/>
          <w:lang w:val="zh-CN" w:eastAsia="zh-CN"/>
        </w:rPr>
        <w:t xml:space="preserve">核心产品品牌一</w:t>
      </w:r>
      <w:r>
        <w:rPr>
          <w:rFonts w:hint="eastAsia" w:ascii="宋体" w:hAnsi="宋体" w:eastAsia="宋体" w:cs="Times New Roman"/>
          <w:color w:val="000000"/>
          <w:sz w:val="24"/>
          <w:lang w:val="zh-CN"/>
        </w:rPr>
        <w:t xml:space="preserve">览表</w:t>
      </w:r>
      <w:r>
        <w:rPr>
          <w:rFonts w:hint="eastAsia" w:ascii="宋体" w:hAnsi="宋体" w:eastAsia="宋体" w:cs="Times New Roman"/>
          <w:color w:val="000000"/>
          <w:sz w:val="24"/>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14.2 对于采用货币报价的项目，开标一览表中的投标总报价应与投标分项报价表中的投标总报价一致，如不一致评标时</w:t>
      </w:r>
      <w:r>
        <w:rPr>
          <w:rFonts w:hint="eastAsia" w:ascii="宋体" w:hAnsi="宋体" w:eastAsia="宋体" w:cs="Times New Roman"/>
          <w:color w:val="000000"/>
          <w:sz w:val="24"/>
          <w:lang w:val="en-US" w:eastAsia="zh-CN"/>
        </w:rPr>
        <w:t xml:space="preserve">以</w:t>
      </w:r>
      <w:r>
        <w:rPr>
          <w:rFonts w:hint="eastAsia" w:ascii="宋体" w:hAnsi="宋体" w:eastAsia="宋体" w:cs="Times New Roman"/>
          <w:color w:val="000000"/>
          <w:sz w:val="24"/>
          <w:lang w:val="zh-CN"/>
        </w:rPr>
        <w:t xml:space="preserve">开标一览表中价格为准。</w:t>
      </w:r>
      <w:r/>
    </w:p>
    <w:p>
      <w:pPr>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14.3 核心产品品牌一</w:t>
      </w:r>
      <w:r>
        <w:rPr>
          <w:rFonts w:hint="eastAsia" w:ascii="宋体" w:hAnsi="宋体" w:eastAsia="宋体" w:cs="Times New Roman"/>
          <w:color w:val="000000"/>
          <w:sz w:val="24"/>
          <w:lang w:val="zh-CN"/>
        </w:rPr>
        <w:t xml:space="preserve">览表中</w:t>
      </w:r>
      <w:r>
        <w:rPr>
          <w:rFonts w:hint="eastAsia" w:ascii="宋体" w:hAnsi="宋体" w:eastAsia="宋体" w:cs="Times New Roman"/>
          <w:color w:val="000000"/>
          <w:sz w:val="24"/>
          <w:lang w:val="zh-CN" w:eastAsia="zh-CN"/>
        </w:rPr>
        <w:t xml:space="preserve">所投核心产品品牌缺项的将</w:t>
      </w:r>
      <w:r>
        <w:rPr>
          <w:rFonts w:hint="eastAsia" w:ascii="宋体" w:hAnsi="宋体" w:eastAsia="宋体" w:cs="Times New Roman"/>
          <w:color w:val="000000"/>
          <w:sz w:val="24"/>
          <w:lang w:val="zh-CN"/>
        </w:rPr>
        <w:t xml:space="preserve">视为无效投标。</w:t>
      </w:r>
      <w:bookmarkEnd w:id="122"/>
      <w:r/>
      <w:bookmarkEnd w:id="123"/>
      <w:r/>
      <w:r/>
    </w:p>
    <w:p>
      <w:pPr>
        <w:pStyle w:val="885"/>
        <w:ind w:firstLine="422"/>
        <w:pageBreakBefore w:val="0"/>
        <w:spacing w:before="0" w:after="0" w:line="240" w:lineRule="auto"/>
        <w:widowControl w:val="off"/>
        <w:rPr>
          <w:rFonts w:hint="eastAsia" w:ascii="方正楷体_GBK" w:hAnsi="方正楷体_GBK" w:eastAsia="方正楷体_GBK" w:cs="方正楷体_GBK"/>
          <w:b/>
          <w:bCs/>
        </w:rPr>
      </w:pPr>
      <w:r/>
      <w:bookmarkStart w:id="124" w:name="_Hlt26954734"/>
      <w:r/>
      <w:bookmarkEnd w:id="124"/>
      <w:r/>
      <w:bookmarkStart w:id="125" w:name="_Hlt26670489"/>
      <w:r/>
      <w:bookmarkEnd w:id="125"/>
      <w:r/>
      <w:bookmarkStart w:id="126" w:name="_Hlt26954850"/>
      <w:r/>
      <w:bookmarkEnd w:id="126"/>
      <w:r/>
      <w:bookmarkStart w:id="127" w:name="_Toc49090511"/>
      <w:r/>
      <w:bookmarkStart w:id="128" w:name="_Toc14577360"/>
      <w:r>
        <w:rPr>
          <w:rFonts w:hint="eastAsia" w:ascii="方正楷体_GBK" w:hAnsi="方正楷体_GBK" w:eastAsia="方正楷体_GBK" w:cs="方正楷体_GBK"/>
          <w:b/>
          <w:bCs/>
        </w:rPr>
        <w:t xml:space="preserve">15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投标有效期</w:t>
      </w:r>
      <w:bookmarkEnd w:id="127"/>
      <w:r/>
      <w:bookmarkEnd w:id="128"/>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15.1 投标有效期为</w:t>
      </w:r>
      <w:r>
        <w:rPr>
          <w:rFonts w:hint="eastAsia" w:ascii="宋体" w:hAnsi="宋体" w:eastAsia="宋体" w:cs="Times New Roman"/>
          <w:color w:val="000000"/>
          <w:sz w:val="24"/>
          <w:lang w:val="en-US" w:eastAsia="zh-CN"/>
        </w:rPr>
        <w:t xml:space="preserve">招标公告</w:t>
      </w:r>
      <w:r>
        <w:rPr>
          <w:rFonts w:hint="eastAsia" w:ascii="宋体" w:hAnsi="宋体" w:eastAsia="宋体" w:cs="Times New Roman"/>
          <w:color w:val="000000"/>
          <w:sz w:val="24"/>
          <w:lang w:val="zh-CN"/>
        </w:rPr>
        <w:t xml:space="preserve">规定的开标之日</w:t>
      </w:r>
      <w:r>
        <w:rPr>
          <w:rFonts w:hint="eastAsia" w:ascii="宋体" w:hAnsi="宋体" w:eastAsia="宋体" w:cs="Times New Roman"/>
          <w:color w:val="000000"/>
          <w:sz w:val="24"/>
          <w:lang w:val="en-US" w:eastAsia="zh-CN"/>
        </w:rPr>
        <w:t xml:space="preserve">起</w:t>
      </w:r>
      <w:r>
        <w:rPr>
          <w:rFonts w:hint="eastAsia" w:ascii="宋体" w:hAnsi="宋体" w:eastAsia="宋体" w:cs="Times New Roman"/>
          <w:color w:val="000000"/>
          <w:sz w:val="24"/>
          <w:lang w:val="zh-CN"/>
        </w:rPr>
        <w:t xml:space="preserve">六十天。投标有效期比规定短的将被视为未实质性响应招标文件而</w:t>
      </w:r>
      <w:r>
        <w:rPr>
          <w:rFonts w:hint="eastAsia" w:ascii="宋体" w:hAnsi="宋体" w:eastAsia="宋体" w:cs="Times New Roman"/>
          <w:color w:val="000000"/>
          <w:sz w:val="24"/>
          <w:lang w:val="en-US" w:eastAsia="zh-CN"/>
        </w:rPr>
        <w:t xml:space="preserve">被</w:t>
      </w:r>
      <w:r>
        <w:rPr>
          <w:rFonts w:hint="eastAsia" w:ascii="宋体" w:hAnsi="宋体" w:eastAsia="宋体" w:cs="Times New Roman"/>
          <w:color w:val="000000"/>
          <w:sz w:val="24"/>
          <w:lang w:val="zh-CN"/>
        </w:rPr>
        <w:t xml:space="preserve">拒绝。</w:t>
      </w:r>
      <w:r/>
    </w:p>
    <w:p>
      <w:pPr>
        <w:pStyle w:val="885"/>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16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投标有效期的延长</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16.1 在特殊情况下，</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的这一要求而放弃投标。同意延长投标有效期的投标人既不能要求也不允许修改其投标文件，同时受投标有效期约束的所有权利与义务均延长至新的有效期满。</w:t>
      </w:r>
      <w:r/>
    </w:p>
    <w:p>
      <w:pPr>
        <w:pStyle w:val="88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29" w:name="_Hlt26954852"/>
      <w:r/>
      <w:bookmarkEnd w:id="129"/>
      <w:r/>
      <w:bookmarkStart w:id="130" w:name="_Hlt26954739"/>
      <w:r/>
      <w:bookmarkEnd w:id="130"/>
      <w:r/>
      <w:bookmarkStart w:id="131" w:name="_Toc20823296"/>
      <w:r/>
      <w:bookmarkStart w:id="132" w:name="_Toc16938540"/>
      <w:r/>
      <w:bookmarkStart w:id="133" w:name="_Toc513029224"/>
      <w:r/>
      <w:bookmarkStart w:id="134" w:name="_Toc120614217"/>
      <w:r>
        <w:rPr>
          <w:rFonts w:hint="eastAsia" w:ascii="方正黑体_GBK" w:hAnsi="方正黑体_GBK" w:eastAsia="方正黑体_GBK" w:cs="方正黑体_GBK"/>
          <w:b w:val="0"/>
          <w:bCs w:val="0"/>
          <w:color w:val="000000"/>
          <w:sz w:val="30"/>
          <w:szCs w:val="30"/>
        </w:rPr>
        <w:t xml:space="preserve">四、投标文件的递交</w:t>
      </w:r>
      <w:bookmarkEnd w:id="131"/>
      <w:r/>
      <w:bookmarkEnd w:id="132"/>
      <w:r/>
      <w:bookmarkEnd w:id="133"/>
      <w:r/>
      <w:bookmarkEnd w:id="134"/>
      <w:r/>
      <w:r/>
    </w:p>
    <w:p>
      <w:pPr>
        <w:pStyle w:val="885"/>
        <w:ind w:firstLine="422"/>
        <w:pageBreakBefore w:val="0"/>
        <w:spacing w:before="0" w:after="0" w:line="240" w:lineRule="auto"/>
        <w:widowControl w:val="off"/>
        <w:rPr>
          <w:rFonts w:hint="eastAsia" w:ascii="方正楷体_GBK" w:hAnsi="方正楷体_GBK" w:eastAsia="方正楷体_GBK" w:cs="方正楷体_GBK"/>
          <w:b/>
          <w:bCs/>
        </w:rPr>
      </w:pPr>
      <w:r/>
      <w:bookmarkStart w:id="135" w:name="_Toc462564084"/>
      <w:r/>
      <w:bookmarkStart w:id="136" w:name="_Toc513029225"/>
      <w:r/>
      <w:bookmarkStart w:id="137" w:name="_Toc20823297"/>
      <w:r/>
      <w:bookmarkStart w:id="138" w:name="_Toc16938541"/>
      <w:r>
        <w:rPr>
          <w:rFonts w:hint="eastAsia" w:ascii="方正楷体_GBK" w:hAnsi="方正楷体_GBK" w:eastAsia="方正楷体_GBK" w:cs="方正楷体_GBK"/>
          <w:b/>
          <w:bCs/>
        </w:rPr>
        <w:t xml:space="preserve">17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35"/>
      <w:r/>
      <w:bookmarkEnd w:id="136"/>
      <w:r/>
      <w:bookmarkEnd w:id="137"/>
      <w:r/>
      <w:bookmarkEnd w:id="138"/>
      <w:r>
        <w:rPr>
          <w:rFonts w:hint="eastAsia" w:ascii="方正楷体_GBK" w:hAnsi="方正楷体_GBK" w:eastAsia="方正楷体_GBK" w:cs="方正楷体_GBK"/>
          <w:b/>
          <w:bCs/>
        </w:rPr>
        <w:t xml:space="preserve">的递交</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17.1 投标人应当按照《操作手册》规定，在招标公告规定的投标截止时间前制作并上传电子投标文件。</w:t>
      </w:r>
      <w:bookmarkStart w:id="139" w:name="_Toc16938542"/>
      <w:r/>
      <w:bookmarkStart w:id="140" w:name="_Toc20823298"/>
      <w:r/>
      <w:bookmarkStart w:id="141" w:name="_Toc513029226"/>
      <w:r/>
      <w:bookmarkEnd w:id="139"/>
      <w:r/>
      <w:bookmarkEnd w:id="140"/>
      <w:r/>
      <w:bookmarkEnd w:id="141"/>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 投标人应充分考虑网络环境、网络带宽等因素</w:t>
      </w:r>
      <w:r>
        <w:rPr>
          <w:rFonts w:hint="eastAsia" w:ascii="宋体" w:hAnsi="宋体" w:eastAsia="宋体" w:cs="Times New Roman"/>
          <w:color w:val="000000"/>
          <w:sz w:val="24"/>
          <w:lang w:val="en-US" w:eastAsia="zh-CN"/>
        </w:rPr>
        <w:t xml:space="preserve">可能对投标产生的影响</w:t>
      </w:r>
      <w:r>
        <w:rPr>
          <w:rFonts w:hint="eastAsia" w:ascii="宋体" w:hAnsi="宋体" w:eastAsia="宋体" w:cs="Times New Roman"/>
          <w:color w:val="000000"/>
          <w:sz w:val="24"/>
          <w:lang w:val="zh-CN"/>
        </w:rPr>
        <w:t xml:space="preserve">，如因投标人自身原因造成的电子投标文件上传不成功的，按照本招标文件第二章第2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.1条规定做无效投标处理。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可以按照规定，通过修改招标文件酌情延长投标截止时间，在此情况下，投标人的所有权利和义务均以延长后新的截止时间为准。</w:t>
      </w:r>
      <w:r/>
    </w:p>
    <w:p>
      <w:pPr>
        <w:pStyle w:val="885"/>
        <w:ind w:firstLine="422"/>
        <w:pageBreakBefore w:val="0"/>
        <w:spacing w:before="0" w:after="0" w:line="240" w:lineRule="auto"/>
        <w:widowControl w:val="off"/>
        <w:rPr>
          <w:rFonts w:hint="eastAsia" w:ascii="方正楷体_GBK" w:hAnsi="方正楷体_GBK" w:eastAsia="方正楷体_GBK" w:cs="方正楷体_GBK"/>
          <w:b/>
          <w:bCs/>
        </w:rPr>
      </w:pPr>
      <w:r/>
      <w:bookmarkStart w:id="142" w:name="_Toc20823299"/>
      <w:r/>
      <w:bookmarkStart w:id="143" w:name="_Toc16938543"/>
      <w:r/>
      <w:bookmarkStart w:id="144" w:name="_Toc513029227"/>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eastAsia="zh-CN"/>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42"/>
      <w:r/>
      <w:bookmarkEnd w:id="143"/>
      <w:r/>
      <w:bookmarkEnd w:id="144"/>
      <w:r>
        <w:rPr>
          <w:rFonts w:hint="eastAsia" w:ascii="方正楷体_GBK" w:hAnsi="方正楷体_GBK" w:eastAsia="方正楷体_GBK" w:cs="方正楷体_GBK"/>
          <w:b/>
          <w:bCs/>
        </w:rPr>
        <w:t xml:space="preserve">的拒收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投标截止时间后上传的任何投标文件将被拒绝。</w:t>
      </w:r>
      <w:r/>
    </w:p>
    <w:p>
      <w:pPr>
        <w:pStyle w:val="885"/>
        <w:ind w:firstLine="422"/>
        <w:pageBreakBefore w:val="0"/>
        <w:spacing w:before="0" w:after="0" w:line="240" w:lineRule="auto"/>
        <w:widowControl w:val="off"/>
        <w:rPr>
          <w:rFonts w:hint="eastAsia" w:ascii="方正楷体_GBK" w:hAnsi="方正楷体_GBK" w:eastAsia="方正楷体_GBK" w:cs="方正楷体_GBK"/>
          <w:b/>
          <w:bCs/>
        </w:rPr>
      </w:pPr>
      <w:r/>
      <w:bookmarkStart w:id="145" w:name="_Toc16938544"/>
      <w:r/>
      <w:bookmarkStart w:id="146" w:name="_Toc513029228"/>
      <w:r/>
      <w:bookmarkStart w:id="147" w:name="_Toc20823300"/>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9.</w:t>
      </w:r>
      <w:r>
        <w:rPr>
          <w:rFonts w:hint="eastAsia" w:ascii="方正楷体_GBK" w:hAnsi="方正楷体_GBK" w:eastAsia="方正楷体_GBK" w:cs="方正楷体_GBK"/>
          <w:b/>
          <w:bCs/>
        </w:rPr>
        <w:t xml:space="preserve">投标文件的撤回和修改</w:t>
      </w:r>
      <w:bookmarkEnd w:id="145"/>
      <w:r/>
      <w:bookmarkEnd w:id="146"/>
      <w:r/>
      <w:bookmarkEnd w:id="147"/>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 投标文件的撤回</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投标人可在投标截止时间前撤回其电子投标文件，具体操作方法见《操作手册》。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投标人撤回电子投标文件，则认为其不再参与本项目投标活动。</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 投标文件的修改</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投标人可在投标截止时间前对其电子投标文件进行修改，具体操作方法见《操作手册》。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投标截止时间之后，投标人不得对其电子投标文件作任何修改。</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.3 在投标截止时间至招标文件中规定的投标有效期满之间的这段时间内，投标人不得撤回其投标。</w:t>
      </w:r>
      <w:bookmarkStart w:id="148" w:name="_Toc20823301"/>
      <w:r/>
      <w:bookmarkStart w:id="149" w:name="_Toc120614218"/>
      <w:r/>
      <w:bookmarkStart w:id="150" w:name="_Toc513029229"/>
      <w:r/>
      <w:bookmarkStart w:id="151" w:name="_Toc16938545"/>
      <w:r/>
      <w:r/>
    </w:p>
    <w:p>
      <w:pPr>
        <w:pStyle w:val="88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五、开标与评标</w:t>
      </w:r>
      <w:bookmarkEnd w:id="148"/>
      <w:r/>
      <w:bookmarkEnd w:id="149"/>
      <w:r/>
      <w:bookmarkEnd w:id="150"/>
      <w:r/>
      <w:bookmarkEnd w:id="151"/>
      <w:r/>
      <w:r/>
    </w:p>
    <w:p>
      <w:pPr>
        <w:pStyle w:val="885"/>
        <w:ind w:firstLine="422"/>
        <w:pageBreakBefore w:val="0"/>
        <w:spacing w:before="0" w:after="0" w:line="240" w:lineRule="auto"/>
        <w:widowControl w:val="off"/>
        <w:rPr>
          <w:rFonts w:hint="eastAsia" w:ascii="方正楷体_GBK" w:hAnsi="方正楷体_GBK" w:eastAsia="方正楷体_GBK" w:cs="方正楷体_GBK"/>
          <w:b/>
          <w:bCs/>
        </w:rPr>
      </w:pPr>
      <w:r/>
      <w:bookmarkStart w:id="152" w:name="_Toc16938546"/>
      <w:r/>
      <w:bookmarkStart w:id="153" w:name="_Toc513029230"/>
      <w:r/>
      <w:bookmarkStart w:id="154" w:name="_Toc20823302"/>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开标</w:t>
      </w:r>
      <w:bookmarkEnd w:id="152"/>
      <w:r/>
      <w:bookmarkEnd w:id="153"/>
      <w:r/>
      <w:bookmarkEnd w:id="154"/>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投标人在开标过程中涉及到的投标文件解密、开标结果确认等工作，应按照《操作手册》规定执行。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投标人如果对开标过程和开标</w:t>
      </w:r>
      <w:r>
        <w:rPr>
          <w:rFonts w:hint="eastAsia" w:ascii="宋体" w:hAnsi="宋体" w:eastAsia="宋体" w:cs="Times New Roman"/>
          <w:color w:val="000000"/>
          <w:sz w:val="24"/>
          <w:lang w:val="en-US" w:eastAsia="zh-CN"/>
        </w:rPr>
        <w:t xml:space="preserve">结果</w:t>
      </w:r>
      <w:r>
        <w:rPr>
          <w:rFonts w:hint="eastAsia" w:ascii="宋体" w:hAnsi="宋体" w:eastAsia="宋体" w:cs="Times New Roman"/>
          <w:color w:val="000000"/>
          <w:sz w:val="24"/>
          <w:lang w:val="zh-CN"/>
        </w:rPr>
        <w:t xml:space="preserve">有疑义，应当根据《操作手册》规定提出，苏采云系统中《开标记录表》公布后5分钟内未提出的，视同认可开标结果。</w:t>
      </w:r>
      <w:r/>
    </w:p>
    <w:p>
      <w:pPr>
        <w:pStyle w:val="885"/>
        <w:ind w:firstLine="422"/>
        <w:pageBreakBefore w:val="0"/>
        <w:spacing w:before="0" w:after="0" w:line="240" w:lineRule="auto"/>
        <w:widowControl w:val="off"/>
        <w:rPr>
          <w:rFonts w:hint="eastAsia" w:ascii="方正楷体_GBK" w:hAnsi="方正楷体_GBK" w:eastAsia="方正楷体_GBK" w:cs="方正楷体_GBK"/>
          <w:b/>
          <w:bCs/>
        </w:rPr>
      </w:pPr>
      <w:r/>
      <w:bookmarkStart w:id="155" w:name="_Toc16938547"/>
      <w:r/>
      <w:bookmarkStart w:id="156" w:name="_Toc20823303"/>
      <w:r/>
      <w:bookmarkStart w:id="157" w:name="_Toc513029231"/>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en-US" w:eastAsia="zh-CN"/>
        </w:rPr>
        <w:t xml:space="preserve">评标由</w:t>
      </w:r>
      <w:r>
        <w:rPr>
          <w:rFonts w:hint="eastAsia" w:ascii="宋体" w:hAnsi="宋体" w:eastAsia="宋体" w:cs="Times New Roman"/>
          <w:color w:val="000000"/>
          <w:sz w:val="24"/>
          <w:lang w:val="zh-CN" w:eastAsia="zh-CN"/>
        </w:rPr>
        <w:t xml:space="preserve">依法组建的</w:t>
      </w:r>
      <w:r>
        <w:rPr>
          <w:rFonts w:hint="eastAsia" w:ascii="宋体" w:hAnsi="宋体" w:eastAsia="宋体" w:cs="Times New Roman"/>
          <w:color w:val="000000"/>
          <w:sz w:val="24"/>
          <w:lang w:val="zh-CN"/>
        </w:rPr>
        <w:t xml:space="preserve">评标委员会（以下简称“评委会”）进行。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.2 评委会由采购人代表和有关技术、经济或法律等方面的专家组成，且人员构成符合政府采购有关规定。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评委会独立工作，负责评审所有投标文件并</w:t>
      </w:r>
      <w:r>
        <w:rPr>
          <w:rFonts w:hint="eastAsia" w:ascii="宋体" w:hAnsi="宋体" w:cs="Times New Roman"/>
          <w:color w:val="000000"/>
          <w:sz w:val="24"/>
          <w:lang w:val="en-US" w:eastAsia="zh-CN"/>
        </w:rPr>
        <w:t xml:space="preserve">推荐</w:t>
      </w:r>
      <w:r>
        <w:rPr>
          <w:rFonts w:hint="eastAsia" w:ascii="宋体" w:hAnsi="宋体" w:eastAsia="宋体" w:cs="Times New Roman"/>
          <w:color w:val="000000"/>
          <w:sz w:val="24"/>
          <w:lang w:val="zh-CN"/>
        </w:rPr>
        <w:t xml:space="preserve">中标候选人</w:t>
      </w:r>
      <w:r>
        <w:rPr>
          <w:rFonts w:hint="eastAsia" w:ascii="宋体" w:hAnsi="宋体" w:cs="Times New Roman"/>
          <w:color w:val="000000"/>
          <w:sz w:val="24"/>
          <w:lang w:val="zh-CN"/>
        </w:rPr>
        <w:t xml:space="preserve">，</w:t>
      </w:r>
      <w:r>
        <w:rPr>
          <w:rFonts w:hint="eastAsia" w:ascii="宋体" w:hAnsi="宋体" w:cs="Times New Roman"/>
          <w:color w:val="000000"/>
          <w:sz w:val="24"/>
          <w:lang w:val="en-US" w:eastAsia="zh-CN"/>
        </w:rPr>
        <w:t xml:space="preserve">或根据采购人授权直接确定中标人</w:t>
      </w:r>
      <w:r>
        <w:rPr>
          <w:rFonts w:hint="eastAsia" w:ascii="宋体" w:hAnsi="宋体" w:eastAsia="宋体" w:cs="Times New Roman"/>
          <w:color w:val="000000"/>
          <w:sz w:val="24"/>
          <w:lang w:val="zh-CN"/>
        </w:rPr>
        <w:t xml:space="preserve">。</w:t>
      </w:r>
      <w:r/>
    </w:p>
    <w:p>
      <w:pPr>
        <w:pStyle w:val="885"/>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评标过程的保密与公正</w:t>
      </w:r>
      <w:bookmarkEnd w:id="155"/>
      <w:r/>
      <w:bookmarkEnd w:id="156"/>
      <w:r/>
      <w:bookmarkEnd w:id="157"/>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凡是与审查、澄清、评价和比较投标的有关资料以及授标建议等，采购人、评委、</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均不得向投标人或与评标无关的其他人员透露。</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投标人不得以任何</w:t>
      </w:r>
      <w:r>
        <w:rPr>
          <w:rFonts w:hint="eastAsia" w:ascii="宋体" w:hAnsi="宋体" w:eastAsia="宋体" w:cs="Times New Roman"/>
          <w:color w:val="000000"/>
          <w:sz w:val="24"/>
          <w:lang w:val="en-US" w:eastAsia="zh-CN"/>
        </w:rPr>
        <w:t xml:space="preserve">方式</w:t>
      </w:r>
      <w:r>
        <w:rPr>
          <w:rFonts w:hint="eastAsia" w:ascii="宋体" w:hAnsi="宋体" w:eastAsia="宋体" w:cs="Times New Roman"/>
          <w:color w:val="000000"/>
          <w:sz w:val="24"/>
          <w:lang w:val="zh-CN"/>
        </w:rPr>
        <w:t xml:space="preserve">影响评标，否则其投标文件将被作为无效投标文件。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和评委会不向未中标的投标人解释未中标原因，也不公布评标过程中的相关细节。</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.4 采用综合评分法的项目，未中标的投标人可于中标结果公告期限届满之日起通过苏采云系统查看</w:t>
      </w:r>
      <w:r>
        <w:rPr>
          <w:rFonts w:hint="eastAsia" w:ascii="宋体" w:hAnsi="宋体" w:eastAsia="宋体" w:cs="Times New Roman"/>
          <w:color w:val="000000"/>
          <w:sz w:val="24"/>
          <w:lang w:val="en-US" w:eastAsia="zh-CN"/>
        </w:rPr>
        <w:t xml:space="preserve">本单位</w:t>
      </w:r>
      <w:r>
        <w:rPr>
          <w:rFonts w:hint="eastAsia" w:ascii="宋体" w:hAnsi="宋体" w:eastAsia="宋体" w:cs="Times New Roman"/>
          <w:color w:val="000000"/>
          <w:sz w:val="24"/>
          <w:lang w:val="zh-CN"/>
        </w:rPr>
        <w:t xml:space="preserve">的评审得分及排</w:t>
      </w:r>
      <w:r>
        <w:rPr>
          <w:rFonts w:hint="eastAsia" w:ascii="宋体" w:hAnsi="宋体" w:eastAsia="宋体" w:cs="Times New Roman"/>
          <w:color w:val="000000"/>
          <w:sz w:val="24"/>
          <w:lang w:val="en-US" w:eastAsia="zh-CN"/>
        </w:rPr>
        <w:t xml:space="preserve">名</w:t>
      </w:r>
      <w:r>
        <w:rPr>
          <w:rFonts w:hint="eastAsia" w:ascii="宋体" w:hAnsi="宋体" w:eastAsia="宋体" w:cs="Times New Roman"/>
          <w:color w:val="000000"/>
          <w:sz w:val="24"/>
          <w:lang w:val="zh-CN"/>
        </w:rPr>
        <w:t xml:space="preserve">情况。</w:t>
      </w:r>
      <w:r/>
    </w:p>
    <w:p>
      <w:pPr>
        <w:pStyle w:val="885"/>
        <w:ind w:firstLine="422"/>
        <w:pageBreakBefore w:val="0"/>
        <w:spacing w:before="0" w:after="0" w:line="240" w:lineRule="auto"/>
        <w:widowControl w:val="off"/>
        <w:rPr>
          <w:rFonts w:hint="eastAsia" w:ascii="方正楷体_GBK" w:hAnsi="方正楷体_GBK" w:eastAsia="方正楷体_GBK" w:cs="方正楷体_GBK"/>
          <w:b/>
          <w:bCs/>
        </w:rPr>
      </w:pPr>
      <w:r/>
      <w:bookmarkStart w:id="158" w:name="_Toc513029232"/>
      <w:r/>
      <w:bookmarkStart w:id="159" w:name="_Toc16938548"/>
      <w:r/>
      <w:bookmarkStart w:id="160" w:name="_Toc20823304"/>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投标文件的澄清</w:t>
      </w:r>
      <w:bookmarkEnd w:id="158"/>
      <w:r/>
      <w:bookmarkEnd w:id="159"/>
      <w:r/>
      <w:bookmarkEnd w:id="160"/>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评标期间，评委会对投标文件中含义不明确、同类问题表述不一致或者有明显文字和计算错误的内容，有权要求投标人作出必要的澄清、说明或者补正。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投标人的澄清、说明或者补正不得超出投标文件的范围或者改变投标文件的实质性内容。</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评委会并非对每个投标人都做澄清要求。</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需要供应商进行澄清、说明和补正的，评委会将通过苏采云系统向</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发出《澄清要求函》，接到《澄清要求函》的</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应当按照要求在苏采云系统中提交《澄清响应函》并加盖电子公章。澄清、说明和补正的内容作为投标文件的补充部分，具体操作方式见《操作手册》。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.3 接到评委会澄清、说明和补正要求的，投标人如未按规定</w:t>
      </w:r>
      <w:r>
        <w:rPr>
          <w:rFonts w:hint="eastAsia" w:ascii="宋体" w:hAnsi="宋体" w:eastAsia="宋体" w:cs="Times New Roman"/>
          <w:color w:val="000000"/>
          <w:sz w:val="24"/>
          <w:lang w:val="en-US" w:eastAsia="zh-CN"/>
        </w:rPr>
        <w:t xml:space="preserve">作</w:t>
      </w:r>
      <w:r>
        <w:rPr>
          <w:rFonts w:hint="eastAsia" w:ascii="宋体" w:hAnsi="宋体" w:eastAsia="宋体" w:cs="Times New Roman"/>
          <w:color w:val="000000"/>
          <w:sz w:val="24"/>
          <w:lang w:val="zh-CN"/>
        </w:rPr>
        <w:t xml:space="preserve">出澄清、说明和补正，其风险由投标人自行承担。</w:t>
      </w:r>
      <w:r/>
    </w:p>
    <w:p>
      <w:pPr>
        <w:pStyle w:val="885"/>
        <w:ind w:firstLine="422"/>
        <w:pageBreakBefore w:val="0"/>
        <w:spacing w:before="0" w:after="0" w:line="240" w:lineRule="auto"/>
        <w:widowControl w:val="off"/>
        <w:rPr>
          <w:rFonts w:hint="eastAsia" w:ascii="方正楷体_GBK" w:hAnsi="方正楷体_GBK" w:eastAsia="方正楷体_GBK" w:cs="方正楷体_GBK"/>
          <w:b/>
          <w:bCs/>
          <w:lang w:eastAsia="zh-CN"/>
        </w:rPr>
      </w:pPr>
      <w:r/>
      <w:bookmarkStart w:id="161" w:name="_Toc20823305"/>
      <w:r/>
      <w:bookmarkStart w:id="162" w:name="_Toc513029233"/>
      <w:r/>
      <w:bookmarkStart w:id="163" w:name="_Toc16938549"/>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4.</w:t>
      </w:r>
      <w:r>
        <w:rPr>
          <w:rFonts w:hint="eastAsia" w:ascii="方正楷体_GBK" w:hAnsi="方正楷体_GBK" w:eastAsia="方正楷体_GBK" w:cs="方正楷体_GBK"/>
          <w:b/>
          <w:bCs/>
        </w:rPr>
        <w:t xml:space="preserve">投标文件的</w:t>
      </w:r>
      <w:bookmarkEnd w:id="161"/>
      <w:r/>
      <w:bookmarkEnd w:id="162"/>
      <w:r/>
      <w:bookmarkEnd w:id="163"/>
      <w:r>
        <w:rPr>
          <w:rFonts w:hint="eastAsia" w:ascii="方正楷体_GBK" w:hAnsi="方正楷体_GBK" w:eastAsia="方正楷体_GBK" w:cs="方正楷体_GBK"/>
          <w:b/>
          <w:bCs/>
          <w:lang w:eastAsia="zh-CN"/>
        </w:rPr>
        <w:t xml:space="preserve">审查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lang w:val="en-US" w:eastAsia="zh-CN"/>
        </w:rPr>
        <w:t xml:space="preserve">并</w:t>
      </w:r>
      <w:r>
        <w:rPr>
          <w:rFonts w:hint="eastAsia" w:ascii="宋体" w:hAnsi="宋体" w:eastAsia="宋体" w:cs="Times New Roman"/>
          <w:color w:val="000000"/>
          <w:sz w:val="24"/>
          <w:lang w:val="zh-CN"/>
        </w:rPr>
        <w:t xml:space="preserve">向评委会反馈</w:t>
      </w:r>
      <w:r>
        <w:rPr>
          <w:rFonts w:hint="eastAsia" w:ascii="宋体" w:hAnsi="宋体" w:eastAsia="宋体" w:cs="Times New Roman"/>
          <w:color w:val="000000"/>
          <w:sz w:val="24"/>
          <w:lang w:val="en-US" w:eastAsia="zh-CN"/>
        </w:rPr>
        <w:t xml:space="preserve">审查结论</w:t>
      </w:r>
      <w:r>
        <w:rPr>
          <w:rFonts w:hint="eastAsia" w:ascii="宋体" w:hAnsi="宋体" w:eastAsia="宋体" w:cs="Times New Roman"/>
          <w:color w:val="000000"/>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采购人进行资格审查时，将在“信用中国”网站（www.creditchina.gov.cn）查询投标人的信用记录，以确定投标人是否具备投标资格，查询结果留存并归档。</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en-US" w:eastAsia="zh-CN"/>
        </w:rPr>
        <w:t xml:space="preserve">信</w:t>
      </w:r>
      <w:r>
        <w:rPr>
          <w:rFonts w:hint="eastAsia" w:ascii="宋体" w:hAnsi="宋体" w:eastAsia="宋体" w:cs="Times New Roman"/>
          <w:color w:val="000000"/>
          <w:sz w:val="24"/>
          <w:lang w:val="zh-CN"/>
        </w:rPr>
        <w:t xml:space="preserve">用记录。</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符合性审查。依据招标文件的规定，由评委会从有效性、完整性和对招标文件的响应程度</w:t>
      </w:r>
      <w:r>
        <w:rPr>
          <w:rFonts w:hint="eastAsia" w:ascii="宋体" w:hAnsi="宋体" w:eastAsia="宋体" w:cs="Times New Roman"/>
          <w:color w:val="000000"/>
          <w:sz w:val="24"/>
          <w:lang w:val="en-US" w:eastAsia="zh-CN"/>
        </w:rPr>
        <w:t xml:space="preserve">等方面对投标文件</w:t>
      </w:r>
      <w:r>
        <w:rPr>
          <w:rFonts w:hint="eastAsia" w:ascii="宋体" w:hAnsi="宋体" w:eastAsia="宋体" w:cs="Times New Roman"/>
          <w:color w:val="000000"/>
          <w:sz w:val="24"/>
          <w:lang w:val="zh-CN"/>
        </w:rPr>
        <w:t xml:space="preserve">进行审查，以确定是否对招标文件的实质性要求作出响应。</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未通过资格审查或符合性审查的投标人，</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rPr>
        <w:t xml:space="preserve">苏采云系统告知</w:t>
      </w:r>
      <w:r>
        <w:rPr>
          <w:rFonts w:hint="eastAsia" w:ascii="宋体" w:hAnsi="宋体" w:eastAsia="宋体" w:cs="Times New Roman"/>
          <w:color w:val="000000"/>
          <w:sz w:val="24"/>
          <w:lang w:val="en-US" w:eastAsia="zh-CN"/>
        </w:rPr>
        <w:t xml:space="preserve">其具体</w:t>
      </w:r>
      <w:r>
        <w:rPr>
          <w:rFonts w:hint="eastAsia" w:ascii="宋体" w:hAnsi="宋体" w:eastAsia="宋体" w:cs="Times New Roman"/>
          <w:color w:val="000000"/>
          <w:sz w:val="24"/>
          <w:lang w:val="zh-CN"/>
        </w:rPr>
        <w:t xml:space="preserve">原因，评标结束后</w:t>
      </w:r>
      <w:r>
        <w:rPr>
          <w:rFonts w:hint="eastAsia" w:ascii="宋体" w:hAnsi="宋体" w:eastAsia="宋体" w:cs="Times New Roman"/>
          <w:color w:val="000000"/>
          <w:sz w:val="24"/>
          <w:lang w:val="en-US" w:eastAsia="zh-CN"/>
        </w:rPr>
        <w:t xml:space="preserve">不再接受有关询问</w:t>
      </w:r>
      <w:r>
        <w:rPr>
          <w:rFonts w:hint="eastAsia" w:ascii="宋体" w:hAnsi="宋体" w:eastAsia="宋体" w:cs="Times New Roman"/>
          <w:color w:val="000000"/>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en-US" w:eastAsia="zh-CN"/>
        </w:rPr>
        <w:t xml:space="preserve">仅对</w:t>
      </w:r>
      <w:r>
        <w:rPr>
          <w:rFonts w:hint="eastAsia" w:ascii="宋体" w:hAnsi="宋体" w:eastAsia="宋体" w:cs="Times New Roman"/>
          <w:color w:val="000000"/>
          <w:sz w:val="24"/>
          <w:lang w:val="zh-CN"/>
        </w:rPr>
        <w:t xml:space="preserve">实质性响应招标文件要求</w:t>
      </w:r>
      <w:r>
        <w:rPr>
          <w:rFonts w:hint="eastAsia" w:ascii="宋体" w:hAnsi="宋体" w:eastAsia="宋体" w:cs="Times New Roman"/>
          <w:color w:val="000000"/>
          <w:sz w:val="24"/>
          <w:lang w:val="en-US" w:eastAsia="zh-CN"/>
        </w:rPr>
        <w:t xml:space="preserve">的投标文件进行详细评审</w:t>
      </w:r>
      <w:r>
        <w:rPr>
          <w:rFonts w:hint="eastAsia" w:ascii="宋体" w:hAnsi="宋体" w:eastAsia="宋体" w:cs="Times New Roman"/>
          <w:color w:val="000000"/>
          <w:sz w:val="24"/>
          <w:lang w:val="zh-CN"/>
        </w:rPr>
        <w:t xml:space="preserve">。实质性响应的投标文件应该是与招标文件要求的全部条款、条件和规格相符，没有重大偏离或保留的文件。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lang w:val="en-US" w:eastAsia="zh-CN"/>
        </w:rPr>
        <w:t xml:space="preserve">由</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rPr>
        <w:t xml:space="preserve">少数服从多数的原则作出结论。评委</w:t>
      </w:r>
      <w:r>
        <w:rPr>
          <w:rFonts w:hint="eastAsia" w:ascii="宋体" w:hAnsi="宋体" w:eastAsia="宋体" w:cs="Times New Roman"/>
          <w:color w:val="000000"/>
          <w:sz w:val="24"/>
          <w:lang w:val="en-US" w:eastAsia="zh-CN"/>
        </w:rPr>
        <w:t xml:space="preserve">会认</w:t>
      </w:r>
      <w:r>
        <w:rPr>
          <w:rFonts w:hint="eastAsia" w:ascii="宋体" w:hAnsi="宋体" w:eastAsia="宋体" w:cs="Times New Roman"/>
          <w:color w:val="000000"/>
          <w:sz w:val="24"/>
          <w:lang w:val="zh-CN"/>
        </w:rPr>
        <w:t xml:space="preserve">定投标文件的响应性只根据投标文件本身的内容，而不寻求外部的证据。</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如果投标文件实质上没有响应招标文件的要求，评委会将予以拒绝，投标人不得通过修改或撤销不合要求的偏离或保留而使其投标成为实质性响应的投标。</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评委会将对确定为实质性响应的投标进行进一步审核，确定其是否有计算上或累加上的算术错误。修正错误的原则如下：</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（1）投标文件中开标一览表内容与投标文件中相应内容不一致的，以开标一览表为准；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（2）大写金额和小写金额不一致的，以大写金额为准；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（3）单价金额小数点或者百分比有明显错位的，以开标一览表的总价为准，并修改单价；</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（4）总价金额与按单价汇总金额不一致的，以单价金额计算结果为准。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同时出现两种以上错误的，按照前款规定的顺序修正。</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64" w:name="_Toc513029234"/>
      <w:r/>
      <w:bookmarkStart w:id="165" w:name="_Toc20823306"/>
      <w:r/>
      <w:bookmarkStart w:id="166" w:name="_Toc1693855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及评委会联系。</w:t>
      </w:r>
      <w:r/>
    </w:p>
    <w:p>
      <w:pPr>
        <w:pStyle w:val="893"/>
        <w:rPr>
          <w:rFonts w:hint="eastAsia" w:ascii="宋体" w:hAnsi="宋体" w:cs="Times New Roman"/>
          <w:color w:val="000000"/>
          <w:sz w:val="24"/>
          <w:lang w:val="en-US" w:eastAsia="zh-CN"/>
        </w:rPr>
      </w:pPr>
      <w:r>
        <w:rPr>
          <w:rFonts w:hint="eastAsia" w:ascii="宋体" w:hAnsi="宋体" w:cs="Times New Roman"/>
          <w:color w:val="000000"/>
          <w:sz w:val="24"/>
          <w:lang w:val="en-US" w:eastAsia="zh-CN"/>
        </w:rPr>
        <w:t xml:space="preserve">24.7异常低价投标审查</w:t>
      </w:r>
      <w:r/>
    </w:p>
    <w:p>
      <w:pPr>
        <w:pStyle w:val="893"/>
        <w:rPr>
          <w:rFonts w:hint="eastAsia" w:ascii="宋体" w:hAnsi="宋体" w:cs="Times New Roman"/>
          <w:color w:val="000000"/>
          <w:sz w:val="24"/>
          <w:lang w:val="en-US" w:eastAsia="zh-CN"/>
        </w:rPr>
      </w:pPr>
      <w:r>
        <w:rPr>
          <w:rFonts w:hint="eastAsia" w:ascii="宋体" w:hAnsi="宋体" w:cs="Times New Roman"/>
          <w:color w:val="000000"/>
          <w:sz w:val="24"/>
          <w:lang w:val="en-US" w:eastAsia="zh-CN"/>
        </w:rPr>
        <w:t xml:space="preserve">24.7.1评标过程中出现下列情形之一的，评委会应当启动异常低价投标审查程序：</w:t>
      </w:r>
      <w:r/>
    </w:p>
    <w:p>
      <w:pPr>
        <w:pStyle w:val="893"/>
        <w:rPr>
          <w:rFonts w:hint="eastAsia" w:ascii="宋体" w:hAnsi="宋体" w:cs="Times New Roman"/>
          <w:color w:val="auto"/>
          <w:sz w:val="24"/>
          <w:lang w:val="en-US" w:eastAsia="zh-CN"/>
        </w:rPr>
      </w:pPr>
      <w:r>
        <w:rPr>
          <w:rFonts w:hint="eastAsia" w:ascii="宋体" w:hAnsi="宋体" w:cs="Times New Roman"/>
          <w:color w:val="auto"/>
          <w:sz w:val="24"/>
          <w:lang w:val="en-US" w:eastAsia="zh-CN"/>
        </w:rPr>
        <w:t xml:space="preserve">（1）投标报价低于全部通过符合性审查供应商投标报价平均值50%的，即投标报价&lt;全部通过符合性审查供应商投标报价平均值×50%；</w:t>
      </w:r>
      <w:r/>
    </w:p>
    <w:p>
      <w:pPr>
        <w:pStyle w:val="893"/>
        <w:rPr>
          <w:rFonts w:hint="eastAsia" w:ascii="宋体" w:hAnsi="宋体" w:cs="Times New Roman"/>
          <w:color w:val="auto"/>
          <w:sz w:val="24"/>
          <w:lang w:val="en-US" w:eastAsia="zh-CN"/>
        </w:rPr>
      </w:pPr>
      <w:r>
        <w:rPr>
          <w:rFonts w:hint="eastAsia" w:ascii="宋体" w:hAnsi="宋体" w:cs="Times New Roman"/>
          <w:color w:val="auto"/>
          <w:sz w:val="24"/>
          <w:lang w:val="en-US" w:eastAsia="zh-CN"/>
        </w:rPr>
        <w:t xml:space="preserve">（2）投标报价低于通过符合性审查的次低报价供应商投标报价50%的，即投标报价&lt;通过符合性审查的次低报价供应商投标报价×50%；</w:t>
      </w:r>
      <w:r/>
    </w:p>
    <w:p>
      <w:pPr>
        <w:pStyle w:val="893"/>
        <w:rPr>
          <w:rFonts w:hint="eastAsia" w:ascii="宋体" w:hAnsi="宋体" w:cs="Times New Roman"/>
          <w:color w:val="auto"/>
          <w:sz w:val="24"/>
          <w:lang w:val="en-US" w:eastAsia="zh-CN"/>
        </w:rPr>
      </w:pPr>
      <w:r>
        <w:rPr>
          <w:rFonts w:hint="eastAsia" w:ascii="宋体" w:hAnsi="宋体" w:cs="Times New Roman"/>
          <w:color w:val="auto"/>
          <w:sz w:val="24"/>
          <w:lang w:val="en-US" w:eastAsia="zh-CN"/>
        </w:rPr>
        <w:t xml:space="preserve">（3）投标报价低于采购项目最高限价45%的，即投标报价&lt;采购项目最高限价×45%；</w:t>
      </w:r>
      <w:r/>
    </w:p>
    <w:p>
      <w:pPr>
        <w:pStyle w:val="893"/>
        <w:rPr>
          <w:rFonts w:hint="eastAsia" w:ascii="宋体" w:hAnsi="宋体" w:cs="Times New Roman"/>
          <w:color w:val="0000ff"/>
          <w:sz w:val="24"/>
          <w:lang w:val="en-US" w:eastAsia="zh-CN"/>
        </w:rPr>
      </w:pPr>
      <w:r>
        <w:rPr>
          <w:rFonts w:hint="eastAsia" w:ascii="宋体" w:hAnsi="宋体" w:cs="Times New Roman"/>
          <w:color w:val="auto"/>
          <w:sz w:val="24"/>
          <w:lang w:val="en-US" w:eastAsia="zh-CN"/>
        </w:rPr>
        <w:t xml:space="preserve">（4）评委会基于专业判断，认为供应商报价过低，有可能影响产品质量或者不能诚信履约的其他情形。</w:t>
      </w:r>
      <w:r/>
    </w:p>
    <w:p>
      <w:pPr>
        <w:pStyle w:val="893"/>
        <w:rPr>
          <w:rFonts w:hint="eastAsia" w:ascii="宋体" w:hAnsi="宋体" w:cs="Times New Roman"/>
          <w:color w:val="000000"/>
          <w:sz w:val="24"/>
          <w:lang w:val="en-US" w:eastAsia="zh-CN"/>
        </w:rPr>
      </w:pPr>
      <w:r>
        <w:rPr>
          <w:rFonts w:hint="eastAsia" w:ascii="宋体" w:hAnsi="宋体" w:cs="Times New Roman"/>
          <w:color w:val="000000"/>
          <w:sz w:val="24"/>
          <w:lang w:val="en-US" w:eastAsia="zh-CN"/>
        </w:rPr>
        <w:t xml:space="preserve">24.7.2评委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pStyle w:val="893"/>
        <w:rPr>
          <w:rFonts w:hint="eastAsia" w:ascii="宋体" w:hAnsi="宋体" w:cs="Times New Roman"/>
          <w:color w:val="000000"/>
          <w:sz w:val="24"/>
          <w:lang w:val="en-US" w:eastAsia="zh-CN"/>
        </w:rPr>
      </w:pPr>
      <w:r>
        <w:rPr>
          <w:rFonts w:hint="eastAsia" w:ascii="宋体" w:hAnsi="宋体" w:cs="Times New Roman"/>
          <w:color w:val="000000"/>
          <w:sz w:val="24"/>
          <w:lang w:val="en-US" w:eastAsia="zh-CN"/>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p>
    <w:p>
      <w:pPr>
        <w:pStyle w:val="885"/>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bookmarkEnd w:id="164"/>
      <w:r/>
      <w:bookmarkEnd w:id="165"/>
      <w:r/>
      <w:bookmarkEnd w:id="166"/>
      <w:r>
        <w:rPr>
          <w:rFonts w:hint="eastAsia" w:ascii="方正楷体_GBK" w:hAnsi="方正楷体_GBK" w:eastAsia="方正楷体_GBK" w:cs="方正楷体_GBK"/>
          <w:b/>
          <w:bCs/>
          <w:lang w:eastAsia="zh-CN"/>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无效投标和废标</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67" w:name="_Toc16938551"/>
      <w:r/>
      <w:bookmarkStart w:id="168" w:name="_Toc20823307"/>
      <w:r/>
      <w:bookmarkStart w:id="169" w:name="_Toc513029235"/>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无效投标情形</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投标人在苏采云系统规定的时间内未成功解密电子投标文件。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投标人未按照招标文件要求上传电子投标文件。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同一投标人提交两个（含两个）以上不同的投标报价。</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投标人不具备招标文件规定</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资格要求。</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投标人的报价超过了采购预算或最高限价。</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未通过符合性审查。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不符合招标文件中实质性要求和条件（</w:t>
      </w:r>
      <w:r>
        <w:rPr>
          <w:rFonts w:hint="eastAsia" w:ascii="宋体" w:hAnsi="宋体" w:eastAsia="宋体" w:cs="Times New Roman"/>
          <w:b/>
          <w:bCs/>
          <w:i w:val="0"/>
          <w:iCs/>
          <w:color w:val="000000"/>
          <w:sz w:val="24"/>
          <w:u w:val="none"/>
          <w:lang w:val="zh-CN"/>
        </w:rPr>
        <w:t xml:space="preserve">本文件中斜体且有下划线部分，</w:t>
      </w:r>
      <w:r>
        <w:rPr>
          <w:rFonts w:hint="eastAsia" w:ascii="宋体" w:hAnsi="宋体" w:eastAsia="宋体" w:cs="Times New Roman"/>
          <w:b/>
          <w:bCs/>
          <w:i w:val="0"/>
          <w:iCs w:val="0"/>
          <w:color w:val="000000"/>
          <w:sz w:val="24"/>
          <w:u w:val="none"/>
          <w:lang w:val="zh-CN"/>
        </w:rPr>
        <w:t xml:space="preserve">或者打“</w:t>
      </w:r>
      <w:r>
        <w:rPr>
          <w:rFonts w:hint="eastAsia" w:ascii="宋体" w:hAnsi="宋体" w:eastAsia="宋体" w:cs="Times New Roman"/>
          <w:b/>
          <w:bCs/>
          <w:i w:val="0"/>
          <w:iCs w:val="0"/>
          <w:color w:val="000000"/>
          <w:sz w:val="24"/>
          <w:u w:val="none"/>
          <w:lang w:val="en-US" w:eastAsia="zh-CN"/>
        </w:rPr>
        <w:t xml:space="preserve">★</w:t>
      </w:r>
      <w:r>
        <w:rPr>
          <w:rFonts w:hint="eastAsia" w:ascii="宋体" w:hAnsi="宋体" w:eastAsia="宋体" w:cs="Times New Roman"/>
          <w:b/>
          <w:bCs/>
          <w:i w:val="0"/>
          <w:iCs w:val="0"/>
          <w:color w:val="000000"/>
          <w:sz w:val="24"/>
          <w:u w:val="none"/>
          <w:lang w:val="zh-CN"/>
        </w:rPr>
        <w:t xml:space="preserve">”内容为实质性要求和条件</w:t>
      </w:r>
      <w:r>
        <w:rPr>
          <w:rFonts w:hint="eastAsia" w:ascii="宋体" w:hAnsi="宋体" w:eastAsia="宋体" w:cs="Times New Roman"/>
          <w:color w:val="000000"/>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.1.8</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.1.9</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投标文件含有采购人不能接受的附加条件。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.1.10</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委会应当将其作为无效投标处理。</w:t>
      </w:r>
      <w:r/>
    </w:p>
    <w:p>
      <w:pPr>
        <w:ind w:firstLine="420"/>
        <w:keepLines w:val="0"/>
        <w:keepNext w:val="0"/>
        <w:pageBreakBefore w:val="0"/>
        <w:spacing w:line="240" w:lineRule="auto"/>
        <w:widowControl w:val="off"/>
        <w:rPr>
          <w:rFonts w:hint="eastAsia" w:ascii="宋体" w:hAnsi="宋体" w:eastAsia="宋体" w:cs="Times New Roman"/>
          <w:b/>
          <w:bCs/>
          <w:color w:val="000000"/>
          <w:sz w:val="24"/>
          <w:szCs w:val="21"/>
          <w:lang w:val="en-US"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szCs w:val="21"/>
          <w:lang w:val="en-US" w:eastAsia="zh-CN"/>
        </w:rPr>
        <w:t xml:space="preserve">采购产品被财政部、国家发改委、生态环境部等列入“节能产品品目清单”强制采购范围，而投标人提供的产品不在强制采购范围内。</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投标文件未按照招标文件要求加盖电子公章。</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法律法规及本招标文件规定的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无效投标情形。</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废标情形</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w:t>
      </w:r>
      <w:r>
        <w:rPr>
          <w:rFonts w:hint="eastAsia" w:ascii="宋体" w:hAnsi="宋体" w:eastAsia="宋体" w:cs="Times New Roman"/>
          <w:color w:val="000000"/>
          <w:sz w:val="24"/>
          <w:lang w:val="en-US" w:eastAsia="zh-CN"/>
        </w:rPr>
        <w:t xml:space="preserve">资格</w:t>
      </w:r>
      <w:r>
        <w:rPr>
          <w:rFonts w:hint="eastAsia" w:ascii="宋体" w:hAnsi="宋体" w:eastAsia="宋体" w:cs="Times New Roman"/>
          <w:color w:val="000000"/>
          <w:sz w:val="24"/>
          <w:lang w:val="zh-CN"/>
        </w:rPr>
        <w:t xml:space="preserve">条件的供应商或者对招标文件作</w:t>
      </w:r>
      <w:r>
        <w:rPr>
          <w:rFonts w:hint="eastAsia" w:ascii="宋体" w:hAnsi="宋体" w:eastAsia="宋体" w:cs="Times New Roman"/>
          <w:color w:val="000000"/>
          <w:sz w:val="24"/>
          <w:lang w:val="en-US" w:eastAsia="zh-CN"/>
        </w:rPr>
        <w:t xml:space="preserve">出</w:t>
      </w:r>
      <w:r>
        <w:rPr>
          <w:rFonts w:hint="eastAsia" w:ascii="宋体" w:hAnsi="宋体" w:eastAsia="宋体" w:cs="Times New Roman"/>
          <w:color w:val="000000"/>
          <w:sz w:val="24"/>
          <w:lang w:val="zh-CN"/>
        </w:rPr>
        <w:t xml:space="preserve">实质</w:t>
      </w:r>
      <w:r>
        <w:rPr>
          <w:rFonts w:hint="eastAsia" w:ascii="宋体" w:hAnsi="宋体" w:eastAsia="宋体" w:cs="Times New Roman"/>
          <w:color w:val="000000"/>
          <w:sz w:val="24"/>
          <w:lang w:val="en-US" w:eastAsia="zh-CN"/>
        </w:rPr>
        <w:t xml:space="preserve">性</w:t>
      </w:r>
      <w:r>
        <w:rPr>
          <w:rFonts w:hint="eastAsia" w:ascii="宋体" w:hAnsi="宋体" w:eastAsia="宋体" w:cs="Times New Roman"/>
          <w:color w:val="000000"/>
          <w:sz w:val="24"/>
          <w:lang w:val="zh-CN"/>
        </w:rPr>
        <w:t xml:space="preserve">响应的供应商不足三家。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因重大变故采购任务取消。</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评委会认定招标文件存在歧义、重大缺陷导致评审工作无法进行。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因苏采云系统故障造成开标不成功。</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.3 如出现投标截止时间后参加投标的供应商或者对招标文件</w:t>
      </w:r>
      <w:r>
        <w:rPr>
          <w:rFonts w:hint="eastAsia" w:ascii="宋体" w:hAnsi="宋体" w:eastAsia="宋体" w:cs="Times New Roman"/>
          <w:color w:val="000000"/>
          <w:sz w:val="24"/>
          <w:lang w:val="en-US" w:eastAsia="zh-CN"/>
        </w:rPr>
        <w:t xml:space="preserve">作</w:t>
      </w:r>
      <w:r>
        <w:rPr>
          <w:rFonts w:hint="eastAsia" w:ascii="宋体" w:hAnsi="宋体" w:eastAsia="宋体" w:cs="Times New Roman"/>
          <w:color w:val="000000"/>
          <w:sz w:val="24"/>
          <w:lang w:val="zh-CN"/>
        </w:rPr>
        <w:t xml:space="preserve">出实质</w:t>
      </w:r>
      <w:r>
        <w:rPr>
          <w:rFonts w:hint="eastAsia" w:ascii="宋体" w:hAnsi="宋体" w:eastAsia="宋体" w:cs="Times New Roman"/>
          <w:color w:val="000000"/>
          <w:sz w:val="24"/>
          <w:lang w:val="en-US" w:eastAsia="zh-CN"/>
        </w:rPr>
        <w:t xml:space="preserve">性</w:t>
      </w:r>
      <w:r>
        <w:rPr>
          <w:rFonts w:hint="eastAsia" w:ascii="宋体" w:hAnsi="宋体" w:eastAsia="宋体" w:cs="Times New Roman"/>
          <w:color w:val="000000"/>
          <w:sz w:val="24"/>
          <w:lang w:val="zh-CN"/>
        </w:rPr>
        <w:t xml:space="preserve">响应的供应商不足三家</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情况，按政府采购相关规定执行。</w:t>
      </w:r>
      <w:r/>
    </w:p>
    <w:p>
      <w:pPr>
        <w:pStyle w:val="88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70" w:name="_Toc120614219"/>
      <w:r>
        <w:rPr>
          <w:rFonts w:hint="eastAsia" w:ascii="方正黑体_GBK" w:hAnsi="方正黑体_GBK" w:eastAsia="方正黑体_GBK" w:cs="方正黑体_GBK"/>
          <w:b w:val="0"/>
          <w:bCs w:val="0"/>
          <w:color w:val="000000"/>
          <w:sz w:val="30"/>
          <w:szCs w:val="30"/>
        </w:rPr>
        <w:t xml:space="preserve">六、</w:t>
      </w:r>
      <w:bookmarkEnd w:id="167"/>
      <w:r/>
      <w:bookmarkEnd w:id="168"/>
      <w:r/>
      <w:bookmarkEnd w:id="169"/>
      <w:r>
        <w:rPr>
          <w:rFonts w:hint="eastAsia" w:ascii="方正黑体_GBK" w:hAnsi="方正黑体_GBK" w:eastAsia="方正黑体_GBK" w:cs="方正黑体_GBK"/>
          <w:b w:val="0"/>
          <w:bCs w:val="0"/>
          <w:color w:val="000000"/>
          <w:sz w:val="30"/>
          <w:szCs w:val="30"/>
        </w:rPr>
        <w:t xml:space="preserve">定标</w:t>
      </w:r>
      <w:bookmarkEnd w:id="170"/>
      <w:r/>
      <w:r/>
    </w:p>
    <w:p>
      <w:pPr>
        <w:pStyle w:val="885"/>
        <w:ind w:firstLine="422"/>
        <w:pageBreakBefore w:val="0"/>
        <w:spacing w:before="0" w:after="0" w:line="240" w:lineRule="auto"/>
        <w:widowControl w:val="off"/>
        <w:rPr>
          <w:rFonts w:hint="eastAsia" w:ascii="方正楷体_GBK" w:hAnsi="方正楷体_GBK" w:eastAsia="方正楷体_GBK" w:cs="方正楷体_GBK"/>
          <w:b/>
          <w:bCs/>
        </w:rPr>
      </w:pPr>
      <w:r/>
      <w:bookmarkStart w:id="171" w:name="_Toc513029238"/>
      <w:r/>
      <w:bookmarkStart w:id="172" w:name="_Toc16938554"/>
      <w:r/>
      <w:bookmarkStart w:id="173" w:name="_Toc20823310"/>
      <w:r>
        <w:rPr>
          <w:rFonts w:hint="eastAsia" w:ascii="方正楷体_GBK" w:hAnsi="方正楷体_GBK" w:eastAsia="方正楷体_GBK" w:cs="方正楷体_GBK"/>
          <w:b/>
          <w:bCs/>
        </w:rPr>
        <w:t xml:space="preserve">2</w:t>
      </w:r>
      <w:bookmarkEnd w:id="171"/>
      <w:r>
        <w:rPr>
          <w:rFonts w:hint="eastAsia" w:ascii="方正楷体_GBK" w:hAnsi="方正楷体_GBK" w:eastAsia="方正楷体_GBK" w:cs="方正楷体_GBK"/>
          <w:b/>
          <w:bCs/>
          <w:lang w:eastAsia="zh-CN"/>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确定</w:t>
      </w:r>
      <w:bookmarkEnd w:id="172"/>
      <w:r/>
      <w:bookmarkEnd w:id="173"/>
      <w:r>
        <w:rPr>
          <w:rFonts w:hint="eastAsia" w:ascii="方正楷体_GBK" w:hAnsi="方正楷体_GBK" w:eastAsia="方正楷体_GBK" w:cs="方正楷体_GBK"/>
          <w:b/>
          <w:bCs/>
        </w:rPr>
        <w:t xml:space="preserve">中标单位</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中标候选人的</w:t>
      </w:r>
      <w:r>
        <w:rPr>
          <w:rFonts w:hint="eastAsia" w:ascii="宋体" w:hAnsi="宋体" w:eastAsia="宋体" w:cs="Times New Roman"/>
          <w:color w:val="000000"/>
          <w:sz w:val="24"/>
          <w:lang w:val="en-US" w:eastAsia="zh-CN"/>
        </w:rPr>
        <w:t xml:space="preserve">确定</w:t>
      </w:r>
      <w:r>
        <w:rPr>
          <w:rFonts w:hint="eastAsia" w:ascii="宋体" w:hAnsi="宋体" w:eastAsia="宋体" w:cs="Times New Roman"/>
          <w:color w:val="000000"/>
          <w:sz w:val="24"/>
          <w:lang w:val="zh-CN"/>
        </w:rPr>
        <w:t xml:space="preserve">原则和数量见招标文件第五章。 </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.2 </w:t>
      </w:r>
      <w:r>
        <w:rPr>
          <w:rFonts w:hint="eastAsia" w:ascii="宋体" w:hAnsi="宋体" w:eastAsia="宋体" w:cs="Times New Roman"/>
          <w:color w:val="000000"/>
          <w:sz w:val="24"/>
          <w:highlight w:val="none"/>
          <w:lang w:val="zh-CN"/>
        </w:rPr>
        <w:t xml:space="preserve">按以下第（</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（1）评委会直接确定排名第一的中标候选人为中标人；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（2）采购人在评委会推荐的中标候选人中按顺序确定中标人。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按第二种方式确定中标人的，交易中心自评审结束之日起两个工作日内将评审报告送</w:t>
      </w:r>
      <w:r>
        <w:rPr>
          <w:rFonts w:hint="eastAsia" w:ascii="宋体" w:hAnsi="宋体" w:eastAsia="宋体" w:cs="Times New Roman"/>
          <w:color w:val="000000"/>
          <w:sz w:val="24"/>
          <w:lang w:val="en-US" w:eastAsia="zh-CN"/>
        </w:rPr>
        <w:t xml:space="preserve">达</w:t>
      </w:r>
      <w:r>
        <w:rPr>
          <w:rFonts w:hint="eastAsia" w:ascii="宋体" w:hAnsi="宋体" w:eastAsia="宋体" w:cs="Times New Roman"/>
          <w:color w:val="000000"/>
          <w:sz w:val="24"/>
          <w:lang w:val="zh-CN"/>
        </w:rPr>
        <w:t xml:space="preserve">采购人，采购人自收到评审报告之日起五个工作日内，在评审报告推荐的中标候选人中按顺序确定中标人。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将在“江苏政府采购网”发布中标公告，公告期限为1个工作日。</w:t>
      </w:r>
      <w:r/>
    </w:p>
    <w:p>
      <w:pPr>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若有充分证据证明中标人</w:t>
      </w:r>
      <w:r>
        <w:rPr>
          <w:rFonts w:hint="eastAsia" w:ascii="宋体" w:hAnsi="宋体" w:eastAsia="宋体" w:cs="Times New Roman"/>
          <w:b/>
          <w:bCs/>
          <w:color w:val="000000"/>
          <w:sz w:val="24"/>
          <w:lang w:val="en-US" w:eastAsia="zh-CN"/>
        </w:rPr>
        <w:t xml:space="preserve">有</w:t>
      </w:r>
      <w:r>
        <w:rPr>
          <w:rFonts w:hint="eastAsia" w:ascii="宋体" w:hAnsi="宋体" w:eastAsia="宋体" w:cs="Times New Roman"/>
          <w:b/>
          <w:bCs/>
          <w:color w:val="000000"/>
          <w:sz w:val="24"/>
          <w:lang w:val="zh-CN"/>
        </w:rPr>
        <w:t xml:space="preserve">下列情况之一的，一经查实将被取消中标资格：</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提供虚假材料谋取中标。</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.4.2</w:t>
      </w:r>
      <w:r>
        <w:rPr>
          <w:rFonts w:hint="eastAsia" w:ascii="宋体" w:hAnsi="宋体" w:eastAsia="宋体" w:cs="Times New Roman"/>
          <w:color w:val="000000"/>
          <w:sz w:val="24"/>
          <w:lang w:val="zh-CN" w:eastAsia="zh-CN"/>
        </w:rPr>
        <w:t xml:space="preserve"> 向评审专家、采购人或交易中心工作人员行贿或者提供其他不正当利益。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.4.3</w:t>
      </w:r>
      <w:r>
        <w:rPr>
          <w:rFonts w:hint="eastAsia" w:ascii="宋体" w:hAnsi="宋体" w:eastAsia="宋体" w:cs="Times New Roman"/>
          <w:color w:val="000000"/>
          <w:sz w:val="24"/>
          <w:lang w:val="zh-CN" w:eastAsia="zh-CN"/>
        </w:rPr>
        <w:t xml:space="preserve"> 与其他供应商、评审专家、采购人或交易中心工作人员恶意串通。</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.4.4</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属于本文件规定的无效</w:t>
      </w:r>
      <w:r>
        <w:rPr>
          <w:rFonts w:hint="eastAsia" w:ascii="宋体" w:hAnsi="宋体" w:eastAsia="宋体" w:cs="Times New Roman"/>
          <w:color w:val="000000"/>
          <w:sz w:val="24"/>
          <w:lang w:val="zh-CN" w:eastAsia="zh-CN"/>
        </w:rPr>
        <w:t xml:space="preserve">投标情形</w:t>
      </w:r>
      <w:r>
        <w:rPr>
          <w:rFonts w:hint="eastAsia" w:ascii="宋体" w:hAnsi="宋体" w:eastAsia="宋体" w:cs="Times New Roman"/>
          <w:color w:val="000000"/>
          <w:sz w:val="24"/>
          <w:lang w:val="zh-CN"/>
        </w:rPr>
        <w:t xml:space="preserve">，但在评标过程中未被评委会发现。</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.4.5</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采取不正当手段诋毁、排挤其他供应商。</w:t>
      </w:r>
      <w:r/>
    </w:p>
    <w:p>
      <w:pPr>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bookmarkStart w:id="174" w:name="_Toc2004519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有下列情形之一的视为投标人串通投标，投标无效：</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不同投标人的投标文件由同一单位或者个人编制。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不同投标人委托同一单位或者个人办理投标事宜。</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不同投标人的投标文件载明的项目管理成员或者联系人员为同一人。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不同投标人的投标文件异常一致或者投标报价呈规律性差异。</w:t>
      </w:r>
      <w:bookmarkEnd w:id="174"/>
      <w:r/>
      <w:r/>
    </w:p>
    <w:p>
      <w:pPr>
        <w:pStyle w:val="885"/>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7.</w:t>
      </w:r>
      <w:r>
        <w:rPr>
          <w:rFonts w:hint="eastAsia" w:ascii="方正楷体_GBK" w:hAnsi="方正楷体_GBK" w:eastAsia="方正楷体_GBK" w:cs="方正楷体_GBK"/>
          <w:b/>
          <w:bCs/>
        </w:rPr>
        <w:t xml:space="preserve">中标通知书</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.l 中标结果确定后，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将向中标人发出《中标通知书》。中标人</w:t>
      </w:r>
      <w:r>
        <w:rPr>
          <w:rFonts w:hint="eastAsia" w:ascii="宋体" w:hAnsi="宋体" w:eastAsia="宋体" w:cs="Times New Roman"/>
          <w:color w:val="000000"/>
          <w:sz w:val="24"/>
          <w:lang w:val="en-US" w:eastAsia="zh-CN"/>
        </w:rPr>
        <w:t xml:space="preserve">可</w:t>
      </w:r>
      <w:r>
        <w:rPr>
          <w:rFonts w:hint="eastAsia" w:ascii="宋体" w:hAnsi="宋体" w:eastAsia="宋体" w:cs="Times New Roman"/>
          <w:color w:val="000000"/>
          <w:sz w:val="24"/>
          <w:lang w:val="zh-CN"/>
        </w:rPr>
        <w:t xml:space="preserve">在中标结果公告届满之日起三十日内，登录苏采云系统下载。</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中标通知书</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是合同的一个组成部分，对采购人和中标人均具有法律效力。《中标通知书》发出后，采购人改变中标结果或者中标人放弃中标项目的，应当依法承担法律责任。</w:t>
      </w:r>
      <w:r/>
    </w:p>
    <w:p>
      <w:pPr>
        <w:pStyle w:val="88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75" w:name="_Toc120614220"/>
      <w:r/>
      <w:bookmarkStart w:id="176" w:name="_Toc20823308"/>
      <w:r/>
      <w:bookmarkStart w:id="177" w:name="_Toc16938552"/>
      <w:r/>
      <w:bookmarkStart w:id="178" w:name="_Toc513029236"/>
      <w:r>
        <w:rPr>
          <w:rFonts w:hint="eastAsia" w:ascii="方正黑体_GBK" w:hAnsi="方正黑体_GBK" w:eastAsia="方正黑体_GBK" w:cs="方正黑体_GBK"/>
          <w:b w:val="0"/>
          <w:bCs w:val="0"/>
          <w:color w:val="000000"/>
          <w:sz w:val="30"/>
          <w:szCs w:val="30"/>
        </w:rPr>
        <w:t xml:space="preserve">七、授予合同</w:t>
      </w:r>
      <w:bookmarkEnd w:id="175"/>
      <w:r/>
      <w:bookmarkEnd w:id="176"/>
      <w:r/>
      <w:bookmarkEnd w:id="177"/>
      <w:r/>
      <w:bookmarkEnd w:id="178"/>
      <w:r/>
      <w:r/>
    </w:p>
    <w:p>
      <w:pPr>
        <w:pStyle w:val="885"/>
        <w:ind w:firstLine="422"/>
        <w:pageBreakBefore w:val="0"/>
        <w:spacing w:before="0" w:after="0" w:line="240" w:lineRule="auto"/>
        <w:widowControl w:val="off"/>
        <w:rPr>
          <w:rFonts w:hint="eastAsia" w:ascii="方正楷体_GBK" w:hAnsi="方正楷体_GBK" w:eastAsia="方正楷体_GBK" w:cs="方正楷体_GBK"/>
          <w:b/>
          <w:bCs/>
        </w:rPr>
      </w:pPr>
      <w:r/>
      <w:bookmarkStart w:id="179" w:name="_Toc513029237"/>
      <w:r/>
      <w:bookmarkStart w:id="180" w:name="_Toc20823309"/>
      <w:r/>
      <w:bookmarkStart w:id="181" w:name="_Toc16938553"/>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8.</w:t>
      </w:r>
      <w:r>
        <w:rPr>
          <w:rFonts w:hint="eastAsia" w:ascii="方正楷体_GBK" w:hAnsi="方正楷体_GBK" w:eastAsia="方正楷体_GBK" w:cs="方正楷体_GBK"/>
          <w:b/>
          <w:bCs/>
        </w:rPr>
        <w:t xml:space="preserve">签订合同</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.l</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中标人应当在《中标通知书》发出之日起三十日内，按照招标文件确定的事项与采购人签订政府采购合同。采购人于合同签订后2个工作日内通过苏采云系统进行公示。</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.2 招标文件、中标人的投标文件及招标过程中有关澄清、承诺文件均作为合同附件。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.4 中标人因自身原因拒绝与采购人签订合同的，不得参加采购人</w:t>
      </w:r>
      <w:r>
        <w:rPr>
          <w:rFonts w:hint="eastAsia" w:ascii="宋体" w:hAnsi="宋体" w:eastAsia="宋体" w:cs="Times New Roman"/>
          <w:color w:val="000000"/>
          <w:sz w:val="24"/>
          <w:lang w:val="en-US" w:eastAsia="zh-CN"/>
        </w:rPr>
        <w:t xml:space="preserve">重新组织的</w:t>
      </w:r>
      <w:r>
        <w:rPr>
          <w:rFonts w:hint="eastAsia" w:ascii="宋体" w:hAnsi="宋体" w:eastAsia="宋体" w:cs="Times New Roman"/>
          <w:color w:val="000000"/>
          <w:sz w:val="24"/>
          <w:lang w:val="zh-CN" w:eastAsia="zh-CN"/>
        </w:rPr>
        <w:t xml:space="preserve">采购活动</w:t>
      </w:r>
      <w:r>
        <w:rPr>
          <w:rFonts w:hint="eastAsia"/>
          <w:lang w:eastAsia="zh-CN"/>
        </w:rPr>
        <w:t xml:space="preserve">，</w:t>
      </w:r>
      <w:r>
        <w:rPr>
          <w:rFonts w:hint="eastAsia" w:ascii="宋体" w:hAnsi="宋体" w:eastAsia="宋体" w:cs="Times New Roman"/>
          <w:color w:val="000000"/>
          <w:sz w:val="24"/>
          <w:lang w:val="en-US" w:eastAsia="zh-CN"/>
        </w:rPr>
        <w:t xml:space="preserve">且将可能被拒绝参加该采购人</w:t>
      </w:r>
      <w:r>
        <w:rPr>
          <w:rFonts w:hint="eastAsia" w:ascii="宋体" w:hAnsi="宋体" w:eastAsia="宋体" w:cs="Times New Roman"/>
          <w:color w:val="000000"/>
          <w:sz w:val="24"/>
          <w:lang w:val="zh-CN" w:eastAsia="zh-CN"/>
        </w:rPr>
        <w:t xml:space="preserve">一年内</w:t>
      </w:r>
      <w:r>
        <w:rPr>
          <w:rFonts w:hint="eastAsia" w:ascii="宋体" w:hAnsi="宋体" w:eastAsia="宋体" w:cs="Times New Roman"/>
          <w:color w:val="000000"/>
          <w:sz w:val="24"/>
          <w:lang w:val="en-US" w:eastAsia="zh-CN"/>
        </w:rPr>
        <w:t xml:space="preserve">的其他</w:t>
      </w:r>
      <w:r>
        <w:rPr>
          <w:rFonts w:hint="eastAsia" w:ascii="宋体" w:hAnsi="宋体" w:eastAsia="宋体" w:cs="Times New Roman"/>
          <w:color w:val="000000"/>
          <w:sz w:val="24"/>
          <w:lang w:val="zh-CN" w:eastAsia="zh-CN"/>
        </w:rPr>
        <w:t xml:space="preserve">政府采购活动。</w:t>
      </w:r>
      <w:r/>
    </w:p>
    <w:p>
      <w:pPr>
        <w:pStyle w:val="885"/>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29.</w:t>
      </w:r>
      <w:r>
        <w:rPr>
          <w:rFonts w:hint="eastAsia" w:ascii="方正楷体_GBK" w:hAnsi="方正楷体_GBK" w:eastAsia="方正楷体_GBK" w:cs="方正楷体_GBK"/>
          <w:b/>
          <w:bCs/>
          <w:lang w:eastAsia="zh-CN"/>
        </w:rPr>
        <w:t xml:space="preserve">标的物</w:t>
      </w:r>
      <w:r>
        <w:rPr>
          <w:rFonts w:hint="eastAsia" w:ascii="方正楷体_GBK" w:hAnsi="方正楷体_GBK" w:eastAsia="方正楷体_GBK" w:cs="方正楷体_GBK"/>
          <w:b/>
          <w:bCs/>
        </w:rPr>
        <w:t xml:space="preserve">的追加</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29</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eastAsia="zh-CN"/>
        </w:rPr>
        <w:t xml:space="preserve">10%。</w:t>
      </w:r>
      <w:bookmarkEnd w:id="179"/>
      <w:r/>
      <w:bookmarkEnd w:id="180"/>
      <w:r/>
      <w:bookmarkEnd w:id="181"/>
      <w:r/>
      <w:r/>
    </w:p>
    <w:p>
      <w:pPr>
        <w:pStyle w:val="885"/>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30.</w:t>
      </w:r>
      <w:r>
        <w:rPr>
          <w:rFonts w:hint="eastAsia" w:ascii="方正楷体_GBK" w:hAnsi="方正楷体_GBK" w:eastAsia="方正楷体_GBK" w:cs="方正楷体_GBK"/>
          <w:b/>
          <w:bCs/>
        </w:rPr>
        <w:t xml:space="preserve">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30.1 </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eastAsia="zh-CN"/>
        </w:rPr>
        <w:t xml:space="preserve">南京市公共资源交易平台网站“小企业融资平台”，</w:t>
      </w:r>
      <w:r>
        <w:rPr>
          <w:rFonts w:hint="eastAsia" w:ascii="宋体" w:hAnsi="宋体" w:eastAsia="宋体" w:cs="Times New Roman"/>
          <w:color w:val="000000"/>
          <w:sz w:val="24"/>
          <w:lang w:val="en-US" w:eastAsia="zh-CN"/>
        </w:rPr>
        <w:t xml:space="preserve">选择相应的金融机构</w:t>
      </w:r>
      <w:r>
        <w:rPr>
          <w:rFonts w:hint="eastAsia" w:ascii="宋体" w:hAnsi="宋体" w:eastAsia="宋体" w:cs="Times New Roman"/>
          <w:color w:val="000000"/>
          <w:sz w:val="24"/>
          <w:lang w:val="zh-CN" w:eastAsia="zh-CN"/>
        </w:rPr>
        <w:t xml:space="preserve">办理融资贷款。</w:t>
      </w:r>
      <w:r/>
    </w:p>
    <w:p>
      <w:pPr>
        <w:ind w:firstLine="420"/>
        <w:spacing w:line="240" w:lineRule="auto"/>
        <w:rPr>
          <w:rFonts w:hint="eastAsia"/>
          <w:lang w:val="zh-CN" w:eastAsia="zh-CN"/>
        </w:rPr>
      </w:pPr>
      <w:r>
        <w:rPr>
          <w:rFonts w:hint="eastAsia" w:ascii="宋体" w:hAnsi="宋体" w:eastAsia="宋体" w:cs="Times New Roman"/>
          <w:color w:val="000000"/>
          <w:sz w:val="24"/>
          <w:lang w:val="en-US" w:eastAsia="zh-CN"/>
        </w:rPr>
        <w:t xml:space="preserve">30.2 依据《关于在全省政府采购领域推行电子履约保函（保险）的通知》（苏财购</w:t>
      </w:r>
      <w:r>
        <w:rPr>
          <w:rFonts w:hint="eastAsia" w:ascii="宋体" w:hAnsi="宋体" w:eastAsia="宋体" w:cs="宋体"/>
          <w:sz w:val="24"/>
          <w:szCs w:val="24"/>
          <w:lang w:val="en-US" w:eastAsia="zh-CN"/>
        </w:rPr>
        <w:t xml:space="preserve">〔2023〕</w:t>
      </w:r>
      <w:r>
        <w:rPr>
          <w:rFonts w:hint="eastAsia" w:ascii="宋体" w:hAnsi="宋体" w:eastAsia="宋体" w:cs="Times New Roman"/>
          <w:color w:val="000000"/>
          <w:sz w:val="24"/>
          <w:lang w:val="en-US" w:eastAsia="zh-CN"/>
        </w:rPr>
        <w:t xml:space="preserve">150号），需要缴纳履约保证金，</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p>
    <w:p>
      <w:pPr>
        <w:pStyle w:val="88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规定以书面形式向采购人或交易中心提出质疑。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2.1 对采购文件提出质疑的，为收到采购文件之日或者采购文件公告期限届满之日。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2.2 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2.3 对中标或者成交结果提出质疑的，为中标或者成交结果公告期限届满之日。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供应商如组成联合体参加采购活动，《质疑函范本》中要求加盖公章之处，联合体各方均须按要求加盖公章。</w:t>
      </w:r>
      <w:r/>
    </w:p>
    <w:p>
      <w:pPr>
        <w:ind w:firstLine="420"/>
        <w:keepLines w:val="0"/>
        <w:keepNext w:val="0"/>
        <w:pageBreakBefore w:val="0"/>
        <w:spacing w:line="240" w:lineRule="auto"/>
        <w:widowControl w:val="off"/>
        <w:rPr>
          <w:rFonts w:hint="eastAsia" w:ascii="宋体" w:hAnsi="宋体" w:eastAsia="宋体" w:cs="Times New Roman"/>
          <w:b w:val="0"/>
          <w:bCs w:val="0"/>
          <w:color w:val="000000"/>
          <w:sz w:val="24"/>
          <w:lang w:val="zh-CN"/>
        </w:rPr>
      </w:pPr>
      <w:r>
        <w:rPr>
          <w:rFonts w:hint="eastAsia" w:ascii="宋体" w:hAnsi="宋体" w:cs="Times New Roman"/>
          <w:color w:val="000000"/>
          <w:sz w:val="24"/>
          <w:lang w:val="en-US" w:eastAsia="zh-CN"/>
        </w:rPr>
        <w:t xml:space="preserve">35.</w:t>
      </w:r>
      <w:r>
        <w:rPr>
          <w:rFonts w:hint="eastAsia" w:ascii="宋体" w:hAnsi="宋体" w:eastAsia="宋体" w:cs="Times New Roman"/>
          <w:b/>
          <w:bCs/>
          <w:color w:val="000000"/>
          <w:sz w:val="24"/>
          <w:lang w:val="zh-CN"/>
        </w:rPr>
        <w:t xml:space="preserve">供应商（含潜在供应商）对采购方式、采购需求、供应商资格条件及审查结果、评标方法和评标标准、合同文本的询问、质疑向采购人提出，由采购人负责答复。</w:t>
      </w:r>
      <w:r>
        <w:rPr>
          <w:rFonts w:hint="eastAsia" w:ascii="宋体" w:hAnsi="宋体" w:eastAsia="宋体" w:cs="Times New Roman"/>
          <w:b w:val="0"/>
          <w:bCs w:val="0"/>
          <w:color w:val="000000"/>
          <w:sz w:val="24"/>
          <w:lang w:val="zh-CN"/>
        </w:rPr>
        <w:t xml:space="preserve">供应商对除上述事项以外其他事项的询问、质疑向交易中心提出，由交易中心负责答复。</w:t>
      </w:r>
      <w:r/>
    </w:p>
    <w:p>
      <w:pPr>
        <w:ind w:firstLine="422"/>
        <w:keepLines w:val="0"/>
        <w:keepNext w:val="0"/>
        <w:pageBreakBefore w:val="0"/>
        <w:spacing w:line="240" w:lineRule="auto"/>
        <w:widowControl w:val="off"/>
        <w:rPr>
          <w:rFonts w:hint="eastAsia" w:ascii="宋体" w:hAnsi="宋体" w:eastAsia="宋体" w:cs="Times New Roman"/>
          <w:b/>
          <w:bCs/>
          <w:color w:val="000000"/>
          <w:sz w:val="24"/>
          <w:lang w:val="zh-CN" w:eastAsia="zh-CN"/>
        </w:rPr>
      </w:pPr>
      <w:r>
        <w:rPr>
          <w:rFonts w:hint="eastAsia" w:ascii="宋体" w:hAnsi="宋体" w:eastAsia="宋体" w:cs="Times New Roman"/>
          <w:b/>
          <w:bCs/>
          <w:color w:val="000000"/>
          <w:sz w:val="24"/>
          <w:lang w:val="zh-CN" w:eastAsia="zh-CN"/>
        </w:rPr>
        <w:t xml:space="preserve">采购人《质疑函》接收人及联系方式见招标文件第一章。</w:t>
      </w:r>
      <w:r/>
    </w:p>
    <w:p>
      <w:pPr>
        <w:ind w:firstLine="422"/>
        <w:keepLines w:val="0"/>
        <w:keepNext w:val="0"/>
        <w:pageBreakBefore w:val="0"/>
        <w:spacing w:line="240" w:lineRule="auto"/>
        <w:widowControl w:val="off"/>
        <w:rPr>
          <w:rFonts w:hint="eastAsia" w:ascii="宋体" w:hAnsi="宋体" w:eastAsia="宋体" w:cs="Times New Roman"/>
          <w:b w:val="0"/>
          <w:bCs w:val="0"/>
          <w:color w:val="000000"/>
          <w:sz w:val="24"/>
          <w:lang w:val="zh-CN" w:eastAsia="zh-CN"/>
        </w:rPr>
      </w:pPr>
      <w:r>
        <w:rPr>
          <w:rFonts w:hint="eastAsia" w:ascii="宋体" w:hAnsi="宋体" w:eastAsia="宋体" w:cs="Times New Roman"/>
          <w:b w:val="0"/>
          <w:bCs w:val="0"/>
          <w:color w:val="000000"/>
          <w:sz w:val="24"/>
          <w:lang w:val="zh-CN" w:eastAsia="zh-CN"/>
        </w:rPr>
        <w:t xml:space="preserve">交易中心《质疑函》接收部门为政府采购处。收件人：南京市公共资源交易中心政府采购处，地址：南京市浦口区江浦街道象山路4号浦口市民中心B幢五楼受理大厅，联系电话：025-69659047。</w:t>
      </w:r>
      <w:r/>
    </w:p>
    <w:p>
      <w:pPr>
        <w:ind w:firstLine="422"/>
        <w:keepLines w:val="0"/>
        <w:keepNext w:val="0"/>
        <w:pageBreakBefore w:val="0"/>
        <w:spacing w:line="240" w:lineRule="auto"/>
        <w:widowControl w:val="off"/>
        <w:rPr>
          <w:rFonts w:hint="eastAsia" w:ascii="宋体" w:hAnsi="宋体" w:eastAsia="宋体" w:cs="Times New Roman"/>
          <w:b/>
          <w:bCs/>
          <w:color w:val="000000"/>
          <w:sz w:val="24"/>
          <w:lang w:val="zh-CN" w:eastAsia="zh-CN"/>
        </w:rPr>
      </w:pPr>
      <w:r>
        <w:rPr>
          <w:rFonts w:hint="eastAsia" w:ascii="宋体" w:hAnsi="宋体" w:eastAsia="宋体" w:cs="Times New Roman"/>
          <w:b/>
          <w:bCs/>
          <w:color w:val="000000"/>
          <w:sz w:val="24"/>
          <w:lang w:val="zh-CN" w:eastAsia="zh-CN"/>
        </w:rPr>
        <w:t xml:space="preserve">由采购人负责答复的质疑，采购人将《质疑答复函》抄送交易中心。</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内容不符合《政府采购质疑和投诉办法》第十二条规定的质疑。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以传真、电子邮件等方式递交的非原件形式的质疑。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6.4 未参加采购活动或在采购活动中自身权益未受到损害的供应商所提出的质疑。</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zh-CN"/>
        </w:rPr>
        <w:t xml:space="preserve">6.5 供应商组成联合体参加采购活动，联合体中任何一方或多方未按要求签字</w:t>
      </w:r>
      <w:r>
        <w:rPr>
          <w:rFonts w:hint="eastAsia" w:ascii="宋体" w:hAnsi="宋体" w:eastAsia="宋体" w:cs="Times New Roman"/>
          <w:color w:val="000000"/>
          <w:sz w:val="24"/>
          <w:lang w:val="zh-CN" w:eastAsia="zh-CN"/>
        </w:rPr>
        <w:t xml:space="preserve">或签章</w:t>
      </w:r>
      <w:r>
        <w:rPr>
          <w:rFonts w:hint="eastAsia" w:ascii="宋体" w:hAnsi="宋体" w:eastAsia="宋体" w:cs="Times New Roman"/>
          <w:color w:val="000000"/>
          <w:sz w:val="24"/>
          <w:lang w:val="zh-CN"/>
        </w:rPr>
        <w:t xml:space="preserve">、加盖公章的质疑。</w:t>
      </w:r>
      <w:r/>
    </w:p>
    <w:p>
      <w:pPr>
        <w:ind w:firstLine="42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 法律法规规定的</w:t>
      </w:r>
      <w:r>
        <w:rPr>
          <w:rFonts w:hint="eastAsia" w:ascii="宋体" w:hAnsi="宋体" w:eastAsia="宋体" w:cs="Times New Roman"/>
          <w:color w:val="000000"/>
          <w:sz w:val="24"/>
          <w:lang w:val="zh-CN" w:eastAsia="zh-CN"/>
        </w:rPr>
        <w:t xml:space="preserve">其他</w:t>
      </w:r>
      <w:r>
        <w:rPr>
          <w:rFonts w:hint="eastAsia" w:ascii="宋体" w:hAnsi="宋体" w:eastAsia="宋体" w:cs="Times New Roman"/>
          <w:color w:val="000000"/>
          <w:sz w:val="24"/>
          <w:lang w:val="zh-CN"/>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884"/>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p>
    <w:p>
      <w:pPr>
        <w:pStyle w:val="885"/>
        <w:ind w:firstLine="422"/>
        <w:spacing w:before="0" w:after="0" w:line="240" w:lineRule="auto"/>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p>
    <w:p>
      <w:pPr>
        <w:ind w:firstLine="42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w:t>
      </w:r>
      <w:r>
        <w:rPr>
          <w:rFonts w:hint="eastAsia" w:ascii="宋体" w:hAnsi="宋体" w:eastAsia="宋体" w:cs="Times New Roman"/>
          <w:color w:val="000000"/>
          <w:sz w:val="24"/>
          <w:lang w:val="zh-CN" w:eastAsia="zh-CN"/>
        </w:rPr>
        <w:t xml:space="preserve">本项目中的</w:t>
      </w:r>
      <w:r>
        <w:rPr>
          <w:rFonts w:hint="eastAsia" w:ascii="宋体" w:hAnsi="宋体" w:eastAsia="宋体" w:cs="Times New Roman"/>
          <w:color w:val="000000"/>
          <w:sz w:val="24"/>
          <w:lang w:val="zh-CN"/>
        </w:rPr>
        <w:t xml:space="preserve">货物</w:t>
      </w:r>
      <w:r>
        <w:rPr>
          <w:rFonts w:hint="eastAsia" w:ascii="宋体" w:hAnsi="宋体" w:eastAsia="宋体" w:cs="Times New Roman"/>
          <w:color w:val="000000"/>
          <w:sz w:val="24"/>
          <w:lang w:val="zh-CN" w:eastAsia="zh-CN"/>
        </w:rPr>
        <w:t xml:space="preserve">全部</w:t>
      </w:r>
      <w:r>
        <w:rPr>
          <w:rFonts w:hint="eastAsia" w:ascii="宋体" w:hAnsi="宋体" w:eastAsia="宋体" w:cs="Times New Roman"/>
          <w:color w:val="000000"/>
          <w:sz w:val="24"/>
          <w:lang w:val="zh-CN"/>
        </w:rPr>
        <w:t xml:space="preserve">由中小企业制造的，</w:t>
      </w:r>
      <w:r>
        <w:rPr>
          <w:rFonts w:hint="eastAsia" w:ascii="宋体" w:hAnsi="宋体" w:eastAsia="宋体" w:cs="Times New Roman"/>
          <w:color w:val="000000"/>
          <w:sz w:val="24"/>
          <w:lang w:val="zh-CN" w:eastAsia="zh-CN"/>
        </w:rPr>
        <w:t xml:space="preserve">投标供应商</w:t>
      </w:r>
      <w:r>
        <w:rPr>
          <w:rFonts w:hint="eastAsia" w:ascii="宋体" w:hAnsi="宋体" w:eastAsia="宋体" w:cs="Times New Roman"/>
          <w:color w:val="000000"/>
          <w:sz w:val="24"/>
          <w:lang w:val="zh-CN"/>
        </w:rPr>
        <w:t xml:space="preserve">享受中小企业扶持政策。</w:t>
      </w:r>
      <w:r/>
    </w:p>
    <w:p>
      <w:pPr>
        <w:ind w:firstLine="42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p>
    <w:p>
      <w:pPr>
        <w:ind w:firstLine="42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p>
    <w:p>
      <w:pPr>
        <w:ind w:firstLine="42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sz w:val="24"/>
          <w:szCs w:val="24"/>
        </w:rPr>
        <w:t xml:space="preserve">监狱和戒毒企业（简称监狱企业）视同小型、微型企业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p>
    <w:p>
      <w:pPr>
        <w:ind w:firstLine="42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r/>
    </w:p>
    <w:p>
      <w:pPr>
        <w:ind w:firstLine="42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jc w:val="center"/>
        <w:keepLines w:val="0"/>
        <w:keepNext w:val="0"/>
        <w:pageBreakBefore w:val="0"/>
        <w:spacing w:line="252" w:lineRule="auto"/>
        <w:widowControl w:val="off"/>
        <w:rPr>
          <w:rFonts w:hint="eastAsia" w:ascii="黑体" w:hAnsi="Times New Roman" w:eastAsia="黑体" w:cs="Times New Roman"/>
          <w:color w:val="000000"/>
          <w:sz w:val="44"/>
          <w:szCs w:val="44"/>
        </w:rPr>
      </w:pPr>
      <w:r>
        <w:rPr>
          <w:rFonts w:hint="eastAsia" w:ascii="宋体" w:hAnsi="宋体" w:eastAsia="宋体" w:cs="Times New Roman"/>
          <w:color w:val="000000"/>
          <w:sz w:val="24"/>
          <w:lang w:val="zh-CN"/>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lang w:val="en-US"/>
        </w:rPr>
        <w:t xml:space="preserve">文本</w:t>
      </w:r>
      <w:r/>
    </w:p>
    <w:p>
      <w:pPr>
        <w:ind w:firstLine="480"/>
        <w:keepLines w:val="0"/>
        <w:keepNext w:val="0"/>
        <w:pageBreakBefore w:val="0"/>
        <w:spacing w:line="264" w:lineRule="auto"/>
        <w:widowControl w:val="off"/>
        <w:rPr>
          <w:rFonts w:hint="eastAsia" w:ascii="宋体" w:hAnsi="宋体"/>
          <w:bCs/>
          <w:color w:val="000000"/>
          <w:sz w:val="24"/>
          <w:szCs w:val="21"/>
        </w:rPr>
      </w:pPr>
      <w:r/>
      <w:bookmarkStart w:id="182" w:name="_Toc513029243"/>
      <w:r/>
      <w:bookmarkStart w:id="183" w:name="_Toc20823315"/>
      <w:r/>
      <w:bookmarkStart w:id="184" w:name="_Toc16938559"/>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bookmarkEnd w:id="182"/>
      <w:r/>
      <w:bookmarkEnd w:id="183"/>
      <w:r/>
      <w:bookmarkEnd w:id="184"/>
      <w:r/>
      <w:r/>
    </w:p>
    <w:p>
      <w:pPr>
        <w:pStyle w:val="959"/>
        <w:jc w:val="center"/>
        <w:rPr>
          <w:rFonts w:hint="eastAsia" w:ascii="方正黑体_GBK" w:hAnsi="方正黑体_GBK" w:eastAsia="方正黑体_GBK" w:cs="方正黑体_GBK"/>
          <w:b w:val="0"/>
          <w:bCs w:val="0"/>
          <w:spacing w:val="-20"/>
          <w:sz w:val="48"/>
          <w:szCs w:val="48"/>
        </w:rPr>
      </w:pPr>
      <w:r/>
      <w:bookmarkStart w:id="185" w:name="_Hlt16619350"/>
      <w:r/>
      <w:bookmarkStart w:id="186" w:name="_Toc20823346"/>
      <w:r/>
      <w:bookmarkStart w:id="187" w:name="_Toc16938590"/>
      <w:r/>
      <w:bookmarkStart w:id="188" w:name="_Toc120614244"/>
      <w:r/>
      <w:bookmarkStart w:id="189" w:name="_Toc462564139"/>
      <w:r/>
      <w:bookmarkStart w:id="190" w:name="_Toc479757211"/>
      <w:r/>
      <w:r/>
    </w:p>
    <w:p>
      <w:pPr>
        <w:pStyle w:val="959"/>
        <w:jc w:val="center"/>
        <w:rPr>
          <w:rFonts w:hint="eastAsia" w:ascii="方正黑体_GBK" w:hAnsi="方正黑体_GBK" w:eastAsia="方正黑体_GBK" w:cs="方正黑体_GBK"/>
          <w:b w:val="0"/>
          <w:bCs w:val="0"/>
          <w:spacing w:val="-20"/>
          <w:sz w:val="48"/>
          <w:szCs w:val="48"/>
        </w:rPr>
      </w:pPr>
      <w:r>
        <w:rPr>
          <w:rFonts w:hint="eastAsia" w:ascii="方正黑体_GBK" w:hAnsi="方正黑体_GBK" w:eastAsia="方正黑体_GBK" w:cs="方正黑体_GBK"/>
          <w:b w:val="0"/>
          <w:bCs w:val="0"/>
          <w:spacing w:val="-20"/>
          <w:sz w:val="48"/>
          <w:szCs w:val="48"/>
        </w:rPr>
        <w:t xml:space="preserve">政府采购货物买卖合同</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firstLine="1120"/>
        <w:spacing w:line="360" w:lineRule="auto"/>
        <w:rPr>
          <w:sz w:val="28"/>
          <w:szCs w:val="28"/>
        </w:rPr>
      </w:pPr>
      <w:r>
        <w:rPr>
          <w:rFonts w:hint="eastAsia" w:ascii="宋体" w:hAnsi="宋体" w:cs="宋体"/>
          <w:sz w:val="28"/>
          <w:szCs w:val="28"/>
        </w:rPr>
        <w:t xml:space="preserve">项目名称：</w:t>
      </w:r>
      <w:r>
        <w:rPr>
          <w:rFonts w:hint="eastAsia"/>
          <w:sz w:val="28"/>
          <w:szCs w:val="28"/>
          <w:u w:val="single"/>
        </w:rPr>
        <w:t xml:space="preserve">                             </w:t>
      </w:r>
      <w:r/>
    </w:p>
    <w:p>
      <w:pPr>
        <w:ind w:left="420" w:firstLine="1120"/>
        <w:spacing w:line="360" w:lineRule="auto"/>
        <w:rPr>
          <w:sz w:val="28"/>
          <w:szCs w:val="28"/>
          <w:u w:val="single"/>
        </w:rPr>
      </w:pPr>
      <w:r>
        <w:rPr>
          <w:rFonts w:hint="eastAsia"/>
          <w:sz w:val="28"/>
          <w:szCs w:val="28"/>
        </w:rPr>
        <w:t xml:space="preserve">合同编号：</w:t>
      </w:r>
      <w:r>
        <w:rPr>
          <w:rFonts w:hint="eastAsia"/>
          <w:sz w:val="28"/>
          <w:szCs w:val="28"/>
          <w:u w:val="single"/>
        </w:rPr>
        <w:t xml:space="preserve">                             </w:t>
      </w:r>
      <w:r/>
    </w:p>
    <w:p>
      <w:pPr>
        <w:ind w:left="420" w:firstLine="1120"/>
        <w:spacing w:line="360" w:lineRule="auto"/>
        <w:rPr>
          <w:sz w:val="28"/>
          <w:szCs w:val="28"/>
        </w:rPr>
      </w:pPr>
      <w:r>
        <w:rPr>
          <w:rFonts w:hint="eastAsia"/>
          <w:sz w:val="28"/>
          <w:szCs w:val="28"/>
          <w:u w:val="none"/>
          <w:lang w:eastAsia="zh-CN"/>
        </w:rPr>
        <w:t xml:space="preserve">采购人（甲方）：</w:t>
      </w:r>
      <w:r>
        <w:rPr>
          <w:rFonts w:hint="eastAsia"/>
          <w:sz w:val="28"/>
          <w:szCs w:val="28"/>
          <w:u w:val="single"/>
        </w:rPr>
        <w:t xml:space="preserve">                       </w:t>
      </w:r>
      <w:r/>
    </w:p>
    <w:p>
      <w:pPr>
        <w:ind w:left="420" w:firstLine="1120"/>
        <w:spacing w:line="360" w:lineRule="auto"/>
        <w:rPr>
          <w:sz w:val="28"/>
          <w:szCs w:val="28"/>
          <w:u w:val="single"/>
        </w:rPr>
      </w:pPr>
      <w:r>
        <w:rPr>
          <w:rFonts w:hint="eastAsia"/>
          <w:sz w:val="28"/>
          <w:szCs w:val="28"/>
          <w:u w:val="none"/>
          <w:lang w:eastAsia="zh-CN"/>
        </w:rPr>
        <w:t xml:space="preserve">供应商</w:t>
      </w:r>
      <w:r>
        <w:rPr>
          <w:rFonts w:hint="eastAsia"/>
          <w:sz w:val="28"/>
          <w:szCs w:val="28"/>
          <w:u w:val="none"/>
        </w:rPr>
        <w:t xml:space="preserve">（</w:t>
      </w:r>
      <w:r>
        <w:rPr>
          <w:rFonts w:hint="eastAsia"/>
          <w:sz w:val="28"/>
          <w:szCs w:val="28"/>
          <w:u w:val="none"/>
          <w:lang w:eastAsia="zh-CN"/>
        </w:rPr>
        <w:t xml:space="preserve">乙</w:t>
      </w:r>
      <w:r>
        <w:rPr>
          <w:rFonts w:hint="eastAsia"/>
          <w:sz w:val="28"/>
          <w:szCs w:val="28"/>
          <w:u w:val="none"/>
        </w:rPr>
        <w:t xml:space="preserve">方）：</w:t>
      </w:r>
      <w:r>
        <w:rPr>
          <w:rFonts w:hint="eastAsia"/>
          <w:sz w:val="28"/>
          <w:szCs w:val="28"/>
          <w:u w:val="single"/>
        </w:rPr>
        <w:t xml:space="preserve">                       </w:t>
      </w:r>
      <w:r/>
    </w:p>
    <w:p>
      <w:pPr>
        <w:ind w:left="420" w:firstLine="1120"/>
        <w:spacing w:line="360" w:lineRule="auto"/>
        <w:rPr>
          <w:sz w:val="28"/>
          <w:szCs w:val="28"/>
        </w:rPr>
      </w:pPr>
      <w:r>
        <w:rPr>
          <w:rFonts w:hint="eastAsia"/>
          <w:sz w:val="28"/>
          <w:szCs w:val="28"/>
        </w:rPr>
        <w:t xml:space="preserve">签订时间：</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p>
    <w:p>
      <w:pPr>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rPr>
        <w:outlineLvl w:val="0"/>
      </w:pPr>
      <w:r>
        <w:rPr>
          <w:rFonts w:hint="eastAsia" w:ascii="方正小标宋简体" w:hAnsi="方正小标宋简体" w:eastAsia="方正小标宋简体" w:cs="方正小标宋简体"/>
          <w:b w:val="0"/>
          <w:bCs/>
          <w:color w:val="000000"/>
          <w:sz w:val="32"/>
          <w:szCs w:val="32"/>
        </w:rPr>
      </w:r>
      <w:r/>
    </w:p>
    <w:p>
      <w:pPr>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rPr>
        <w:outlineLvl w:val="0"/>
      </w:pPr>
      <w:r>
        <w:rPr>
          <w:rFonts w:hint="eastAsia" w:ascii="方正小标宋简体" w:hAnsi="方正小标宋简体" w:eastAsia="方正小标宋简体" w:cs="方正小标宋简体"/>
          <w:b w:val="0"/>
          <w:bCs/>
          <w:color w:val="000000"/>
          <w:sz w:val="32"/>
          <w:szCs w:val="32"/>
        </w:rPr>
      </w:r>
      <w:r/>
    </w:p>
    <w:p>
      <w:pPr>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rPr>
        <w:outlineLvl w:val="0"/>
      </w:pPr>
      <w:r>
        <w:rPr>
          <w:rFonts w:hint="eastAsia" w:ascii="方正小标宋简体" w:hAnsi="方正小标宋简体" w:eastAsia="方正小标宋简体" w:cs="方正小标宋简体"/>
          <w:b w:val="0"/>
          <w:bCs/>
          <w:color w:val="000000"/>
          <w:sz w:val="32"/>
          <w:szCs w:val="32"/>
        </w:rPr>
      </w:r>
      <w:r/>
    </w:p>
    <w:p>
      <w:pPr>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rPr>
        <w:outlineLvl w:val="0"/>
      </w:pPr>
      <w:r>
        <w:rPr>
          <w:rFonts w:hint="eastAsia" w:ascii="方正小标宋简体" w:hAnsi="方正小标宋简体" w:eastAsia="方正小标宋简体" w:cs="方正小标宋简体"/>
          <w:b w:val="0"/>
          <w:bCs/>
          <w:color w:val="000000"/>
          <w:sz w:val="32"/>
          <w:szCs w:val="32"/>
        </w:rPr>
      </w:r>
      <w:r/>
    </w:p>
    <w:p>
      <w:pPr>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rPr>
        <w:outlineLvl w:val="0"/>
      </w:pPr>
      <w:r>
        <w:rPr>
          <w:rFonts w:hint="eastAsia" w:ascii="方正小标宋简体" w:hAnsi="方正小标宋简体" w:eastAsia="方正小标宋简体" w:cs="方正小标宋简体"/>
          <w:b w:val="0"/>
          <w:bCs/>
          <w:color w:val="000000"/>
          <w:sz w:val="32"/>
          <w:szCs w:val="32"/>
        </w:rPr>
      </w:r>
      <w:r/>
    </w:p>
    <w:p>
      <w:pPr>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rPr>
        <w:outlineLvl w:val="0"/>
      </w:pPr>
      <w:r>
        <w:rPr>
          <w:rFonts w:hint="eastAsia" w:ascii="方正小标宋简体" w:hAnsi="方正小标宋简体" w:eastAsia="方正小标宋简体" w:cs="方正小标宋简体"/>
          <w:b w:val="0"/>
          <w:bCs/>
          <w:color w:val="000000"/>
          <w:sz w:val="32"/>
          <w:szCs w:val="32"/>
        </w:rPr>
      </w:r>
      <w:r/>
    </w:p>
    <w:p>
      <w:pPr>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rPr>
        <w:outlineLvl w:val="0"/>
      </w:pPr>
      <w:r>
        <w:rPr>
          <w:rFonts w:hint="eastAsia" w:ascii="方正小标宋简体" w:hAnsi="方正小标宋简体" w:eastAsia="方正小标宋简体" w:cs="方正小标宋简体"/>
          <w:b w:val="0"/>
          <w:bCs/>
          <w:color w:val="000000"/>
          <w:sz w:val="32"/>
          <w:szCs w:val="32"/>
        </w:rPr>
      </w:r>
      <w:r/>
    </w:p>
    <w:p>
      <w:pPr>
        <w:jc w:val="both"/>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rPr>
        <w:outlineLvl w:val="0"/>
      </w:pPr>
      <w:r>
        <w:rPr>
          <w:rFonts w:hint="eastAsia" w:ascii="方正小标宋简体" w:hAnsi="方正小标宋简体" w:eastAsia="方正小标宋简体" w:cs="方正小标宋简体"/>
          <w:b w:val="0"/>
          <w:bCs/>
          <w:color w:val="000000"/>
          <w:sz w:val="32"/>
          <w:szCs w:val="32"/>
        </w:rPr>
      </w:r>
      <w:r/>
    </w:p>
    <w:p>
      <w:pPr>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6"/>
          <w:szCs w:val="36"/>
        </w:rPr>
        <w:outlineLvl w:val="0"/>
      </w:pPr>
      <w:r>
        <w:rPr>
          <w:rFonts w:hint="eastAsia" w:ascii="方正小标宋简体" w:hAnsi="方正小标宋简体" w:eastAsia="方正小标宋简体" w:cs="方正小标宋简体"/>
          <w:b w:val="0"/>
          <w:bCs/>
          <w:color w:val="000000"/>
          <w:sz w:val="36"/>
          <w:szCs w:val="36"/>
        </w:rPr>
        <w:t xml:space="preserve">政府采购合同（货物）</w:t>
      </w:r>
      <w:r/>
    </w:p>
    <w:p>
      <w:pPr>
        <w:jc w:val="left"/>
        <w:keepLines w:val="0"/>
        <w:keepNext w:val="0"/>
        <w:pageBreakBefore w:val="0"/>
        <w:spacing w:before="145" w:after="145" w:line="360" w:lineRule="auto"/>
        <w:widowControl w:val="off"/>
        <w:rPr>
          <w:rFonts w:ascii="宋体" w:hAnsi="宋体" w:eastAsia="宋体" w:cs="Courier New"/>
          <w:b w:val="0"/>
          <w:bCs w:val="0"/>
          <w:color w:val="000000"/>
          <w:sz w:val="24"/>
          <w:szCs w:val="24"/>
        </w:rPr>
        <w:outlineLvl w:val="0"/>
      </w:pPr>
      <w:r>
        <w:rPr>
          <w:rFonts w:hint="default" w:ascii="宋体" w:hAnsi="宋体" w:eastAsia="宋体" w:cs="Courier New"/>
          <w:b w:val="0"/>
          <w:color w:val="000000"/>
          <w:sz w:val="24"/>
          <w:szCs w:val="24"/>
        </w:rPr>
        <w:t xml:space="preserve">合同编号</w:t>
      </w:r>
      <w:r>
        <w:rPr>
          <w:rFonts w:hint="default" w:ascii="宋体" w:hAnsi="宋体" w:eastAsia="宋体" w:cs="Courier New"/>
          <w:b w:val="0"/>
          <w:color w:val="000000"/>
          <w:sz w:val="24"/>
          <w:szCs w:val="24"/>
          <w:lang w:eastAsia="zh-CN"/>
        </w:rPr>
        <w:t xml:space="preserve">：</w:t>
      </w:r>
      <w:r/>
    </w:p>
    <w:p>
      <w:pPr>
        <w:keepLines w:val="0"/>
        <w:keepNext w:val="0"/>
        <w:pageBreakBefore w:val="0"/>
        <w:spacing w:before="145" w:after="145" w:line="360" w:lineRule="auto"/>
        <w:widowControl w:val="off"/>
        <w:rPr>
          <w:rFonts w:ascii="宋体" w:hAnsi="宋体" w:cs="Courier New"/>
          <w:color w:val="000000"/>
          <w:sz w:val="24"/>
          <w:szCs w:val="24"/>
        </w:rPr>
        <w:outlineLvl w:val="0"/>
      </w:pPr>
      <w:r>
        <w:rPr>
          <w:rFonts w:ascii="宋体" w:hAnsi="宋体" w:cs="Courier New"/>
          <w:color w:val="000000"/>
          <w:sz w:val="24"/>
          <w:szCs w:val="24"/>
        </w:rPr>
        <w:t xml:space="preserve">项目名称</w:t>
      </w:r>
      <w:r>
        <w:rPr>
          <w:rFonts w:hint="eastAsia" w:ascii="宋体" w:hAnsi="宋体" w:eastAsia="宋体" w:cs="宋体"/>
          <w:color w:val="000000"/>
          <w:sz w:val="24"/>
          <w:szCs w:val="24"/>
          <w:lang w:eastAsia="zh-CN"/>
        </w:rPr>
        <w:t xml:space="preserve">（标的名称）</w:t>
      </w:r>
      <w:r>
        <w:rPr>
          <w:rFonts w:hint="eastAsia" w:ascii="宋体" w:hAnsi="宋体" w:eastAsia="宋体" w:cs="宋体"/>
          <w:color w:val="000000"/>
          <w:sz w:val="24"/>
          <w:szCs w:val="24"/>
        </w:rPr>
        <w:t xml:space="preserve">： </w:t>
      </w:r>
      <w:r>
        <w:rPr>
          <w:rFonts w:ascii="宋体" w:hAnsi="宋体" w:cs="Courier New"/>
          <w:color w:val="000000"/>
          <w:sz w:val="24"/>
          <w:szCs w:val="24"/>
        </w:rPr>
        <w:t xml:space="preserve">                     项目编号：</w:t>
      </w:r>
      <w:r/>
    </w:p>
    <w:p>
      <w:pPr>
        <w:jc w:val="left"/>
        <w:keepLines w:val="0"/>
        <w:keepNext w:val="0"/>
        <w:pageBreakBefore w:val="0"/>
        <w:spacing w:before="145" w:after="145" w:line="360" w:lineRule="auto"/>
        <w:widowControl w:val="off"/>
        <w:rPr>
          <w:rFonts w:ascii="宋体" w:hAnsi="宋体" w:eastAsia="宋体" w:cs="Courier New"/>
          <w:color w:val="000000"/>
          <w:sz w:val="24"/>
          <w:szCs w:val="24"/>
        </w:rPr>
        <w:outlineLvl w:val="0"/>
      </w:pPr>
      <w:r>
        <w:rPr>
          <w:rFonts w:hint="eastAsia" w:ascii="宋体" w:hAnsi="宋体" w:eastAsia="宋体" w:cs="Courier New"/>
          <w:color w:val="000000"/>
          <w:sz w:val="24"/>
          <w:szCs w:val="24"/>
          <w:lang w:eastAsia="zh-CN"/>
        </w:rPr>
        <w:t xml:space="preserve">采购人（甲方）：</w:t>
      </w:r>
      <w:r/>
    </w:p>
    <w:p>
      <w:pPr>
        <w:jc w:val="left"/>
        <w:keepLines w:val="0"/>
        <w:keepNext w:val="0"/>
        <w:pageBreakBefore w:val="0"/>
        <w:spacing w:before="145" w:after="145" w:line="360" w:lineRule="auto"/>
        <w:widowControl w:val="off"/>
        <w:rPr>
          <w:rFonts w:hint="default" w:ascii="宋体" w:hAnsi="宋体" w:eastAsia="宋体" w:cs="Courier New"/>
          <w:color w:val="000000"/>
          <w:sz w:val="24"/>
          <w:szCs w:val="24"/>
        </w:rPr>
        <w:outlineLvl w:val="0"/>
      </w:pPr>
      <w:r>
        <w:rPr>
          <w:rFonts w:hint="eastAsia" w:ascii="宋体" w:hAnsi="宋体" w:cs="Courier New"/>
          <w:color w:val="000000"/>
          <w:sz w:val="24"/>
          <w:szCs w:val="24"/>
          <w:lang w:eastAsia="zh-CN"/>
        </w:rPr>
        <w:t xml:space="preserve">供应商</w:t>
      </w:r>
      <w:r>
        <w:rPr>
          <w:rFonts w:ascii="宋体" w:hAnsi="宋体" w:eastAsia="宋体" w:cs="Courier New"/>
          <w:color w:val="000000"/>
          <w:sz w:val="24"/>
          <w:szCs w:val="24"/>
        </w:rPr>
        <w:t xml:space="preserve">（</w:t>
      </w:r>
      <w:r>
        <w:rPr>
          <w:rFonts w:hint="eastAsia" w:ascii="宋体" w:hAnsi="宋体" w:cs="Courier New"/>
          <w:color w:val="000000"/>
          <w:sz w:val="24"/>
          <w:szCs w:val="24"/>
          <w:lang w:eastAsia="zh-CN"/>
        </w:rPr>
        <w:t xml:space="preserve">乙</w:t>
      </w:r>
      <w:r>
        <w:rPr>
          <w:rFonts w:ascii="宋体" w:hAnsi="宋体" w:eastAsia="宋体" w:cs="Courier New"/>
          <w:color w:val="000000"/>
          <w:sz w:val="24"/>
          <w:szCs w:val="24"/>
        </w:rPr>
        <w:t xml:space="preserve">方）：</w:t>
      </w:r>
      <w:r/>
    </w:p>
    <w:p>
      <w:pPr>
        <w:keepLines w:val="0"/>
        <w:keepNext w:val="0"/>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依据《中华人民共和国民法典》《中华人民共和国政府采购法》等有关的法律法规，甲乙双方经协商达成一致，签订本合同。</w:t>
      </w:r>
      <w:r/>
    </w:p>
    <w:p>
      <w:pPr>
        <w:numPr>
          <w:ilvl w:val="0"/>
          <w:numId w:val="5"/>
        </w:numPr>
        <w:keepLines w:val="0"/>
        <w:keepNext w:val="0"/>
        <w:pageBreakBefore w:val="0"/>
        <w:spacing w:before="0" w:after="0" w:line="360" w:lineRule="auto"/>
        <w:widowControl w:val="off"/>
        <w:rPr>
          <w:rFonts w:hint="eastAsia" w:ascii="方正黑体_GBK" w:hAnsi="方正黑体_GBK" w:eastAsia="方正黑体_GBK" w:cs="方正黑体_GBK"/>
          <w:b w:val="0"/>
          <w:bCs/>
          <w:color w:val="000000"/>
          <w:sz w:val="24"/>
          <w:szCs w:val="24"/>
          <w:lang w:eastAsia="zh-CN"/>
        </w:rPr>
      </w:pPr>
      <w:r>
        <w:rPr>
          <w:rFonts w:hint="eastAsia" w:ascii="方正黑体_GBK" w:hAnsi="方正黑体_GBK" w:eastAsia="方正黑体_GBK" w:cs="方正黑体_GBK"/>
          <w:b w:val="0"/>
          <w:bCs/>
          <w:color w:val="000000"/>
          <w:sz w:val="24"/>
          <w:szCs w:val="24"/>
        </w:rPr>
        <w:t xml:space="preserve">合同内容</w:t>
      </w:r>
      <w:r>
        <w:rPr>
          <w:rFonts w:hint="eastAsia" w:ascii="方正黑体_GBK" w:hAnsi="方正黑体_GBK" w:eastAsia="方正黑体_GBK" w:cs="方正黑体_GBK"/>
          <w:b w:val="0"/>
          <w:bCs/>
          <w:color w:val="000000"/>
          <w:sz w:val="24"/>
          <w:szCs w:val="24"/>
          <w:lang w:eastAsia="zh-CN"/>
        </w:rPr>
        <w:t xml:space="preserve">及金额</w:t>
      </w:r>
      <w:r/>
    </w:p>
    <w:p>
      <w:pPr>
        <w:pStyle w:val="728"/>
        <w:numPr>
          <w:ilvl w:val="0"/>
          <w:numId w:val="0"/>
        </w:numPr>
        <w:jc w:val="left"/>
        <w:spacing w:after="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1.1产品名称、品种、数量、单价、金额：</w:t>
      </w:r>
      <w:r/>
    </w:p>
    <w:tbl>
      <w:tblPr>
        <w:tblStyle w:val="729"/>
        <w:tblpPr w:horzAnchor="page" w:tblpXSpec="center" w:vertAnchor="text" w:tblpY="17" w:leftFromText="180" w:topFromText="0" w:rightFromText="180" w:bottomFromText="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8"/>
        <w:gridCol w:w="948"/>
        <w:gridCol w:w="2918"/>
        <w:gridCol w:w="948"/>
        <w:gridCol w:w="1932"/>
        <w:gridCol w:w="2264"/>
      </w:tblGrid>
      <w:tr>
        <w:trPr>
          <w:jc w:val="center"/>
        </w:trPr>
        <w:tc>
          <w:tcPr>
            <w:tcW w:w="476" w:type="pct"/>
            <w:textDirection w:val="lrTb"/>
            <w:noWrap w:val="false"/>
          </w:tcPr>
          <w:p>
            <w:pPr>
              <w:jc w:val="center"/>
              <w:spacing w:after="0"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序号</w:t>
            </w:r>
            <w:r/>
          </w:p>
        </w:tc>
        <w:tc>
          <w:tcPr>
            <w:tcW w:w="476" w:type="pct"/>
            <w:textDirection w:val="lrTb"/>
            <w:noWrap w:val="false"/>
          </w:tcPr>
          <w:p>
            <w:pPr>
              <w:jc w:val="center"/>
              <w:spacing w:after="0"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名称</w:t>
            </w:r>
            <w:r/>
          </w:p>
        </w:tc>
        <w:tc>
          <w:tcPr>
            <w:tcW w:w="1463" w:type="pct"/>
            <w:textDirection w:val="lrTb"/>
            <w:noWrap w:val="false"/>
          </w:tcPr>
          <w:p>
            <w:pPr>
              <w:jc w:val="center"/>
              <w:spacing w:after="0"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品牌、型号和规格</w:t>
            </w:r>
            <w:r/>
          </w:p>
        </w:tc>
        <w:tc>
          <w:tcPr>
            <w:tcW w:w="476" w:type="pct"/>
            <w:textDirection w:val="lrTb"/>
            <w:noWrap w:val="false"/>
          </w:tcPr>
          <w:p>
            <w:pPr>
              <w:jc w:val="center"/>
              <w:spacing w:after="0"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数量</w:t>
            </w:r>
            <w:r/>
          </w:p>
        </w:tc>
        <w:tc>
          <w:tcPr>
            <w:tcW w:w="970" w:type="pct"/>
            <w:textDirection w:val="lrTb"/>
            <w:noWrap w:val="false"/>
          </w:tcPr>
          <w:p>
            <w:pPr>
              <w:jc w:val="center"/>
              <w:spacing w:after="0"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单价（元）</w:t>
            </w:r>
            <w:r/>
          </w:p>
        </w:tc>
        <w:tc>
          <w:tcPr>
            <w:tcW w:w="1135" w:type="pct"/>
            <w:textDirection w:val="lrTb"/>
            <w:noWrap w:val="false"/>
          </w:tcPr>
          <w:p>
            <w:pPr>
              <w:jc w:val="center"/>
              <w:spacing w:after="0"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总价（万元）</w:t>
            </w:r>
            <w:r/>
          </w:p>
        </w:tc>
      </w:tr>
      <w:tr>
        <w:trPr>
          <w:jc w:val="center"/>
          <w:trHeight w:val="291"/>
        </w:trPr>
        <w:tc>
          <w:tcPr>
            <w:tcW w:w="476" w:type="pct"/>
            <w:textDirection w:val="lrTb"/>
            <w:noWrap w:val="false"/>
          </w:tcPr>
          <w:p>
            <w:pPr>
              <w:spacing w:after="0"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476" w:type="pct"/>
            <w:textDirection w:val="lrTb"/>
            <w:noWrap w:val="false"/>
          </w:tcPr>
          <w:p>
            <w:pPr>
              <w:spacing w:after="0"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1463" w:type="pct"/>
            <w:textDirection w:val="lrTb"/>
            <w:noWrap w:val="false"/>
          </w:tcPr>
          <w:p>
            <w:pPr>
              <w:spacing w:after="0"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476" w:type="pct"/>
            <w:textDirection w:val="lrTb"/>
            <w:noWrap w:val="false"/>
          </w:tcPr>
          <w:p>
            <w:pPr>
              <w:spacing w:after="0"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970" w:type="pct"/>
            <w:textDirection w:val="lrTb"/>
            <w:noWrap w:val="false"/>
          </w:tcPr>
          <w:p>
            <w:pPr>
              <w:spacing w:after="0"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1135" w:type="pct"/>
            <w:textDirection w:val="lrTb"/>
            <w:noWrap w:val="false"/>
          </w:tcPr>
          <w:p>
            <w:pPr>
              <w:spacing w:after="0"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r>
      <w:tr>
        <w:trPr>
          <w:jc w:val="center"/>
        </w:trPr>
        <w:tc>
          <w:tcPr>
            <w:tcW w:w="476" w:type="pct"/>
            <w:textDirection w:val="lrTb"/>
            <w:noWrap w:val="false"/>
          </w:tcPr>
          <w:p>
            <w:pPr>
              <w:spacing w:after="0"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476" w:type="pct"/>
            <w:textDirection w:val="lrTb"/>
            <w:noWrap w:val="false"/>
          </w:tcPr>
          <w:p>
            <w:pPr>
              <w:spacing w:after="0"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1463" w:type="pct"/>
            <w:textDirection w:val="lrTb"/>
            <w:noWrap w:val="false"/>
          </w:tcPr>
          <w:p>
            <w:pPr>
              <w:spacing w:after="0"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476" w:type="pct"/>
            <w:textDirection w:val="lrTb"/>
            <w:noWrap w:val="false"/>
          </w:tcPr>
          <w:p>
            <w:pPr>
              <w:spacing w:after="0"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970" w:type="pct"/>
            <w:textDirection w:val="lrTb"/>
            <w:noWrap w:val="false"/>
          </w:tcPr>
          <w:p>
            <w:pPr>
              <w:spacing w:after="0"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1135" w:type="pct"/>
            <w:textDirection w:val="lrTb"/>
            <w:noWrap w:val="false"/>
          </w:tcPr>
          <w:p>
            <w:pPr>
              <w:spacing w:after="0"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r>
      <w:tr>
        <w:trPr>
          <w:jc w:val="center"/>
        </w:trPr>
        <w:tc>
          <w:tcPr>
            <w:tcW w:w="476" w:type="pct"/>
            <w:textDirection w:val="lrTb"/>
            <w:noWrap w:val="false"/>
          </w:tcPr>
          <w:p>
            <w:pPr>
              <w:spacing w:after="0"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476" w:type="pct"/>
            <w:textDirection w:val="lrTb"/>
            <w:noWrap w:val="false"/>
          </w:tcPr>
          <w:p>
            <w:pPr>
              <w:spacing w:after="0"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1463" w:type="pct"/>
            <w:textDirection w:val="lrTb"/>
            <w:noWrap w:val="false"/>
          </w:tcPr>
          <w:p>
            <w:pPr>
              <w:spacing w:after="0"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476" w:type="pct"/>
            <w:textDirection w:val="lrTb"/>
            <w:noWrap w:val="false"/>
          </w:tcPr>
          <w:p>
            <w:pPr>
              <w:spacing w:after="0"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970" w:type="pct"/>
            <w:textDirection w:val="lrTb"/>
            <w:noWrap w:val="false"/>
          </w:tcPr>
          <w:p>
            <w:pPr>
              <w:spacing w:after="0"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1135" w:type="pct"/>
            <w:textDirection w:val="lrTb"/>
            <w:noWrap w:val="false"/>
          </w:tcPr>
          <w:p>
            <w:pPr>
              <w:spacing w:after="0"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r>
      <w:tr>
        <w:trPr>
          <w:jc w:val="center"/>
        </w:trPr>
        <w:tc>
          <w:tcPr>
            <w:tcW w:w="476" w:type="pct"/>
            <w:textDirection w:val="lrTb"/>
            <w:noWrap w:val="false"/>
          </w:tcPr>
          <w:p>
            <w:pPr>
              <w:spacing w:after="0"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476" w:type="pct"/>
            <w:textDirection w:val="lrTb"/>
            <w:noWrap w:val="false"/>
          </w:tcPr>
          <w:p>
            <w:pPr>
              <w:spacing w:after="0"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1463" w:type="pct"/>
            <w:textDirection w:val="lrTb"/>
            <w:noWrap w:val="false"/>
          </w:tcPr>
          <w:p>
            <w:pPr>
              <w:spacing w:after="0"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476" w:type="pct"/>
            <w:textDirection w:val="lrTb"/>
            <w:noWrap w:val="false"/>
          </w:tcPr>
          <w:p>
            <w:pPr>
              <w:spacing w:after="0"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970" w:type="pct"/>
            <w:textDirection w:val="lrTb"/>
            <w:noWrap w:val="false"/>
          </w:tcPr>
          <w:p>
            <w:pPr>
              <w:spacing w:after="0"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c>
          <w:tcPr>
            <w:tcW w:w="1135" w:type="pct"/>
            <w:textDirection w:val="lrTb"/>
            <w:noWrap w:val="false"/>
          </w:tcPr>
          <w:p>
            <w:pPr>
              <w:spacing w:after="0"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r>
            <w:r/>
          </w:p>
        </w:tc>
      </w:tr>
      <w:tr>
        <w:trPr>
          <w:jc w:val="center"/>
        </w:trPr>
        <w:tc>
          <w:tcPr>
            <w:gridSpan w:val="3"/>
            <w:tcW w:w="2417" w:type="pct"/>
            <w:textDirection w:val="lrTb"/>
            <w:noWrap w:val="false"/>
          </w:tcPr>
          <w:p>
            <w:pPr>
              <w:spacing w:after="0"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总合计大写：</w:t>
            </w:r>
            <w:r/>
          </w:p>
        </w:tc>
        <w:tc>
          <w:tcPr>
            <w:gridSpan w:val="3"/>
            <w:tcW w:w="2582" w:type="pct"/>
            <w:textDirection w:val="lrTb"/>
            <w:noWrap w:val="false"/>
          </w:tcPr>
          <w:p>
            <w:pPr>
              <w:spacing w:after="0" w:line="360" w:lineRule="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小写：</w:t>
            </w:r>
            <w:r/>
          </w:p>
        </w:tc>
      </w:tr>
    </w:tbl>
    <w:p>
      <w:pPr>
        <w:numPr>
          <w:ilvl w:val="0"/>
          <w:numId w:val="5"/>
        </w:numPr>
        <w:ind w:left="0" w:firstLine="0"/>
        <w:keepLines w:val="0"/>
        <w:keepNext w:val="0"/>
        <w:pageBreakBefore w:val="0"/>
        <w:spacing w:before="0" w:after="0" w:line="360" w:lineRule="auto"/>
        <w:widowControl w:val="off"/>
        <w:rPr>
          <w:rFonts w:hint="eastAsia" w:ascii="方正黑体_GBK" w:hAnsi="方正黑体_GBK" w:eastAsia="方正黑体_GBK" w:cs="方正黑体_GBK"/>
          <w:b w:val="0"/>
          <w:bCs/>
          <w:color w:val="000000"/>
          <w:sz w:val="24"/>
          <w:szCs w:val="24"/>
          <w:lang w:eastAsia="zh-CN"/>
        </w:rPr>
      </w:pPr>
      <w:r>
        <w:rPr>
          <w:rFonts w:hint="eastAsia" w:ascii="方正黑体_GBK" w:hAnsi="方正黑体_GBK" w:eastAsia="方正黑体_GBK" w:cs="方正黑体_GBK"/>
          <w:b w:val="0"/>
          <w:bCs/>
          <w:color w:val="000000"/>
          <w:sz w:val="24"/>
          <w:szCs w:val="24"/>
        </w:rPr>
        <w:t xml:space="preserve">合同</w:t>
      </w:r>
      <w:r>
        <w:rPr>
          <w:rFonts w:hint="eastAsia" w:ascii="方正黑体_GBK" w:hAnsi="方正黑体_GBK" w:eastAsia="方正黑体_GBK" w:cs="方正黑体_GBK"/>
          <w:b w:val="0"/>
          <w:bCs/>
          <w:color w:val="000000"/>
          <w:sz w:val="24"/>
          <w:szCs w:val="24"/>
          <w:lang w:eastAsia="zh-CN"/>
        </w:rPr>
        <w:t xml:space="preserve">履行</w:t>
      </w:r>
      <w:r/>
    </w:p>
    <w:p>
      <w:pPr>
        <w:numPr>
          <w:ilvl w:val="0"/>
          <w:numId w:val="0"/>
        </w:numPr>
        <w:keepLines w:val="0"/>
        <w:keepNext w:val="0"/>
        <w:pageBreakBefore w:val="0"/>
        <w:spacing w:before="0" w:after="0" w:line="360" w:lineRule="auto"/>
        <w:widowControl w:val="off"/>
        <w:rPr>
          <w:rFonts w:hint="eastAsia"/>
          <w:spacing w:val="-12"/>
          <w:sz w:val="24"/>
          <w:szCs w:val="24"/>
          <w:highlight w:val="none"/>
          <w:lang w:eastAsia="zh-CN"/>
        </w:rPr>
      </w:pPr>
      <w:r>
        <w:rPr>
          <w:rFonts w:hint="eastAsia" w:ascii="宋体" w:hAnsi="宋体" w:eastAsia="宋体" w:cs="宋体"/>
          <w:sz w:val="24"/>
          <w:szCs w:val="24"/>
          <w:lang w:val="en-US" w:eastAsia="zh-CN"/>
        </w:rPr>
        <w:t xml:space="preserve">2.1</w:t>
      </w:r>
      <w:r>
        <w:rPr>
          <w:rFonts w:hint="eastAsia"/>
          <w:spacing w:val="-12"/>
          <w:sz w:val="24"/>
          <w:szCs w:val="24"/>
          <w:highlight w:val="none"/>
          <w:lang w:eastAsia="zh-CN"/>
        </w:rPr>
        <w:t xml:space="preserve">本合同自</w:t>
      </w:r>
      <w:r>
        <w:rPr>
          <w:rFonts w:hint="eastAsia"/>
          <w:spacing w:val="-12"/>
          <w:sz w:val="24"/>
          <w:szCs w:val="24"/>
          <w:highlight w:val="none"/>
          <w:u w:val="single"/>
          <w:lang w:eastAsia="zh-CN"/>
        </w:rPr>
        <w:t xml:space="preserve">           </w:t>
      </w:r>
      <w:r>
        <w:rPr>
          <w:rFonts w:hint="eastAsia"/>
          <w:spacing w:val="-12"/>
          <w:sz w:val="24"/>
          <w:szCs w:val="24"/>
          <w:highlight w:val="none"/>
          <w:lang w:eastAsia="zh-CN"/>
        </w:rPr>
        <w:t xml:space="preserve">起，合同期限为</w:t>
      </w:r>
      <w:r>
        <w:rPr>
          <w:rFonts w:hint="eastAsia"/>
          <w:spacing w:val="-12"/>
          <w:sz w:val="24"/>
          <w:szCs w:val="24"/>
          <w:highlight w:val="none"/>
          <w:u w:val="single"/>
          <w:lang w:eastAsia="zh-CN"/>
        </w:rPr>
        <w:t xml:space="preserve">        </w:t>
      </w:r>
      <w:r>
        <w:rPr>
          <w:rFonts w:hint="eastAsia"/>
          <w:spacing w:val="-12"/>
          <w:sz w:val="24"/>
          <w:szCs w:val="24"/>
          <w:highlight w:val="none"/>
          <w:lang w:eastAsia="zh-CN"/>
        </w:rPr>
        <w:t xml:space="preserve">天</w:t>
      </w:r>
      <w:r/>
    </w:p>
    <w:p>
      <w:pPr>
        <w:spacing w:line="360" w:lineRule="auto"/>
        <w:rPr>
          <w:rFonts w:hint="eastAsia" w:ascii="宋体" w:hAnsi="宋体" w:eastAsia="宋体" w:cs="宋体"/>
          <w:sz w:val="24"/>
          <w:szCs w:val="24"/>
          <w:u w:val="single"/>
        </w:rPr>
      </w:pPr>
      <w:r>
        <w:rPr>
          <w:rFonts w:hint="eastAsia" w:ascii="宋体" w:hAnsi="宋体" w:eastAsia="宋体" w:cs="宋体"/>
          <w:sz w:val="24"/>
          <w:szCs w:val="24"/>
          <w:lang w:val="en-US" w:eastAsia="zh-CN"/>
        </w:rPr>
        <w:t xml:space="preserve">2.2</w:t>
      </w:r>
      <w:r>
        <w:rPr>
          <w:rFonts w:hint="eastAsia" w:ascii="宋体" w:hAnsi="宋体" w:eastAsia="宋体" w:cs="宋体"/>
          <w:sz w:val="24"/>
          <w:szCs w:val="24"/>
        </w:rPr>
        <w:t xml:space="preserve">履约</w:t>
      </w:r>
      <w:r>
        <w:rPr>
          <w:rFonts w:hint="eastAsia" w:ascii="宋体" w:hAnsi="宋体" w:eastAsia="宋体" w:cs="宋体"/>
          <w:sz w:val="24"/>
          <w:szCs w:val="24"/>
          <w:lang w:val="en-US" w:eastAsia="zh-CN"/>
        </w:rPr>
        <w:t xml:space="preserve">时间、</w:t>
      </w:r>
      <w:r>
        <w:rPr>
          <w:rFonts w:hint="eastAsia" w:ascii="宋体" w:hAnsi="宋体" w:eastAsia="宋体" w:cs="宋体"/>
          <w:sz w:val="24"/>
          <w:szCs w:val="24"/>
        </w:rPr>
        <w:t xml:space="preserve">地点</w:t>
      </w:r>
      <w:r>
        <w:rPr>
          <w:rFonts w:hint="eastAsia" w:ascii="宋体" w:hAnsi="宋体" w:eastAsia="宋体" w:cs="宋体"/>
          <w:bCs/>
          <w:sz w:val="24"/>
          <w:szCs w:val="24"/>
        </w:rPr>
        <w:t xml:space="preserve">：</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p>
    <w:p>
      <w:pPr>
        <w:keepLines w:val="0"/>
        <w:keepNext w:val="0"/>
        <w:pageBreakBefore w:val="0"/>
        <w:spacing w:before="0" w:after="0" w:line="36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highlight w:val="none"/>
        </w:rPr>
        <w:t xml:space="preserve">三</w:t>
      </w:r>
      <w:r>
        <w:rPr>
          <w:rFonts w:hint="eastAsia" w:ascii="方正黑体_GBK" w:hAnsi="方正黑体_GBK" w:eastAsia="方正黑体_GBK" w:cs="方正黑体_GBK"/>
          <w:b w:val="0"/>
          <w:bCs/>
          <w:color w:val="000000"/>
          <w:sz w:val="24"/>
          <w:szCs w:val="24"/>
        </w:rPr>
        <w:t xml:space="preserve">、技术资料</w:t>
      </w:r>
      <w:r/>
    </w:p>
    <w:p>
      <w:pPr>
        <w:keepLines w:val="0"/>
        <w:keepNext w:val="0"/>
        <w:pageBreakBefore w:val="0"/>
        <w:spacing w:before="0" w:after="0" w:line="360" w:lineRule="auto"/>
        <w:widowControl w:val="off"/>
        <w:rPr>
          <w:rFonts w:hint="eastAsia" w:ascii="宋体" w:hAnsi="宋体" w:eastAsia="宋体" w:cs="Courier New"/>
          <w:color w:val="000000"/>
          <w:sz w:val="24"/>
          <w:szCs w:val="24"/>
        </w:rPr>
      </w:pPr>
      <w:r>
        <w:rPr>
          <w:rFonts w:hint="default"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w:t>
      </w:r>
      <w:r>
        <w:rPr>
          <w:rFonts w:hint="eastAsia" w:ascii="宋体" w:hAnsi="宋体" w:cs="Courier New"/>
          <w:color w:val="000000"/>
          <w:sz w:val="24"/>
          <w:szCs w:val="24"/>
          <w:highlight w:val="none"/>
          <w:lang w:eastAsia="zh-CN"/>
        </w:rPr>
        <w:t xml:space="preserve">约定</w:t>
      </w:r>
      <w:r>
        <w:rPr>
          <w:rFonts w:hint="eastAsia" w:ascii="宋体" w:hAnsi="宋体" w:eastAsia="宋体" w:cs="Courier New"/>
          <w:color w:val="000000"/>
          <w:sz w:val="24"/>
          <w:szCs w:val="24"/>
        </w:rPr>
        <w:t xml:space="preserve">的时间向甲方提供货物的有关技术资料。</w:t>
      </w:r>
      <w:r/>
    </w:p>
    <w:p>
      <w:pPr>
        <w:keepLines w:val="0"/>
        <w:keepNext w:val="0"/>
        <w:pageBreakBefore w:val="0"/>
        <w:spacing w:before="0" w:after="0" w:line="360" w:lineRule="auto"/>
        <w:widowControl w:val="off"/>
        <w:rPr>
          <w:rFonts w:hint="eastAsia" w:ascii="宋体" w:hAnsi="宋体" w:eastAsia="宋体" w:cs="Courier New"/>
          <w:color w:val="000000"/>
          <w:sz w:val="24"/>
          <w:szCs w:val="24"/>
          <w:highlight w:val="cyan"/>
        </w:rPr>
      </w:pPr>
      <w:r>
        <w:rPr>
          <w:rFonts w:hint="default"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.2 没有甲方事先书面同意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w:t>
      </w:r>
      <w:r>
        <w:rPr>
          <w:rFonts w:hint="eastAsia" w:ascii="宋体" w:hAnsi="宋体" w:eastAsia="宋体" w:cs="Courier New"/>
          <w:color w:val="000000"/>
          <w:sz w:val="24"/>
          <w:szCs w:val="24"/>
          <w:lang w:eastAsia="zh-CN"/>
        </w:rPr>
        <w:t xml:space="preserve">由甲方提供的</w:t>
      </w:r>
      <w:r>
        <w:rPr>
          <w:rFonts w:hint="eastAsia" w:ascii="宋体" w:hAnsi="宋体" w:eastAsia="宋体" w:cs="Courier New"/>
          <w:color w:val="000000"/>
          <w:sz w:val="24"/>
          <w:szCs w:val="24"/>
        </w:rPr>
        <w:t xml:space="preserve">有关合同或任何合同条文、规格、计划、图纸、样品或资料提供给与履行本合同无关的任何其他人。即使向履行本合同有关的人员提供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也应注意保密并限于履行合同的必需范围。</w:t>
      </w:r>
      <w:r/>
    </w:p>
    <w:p>
      <w:pPr>
        <w:ind w:left="0" w:firstLine="0"/>
        <w:keepLines w:val="0"/>
        <w:keepNext w:val="0"/>
        <w:pageBreakBefore w:val="0"/>
        <w:spacing w:before="0" w:after="0" w:line="36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highlight w:val="none"/>
        </w:rPr>
        <w:t xml:space="preserve">四</w:t>
      </w:r>
      <w:r>
        <w:rPr>
          <w:rFonts w:hint="eastAsia" w:ascii="方正黑体_GBK" w:hAnsi="方正黑体_GBK" w:eastAsia="方正黑体_GBK" w:cs="方正黑体_GBK"/>
          <w:b w:val="0"/>
          <w:bCs/>
          <w:color w:val="000000"/>
          <w:sz w:val="24"/>
          <w:szCs w:val="24"/>
        </w:rPr>
        <w:t xml:space="preserve">、知识产权</w:t>
      </w:r>
      <w:r/>
    </w:p>
    <w:p>
      <w:pPr>
        <w:keepLines w:val="0"/>
        <w:keepNext w:val="0"/>
        <w:pageBreakBefore w:val="0"/>
        <w:spacing w:before="0" w:after="0" w:line="36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乙方应保证甲方在使用、接受本合同货物或其任何一部分时不受第三方提出侵犯其专利权、</w:t>
      </w:r>
      <w:r>
        <w:rPr>
          <w:rFonts w:hint="eastAsia" w:ascii="宋体" w:hAnsi="宋体" w:eastAsia="宋体" w:cs="Courier New"/>
          <w:color w:val="000000"/>
          <w:sz w:val="24"/>
          <w:szCs w:val="24"/>
          <w:lang w:val="en-US" w:eastAsia="zh-CN"/>
        </w:rPr>
        <w:t xml:space="preserve">著作</w:t>
      </w:r>
      <w:r>
        <w:rPr>
          <w:rFonts w:hint="eastAsia" w:ascii="宋体" w:hAnsi="宋体" w:eastAsia="宋体" w:cs="Courier New"/>
          <w:color w:val="000000"/>
          <w:sz w:val="24"/>
          <w:szCs w:val="24"/>
        </w:rPr>
        <w:t xml:space="preserve">权、商标权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工业设计权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商业秘密</w:t>
      </w:r>
      <w:r>
        <w:rPr>
          <w:rFonts w:hint="eastAsia" w:ascii="宋体" w:hAnsi="宋体" w:eastAsia="宋体" w:cs="Courier New"/>
          <w:color w:val="000000"/>
          <w:sz w:val="24"/>
          <w:szCs w:val="24"/>
        </w:rPr>
        <w:t xml:space="preserve">等知识产权的起诉。一旦出现侵权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由乙方负全部责任。</w:t>
      </w:r>
      <w:r/>
    </w:p>
    <w:p>
      <w:pPr>
        <w:keepLines w:val="0"/>
        <w:keepNext w:val="0"/>
        <w:pageBreakBefore w:val="0"/>
        <w:spacing w:before="0" w:after="0" w:line="360" w:lineRule="auto"/>
        <w:widowControl w:val="off"/>
        <w:rPr>
          <w:rFonts w:hint="eastAsia" w:ascii="方正黑体_GBK" w:hAnsi="方正黑体_GBK" w:eastAsia="方正黑体_GBK" w:cs="方正黑体_GBK"/>
          <w:bCs/>
          <w:color w:val="000000"/>
          <w:sz w:val="24"/>
          <w:szCs w:val="24"/>
          <w:u w:val="none"/>
        </w:rPr>
      </w:pPr>
      <w:r>
        <w:rPr>
          <w:rFonts w:hint="eastAsia" w:ascii="方正黑体_GBK" w:hAnsi="方正黑体_GBK" w:eastAsia="方正黑体_GBK" w:cs="方正黑体_GBK"/>
          <w:b w:val="0"/>
          <w:bCs/>
          <w:color w:val="000000"/>
          <w:sz w:val="24"/>
          <w:szCs w:val="24"/>
          <w:highlight w:val="none"/>
        </w:rPr>
        <w:t xml:space="preserve">五、</w:t>
      </w:r>
      <w:r>
        <w:rPr>
          <w:rFonts w:hint="eastAsia" w:ascii="方正黑体_GBK" w:hAnsi="方正黑体_GBK" w:eastAsia="方正黑体_GBK" w:cs="方正黑体_GBK"/>
          <w:b w:val="0"/>
          <w:bCs/>
          <w:color w:val="000000"/>
          <w:sz w:val="24"/>
          <w:szCs w:val="24"/>
        </w:rPr>
        <w:t xml:space="preserve">产权担保</w:t>
      </w:r>
      <w:r/>
    </w:p>
    <w:p>
      <w:pPr>
        <w:keepLines w:val="0"/>
        <w:keepNext w:val="0"/>
        <w:pageBreakBefore w:val="0"/>
        <w:spacing w:before="0" w:after="0" w:line="36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乙方保证所交付的货物的所有权完全属于乙方且无任何抵押、查封等产权瑕疵。</w:t>
      </w:r>
      <w:r/>
    </w:p>
    <w:p>
      <w:pPr>
        <w:ind w:left="0" w:firstLine="0"/>
        <w:keepLines w:val="0"/>
        <w:keepNext w:val="0"/>
        <w:pageBreakBefore w:val="0"/>
        <w:spacing w:before="0" w:after="0" w:line="36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highlight w:val="none"/>
        </w:rPr>
        <w:t xml:space="preserve">六、履</w:t>
      </w:r>
      <w:r>
        <w:rPr>
          <w:rFonts w:hint="eastAsia" w:ascii="方正黑体_GBK" w:hAnsi="方正黑体_GBK" w:eastAsia="方正黑体_GBK" w:cs="方正黑体_GBK"/>
          <w:b w:val="0"/>
          <w:bCs/>
          <w:color w:val="000000"/>
          <w:sz w:val="24"/>
          <w:szCs w:val="24"/>
        </w:rPr>
        <w:t xml:space="preserve">约保证金</w:t>
      </w:r>
      <w:r/>
    </w:p>
    <w:p>
      <w:pPr>
        <w:pStyle w:val="708"/>
        <w:ind w:left="53"/>
        <w:keepLines w:val="0"/>
        <w:keepNext w:val="0"/>
        <w:pageBreakBefore w:val="0"/>
        <w:spacing w:line="360" w:lineRule="auto"/>
        <w:widowControl/>
        <w:rPr>
          <w:rFonts w:hint="eastAsia" w:ascii="宋体" w:hAnsi="宋体" w:eastAsia="宋体" w:cs="宋体"/>
          <w:spacing w:val="-12"/>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6.1 </w:t>
      </w:r>
      <w:r>
        <w:rPr>
          <w:rFonts w:hint="eastAsia" w:ascii="宋体" w:hAnsi="宋体" w:eastAsia="宋体" w:cs="宋体"/>
          <w:spacing w:val="-12"/>
          <w:sz w:val="24"/>
          <w:szCs w:val="24"/>
          <w:highlight w:val="none"/>
          <w:lang w:eastAsia="zh-CN"/>
        </w:rPr>
        <w:t xml:space="preserve">乙方应按以下第</w:t>
      </w:r>
      <w:r>
        <w:rPr>
          <w:rFonts w:hint="eastAsia" w:ascii="宋体" w:hAnsi="宋体" w:eastAsia="宋体" w:cs="宋体"/>
          <w:spacing w:val="-12"/>
          <w:sz w:val="24"/>
          <w:szCs w:val="24"/>
          <w:highlight w:val="none"/>
          <w:u w:val="single"/>
          <w:lang w:eastAsia="zh-CN"/>
        </w:rPr>
        <w:t xml:space="preserve">（1）</w:t>
      </w:r>
      <w:r>
        <w:rPr>
          <w:rFonts w:hint="eastAsia" w:ascii="宋体" w:hAnsi="宋体" w:eastAsia="宋体" w:cs="宋体"/>
          <w:spacing w:val="-12"/>
          <w:sz w:val="24"/>
          <w:szCs w:val="24"/>
          <w:highlight w:val="none"/>
          <w:lang w:eastAsia="zh-CN"/>
        </w:rPr>
        <w:t xml:space="preserve">方式向采购人缴纳履约保证金：</w:t>
      </w:r>
      <w:r/>
    </w:p>
    <w:p>
      <w:pPr>
        <w:pStyle w:val="708"/>
        <w:keepLines w:val="0"/>
        <w:keepNext w:val="0"/>
        <w:pageBreakBefore w:val="0"/>
        <w:spacing w:line="360" w:lineRule="auto"/>
        <w:widowControl/>
        <w:rPr>
          <w:rFonts w:hint="eastAsia" w:ascii="宋体" w:hAnsi="宋体" w:eastAsia="宋体" w:cs="宋体"/>
          <w:spacing w:val="-12"/>
          <w:sz w:val="24"/>
          <w:szCs w:val="24"/>
          <w:highlight w:val="none"/>
          <w:lang w:eastAsia="zh-CN"/>
        </w:rPr>
      </w:pPr>
      <w:r>
        <w:rPr>
          <w:rFonts w:hint="eastAsia" w:ascii="宋体" w:hAnsi="宋体" w:eastAsia="宋体" w:cs="宋体"/>
          <w:spacing w:val="-12"/>
          <w:sz w:val="24"/>
          <w:szCs w:val="24"/>
          <w:highlight w:val="none"/>
          <w:lang w:eastAsia="zh-CN"/>
        </w:rPr>
        <w:t xml:space="preserve">（1）无需缴纳履约保证金；</w:t>
      </w:r>
      <w:r/>
    </w:p>
    <w:p>
      <w:pPr>
        <w:pStyle w:val="708"/>
        <w:keepLines w:val="0"/>
        <w:keepNext w:val="0"/>
        <w:pageBreakBefore w:val="0"/>
        <w:spacing w:line="360" w:lineRule="auto"/>
        <w:widowControl/>
        <w:rPr>
          <w:rFonts w:hint="eastAsia" w:ascii="宋体" w:hAnsi="宋体" w:eastAsia="宋体" w:cs="宋体"/>
          <w:color w:val="auto"/>
          <w:spacing w:val="-12"/>
          <w:sz w:val="24"/>
          <w:szCs w:val="24"/>
          <w:highlight w:val="none"/>
          <w:lang w:eastAsia="zh-CN"/>
        </w:rPr>
      </w:pPr>
      <w:r>
        <w:rPr>
          <w:rFonts w:hint="eastAsia" w:ascii="宋体" w:hAnsi="宋体" w:eastAsia="宋体" w:cs="宋体"/>
          <w:color w:val="auto"/>
          <w:spacing w:val="-12"/>
          <w:sz w:val="24"/>
          <w:szCs w:val="24"/>
          <w:highlight w:val="none"/>
          <w:lang w:eastAsia="zh-CN"/>
        </w:rPr>
        <w:t xml:space="preserve">（2）投标保证金转为履约保证金；</w:t>
      </w:r>
      <w:r/>
    </w:p>
    <w:p>
      <w:pPr>
        <w:keepLines w:val="0"/>
        <w:keepNext w:val="0"/>
        <w:pageBreakBefore w:val="0"/>
        <w:spacing w:line="360" w:lineRule="auto"/>
        <w:widowControl w:val="off"/>
        <w:rPr>
          <w:rFonts w:hint="eastAsia" w:ascii="宋体" w:hAnsi="宋体" w:eastAsia="宋体" w:cs="Courier New"/>
          <w:b w:val="0"/>
          <w:bCs w:val="0"/>
          <w:color w:val="auto"/>
          <w:sz w:val="24"/>
          <w:szCs w:val="24"/>
          <w:highlight w:val="none"/>
          <w:lang w:val="en-US" w:eastAsia="zh-CN"/>
        </w:rPr>
      </w:pPr>
      <w:r>
        <w:rPr>
          <w:rFonts w:hint="eastAsia" w:ascii="宋体" w:hAnsi="宋体" w:eastAsia="宋体" w:cs="宋体"/>
          <w:color w:val="auto"/>
          <w:spacing w:val="-12"/>
          <w:sz w:val="24"/>
          <w:szCs w:val="24"/>
          <w:highlight w:val="none"/>
          <w:lang w:eastAsia="zh-CN"/>
        </w:rPr>
        <w:t xml:space="preserve">（3）</w:t>
      </w:r>
      <w:r>
        <w:rPr>
          <w:rFonts w:hint="eastAsia" w:ascii="宋体" w:hAnsi="宋体" w:eastAsia="宋体" w:cs="Courier New"/>
          <w:b w:val="0"/>
          <w:bCs w:val="0"/>
          <w:color w:val="auto"/>
          <w:sz w:val="24"/>
          <w:szCs w:val="24"/>
          <w:highlight w:val="none"/>
          <w:u w:val="none"/>
          <w:lang w:val="en-US" w:eastAsia="zh-CN"/>
        </w:rPr>
        <w:t xml:space="preserve">签订合同时，</w:t>
      </w:r>
      <w:r>
        <w:rPr>
          <w:rFonts w:hint="eastAsia" w:ascii="宋体" w:hAnsi="宋体" w:eastAsia="宋体" w:cs="Courier New"/>
          <w:b w:val="0"/>
          <w:bCs w:val="0"/>
          <w:color w:val="auto"/>
          <w:sz w:val="24"/>
          <w:szCs w:val="24"/>
          <w:highlight w:val="none"/>
          <w:lang w:val="en-US" w:eastAsia="zh-CN"/>
        </w:rPr>
        <w:t xml:space="preserve">乙方按照</w:t>
      </w:r>
      <w:r>
        <w:rPr>
          <w:rFonts w:hint="eastAsia" w:ascii="宋体" w:hAnsi="宋体" w:eastAsia="宋体" w:cs="Courier New"/>
          <w:b w:val="0"/>
          <w:bCs w:val="0"/>
          <w:color w:val="auto"/>
          <w:sz w:val="24"/>
          <w:szCs w:val="24"/>
          <w:highlight w:val="none"/>
          <w:u w:val="none"/>
          <w:lang w:val="en-US" w:eastAsia="zh-CN"/>
        </w:rPr>
        <w:t xml:space="preserve">合同金额</w:t>
      </w:r>
      <w:r>
        <w:rPr>
          <w:rFonts w:hint="eastAsia" w:ascii="宋体" w:hAnsi="宋体" w:eastAsia="宋体" w:cs="Courier New"/>
          <w:b w:val="0"/>
          <w:bCs w:val="0"/>
          <w:color w:val="auto"/>
          <w:sz w:val="24"/>
          <w:szCs w:val="24"/>
          <w:highlight w:val="none"/>
          <w:u w:val="single"/>
          <w:lang w:val="en-US" w:eastAsia="zh-CN"/>
        </w:rPr>
        <w:t xml:space="preserve"> </w:t>
      </w:r>
      <w:r>
        <w:rPr>
          <w:rFonts w:hint="eastAsia" w:ascii="宋体" w:hAnsi="宋体" w:cs="Courier New"/>
          <w:b w:val="0"/>
          <w:bCs w:val="0"/>
          <w:color w:val="auto"/>
          <w:sz w:val="24"/>
          <w:szCs w:val="24"/>
          <w:highlight w:val="none"/>
          <w:u w:val="single"/>
          <w:lang w:val="en-US" w:eastAsia="zh-CN"/>
        </w:rPr>
        <w:t xml:space="preserve">  </w:t>
      </w:r>
      <w:r>
        <w:rPr>
          <w:rFonts w:hint="eastAsia" w:ascii="宋体" w:hAnsi="宋体" w:eastAsia="宋体" w:cs="Courier New"/>
          <w:b w:val="0"/>
          <w:bCs w:val="0"/>
          <w:color w:val="auto"/>
          <w:sz w:val="24"/>
          <w:szCs w:val="24"/>
          <w:highlight w:val="none"/>
          <w:u w:val="single"/>
          <w:lang w:val="en-US" w:eastAsia="zh-CN"/>
        </w:rPr>
        <w:t xml:space="preserve"> </w:t>
      </w:r>
      <w:r>
        <w:rPr>
          <w:rFonts w:hint="eastAsia" w:ascii="宋体" w:hAnsi="宋体" w:eastAsia="宋体" w:cs="Courier New"/>
          <w:b w:val="0"/>
          <w:bCs w:val="0"/>
          <w:color w:val="auto"/>
          <w:sz w:val="24"/>
          <w:szCs w:val="24"/>
          <w:highlight w:val="none"/>
          <w:u w:val="none"/>
          <w:lang w:val="en-US" w:eastAsia="zh-CN"/>
        </w:rPr>
        <w:t xml:space="preserve">%</w:t>
      </w:r>
      <w:r>
        <w:rPr>
          <w:rFonts w:hint="eastAsia" w:ascii="宋体" w:hAnsi="宋体" w:eastAsia="宋体" w:cs="Courier New"/>
          <w:b w:val="0"/>
          <w:bCs w:val="0"/>
          <w:color w:val="auto"/>
          <w:sz w:val="24"/>
          <w:szCs w:val="24"/>
          <w:highlight w:val="none"/>
          <w:lang w:val="en-US" w:eastAsia="zh-CN"/>
        </w:rPr>
        <w:t xml:space="preserve">缴纳履约保证金。</w:t>
      </w:r>
      <w:r>
        <w:rPr>
          <w:rFonts w:hint="eastAsia" w:ascii="宋体" w:hAnsi="宋体" w:cs="Courier New"/>
          <w:b w:val="0"/>
          <w:bCs w:val="0"/>
          <w:color w:val="auto"/>
          <w:sz w:val="24"/>
          <w:szCs w:val="24"/>
          <w:highlight w:val="none"/>
          <w:lang w:val="en-US" w:eastAsia="zh-CN"/>
        </w:rPr>
        <w:t xml:space="preserve">乙方</w:t>
      </w:r>
      <w:r>
        <w:rPr>
          <w:rFonts w:hint="eastAsia" w:ascii="宋体" w:hAnsi="宋体" w:cs="Courier New"/>
          <w:b w:val="0"/>
          <w:bCs w:val="0"/>
          <w:color w:val="auto"/>
          <w:sz w:val="24"/>
          <w:szCs w:val="24"/>
          <w:highlight w:val="none"/>
          <w:u w:val="none"/>
          <w:lang w:val="en-US" w:eastAsia="zh-CN"/>
        </w:rPr>
        <w:t xml:space="preserve">可以采用</w:t>
      </w:r>
      <w:r>
        <w:rPr>
          <w:rFonts w:hint="eastAsia" w:ascii="宋体" w:hAnsi="宋体" w:eastAsia="宋体" w:cs="Courier New"/>
          <w:b w:val="0"/>
          <w:bCs w:val="0"/>
          <w:color w:val="auto"/>
          <w:sz w:val="24"/>
          <w:szCs w:val="24"/>
          <w:highlight w:val="none"/>
          <w:u w:val="none"/>
          <w:lang w:val="en-US" w:eastAsia="zh-CN"/>
        </w:rPr>
        <w:t xml:space="preserve">银行、</w:t>
      </w:r>
      <w:r>
        <w:rPr>
          <w:rFonts w:hint="eastAsia" w:ascii="宋体" w:hAnsi="宋体" w:cs="Courier New"/>
          <w:b w:val="0"/>
          <w:bCs w:val="0"/>
          <w:color w:val="auto"/>
          <w:sz w:val="24"/>
          <w:szCs w:val="24"/>
          <w:highlight w:val="none"/>
          <w:u w:val="none"/>
          <w:lang w:val="en-US" w:eastAsia="zh-CN"/>
        </w:rPr>
        <w:t xml:space="preserve">保险公司、</w:t>
      </w:r>
      <w:r>
        <w:rPr>
          <w:rFonts w:hint="eastAsia" w:ascii="宋体" w:hAnsi="宋体" w:eastAsia="宋体" w:cs="Courier New"/>
          <w:b w:val="0"/>
          <w:bCs w:val="0"/>
          <w:color w:val="auto"/>
          <w:sz w:val="24"/>
          <w:szCs w:val="24"/>
          <w:highlight w:val="none"/>
          <w:u w:val="none"/>
          <w:lang w:val="en-US" w:eastAsia="zh-CN"/>
        </w:rPr>
        <w:t xml:space="preserve">担保公司等</w:t>
      </w:r>
      <w:r>
        <w:rPr>
          <w:rFonts w:hint="eastAsia" w:ascii="宋体" w:hAnsi="宋体" w:cs="Courier New"/>
          <w:b w:val="0"/>
          <w:bCs w:val="0"/>
          <w:color w:val="auto"/>
          <w:sz w:val="24"/>
          <w:szCs w:val="24"/>
          <w:highlight w:val="none"/>
          <w:u w:val="none"/>
          <w:lang w:val="en-US" w:eastAsia="zh-CN"/>
        </w:rPr>
        <w:t xml:space="preserve">第三方机构</w:t>
      </w:r>
      <w:r>
        <w:rPr>
          <w:rFonts w:hint="eastAsia" w:ascii="宋体" w:hAnsi="宋体" w:eastAsia="宋体" w:cs="Courier New"/>
          <w:b w:val="0"/>
          <w:bCs w:val="0"/>
          <w:color w:val="auto"/>
          <w:sz w:val="24"/>
          <w:szCs w:val="24"/>
          <w:highlight w:val="none"/>
          <w:u w:val="none"/>
          <w:lang w:val="en-US" w:eastAsia="zh-CN"/>
        </w:rPr>
        <w:t xml:space="preserve">出具的</w:t>
      </w:r>
      <w:r>
        <w:rPr>
          <w:rFonts w:hint="eastAsia" w:ascii="宋体" w:hAnsi="宋体" w:cs="Courier New"/>
          <w:b w:val="0"/>
          <w:bCs w:val="0"/>
          <w:color w:val="auto"/>
          <w:sz w:val="24"/>
          <w:szCs w:val="24"/>
          <w:highlight w:val="none"/>
          <w:u w:val="none"/>
          <w:lang w:val="en-US" w:eastAsia="zh-CN"/>
        </w:rPr>
        <w:t xml:space="preserve">履约保函（保险）代替缴纳履约保证金，</w:t>
      </w:r>
      <w:r>
        <w:rPr>
          <w:rFonts w:hint="eastAsia" w:ascii="宋体" w:hAnsi="宋体" w:eastAsia="宋体" w:cs="Courier New"/>
          <w:b w:val="0"/>
          <w:bCs w:val="0"/>
          <w:color w:val="auto"/>
          <w:sz w:val="24"/>
          <w:szCs w:val="24"/>
          <w:highlight w:val="none"/>
          <w:lang w:val="en-US" w:eastAsia="zh-CN"/>
        </w:rPr>
        <w:t xml:space="preserve">保函（保险）有效期届满且担保人按照约定履行了担保责任后自动失效</w:t>
      </w:r>
      <w:r>
        <w:rPr>
          <w:rFonts w:hint="eastAsia" w:ascii="宋体" w:hAnsi="宋体" w:cs="Courier New"/>
          <w:b w:val="0"/>
          <w:bCs w:val="0"/>
          <w:color w:val="auto"/>
          <w:sz w:val="24"/>
          <w:szCs w:val="24"/>
          <w:highlight w:val="none"/>
          <w:u w:val="none"/>
          <w:lang w:val="en-US" w:eastAsia="zh-CN"/>
        </w:rPr>
        <w:t xml:space="preserve">。如乙方未按要求履行合同义务，由担保人按照合同约定对甲方承担赔偿责任</w:t>
      </w:r>
      <w:r>
        <w:rPr>
          <w:rFonts w:hint="eastAsia" w:ascii="宋体" w:hAnsi="宋体" w:eastAsia="宋体" w:cs="Courier New"/>
          <w:b w:val="0"/>
          <w:bCs w:val="0"/>
          <w:color w:val="auto"/>
          <w:sz w:val="24"/>
          <w:szCs w:val="24"/>
          <w:highlight w:val="none"/>
          <w:lang w:val="en-US" w:eastAsia="zh-CN"/>
        </w:rPr>
        <w:t xml:space="preserve">。合同履行结束后，甲方按以下约定退还：</w:t>
      </w:r>
      <w:r/>
    </w:p>
    <w:p>
      <w:pPr>
        <w:keepLines w:val="0"/>
        <w:keepNext w:val="0"/>
        <w:pageBreakBefore w:val="0"/>
        <w:spacing w:line="360" w:lineRule="auto"/>
        <w:widowControl w:val="off"/>
        <w:rPr>
          <w:rFonts w:hint="default" w:ascii="宋体" w:hAnsi="宋体" w:eastAsia="宋体" w:cs="Courier New"/>
          <w:b w:val="0"/>
          <w:bCs w:val="0"/>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 xml:space="preserve">6.1.1 </w:t>
      </w:r>
      <w:r>
        <w:rPr>
          <w:rFonts w:hint="eastAsia" w:ascii="宋体" w:hAnsi="宋体" w:eastAsia="宋体" w:cs="Courier New"/>
          <w:b w:val="0"/>
          <w:bCs w:val="0"/>
          <w:color w:val="auto"/>
          <w:sz w:val="24"/>
          <w:szCs w:val="24"/>
          <w:highlight w:val="none"/>
          <w:lang w:val="en-US" w:eastAsia="zh-CN"/>
        </w:rPr>
        <w:t xml:space="preserve">退还时间及条件：验收合格且合同履行期结束后5个工作日内。</w:t>
      </w:r>
      <w:r/>
    </w:p>
    <w:p>
      <w:pPr>
        <w:keepLines w:val="0"/>
        <w:keepNext w:val="0"/>
        <w:pageBreakBefore w:val="0"/>
        <w:spacing w:line="360" w:lineRule="auto"/>
        <w:widowControl w:val="off"/>
        <w:rPr>
          <w:rFonts w:hint="eastAsia" w:ascii="宋体" w:hAnsi="宋体" w:eastAsia="宋体" w:cs="Courier New"/>
          <w:b w:val="0"/>
          <w:bCs w:val="0"/>
          <w:color w:val="auto"/>
          <w:sz w:val="24"/>
          <w:szCs w:val="24"/>
          <w:highlight w:val="none"/>
          <w:lang w:val="en-US" w:eastAsia="zh-CN"/>
        </w:rPr>
      </w:pPr>
      <w:r>
        <w:rPr>
          <w:rFonts w:hint="eastAsia" w:ascii="宋体" w:hAnsi="宋体" w:eastAsia="宋体" w:cs="Courier New"/>
          <w:b w:val="0"/>
          <w:bCs w:val="0"/>
          <w:color w:val="auto"/>
          <w:sz w:val="24"/>
          <w:szCs w:val="24"/>
          <w:highlight w:val="none"/>
          <w:lang w:val="en-US" w:eastAsia="zh-CN"/>
        </w:rPr>
        <w:t xml:space="preserve">6.1.2 退还方式：扣除违约费用后一次性无息退还。</w:t>
      </w:r>
      <w:r/>
    </w:p>
    <w:p>
      <w:pPr>
        <w:keepLines w:val="0"/>
        <w:keepNext w:val="0"/>
        <w:pageBreakBefore w:val="0"/>
        <w:spacing w:line="360" w:lineRule="auto"/>
        <w:widowControl w:val="off"/>
        <w:rPr>
          <w:rFonts w:hint="default" w:ascii="宋体" w:hAnsi="宋体" w:eastAsia="宋体" w:cs="Courier New"/>
          <w:b w:val="0"/>
          <w:bCs w:val="0"/>
          <w:color w:val="auto"/>
          <w:sz w:val="24"/>
          <w:szCs w:val="24"/>
          <w:highlight w:val="none"/>
          <w:lang w:val="en-US" w:eastAsia="zh-CN"/>
        </w:rPr>
      </w:pPr>
      <w:r>
        <w:rPr>
          <w:rFonts w:hint="eastAsia" w:ascii="宋体" w:hAnsi="宋体" w:eastAsia="宋体" w:cs="Courier New"/>
          <w:b w:val="0"/>
          <w:bCs w:val="0"/>
          <w:color w:val="auto"/>
          <w:sz w:val="24"/>
          <w:szCs w:val="24"/>
          <w:highlight w:val="none"/>
          <w:lang w:val="en-US" w:eastAsia="zh-CN"/>
        </w:rPr>
        <w:t xml:space="preserve">6.1.3 不予退还的情形：合同约定的交付期内未履约完成、验收不合格、整改不到位等情形。</w:t>
      </w:r>
      <w:r/>
    </w:p>
    <w:p>
      <w:pPr>
        <w:keepLines w:val="0"/>
        <w:keepNext w:val="0"/>
        <w:pageBreakBefore w:val="0"/>
        <w:spacing w:line="360" w:lineRule="auto"/>
        <w:widowControl w:val="off"/>
        <w:rPr>
          <w:rFonts w:hint="eastAsia" w:ascii="宋体" w:hAnsi="宋体" w:eastAsia="宋体" w:cs="Courier New"/>
          <w:b w:val="0"/>
          <w:bCs w:val="0"/>
          <w:color w:val="auto"/>
          <w:sz w:val="24"/>
          <w:szCs w:val="24"/>
          <w:highlight w:val="none"/>
          <w:lang w:val="en-US" w:eastAsia="zh-CN"/>
        </w:rPr>
      </w:pPr>
      <w:r>
        <w:rPr>
          <w:rFonts w:hint="eastAsia" w:ascii="宋体" w:hAnsi="宋体" w:eastAsia="宋体" w:cs="Courier New"/>
          <w:b w:val="0"/>
          <w:bCs w:val="0"/>
          <w:color w:val="auto"/>
          <w:sz w:val="24"/>
          <w:szCs w:val="24"/>
          <w:highlight w:val="none"/>
          <w:lang w:val="en-US" w:eastAsia="zh-CN"/>
        </w:rPr>
        <w:t xml:space="preserve">6.1.4 逾期退还履约保证金责任：甲方逾期退还履约保证金的，除应当退还履约保证金本金外，还应当按照每日万分之五的利率支付逾期利息，但因乙方自身原因导致无法及时退还的除外。</w:t>
      </w:r>
      <w:r/>
    </w:p>
    <w:p>
      <w:pPr>
        <w:keepLines w:val="0"/>
        <w:keepNext w:val="0"/>
        <w:pageBreakBefore w:val="0"/>
        <w:spacing w:before="0" w:after="0" w:line="36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七、合同转包或分包</w:t>
      </w:r>
      <w:r/>
    </w:p>
    <w:p>
      <w:pPr>
        <w:keepLines w:val="0"/>
        <w:keepNext w:val="0"/>
        <w:pageBreakBefore w:val="0"/>
        <w:spacing w:before="0" w:after="0" w:line="36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p>
    <w:p>
      <w:pPr>
        <w:keepLines w:val="0"/>
        <w:keepNext w:val="0"/>
        <w:pageBreakBefore w:val="0"/>
        <w:spacing w:before="0" w:after="0" w:line="36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w:t>
      </w:r>
      <w:r>
        <w:rPr>
          <w:rFonts w:hint="eastAsia" w:ascii="宋体" w:hAnsi="宋体" w:cs="Courier New"/>
          <w:color w:val="000000"/>
          <w:sz w:val="24"/>
          <w:szCs w:val="24"/>
          <w:lang w:eastAsia="zh-CN"/>
        </w:rPr>
        <w:t xml:space="preserve">招标文件</w:t>
      </w:r>
      <w:r>
        <w:rPr>
          <w:rFonts w:hint="eastAsia" w:ascii="宋体" w:hAnsi="宋体" w:eastAsia="宋体" w:cs="Courier New"/>
          <w:color w:val="000000"/>
          <w:sz w:val="24"/>
          <w:szCs w:val="24"/>
        </w:rPr>
        <w:t xml:space="preserve">接受分包并经甲方同意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乙方可按分包意向协议分包情况外</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乙方不得将合同标的分包给他人履行。</w:t>
      </w:r>
      <w:r/>
    </w:p>
    <w:p>
      <w:pPr>
        <w:keepLines w:val="0"/>
        <w:keepNext w:val="0"/>
        <w:pageBreakBefore w:val="0"/>
        <w:spacing w:before="0" w:after="0" w:line="36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甲方有权终止合同。</w:t>
      </w:r>
      <w:r/>
    </w:p>
    <w:p>
      <w:pPr>
        <w:keepLines w:val="0"/>
        <w:keepNext w:val="0"/>
        <w:pageBreakBefore w:val="0"/>
        <w:spacing w:before="0" w:after="0" w:line="36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highlight w:val="none"/>
        </w:rPr>
        <w:t xml:space="preserve">八</w:t>
      </w:r>
      <w:r>
        <w:rPr>
          <w:rFonts w:hint="eastAsia" w:ascii="方正黑体_GBK" w:hAnsi="方正黑体_GBK" w:eastAsia="方正黑体_GBK" w:cs="方正黑体_GBK"/>
          <w:b w:val="0"/>
          <w:bCs/>
          <w:color w:val="000000"/>
          <w:sz w:val="24"/>
          <w:szCs w:val="24"/>
        </w:rPr>
        <w:t xml:space="preserve">、合同款项支付</w:t>
      </w:r>
      <w:r/>
    </w:p>
    <w:p>
      <w:pPr>
        <w:pStyle w:val="713"/>
        <w:keepLines w:val="0"/>
        <w:keepNext w:val="0"/>
        <w:pageBreakBefore w:val="0"/>
        <w:spacing w:before="0" w:after="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8.1</w:t>
      </w:r>
      <w:r>
        <w:rPr>
          <w:rFonts w:hint="eastAsia" w:ascii="宋体" w:hAnsi="宋体" w:eastAsia="宋体" w:cs="宋体"/>
          <w:sz w:val="24"/>
          <w:szCs w:val="24"/>
          <w:lang w:val="en-US" w:eastAsia="zh-CN"/>
        </w:rPr>
        <w:t xml:space="preserve"> 本合同项下所有款项均以人民币支付。</w:t>
      </w:r>
      <w:r/>
    </w:p>
    <w:p>
      <w:pPr>
        <w:pStyle w:val="713"/>
        <w:keepLines w:val="0"/>
        <w:keepNext w:val="0"/>
        <w:pageBreakBefore w:val="0"/>
        <w:spacing w:before="0" w:after="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8.2 结算时，乙方必须向甲方提供符合甲方要求的发票。否则甲方有权迟延付款且不承担违约责任。</w:t>
      </w:r>
      <w:r/>
    </w:p>
    <w:p>
      <w:pPr>
        <w:pStyle w:val="713"/>
        <w:keepLines w:val="0"/>
        <w:keepNext w:val="0"/>
        <w:pageBreakBefore w:val="0"/>
        <w:spacing w:before="0" w:after="0" w:line="360" w:lineRule="auto"/>
        <w:widowControl w:val="off"/>
        <w:rPr>
          <w:rFonts w:hint="eastAsia" w:ascii="宋体" w:hAnsi="宋体" w:eastAsia="宋体" w:cs="宋体"/>
          <w:sz w:val="24"/>
          <w:szCs w:val="24"/>
          <w:u w:val="single"/>
          <w:lang w:val="en-US" w:eastAsia="zh-CN"/>
        </w:rPr>
      </w:pPr>
      <w:r>
        <w:rPr>
          <w:rFonts w:hint="eastAsia" w:ascii="宋体" w:hAnsi="宋体" w:eastAsia="宋体" w:cs="宋体"/>
          <w:sz w:val="24"/>
          <w:szCs w:val="24"/>
          <w:lang w:val="en-US" w:eastAsia="zh-CN"/>
        </w:rPr>
        <w:t xml:space="preserve">8.3 </w:t>
      </w:r>
      <w:r>
        <w:rPr>
          <w:rFonts w:hint="eastAsia" w:ascii="宋体" w:hAnsi="宋体" w:eastAsia="宋体" w:cs="宋体"/>
          <w:sz w:val="24"/>
          <w:szCs w:val="24"/>
        </w:rPr>
        <w:t xml:space="preserve">合同款项的支付方式及</w:t>
      </w:r>
      <w:r>
        <w:rPr>
          <w:rFonts w:hint="eastAsia" w:ascii="宋体" w:hAnsi="宋体" w:eastAsia="宋体" w:cs="宋体"/>
          <w:sz w:val="24"/>
          <w:szCs w:val="24"/>
          <w:lang w:val="en-US" w:eastAsia="zh-CN"/>
        </w:rPr>
        <w:t xml:space="preserve">时间：</w:t>
      </w:r>
      <w:r>
        <w:rPr>
          <w:rFonts w:hint="eastAsia" w:ascii="宋体" w:hAnsi="宋体" w:eastAsia="宋体" w:cs="宋体"/>
          <w:sz w:val="24"/>
          <w:szCs w:val="24"/>
          <w:u w:val="single"/>
          <w:lang w:val="en-US" w:eastAsia="zh-CN"/>
        </w:rPr>
        <w:t xml:space="preserve">                                               </w:t>
      </w:r>
      <w:r/>
    </w:p>
    <w:p>
      <w:pPr>
        <w:pStyle w:val="713"/>
        <w:keepLines w:val="0"/>
        <w:keepNext w:val="0"/>
        <w:pageBreakBefore w:val="0"/>
        <w:spacing w:before="0" w:after="0" w:line="360" w:lineRule="auto"/>
        <w:widowControl w:val="off"/>
        <w:rPr>
          <w:rFonts w:hint="eastAsia" w:ascii="宋体" w:hAnsi="宋体" w:eastAsia="宋体" w:cs="Courier New"/>
          <w:sz w:val="24"/>
          <w:szCs w:val="24"/>
        </w:rPr>
      </w:pPr>
      <w:r>
        <w:rPr>
          <w:rFonts w:hint="eastAsia" w:ascii="宋体" w:hAnsi="宋体" w:eastAsia="宋体" w:cs="Courier New"/>
          <w:sz w:val="24"/>
          <w:szCs w:val="24"/>
        </w:rPr>
        <w:t xml:space="preserve">8.</w:t>
      </w:r>
      <w:r>
        <w:rPr>
          <w:rFonts w:hint="eastAsia" w:hAnsi="宋体" w:cs="Courier New"/>
          <w:sz w:val="24"/>
          <w:szCs w:val="24"/>
          <w:lang w:val="en-US" w:eastAsia="zh-CN"/>
        </w:rPr>
        <w:t xml:space="preserve">4</w:t>
      </w:r>
      <w:r>
        <w:rPr>
          <w:rFonts w:hint="eastAsia" w:ascii="宋体" w:hAnsi="宋体" w:eastAsia="宋体" w:cs="Courier New"/>
          <w:sz w:val="24"/>
          <w:szCs w:val="24"/>
          <w:lang w:val="en-US" w:eastAsia="zh-CN"/>
        </w:rPr>
        <w:t xml:space="preserve"> </w:t>
      </w:r>
      <w:r>
        <w:rPr>
          <w:rFonts w:hint="eastAsia" w:ascii="宋体" w:hAnsi="宋体" w:eastAsia="宋体" w:cs="Courier New"/>
          <w:sz w:val="24"/>
          <w:szCs w:val="24"/>
        </w:rPr>
        <w:t xml:space="preserve">当采购数量与实际使用数量不一致时</w:t>
      </w:r>
      <w:r>
        <w:rPr>
          <w:rFonts w:hint="eastAsia" w:ascii="宋体" w:hAnsi="宋体" w:eastAsia="宋体" w:cs="Courier New"/>
          <w:sz w:val="24"/>
          <w:szCs w:val="24"/>
          <w:lang w:eastAsia="zh-CN"/>
        </w:rPr>
        <w:t xml:space="preserve">，</w:t>
      </w:r>
      <w:r>
        <w:rPr>
          <w:rFonts w:hint="eastAsia" w:ascii="宋体" w:hAnsi="宋体" w:eastAsia="宋体" w:cs="Courier New"/>
          <w:sz w:val="24"/>
          <w:szCs w:val="24"/>
        </w:rPr>
        <w:t xml:space="preserve">乙方应根据实际使用量供货</w:t>
      </w:r>
      <w:r>
        <w:rPr>
          <w:rFonts w:hint="eastAsia" w:ascii="宋体" w:hAnsi="宋体" w:eastAsia="宋体" w:cs="Courier New"/>
          <w:sz w:val="24"/>
          <w:szCs w:val="24"/>
          <w:lang w:eastAsia="zh-CN"/>
        </w:rPr>
        <w:t xml:space="preserve">，</w:t>
      </w:r>
      <w:r>
        <w:rPr>
          <w:rFonts w:hint="eastAsia" w:ascii="宋体" w:hAnsi="宋体" w:eastAsia="宋体" w:cs="Courier New"/>
          <w:sz w:val="24"/>
          <w:szCs w:val="24"/>
        </w:rPr>
        <w:t xml:space="preserve">合同的最终结算金额按实际使用量乘以成交单价进行计算。</w:t>
      </w:r>
      <w:r/>
    </w:p>
    <w:p>
      <w:pPr>
        <w:keepLines w:val="0"/>
        <w:keepNext w:val="0"/>
        <w:pageBreakBefore w:val="0"/>
        <w:spacing w:before="0" w:after="0" w:line="36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highlight w:val="none"/>
        </w:rPr>
        <w:t xml:space="preserve">九、</w:t>
      </w:r>
      <w:r>
        <w:rPr>
          <w:rFonts w:hint="eastAsia" w:ascii="方正黑体_GBK" w:hAnsi="方正黑体_GBK" w:eastAsia="方正黑体_GBK" w:cs="方正黑体_GBK"/>
          <w:b w:val="0"/>
          <w:bCs/>
          <w:color w:val="000000"/>
          <w:sz w:val="24"/>
          <w:szCs w:val="24"/>
        </w:rPr>
        <w:t xml:space="preserve">税费</w:t>
      </w:r>
      <w:r/>
    </w:p>
    <w:p>
      <w:pPr>
        <w:keepLines w:val="0"/>
        <w:keepNext w:val="0"/>
        <w:pageBreakBefore w:val="0"/>
        <w:spacing w:before="0" w:after="0" w:line="36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p>
    <w:p>
      <w:pPr>
        <w:ind w:left="0" w:firstLine="0"/>
        <w:keepLines w:val="0"/>
        <w:keepNext w:val="0"/>
        <w:pageBreakBefore w:val="0"/>
        <w:spacing w:before="0" w:after="0" w:line="360" w:lineRule="auto"/>
        <w:widowControl w:val="off"/>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 w:val="0"/>
          <w:bCs/>
          <w:color w:val="000000"/>
          <w:sz w:val="24"/>
          <w:szCs w:val="24"/>
          <w:highlight w:val="none"/>
        </w:rPr>
        <w:t xml:space="preserve">十、</w:t>
      </w:r>
      <w:r>
        <w:rPr>
          <w:rFonts w:hint="eastAsia" w:ascii="方正黑体_GBK" w:hAnsi="方正黑体_GBK" w:eastAsia="方正黑体_GBK" w:cs="方正黑体_GBK"/>
          <w:b w:val="0"/>
          <w:bCs/>
          <w:color w:val="000000"/>
          <w:sz w:val="24"/>
          <w:szCs w:val="24"/>
        </w:rPr>
        <w:t xml:space="preserve">质量保修范围和保修期及售后服务</w:t>
      </w:r>
      <w:r/>
    </w:p>
    <w:p>
      <w:pPr>
        <w:keepLines w:val="0"/>
        <w:keepNext w:val="0"/>
        <w:pageBreakBefore w:val="0"/>
        <w:spacing w:before="0" w:after="0" w:line="36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w:t>
      </w:r>
      <w:r>
        <w:rPr>
          <w:rFonts w:hint="eastAsia" w:ascii="宋体" w:hAnsi="宋体" w:cs="Courier New"/>
          <w:color w:val="000000"/>
          <w:sz w:val="24"/>
          <w:szCs w:val="24"/>
          <w:highlight w:val="none"/>
          <w:lang w:eastAsia="zh-CN"/>
        </w:rPr>
        <w:t xml:space="preserve">合同或招标文件规定</w:t>
      </w:r>
      <w:r>
        <w:rPr>
          <w:rFonts w:hint="eastAsia" w:ascii="宋体" w:hAnsi="宋体" w:eastAsia="宋体" w:cs="Courier New"/>
          <w:color w:val="000000"/>
          <w:sz w:val="24"/>
          <w:szCs w:val="24"/>
          <w:highlight w:val="none"/>
        </w:rPr>
        <w:t xml:space="preserve">的</w:t>
      </w:r>
      <w:r>
        <w:rPr>
          <w:rFonts w:hint="eastAsia" w:ascii="宋体" w:hAnsi="宋体" w:eastAsia="宋体" w:cs="Courier New"/>
          <w:color w:val="000000"/>
          <w:sz w:val="24"/>
          <w:szCs w:val="24"/>
        </w:rPr>
        <w:t xml:space="preserve">货物性能、技术要求、质量标准向甲方提供未经使用的全新产品。</w:t>
      </w:r>
      <w:r/>
    </w:p>
    <w:p>
      <w:pPr>
        <w:keepLines w:val="0"/>
        <w:keepNext w:val="0"/>
        <w:pageBreakBefore w:val="0"/>
        <w:spacing w:before="0" w:after="0" w:line="36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乙方提供的货物在质</w:t>
      </w:r>
      <w:r>
        <w:rPr>
          <w:rFonts w:hint="eastAsia" w:ascii="宋体" w:hAnsi="宋体" w:eastAsia="宋体" w:cs="Courier New"/>
          <w:color w:val="000000"/>
          <w:sz w:val="24"/>
          <w:szCs w:val="24"/>
          <w:lang w:val="en-US" w:eastAsia="zh-CN"/>
        </w:rPr>
        <w:t xml:space="preserve">保</w:t>
      </w:r>
      <w:r>
        <w:rPr>
          <w:rFonts w:hint="eastAsia" w:ascii="宋体" w:hAnsi="宋体" w:eastAsia="宋体" w:cs="Courier New"/>
          <w:color w:val="000000"/>
          <w:sz w:val="24"/>
          <w:szCs w:val="24"/>
        </w:rPr>
        <w:t xml:space="preserve">期内因货物本身的质量问题发生故障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乙方应负责免费更换。对达不到技术要求者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根据实际情况</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经双方协商可按以下</w:t>
      </w:r>
      <w:r>
        <w:rPr>
          <w:rFonts w:hint="eastAsia" w:ascii="宋体" w:hAnsi="宋体" w:eastAsia="宋体" w:cs="Courier New"/>
          <w:color w:val="000000"/>
          <w:sz w:val="24"/>
          <w:szCs w:val="24"/>
          <w:lang w:val="en-US" w:eastAsia="zh-CN"/>
        </w:rPr>
        <w:t xml:space="preserve">方式</w:t>
      </w:r>
      <w:r>
        <w:rPr>
          <w:rFonts w:hint="eastAsia" w:ascii="宋体" w:hAnsi="宋体" w:eastAsia="宋体" w:cs="Courier New"/>
          <w:color w:val="000000"/>
          <w:sz w:val="24"/>
          <w:szCs w:val="24"/>
        </w:rPr>
        <w:t xml:space="preserve">处理：</w:t>
      </w:r>
      <w:r/>
    </w:p>
    <w:p>
      <w:pPr>
        <w:keepLines w:val="0"/>
        <w:keepNext w:val="0"/>
        <w:pageBreakBefore w:val="0"/>
        <w:spacing w:before="0" w:after="0" w:line="360"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10.2.1 </w:t>
      </w:r>
      <w:r>
        <w:rPr>
          <w:rFonts w:hint="eastAsia" w:ascii="宋体" w:hAnsi="宋体" w:eastAsia="宋体" w:cs="Courier New"/>
          <w:color w:val="000000"/>
          <w:sz w:val="24"/>
          <w:szCs w:val="24"/>
        </w:rPr>
        <w:t xml:space="preserve">更换：由乙方承担所发生的全部费用</w:t>
      </w:r>
      <w:r>
        <w:rPr>
          <w:rFonts w:hint="eastAsia" w:ascii="宋体" w:hAnsi="宋体" w:eastAsia="宋体" w:cs="Courier New"/>
          <w:color w:val="000000"/>
          <w:sz w:val="24"/>
          <w:szCs w:val="24"/>
          <w:lang w:eastAsia="zh-CN"/>
        </w:rPr>
        <w:t xml:space="preserve">。</w:t>
      </w:r>
      <w:r/>
    </w:p>
    <w:p>
      <w:pPr>
        <w:keepLines w:val="0"/>
        <w:keepNext w:val="0"/>
        <w:pageBreakBefore w:val="0"/>
        <w:spacing w:before="0" w:after="0" w:line="360"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10.2.2 </w:t>
      </w:r>
      <w:r>
        <w:rPr>
          <w:rFonts w:hint="eastAsia" w:ascii="宋体" w:hAnsi="宋体" w:eastAsia="宋体" w:cs="Courier New"/>
          <w:color w:val="000000"/>
          <w:sz w:val="24"/>
          <w:szCs w:val="24"/>
        </w:rPr>
        <w:t xml:space="preserve">贬值处理：由甲乙双方合议定价</w:t>
      </w:r>
      <w:r>
        <w:rPr>
          <w:rFonts w:hint="eastAsia" w:ascii="宋体" w:hAnsi="宋体" w:eastAsia="宋体" w:cs="Courier New"/>
          <w:color w:val="000000"/>
          <w:sz w:val="24"/>
          <w:szCs w:val="24"/>
          <w:lang w:eastAsia="zh-CN"/>
        </w:rPr>
        <w:t xml:space="preserve">。</w:t>
      </w:r>
      <w:r/>
    </w:p>
    <w:p>
      <w:pPr>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lang w:val="en-US" w:eastAsia="zh-CN"/>
        </w:rPr>
        <w:t xml:space="preserve">10.2.3 </w:t>
      </w:r>
      <w:r>
        <w:rPr>
          <w:rFonts w:hint="eastAsia" w:ascii="宋体" w:hAnsi="宋体" w:eastAsia="宋体" w:cs="Courier New"/>
          <w:color w:val="000000"/>
          <w:sz w:val="24"/>
          <w:szCs w:val="24"/>
        </w:rPr>
        <w:t xml:space="preserve">退货处理：乙方应退还甲方支付的合同款</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同时应承担该货物的直接费用（运输、保险、检验、货款利息及银行手续费等）。</w:t>
      </w:r>
      <w:r/>
    </w:p>
    <w:p>
      <w:pPr>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如在使用过程中发生质量问题</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w:t>
      </w:r>
      <w:r>
        <w:rPr>
          <w:rFonts w:hint="eastAsia" w:ascii="宋体" w:hAnsi="宋体" w:eastAsia="宋体" w:cs="Courier New"/>
          <w:color w:val="000000"/>
          <w:sz w:val="24"/>
          <w:szCs w:val="24"/>
          <w:highlight w:val="none"/>
          <w:lang w:val="en-US" w:eastAsia="zh-CN"/>
        </w:rPr>
        <w:t xml:space="preserve">应</w:t>
      </w:r>
      <w:r>
        <w:rPr>
          <w:rFonts w:hint="eastAsia" w:ascii="宋体" w:hAnsi="宋体" w:eastAsia="宋体" w:cs="Courier New"/>
          <w:color w:val="000000"/>
          <w:sz w:val="24"/>
          <w:szCs w:val="24"/>
          <w:highlight w:val="none"/>
        </w:rPr>
        <w:t xml:space="preserve">在接到甲方通知后</w:t>
      </w:r>
      <w:r>
        <w:rPr>
          <w:rFonts w:hint="eastAsia" w:ascii="宋体" w:hAnsi="宋体" w:eastAsia="宋体" w:cs="Courier New"/>
          <w:color w:val="000000"/>
          <w:sz w:val="24"/>
          <w:szCs w:val="24"/>
          <w:highlight w:val="none"/>
          <w:u w:val="single"/>
        </w:rPr>
        <w:t xml:space="preserve"> </w:t>
      </w:r>
      <w:r>
        <w:rPr>
          <w:rFonts w:hint="eastAsia" w:ascii="宋体" w:hAnsi="宋体" w:cs="Courier New"/>
          <w:color w:val="000000"/>
          <w:sz w:val="24"/>
          <w:szCs w:val="24"/>
          <w:highlight w:val="none"/>
          <w:u w:val="single"/>
          <w:lang w:val="en-US" w:eastAsia="zh-CN"/>
        </w:rPr>
        <w:t xml:space="preserve">3 </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rPr>
        <w:t xml:space="preserve">小时内到达甲方现场。</w:t>
      </w:r>
      <w:r/>
    </w:p>
    <w:p>
      <w:pPr>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质保期内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乙方应对货物出现的质量及安全问题负责处理解决并承担一切费用。</w:t>
      </w:r>
      <w:r/>
    </w:p>
    <w:p>
      <w:pPr>
        <w:keepLines w:val="0"/>
        <w:keepNext w:val="0"/>
        <w:pageBreakBefore w:val="0"/>
        <w:spacing w:before="0" w:after="0" w:line="360" w:lineRule="auto"/>
        <w:widowControl w:val="off"/>
        <w:rPr>
          <w:rFonts w:hint="eastAsia" w:ascii="宋体" w:hAnsi="宋体" w:eastAsia="宋体" w:cs="Courier New"/>
          <w:color w:val="auto"/>
          <w:sz w:val="24"/>
          <w:szCs w:val="24"/>
          <w:highlight w:val="green"/>
          <w:lang w:eastAsia="zh-CN"/>
        </w:rPr>
      </w:pPr>
      <w:r>
        <w:rPr>
          <w:rFonts w:hint="eastAsia" w:ascii="宋体" w:hAnsi="宋体" w:eastAsia="宋体" w:cs="Courier New"/>
          <w:color w:val="000000"/>
          <w:sz w:val="24"/>
          <w:szCs w:val="24"/>
          <w:highlight w:val="none"/>
        </w:rPr>
        <w:t xml:space="preserve">10.5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auto"/>
          <w:sz w:val="24"/>
          <w:szCs w:val="24"/>
          <w:highlight w:val="none"/>
        </w:rPr>
        <w:t xml:space="preserve">质保期</w:t>
      </w:r>
      <w:r>
        <w:rPr>
          <w:rFonts w:hint="eastAsia" w:ascii="宋体" w:hAnsi="宋体" w:eastAsia="宋体" w:cs="Courier New"/>
          <w:color w:val="000000"/>
          <w:sz w:val="24"/>
          <w:szCs w:val="24"/>
          <w:highlight w:val="none"/>
        </w:rPr>
        <w:t xml:space="preserve">为</w:t>
      </w:r>
      <w:r>
        <w:rPr>
          <w:rFonts w:hint="eastAsia" w:ascii="宋体" w:hAnsi="宋体" w:eastAsia="宋体" w:cs="Courier New"/>
          <w:color w:val="000000"/>
          <w:sz w:val="24"/>
          <w:szCs w:val="24"/>
          <w:highlight w:val="none"/>
          <w:u w:val="none"/>
        </w:rPr>
        <w:t xml:space="preserve">自</w:t>
      </w:r>
      <w:r>
        <w:rPr>
          <w:rFonts w:hint="eastAsia" w:ascii="宋体" w:hAnsi="宋体" w:eastAsia="宋体" w:cs="Courier New"/>
          <w:color w:val="auto"/>
          <w:sz w:val="24"/>
          <w:szCs w:val="24"/>
          <w:highlight w:val="none"/>
          <w:u w:val="none"/>
        </w:rPr>
        <w:t xml:space="preserve">交货验收合格之日起</w:t>
      </w:r>
      <w:r>
        <w:rPr>
          <w:rFonts w:hint="eastAsia" w:ascii="宋体" w:hAnsi="宋体" w:eastAsia="宋体" w:cs="Courier New"/>
          <w:color w:val="auto"/>
          <w:sz w:val="24"/>
          <w:szCs w:val="24"/>
          <w:highlight w:val="none"/>
          <w:u w:val="single"/>
        </w:rPr>
        <w:t xml:space="preserve">     </w:t>
      </w:r>
      <w:r>
        <w:rPr>
          <w:rFonts w:hint="eastAsia" w:ascii="宋体" w:hAnsi="宋体" w:eastAsia="宋体" w:cs="Courier New"/>
          <w:color w:val="auto"/>
          <w:sz w:val="24"/>
          <w:szCs w:val="24"/>
          <w:highlight w:val="none"/>
        </w:rPr>
        <w:t xml:space="preserve">年</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因人为因素出现的故障不在质保范围内。</w:t>
      </w:r>
      <w:r>
        <w:rPr>
          <w:rFonts w:hint="eastAsia" w:ascii="宋体" w:hAnsi="宋体" w:cs="Courier New"/>
          <w:color w:val="auto"/>
          <w:sz w:val="24"/>
          <w:szCs w:val="24"/>
          <w:highlight w:val="none"/>
          <w:lang w:eastAsia="zh-CN"/>
        </w:rPr>
        <w:t xml:space="preserve">（可根据项目情况自行增加）</w:t>
      </w:r>
      <w:r/>
    </w:p>
    <w:p>
      <w:pPr>
        <w:keepLines w:val="0"/>
        <w:keepNext w:val="0"/>
        <w:pageBreakBefore w:val="0"/>
        <w:spacing w:before="0" w:after="0" w:line="36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十一、项目验收</w:t>
      </w:r>
      <w:r/>
    </w:p>
    <w:p>
      <w:pPr>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甲方依法组织履约验收工作。</w:t>
      </w:r>
      <w:r/>
    </w:p>
    <w:p>
      <w:pPr>
        <w:keepLines w:val="0"/>
        <w:keepNext w:val="0"/>
        <w:pageBreakBefore w:val="0"/>
        <w:spacing w:before="0" w:after="0" w:line="36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rPr>
        <w:t xml:space="preserve">11.2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甲方在组织履约验收前</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将根据项目特点制定验收方案</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明确验收的时间、方式、程序等</w:t>
      </w:r>
      <w:r>
        <w:rPr>
          <w:rFonts w:hint="eastAsia" w:ascii="宋体" w:hAnsi="宋体" w:eastAsia="宋体" w:cs="Courier New"/>
          <w:color w:val="000000"/>
          <w:sz w:val="24"/>
          <w:szCs w:val="24"/>
          <w:highlight w:val="none"/>
          <w:lang w:eastAsia="zh-CN"/>
        </w:rPr>
        <w:t xml:space="preserve">内容，</w:t>
      </w:r>
      <w:r>
        <w:rPr>
          <w:rFonts w:hint="eastAsia" w:ascii="宋体" w:hAnsi="宋体" w:eastAsia="宋体" w:cs="Courier New"/>
          <w:color w:val="000000"/>
          <w:sz w:val="24"/>
          <w:szCs w:val="24"/>
          <w:highlight w:val="none"/>
        </w:rPr>
        <w:t xml:space="preserve">并可根据项目特点对服务期内的服务实施情况进行分期考核</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综合考核情况和服务效果进行验收。乙方应根据验收方案做好相应配合工作。</w:t>
      </w:r>
      <w:r>
        <w:rPr>
          <w:rFonts w:hint="eastAsia" w:ascii="宋体" w:hAnsi="宋体" w:cs="Courier New"/>
          <w:color w:val="000000"/>
          <w:sz w:val="24"/>
          <w:szCs w:val="24"/>
          <w:highlight w:val="none"/>
          <w:lang w:val="en-US" w:eastAsia="zh-CN"/>
        </w:rPr>
        <w:t xml:space="preserve"> </w:t>
      </w:r>
      <w:r/>
    </w:p>
    <w:p>
      <w:pPr>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对于实际使用人和甲方分离的项目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甲方邀请实际使用人参与验收。</w:t>
      </w:r>
      <w:r/>
    </w:p>
    <w:p>
      <w:pPr>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如有必要</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w:t>
      </w:r>
      <w:r>
        <w:rPr>
          <w:rFonts w:hint="eastAsia" w:ascii="宋体" w:hAnsi="宋体" w:eastAsia="宋体" w:cs="Courier New"/>
          <w:color w:val="000000"/>
          <w:sz w:val="24"/>
          <w:szCs w:val="24"/>
          <w:highlight w:val="none"/>
          <w:lang w:val="en-US" w:eastAsia="zh-CN"/>
        </w:rPr>
        <w:t xml:space="preserve">可</w:t>
      </w:r>
      <w:r>
        <w:rPr>
          <w:rFonts w:hint="eastAsia" w:ascii="宋体" w:hAnsi="宋体" w:eastAsia="宋体" w:cs="Courier New"/>
          <w:color w:val="000000"/>
          <w:sz w:val="24"/>
          <w:szCs w:val="24"/>
          <w:highlight w:val="none"/>
        </w:rPr>
        <w:t xml:space="preserve">邀请参加本项目</w:t>
      </w:r>
      <w:r>
        <w:rPr>
          <w:rFonts w:hint="eastAsia" w:ascii="宋体" w:hAnsi="宋体" w:eastAsia="宋体" w:cs="Courier New"/>
          <w:color w:val="000000"/>
          <w:sz w:val="24"/>
          <w:szCs w:val="24"/>
          <w:highlight w:val="none"/>
          <w:lang w:val="en-US" w:eastAsia="zh-CN"/>
        </w:rPr>
        <w:t xml:space="preserve">投标</w:t>
      </w:r>
      <w:r>
        <w:rPr>
          <w:rFonts w:hint="eastAsia" w:ascii="宋体" w:hAnsi="宋体" w:eastAsia="宋体" w:cs="Courier New"/>
          <w:color w:val="000000"/>
          <w:sz w:val="24"/>
          <w:szCs w:val="24"/>
          <w:highlight w:val="none"/>
        </w:rPr>
        <w:t xml:space="preserve">的其他供应商或第三方专业机构及专家参与验收</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相关意见将作为验收</w:t>
      </w:r>
      <w:r>
        <w:rPr>
          <w:rFonts w:hint="eastAsia" w:ascii="宋体" w:hAnsi="宋体" w:eastAsia="宋体" w:cs="Courier New"/>
          <w:color w:val="000000"/>
          <w:sz w:val="24"/>
          <w:szCs w:val="24"/>
          <w:highlight w:val="none"/>
          <w:lang w:val="en-US" w:eastAsia="zh-CN"/>
        </w:rPr>
        <w:t xml:space="preserve">结论</w:t>
      </w:r>
      <w:r>
        <w:rPr>
          <w:rFonts w:hint="eastAsia" w:ascii="宋体" w:hAnsi="宋体" w:eastAsia="宋体" w:cs="Courier New"/>
          <w:color w:val="000000"/>
          <w:sz w:val="24"/>
          <w:szCs w:val="24"/>
          <w:highlight w:val="none"/>
        </w:rPr>
        <w:t xml:space="preserve">的参考。</w:t>
      </w:r>
      <w:r/>
    </w:p>
    <w:p>
      <w:pPr>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甲方成立验收小组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按照采购合同约定对乙方履约情况进行验收。验收时间、验收标准见招标文件。验收时甲方按照采购合同的约定对每一项技术、商务要求的履约情况进行确认。验收结束后验收小组出具验收书</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列明各项标准的验收情况及项目总体评价</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由验收双方共同签署。验收结果与采购合同约定的资金支付及履约保证金</w:t>
      </w:r>
      <w:r>
        <w:rPr>
          <w:rFonts w:hint="eastAsia" w:ascii="宋体" w:hAnsi="宋体" w:eastAsia="宋体" w:cs="Courier New"/>
          <w:color w:val="000000"/>
          <w:sz w:val="24"/>
          <w:szCs w:val="24"/>
          <w:highlight w:val="none"/>
          <w:lang w:val="en-US" w:eastAsia="zh-CN"/>
        </w:rPr>
        <w:t xml:space="preserve">退</w:t>
      </w:r>
      <w:r>
        <w:rPr>
          <w:rFonts w:hint="eastAsia" w:ascii="宋体" w:hAnsi="宋体" w:eastAsia="宋体" w:cs="Courier New"/>
          <w:color w:val="000000"/>
          <w:sz w:val="24"/>
          <w:szCs w:val="24"/>
          <w:highlight w:val="none"/>
        </w:rPr>
        <w:t xml:space="preserve">还挂钩。履约验收的各项资料存档备查。</w:t>
      </w:r>
      <w:r/>
    </w:p>
    <w:p>
      <w:pPr>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11.6</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验收合格的项目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甲方根据采购合同的约定及时向乙方支付合同款项、退还履约保证金。验收不合格的项目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甲方依法及时处理。采购合同的履行、违约责任和解决争议的方式等适用《</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民法典》。乙方在履约过程中有政府采购法律法规规定的违法违规情形的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甲方将及时报告本级财政部门。</w:t>
      </w:r>
      <w:r/>
    </w:p>
    <w:p>
      <w:pPr>
        <w:keepLines w:val="0"/>
        <w:keepNext w:val="0"/>
        <w:pageBreakBefore w:val="0"/>
        <w:spacing w:before="0" w:after="0" w:line="36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highlight w:val="none"/>
        </w:rPr>
        <w:t xml:space="preserve">十二、</w:t>
      </w:r>
      <w:r>
        <w:rPr>
          <w:rFonts w:hint="eastAsia" w:ascii="方正黑体_GBK" w:hAnsi="方正黑体_GBK" w:eastAsia="方正黑体_GBK" w:cs="方正黑体_GBK"/>
          <w:b w:val="0"/>
          <w:bCs/>
          <w:color w:val="000000"/>
          <w:sz w:val="24"/>
          <w:szCs w:val="24"/>
        </w:rPr>
        <w:t xml:space="preserve">货物的包装、发运及运输</w:t>
      </w:r>
      <w:r/>
    </w:p>
    <w:p>
      <w:pPr>
        <w:keepLines w:val="0"/>
        <w:keepNext w:val="0"/>
        <w:pageBreakBefore w:val="0"/>
        <w:spacing w:before="0" w:after="0" w:line="360" w:lineRule="auto"/>
        <w:widowControl w:val="off"/>
        <w:rPr>
          <w:rFonts w:hint="eastAsia" w:ascii="宋体" w:hAnsi="宋体" w:eastAsia="宋体" w:cs="Courier New"/>
          <w:color w:val="000000"/>
          <w:sz w:val="24"/>
          <w:szCs w:val="24"/>
        </w:rPr>
      </w:pPr>
      <w:r>
        <w:rPr>
          <w:rFonts w:hint="default" w:ascii="宋体" w:hAnsi="宋体" w:eastAsia="宋体" w:cs="Courier New"/>
          <w:color w:val="000000"/>
          <w:sz w:val="24"/>
          <w:szCs w:val="24"/>
          <w:lang w:val="en-US"/>
        </w:rPr>
        <w:t xml:space="preserve">12.</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乙方应在货物发运前对其进行满足运输距离、防潮、防震、防锈和防破损装卸等要求包装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以保证货物安全运达甲方指定地点。货物的包装应符合《商品包装政府采购需求标准（试行）》《快递包装政府采购需求标准（试行）》的规定。</w:t>
      </w:r>
      <w:r/>
    </w:p>
    <w:p>
      <w:pPr>
        <w:keepLines w:val="0"/>
        <w:keepNext w:val="0"/>
        <w:pageBreakBefore w:val="0"/>
        <w:spacing w:before="0" w:after="0" w:line="36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使用说明书、质量检验证明书、随配附件和工具以及清单一并附于货物内。</w:t>
      </w:r>
      <w:r/>
    </w:p>
    <w:p>
      <w:pPr>
        <w:keepLines w:val="0"/>
        <w:keepNext w:val="0"/>
        <w:pageBreakBefore w:val="0"/>
        <w:spacing w:before="0" w:after="0" w:line="36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乙方在货物发运手续办理完毕后24小时内或货到甲方48小时前通知甲方</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以准备接货。</w:t>
      </w:r>
      <w:r/>
    </w:p>
    <w:p>
      <w:pPr>
        <w:keepLines w:val="0"/>
        <w:keepNext w:val="0"/>
        <w:pageBreakBefore w:val="0"/>
        <w:spacing w:before="0" w:after="0" w:line="36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货物在交付甲方前发生的风险均由乙方负责。</w:t>
      </w:r>
      <w:r/>
    </w:p>
    <w:p>
      <w:pPr>
        <w:keepLines w:val="0"/>
        <w:keepNext w:val="0"/>
        <w:pageBreakBefore w:val="0"/>
        <w:spacing w:before="0" w:after="0" w:line="36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货物在规定的交付期限内由乙方送达甲方指定的地点视为交付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乙方同时需通知甲方货物已送达。</w:t>
      </w:r>
      <w:r/>
    </w:p>
    <w:p>
      <w:pPr>
        <w:keepLines w:val="0"/>
        <w:keepNext w:val="0"/>
        <w:pageBreakBefore w:val="0"/>
        <w:spacing w:before="0" w:after="0" w:line="36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highlight w:val="none"/>
        </w:rPr>
        <w:t xml:space="preserve">十三、</w:t>
      </w:r>
      <w:r>
        <w:rPr>
          <w:rFonts w:hint="eastAsia" w:ascii="方正黑体_GBK" w:hAnsi="方正黑体_GBK" w:eastAsia="方正黑体_GBK" w:cs="方正黑体_GBK"/>
          <w:b w:val="0"/>
          <w:bCs/>
          <w:color w:val="000000"/>
          <w:sz w:val="24"/>
          <w:szCs w:val="24"/>
        </w:rPr>
        <w:t xml:space="preserve">违约责任</w:t>
      </w:r>
      <w:r/>
    </w:p>
    <w:p>
      <w:pPr>
        <w:keepLines w:val="0"/>
        <w:keepNext w:val="0"/>
        <w:pageBreakBefore w:val="0"/>
        <w:spacing w:before="0" w:after="0" w:line="36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highlight w:val="none"/>
        </w:rPr>
        <w:t xml:space="preserve">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甲方无正当理由拒收货物</w:t>
      </w:r>
      <w:r>
        <w:rPr>
          <w:rFonts w:hint="eastAsia" w:ascii="宋体" w:hAnsi="宋体" w:eastAsia="宋体" w:cs="Courier New"/>
          <w:color w:val="auto"/>
          <w:sz w:val="24"/>
          <w:szCs w:val="24"/>
          <w:highlight w:val="none"/>
        </w:rPr>
        <w:t xml:space="preserve">的</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lang w:val="en-US" w:eastAsia="zh-CN"/>
        </w:rPr>
        <w:t xml:space="preserve">应</w:t>
      </w:r>
      <w:r>
        <w:rPr>
          <w:rFonts w:hint="eastAsia" w:ascii="宋体" w:hAnsi="宋体" w:eastAsia="宋体" w:cs="Courier New"/>
          <w:color w:val="auto"/>
          <w:sz w:val="24"/>
          <w:szCs w:val="24"/>
          <w:highlight w:val="none"/>
        </w:rPr>
        <w:t xml:space="preserve">向乙方偿付</w:t>
      </w:r>
      <w:r>
        <w:rPr>
          <w:rFonts w:hint="eastAsia" w:ascii="宋体" w:hAnsi="宋体" w:eastAsia="宋体" w:cs="Courier New"/>
          <w:color w:val="000000" w:themeColor="text1"/>
          <w:sz w:val="24"/>
          <w:szCs w:val="24"/>
          <w:highlight w:val="none"/>
          <w14:textFill>
            <w14:solidFill>
              <w14:schemeClr w14:val="tx1"/>
            </w14:solidFill>
          </w14:textFill>
        </w:rPr>
        <w:t xml:space="preserve">拒收货</w:t>
      </w:r>
      <w:r>
        <w:rPr>
          <w:rFonts w:hint="eastAsia" w:ascii="宋体" w:hAnsi="宋体" w:cs="Courier New"/>
          <w:color w:val="000000" w:themeColor="text1"/>
          <w:sz w:val="24"/>
          <w:szCs w:val="24"/>
          <w:highlight w:val="none"/>
          <w:lang w:val="en-US" w:eastAsia="zh-CN"/>
          <w14:textFill>
            <w14:solidFill>
              <w14:schemeClr w14:val="tx1"/>
            </w14:solidFill>
          </w14:textFill>
        </w:rPr>
        <w:t xml:space="preserve">物</w:t>
      </w:r>
      <w:r>
        <w:rPr>
          <w:rFonts w:hint="eastAsia" w:ascii="宋体" w:hAnsi="宋体" w:eastAsia="宋体" w:cs="Courier New"/>
          <w:color w:val="auto"/>
          <w:sz w:val="24"/>
          <w:szCs w:val="24"/>
          <w:highlight w:val="none"/>
        </w:rPr>
        <w:t xml:space="preserve">总</w:t>
      </w:r>
      <w:r>
        <w:rPr>
          <w:rFonts w:hint="eastAsia" w:ascii="宋体" w:hAnsi="宋体" w:cs="Courier New"/>
          <w:color w:val="auto"/>
          <w:sz w:val="24"/>
          <w:szCs w:val="24"/>
          <w:highlight w:val="none"/>
          <w:lang w:val="en-US" w:eastAsia="zh-CN"/>
        </w:rPr>
        <w:t xml:space="preserve">价</w:t>
      </w:r>
      <w:r>
        <w:rPr>
          <w:rFonts w:hint="eastAsia" w:ascii="宋体" w:hAnsi="宋体" w:eastAsia="宋体" w:cs="Courier New"/>
          <w:color w:val="auto"/>
          <w:sz w:val="24"/>
          <w:szCs w:val="24"/>
          <w:highlight w:val="none"/>
        </w:rPr>
        <w:t xml:space="preserve">款</w:t>
      </w:r>
      <w:r>
        <w:rPr>
          <w:rFonts w:hint="eastAsia" w:ascii="宋体" w:hAnsi="宋体" w:cs="Courier New"/>
          <w:color w:val="auto"/>
          <w:sz w:val="24"/>
          <w:szCs w:val="24"/>
          <w:highlight w:val="none"/>
          <w:u w:val="single"/>
          <w:lang w:val="en-US" w:eastAsia="zh-CN"/>
        </w:rPr>
        <w:t xml:space="preserve">5%</w:t>
      </w:r>
      <w:r>
        <w:rPr>
          <w:rFonts w:hint="eastAsia" w:ascii="宋体" w:hAnsi="宋体" w:eastAsia="宋体" w:cs="Courier New"/>
          <w:color w:val="auto"/>
          <w:sz w:val="24"/>
          <w:szCs w:val="24"/>
          <w:highlight w:val="none"/>
        </w:rPr>
        <w:t xml:space="preserve">的违约金。</w:t>
      </w:r>
      <w:r/>
    </w:p>
    <w:p>
      <w:pPr>
        <w:keepLines w:val="0"/>
        <w:keepNext w:val="0"/>
        <w:pageBreakBefore w:val="0"/>
        <w:spacing w:before="0" w:after="0" w:line="360" w:lineRule="auto"/>
        <w:widowControl w:val="off"/>
        <w:rPr>
          <w:rFonts w:hint="eastAsia" w:ascii="宋体" w:hAnsi="宋体" w:eastAsia="宋体" w:cs="Courier New"/>
          <w:color w:val="auto"/>
          <w:sz w:val="24"/>
          <w:szCs w:val="24"/>
          <w:highlight w:val="none"/>
          <w:lang w:val="zh-CN" w:eastAsia="zh-CN"/>
        </w:rPr>
      </w:pPr>
      <w:r>
        <w:rPr>
          <w:rFonts w:hint="eastAsia" w:ascii="宋体" w:hAnsi="宋体" w:eastAsia="宋体" w:cs="Courier New"/>
          <w:color w:val="auto"/>
          <w:sz w:val="24"/>
          <w:szCs w:val="24"/>
          <w:highlight w:val="none"/>
        </w:rPr>
        <w:t xml:space="preserve">13.2</w:t>
      </w:r>
      <w:r>
        <w:rPr>
          <w:rFonts w:hint="eastAsia" w:ascii="宋体" w:hAnsi="宋体" w:eastAsia="宋体" w:cs="Courier New"/>
          <w:color w:val="auto"/>
          <w:sz w:val="24"/>
          <w:szCs w:val="24"/>
          <w:highlight w:val="none"/>
          <w:lang w:val="en-US" w:eastAsia="zh-CN"/>
        </w:rPr>
        <w:t xml:space="preserve"> </w:t>
      </w:r>
      <w:r>
        <w:rPr>
          <w:rFonts w:hint="eastAsia" w:ascii="宋体" w:hAnsi="宋体" w:cs="Courier New"/>
          <w:color w:val="auto"/>
          <w:sz w:val="24"/>
          <w:szCs w:val="24"/>
          <w:highlight w:val="none"/>
          <w:lang w:eastAsia="zh-CN"/>
        </w:rPr>
        <w:t xml:space="preserve">甲方未按合同规定的期限向乙方支付货款的，</w:t>
      </w:r>
      <w:r>
        <w:rPr>
          <w:rFonts w:hint="eastAsia" w:ascii="宋体" w:hAnsi="宋体" w:eastAsia="宋体" w:cs="Courier New"/>
          <w:color w:val="auto"/>
          <w:sz w:val="24"/>
          <w:szCs w:val="24"/>
          <w:highlight w:val="none"/>
        </w:rPr>
        <w:t xml:space="preserve">应按</w:t>
      </w:r>
      <w:r>
        <w:rPr>
          <w:rFonts w:hint="eastAsia" w:ascii="宋体" w:hAnsi="宋体" w:eastAsia="宋体" w:cs="Courier New"/>
          <w:color w:val="000000" w:themeColor="text1"/>
          <w:sz w:val="24"/>
          <w:szCs w:val="24"/>
          <w:highlight w:val="none"/>
          <w14:textFill>
            <w14:solidFill>
              <w14:schemeClr w14:val="tx1"/>
            </w14:solidFill>
          </w14:textFill>
        </w:rPr>
        <w:t xml:space="preserve">逾期付款总额</w:t>
      </w:r>
      <w:r>
        <w:rPr>
          <w:rFonts w:hint="eastAsia" w:ascii="宋体" w:hAnsi="宋体" w:eastAsia="宋体" w:cs="Courier New"/>
          <w:color w:val="auto"/>
          <w:sz w:val="24"/>
          <w:szCs w:val="24"/>
          <w:highlight w:val="none"/>
        </w:rPr>
        <w:t xml:space="preserve">每日</w:t>
      </w:r>
      <w:r>
        <w:rPr>
          <w:rFonts w:hint="eastAsia" w:ascii="宋体" w:hAnsi="宋体" w:cs="Courier New"/>
          <w:color w:val="auto"/>
          <w:sz w:val="24"/>
          <w:szCs w:val="24"/>
          <w:highlight w:val="none"/>
          <w:u w:val="single"/>
          <w:lang w:val="en-US" w:eastAsia="zh-CN"/>
        </w:rPr>
        <w:t xml:space="preserve">5</w:t>
      </w:r>
      <w:r>
        <w:rPr>
          <w:rFonts w:hint="eastAsia" w:ascii="微软雅黑" w:hAnsi="微软雅黑" w:eastAsia="微软雅黑" w:cs="微软雅黑"/>
          <w:color w:val="auto"/>
          <w:sz w:val="24"/>
          <w:szCs w:val="24"/>
          <w:highlight w:val="none"/>
          <w:u w:val="single"/>
          <w:lang w:val="en-US" w:eastAsia="zh-CN"/>
        </w:rPr>
        <w:t xml:space="preserve">‰</w:t>
      </w:r>
      <w:r>
        <w:rPr>
          <w:rFonts w:hint="eastAsia" w:ascii="宋体" w:hAnsi="宋体" w:eastAsia="宋体" w:cs="Courier New"/>
          <w:color w:val="auto"/>
          <w:sz w:val="24"/>
          <w:szCs w:val="24"/>
          <w:highlight w:val="none"/>
        </w:rPr>
        <w:t xml:space="preserve">向乙方支付违约金。</w:t>
      </w:r>
      <w:r>
        <w:rPr>
          <w:rFonts w:hint="eastAsia" w:ascii="宋体" w:hAnsi="宋体" w:eastAsia="宋体" w:cs="Courier New"/>
          <w:color w:val="auto"/>
          <w:sz w:val="24"/>
          <w:szCs w:val="24"/>
          <w:highlight w:val="none"/>
          <w:lang w:val="zh-CN" w:eastAsia="zh-CN"/>
        </w:rPr>
        <w:t xml:space="preserve">但累计</w:t>
      </w:r>
      <w:r>
        <w:rPr>
          <w:rFonts w:hint="eastAsia" w:ascii="宋体" w:hAnsi="宋体" w:eastAsia="宋体" w:cs="Courier New"/>
          <w:color w:val="auto"/>
          <w:sz w:val="24"/>
          <w:szCs w:val="24"/>
          <w:highlight w:val="none"/>
        </w:rPr>
        <w:t xml:space="preserve">违约金</w:t>
      </w:r>
      <w:r>
        <w:rPr>
          <w:rFonts w:hint="eastAsia" w:ascii="宋体" w:hAnsi="宋体" w:eastAsia="宋体" w:cs="Courier New"/>
          <w:color w:val="auto"/>
          <w:sz w:val="24"/>
          <w:szCs w:val="24"/>
          <w:highlight w:val="none"/>
          <w:lang w:val="zh-CN" w:eastAsia="zh-CN"/>
        </w:rPr>
        <w:t xml:space="preserve">总额不超过欠款总额的5% 。</w:t>
      </w:r>
      <w:r/>
    </w:p>
    <w:p>
      <w:pPr>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auto"/>
          <w:sz w:val="24"/>
          <w:szCs w:val="24"/>
          <w:highlight w:val="none"/>
        </w:rPr>
        <w:t xml:space="preserve">13.3</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highlight w:val="none"/>
        </w:rPr>
        <w:t xml:space="preserve">乙方逾期交付货物的</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应按</w:t>
      </w:r>
      <w:r>
        <w:rPr>
          <w:rFonts w:hint="eastAsia" w:ascii="宋体" w:hAnsi="宋体" w:eastAsia="宋体" w:cs="Courier New"/>
          <w:color w:val="000000" w:themeColor="text1"/>
          <w:sz w:val="24"/>
          <w:szCs w:val="24"/>
          <w:highlight w:val="none"/>
          <w14:textFill>
            <w14:solidFill>
              <w14:schemeClr w14:val="tx1"/>
            </w14:solidFill>
          </w14:textFill>
        </w:rPr>
        <w:t xml:space="preserve">逾期交货总额每</w:t>
      </w:r>
      <w:r>
        <w:rPr>
          <w:rFonts w:hint="eastAsia" w:ascii="宋体" w:hAnsi="宋体" w:eastAsia="宋体" w:cs="Courier New"/>
          <w:color w:val="auto"/>
          <w:sz w:val="24"/>
          <w:szCs w:val="24"/>
          <w:highlight w:val="none"/>
        </w:rPr>
        <w:t xml:space="preserve">日</w:t>
      </w:r>
      <w:r>
        <w:rPr>
          <w:rFonts w:hint="eastAsia" w:ascii="宋体" w:hAnsi="宋体" w:cs="Courier New"/>
          <w:color w:val="auto"/>
          <w:sz w:val="24"/>
          <w:szCs w:val="24"/>
          <w:highlight w:val="none"/>
          <w:u w:val="single"/>
          <w:lang w:val="en-US" w:eastAsia="zh-CN"/>
        </w:rPr>
        <w:t xml:space="preserve">5</w:t>
      </w:r>
      <w:r>
        <w:rPr>
          <w:rFonts w:hint="eastAsia" w:ascii="微软雅黑" w:hAnsi="微软雅黑" w:eastAsia="微软雅黑" w:cs="微软雅黑"/>
          <w:color w:val="auto"/>
          <w:sz w:val="24"/>
          <w:szCs w:val="24"/>
          <w:highlight w:val="none"/>
          <w:u w:val="single"/>
          <w:lang w:val="en-US" w:eastAsia="zh-CN"/>
        </w:rPr>
        <w:t xml:space="preserve">‰</w:t>
      </w:r>
      <w:r>
        <w:rPr>
          <w:rFonts w:hint="eastAsia" w:ascii="宋体" w:hAnsi="宋体" w:eastAsia="宋体" w:cs="Courier New"/>
          <w:color w:val="auto"/>
          <w:sz w:val="24"/>
          <w:szCs w:val="24"/>
          <w:highlight w:val="none"/>
        </w:rPr>
        <w:t xml:space="preserve">向甲方支付违约金</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由甲方从待付货款中扣除。逾期超过约定日期10个工作日不能交货的</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甲方可解除本合同。乙方因逾期交货或因其他违约行为导致甲方解除合同的</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应向甲方支付合同总</w:t>
      </w:r>
      <w:r>
        <w:rPr>
          <w:rFonts w:hint="eastAsia" w:ascii="宋体" w:hAnsi="宋体" w:eastAsia="宋体" w:cs="Courier New"/>
          <w:color w:val="auto"/>
          <w:sz w:val="24"/>
          <w:szCs w:val="24"/>
          <w:highlight w:val="none"/>
          <w:lang w:val="en-US" w:eastAsia="zh-CN"/>
        </w:rPr>
        <w:t xml:space="preserve">价</w:t>
      </w:r>
      <w:r>
        <w:rPr>
          <w:rFonts w:hint="eastAsia" w:ascii="宋体" w:hAnsi="宋体" w:cs="Courier New"/>
          <w:color w:val="auto"/>
          <w:sz w:val="24"/>
          <w:szCs w:val="24"/>
          <w:highlight w:val="none"/>
          <w:u w:val="single"/>
          <w:lang w:val="en-US" w:eastAsia="zh-CN"/>
        </w:rPr>
        <w:t xml:space="preserve">5% </w:t>
      </w:r>
      <w:r>
        <w:rPr>
          <w:rFonts w:hint="eastAsia" w:ascii="宋体" w:hAnsi="宋体" w:eastAsia="宋体" w:cs="Courier New"/>
          <w:color w:val="auto"/>
          <w:sz w:val="24"/>
          <w:szCs w:val="24"/>
          <w:highlight w:val="none"/>
        </w:rPr>
        <w:t xml:space="preserve">的违约金</w:t>
      </w:r>
      <w:r>
        <w:rPr>
          <w:rFonts w:hint="eastAsia" w:ascii="宋体" w:hAnsi="宋体" w:eastAsia="宋体" w:cs="Courier New"/>
          <w:color w:val="000000"/>
          <w:sz w:val="24"/>
          <w:szCs w:val="24"/>
          <w:highlight w:val="none"/>
        </w:rPr>
        <w:t xml:space="preserve">。 </w:t>
      </w:r>
      <w:r/>
    </w:p>
    <w:p>
      <w:pPr>
        <w:keepLines w:val="0"/>
        <w:keepNext w:val="0"/>
        <w:pageBreakBefore w:val="0"/>
        <w:spacing w:before="0" w:after="0" w:line="36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13.4 乙方所交</w:t>
      </w:r>
      <w:r>
        <w:rPr>
          <w:rFonts w:hint="eastAsia" w:ascii="宋体" w:hAnsi="宋体" w:eastAsia="宋体" w:cs="Courier New"/>
          <w:color w:val="000000"/>
          <w:sz w:val="24"/>
          <w:szCs w:val="24"/>
          <w:lang w:val="en-US" w:eastAsia="zh-CN"/>
        </w:rPr>
        <w:t xml:space="preserve">付</w:t>
      </w:r>
      <w:r>
        <w:rPr>
          <w:rFonts w:hint="eastAsia" w:ascii="宋体" w:hAnsi="宋体" w:eastAsia="宋体" w:cs="Courier New"/>
          <w:color w:val="000000"/>
          <w:sz w:val="24"/>
          <w:szCs w:val="24"/>
        </w:rPr>
        <w:t xml:space="preserve">的货物品种、型号、规格、技术参数、质量不符合合同规定</w:t>
      </w:r>
      <w:r>
        <w:rPr>
          <w:rFonts w:hint="eastAsia" w:ascii="宋体" w:hAnsi="宋体" w:eastAsia="宋体" w:cs="Courier New"/>
          <w:color w:val="000000"/>
          <w:sz w:val="24"/>
          <w:szCs w:val="24"/>
          <w:highlight w:val="none"/>
        </w:rPr>
        <w:t xml:space="preserve">及招标文件规</w:t>
      </w:r>
      <w:r>
        <w:rPr>
          <w:rFonts w:hint="eastAsia" w:ascii="宋体" w:hAnsi="宋体" w:eastAsia="宋体" w:cs="Courier New"/>
          <w:color w:val="000000"/>
          <w:sz w:val="24"/>
          <w:szCs w:val="24"/>
        </w:rPr>
        <w:t xml:space="preserve">定标准的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甲方有权拒收该货物</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乙方愿意更换货物但逾期交货的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按乙方逾期交货处理。乙方拒绝更换货物的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甲方可单方面解除合同。</w:t>
      </w:r>
      <w:r/>
    </w:p>
    <w:p>
      <w:pPr>
        <w:keepLines w:val="0"/>
        <w:keepNext w:val="0"/>
        <w:pageBreakBefore w:val="0"/>
        <w:spacing w:before="0" w:after="0" w:line="360" w:lineRule="auto"/>
        <w:widowControl w:val="off"/>
        <w:rPr>
          <w:rFonts w:hint="eastAsia" w:ascii="宋体" w:hAnsi="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w:t>
      </w:r>
      <w:r>
        <w:rPr>
          <w:rFonts w:hint="eastAsia" w:ascii="宋体" w:hAnsi="宋体" w:cs="Courier New"/>
          <w:color w:val="000000"/>
          <w:sz w:val="24"/>
          <w:szCs w:val="24"/>
          <w:lang w:val="en-US" w:eastAsia="zh-CN"/>
        </w:rPr>
        <w:t xml:space="preserve">。</w:t>
      </w:r>
      <w:r/>
    </w:p>
    <w:p>
      <w:pPr>
        <w:keepLines w:val="0"/>
        <w:keepNext w:val="0"/>
        <w:pageBreakBefore w:val="0"/>
        <w:spacing w:before="0" w:after="0" w:line="36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highlight w:val="none"/>
        </w:rPr>
        <w:t xml:space="preserve">十四、</w:t>
      </w:r>
      <w:r>
        <w:rPr>
          <w:rFonts w:hint="eastAsia" w:ascii="方正黑体_GBK" w:hAnsi="方正黑体_GBK" w:eastAsia="方正黑体_GBK" w:cs="方正黑体_GBK"/>
          <w:b w:val="0"/>
          <w:bCs/>
          <w:color w:val="000000"/>
          <w:sz w:val="24"/>
          <w:szCs w:val="24"/>
        </w:rPr>
        <w:t xml:space="preserve">不可抗力事件处理</w:t>
      </w:r>
      <w:r/>
    </w:p>
    <w:p>
      <w:pPr>
        <w:keepLines w:val="0"/>
        <w:keepNext w:val="0"/>
        <w:pageBreakBefore w:val="0"/>
        <w:spacing w:before="0" w:after="0" w:line="36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 在合同有效期内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任何一方因不可抗力事件导致不能履行合同</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则合同履行期可延长</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其延长期与不可抗力影响期相同。</w:t>
      </w:r>
      <w:r/>
    </w:p>
    <w:p>
      <w:pPr>
        <w:keepLines w:val="0"/>
        <w:keepNext w:val="0"/>
        <w:pageBreakBefore w:val="0"/>
        <w:spacing w:before="0" w:after="0" w:line="36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 不可抗力事件发生后</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应立即通知对方并寄送有关权威机构出具的证明。</w:t>
      </w:r>
      <w:r/>
    </w:p>
    <w:p>
      <w:pPr>
        <w:keepLines w:val="0"/>
        <w:keepNext w:val="0"/>
        <w:pageBreakBefore w:val="0"/>
        <w:spacing w:before="0" w:after="0" w:line="360" w:lineRule="auto"/>
        <w:widowControl w:val="off"/>
        <w:rPr>
          <w:rFonts w:hint="eastAsia" w:ascii="宋体" w:hAnsi="宋体" w:eastAsia="宋体" w:cs="Courier New"/>
          <w:strike w:val="0"/>
          <w:color w:val="000000"/>
          <w:sz w:val="24"/>
          <w:szCs w:val="24"/>
          <w:highlight w:val="none"/>
        </w:rPr>
      </w:pPr>
      <w:r>
        <w:rPr>
          <w:rFonts w:hint="eastAsia" w:ascii="宋体" w:hAnsi="宋体" w:eastAsia="宋体" w:cs="Courier New"/>
          <w:strike w:val="0"/>
          <w:color w:val="000000"/>
          <w:sz w:val="24"/>
          <w:szCs w:val="24"/>
        </w:rPr>
        <w:t xml:space="preserve">14.3 </w:t>
      </w:r>
      <w:r>
        <w:rPr>
          <w:rFonts w:hint="eastAsia" w:ascii="宋体" w:hAnsi="宋体" w:eastAsia="宋体" w:cs="Courier New"/>
          <w:strike w:val="0"/>
          <w:color w:val="000000"/>
          <w:sz w:val="24"/>
          <w:szCs w:val="24"/>
          <w:highlight w:val="none"/>
        </w:rPr>
        <w:t xml:space="preserve">不可抗力事件延续</w:t>
      </w:r>
      <w:r>
        <w:rPr>
          <w:rFonts w:hint="eastAsia" w:ascii="宋体" w:hAnsi="宋体" w:cs="Courier New"/>
          <w:strike w:val="0"/>
          <w:color w:val="000000"/>
          <w:sz w:val="24"/>
          <w:szCs w:val="24"/>
          <w:highlight w:val="none"/>
          <w:lang w:val="en-US" w:eastAsia="zh-CN"/>
        </w:rPr>
        <w:t xml:space="preserve">60</w:t>
      </w:r>
      <w:r>
        <w:rPr>
          <w:rFonts w:hint="eastAsia" w:ascii="宋体" w:hAnsi="宋体" w:eastAsia="宋体" w:cs="Courier New"/>
          <w:strike w:val="0"/>
          <w:color w:val="000000"/>
          <w:sz w:val="24"/>
          <w:szCs w:val="24"/>
          <w:highlight w:val="none"/>
        </w:rPr>
        <w:t xml:space="preserve">天以上</w:t>
      </w:r>
      <w:r>
        <w:rPr>
          <w:rFonts w:hint="eastAsia" w:ascii="宋体" w:hAnsi="宋体" w:eastAsia="宋体" w:cs="Courier New"/>
          <w:strike w:val="0"/>
          <w:color w:val="000000"/>
          <w:sz w:val="24"/>
          <w:szCs w:val="24"/>
          <w:highlight w:val="none"/>
          <w:lang w:eastAsia="zh-CN"/>
        </w:rPr>
        <w:t xml:space="preserve">，</w:t>
      </w:r>
      <w:r>
        <w:rPr>
          <w:rFonts w:hint="eastAsia" w:ascii="宋体" w:hAnsi="宋体" w:eastAsia="宋体" w:cs="Courier New"/>
          <w:strike w:val="0"/>
          <w:color w:val="000000"/>
          <w:sz w:val="24"/>
          <w:szCs w:val="24"/>
          <w:highlight w:val="none"/>
        </w:rPr>
        <w:t xml:space="preserve">双方应通过友好协商确定是否继续履行合同。</w:t>
      </w:r>
      <w:r/>
    </w:p>
    <w:p>
      <w:pPr>
        <w:keepLines w:val="0"/>
        <w:keepNext w:val="0"/>
        <w:pageBreakBefore w:val="0"/>
        <w:spacing w:before="0" w:after="0" w:line="36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十五、解决争议的方法</w:t>
      </w:r>
      <w:r/>
    </w:p>
    <w:p>
      <w:pPr>
        <w:keepLines w:val="0"/>
        <w:keepNext w:val="0"/>
        <w:pageBreakBefore w:val="0"/>
        <w:spacing w:before="0" w:after="0" w:line="36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15.1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甲乙双方因合同签订、履行而发生的一切争议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应通过友好协商解决。协商不成</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由甲方住所地人民法院管辖。</w:t>
      </w:r>
      <w:r/>
    </w:p>
    <w:p>
      <w:pPr>
        <w:keepLines w:val="0"/>
        <w:keepNext w:val="0"/>
        <w:pageBreakBefore w:val="0"/>
        <w:spacing w:before="0" w:after="0" w:line="36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highlight w:val="none"/>
        </w:rPr>
        <w:t xml:space="preserve">十六、</w:t>
      </w:r>
      <w:r>
        <w:rPr>
          <w:rFonts w:hint="eastAsia" w:ascii="方正黑体_GBK" w:hAnsi="方正黑体_GBK" w:eastAsia="方正黑体_GBK" w:cs="方正黑体_GBK"/>
          <w:b w:val="0"/>
          <w:bCs/>
          <w:color w:val="000000"/>
          <w:sz w:val="24"/>
          <w:szCs w:val="24"/>
        </w:rPr>
        <w:t xml:space="preserve">合同生效及其它</w:t>
      </w:r>
      <w:r/>
    </w:p>
    <w:p>
      <w:pPr>
        <w:keepLines w:val="0"/>
        <w:keepNext w:val="0"/>
        <w:pageBreakBefore w:val="0"/>
        <w:spacing w:before="0" w:after="0" w:line="360" w:lineRule="auto"/>
        <w:widowControl w:val="off"/>
        <w:rPr>
          <w:rFonts w:hint="eastAsia" w:ascii="宋体" w:hAnsi="宋体" w:eastAsia="宋体" w:cs="宋体"/>
          <w:spacing w:val="-12"/>
          <w:sz w:val="24"/>
          <w:szCs w:val="24"/>
          <w:highlight w:val="none"/>
          <w:lang w:eastAsia="zh-CN"/>
        </w:rPr>
      </w:pPr>
      <w:r>
        <w:rPr>
          <w:rFonts w:hint="eastAsia" w:ascii="宋体" w:hAnsi="宋体" w:eastAsia="宋体" w:cs="宋体"/>
          <w:color w:val="000000"/>
          <w:sz w:val="24"/>
          <w:szCs w:val="24"/>
        </w:rPr>
        <w:t xml:space="preserve">16.1 </w:t>
      </w:r>
      <w:r>
        <w:rPr>
          <w:rFonts w:hint="eastAsia" w:ascii="宋体" w:hAnsi="宋体" w:eastAsia="宋体" w:cs="宋体"/>
          <w:spacing w:val="-12"/>
          <w:sz w:val="24"/>
          <w:szCs w:val="24"/>
          <w:highlight w:val="none"/>
          <w:lang w:eastAsia="zh-CN"/>
        </w:rPr>
        <w:t xml:space="preserve">本合同自双方签字盖章后生效；</w:t>
      </w:r>
      <w:r/>
    </w:p>
    <w:p>
      <w:pPr>
        <w:keepLines w:val="0"/>
        <w:keepNext w:val="0"/>
        <w:pageBreakBefore w:val="0"/>
        <w:spacing w:before="0" w:after="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16.2</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本合同未尽事宜</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遵照《</w:t>
      </w:r>
      <w:r>
        <w:rPr>
          <w:rFonts w:hint="eastAsia" w:ascii="宋体" w:hAnsi="宋体" w:eastAsia="宋体" w:cs="宋体"/>
          <w:color w:val="000000"/>
          <w:sz w:val="24"/>
          <w:szCs w:val="24"/>
          <w:lang w:eastAsia="zh-CN"/>
        </w:rPr>
        <w:t xml:space="preserve">中华人民共和国</w:t>
      </w:r>
      <w:r>
        <w:rPr>
          <w:rFonts w:hint="eastAsia" w:ascii="宋体" w:hAnsi="宋体" w:eastAsia="宋体" w:cs="宋体"/>
          <w:color w:val="000000"/>
          <w:sz w:val="24"/>
          <w:szCs w:val="24"/>
        </w:rPr>
        <w:t xml:space="preserve">民法典》《</w:t>
      </w:r>
      <w:r>
        <w:rPr>
          <w:rFonts w:hint="eastAsia" w:ascii="宋体" w:hAnsi="宋体" w:eastAsia="宋体" w:cs="宋体"/>
          <w:color w:val="000000"/>
          <w:sz w:val="24"/>
          <w:szCs w:val="24"/>
          <w:lang w:eastAsia="zh-CN"/>
        </w:rPr>
        <w:t xml:space="preserve">中华人民共和国</w:t>
      </w:r>
      <w:r>
        <w:rPr>
          <w:rFonts w:hint="eastAsia" w:ascii="宋体" w:hAnsi="宋体" w:eastAsia="宋体" w:cs="宋体"/>
          <w:color w:val="000000"/>
          <w:sz w:val="24"/>
          <w:szCs w:val="24"/>
        </w:rPr>
        <w:t xml:space="preserve">政府采购法》有关条文执行。</w:t>
      </w:r>
      <w:r/>
    </w:p>
    <w:p>
      <w:pPr>
        <w:keepLines w:val="0"/>
        <w:keepNext w:val="0"/>
        <w:pageBreakBefore w:val="0"/>
        <w:spacing w:before="0" w:after="0"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16.3 本合同正本一式</w:t>
      </w:r>
      <w:r>
        <w:rPr>
          <w:rFonts w:hint="eastAsia" w:ascii="宋体" w:hAnsi="宋体" w:eastAsia="宋体" w:cs="宋体"/>
          <w:color w:val="000000"/>
          <w:sz w:val="24"/>
          <w:szCs w:val="24"/>
          <w:lang w:eastAsia="zh-CN"/>
        </w:rPr>
        <w:t xml:space="preserve">肆</w:t>
      </w:r>
      <w:r>
        <w:rPr>
          <w:rFonts w:hint="eastAsia" w:ascii="宋体" w:hAnsi="宋体" w:eastAsia="宋体" w:cs="宋体"/>
          <w:color w:val="000000"/>
          <w:sz w:val="24"/>
          <w:szCs w:val="24"/>
        </w:rPr>
        <w:t xml:space="preserve">份</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具有同等法律效力</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甲方、乙方各执</w:t>
      </w:r>
      <w:r>
        <w:rPr>
          <w:rFonts w:hint="eastAsia" w:ascii="宋体" w:hAnsi="宋体" w:eastAsia="宋体" w:cs="宋体"/>
          <w:color w:val="000000"/>
          <w:sz w:val="24"/>
          <w:szCs w:val="24"/>
          <w:lang w:eastAsia="zh-CN"/>
        </w:rPr>
        <w:t xml:space="preserve">两</w:t>
      </w:r>
      <w:r>
        <w:rPr>
          <w:rFonts w:hint="eastAsia" w:ascii="宋体" w:hAnsi="宋体" w:eastAsia="宋体" w:cs="宋体"/>
          <w:color w:val="000000"/>
          <w:sz w:val="24"/>
          <w:szCs w:val="24"/>
        </w:rPr>
        <w:t xml:space="preserve">份。</w:t>
      </w:r>
      <w:r/>
    </w:p>
    <w:p>
      <w:pPr>
        <w:pStyle w:val="713"/>
        <w:keepLines w:val="0"/>
        <w:keepNext w:val="0"/>
        <w:pageBreakBefore w:val="0"/>
        <w:spacing w:before="120" w:after="120" w:line="360" w:lineRule="auto"/>
        <w:widowControl w:val="off"/>
        <w:rPr>
          <w:rFonts w:hint="eastAsia" w:hAnsi="宋体" w:eastAsia="宋体" w:cs="Courier New"/>
          <w:sz w:val="24"/>
          <w:szCs w:val="24"/>
        </w:rPr>
      </w:pPr>
      <w:r/>
      <w:bookmarkStart w:id="191" w:name="_Hlt16619369"/>
      <w:r/>
      <w:bookmarkEnd w:id="191"/>
      <w:r>
        <w:rPr>
          <w:rFonts w:hint="eastAsia" w:hAnsi="宋体" w:eastAsia="宋体" w:cs="Courier New"/>
          <w:sz w:val="24"/>
          <w:szCs w:val="24"/>
        </w:rPr>
        <w:t xml:space="preserve">  </w:t>
      </w:r>
      <w:r/>
    </w:p>
    <w:p>
      <w:pPr>
        <w:pStyle w:val="713"/>
        <w:ind w:firstLine="0"/>
        <w:keepLines w:val="0"/>
        <w:keepNext w:val="0"/>
        <w:pageBreakBefore w:val="0"/>
        <w:spacing w:before="120" w:after="120" w:line="360" w:lineRule="auto"/>
        <w:widowControl w:val="off"/>
        <w:rPr>
          <w:rFonts w:hint="eastAsia" w:hAnsi="宋体" w:eastAsia="宋体" w:cs="Courier New"/>
          <w:sz w:val="24"/>
          <w:szCs w:val="24"/>
        </w:rPr>
      </w:pPr>
      <w:r>
        <w:rPr>
          <w:rFonts w:hint="eastAsia" w:hAnsi="宋体" w:eastAsia="宋体" w:cs="Courier New"/>
          <w:sz w:val="24"/>
          <w:szCs w:val="24"/>
        </w:rPr>
        <w:t xml:space="preserve">甲</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p>
    <w:p>
      <w:pPr>
        <w:pStyle w:val="713"/>
        <w:keepLines w:val="0"/>
        <w:keepNext w:val="0"/>
        <w:pageBreakBefore w:val="0"/>
        <w:spacing w:before="120" w:after="120" w:line="360" w:lineRule="auto"/>
        <w:widowControl w:val="off"/>
        <w:rPr>
          <w:rFonts w:hint="eastAsia" w:hAnsi="宋体" w:eastAsia="宋体" w:cs="Courier New"/>
          <w:sz w:val="24"/>
          <w:szCs w:val="24"/>
        </w:rPr>
      </w:pP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p>
    <w:p>
      <w:pPr>
        <w:pStyle w:val="713"/>
        <w:keepLines w:val="0"/>
        <w:keepNext w:val="0"/>
        <w:pageBreakBefore w:val="0"/>
        <w:spacing w:before="120" w:after="120" w:line="360" w:lineRule="auto"/>
        <w:widowControl w:val="off"/>
        <w:rPr>
          <w:rFonts w:hint="eastAsia" w:hAnsi="宋体" w:eastAsia="宋体" w:cs="Courier New"/>
          <w:sz w:val="24"/>
          <w:szCs w:val="24"/>
        </w:rPr>
      </w:pPr>
      <w:r>
        <w:rPr>
          <w:rFonts w:hint="eastAsia" w:hAnsi="宋体" w:eastAsia="宋体" w:cs="Courier New"/>
          <w:sz w:val="24"/>
          <w:szCs w:val="24"/>
        </w:rPr>
        <w:t xml:space="preserve">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p>
    <w:p>
      <w:pPr>
        <w:pStyle w:val="713"/>
        <w:ind w:firstLine="0"/>
        <w:keepLines w:val="0"/>
        <w:keepNext w:val="0"/>
        <w:pageBreakBefore w:val="0"/>
        <w:spacing w:before="120" w:after="120" w:line="360" w:lineRule="auto"/>
        <w:widowControl w:val="off"/>
        <w:rPr>
          <w:rFonts w:hint="eastAsia" w:hAnsi="宋体" w:eastAsia="宋体" w:cs="Courier New"/>
          <w:sz w:val="24"/>
          <w:szCs w:val="24"/>
        </w:rPr>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p>
    <w:p>
      <w:pPr>
        <w:pStyle w:val="713"/>
        <w:keepLines w:val="0"/>
        <w:keepNext w:val="0"/>
        <w:pageBreakBefore w:val="0"/>
        <w:spacing w:before="120" w:after="120" w:line="360" w:lineRule="auto"/>
        <w:widowControl w:val="off"/>
        <w:rPr>
          <w:rFonts w:hint="eastAsia" w:hAnsi="宋体" w:eastAsia="宋体" w:cs="Courier New"/>
          <w:sz w:val="24"/>
          <w:szCs w:val="24"/>
        </w:rPr>
      </w:pPr>
      <w:r>
        <w:rPr>
          <w:rFonts w:hint="eastAsia" w:hAnsi="宋体" w:eastAsia="宋体" w:cs="Courier New"/>
          <w:sz w:val="24"/>
          <w:szCs w:val="24"/>
        </w:rPr>
        <w:t xml:space="preserve">                                          </w:t>
      </w:r>
      <w:r/>
    </w:p>
    <w:p>
      <w:pPr>
        <w:pStyle w:val="713"/>
        <w:ind w:firstLine="4800"/>
        <w:keepLines w:val="0"/>
        <w:keepNext w:val="0"/>
        <w:pageBreakBefore w:val="0"/>
        <w:spacing w:before="120" w:after="120" w:line="360" w:lineRule="auto"/>
        <w:widowControl w:val="off"/>
        <w:rPr>
          <w:rFonts w:hint="eastAsia" w:hAnsi="宋体" w:eastAsia="宋体" w:cs="Courier New"/>
          <w:sz w:val="24"/>
          <w:szCs w:val="24"/>
        </w:rPr>
      </w:pPr>
      <w:r>
        <w:rPr>
          <w:rFonts w:hint="eastAsia" w:hAnsi="宋体" w:eastAsia="宋体" w:cs="Courier New"/>
          <w:sz w:val="24"/>
          <w:szCs w:val="24"/>
        </w:rPr>
        <w:t xml:space="preserve">签订日期：      </w:t>
      </w:r>
      <w:r/>
    </w:p>
    <w:p>
      <w:pPr>
        <w:jc w:val="center"/>
        <w:keepLines w:val="0"/>
        <w:keepNext w:val="0"/>
        <w:pageBreakBefore w:val="0"/>
        <w:spacing w:before="145" w:after="145" w:line="264" w:lineRule="auto"/>
        <w:widowControl w:val="off"/>
        <w:rPr>
          <w:rFonts w:hint="eastAsia" w:ascii="宋体" w:hAnsi="宋体" w:eastAsia="宋体" w:cs="Times New Roman"/>
          <w:b/>
          <w:bCs w:val="0"/>
          <w:sz w:val="30"/>
          <w:szCs w:val="21"/>
          <w:highlight w:val="none"/>
        </w:rPr>
        <w:outlineLvl w:val="0"/>
      </w:pPr>
      <w:r>
        <w:rPr>
          <w:rFonts w:hint="eastAsia" w:ascii="宋体" w:hAnsi="宋体" w:eastAsia="宋体" w:cs="Times New Roman"/>
          <w:b/>
          <w:bCs w:val="0"/>
          <w:sz w:val="30"/>
          <w:szCs w:val="21"/>
          <w:highlight w:val="none"/>
        </w:rPr>
      </w:r>
      <w:r/>
    </w:p>
    <w:p>
      <w:pPr>
        <w:jc w:val="both"/>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0"/>
      </w:pPr>
      <w:r>
        <w:rPr>
          <w:rFonts w:hint="eastAsia" w:ascii="方正小标宋简体" w:hAnsi="方正小标宋简体" w:eastAsia="方正小标宋简体" w:cs="方正小标宋简体"/>
          <w:b w:val="0"/>
          <w:bCs/>
          <w:sz w:val="32"/>
          <w:szCs w:val="32"/>
          <w:highlight w:val="none"/>
        </w:rPr>
      </w:r>
      <w:r/>
    </w:p>
    <w:p>
      <w:pPr>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0"/>
      </w:pPr>
      <w:r>
        <w:rPr>
          <w:rFonts w:hint="eastAsia" w:ascii="方正小标宋简体" w:hAnsi="方正小标宋简体" w:eastAsia="方正小标宋简体" w:cs="方正小标宋简体"/>
          <w:b w:val="0"/>
          <w:bCs/>
          <w:sz w:val="32"/>
          <w:szCs w:val="32"/>
          <w:highlight w:val="none"/>
        </w:rPr>
        <w:t xml:space="preserve">《*******合同》补充协议（合同附件）</w:t>
      </w:r>
      <w:r/>
    </w:p>
    <w:p>
      <w:pPr>
        <w:pStyle w:val="920"/>
        <w:ind w:firstLine="480"/>
        <w:jc w:val="left"/>
        <w:keepLines w:val="0"/>
        <w:keepNext w:val="0"/>
        <w:pageBreakBefore w:val="0"/>
        <w:spacing w:before="120" w:after="120" w:line="264" w:lineRule="auto"/>
        <w:widowControl w:val="off"/>
        <w:rPr>
          <w:rFonts w:hAnsi="宋体"/>
          <w:color w:val="000000"/>
          <w:sz w:val="24"/>
          <w:szCs w:val="24"/>
          <w:highlight w:val="none"/>
        </w:rPr>
      </w:pPr>
      <w:r>
        <w:rPr>
          <w:rFonts w:hint="eastAsia" w:hAnsi="宋体"/>
          <w:color w:val="000000"/>
          <w:sz w:val="24"/>
          <w:szCs w:val="24"/>
          <w:highlight w:val="none"/>
        </w:rPr>
        <w:t xml:space="preserve">招标文件及合同未约定事项，双方可友好协商签订补充协议。</w:t>
      </w:r>
      <w:r/>
    </w:p>
    <w:p>
      <w:pPr>
        <w:jc w:val="center"/>
        <w:spacing w:before="120" w:after="120" w:line="0" w:lineRule="atLeast"/>
        <w:rPr>
          <w:rFonts w:hint="eastAsia" w:ascii="方正小标宋简体" w:hAnsi="方正小标宋简体" w:eastAsia="方正小标宋简体" w:cs="方正小标宋简体"/>
          <w:color w:val="000000"/>
          <w:sz w:val="36"/>
          <w:szCs w:val="36"/>
        </w:rPr>
      </w:pPr>
      <w:r>
        <w:rPr>
          <w:rFonts w:ascii="黑体" w:hAnsi="Courier New" w:eastAsia="黑体" w:cs="Courier New"/>
          <w:bCs/>
          <w:color w:val="000000"/>
          <w:sz w:val="44"/>
          <w:szCs w:val="21"/>
        </w:rPr>
        <w:br w:type="page" w:clear="all"/>
      </w:r>
      <w:r>
        <w:rPr>
          <w:rFonts w:hint="eastAsia" w:ascii="方正小标宋简体" w:hAnsi="方正小标宋简体" w:eastAsia="方正小标宋简体" w:cs="方正小标宋简体"/>
          <w:color w:val="000000"/>
          <w:sz w:val="36"/>
          <w:szCs w:val="36"/>
        </w:rPr>
        <w:t xml:space="preserve">第</w:t>
      </w:r>
      <w:bookmarkEnd w:id="185"/>
      <w:r>
        <w:rPr>
          <w:rFonts w:hint="eastAsia" w:ascii="方正小标宋简体" w:hAnsi="方正小标宋简体" w:eastAsia="方正小标宋简体" w:cs="方正小标宋简体"/>
          <w:color w:val="000000"/>
          <w:sz w:val="36"/>
          <w:szCs w:val="36"/>
        </w:rPr>
        <w:t xml:space="preserve">四章</w:t>
      </w:r>
      <w:r>
        <w:rPr>
          <w:rFonts w:hint="eastAsia" w:ascii="方正小标宋简体" w:hAnsi="方正小标宋简体" w:eastAsia="方正小标宋简体" w:cs="方正小标宋简体"/>
          <w:color w:val="000000"/>
          <w:sz w:val="36"/>
          <w:szCs w:val="36"/>
          <w:lang w:val="en-US" w:eastAsia="zh-CN"/>
        </w:rPr>
        <w:t xml:space="preserve">  </w:t>
      </w:r>
      <w:r>
        <w:rPr>
          <w:rFonts w:hint="eastAsia" w:ascii="方正小标宋简体" w:hAnsi="方正小标宋简体" w:eastAsia="方正小标宋简体" w:cs="方正小标宋简体"/>
          <w:color w:val="000000"/>
          <w:sz w:val="36"/>
          <w:szCs w:val="36"/>
        </w:rPr>
        <w:t xml:space="preserve">采购需求</w:t>
      </w:r>
      <w:bookmarkEnd w:id="186"/>
      <w:r/>
      <w:bookmarkEnd w:id="187"/>
      <w:r/>
      <w:bookmarkEnd w:id="188"/>
      <w:r/>
      <w:r/>
    </w:p>
    <w:p>
      <w:pPr>
        <w:ind w:firstLine="480"/>
        <w:keepLines w:val="0"/>
        <w:keepNext w:val="0"/>
        <w:pageBreakBefore w:val="0"/>
        <w:spacing w:line="240" w:lineRule="auto"/>
        <w:widowControl w:val="off"/>
        <w:rPr>
          <w:rFonts w:hint="eastAsia" w:ascii="黑体" w:hAnsi="黑体" w:eastAsia="黑体" w:cs="黑体"/>
          <w:color w:val="000000"/>
          <w:sz w:val="24"/>
          <w:szCs w:val="24"/>
        </w:rPr>
      </w:pPr>
      <w:r/>
      <w:bookmarkStart w:id="192" w:name="_Toc49090575"/>
      <w:r/>
      <w:bookmarkStart w:id="193" w:name="_Toc26554093"/>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eastAsia="宋体" w:cs="宋体"/>
          <w:color w:val="000000"/>
          <w:sz w:val="24"/>
          <w:szCs w:val="24"/>
          <w:lang w:eastAsia="zh-CN"/>
        </w:rPr>
        <w:t xml:space="preserve">货物</w:t>
      </w:r>
      <w:r>
        <w:rPr>
          <w:rFonts w:hint="eastAsia" w:ascii="宋体" w:hAnsi="宋体" w:eastAsia="宋体" w:cs="宋体"/>
          <w:color w:val="000000"/>
          <w:sz w:val="24"/>
          <w:szCs w:val="24"/>
        </w:rPr>
        <w:t xml:space="preserve">类项目。</w:t>
      </w:r>
      <w:r/>
    </w:p>
    <w:p>
      <w:pPr>
        <w:ind w:firstLine="480"/>
        <w:keepLines w:val="0"/>
        <w:keepNext w:val="0"/>
        <w:pageBreakBefore w:val="0"/>
        <w:spacing w:line="240" w:lineRule="auto"/>
        <w:widowControl w:val="off"/>
        <w:rPr>
          <w:rFonts w:hint="eastAsia" w:ascii="黑体" w:hAnsi="黑体" w:eastAsia="黑体" w:cs="黑体"/>
          <w:color w:val="000000"/>
          <w:sz w:val="24"/>
          <w:szCs w:val="24"/>
        </w:rPr>
      </w:pPr>
      <w:r>
        <w:rPr>
          <w:rFonts w:hint="eastAsia" w:ascii="黑体" w:hAnsi="黑体" w:eastAsia="黑体" w:cs="黑体"/>
          <w:color w:val="000000"/>
          <w:sz w:val="24"/>
          <w:szCs w:val="24"/>
          <w:lang w:eastAsia="zh-CN"/>
        </w:rPr>
        <w:t xml:space="preserve">二、</w:t>
      </w:r>
      <w:r>
        <w:rPr>
          <w:rFonts w:hint="eastAsia" w:ascii="黑体" w:hAnsi="黑体" w:eastAsia="黑体" w:cs="黑体"/>
          <w:color w:val="000000"/>
          <w:sz w:val="24"/>
          <w:szCs w:val="24"/>
        </w:rPr>
        <w:t xml:space="preserve">项目概况</w:t>
      </w:r>
      <w:r/>
    </w:p>
    <w:p>
      <w:pPr>
        <w:ind w:firstLine="480"/>
        <w:keepLines w:val="0"/>
        <w:keepNext w:val="0"/>
        <w:pageBreakBefore w:val="0"/>
        <w:spacing w:line="240"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（一）项目背景</w:t>
      </w:r>
      <w:r/>
    </w:p>
    <w:p>
      <w:pPr>
        <w:ind w:firstLine="480"/>
        <w:keepLines w:val="0"/>
        <w:keepNext w:val="0"/>
        <w:pageBreakBefore w:val="0"/>
        <w:spacing w:line="264" w:lineRule="auto"/>
        <w:widowControl w:val="off"/>
        <w:rPr>
          <w:rFonts w:hint="eastAsia" w:ascii="宋体" w:hAnsi="宋体" w:eastAsia="宋体" w:cs="宋体"/>
          <w:bCs/>
          <w:color w:val="0000ff"/>
          <w:sz w:val="24"/>
          <w:szCs w:val="24"/>
          <w:lang w:val="en-US" w:eastAsia="zh-CN"/>
        </w:rPr>
      </w:pPr>
      <w:r>
        <w:rPr>
          <w:rFonts w:hint="eastAsia" w:ascii="宋体" w:hAnsi="宋体"/>
          <w:color w:val="000000"/>
          <w:sz w:val="24"/>
          <w:szCs w:val="24"/>
        </w:rPr>
        <w:t xml:space="preserve">本项目是为南京市邺城路幼儿园，根据实际需求，配置相关设备，满足教育教学需要。</w:t>
      </w:r>
      <w:r/>
    </w:p>
    <w:p>
      <w:pPr>
        <w:numPr>
          <w:ilvl w:val="0"/>
          <w:numId w:val="6"/>
        </w:numPr>
        <w:ind w:firstLine="480"/>
        <w:keepLines w:val="0"/>
        <w:keepNext w:val="0"/>
        <w:pageBreakBefore w:val="0"/>
        <w:spacing w:line="240"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项目建设遵循标准</w:t>
      </w:r>
      <w:r/>
    </w:p>
    <w:p>
      <w:pPr>
        <w:ind w:firstLine="480"/>
        <w:keepLines w:val="0"/>
        <w:keepNext w:val="0"/>
        <w:pageBreakBefore w:val="0"/>
        <w:spacing w:line="240"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遵循国家、行业及地方现行的规范和标准。</w:t>
      </w:r>
      <w:r/>
    </w:p>
    <w:p>
      <w:pPr>
        <w:ind w:firstLine="480"/>
        <w:keepLines w:val="0"/>
        <w:keepNext w:val="0"/>
        <w:pageBreakBefore w:val="0"/>
        <w:spacing w:line="240" w:lineRule="auto"/>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eastAsia="zh-CN"/>
        </w:rPr>
        <w:t xml:space="preserve">（三）</w:t>
      </w:r>
      <w:r>
        <w:rPr>
          <w:rFonts w:hint="eastAsia" w:ascii="宋体" w:hAnsi="宋体" w:eastAsia="宋体" w:cs="宋体"/>
          <w:bCs/>
          <w:sz w:val="24"/>
          <w:szCs w:val="24"/>
          <w:lang w:val="en-US" w:eastAsia="zh-CN"/>
        </w:rPr>
        <w:t xml:space="preserve">资产配置标准</w:t>
      </w:r>
      <w:r/>
    </w:p>
    <w:p>
      <w:pPr>
        <w:ind w:firstLine="480"/>
        <w:keepLines w:val="0"/>
        <w:keepNext w:val="0"/>
        <w:pageBreakBefore w:val="0"/>
        <w:spacing w:line="264"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固定资产遵循《南京市市级行政事业单位资产配置标准》、《南京市中小学通用资产配置标准》。</w:t>
      </w:r>
      <w:r/>
    </w:p>
    <w:p>
      <w:pPr>
        <w:ind w:firstLine="480"/>
        <w:keepLines w:val="0"/>
        <w:keepNext w:val="0"/>
        <w:pageBreakBefore w:val="0"/>
        <w:spacing w:line="240" w:lineRule="auto"/>
        <w:widowControl w:val="off"/>
        <w:rPr>
          <w:rFonts w:hint="eastAsia" w:ascii="宋体" w:hAnsi="宋体" w:eastAsia="宋体" w:cs="宋体"/>
          <w:bCs/>
          <w:sz w:val="24"/>
          <w:szCs w:val="24"/>
          <w:lang w:eastAsia="zh-CN"/>
        </w:rPr>
      </w:pPr>
      <w:r>
        <w:rPr>
          <w:rFonts w:hint="eastAsia" w:ascii="黑体" w:hAnsi="黑体" w:eastAsia="黑体" w:cs="黑体"/>
          <w:bCs w:val="0"/>
          <w:color w:val="000000"/>
          <w:sz w:val="24"/>
          <w:szCs w:val="24"/>
          <w:lang w:eastAsia="zh-CN"/>
        </w:rPr>
        <w:t xml:space="preserve">三、</w:t>
      </w:r>
      <w:r>
        <w:rPr>
          <w:rFonts w:hint="eastAsia" w:ascii="黑体" w:hAnsi="黑体" w:eastAsia="黑体" w:cs="黑体"/>
          <w:bCs w:val="0"/>
          <w:color w:val="000000"/>
          <w:sz w:val="24"/>
          <w:szCs w:val="24"/>
          <w:lang w:val="en-US" w:eastAsia="zh-CN"/>
        </w:rPr>
        <w:t xml:space="preserve">项目</w:t>
      </w:r>
      <w:r>
        <w:rPr>
          <w:rFonts w:hint="eastAsia" w:ascii="黑体" w:hAnsi="黑体" w:eastAsia="黑体" w:cs="黑体"/>
          <w:bCs w:val="0"/>
          <w:color w:val="000000"/>
          <w:sz w:val="24"/>
          <w:szCs w:val="24"/>
          <w:lang w:eastAsia="zh-CN"/>
        </w:rPr>
        <w:t xml:space="preserve">清单</w:t>
      </w:r>
      <w:r/>
    </w:p>
    <w:tbl>
      <w:tblPr>
        <w:tblStyle w:val="705"/>
        <w:tblW w:w="491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2404"/>
        <w:gridCol w:w="1052"/>
        <w:gridCol w:w="770"/>
        <w:gridCol w:w="1236"/>
        <w:gridCol w:w="1074"/>
        <w:gridCol w:w="1077"/>
        <w:gridCol w:w="1501"/>
      </w:tblGrid>
      <w:tr>
        <w:trPr>
          <w:jc w:val="center"/>
          <w:trHeight w:val="765"/>
        </w:trPr>
        <w:tc>
          <w:tcPr>
            <w:tcW w:w="681"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序号</w:t>
            </w:r>
            <w:r/>
          </w:p>
        </w:tc>
        <w:tc>
          <w:tcPr>
            <w:tcW w:w="2404"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名称</w:t>
            </w:r>
            <w:r/>
          </w:p>
        </w:tc>
        <w:tc>
          <w:tcPr>
            <w:tcW w:w="1052"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数量</w:t>
            </w:r>
            <w:r/>
          </w:p>
        </w:tc>
        <w:tc>
          <w:tcPr>
            <w:tcW w:w="770"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lang w:bidi="ar"/>
              </w:rPr>
              <w:t xml:space="preserve">单位</w:t>
            </w:r>
            <w:r/>
          </w:p>
        </w:tc>
        <w:tc>
          <w:tcPr>
            <w:tcW w:w="1236" w:type="dxa"/>
            <w:vAlign w:val="center"/>
            <w:textDirection w:val="lrTb"/>
            <w:noWrap w:val="false"/>
          </w:tcPr>
          <w:p>
            <w:pPr>
              <w:jc w:val="center"/>
              <w:rPr>
                <w:rFonts w:hint="eastAsia" w:ascii="宋体" w:hAnsi="宋体" w:eastAsia="宋体" w:cs="宋体"/>
                <w:szCs w:val="21"/>
              </w:rPr>
            </w:pPr>
            <w:r>
              <w:rPr>
                <w:rFonts w:hint="eastAsia" w:ascii="宋体" w:hAnsi="宋体" w:cs="宋体"/>
                <w:szCs w:val="21"/>
              </w:rPr>
              <w:t xml:space="preserve">单价报价上限（元）</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rPr>
              <w:t xml:space="preserve">产品类型</w:t>
            </w:r>
            <w:r/>
          </w:p>
        </w:tc>
        <w:tc>
          <w:tcPr>
            <w:tcW w:w="1077"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rPr>
              <w:t xml:space="preserve">所属行业类型</w:t>
            </w:r>
            <w:r/>
          </w:p>
        </w:tc>
        <w:tc>
          <w:tcPr>
            <w:tcW w:w="1501"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rPr>
              <w:t xml:space="preserve">产品属性</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幼儿储物</w:t>
            </w:r>
            <w:r>
              <w:rPr>
                <w:rFonts w:hint="eastAsia" w:ascii="宋体" w:hAnsi="宋体" w:eastAsia="宋体" w:cs="宋体"/>
                <w:szCs w:val="21"/>
                <w:lang w:val="en-US" w:eastAsia="zh-CN" w:bidi="ar"/>
              </w:rPr>
              <w:br/>
            </w:r>
            <w:r>
              <w:rPr>
                <w:rFonts w:hint="eastAsia" w:ascii="宋体" w:hAnsi="宋体" w:eastAsia="宋体" w:cs="宋体"/>
                <w:szCs w:val="21"/>
                <w:lang w:val="en-US" w:eastAsia="zh-CN" w:bidi="ar"/>
              </w:rPr>
              <w:t xml:space="preserve">柜组合1</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6</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12000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2</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幼儿储物</w:t>
            </w:r>
            <w:r>
              <w:rPr>
                <w:rFonts w:hint="eastAsia" w:ascii="宋体" w:hAnsi="宋体" w:eastAsia="宋体" w:cs="宋体"/>
                <w:szCs w:val="21"/>
                <w:lang w:val="en-US" w:eastAsia="zh-CN" w:bidi="ar"/>
              </w:rPr>
              <w:br/>
            </w:r>
            <w:r>
              <w:rPr>
                <w:rFonts w:hint="eastAsia" w:ascii="宋体" w:hAnsi="宋体" w:eastAsia="宋体" w:cs="宋体"/>
                <w:szCs w:val="21"/>
                <w:lang w:val="en-US" w:eastAsia="zh-CN" w:bidi="ar"/>
              </w:rPr>
              <w:t xml:space="preserve">柜组合2</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6</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13000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38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3</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教室墙面整体柜</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12</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28500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4</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三合一柜1</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6</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2890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5</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三合一柜2</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6</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3510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6</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资料柜1</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3</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7620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7</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资料柜2</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7420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8</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会议室储物柜</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12500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9</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茶水柜</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3</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800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10</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教师之家水吧柜</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1880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11</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党建书架</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3500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12</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四人阅读沙发组合</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2</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4500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13</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双人阅读沙发组合</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3</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3000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14</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服装乐器间柜1</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7800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15</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服装乐器间柜2</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12900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16</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二楼楼梯角柜</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2200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17</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书写墙面软板</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6</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平方</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130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18</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阅读空间组合1</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6500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19</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阅读空间组合2</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2880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20</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区角柜组合</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3</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1200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21</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阅读大厅双面书柜</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6770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22</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大厅阶梯书柜</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5</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500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23</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走廊矮柜</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700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24</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开放式阅览室书架</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26500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25</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开放式阅览室地台</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19000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26</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开放式阅览室空中书阁</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9000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27</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教师之家墙面书架</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33</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M</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220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28</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挂衣柜</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12</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件</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1260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29</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美工柜1</w:t>
            </w:r>
            <w:r>
              <w:rPr>
                <w:rFonts w:hint="eastAsia" w:ascii="宋体" w:hAnsi="宋体" w:eastAsia="宋体" w:cs="宋体"/>
                <w:szCs w:val="21"/>
                <w:lang w:val="en-US" w:eastAsia="zh-CN" w:bidi="ar"/>
              </w:rPr>
              <w:br/>
            </w:r>
            <w:r>
              <w:rPr>
                <w:rFonts w:hint="eastAsia" w:ascii="宋体" w:hAnsi="宋体" w:eastAsia="宋体" w:cs="宋体"/>
                <w:szCs w:val="21"/>
                <w:lang w:val="en-US" w:eastAsia="zh-CN" w:bidi="ar"/>
              </w:rPr>
              <w:t xml:space="preserve">洞洞板背板</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12</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件</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1260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30</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美工纸柜</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14</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1260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31</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玩具柜1</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12</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件</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1260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32</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玩具柜2</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12</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件</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1600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33</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户外收纳柜1</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12</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12500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34</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户外收纳柜2</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13400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35</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大筐玩具收纳</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4</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13400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36</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角色收纳屋</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13800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37</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小框玩具收纳（2层</w:t>
            </w:r>
            <w:r>
              <w:rPr>
                <w:rFonts w:hint="eastAsia" w:ascii="宋体" w:hAnsi="宋体" w:eastAsia="宋体" w:cs="宋体"/>
                <w:szCs w:val="21"/>
                <w:lang w:val="en-US" w:eastAsia="zh-CN" w:bidi="ar"/>
              </w:rPr>
              <w:br/>
            </w:r>
            <w:r>
              <w:rPr>
                <w:rFonts w:hint="eastAsia" w:ascii="宋体" w:hAnsi="宋体" w:eastAsia="宋体" w:cs="宋体"/>
                <w:szCs w:val="21"/>
                <w:lang w:val="en-US" w:eastAsia="zh-CN" w:bidi="ar"/>
              </w:rPr>
              <w:t xml:space="preserve">对开门）</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7000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38</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沙水收纳</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2</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15790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39</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饮水机</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12</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台</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8500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40</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洗衣机</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13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台</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5000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41</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横版消毒柜</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12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台</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1200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42</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竖版消毒柜</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2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台</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1000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43</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冰箱</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台</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2780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44</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便携式高清运动相机</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台</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3000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45</w:t>
            </w:r>
            <w:r/>
          </w:p>
        </w:tc>
        <w:tc>
          <w:tcPr>
            <w:tcW w:w="2404" w:type="dxa"/>
            <w:vAlign w:val="center"/>
            <w:textDirection w:val="lrTb"/>
            <w:noWrap w:val="false"/>
          </w:tcPr>
          <w:p>
            <w:pPr>
              <w:jc w:val="center"/>
              <w:rPr>
                <w:rFonts w:hint="default" w:ascii="宋体" w:hAnsi="宋体" w:eastAsia="宋体" w:cs="宋体"/>
                <w:szCs w:val="21"/>
                <w:lang w:val="en-US" w:bidi="ar"/>
              </w:rPr>
            </w:pPr>
            <w:r>
              <w:rPr>
                <w:rFonts w:hint="eastAsia" w:ascii="宋体" w:hAnsi="宋体" w:eastAsia="宋体" w:cs="宋体"/>
                <w:szCs w:val="21"/>
                <w:lang w:val="en-US" w:eastAsia="zh-CN" w:bidi="ar"/>
              </w:rPr>
              <w:t xml:space="preserve">高清数码相机</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台</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8000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46</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移动紫外</w:t>
            </w:r>
            <w:r>
              <w:rPr>
                <w:rFonts w:hint="eastAsia" w:ascii="宋体" w:hAnsi="宋体" w:eastAsia="宋体" w:cs="宋体"/>
                <w:szCs w:val="21"/>
                <w:lang w:val="en-US" w:eastAsia="zh-CN" w:bidi="ar"/>
              </w:rPr>
              <w:br/>
            </w:r>
            <w:r>
              <w:rPr>
                <w:rFonts w:hint="eastAsia" w:ascii="宋体" w:hAnsi="宋体" w:eastAsia="宋体" w:cs="宋体"/>
                <w:szCs w:val="21"/>
                <w:lang w:val="en-US" w:eastAsia="zh-CN" w:bidi="ar"/>
              </w:rPr>
              <w:t xml:space="preserve">线消毒灯</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12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台</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500</w:t>
            </w:r>
            <w:r/>
          </w:p>
        </w:tc>
        <w:tc>
          <w:tcPr>
            <w:tcW w:w="1074" w:type="dxa"/>
            <w:vAlign w:val="center"/>
            <w:textDirection w:val="lrTb"/>
            <w:noWrap w:val="false"/>
          </w:tcPr>
          <w:p>
            <w:pPr>
              <w:jc w:val="center"/>
              <w:rPr>
                <w:rFonts w:hint="default" w:ascii="宋体" w:hAnsi="宋体" w:eastAsia="宋体" w:cs="宋体"/>
                <w:szCs w:val="21"/>
                <w:lang w:val="en-US" w:eastAsia="zh-CN" w:bidi="ar"/>
              </w:rPr>
            </w:pPr>
            <w:r>
              <w:rPr>
                <w:rFonts w:hint="default" w:ascii="宋体" w:hAnsi="宋体" w:eastAsia="宋体" w:cs="宋体"/>
                <w:szCs w:val="21"/>
                <w:lang w:val="en-US" w:eastAsia="zh-CN"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47</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非接触式</w:t>
            </w:r>
            <w:r>
              <w:rPr>
                <w:rFonts w:hint="eastAsia" w:ascii="宋体" w:hAnsi="宋体" w:eastAsia="宋体" w:cs="宋体"/>
                <w:szCs w:val="21"/>
                <w:lang w:val="en-US" w:eastAsia="zh-CN" w:bidi="ar"/>
              </w:rPr>
              <w:br/>
            </w:r>
            <w:r>
              <w:rPr>
                <w:rFonts w:hint="eastAsia" w:ascii="宋体" w:hAnsi="宋体" w:eastAsia="宋体" w:cs="宋体"/>
                <w:szCs w:val="21"/>
                <w:lang w:val="en-US" w:eastAsia="zh-CN" w:bidi="ar"/>
              </w:rPr>
              <w:t xml:space="preserve">测温净手一体机</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台</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500</w:t>
            </w:r>
            <w:r/>
          </w:p>
        </w:tc>
        <w:tc>
          <w:tcPr>
            <w:tcW w:w="1074" w:type="dxa"/>
            <w:vAlign w:val="center"/>
            <w:textDirection w:val="lrTb"/>
            <w:noWrap w:val="false"/>
          </w:tcPr>
          <w:p>
            <w:pPr>
              <w:jc w:val="center"/>
              <w:rPr>
                <w:rFonts w:hint="default" w:ascii="宋体" w:hAnsi="宋体" w:eastAsia="宋体" w:cs="宋体"/>
                <w:szCs w:val="21"/>
                <w:lang w:val="en-US" w:eastAsia="zh-CN" w:bidi="ar"/>
              </w:rPr>
            </w:pPr>
            <w:r>
              <w:rPr>
                <w:rFonts w:hint="eastAsia" w:ascii="宋体" w:hAnsi="宋体" w:eastAsia="宋体" w:cs="宋体"/>
                <w:szCs w:val="21"/>
                <w:lang w:val="en-US" w:eastAsia="zh-CN" w:bidi="ar"/>
              </w:rPr>
              <w:t xml:space="preserve">主要产品</w:t>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48</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茶杯箱</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12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个</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650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49</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玩具</w:t>
            </w:r>
            <w:r>
              <w:rPr>
                <w:rFonts w:hint="eastAsia" w:ascii="宋体" w:hAnsi="宋体" w:eastAsia="宋体" w:cs="宋体"/>
                <w:szCs w:val="21"/>
                <w:lang w:val="en-US" w:eastAsia="zh-CN" w:bidi="ar"/>
              </w:rPr>
              <w:br/>
            </w:r>
            <w:r>
              <w:rPr>
                <w:rFonts w:hint="eastAsia" w:ascii="宋体" w:hAnsi="宋体" w:eastAsia="宋体" w:cs="宋体"/>
                <w:szCs w:val="21"/>
                <w:lang w:val="en-US" w:eastAsia="zh-CN" w:bidi="ar"/>
              </w:rPr>
              <w:t xml:space="preserve">小方桌</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31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张</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500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50</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长方形茶几</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张</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800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51</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会议室会议桌子</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张</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7980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52</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高餐桌组合</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2200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53</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餐桌</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6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张</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1200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54</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餐椅</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20 </w:t>
            </w:r>
            <w:r/>
          </w:p>
        </w:tc>
        <w:tc>
          <w:tcPr>
            <w:tcW w:w="770"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张</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190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55</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办公室椅</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10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张</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500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56</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会议椅</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20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张</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500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57</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会议椅（带桌板）</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50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张</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500</w:t>
            </w:r>
            <w:r/>
          </w:p>
        </w:tc>
        <w:tc>
          <w:tcPr>
            <w:tcW w:w="1074" w:type="dxa"/>
            <w:vAlign w:val="center"/>
            <w:textDirection w:val="lrTb"/>
            <w:noWrap w:val="false"/>
          </w:tcPr>
          <w:p>
            <w:pPr>
              <w:jc w:val="center"/>
              <w:rPr>
                <w:rFonts w:hint="default" w:ascii="宋体" w:hAnsi="宋体" w:eastAsia="宋体" w:cs="宋体"/>
                <w:szCs w:val="21"/>
                <w:lang w:val="en-US" w:eastAsia="zh-CN" w:bidi="ar"/>
              </w:rPr>
            </w:pPr>
            <w:r>
              <w:rPr>
                <w:rFonts w:hint="eastAsia" w:ascii="宋体" w:hAnsi="宋体" w:eastAsia="宋体" w:cs="宋体"/>
                <w:szCs w:val="21"/>
                <w:lang w:val="en-US" w:eastAsia="zh-CN" w:bidi="ar"/>
              </w:rPr>
              <w:t xml:space="preserve">主要产品</w:t>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58</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钢琴凳</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13 </w:t>
            </w:r>
            <w:r/>
          </w:p>
        </w:tc>
        <w:tc>
          <w:tcPr>
            <w:tcW w:w="770"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张</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500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59</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沙发</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2 </w:t>
            </w:r>
            <w:r/>
          </w:p>
        </w:tc>
        <w:tc>
          <w:tcPr>
            <w:tcW w:w="770"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2000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60</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阅读单人沙发</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28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个</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435</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61</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阅读双人沙发</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2 </w:t>
            </w:r>
            <w:r/>
          </w:p>
        </w:tc>
        <w:tc>
          <w:tcPr>
            <w:tcW w:w="770"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1000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62</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成人</w:t>
            </w:r>
            <w:r>
              <w:rPr>
                <w:rFonts w:hint="eastAsia" w:ascii="宋体" w:hAnsi="宋体" w:eastAsia="宋体" w:cs="宋体"/>
                <w:szCs w:val="21"/>
                <w:lang w:val="en-US" w:eastAsia="zh-CN" w:bidi="ar"/>
              </w:rPr>
              <w:br/>
            </w:r>
            <w:r>
              <w:rPr>
                <w:rFonts w:hint="eastAsia" w:ascii="宋体" w:hAnsi="宋体" w:eastAsia="宋体" w:cs="宋体"/>
                <w:szCs w:val="21"/>
                <w:lang w:val="en-US" w:eastAsia="zh-CN" w:bidi="ar"/>
              </w:rPr>
              <w:t xml:space="preserve">沙发床</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 </w:t>
            </w:r>
            <w:r/>
          </w:p>
        </w:tc>
        <w:tc>
          <w:tcPr>
            <w:tcW w:w="770"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1500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63</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幼儿床</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124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2000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64</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户外小型玩具1</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15552</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65</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户外小型玩具2</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11670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66</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可折叠地台</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800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67</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自然角植物架</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8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个</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1260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68</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种植箱</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8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个</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1600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69</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栅栏</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150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米</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350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70</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拱门</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2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个</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3500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71</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松鼠笼</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30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米</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200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72</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松鼠笼房子</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4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个</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600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73</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动物饲养</w:t>
            </w:r>
            <w:r>
              <w:rPr>
                <w:rFonts w:hint="eastAsia" w:ascii="宋体" w:hAnsi="宋体" w:eastAsia="宋体" w:cs="宋体"/>
                <w:szCs w:val="21"/>
                <w:lang w:val="en-US" w:eastAsia="zh-CN" w:bidi="ar"/>
              </w:rPr>
              <w:br/>
            </w:r>
            <w:r>
              <w:rPr>
                <w:rFonts w:hint="eastAsia" w:ascii="宋体" w:hAnsi="宋体" w:eastAsia="宋体" w:cs="宋体"/>
                <w:szCs w:val="21"/>
                <w:lang w:val="en-US" w:eastAsia="zh-CN" w:bidi="ar"/>
              </w:rPr>
              <w:t xml:space="preserve">屋</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12800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74</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垃圾分类集中投放点</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8500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75</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保安亭</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9000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76</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移动</w:t>
            </w:r>
            <w:r>
              <w:rPr>
                <w:rFonts w:hint="eastAsia" w:ascii="宋体" w:hAnsi="宋体" w:eastAsia="宋体" w:cs="宋体"/>
                <w:szCs w:val="21"/>
                <w:lang w:val="en-US" w:eastAsia="zh-CN" w:bidi="ar"/>
              </w:rPr>
              <w:br/>
            </w:r>
            <w:r>
              <w:rPr>
                <w:rFonts w:hint="eastAsia" w:ascii="宋体" w:hAnsi="宋体" w:eastAsia="宋体" w:cs="宋体"/>
                <w:szCs w:val="21"/>
                <w:lang w:val="en-US" w:eastAsia="zh-CN" w:bidi="ar"/>
              </w:rPr>
              <w:t xml:space="preserve">帐篷</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2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3000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77</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传菜窗</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4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平方</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580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78</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金钢网折叠纱门</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8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平方</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320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79</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布艺窗帘</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804</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平方</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115</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80</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浴帘</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52.8</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平方</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30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81</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磨砂玻璃贴</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32</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平方</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5</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82</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百叶窗帘</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48</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平方</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120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83</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门禁系统</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3500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84</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考勤机</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600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85</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拒马</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4</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500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86</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科技墙</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28000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87</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光影走廊</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2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9000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88</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小木屋</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12000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89</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光影屋</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11000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90</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水洗画架</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2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3800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91</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光影桌</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张</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1360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92</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欢乐水车</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2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件</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1000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93</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组合迷宫</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13000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94</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大型玩具</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300000</w:t>
            </w:r>
            <w:r/>
          </w:p>
        </w:tc>
        <w:tc>
          <w:tcPr>
            <w:tcW w:w="1074" w:type="dxa"/>
            <w:vAlign w:val="center"/>
            <w:textDirection w:val="lrTb"/>
            <w:noWrap w:val="false"/>
          </w:tcPr>
          <w:p>
            <w:pPr>
              <w:jc w:val="center"/>
              <w:rPr>
                <w:rFonts w:hint="default" w:ascii="宋体" w:hAnsi="宋体" w:eastAsia="宋体" w:cs="宋体"/>
                <w:szCs w:val="21"/>
                <w:lang w:val="en-US" w:eastAsia="zh-CN" w:bidi="ar"/>
              </w:rPr>
            </w:pPr>
            <w:r>
              <w:rPr>
                <w:rFonts w:hint="eastAsia" w:ascii="宋体" w:hAnsi="宋体" w:eastAsia="宋体" w:cs="宋体"/>
                <w:szCs w:val="21"/>
                <w:lang w:val="en-US" w:eastAsia="zh-CN" w:bidi="ar"/>
              </w:rPr>
              <w:t xml:space="preserve">核心产品</w:t>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95</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升旗台</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5120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96</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沙池玩具01</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5600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97</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沙池玩具02</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2880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98</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沙池玩具03</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1440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99</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沙池玩具04</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240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100</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沙池玩具05</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2</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1600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101</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水池</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14400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102</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假山</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10000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103</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中型玩具</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138400</w:t>
            </w:r>
            <w:r/>
          </w:p>
        </w:tc>
        <w:tc>
          <w:tcPr>
            <w:tcW w:w="1074" w:type="dxa"/>
            <w:vAlign w:val="center"/>
            <w:textDirection w:val="lrTb"/>
            <w:noWrap w:val="false"/>
          </w:tcPr>
          <w:p>
            <w:pPr>
              <w:jc w:val="center"/>
              <w:rPr>
                <w:rFonts w:hint="default" w:ascii="宋体" w:hAnsi="宋体" w:eastAsia="宋体" w:cs="宋体"/>
                <w:szCs w:val="21"/>
                <w:lang w:val="en-US" w:eastAsia="zh-CN" w:bidi="ar"/>
              </w:rPr>
            </w:pPr>
            <w:r>
              <w:rPr>
                <w:rFonts w:hint="eastAsia" w:ascii="宋体" w:hAnsi="宋体" w:eastAsia="宋体" w:cs="宋体"/>
                <w:szCs w:val="21"/>
                <w:lang w:val="en-US" w:eastAsia="zh-CN" w:bidi="ar"/>
              </w:rPr>
              <w:t xml:space="preserve">主要产品</w:t>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104</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钻洞</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11000</w:t>
            </w:r>
            <w:r/>
          </w:p>
        </w:tc>
        <w:tc>
          <w:tcPr>
            <w:tcW w:w="1074" w:type="dxa"/>
            <w:vAlign w:val="center"/>
            <w:textDirection w:val="lrTb"/>
            <w:noWrap w:val="false"/>
          </w:tcPr>
          <w:p>
            <w:pPr>
              <w:jc w:val="center"/>
              <w:rPr>
                <w:rFonts w:hint="default" w:ascii="宋体" w:hAnsi="宋体" w:eastAsia="宋体" w:cs="宋体"/>
                <w:szCs w:val="21"/>
                <w:lang w:val="en-US" w:eastAsia="zh-CN" w:bidi="ar"/>
              </w:rPr>
            </w:pPr>
            <w:r>
              <w:rPr>
                <w:rFonts w:hint="default" w:ascii="宋体" w:hAnsi="宋体" w:eastAsia="宋体" w:cs="宋体"/>
                <w:szCs w:val="21"/>
                <w:lang w:val="en-US" w:eastAsia="zh-CN"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105</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木桥障碍</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4800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106</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梅花桩</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4480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107</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爬网</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4800</w:t>
            </w:r>
            <w:r/>
          </w:p>
        </w:tc>
        <w:tc>
          <w:tcPr>
            <w:tcW w:w="1074" w:type="dxa"/>
            <w:vAlign w:val="center"/>
            <w:textDirection w:val="lrTb"/>
            <w:noWrap w:val="false"/>
          </w:tcPr>
          <w:p>
            <w:pPr>
              <w:jc w:val="center"/>
              <w:rPr>
                <w:rFonts w:hint="default" w:ascii="宋体" w:hAnsi="宋体" w:eastAsia="宋体" w:cs="宋体"/>
                <w:szCs w:val="21"/>
                <w:lang w:val="en-US" w:eastAsia="zh-CN" w:bidi="ar"/>
              </w:rPr>
            </w:pPr>
            <w:r>
              <w:rPr>
                <w:rFonts w:hint="eastAsia" w:ascii="宋体" w:hAnsi="宋体" w:eastAsia="宋体" w:cs="宋体"/>
                <w:szCs w:val="21"/>
                <w:lang w:val="en-US" w:eastAsia="zh-CN" w:bidi="ar"/>
              </w:rPr>
              <w:t xml:space="preserve">主要产品</w:t>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108</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软体</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480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109</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防腐木地板</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200 </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平方米</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480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110</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木语美术多格柜</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4</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2900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111</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木语美术展示柜</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2</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3180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112</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木语大型操作台</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4</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张</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3155</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113</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木语饼干凳</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48</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把</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225</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114</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木语三层材料架</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8</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1100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115</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木语笑脸收纳柜（小）</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4</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个</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1295</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116</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木语笑脸收纳柜（大）</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2</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个</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1640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117</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木语移动收纳车</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2</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个</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2250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118</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网格架</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4</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个</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303</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119</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花挂展示墙</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2</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个</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290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120</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洗手台</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8000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121</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冲洗区</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2400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122</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拓展套件</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62400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123</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光学游戏盒</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3800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124</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镜子工作室材料盒</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1800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125</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水力发电组合</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1000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126</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风力发电模型</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580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127</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电磁起重机</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860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128</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手摇发电机</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155</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129</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光学组件套装</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280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130</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奇妙的磁力</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2600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131</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赛道滑滑车</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350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132</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户外建构积木</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42000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133</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组合花架</w:t>
            </w:r>
            <w:r/>
          </w:p>
        </w:tc>
        <w:tc>
          <w:tcPr>
            <w:tcW w:w="1052"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4</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组</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250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134</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木梯组合</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11500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135</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儿童体检仪</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8000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136</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握力测试仪</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6</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40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137</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儿童立定跳远测试仪</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2</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70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138</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电子坐位体前屈测试仪</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2</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650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139</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双脚连续跳测试仪</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2</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259</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140</w:t>
            </w:r>
            <w:r/>
          </w:p>
        </w:tc>
        <w:tc>
          <w:tcPr>
            <w:tcW w:w="2404" w:type="dxa"/>
            <w:vAlign w:val="center"/>
            <w:textDirection w:val="lrTb"/>
            <w:noWrap w:val="false"/>
          </w:tcPr>
          <w:p>
            <w:pPr>
              <w:jc w:val="center"/>
              <w:rPr>
                <w:rFonts w:hint="default" w:ascii="宋体" w:hAnsi="宋体" w:eastAsia="宋体" w:cs="宋体"/>
                <w:szCs w:val="21"/>
                <w:lang w:val="en-US" w:bidi="ar"/>
              </w:rPr>
            </w:pPr>
            <w:r>
              <w:rPr>
                <w:rFonts w:hint="eastAsia" w:ascii="宋体" w:hAnsi="宋体" w:eastAsia="宋体" w:cs="宋体"/>
                <w:szCs w:val="21"/>
                <w:lang w:val="en-US" w:eastAsia="zh-CN" w:bidi="ar"/>
              </w:rPr>
              <w:t xml:space="preserve">15米障碍跑设备</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2</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140</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141</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秒表</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6</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个</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68</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r>
        <w:trPr>
          <w:jc w:val="center"/>
          <w:trHeight w:val="197"/>
        </w:trPr>
        <w:tc>
          <w:tcPr>
            <w:tcW w:w="681" w:type="dxa"/>
            <w:vAlign w:val="center"/>
            <w:textDirection w:val="lrTb"/>
            <w:noWrap w:val="false"/>
          </w:tcPr>
          <w:p>
            <w:pPr>
              <w:jc w:val="center"/>
              <w:rPr>
                <w:rFonts w:hint="eastAsia" w:ascii="宋体" w:hAnsi="宋体" w:eastAsia="宋体" w:cs="宋体"/>
                <w:szCs w:val="21"/>
                <w:lang w:bidi="ar"/>
              </w:rPr>
            </w:pPr>
            <w:r>
              <w:rPr>
                <w:rFonts w:hint="default" w:ascii="宋体" w:hAnsi="宋体" w:eastAsia="宋体" w:cs="宋体"/>
                <w:szCs w:val="21"/>
                <w:lang w:val="en-US" w:eastAsia="zh-CN" w:bidi="ar"/>
              </w:rPr>
              <w:t xml:space="preserve">142</w:t>
            </w:r>
            <w:r/>
          </w:p>
        </w:tc>
        <w:tc>
          <w:tcPr>
            <w:tcW w:w="240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平衡木测试仪</w:t>
            </w:r>
            <w:r/>
          </w:p>
        </w:tc>
        <w:tc>
          <w:tcPr>
            <w:tcW w:w="1052"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w:t>
            </w:r>
            <w:r/>
          </w:p>
        </w:tc>
        <w:tc>
          <w:tcPr>
            <w:tcW w:w="770"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套</w:t>
            </w:r>
            <w:r/>
          </w:p>
        </w:tc>
        <w:tc>
          <w:tcPr>
            <w:tcW w:w="1236"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val="en-US" w:eastAsia="zh-CN" w:bidi="ar"/>
              </w:rPr>
              <w:t xml:space="preserve">1128</w:t>
            </w:r>
            <w:r/>
          </w:p>
        </w:tc>
        <w:tc>
          <w:tcPr>
            <w:tcW w:w="1074" w:type="dxa"/>
            <w:vAlign w:val="center"/>
            <w:textDirection w:val="lrTb"/>
            <w:noWrap w:val="false"/>
          </w:tcPr>
          <w:p>
            <w:pPr>
              <w:jc w:val="center"/>
              <w:rPr>
                <w:rFonts w:hint="eastAsia" w:ascii="宋体" w:hAnsi="宋体" w:eastAsia="宋体" w:cs="宋体"/>
                <w:szCs w:val="21"/>
                <w:lang w:bidi="ar"/>
              </w:rPr>
            </w:pPr>
            <w:r>
              <w:rPr>
                <w:rFonts w:hint="eastAsia" w:ascii="宋体" w:hAnsi="宋体" w:eastAsia="宋体" w:cs="宋体"/>
                <w:szCs w:val="21"/>
                <w:lang w:bidi="ar"/>
              </w:rPr>
            </w:r>
            <w:r/>
          </w:p>
        </w:tc>
        <w:tc>
          <w:tcPr>
            <w:tcW w:w="1077"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工业</w:t>
            </w:r>
            <w:r/>
          </w:p>
        </w:tc>
        <w:tc>
          <w:tcPr>
            <w:tcW w:w="1501" w:type="dxa"/>
            <w:vAlign w:val="center"/>
            <w:textDirection w:val="lrTb"/>
            <w:noWrap w:val="false"/>
          </w:tcPr>
          <w:p>
            <w:pPr>
              <w:jc w:val="center"/>
              <w:keepLines w:val="0"/>
              <w:keepNext w:val="0"/>
              <w:widowControl/>
              <w:rPr>
                <w:rFonts w:hint="eastAsia" w:ascii="宋体" w:hAnsi="宋体" w:eastAsia="宋体" w:cs="宋体"/>
                <w:szCs w:val="21"/>
                <w:lang w:bidi="ar"/>
              </w:rPr>
              <w:suppressLineNumbers w:val="0"/>
            </w:pPr>
            <w:r>
              <w:rPr>
                <w:rFonts w:hint="eastAsia" w:ascii="宋体" w:hAnsi="宋体" w:eastAsia="宋体" w:cs="宋体"/>
                <w:color w:val="000000"/>
                <w:sz w:val="21"/>
                <w:szCs w:val="21"/>
                <w:lang w:val="en-US" w:eastAsia="zh-CN" w:bidi="ar"/>
              </w:rPr>
              <w:t xml:space="preserve">货物</w:t>
            </w:r>
            <w:r/>
          </w:p>
        </w:tc>
      </w:tr>
    </w:tbl>
    <w:p>
      <w:pPr>
        <w:ind w:firstLine="480"/>
        <w:keepLines w:val="0"/>
        <w:keepNext w:val="0"/>
        <w:pageBreakBefore w:val="0"/>
        <w:spacing w:line="240" w:lineRule="auto"/>
        <w:widowControl w:val="off"/>
        <w:rPr>
          <w:rFonts w:hint="default" w:ascii="黑体" w:hAnsi="黑体" w:eastAsia="黑体" w:cs="黑体"/>
          <w:bCs w:val="0"/>
          <w:color w:val="000000"/>
          <w:sz w:val="24"/>
          <w:szCs w:val="24"/>
          <w:lang w:val="en-US" w:eastAsia="zh-CN"/>
        </w:rPr>
      </w:pPr>
      <w:r>
        <w:rPr>
          <w:rFonts w:hint="eastAsia" w:ascii="黑体" w:hAnsi="黑体" w:eastAsia="黑体" w:cs="黑体"/>
          <w:bCs w:val="0"/>
          <w:color w:val="000000"/>
          <w:sz w:val="24"/>
          <w:szCs w:val="24"/>
          <w:lang w:val="en-US" w:eastAsia="zh-CN"/>
        </w:rPr>
        <w:t xml:space="preserve">注：供应商报价超过采购控制价的为无效报价，</w:t>
      </w:r>
      <w:bookmarkStart w:id="207" w:name="_GoBack"/>
      <w:r/>
      <w:bookmarkEnd w:id="207"/>
      <w:r>
        <w:rPr>
          <w:rFonts w:hint="eastAsia" w:ascii="黑体" w:hAnsi="黑体" w:eastAsia="黑体" w:cs="黑体"/>
          <w:bCs w:val="0"/>
          <w:color w:val="000000"/>
          <w:sz w:val="24"/>
          <w:szCs w:val="24"/>
          <w:lang w:val="en-US" w:eastAsia="zh-CN"/>
        </w:rPr>
        <w:t xml:space="preserve">按照无效标处理。</w:t>
      </w:r>
      <w:r/>
    </w:p>
    <w:p>
      <w:pPr>
        <w:ind w:firstLine="480"/>
        <w:keepLines w:val="0"/>
        <w:keepNext w:val="0"/>
        <w:pageBreakBefore w:val="0"/>
        <w:spacing w:line="240" w:lineRule="auto"/>
        <w:widowControl w:val="off"/>
        <w:rPr>
          <w:rFonts w:hint="eastAsia" w:ascii="黑体" w:hAnsi="黑体" w:eastAsia="黑体" w:cs="黑体"/>
          <w:bCs w:val="0"/>
          <w:color w:val="000000"/>
          <w:sz w:val="24"/>
          <w:szCs w:val="24"/>
          <w:lang w:eastAsia="zh-CN"/>
        </w:rPr>
      </w:pPr>
      <w:r>
        <w:rPr>
          <w:rFonts w:hint="eastAsia" w:ascii="黑体" w:hAnsi="黑体" w:eastAsia="黑体" w:cs="黑体"/>
          <w:bCs w:val="0"/>
          <w:color w:val="000000"/>
          <w:sz w:val="24"/>
          <w:szCs w:val="24"/>
          <w:lang w:eastAsia="zh-CN"/>
        </w:rPr>
      </w:r>
      <w:r/>
    </w:p>
    <w:p>
      <w:pPr>
        <w:ind w:firstLine="480"/>
        <w:keepLines w:val="0"/>
        <w:keepNext w:val="0"/>
        <w:pageBreakBefore w:val="0"/>
        <w:spacing w:line="240" w:lineRule="auto"/>
        <w:widowControl w:val="off"/>
        <w:rPr>
          <w:rFonts w:hint="eastAsia" w:ascii="宋体" w:hAnsi="宋体" w:eastAsia="宋体" w:cs="宋体"/>
          <w:b/>
          <w:bCs w:val="0"/>
          <w:color w:val="000000"/>
          <w:sz w:val="24"/>
          <w:szCs w:val="24"/>
          <w:highlight w:val="none"/>
        </w:rPr>
      </w:pPr>
      <w:r>
        <w:rPr>
          <w:rFonts w:hint="eastAsia" w:ascii="黑体" w:hAnsi="黑体" w:eastAsia="黑体" w:cs="黑体"/>
          <w:bCs w:val="0"/>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p>
    <w:p>
      <w:pPr>
        <w:ind w:firstLine="480"/>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（一）技术要求</w:t>
      </w:r>
      <w:r/>
    </w:p>
    <w:tbl>
      <w:tblPr>
        <w:tblStyle w:val="705"/>
        <w:tblW w:w="50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439"/>
        <w:gridCol w:w="4947"/>
        <w:gridCol w:w="3079"/>
      </w:tblGrid>
      <w:tr>
        <w:trPr>
          <w:jc w:val="center"/>
          <w:trHeight w:val="632"/>
        </w:trPr>
        <w:tc>
          <w:tcPr>
            <w:tcW w:w="688"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序号</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cs="宋体"/>
                <w:szCs w:val="21"/>
                <w:lang w:bidi="ar"/>
              </w:rPr>
              <w:t xml:space="preserve">名称</w:t>
            </w:r>
            <w:r/>
          </w:p>
        </w:tc>
        <w:tc>
          <w:tcPr>
            <w:tcW w:w="4948" w:type="dxa"/>
            <w:vAlign w:val="center"/>
            <w:textDirection w:val="lrTb"/>
            <w:noWrap w:val="false"/>
          </w:tcPr>
          <w:p>
            <w:pPr>
              <w:jc w:val="center"/>
              <w:rPr>
                <w:rFonts w:ascii="宋体" w:hAnsi="宋体" w:eastAsia="宋体" w:cs="宋体"/>
                <w:szCs w:val="21"/>
                <w:lang w:val="en-US" w:eastAsia="zh-CN"/>
              </w:rPr>
            </w:pPr>
            <w:r>
              <w:rPr>
                <w:rFonts w:hint="eastAsia" w:ascii="宋体" w:hAnsi="宋体" w:cs="宋体"/>
                <w:szCs w:val="21"/>
                <w:lang w:val="en-US" w:eastAsia="zh-CN" w:bidi="ar"/>
              </w:rPr>
              <w:t xml:space="preserve">功能、性能、配置不低于以下要求</w:t>
            </w:r>
            <w:r/>
          </w:p>
        </w:tc>
        <w:tc>
          <w:tcPr>
            <w:tcW w:w="3080" w:type="dxa"/>
            <w:vAlign w:val="center"/>
            <w:textDirection w:val="lrTb"/>
            <w:noWrap w:val="false"/>
          </w:tcPr>
          <w:p>
            <w:pPr>
              <w:jc w:val="center"/>
              <w:rPr>
                <w:rFonts w:hint="eastAsia" w:ascii="宋体" w:hAnsi="宋体" w:eastAsia="宋体" w:cs="宋体"/>
                <w:szCs w:val="21"/>
                <w:lang w:eastAsia="zh-CN"/>
              </w:rPr>
            </w:pPr>
            <w:r>
              <w:rPr>
                <w:rFonts w:hint="eastAsia" w:ascii="宋体" w:hAnsi="宋体" w:cs="宋体"/>
                <w:szCs w:val="21"/>
                <w:lang w:val="en-US" w:eastAsia="zh-CN" w:bidi="ar"/>
              </w:rPr>
              <w:t xml:space="preserve">参考图片</w:t>
            </w:r>
            <w:r/>
          </w:p>
        </w:tc>
      </w:tr>
      <w:tr>
        <w:trPr>
          <w:jc w:val="center"/>
          <w:trHeight w:val="658"/>
        </w:trPr>
        <w:tc>
          <w:tcPr>
            <w:tcW w:w="688" w:type="dxa"/>
            <w:vAlign w:val="center"/>
            <w:textDirection w:val="lrTb"/>
            <w:noWrap w:val="false"/>
          </w:tcPr>
          <w:p>
            <w:pPr>
              <w:jc w:val="center"/>
              <w:rPr>
                <w:rFonts w:hint="eastAsia" w:ascii="宋体" w:hAnsi="宋体" w:cs="宋体"/>
                <w:szCs w:val="21"/>
              </w:rPr>
            </w:pPr>
            <w:r>
              <w:rPr>
                <w:rFonts w:hint="default" w:ascii="宋体" w:hAnsi="宋体" w:eastAsia="宋体" w:cs="宋体"/>
                <w:szCs w:val="21"/>
                <w:lang w:val="en-US" w:eastAsia="zh-CN" w:bidi="ar"/>
              </w:rPr>
              <w:t xml:space="preserve">1</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幼儿储物</w:t>
            </w:r>
            <w:r>
              <w:rPr>
                <w:rFonts w:hint="eastAsia" w:ascii="宋体" w:hAnsi="宋体" w:eastAsia="宋体" w:cs="宋体"/>
                <w:szCs w:val="21"/>
                <w:lang w:val="en-US" w:eastAsia="zh-CN" w:bidi="ar"/>
              </w:rPr>
              <w:br/>
            </w:r>
            <w:r>
              <w:rPr>
                <w:rFonts w:hint="eastAsia" w:ascii="宋体" w:hAnsi="宋体" w:eastAsia="宋体" w:cs="宋体"/>
                <w:szCs w:val="21"/>
                <w:lang w:val="en-US" w:eastAsia="zh-CN" w:bidi="ar"/>
              </w:rPr>
              <w:t xml:space="preserve">柜组合1</w:t>
            </w:r>
            <w:r/>
          </w:p>
        </w:tc>
        <w:tc>
          <w:tcPr>
            <w:tcW w:w="4948" w:type="dxa"/>
            <w:vAlign w:val="center"/>
            <w:textDirection w:val="lrTb"/>
            <w:noWrap w:val="false"/>
          </w:tcPr>
          <w:p>
            <w:pPr>
              <w:jc w:val="left"/>
              <w:keepLines w:val="0"/>
              <w:keepNext w:val="0"/>
              <w:widowControl/>
              <w:rPr>
                <w:rFonts w:hint="eastAsia" w:ascii="宋体" w:hAnsi="宋体" w:cs="宋体"/>
                <w:szCs w:val="21"/>
                <w:lang w:bidi="ar"/>
              </w:rPr>
              <w:suppressLineNumbers w:val="0"/>
            </w:pPr>
            <w:r>
              <w:rPr>
                <w:rFonts w:hint="eastAsia" w:ascii="宋体" w:hAnsi="宋体" w:eastAsia="宋体" w:cs="宋体"/>
                <w:i w:val="0"/>
                <w:iCs w:val="0"/>
                <w:color w:val="000000"/>
                <w:sz w:val="20"/>
                <w:szCs w:val="20"/>
                <w:u w:val="none"/>
                <w:lang w:val="en-US" w:eastAsia="zh-CN" w:bidi="ar"/>
              </w:rPr>
              <w:t xml:space="preserve">1.规格：长3300mm*深400mm*高2900mm；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2.材质：实木多层板，甲醛释放量达到ENF级，侧板/层板厚度≥ 18mm，背板 ≥9mm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结构：上1200mm带柜门封闭柜，中500mm无隔断柜体，下1200mm格子带柜门。下格子区域做成30个小储物柜，一共三排，每排10个，每扇橱门带把手。上1200mm带柜门封闭柜，分隔成8扇实木门，其中6扇门柜内设置挂衣杆可挂置衣物，内置可调层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4.工艺：封边：加厚 PVC 全自动封边，不开胶、不割手；柜体必须与墙面固定；所有格位大圆角 R≥30mm，层板倒圆五金配件；连接件：内六角镀锌螺丝、沉孔工艺，防锈防刮。铰链/滑轨：静音、慢回弹、防夹手、防拉脱装置。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5.颜色由甲方指定。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▲投标人或生产商提供多层板符合JC/T 2039-2010标准，试验菌种为黑曲霉、土曲霉、出芽短梗霉、绳状青霉且防霉菌等级均为0级（不长）带CMA标识的检测报告复印件并加盖公章。</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40005</wp:posOffset>
                      </wp:positionH>
                      <wp:positionV relativeFrom="paragraph">
                        <wp:posOffset>644525</wp:posOffset>
                      </wp:positionV>
                      <wp:extent cx="1685925" cy="1229360"/>
                      <wp:effectExtent l="0" t="0" r="9525" b="8890"/>
                      <wp:wrapNone/>
                      <wp:docPr id="1" name="ID_E5881F27A061420D8DD49F67E9F82175"/>
                      <wp:cNvGraphicFramePr/>
                      <a:graphic xmlns:a="http://schemas.openxmlformats.org/drawingml/2006/main">
                        <a:graphicData uri="http://schemas.openxmlformats.org/drawingml/2006/picture">
                          <pic:pic xmlns:pic="http://schemas.openxmlformats.org/drawingml/2006/picture">
                            <pic:nvPicPr>
                              <pic:cNvPr id="142" name="ID_E5881F27A061420D8DD49F67E9F82175"/>
                              <pic:cNvPicPr/>
                              <pic:nvPr/>
                            </pic:nvPicPr>
                            <pic:blipFill>
                              <a:blip r:embed="rId12"/>
                              <a:stretch/>
                            </pic:blipFill>
                            <pic:spPr bwMode="auto">
                              <a:xfrm>
                                <a:off x="0" y="0"/>
                                <a:ext cx="1685925" cy="12293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3.1pt;mso-position-horizontal:absolute;mso-position-vertical-relative:text;margin-top:50.8pt;mso-position-vertical:absolute;width:132.8pt;height:96.8pt;mso-wrap-distance-left:9.0pt;mso-wrap-distance-top:0.0pt;mso-wrap-distance-right:9.0pt;mso-wrap-distance-bottom:0.0pt;" stroked="f">
                      <v:path textboxrect="0,0,0,0"/>
                      <v:imagedata r:id="rId12" o:title=""/>
                    </v:shape>
                  </w:pict>
                </mc:Fallback>
              </mc:AlternateContent>
            </w:r>
            <w:r/>
          </w:p>
        </w:tc>
      </w:tr>
      <w:tr>
        <w:trPr>
          <w:jc w:val="center"/>
          <w:trHeight w:val="666"/>
        </w:trPr>
        <w:tc>
          <w:tcPr>
            <w:tcW w:w="688" w:type="dxa"/>
            <w:vAlign w:val="center"/>
            <w:textDirection w:val="lrTb"/>
            <w:noWrap w:val="false"/>
          </w:tcPr>
          <w:p>
            <w:pPr>
              <w:jc w:val="center"/>
              <w:rPr>
                <w:rFonts w:hint="eastAsia" w:ascii="宋体" w:hAnsi="宋体" w:cs="宋体"/>
                <w:szCs w:val="21"/>
              </w:rPr>
            </w:pPr>
            <w:r>
              <w:rPr>
                <w:rFonts w:hint="default" w:ascii="宋体" w:hAnsi="宋体" w:eastAsia="宋体" w:cs="宋体"/>
                <w:szCs w:val="21"/>
                <w:lang w:val="en-US" w:eastAsia="zh-CN" w:bidi="ar"/>
              </w:rPr>
              <w:t xml:space="preserve">2</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幼儿储物</w:t>
            </w:r>
            <w:r>
              <w:rPr>
                <w:rFonts w:hint="eastAsia" w:ascii="宋体" w:hAnsi="宋体" w:eastAsia="宋体" w:cs="宋体"/>
                <w:szCs w:val="21"/>
                <w:lang w:val="en-US" w:eastAsia="zh-CN" w:bidi="ar"/>
              </w:rPr>
              <w:br/>
            </w:r>
            <w:r>
              <w:rPr>
                <w:rFonts w:hint="eastAsia" w:ascii="宋体" w:hAnsi="宋体" w:eastAsia="宋体" w:cs="宋体"/>
                <w:szCs w:val="21"/>
                <w:lang w:val="en-US" w:eastAsia="zh-CN" w:bidi="ar"/>
              </w:rPr>
              <w:t xml:space="preserve">柜组合2</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1.规格：长4080mm*深400mm*高2900mm；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2.材质：实木多层板，甲醛释放量达到ENF级，侧板/层板厚度≥ 18mm，背板 ≥9mm</w:t>
            </w:r>
            <w:r>
              <w:rPr>
                <w:rFonts w:hint="eastAsia" w:ascii="宋体" w:hAnsi="宋体" w:eastAsia="宋体" w:cs="宋体"/>
                <w:i w:val="0"/>
                <w:iCs w:val="0"/>
                <w:color w:val="000000"/>
                <w:sz w:val="20"/>
                <w:szCs w:val="20"/>
                <w:u w:val="none"/>
                <w:lang w:val="en-US" w:eastAsia="zh-CN" w:bidi="ar"/>
              </w:rPr>
              <w:br/>
            </w: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3128645</wp:posOffset>
                      </wp:positionH>
                      <wp:positionV relativeFrom="paragraph">
                        <wp:posOffset>377825</wp:posOffset>
                      </wp:positionV>
                      <wp:extent cx="1776095" cy="1162050"/>
                      <wp:effectExtent l="0" t="0" r="14604" b="0"/>
                      <wp:wrapNone/>
                      <wp:docPr id="2" name="ID_6009FA7B0A0749FABBA9D002A4BBBF80"/>
                      <wp:cNvGraphicFramePr/>
                      <a:graphic xmlns:a="http://schemas.openxmlformats.org/drawingml/2006/main">
                        <a:graphicData uri="http://schemas.openxmlformats.org/drawingml/2006/picture">
                          <pic:pic xmlns:pic="http://schemas.openxmlformats.org/drawingml/2006/picture">
                            <pic:nvPicPr>
                              <pic:cNvPr id="143" name="ID_6009FA7B0A0749FABBA9D002A4BBBF80"/>
                              <pic:cNvPicPr/>
                              <pic:nvPr/>
                            </pic:nvPicPr>
                            <pic:blipFill>
                              <a:blip r:embed="rId13"/>
                              <a:stretch/>
                            </pic:blipFill>
                            <pic:spPr bwMode="auto">
                              <a:xfrm>
                                <a:off x="0" y="0"/>
                                <a:ext cx="1776095" cy="11620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246.3pt;mso-position-horizontal:absolute;mso-position-vertical-relative:text;margin-top:29.8pt;mso-position-vertical:absolute;width:139.8pt;height:91.5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i w:val="0"/>
                <w:iCs w:val="0"/>
                <w:color w:val="000000"/>
                <w:sz w:val="20"/>
                <w:szCs w:val="20"/>
                <w:u w:val="none"/>
                <w:lang w:val="en-US" w:eastAsia="zh-CN" w:bidi="ar"/>
              </w:rPr>
              <w:t xml:space="preserve">3.结构：侧面一组柱子柜（780*400*290mm）分上下结构，上部分高度1700mm,对开带实木门柜，下部分高度1200，对开带实木门柜；上1200mm带柜门封闭柜，中500mm无隔断柜体，下1200mm格子带柜门。下格子区域做成30个小储物柜，一共三排，每排10个，每扇橱门带把手。上1200mm带柜门封闭柜，分隔成8扇实木门，其中6扇门柜内设置挂衣杆可挂置衣物，内置可调层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4.工艺：封边：加厚 PVC 全自动封边，不开胶、不割手；柜体必须与墙面固定；所有格位大圆角 R≥30mm，层板倒圆五金配件；连接件：内六角镀锌螺丝、沉孔工艺，防锈防刮。铰链/滑轨：静音、慢回弹、防夹手、防拉脱装置。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5.颜色由甲方指定。</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eastAsia" w:ascii="宋体" w:hAnsi="宋体" w:cs="宋体"/>
                <w:szCs w:val="21"/>
              </w:rPr>
            </w:r>
            <w:r/>
          </w:p>
        </w:tc>
      </w:tr>
      <w:tr>
        <w:trPr>
          <w:jc w:val="center"/>
          <w:trHeight w:val="461"/>
        </w:trPr>
        <w:tc>
          <w:tcPr>
            <w:tcW w:w="688" w:type="dxa"/>
            <w:vAlign w:val="center"/>
            <w:textDirection w:val="lrTb"/>
            <w:noWrap w:val="false"/>
          </w:tcPr>
          <w:p>
            <w:pPr>
              <w:jc w:val="center"/>
              <w:rPr>
                <w:rFonts w:hint="eastAsia" w:ascii="宋体" w:hAnsi="宋体" w:cs="宋体"/>
                <w:szCs w:val="21"/>
              </w:rPr>
            </w:pPr>
            <w:r>
              <w:rPr>
                <w:rFonts w:hint="default" w:ascii="宋体" w:hAnsi="宋体" w:eastAsia="宋体" w:cs="宋体"/>
                <w:szCs w:val="21"/>
                <w:lang w:val="en-US" w:eastAsia="zh-CN" w:bidi="ar"/>
              </w:rPr>
              <w:t xml:space="preserve">3</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教室墙面整体柜</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1.规格：9300mm*2900mm*600mm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2.材质：实木多层板，甲醛释放量达到ENF级，侧板/层板厚度≥ 18mm，背板 ≥9mm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3.结构：定制，正面内嵌65寸一体机空间，和一台钢琴空间，内嵌造型为小屋造型，定制柜最左侧内置鞋架（可满足35双鞋），鞋架柜门为百叶窗形式。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4.工艺：封边：加厚 PVC 全自动封边，不开胶、不割手；柜体必须与墙面固定；所有格位大圆角 R≥30mm，层板倒圆五金配件；连接件：内六角镀锌螺丝、沉孔工艺，防锈防刮。铰链/滑轨：静音、慢回弹、防夹手、防拉脱装置。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5.颜色由甲方指定</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635</wp:posOffset>
                      </wp:positionH>
                      <wp:positionV relativeFrom="paragraph">
                        <wp:posOffset>532130</wp:posOffset>
                      </wp:positionV>
                      <wp:extent cx="1870710" cy="645160"/>
                      <wp:effectExtent l="0" t="0" r="15240" b="2540"/>
                      <wp:wrapNone/>
                      <wp:docPr id="3" name="ID_28336234CD964F3689B81394B4265F82"/>
                      <wp:cNvGraphicFramePr/>
                      <a:graphic xmlns:a="http://schemas.openxmlformats.org/drawingml/2006/main">
                        <a:graphicData uri="http://schemas.openxmlformats.org/drawingml/2006/picture">
                          <pic:pic xmlns:pic="http://schemas.openxmlformats.org/drawingml/2006/picture">
                            <pic:nvPicPr>
                              <pic:cNvPr id="144" name="ID_28336234CD964F3689B81394B4265F82"/>
                              <pic:cNvPicPr/>
                              <pic:nvPr/>
                            </pic:nvPicPr>
                            <pic:blipFill>
                              <a:blip r:embed="rId14"/>
                              <a:stretch/>
                            </pic:blipFill>
                            <pic:spPr bwMode="auto">
                              <a:xfrm>
                                <a:off x="0" y="0"/>
                                <a:ext cx="1870710" cy="64515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1312;o:allowoverlap:true;o:allowincell:true;mso-position-horizontal-relative:text;margin-left:0.0pt;mso-position-horizontal:absolute;mso-position-vertical-relative:text;margin-top:41.9pt;mso-position-vertical:absolute;width:147.3pt;height:50.8pt;mso-wrap-distance-left:9.0pt;mso-wrap-distance-top:0.0pt;mso-wrap-distance-right:9.0pt;mso-wrap-distance-bottom:0.0pt;" stroked="f">
                      <v:path textboxrect="0,0,0,0"/>
                      <v:imagedata r:id="rId14"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szCs w:val="21"/>
              </w:rPr>
            </w:pPr>
            <w:r>
              <w:rPr>
                <w:rFonts w:hint="default" w:ascii="宋体" w:hAnsi="宋体" w:eastAsia="宋体" w:cs="宋体"/>
                <w:szCs w:val="21"/>
                <w:lang w:val="en-US" w:eastAsia="zh-CN" w:bidi="ar"/>
              </w:rPr>
              <w:t xml:space="preserve">4</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三合一柜1</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1.规格：长1400mm*深400mm*高2300mm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2.材质：优质实木多层板(清水漆)，甲醛释放量达到ENF级，厚度≥18mm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3.结构：下高1200mm开放柜，中高600mm开放柜，上高500mm开放柜柜。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工艺：机器打孔，采用榫卯结构加木工专用胶配合连接件进行加固连接，结构合理美观、牢固耐用，重金属含量控制指标符合标准的要求；整体结构稳固，不易倾倒，在棱角及边缘安全防撞设计方面，全面采用倒圆或倒角设计，对所有的外露面、棱角、边缘部位进行倒圆或倒角处理，且倒圆半径不小于10mm或倒圆弧长不小于15mm,没有危险锐利边缘、尖端及尖锐突出螺丝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5.颜色由甲方指定</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466725</wp:posOffset>
                      </wp:positionH>
                      <wp:positionV relativeFrom="paragraph">
                        <wp:posOffset>385445</wp:posOffset>
                      </wp:positionV>
                      <wp:extent cx="960755" cy="1283970"/>
                      <wp:effectExtent l="0" t="0" r="10795" b="11430"/>
                      <wp:wrapNone/>
                      <wp:docPr id="4" name="ID_25F05F9E2F174141AEB4A6923B732FC9"/>
                      <wp:cNvGraphicFramePr/>
                      <a:graphic xmlns:a="http://schemas.openxmlformats.org/drawingml/2006/main">
                        <a:graphicData uri="http://schemas.openxmlformats.org/drawingml/2006/picture">
                          <pic:pic xmlns:pic="http://schemas.openxmlformats.org/drawingml/2006/picture">
                            <pic:nvPicPr>
                              <pic:cNvPr id="145" name="ID_25F05F9E2F174141AEB4A6923B732FC9"/>
                              <pic:cNvPicPr/>
                              <pic:nvPr/>
                            </pic:nvPicPr>
                            <pic:blipFill>
                              <a:blip r:embed="rId15"/>
                              <a:stretch/>
                            </pic:blipFill>
                            <pic:spPr bwMode="auto">
                              <a:xfrm>
                                <a:off x="0" y="0"/>
                                <a:ext cx="960755" cy="12839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2336;o:allowoverlap:true;o:allowincell:true;mso-position-horizontal-relative:text;margin-left:36.8pt;mso-position-horizontal:absolute;mso-position-vertical-relative:text;margin-top:30.3pt;mso-position-vertical:absolute;width:75.6pt;height:101.1pt;mso-wrap-distance-left:9.0pt;mso-wrap-distance-top:0.0pt;mso-wrap-distance-right:9.0pt;mso-wrap-distance-bottom:0.0pt;" stroked="f">
                      <v:path textboxrect="0,0,0,0"/>
                      <v:imagedata r:id="rId15"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5</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三合一柜2</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1.规格：长1700mm*深400mm*高2300mm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2.材质：优质橡胶木实木板(清水漆)，甲醛释放量达到E0级，厚度≥18mm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3.结构：下高1200mm开放柜，中高600mm开放柜，上高500mm开放柜柜。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工艺：机器打孔，采用榫卯结构加木工专用胶配合连接件进行加固连接，结构合理美观、牢固耐用，重金属含量控制指标符合标准的要求；整体结构稳固，不易倾倒，在棱角及边缘安全防撞设计方面，全面采用倒圆或倒角设计，对所有的外露面、棱角、边缘部位进行倒圆或倒角处理，且倒圆半径不小于10mm或倒圆弧长不小于15mm,没有危险锐利边缘、尖端及尖锐突出螺丝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5.颜色由甲方指定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▲投标人或生产商提供提供按GB/T 16734-1997、GB/T 29894-2013标准鉴定木种且鉴定结果为橡胶木的带CMA标识检测报告复印件并加盖公章。</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439420</wp:posOffset>
                      </wp:positionH>
                      <wp:positionV relativeFrom="paragraph">
                        <wp:posOffset>509270</wp:posOffset>
                      </wp:positionV>
                      <wp:extent cx="1207135" cy="1197610"/>
                      <wp:effectExtent l="0" t="0" r="12065" b="2540"/>
                      <wp:wrapNone/>
                      <wp:docPr id="5" name="ID_38F80C6A227344D4906EC00E9D50A3B7"/>
                      <wp:cNvGraphicFramePr/>
                      <a:graphic xmlns:a="http://schemas.openxmlformats.org/drawingml/2006/main">
                        <a:graphicData uri="http://schemas.openxmlformats.org/drawingml/2006/picture">
                          <pic:pic xmlns:pic="http://schemas.openxmlformats.org/drawingml/2006/picture">
                            <pic:nvPicPr>
                              <pic:cNvPr id="146" name="ID_38F80C6A227344D4906EC00E9D50A3B7"/>
                              <pic:cNvPicPr/>
                              <pic:nvPr/>
                            </pic:nvPicPr>
                            <pic:blipFill>
                              <a:blip r:embed="rId16"/>
                              <a:stretch/>
                            </pic:blipFill>
                            <pic:spPr bwMode="auto">
                              <a:xfrm>
                                <a:off x="0" y="0"/>
                                <a:ext cx="1207135" cy="1197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3360;o:allowoverlap:true;o:allowincell:true;mso-position-horizontal-relative:text;margin-left:34.6pt;mso-position-horizontal:absolute;mso-position-vertical-relative:text;margin-top:40.1pt;mso-position-vertical:absolute;width:95.0pt;height:94.3pt;mso-wrap-distance-left:9.0pt;mso-wrap-distance-top:0.0pt;mso-wrap-distance-right:9.0pt;mso-wrap-distance-bottom:0.0pt;" stroked="f">
                      <v:path textboxrect="0,0,0,0"/>
                      <v:imagedata r:id="rId16"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6</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资料柜1</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1.规格：长2600*高2000*深400mm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2.材质：实木颗粒板，甲醛释放量达到E0级；厚度≥18mm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结构：上1200mm带柜门封闭柜，下800mm带柜门封闭柜。上下都有6扇柜门，上部由6扇柜门组成，4扇实木门，2扇钢化玻璃门，实木门柜内设置挂衣杆可挂置衣物，内置可调层板。下部全为实门板储物区，内置可调层板，配液压铰链、拉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4.工艺：采用2mm厚优质同色封边条。优质连接件，优质清水聚脂木器漆，三底两面工艺。整体结构稳固，不易倾倒，在棱角及边缘安全防撞设计方面，全面采用倒圆或倒角设计，每扇橱门带把手。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5.颜色由甲方指定。</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76200</wp:posOffset>
                      </wp:positionH>
                      <wp:positionV relativeFrom="paragraph">
                        <wp:posOffset>420370</wp:posOffset>
                      </wp:positionV>
                      <wp:extent cx="1817370" cy="1351915"/>
                      <wp:effectExtent l="0" t="0" r="11430" b="635"/>
                      <wp:wrapNone/>
                      <wp:docPr id="6" name="图片_16"/>
                      <wp:cNvGraphicFramePr/>
                      <a:graphic xmlns:a="http://schemas.openxmlformats.org/drawingml/2006/main">
                        <a:graphicData uri="http://schemas.openxmlformats.org/drawingml/2006/picture">
                          <pic:pic xmlns:pic="http://schemas.openxmlformats.org/drawingml/2006/picture">
                            <pic:nvPicPr>
                              <pic:cNvPr id="147" name="图片_16"/>
                              <pic:cNvPicPr/>
                              <pic:nvPr/>
                            </pic:nvPicPr>
                            <pic:blipFill>
                              <a:blip r:embed="rId17"/>
                              <a:stretch/>
                            </pic:blipFill>
                            <pic:spPr bwMode="auto">
                              <a:xfrm>
                                <a:off x="0" y="0"/>
                                <a:ext cx="1817370" cy="13519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4384;o:allowoverlap:true;o:allowincell:true;mso-position-horizontal-relative:text;margin-left:6.0pt;mso-position-horizontal:absolute;mso-position-vertical-relative:text;margin-top:33.1pt;mso-position-vertical:absolute;width:143.1pt;height:106.4pt;mso-wrap-distance-left:9.0pt;mso-wrap-distance-top:0.0pt;mso-wrap-distance-right:9.0pt;mso-wrap-distance-bottom:0.0pt;" stroked="f">
                      <v:path textboxrect="0,0,0,0"/>
                      <v:imagedata r:id="rId17"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7</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资料柜2</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1.规格：长2600*高2000*深400mm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2.材质：实木颗粒板，甲醛释放量达到E0级；厚度≥18mm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结构：上1200mm带柜门封闭柜，下800mm带柜门封闭柜。上下都有6扇柜门，上部由6扇柜门组成，3扇实木门，3扇钢化玻璃门，实木门柜内设置挂衣杆可挂置衣物，内置可调层板。下部全为实门板储物区，内置可调层板，配液压铰链、拉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4.工艺：采用2mm厚优质同色封边条。优质连接件，优质清水聚脂木器漆，三底两面工艺。整体结构稳固，不易倾倒，在棱角及边缘安全防撞设计方面，全面采用倒圆或倒角设计，每扇橱门带把手。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5.颜色由甲方指定。</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82550</wp:posOffset>
                      </wp:positionH>
                      <wp:positionV relativeFrom="paragraph">
                        <wp:posOffset>405130</wp:posOffset>
                      </wp:positionV>
                      <wp:extent cx="1760855" cy="1258570"/>
                      <wp:effectExtent l="0" t="0" r="10795" b="17780"/>
                      <wp:wrapNone/>
                      <wp:docPr id="7" name="ID_2A239AB0E4D549099E014F1CA83F9B00"/>
                      <wp:cNvGraphicFramePr/>
                      <a:graphic xmlns:a="http://schemas.openxmlformats.org/drawingml/2006/main">
                        <a:graphicData uri="http://schemas.openxmlformats.org/drawingml/2006/picture">
                          <pic:pic xmlns:pic="http://schemas.openxmlformats.org/drawingml/2006/picture">
                            <pic:nvPicPr>
                              <pic:cNvPr id="148" name="ID_2A239AB0E4D549099E014F1CA83F9B00"/>
                              <pic:cNvPicPr/>
                              <pic:nvPr/>
                            </pic:nvPicPr>
                            <pic:blipFill>
                              <a:blip r:embed="rId18"/>
                              <a:stretch/>
                            </pic:blipFill>
                            <pic:spPr bwMode="auto">
                              <a:xfrm>
                                <a:off x="0" y="0"/>
                                <a:ext cx="1760854" cy="12585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5408;o:allowoverlap:true;o:allowincell:true;mso-position-horizontal-relative:text;margin-left:6.5pt;mso-position-horizontal:absolute;mso-position-vertical-relative:text;margin-top:31.9pt;mso-position-vertical:absolute;width:138.7pt;height:99.1pt;mso-wrap-distance-left:9.0pt;mso-wrap-distance-top:0.0pt;mso-wrap-distance-right:9.0pt;mso-wrap-distance-bottom:0.0pt;" stroked="f">
                      <v:path textboxrect="0,0,0,0"/>
                      <v:imagedata r:id="rId18"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8</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会议室储物柜</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1.规格：长5290*高2500*深400mm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2.材质：实木颗粒板，甲醛释放量达到E0级；厚度≥18mm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结构：柜体分为上中下三部分，上部分做开放格，兼具展示和置物功能，中间预留500mm高度用于放置茶水用品和部分图书功能,下半部分预留800mm为开实门柜，内含可活动隔板。整体左侧预留消毒柜内嵌空间，内嵌空间≥1602*782*400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4.工艺：采用2mm厚优质同色封边条。优质连接件，优质清水聚脂木器漆，三底两面工艺。整体结构稳固，不易倾倒，在棱角及边缘安全防撞设计方面，全面采用倒圆或倒角设计，每扇橱门带把手。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5.颜色由甲方指定。</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3175</wp:posOffset>
                      </wp:positionH>
                      <wp:positionV relativeFrom="paragraph">
                        <wp:posOffset>649605</wp:posOffset>
                      </wp:positionV>
                      <wp:extent cx="1826260" cy="1103630"/>
                      <wp:effectExtent l="0" t="0" r="2540" b="1270"/>
                      <wp:wrapNone/>
                      <wp:docPr id="8" name="ID_32AF184712D74D08AF87B1A793A8E466"/>
                      <wp:cNvGraphicFramePr/>
                      <a:graphic xmlns:a="http://schemas.openxmlformats.org/drawingml/2006/main">
                        <a:graphicData uri="http://schemas.openxmlformats.org/drawingml/2006/picture">
                          <pic:pic xmlns:pic="http://schemas.openxmlformats.org/drawingml/2006/picture">
                            <pic:nvPicPr>
                              <pic:cNvPr id="149" name="ID_32AF184712D74D08AF87B1A793A8E466"/>
                              <pic:cNvPicPr/>
                              <pic:nvPr/>
                            </pic:nvPicPr>
                            <pic:blipFill>
                              <a:blip r:embed="rId19"/>
                              <a:stretch/>
                            </pic:blipFill>
                            <pic:spPr bwMode="auto">
                              <a:xfrm>
                                <a:off x="0" y="0"/>
                                <a:ext cx="1826260" cy="11036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6432;o:allowoverlap:true;o:allowincell:true;mso-position-horizontal-relative:text;margin-left:0.2pt;mso-position-horizontal:absolute;mso-position-vertical-relative:text;margin-top:51.1pt;mso-position-vertical:absolute;width:143.8pt;height:86.9pt;mso-wrap-distance-left:9.0pt;mso-wrap-distance-top:0.0pt;mso-wrap-distance-right:9.0pt;mso-wrap-distance-bottom:0.0pt;" stroked="f">
                      <v:path textboxrect="0,0,0,0"/>
                      <v:imagedata r:id="rId19"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9</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茶水柜</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1.规格：800*400*800mm,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2.材质：实木颗粒板，甲醛释放量达到E0级；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3.结构：柜体分为两列，左边做木框钢化玻璃平开门(玻璃具有3C认证),DTC阻尼铰链，右边做三个抽屉件。柜体底部做橡胶木材质，圆柱形底脚(高8公分，顶部直径6公分，底部直径4公分)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4.工艺：材质厚度≥18mm，加厚 PVC 全自动封边，不开胶、不割手；优质金属偏心连接件、预埋螺母、螺丝等。金属层板托（可调节高度）。</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5.颜色由甲方指定。</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379730</wp:posOffset>
                      </wp:positionH>
                      <wp:positionV relativeFrom="paragraph">
                        <wp:posOffset>259715</wp:posOffset>
                      </wp:positionV>
                      <wp:extent cx="1028700" cy="1174115"/>
                      <wp:effectExtent l="0" t="0" r="0" b="6985"/>
                      <wp:wrapNone/>
                      <wp:docPr id="9" name="ID_18A5C56D7B814B93A3980675E9162C28"/>
                      <wp:cNvGraphicFramePr/>
                      <a:graphic xmlns:a="http://schemas.openxmlformats.org/drawingml/2006/main">
                        <a:graphicData uri="http://schemas.openxmlformats.org/drawingml/2006/picture">
                          <pic:pic xmlns:pic="http://schemas.openxmlformats.org/drawingml/2006/picture">
                            <pic:nvPicPr>
                              <pic:cNvPr id="150" name="ID_18A5C56D7B814B93A3980675E9162C28"/>
                              <pic:cNvPicPr/>
                              <pic:nvPr/>
                            </pic:nvPicPr>
                            <pic:blipFill>
                              <a:blip r:embed="rId20"/>
                              <a:stretch/>
                            </pic:blipFill>
                            <pic:spPr bwMode="auto">
                              <a:xfrm>
                                <a:off x="0" y="0"/>
                                <a:ext cx="1028700" cy="11741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7456;o:allowoverlap:true;o:allowincell:true;mso-position-horizontal-relative:text;margin-left:29.9pt;mso-position-horizontal:absolute;mso-position-vertical-relative:text;margin-top:20.4pt;mso-position-vertical:absolute;width:81.0pt;height:92.4pt;mso-wrap-distance-left:9.0pt;mso-wrap-distance-top:0.0pt;mso-wrap-distance-right:9.0pt;mso-wrap-distance-bottom:0.0pt;" stroked="f">
                      <v:path textboxrect="0,0,0,0"/>
                      <v:imagedata r:id="rId20"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10</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教师之家水吧柜</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1.规格：1840*600*800mm,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2.基材：采用实木颗粒板，甲醛释放量达到E0级；台面厚度25mm，其他部分18mm，长期使用不变形；台面加装人造石台面。                                                    </w:t>
            </w:r>
            <w:r>
              <w:rPr>
                <w:rFonts w:hint="eastAsia" w:ascii="宋体" w:hAnsi="宋体" w:eastAsia="宋体" w:cs="宋体"/>
                <w:i w:val="0"/>
                <w:iCs w:val="0"/>
                <w:color w:val="000000"/>
                <w:sz w:val="20"/>
                <w:szCs w:val="20"/>
                <w:u w:val="none"/>
                <w:lang w:val="en-US" w:eastAsia="zh-CN" w:bidi="ar"/>
              </w:rPr>
              <w:t xml:space="preserve">                                                                                       3.饰面：采用三聚氰胺浸渍纸饰面，耐磨、防火、不褪色；                                                                                                        4.封边条：采用优质2.0mmPVC同色封边条封边；            </w:t>
            </w:r>
            <w:r>
              <w:rPr>
                <w:rFonts w:hint="eastAsia" w:ascii="宋体" w:hAnsi="宋体" w:eastAsia="宋体" w:cs="宋体"/>
                <w:i w:val="0"/>
                <w:iCs w:val="0"/>
                <w:color w:val="000000"/>
                <w:sz w:val="20"/>
                <w:szCs w:val="20"/>
                <w:u w:val="none"/>
                <w:lang w:val="en-US" w:eastAsia="zh-CN" w:bidi="ar"/>
              </w:rPr>
              <w:t xml:space="preserve">                                                                                                                                                        5.五金配件：采用优质品牌三节导轨、阻尼铰链、锁具，轨道在负重条件下，可连续滑动5万次不损坏，承重重量可达45公斤。铰链，能开合8-12万次无故障，无声响，使用寿命长。拉手款式新颖，手感好，耐用，使用寿命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6.石英石工艺：≥15mm 厚，前口下挂 45mm；高强高光，耐渗透耐腐蚀，阻燃性高。物理性能：厚度误差 ±0.5mm，密度≥2.3g/cm³，莫氏硬度≥6 级，吸水率≤0.03%，耐高温≥150℃，抗压强度≥200MPa，抗弯强度≥30MPa。</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7.石英石外观：颜色可选（如白、浅灰），色泽均匀，表面平整光滑（无气泡、划痕等），光泽度≥60 度，纹理清晰。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8.柜体颜色甲方可以指定颜色。</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76835</wp:posOffset>
                      </wp:positionH>
                      <wp:positionV relativeFrom="paragraph">
                        <wp:posOffset>1012825</wp:posOffset>
                      </wp:positionV>
                      <wp:extent cx="1762125" cy="1009015"/>
                      <wp:effectExtent l="0" t="0" r="9525" b="635"/>
                      <wp:wrapNone/>
                      <wp:docPr id="10" name="ID_923CE5945A0E444FB89CCB29ECA22064"/>
                      <wp:cNvGraphicFramePr/>
                      <a:graphic xmlns:a="http://schemas.openxmlformats.org/drawingml/2006/main">
                        <a:graphicData uri="http://schemas.openxmlformats.org/drawingml/2006/picture">
                          <pic:pic xmlns:pic="http://schemas.openxmlformats.org/drawingml/2006/picture">
                            <pic:nvPicPr>
                              <pic:cNvPr id="151" name="ID_923CE5945A0E444FB89CCB29ECA22064"/>
                              <pic:cNvPicPr/>
                              <pic:nvPr/>
                            </pic:nvPicPr>
                            <pic:blipFill>
                              <a:blip r:embed="rId21"/>
                              <a:stretch/>
                            </pic:blipFill>
                            <pic:spPr bwMode="auto">
                              <a:xfrm>
                                <a:off x="0" y="0"/>
                                <a:ext cx="1762125" cy="10090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8480;o:allowoverlap:true;o:allowincell:true;mso-position-horizontal-relative:text;margin-left:6.0pt;mso-position-horizontal:absolute;mso-position-vertical-relative:text;margin-top:79.8pt;mso-position-vertical:absolute;width:138.8pt;height:79.5pt;mso-wrap-distance-left:9.0pt;mso-wrap-distance-top:0.0pt;mso-wrap-distance-right:9.0pt;mso-wrap-distance-bottom:0.0pt;" stroked="f">
                      <v:path textboxrect="0,0,0,0"/>
                      <v:imagedata r:id="rId21"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11</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党建书架</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1.规格：高2000mm*长1800mm*宽350mm；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2.造型与结构：采用双叶片对称造型，整体呈叶片形态，分为左右两部分组合；左右各 5 层开放式置物格，格位尺寸均匀，满足书籍、摆件放置需求；整体结构稳定；安装后无晃动、倾斜现象，靠墙安装时贴合墙面。主体颜色：大红色，底座为纯白色，无明显色差、流挂、气泡；表面涂层：采用环保静电喷塑工艺，涂层厚度≥60μm，耐磨耐刮擦，不易褪色。</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381635</wp:posOffset>
                      </wp:positionH>
                      <wp:positionV relativeFrom="paragraph">
                        <wp:posOffset>34925</wp:posOffset>
                      </wp:positionV>
                      <wp:extent cx="1134110" cy="1248410"/>
                      <wp:effectExtent l="0" t="0" r="8890" b="8890"/>
                      <wp:wrapNone/>
                      <wp:docPr id="11" name="图片_62"/>
                      <wp:cNvGraphicFramePr/>
                      <a:graphic xmlns:a="http://schemas.openxmlformats.org/drawingml/2006/main">
                        <a:graphicData uri="http://schemas.openxmlformats.org/drawingml/2006/picture">
                          <pic:pic xmlns:pic="http://schemas.openxmlformats.org/drawingml/2006/picture">
                            <pic:nvPicPr>
                              <pic:cNvPr id="152" name="图片_62"/>
                              <pic:cNvPicPr/>
                              <pic:nvPr/>
                            </pic:nvPicPr>
                            <pic:blipFill>
                              <a:blip r:embed="rId22"/>
                              <a:stretch/>
                            </pic:blipFill>
                            <pic:spPr bwMode="auto">
                              <a:xfrm>
                                <a:off x="0" y="0"/>
                                <a:ext cx="1134110" cy="124840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9504;o:allowoverlap:true;o:allowincell:true;mso-position-horizontal-relative:text;margin-left:30.0pt;mso-position-horizontal:absolute;mso-position-vertical-relative:text;margin-top:2.8pt;mso-position-vertical:absolute;width:89.3pt;height:98.3pt;mso-wrap-distance-left:9.0pt;mso-wrap-distance-top:0.0pt;mso-wrap-distance-right:9.0pt;mso-wrap-distance-bottom:0.0pt;" stroked="f">
                      <v:path textboxrect="0,0,0,0"/>
                      <v:imagedata r:id="rId22"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12</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四人阅读沙发组合</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1.规格：单人休闲椅（宽60*深73*高77cm） ×2 + 双人休闲沙发（长108cm×宽73cm×高77cm）×1 + 实木茶几（长20cm×宽60cm×高60cm）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 主体框架（桌椅通用）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材质：采用优质实木框架，含水率≤12%，烘干处理，不易开裂变形，承重性强。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工艺：榫卯 + 螺丝双重加固结构，整体稳固无晃动；所有边角、扶手、腿架均采用圆角打磨处理，无尖锐棱角，无毛刺划伤风险。</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承重：单人椅承重≥120kg / 座，双人沙发承重≥200kg / 套，桌面承重≥50kg，安全稳固。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 软包面料（沙发 / 椅子）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面料：高密度耐磨棉麻布艺，亲肤透气，可拆洗设计，易清洁打理；颜色为浅米色/浅卡其，简约百搭。</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内芯：坐垫采用高回弹海绵，密度≥35kg/m³，久坐不塌陷，回弹性能好；靠背搭配蓬松公仔棉抱枕，舒适支撑。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工艺：走线工整，无脱线、无跳线，软包饱满平整，无凹陷、无起皱。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 桌面/茶几参数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材质：实木桌面，厚度≥25mm，板面平整光滑，无结疤、无开裂，耐磨耐刮。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表面处理：环保水性木蜡油 / 清漆，无甲醛、无异味，防水防污，日常擦拭即可清洁。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桌腿结构：实木V型/梯形支架，落地平稳，防滑脚垫设计，保护地面不刮花，静音耐磨。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 环保与安全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所有木材、海绵、面料均零甲醛、无刺鼻异味，室内摆放安全健康。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无外露金属螺丝，所有固定件隐藏式处理，避免划伤、夹手风险，适配校园安全使用标准。</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44450</wp:posOffset>
                      </wp:positionH>
                      <wp:positionV relativeFrom="paragraph">
                        <wp:posOffset>1377315</wp:posOffset>
                      </wp:positionV>
                      <wp:extent cx="1705610" cy="1017270"/>
                      <wp:effectExtent l="0" t="0" r="8890" b="11430"/>
                      <wp:wrapNone/>
                      <wp:docPr id="12" name="ID_F9F487BFA1AF4D5181873DBD59F6B2FC"/>
                      <wp:cNvGraphicFramePr/>
                      <a:graphic xmlns:a="http://schemas.openxmlformats.org/drawingml/2006/main">
                        <a:graphicData uri="http://schemas.openxmlformats.org/drawingml/2006/picture">
                          <pic:pic xmlns:pic="http://schemas.openxmlformats.org/drawingml/2006/picture">
                            <pic:nvPicPr>
                              <pic:cNvPr id="153" name="ID_F9F487BFA1AF4D5181873DBD59F6B2FC"/>
                              <pic:cNvPicPr/>
                              <pic:nvPr/>
                            </pic:nvPicPr>
                            <pic:blipFill>
                              <a:blip r:embed="rId23"/>
                              <a:stretch/>
                            </pic:blipFill>
                            <pic:spPr bwMode="auto">
                              <a:xfrm>
                                <a:off x="0" y="0"/>
                                <a:ext cx="1705610" cy="10172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70528;o:allowoverlap:true;o:allowincell:true;mso-position-horizontal-relative:text;margin-left:3.5pt;mso-position-horizontal:absolute;mso-position-vertical-relative:text;margin-top:108.4pt;mso-position-vertical:absolute;width:134.3pt;height:80.1pt;mso-wrap-distance-left:9.0pt;mso-wrap-distance-top:0.0pt;mso-wrap-distance-right:9.0pt;mso-wrap-distance-bottom:0.0pt;" stroked="f">
                      <v:path textboxrect="0,0,0,0"/>
                      <v:imagedata r:id="rId23"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13</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双人阅读沙发组合</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组合配置：单人休闲椅×2把+圆形落地茶几 ×1 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 单人休闲椅（单把）</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规格尺寸：宽60*深73*高77cm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坐高：42cm；坐深：55cm；靠背高：50cm；扶手高：60cm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主体框架：采用实木框架，含水率≤12%，经高温烘干处理，不易开裂变形；榫卯+不锈钢螺丝双重加固，整体稳固不晃动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安全工艺：所有边角、扶手、椅腿均做R10mm以上圆角打磨，无尖锐棱角、无毛刺；所有固定件隐藏式处理，无外露金属</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软包配置：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面料：高密度耐磨棉麻布艺，亲肤透气，可全拆洗设计，易清洁打理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内芯：坐垫采用40D高回弹海绵，靠背采用35D海绵 + 公仔棉填充，久坐不塌陷，支撑性好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表面处理：环保水性木蜡油涂刷，无甲醛、无刺鼻异味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承重性能：单椅承重≥120kg，安全耐用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 圆形落地茶几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规格尺寸：桌面直径60cm × 总高60cm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桌面材质：25mm 厚实木整板，板面平整光滑，无明显结疤、无开裂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桌腿结构：一体式锥形实木底座，落地平稳，底部加装防滑静音脚垫，保护地面不刮花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表面处理：同椅子一致，环保水性木蜡油，防水防污，日常擦拭即可清洁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承重性能：桌面均匀承重≥50kg</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12065</wp:posOffset>
                      </wp:positionH>
                      <wp:positionV relativeFrom="paragraph">
                        <wp:posOffset>1835150</wp:posOffset>
                      </wp:positionV>
                      <wp:extent cx="1845310" cy="979170"/>
                      <wp:effectExtent l="0" t="0" r="2540" b="11430"/>
                      <wp:wrapNone/>
                      <wp:docPr id="13" name="图片_29"/>
                      <wp:cNvGraphicFramePr/>
                      <a:graphic xmlns:a="http://schemas.openxmlformats.org/drawingml/2006/main">
                        <a:graphicData uri="http://schemas.openxmlformats.org/drawingml/2006/picture">
                          <pic:pic xmlns:pic="http://schemas.openxmlformats.org/drawingml/2006/picture">
                            <pic:nvPicPr>
                              <pic:cNvPr id="154" name="图片_29"/>
                              <pic:cNvPicPr/>
                              <pic:nvPr/>
                            </pic:nvPicPr>
                            <pic:blipFill>
                              <a:blip r:embed="rId24"/>
                              <a:stretch/>
                            </pic:blipFill>
                            <pic:spPr bwMode="auto">
                              <a:xfrm>
                                <a:off x="0" y="0"/>
                                <a:ext cx="1845310" cy="9791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71552;o:allowoverlap:true;o:allowincell:true;mso-position-horizontal-relative:text;margin-left:0.9pt;mso-position-horizontal:absolute;mso-position-vertical-relative:text;margin-top:144.5pt;mso-position-vertical:absolute;width:145.3pt;height:77.1pt;mso-wrap-distance-left:9.0pt;mso-wrap-distance-top:0.0pt;mso-wrap-distance-right:9.0pt;mso-wrap-distance-bottom:0.0pt;" stroked="f">
                      <v:path textboxrect="0,0,0,0"/>
                      <v:imagedata r:id="rId24"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14</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服装乐器间柜1</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1.规格：长2940*高2400*深600mm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2.材质：实木多层板；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3.结构：柜体板材厚度16mm，背板厚度16mm，上下结构(上部分1500mm高度+下部分900mm高度)，含服装挂放区、乐器储物区、小件收纳区，内置挂衣杆及可调节层板，上下都带柜门；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4.门铰链：采用不锈钢液压缓冲铰链，具有开关静音、自动缓冲闭合等功能 。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5.拉手：采用铝合金隐形拉手，表面光滑平顺，无毛刺，耐腐蚀，耐酸，耐碱。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6.脚垫采用直径12mm、厚度5mm的透明软橡胶垫，用自攻螺丝与侧板固定。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7.颜色由甲方指定。</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245110</wp:posOffset>
                      </wp:positionH>
                      <wp:positionV relativeFrom="paragraph">
                        <wp:posOffset>1068705</wp:posOffset>
                      </wp:positionV>
                      <wp:extent cx="1330960" cy="1101090"/>
                      <wp:effectExtent l="0" t="0" r="2540" b="3810"/>
                      <wp:wrapNone/>
                      <wp:docPr id="14" name="图片_7"/>
                      <wp:cNvGraphicFramePr/>
                      <a:graphic xmlns:a="http://schemas.openxmlformats.org/drawingml/2006/main">
                        <a:graphicData uri="http://schemas.openxmlformats.org/drawingml/2006/picture">
                          <pic:pic xmlns:pic="http://schemas.openxmlformats.org/drawingml/2006/picture">
                            <pic:nvPicPr>
                              <pic:cNvPr id="156" name="图片_7"/>
                              <pic:cNvPicPr/>
                              <pic:nvPr/>
                            </pic:nvPicPr>
                            <pic:blipFill>
                              <a:blip r:embed="rId25"/>
                              <a:stretch/>
                            </pic:blipFill>
                            <pic:spPr bwMode="auto">
                              <a:xfrm>
                                <a:off x="0" y="0"/>
                                <a:ext cx="1330960" cy="11010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72576;o:allowoverlap:true;o:allowincell:true;mso-position-horizontal-relative:text;margin-left:19.3pt;mso-position-horizontal:absolute;mso-position-vertical-relative:text;margin-top:84.1pt;mso-position-vertical:absolute;width:104.8pt;height:86.7pt;mso-wrap-distance-left:9.0pt;mso-wrap-distance-top:0.0pt;mso-wrap-distance-right:9.0pt;mso-wrap-distance-bottom:0.0pt;" stroked="f">
                      <v:path textboxrect="0,0,0,0"/>
                      <v:imagedata r:id="rId25" o:title=""/>
                    </v:shape>
                  </w:pict>
                </mc:Fallback>
              </mc:AlternateContent>
            </w: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224155</wp:posOffset>
                      </wp:positionH>
                      <wp:positionV relativeFrom="paragraph">
                        <wp:posOffset>41275</wp:posOffset>
                      </wp:positionV>
                      <wp:extent cx="1358265" cy="1049020"/>
                      <wp:effectExtent l="0" t="0" r="13335" b="17780"/>
                      <wp:wrapNone/>
                      <wp:docPr id="15" name="图片_15"/>
                      <wp:cNvGraphicFramePr/>
                      <a:graphic xmlns:a="http://schemas.openxmlformats.org/drawingml/2006/main">
                        <a:graphicData uri="http://schemas.openxmlformats.org/drawingml/2006/picture">
                          <pic:pic xmlns:pic="http://schemas.openxmlformats.org/drawingml/2006/picture">
                            <pic:nvPicPr>
                              <pic:cNvPr id="155" name="图片_15"/>
                              <pic:cNvPicPr/>
                              <pic:nvPr/>
                            </pic:nvPicPr>
                            <pic:blipFill>
                              <a:blip r:embed="rId26"/>
                              <a:stretch/>
                            </pic:blipFill>
                            <pic:spPr bwMode="auto">
                              <a:xfrm>
                                <a:off x="0" y="0"/>
                                <a:ext cx="1358265" cy="10490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72576;o:allowoverlap:true;o:allowincell:true;mso-position-horizontal-relative:text;margin-left:17.6pt;mso-position-horizontal:absolute;mso-position-vertical-relative:text;margin-top:3.2pt;mso-position-vertical:absolute;width:106.9pt;height:82.6pt;mso-wrap-distance-left:9.0pt;mso-wrap-distance-top:0.0pt;mso-wrap-distance-right:9.0pt;mso-wrap-distance-bottom:0.0pt;" stroked="f">
                      <v:path textboxrect="0,0,0,0"/>
                      <v:imagedata r:id="rId26"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15</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服装乐器间柜2</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1.规格：长5900*高2400*深600mm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2.材质：实木多层板；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3.结构：由尺寸4700*2400*600mm上下柜门柜和1200*2400*600mm开放式柜组成；柜体板材厚度16mm，背板厚度16mm，上下结构(上部分1500mm高度</w:t>
            </w: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3149600</wp:posOffset>
                      </wp:positionH>
                      <wp:positionV relativeFrom="paragraph">
                        <wp:posOffset>118745</wp:posOffset>
                      </wp:positionV>
                      <wp:extent cx="1828165" cy="1186815"/>
                      <wp:effectExtent l="0" t="0" r="635" b="13335"/>
                      <wp:wrapNone/>
                      <wp:docPr id="16" name="ID_36663909D4034D7FBD21927F397666F2"/>
                      <wp:cNvGraphicFramePr/>
                      <a:graphic xmlns:a="http://schemas.openxmlformats.org/drawingml/2006/main">
                        <a:graphicData uri="http://schemas.openxmlformats.org/drawingml/2006/picture">
                          <pic:pic xmlns:pic="http://schemas.openxmlformats.org/drawingml/2006/picture">
                            <pic:nvPicPr>
                              <pic:cNvPr id="157" name="ID_36663909D4034D7FBD21927F397666F2"/>
                              <pic:cNvPicPr/>
                              <pic:nvPr/>
                            </pic:nvPicPr>
                            <pic:blipFill>
                              <a:blip r:embed="rId27"/>
                              <a:stretch/>
                            </pic:blipFill>
                            <pic:spPr bwMode="auto">
                              <a:xfrm>
                                <a:off x="0" y="0"/>
                                <a:ext cx="1828164" cy="11868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73600;o:allowoverlap:true;o:allowincell:true;mso-position-horizontal-relative:text;margin-left:248.0pt;mso-position-horizontal:absolute;mso-position-vertical-relative:text;margin-top:9.3pt;mso-position-vertical:absolute;width:143.9pt;height:93.4pt;mso-wrap-distance-left:9.0pt;mso-wrap-distance-top:0.0pt;mso-wrap-distance-right:9.0pt;mso-wrap-distance-bottom:0.0pt;" stroked="f">
                      <v:path textboxrect="0,0,0,0"/>
                      <v:imagedata r:id="rId27" o:title=""/>
                    </v:shape>
                  </w:pict>
                </mc:Fallback>
              </mc:AlternateContent>
            </w:r>
            <w:r>
              <w:rPr>
                <w:rFonts w:hint="eastAsia" w:ascii="宋体" w:hAnsi="宋体" w:eastAsia="宋体" w:cs="宋体"/>
                <w:i w:val="0"/>
                <w:iCs w:val="0"/>
                <w:color w:val="000000"/>
                <w:sz w:val="20"/>
                <w:szCs w:val="20"/>
                <w:u w:val="none"/>
                <w:lang w:val="en-US" w:eastAsia="zh-CN" w:bidi="ar"/>
              </w:rPr>
              <w:t xml:space="preserve">+下部分900mm高度)，含服装挂放区、乐器储物区、小件收纳区，内置挂衣杆及可调节层板；开放式柜内置层板用于展示作用。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4.门铰链：采用不锈钢液压缓冲铰链，具有开关静音、自动缓冲闭合等功能；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5.拉手：采用铝合金隐形拉手，表面光滑平顺，无毛刺，耐腐蚀，耐酸，耐碱。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6.脚垫采用直径12mm、厚度5mm的透明软橡胶垫，用自攻螺丝与侧板固定。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7.颜色由甲方指定。</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eastAsia" w:ascii="宋体" w:hAnsi="宋体" w:cs="宋体"/>
                <w:szCs w:val="21"/>
              </w:rPr>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16</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二楼楼梯角柜</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1.规格：1840*600*1015mm,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2.基材：采用实木颗粒板，甲醛释放量达到E0级。                                                    </w:t>
            </w:r>
            <w:r>
              <w:rPr>
                <w:rFonts w:hint="eastAsia" w:ascii="宋体" w:hAnsi="宋体" w:eastAsia="宋体" w:cs="宋体"/>
                <w:i w:val="0"/>
                <w:iCs w:val="0"/>
                <w:color w:val="000000"/>
                <w:sz w:val="20"/>
                <w:szCs w:val="20"/>
                <w:u w:val="none"/>
                <w:lang w:val="en-US" w:eastAsia="zh-CN" w:bidi="ar"/>
              </w:rPr>
              <w:t xml:space="preserve">                                                                                       3.饰面：采用三聚氰胺浸渍纸饰面，耐磨、防火、不褪色；                                                                                                        4.封边条：采用优质2.0mmPVC同色封边条封边；            </w:t>
            </w:r>
            <w:r>
              <w:rPr>
                <w:rFonts w:hint="eastAsia" w:ascii="宋体" w:hAnsi="宋体" w:eastAsia="宋体" w:cs="宋体"/>
                <w:i w:val="0"/>
                <w:iCs w:val="0"/>
                <w:color w:val="000000"/>
                <w:sz w:val="20"/>
                <w:szCs w:val="20"/>
                <w:u w:val="none"/>
                <w:lang w:val="en-US" w:eastAsia="zh-CN" w:bidi="ar"/>
              </w:rPr>
              <w:t xml:space="preserve">                                                                                                                                                        5.五金配件：采用优质品牌三节导轨、阻尼铰链、锁具，轨道在负重条件下，可连续滑动5万次不损坏，承重重量可达45公斤。铰链，能开合8-12万次无故障，无声响，使用寿命长。拉手款式新颖，手感好，耐用，使用寿命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6、柜体颜色甲方可以指定颜色。</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-3175</wp:posOffset>
                      </wp:positionH>
                      <wp:positionV relativeFrom="paragraph">
                        <wp:posOffset>290830</wp:posOffset>
                      </wp:positionV>
                      <wp:extent cx="1857375" cy="1140460"/>
                      <wp:effectExtent l="0" t="0" r="9525" b="2540"/>
                      <wp:wrapNone/>
                      <wp:docPr id="17" name="ID_8E293438B7C643B783519CE1D14CBD75"/>
                      <wp:cNvGraphicFramePr/>
                      <a:graphic xmlns:a="http://schemas.openxmlformats.org/drawingml/2006/main">
                        <a:graphicData uri="http://schemas.openxmlformats.org/drawingml/2006/picture">
                          <pic:pic xmlns:pic="http://schemas.openxmlformats.org/drawingml/2006/picture">
                            <pic:nvPicPr>
                              <pic:cNvPr id="158" name="ID_8E293438B7C643B783519CE1D14CBD75"/>
                              <pic:cNvPicPr/>
                              <pic:nvPr/>
                            </pic:nvPicPr>
                            <pic:blipFill>
                              <a:blip r:embed="rId28"/>
                              <a:stretch/>
                            </pic:blipFill>
                            <pic:spPr bwMode="auto">
                              <a:xfrm>
                                <a:off x="0" y="0"/>
                                <a:ext cx="1857375" cy="11404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74624;o:allowoverlap:true;o:allowincell:true;mso-position-horizontal-relative:text;margin-left:-0.2pt;mso-position-horizontal:absolute;mso-position-vertical-relative:text;margin-top:22.9pt;mso-position-vertical:absolute;width:146.2pt;height:89.8pt;mso-wrap-distance-left:9.0pt;mso-wrap-distance-top:0.0pt;mso-wrap-distance-right:9.0pt;mso-wrap-distance-bottom:0.0pt;" stroked="f">
                      <v:path textboxrect="0,0,0,0"/>
                      <v:imagedata r:id="rId28"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17</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书写墙面软板</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1.规格：面积约8平方；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2.结构：三层复合结构：表层为哑光 PET 书写膜，中间层为高导磁橡胶磁层，底层为可移除压敏胶层，整体厚度≥0.6mm。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3.书写性能：表面哑光不反光，保护视力；适配普通白板笔，干擦即净，不留残痕。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4.磁性性能：强磁性吸附，可牢固吸附磁钉、磁贴、磁性教具、照片等，单平方厘米吸附力≥40g，不易脱落。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5.环保安全：无甲醛、无异味、无有害重金属,适合儿童活动场所使用。</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120015</wp:posOffset>
                      </wp:positionH>
                      <wp:positionV relativeFrom="paragraph">
                        <wp:posOffset>248285</wp:posOffset>
                      </wp:positionV>
                      <wp:extent cx="1642745" cy="1180465"/>
                      <wp:effectExtent l="0" t="0" r="14604" b="635"/>
                      <wp:wrapNone/>
                      <wp:docPr id="18" name="图片_32"/>
                      <wp:cNvGraphicFramePr/>
                      <a:graphic xmlns:a="http://schemas.openxmlformats.org/drawingml/2006/main">
                        <a:graphicData uri="http://schemas.openxmlformats.org/drawingml/2006/picture">
                          <pic:pic xmlns:pic="http://schemas.openxmlformats.org/drawingml/2006/picture">
                            <pic:nvPicPr>
                              <pic:cNvPr id="159" name="图片_32"/>
                              <pic:cNvPicPr/>
                              <pic:nvPr/>
                            </pic:nvPicPr>
                            <pic:blipFill>
                              <a:blip r:embed="rId29"/>
                              <a:stretch/>
                            </pic:blipFill>
                            <pic:spPr bwMode="auto">
                              <a:xfrm>
                                <a:off x="0" y="0"/>
                                <a:ext cx="1642745" cy="1180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75648;o:allowoverlap:true;o:allowincell:true;mso-position-horizontal-relative:text;margin-left:9.4pt;mso-position-horizontal:absolute;mso-position-vertical-relative:text;margin-top:19.6pt;mso-position-vertical:absolute;width:129.3pt;height:92.9pt;mso-wrap-distance-left:9.0pt;mso-wrap-distance-top:0.0pt;mso-wrap-distance-right:9.0pt;mso-wrap-distance-bottom:0.0pt;" stroked="f">
                      <v:path textboxrect="0,0,0,0"/>
                      <v:imagedata r:id="rId29"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18</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阅读空间组合1</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组合配置：双人实木沙发 ×1 + 小房子造型书架 ×4 + 复古矮边柜 ×1 + 圆形编织茶几 ×2 ++ 圆形编织地毯 ×2 + 配套软装（抱枕 ×2 + 盖毯 ×1）</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单品规格尺寸及核心技术参数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 幼儿双人实木休闲沙发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规格尺寸：长120cm×深 60cm × 总高 60cm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主体框架：橡胶/松木实木框架，含水率≤12%，高温烘干脱脂处理，不易开裂变形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软包配置：高密度耐磨棉麻布艺（可全拆洗），坐垫采用 38D 高回弹海绵，靠背填充公仔棉，久坐不塌陷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安全工艺：所有边角做 R15mm 圆角打磨，无尖锐棱角、无外露金属螺丝，整体稳固不晃动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承重性能：整体承重≥100kg</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配套软装：同色系抱枕 2 个（45cm×45cm）、镂空针织盖毯 1 条（120cm×180cm）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 小房子造型实木书架（4 个一组）</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单组规格尺寸：宽 60cm × 深 30cm × 总高 150cm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层高：30cm（共 4 层，顶层尖顶可做装饰）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材质：E0 级多层实木板，环保水性木蜡油涂刷，无甲醛无异味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工艺：榫卯+螺丝双重加固，层板承重≥15kg / 层，可放置大量绘本</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安全细节：所有边角圆角打磨，背板加固，防倾倒设计（可固定在墙面）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组合方式：4 个并排摆放，可无缝拼接成整体阅读书架墙</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 复古风矮边柜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规格尺寸：长80cm ×深 35cm ×总高 80cm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材质：E0 级实木颗粒板+实木柜门，表面环保烤漆，颜色为复古墨绿色 + 原木色</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结构：上半部分双开门储物格，下半部分双抽屉，储物空间充足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安全工艺：柜门带阻尼缓冲，防夹手设计；边角圆角打磨，无尖锐棱角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承重性能：台面承重≥30kg，抽屉承重≥10kg / 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 圆形编织茶几（大 + 小 2 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大茶几：直径80cm × 高 30cm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小茶几：直径60cm × 高 25cm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材质：天然印尼藤条手工编织，实木内芯框架，稳固耐用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工艺：编织紧密平整，无毛刺、无断丝，表面环保清漆处理，防水防污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安全要求：边缘圆润，无尖锐部分，重量适中，不易倾倒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5.圆形编织地毯（2 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大地毯：直径 120cm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小地毯：直径 80cm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材质：天然黄麻/棉线编织，环保无异味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工艺：编织紧密，防滑底设计，不易滑动，可水洗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安全要求：无甲醛、无异味，边缘包边整齐，无脱线</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-5080</wp:posOffset>
                      </wp:positionH>
                      <wp:positionV relativeFrom="paragraph">
                        <wp:posOffset>727710</wp:posOffset>
                      </wp:positionV>
                      <wp:extent cx="1830070" cy="1377315"/>
                      <wp:effectExtent l="0" t="0" r="17780" b="13335"/>
                      <wp:wrapNone/>
                      <wp:docPr id="19" name="ID_5344A55A668E45CA88374D0D90D2411F"/>
                      <wp:cNvGraphicFramePr/>
                      <a:graphic xmlns:a="http://schemas.openxmlformats.org/drawingml/2006/main">
                        <a:graphicData uri="http://schemas.openxmlformats.org/drawingml/2006/picture">
                          <pic:pic xmlns:pic="http://schemas.openxmlformats.org/drawingml/2006/picture">
                            <pic:nvPicPr>
                              <pic:cNvPr id="160" name="ID_5344A55A668E45CA88374D0D90D2411F"/>
                              <pic:cNvPicPr/>
                              <pic:nvPr/>
                            </pic:nvPicPr>
                            <pic:blipFill>
                              <a:blip r:embed="rId30"/>
                              <a:stretch/>
                            </pic:blipFill>
                            <pic:spPr bwMode="auto">
                              <a:xfrm>
                                <a:off x="0" y="0"/>
                                <a:ext cx="1830070" cy="13773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76672;o:allowoverlap:true;o:allowincell:true;mso-position-horizontal-relative:text;margin-left:-0.4pt;mso-position-horizontal:absolute;mso-position-vertical-relative:text;margin-top:57.3pt;mso-position-vertical:absolute;width:144.1pt;height:108.4pt;mso-wrap-distance-left:9.0pt;mso-wrap-distance-top:0.0pt;mso-wrap-distance-right:9.0pt;mso-wrap-distance-bottom:0.0pt;" stroked="f">
                      <v:path textboxrect="0,0,0,0"/>
                      <v:imagedata r:id="rId30"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19</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阅读空间组合2</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组合配置：儿童实木单人椅 ×2 + 三层转角实木书架 ×1 + 白色铁艺多层书架 ×1 + 高低圆柱展示台 ×2 + 木质桌面小画架 ×2 + 藤编收纳筐 ×1 + 装饰鸟笼 ×1 + 主题装饰立牌 ×3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单品规格尺寸及核心技术参数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 儿童实木单人休闲椅（2 把，浅灰 /米白各 1 把）</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规格尺寸：宽55cm × 深 50cm × 总高 70cm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坐高：30cm ；坐深：40cm；靠背高：45cm；扶手高：48cm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主体框架：进口松木 / 橡胶木实木框架，含水率≤12%，高温烘干脱脂处理，不易开裂变形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软包配置：高密度耐磨棉麻布艺（可全拆洗），坐垫采用 35D 高回弹海绵，靠背填充公仔棉，贴合儿童身形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安全工艺：所有边角做 R12mm 圆角打磨，无尖锐棱角、无外露金属螺丝；椅腿加粗加固，防倾倒设计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承重性能：单椅承重≥80kg</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 三层转角实木书架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规格尺寸：边长 60cm × 深 30cm × 总高 90cm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层高：30cm（共 3 层，适合幼儿自主取书）</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材质：E0 级多层实木板，表面涂刷环保水性木蜡油，无甲醛、无异味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工艺：榫卯 + 不锈钢螺丝双重加固，层板承重≥12kg / 层；背板加厚，整体稳固不晃动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安全细节：所有边角圆角打磨，无毛刺；可加装墙面防倾倒固定装置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储物容量：可放置绘本约 150 本</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 白色铁艺多层书架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规格尺寸：宽60cm × 深30cm × 总高120cm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层高：30cm（共 4 层，顶层可做展示）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材质：加厚碳钢材质，壁厚≥0.8mm，表面静电喷塑处理，白色哑光，防锈防刮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工艺：焊接牢固，焊点打磨光滑；层板为实木颗粒板，E0 级环保标准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安全细节：所有边角圆角处理，无尖锐部分；底部加装防滑脚垫，保护地面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承重性能：单层承重≥10kg</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 高低白色圆柱展示台（2 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高展示台：直径30cm × 高 80cm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矮展示台：直径30cm × 高 60cm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材质：E0 级实木颗粒板，表面白色哑光烤漆，防水防污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工艺：一体成型，表面光滑无接缝；底部加重处理，防倾倒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功能：用于展示绘本封面、手工作品、装饰摆件等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 木质桌面小画架（2 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规格尺寸：展开高 40cm × 宽 25cm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材质：进口松木实木，环保水性漆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功能：可放置 A3/A4 尺寸绘本封面、活动通知、手绘作品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工艺：可折叠收纳，结构稳固，边角打磨光滑无毛刺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 天然藤编收纳筐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规格尺寸：长 50cm × 宽35cm ×高30cm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材质：天然印尼藤条手工编织，实木包边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工艺：编织紧密平整，无断丝、无毛刺；底部加装防滑垫</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功能：用于收纳绘本、玩具、教具等，可水洗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 白色装饰鸟笼</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规格尺寸：直径 20cm × 高 30cm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材质：铁艺材质，表面白色烤漆，防锈处理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工艺：焊接牢固，边角圆润，无尖锐部分；可开合设计，方便放置装饰物品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 定制主题装饰立牌（3 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规格尺寸：高 80cm×宽 60cm（可根据设计调整）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材质：5mm 厚KT板，表面高清喷绘，覆防水膜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工艺：边缘打磨光滑，背面加装支架，可独立站立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要求：图案可根据幼儿园主题定制，色彩鲜艳，无异味</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89535</wp:posOffset>
                      </wp:positionH>
                      <wp:positionV relativeFrom="paragraph">
                        <wp:posOffset>1588135</wp:posOffset>
                      </wp:positionV>
                      <wp:extent cx="1727200" cy="1306830"/>
                      <wp:effectExtent l="0" t="0" r="6350" b="7620"/>
                      <wp:wrapNone/>
                      <wp:docPr id="20" name="ID_1F3AA0093E034589ABCDFB3703545476"/>
                      <wp:cNvGraphicFramePr/>
                      <a:graphic xmlns:a="http://schemas.openxmlformats.org/drawingml/2006/main">
                        <a:graphicData uri="http://schemas.openxmlformats.org/drawingml/2006/picture">
                          <pic:pic xmlns:pic="http://schemas.openxmlformats.org/drawingml/2006/picture">
                            <pic:nvPicPr>
                              <pic:cNvPr id="161" name="ID_1F3AA0093E034589ABCDFB3703545476"/>
                              <pic:cNvPicPr/>
                              <pic:nvPr/>
                            </pic:nvPicPr>
                            <pic:blipFill>
                              <a:blip r:embed="rId31"/>
                              <a:stretch/>
                            </pic:blipFill>
                            <pic:spPr bwMode="auto">
                              <a:xfrm>
                                <a:off x="0" y="0"/>
                                <a:ext cx="1727199" cy="13068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77696;o:allowoverlap:true;o:allowincell:true;mso-position-horizontal-relative:text;margin-left:7.0pt;mso-position-horizontal:absolute;mso-position-vertical-relative:text;margin-top:125.0pt;mso-position-vertical:absolute;width:136.0pt;height:102.9pt;mso-wrap-distance-left:9.0pt;mso-wrap-distance-top:0.0pt;mso-wrap-distance-right:9.0pt;mso-wrap-distance-bottom:0.0pt;" stroked="f">
                      <v:path textboxrect="0,0,0,0"/>
                      <v:imagedata r:id="rId31"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20</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区角柜组合</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1.规格尺寸：矮柜 600mm × 300mm × 575mm；房屋造型三层书架 ：800mm × 300mm × 1250mm；转角弧形收纳柜： 600mm（对角线）× 300mm（边长）× 575mm；房屋造型三层立柜 400mm × 300mm × 900mm ；以上数量都各一个。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2.材质与工艺：主体采用AA 级实木板材，厚度≥15mm，无节疤、无开裂，含水率≤12%，不易变形；环保水性木蜡油涂装，无甲醛、无刺鼻异味。结构采用</w:t>
            </w: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3133090</wp:posOffset>
                      </wp:positionH>
                      <wp:positionV relativeFrom="paragraph">
                        <wp:posOffset>948690</wp:posOffset>
                      </wp:positionV>
                      <wp:extent cx="1865630" cy="753110"/>
                      <wp:effectExtent l="0" t="0" r="1270" b="8890"/>
                      <wp:wrapNone/>
                      <wp:docPr id="21" name="图片_107"/>
                      <wp:cNvGraphicFramePr/>
                      <a:graphic xmlns:a="http://schemas.openxmlformats.org/drawingml/2006/main">
                        <a:graphicData uri="http://schemas.openxmlformats.org/drawingml/2006/picture">
                          <pic:pic xmlns:pic="http://schemas.openxmlformats.org/drawingml/2006/picture">
                            <pic:nvPicPr>
                              <pic:cNvPr id="162" name="图片_107"/>
                              <pic:cNvPicPr/>
                              <pic:nvPr/>
                            </pic:nvPicPr>
                            <pic:blipFill>
                              <a:blip r:embed="rId32"/>
                              <a:stretch/>
                            </pic:blipFill>
                            <pic:spPr bwMode="auto">
                              <a:xfrm>
                                <a:off x="0" y="0"/>
                                <a:ext cx="1865630" cy="753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78720;o:allowoverlap:true;o:allowincell:true;mso-position-horizontal-relative:text;margin-left:246.7pt;mso-position-horizontal:absolute;mso-position-vertical-relative:text;margin-top:74.7pt;mso-position-vertical:absolute;width:146.9pt;height:59.3pt;mso-wrap-distance-left:9.0pt;mso-wrap-distance-top:0.0pt;mso-wrap-distance-right:9.0pt;mso-wrap-distance-bottom:0.0pt;" stroked="f">
                      <v:path textboxrect="0,0,0,0"/>
                      <v:imagedata r:id="rId32" o:title=""/>
                    </v:shape>
                  </w:pict>
                </mc:Fallback>
              </mc:AlternateContent>
            </w:r>
            <w:r>
              <w:rPr>
                <w:rFonts w:hint="eastAsia" w:ascii="宋体" w:hAnsi="宋体" w:eastAsia="宋体" w:cs="宋体"/>
                <w:i w:val="0"/>
                <w:iCs w:val="0"/>
                <w:color w:val="000000"/>
                <w:sz w:val="20"/>
                <w:szCs w:val="20"/>
                <w:u w:val="none"/>
                <w:lang w:val="en-US" w:eastAsia="zh-CN" w:bidi="ar"/>
              </w:rPr>
              <w:t xml:space="preserve">榫卯 + 不锈钢螺丝双重加固，整体稳固不晃动；拼接缝隙≤1mm，无松动、无异响。所有可接触边角、棱角、层板边缘均做R10mm 以上圆角打磨，无尖锐棱角、无毛刺。所有固定件全部隐藏式处理，无外露金属螺丝、铆钉，防止划伤儿童。柜体底部预留防滑垫安装位，可加装防滑垫，防止滑动刮伤地面。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3.性能要求：层板均匀承重≥20kg/㎡，可安全放置绘本、教具、玩具等物品。表面防水防污，耐刮耐磨，日常用湿布即可清洁打理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▲投标人或生产商提供组合柜以下的带CMA标识的检测报告并加盖公章：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①依据GB/T35607-2024标准产品有害物质：甲醛释放量、苯、甲苯、二甲苯、总挥发性有机化合物（TVOC)、可接触的实木部件中五氯苯酚（PCP)未检出；涂层可迁移元素：铅Pb、镉Cd、铬Cr、汞Hg、锑Sb、钡Ba、硒Se、砷As含量均未检出。②.依据QB/T4371-2012标准抗菌性能中：白色葡萄球菌、金黄色葡萄球菌抑菌率均≥99%；③依据GB/T 1741-2020标准耐霉菌性中黑曲霉、黄曲霉耐霉菌性等级均达0级。</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eastAsia" w:ascii="宋体" w:hAnsi="宋体" w:cs="宋体"/>
                <w:szCs w:val="21"/>
              </w:rPr>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21</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阅读大厅双面书柜</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1.规格：长5940*宽600*高900mm。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2.用材：E0级实木多层板。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3.饰面：耐污染耐腐蚀三聚氢胺浸渍饰面。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4.封边：采用优质2.0mmPVC同色封边条封边。热熔后与板面形成一体，无明显封边条痕迹，有效防水。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5.结构：柜体顶板厚度18mm，其它板材厚度18mm，双面全开放格单元柜，单面由上下各15共计30个开放格组成。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6.辅材及配件：优质金属偏心连接件、预埋螺母、螺丝等。固定层板托。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7.颜色根据甲方确认的制作。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8.柜体固定地面，确保安全</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column">
                        <wp:posOffset>-19685</wp:posOffset>
                      </wp:positionH>
                      <wp:positionV relativeFrom="paragraph">
                        <wp:posOffset>718185</wp:posOffset>
                      </wp:positionV>
                      <wp:extent cx="1898650" cy="543560"/>
                      <wp:effectExtent l="0" t="0" r="6350" b="8890"/>
                      <wp:wrapNone/>
                      <wp:docPr id="22" name="ID_2E93FEC078C1426DB56E82041E426626"/>
                      <wp:cNvGraphicFramePr/>
                      <a:graphic xmlns:a="http://schemas.openxmlformats.org/drawingml/2006/main">
                        <a:graphicData uri="http://schemas.openxmlformats.org/drawingml/2006/picture">
                          <pic:pic xmlns:pic="http://schemas.openxmlformats.org/drawingml/2006/picture">
                            <pic:nvPicPr>
                              <pic:cNvPr id="163" name="ID_2E93FEC078C1426DB56E82041E426626"/>
                              <pic:cNvPicPr/>
                              <pic:nvPr/>
                            </pic:nvPicPr>
                            <pic:blipFill>
                              <a:blip r:embed="rId33"/>
                              <a:stretch/>
                            </pic:blipFill>
                            <pic:spPr bwMode="auto">
                              <a:xfrm>
                                <a:off x="0" y="0"/>
                                <a:ext cx="1898650" cy="5435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79744;o:allowoverlap:true;o:allowincell:true;mso-position-horizontal-relative:text;margin-left:-1.5pt;mso-position-horizontal:absolute;mso-position-vertical-relative:text;margin-top:56.5pt;mso-position-vertical:absolute;width:149.5pt;height:42.8pt;mso-wrap-distance-left:9.0pt;mso-wrap-distance-top:0.0pt;mso-wrap-distance-right:9.0pt;mso-wrap-distance-bottom:0.0pt;" stroked="f">
                      <v:path textboxrect="0,0,0,0"/>
                      <v:imagedata r:id="rId33"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22</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大厅阶梯书柜</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1.规格：长1200*宽700*高370mm。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2.用材：E0级实木多层板。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3.饰面：耐污染耐腐蚀三聚氢胺浸渍饰面。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4.封边：采用优质2.0mmPVC同色封边条封边。热熔后与板面形成一体，无明显封边条痕迹，有效防水。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5.结构：柜体顶板厚度18mm，其它板材厚度18mm，由左右对等两部分组成，一半为开放式格，用于摆放书籍，一半为内置斜面开放式格，用于平摆图书读物</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6.辅材及配件：优质金属偏心连接件、预埋螺母、螺丝等。金属层板托。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7.颜色根据甲方确认的制作。</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52070</wp:posOffset>
                      </wp:positionH>
                      <wp:positionV relativeFrom="paragraph">
                        <wp:posOffset>447675</wp:posOffset>
                      </wp:positionV>
                      <wp:extent cx="1605915" cy="944880"/>
                      <wp:effectExtent l="0" t="0" r="13335" b="7620"/>
                      <wp:wrapNone/>
                      <wp:docPr id="23" name="ID_941B490B46E2481789D2392B1F8EB606"/>
                      <wp:cNvGraphicFramePr/>
                      <a:graphic xmlns:a="http://schemas.openxmlformats.org/drawingml/2006/main">
                        <a:graphicData uri="http://schemas.openxmlformats.org/drawingml/2006/picture">
                          <pic:pic xmlns:pic="http://schemas.openxmlformats.org/drawingml/2006/picture">
                            <pic:nvPicPr>
                              <pic:cNvPr id="164" name="ID_941B490B46E2481789D2392B1F8EB606"/>
                              <pic:cNvPicPr/>
                              <pic:nvPr/>
                            </pic:nvPicPr>
                            <pic:blipFill>
                              <a:blip r:embed="rId34"/>
                              <a:stretch/>
                            </pic:blipFill>
                            <pic:spPr bwMode="auto">
                              <a:xfrm>
                                <a:off x="0" y="0"/>
                                <a:ext cx="1605915" cy="9448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80768;o:allowoverlap:true;o:allowincell:true;mso-position-horizontal-relative:text;margin-left:4.1pt;mso-position-horizontal:absolute;mso-position-vertical-relative:text;margin-top:35.2pt;mso-position-vertical:absolute;width:126.4pt;height:74.4pt;mso-wrap-distance-left:9.0pt;mso-wrap-distance-top:0.0pt;mso-wrap-distance-right:9.0pt;mso-wrap-distance-bottom:0.0pt;" stroked="f">
                      <v:path textboxrect="0,0,0,0"/>
                      <v:imagedata r:id="rId34"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23</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走廊矮柜</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1.规格：1160*600*1000mm,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2.基材：采用实木颗粒板，甲醛释放量达到E0级； 台面厚度25mm，其他部分18mm，长期使用不变形；                                                    </w:t>
            </w:r>
            <w:r>
              <w:rPr>
                <w:rFonts w:hint="eastAsia" w:ascii="宋体" w:hAnsi="宋体" w:eastAsia="宋体" w:cs="宋体"/>
                <w:i w:val="0"/>
                <w:iCs w:val="0"/>
                <w:color w:val="000000"/>
                <w:sz w:val="20"/>
                <w:szCs w:val="20"/>
                <w:u w:val="none"/>
                <w:lang w:val="en-US" w:eastAsia="zh-CN" w:bidi="ar"/>
              </w:rPr>
              <w:t xml:space="preserve">                                                                                       3.饰面：采用三聚氰胺浸渍纸饰面，耐磨、防火、不褪色；                                                                                                        4.封边条：采用优质2.0mmPVC同色封边条封边；            </w:t>
            </w:r>
            <w:r>
              <w:rPr>
                <w:rFonts w:hint="eastAsia" w:ascii="宋体" w:hAnsi="宋体" w:eastAsia="宋体" w:cs="宋体"/>
                <w:i w:val="0"/>
                <w:iCs w:val="0"/>
                <w:color w:val="000000"/>
                <w:sz w:val="20"/>
                <w:szCs w:val="20"/>
                <w:u w:val="none"/>
                <w:lang w:val="en-US" w:eastAsia="zh-CN" w:bidi="ar"/>
              </w:rPr>
              <w:t xml:space="preserve">                                                                                                                                                        5.五金配件：采用优质品牌三节导轨、阻尼铰链、锁具，轨道在负重条件下，可连续滑动5万次不损坏，承重重量可达45公斤。铰链，能开合8-12万次无故障，无声响，使用寿命长。拉手款式新颖，手感好，耐用，使用寿命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6.柜体颜色甲方可以指定颜色。</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0" locked="0" layoutInCell="1" allowOverlap="1">
                      <wp:simplePos x="0" y="0"/>
                      <wp:positionH relativeFrom="column">
                        <wp:posOffset>182880</wp:posOffset>
                      </wp:positionH>
                      <wp:positionV relativeFrom="paragraph">
                        <wp:posOffset>464820</wp:posOffset>
                      </wp:positionV>
                      <wp:extent cx="1390650" cy="1153795"/>
                      <wp:effectExtent l="0" t="0" r="0" b="8255"/>
                      <wp:wrapNone/>
                      <wp:docPr id="24" name="ID_468C3A1DB6E74B74B5F3030CA1DDD8C1"/>
                      <wp:cNvGraphicFramePr/>
                      <a:graphic xmlns:a="http://schemas.openxmlformats.org/drawingml/2006/main">
                        <a:graphicData uri="http://schemas.openxmlformats.org/drawingml/2006/picture">
                          <pic:pic xmlns:pic="http://schemas.openxmlformats.org/drawingml/2006/picture">
                            <pic:nvPicPr>
                              <pic:cNvPr id="165" name="ID_468C3A1DB6E74B74B5F3030CA1DDD8C1"/>
                              <pic:cNvPicPr/>
                              <pic:nvPr/>
                            </pic:nvPicPr>
                            <pic:blipFill>
                              <a:blip r:embed="rId35"/>
                              <a:stretch/>
                            </pic:blipFill>
                            <pic:spPr bwMode="auto">
                              <a:xfrm>
                                <a:off x="0" y="0"/>
                                <a:ext cx="1390650" cy="11537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81792;o:allowoverlap:true;o:allowincell:true;mso-position-horizontal-relative:text;margin-left:14.4pt;mso-position-horizontal:absolute;mso-position-vertical-relative:text;margin-top:36.6pt;mso-position-vertical:absolute;width:109.5pt;height:90.8pt;mso-wrap-distance-left:9.0pt;mso-wrap-distance-top:0.0pt;mso-wrap-distance-right:9.0pt;mso-wrap-distance-bottom:0.0pt;" stroked="f">
                      <v:path textboxrect="0,0,0,0"/>
                      <v:imagedata r:id="rId35"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24</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开放式阅览室书架</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整体尺寸：长 7500mm×高2900mm×深 300mm（投影面积：21.75㎡）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主材要求：E0 级实木多层板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结构特点：整体通顶设计 + 波浪形艺术顶部+2个异形阅读洞+错落式开放格</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核心技术参数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 主材与规格</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柜体侧板/层板/门板： E0 级实木多层板 厚度≥18mm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柜体背板：E0 级实木多层板厚度 ≥9mm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 整体结构设计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通顶柜体：整体高度 2900mm，与天花板无缝衔接，顶部做波浪形艺术造型过渡，线条流畅自然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异形阅读洞：</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左侧房子造型阅读洞：宽1200mm×高 1800mm×深 600mm，内部可坐 2-3 名儿童</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右侧拱形阅读洞：宽 900mm×高1500mm×深 600mm，内部可坐 1-2 名儿童</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阅读洞内部铺设 25mm 厚实木多层板台面，边角全圆角处理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错落式开放格：适配绘本、教具摆放</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 安全工艺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所有可接触边角、棱角均做R12mm 以上圆角打磨，无尖锐棱角、无毛刺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柜体整体采用墙面防倾倒固定装置，每 1.5 米安装 1 组膨胀螺丝固定，确保稳固不晃动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所有五金件均为隐藏式设计，无外露金属螺丝、铆钉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 表面处理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整体采用环保水性木蜡油涂刷，哑光原木色，纹理清晰自然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无甲醛、无刺鼻异味，防水防污，耐刮耐磨，易清洁打理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涂刷均匀，无流挂、无气泡、无色差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 五金配件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所有层板托为加厚镀锌材质，承重性强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如需加装柜门，采用阻尼铰链，防夹手设计</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2816" behindDoc="0" locked="0" layoutInCell="1" allowOverlap="1">
                      <wp:simplePos x="0" y="0"/>
                      <wp:positionH relativeFrom="column">
                        <wp:posOffset>89535</wp:posOffset>
                      </wp:positionH>
                      <wp:positionV relativeFrom="paragraph">
                        <wp:posOffset>1830070</wp:posOffset>
                      </wp:positionV>
                      <wp:extent cx="1772920" cy="1369695"/>
                      <wp:effectExtent l="0" t="0" r="17780" b="1905"/>
                      <wp:wrapNone/>
                      <wp:docPr id="25" name="ID_D102450C0533429385FD23BA2380B7F3"/>
                      <wp:cNvGraphicFramePr/>
                      <a:graphic xmlns:a="http://schemas.openxmlformats.org/drawingml/2006/main">
                        <a:graphicData uri="http://schemas.openxmlformats.org/drawingml/2006/picture">
                          <pic:pic xmlns:pic="http://schemas.openxmlformats.org/drawingml/2006/picture">
                            <pic:nvPicPr>
                              <pic:cNvPr id="166" name="ID_D102450C0533429385FD23BA2380B7F3"/>
                              <pic:cNvPicPr/>
                              <pic:nvPr/>
                            </pic:nvPicPr>
                            <pic:blipFill>
                              <a:blip r:embed="rId36"/>
                              <a:stretch/>
                            </pic:blipFill>
                            <pic:spPr bwMode="auto">
                              <a:xfrm>
                                <a:off x="0" y="0"/>
                                <a:ext cx="1772920" cy="13696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82816;o:allowoverlap:true;o:allowincell:true;mso-position-horizontal-relative:text;margin-left:7.0pt;mso-position-horizontal:absolute;mso-position-vertical-relative:text;margin-top:144.1pt;mso-position-vertical:absolute;width:139.6pt;height:107.8pt;mso-wrap-distance-left:9.0pt;mso-wrap-distance-top:0.0pt;mso-wrap-distance-right:9.0pt;mso-wrap-distance-bottom:0.0pt;" stroked="f">
                      <v:path textboxrect="0,0,0,0"/>
                      <v:imagedata r:id="rId36"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25</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开放式阅览室地台</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整体尺寸：长7500mm × 宽 3000mm × 高 300mm（投影面积：22.5㎡）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主材要求：E0 级实木多层板（与配套书柜墙同材质、同颜色、同工艺，风格完全统一）</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核心技术参数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 材质与结构</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主体框架：18mm厚E0级实木多层板，内部做横向 + 纵向加强筋，加强筋间距≤400mm，榫卯+不锈钢螺丝双重加固，整体稳固不晃动。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台面：25mm厚E0级实木多层板整板拼接，拼接缝隙≤0.5mm，台面平整无高低差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封边工艺：同材质实木封边，厚度≥2mm，热熔胶无缝封边，无脱胶、无毛刺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底部处理：加装 3mm 厚橡胶防滑垫，间距≤500mm，防止地台滑动，保护原有地面不被刮花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 承重与安全性能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台面均匀承重≥200kg/㎡，可同时容纳 15-20 名儿童安全就坐活动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所有可接触边角、棱角、波浪边缘均做R15mm 以上圆角打磨，无尖锐棱角、无毛刺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整体无外露金属螺丝、铆钉，所有固定件全部隐藏式处理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 表面处理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整体涂刷环保水性木蜡油，哑光原木色，与配套书柜墙颜色完全一致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无甲醛、无刺鼻异味，防水防污、耐刮耐磨，日常用湿布即可清洁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涂刷均匀，无流挂、无气泡、无色差，纹理清晰自然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 波浪造型要求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严格按照采购人确认的深化图纸定制，线条流畅自然，弧度均匀一致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波浪边缘拼接无缝隙，无明显拼接痕迹，整体观感一体化</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98528" behindDoc="0" locked="0" layoutInCell="1" allowOverlap="1">
                      <wp:simplePos x="0" y="0"/>
                      <wp:positionH relativeFrom="column">
                        <wp:posOffset>49530</wp:posOffset>
                      </wp:positionH>
                      <wp:positionV relativeFrom="paragraph">
                        <wp:posOffset>889000</wp:posOffset>
                      </wp:positionV>
                      <wp:extent cx="1772920" cy="1369695"/>
                      <wp:effectExtent l="0" t="0" r="17780" b="1905"/>
                      <wp:wrapNone/>
                      <wp:docPr id="26" name="ID_D102450C0533429385FD23BA2380B7F3"/>
                      <wp:cNvGraphicFramePr/>
                      <a:graphic xmlns:a="http://schemas.openxmlformats.org/drawingml/2006/main">
                        <a:graphicData uri="http://schemas.openxmlformats.org/drawingml/2006/picture">
                          <pic:pic xmlns:pic="http://schemas.openxmlformats.org/drawingml/2006/picture">
                            <pic:nvPicPr>
                              <pic:cNvPr id="285" name="ID_D102450C0533429385FD23BA2380B7F3"/>
                              <pic:cNvPicPr/>
                              <pic:nvPr/>
                            </pic:nvPicPr>
                            <pic:blipFill>
                              <a:blip r:embed="rId36"/>
                              <a:stretch/>
                            </pic:blipFill>
                            <pic:spPr bwMode="auto">
                              <a:xfrm>
                                <a:off x="0" y="0"/>
                                <a:ext cx="1772920" cy="13696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798528;o:allowoverlap:true;o:allowincell:true;mso-position-horizontal-relative:text;margin-left:3.9pt;mso-position-horizontal:absolute;mso-position-vertical-relative:text;margin-top:70.0pt;mso-position-vertical:absolute;width:139.6pt;height:107.8pt;mso-wrap-distance-left:9.0pt;mso-wrap-distance-top:0.0pt;mso-wrap-distance-right:9.0pt;mso-wrap-distance-bottom:0.0pt;" stroked="f">
                      <v:path textboxrect="0,0,0,0"/>
                      <v:imagedata r:id="rId36"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26</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开放式阅览室空中书阁</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整体尺寸：宽1700mm×深2000mm×总高 2500mm（平台离地高度 1500mm）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主材要求：实木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配置：实木主体框架+实木平台 +安全护栏 +实木爬梯 + 白色纱幔</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二、核心技术参数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 主体框架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材质规格：立柱采用 100mm×100mm 实木方料，横梁采用 80mm×80mm 实木方料，整体榫卯 + 不锈钢螺丝双重加固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固定方式：采用墙面 + 地面双重防倾倒固定，立柱与墙面用膨胀螺丝连接，底部与地面用膨胀螺栓固定，确保整体稳固不晃动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承重性能：整体框架承重≥500kg，平台均匀承重≥200kg/㎡，可同时容纳 3-4 名儿童安全活动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 平台与安全护栏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平台台面：25mm 厚实木整板拼接，拼接缝隙≤0.5mm，表面做防滑处理，平整无高低差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安全护栏：护栏高度≥600mm，栏杆采用 30mm×50mm 实木方料，栏杆间距≤110mm，防止儿童钻越</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安全工艺：所有可接触边角、立柱、栏杆均做R15mm 以上圆角打磨，无尖锐棱角、无毛刺；所有固定件全部隐藏式处理，无外露金属螺丝</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 实木爬梯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尺寸规格：总高 1500mm，踏步数 10 级，踏步高度 150mm，踏步宽度 200mm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材质工艺：实木踏步板厚度 20mm，表面做防滑开槽处理；两侧扶手高度 600mm，圆角打磨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连接方式：爬梯与平台框架牢固焊接 / 螺栓连接，无晃动、无异响；底部加装防滑橡胶垫</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 纱幔</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纱幔材质：高密度白色雪纺纱，透光透气、垂感好、不易勾丝，可拆洗设计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安装方式：四周环绕式安装，可自由开合，打造私密阅读空间；纱幔长度垂至地面以上100mm，避免拖地弄脏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 表面处理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整体涂刷环保水性木蜡油，哑光原木色，与配套书柜墙、地台颜色一致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无甲醛、无刺鼻异味，防水防污、耐刮耐磨，日常用湿布即可清洁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涂刷均匀，无流挂、无气泡、无色差，纹理清晰自然</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99552" behindDoc="0" locked="0" layoutInCell="1" allowOverlap="1">
                      <wp:simplePos x="0" y="0"/>
                      <wp:positionH relativeFrom="column">
                        <wp:posOffset>34290</wp:posOffset>
                      </wp:positionH>
                      <wp:positionV relativeFrom="paragraph">
                        <wp:posOffset>1906270</wp:posOffset>
                      </wp:positionV>
                      <wp:extent cx="1772920" cy="1369695"/>
                      <wp:effectExtent l="0" t="0" r="17780" b="1905"/>
                      <wp:wrapNone/>
                      <wp:docPr id="27" name="ID_D102450C0533429385FD23BA2380B7F3"/>
                      <wp:cNvGraphicFramePr/>
                      <a:graphic xmlns:a="http://schemas.openxmlformats.org/drawingml/2006/main">
                        <a:graphicData uri="http://schemas.openxmlformats.org/drawingml/2006/picture">
                          <pic:pic xmlns:pic="http://schemas.openxmlformats.org/drawingml/2006/picture">
                            <pic:nvPicPr>
                              <pic:cNvPr id="286" name="ID_D102450C0533429385FD23BA2380B7F3"/>
                              <pic:cNvPicPr/>
                              <pic:nvPr/>
                            </pic:nvPicPr>
                            <pic:blipFill>
                              <a:blip r:embed="rId36"/>
                              <a:stretch/>
                            </pic:blipFill>
                            <pic:spPr bwMode="auto">
                              <a:xfrm>
                                <a:off x="0" y="0"/>
                                <a:ext cx="1772920" cy="13696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799552;o:allowoverlap:true;o:allowincell:true;mso-position-horizontal-relative:text;margin-left:2.7pt;mso-position-horizontal:absolute;mso-position-vertical-relative:text;margin-top:150.1pt;mso-position-vertical:absolute;width:139.6pt;height:107.8pt;mso-wrap-distance-left:9.0pt;mso-wrap-distance-top:0.0pt;mso-wrap-distance-right:9.0pt;mso-wrap-distance-bottom:0.0pt;" stroked="f">
                      <v:path textboxrect="0,0,0,0"/>
                      <v:imagedata r:id="rId36"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27</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教师之家墙面书架</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1.规格：总长度33000mm*深度280mm*厚度（38-42）mm；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2.材质：实木，整板无拼接（长度超过 4m 可采用指接，但需保证纹理自然过渡），无明显开裂、虫眼、结疤（允许少量细小活结，直径≤5mm），含水率控制在 8%-12%。</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3.工艺：采用食品级木蜡油涂装，涂装工艺：打磨→底漆→打磨→面漆（2 遍以上）光泽度：哑光/半哑光（甲方确认），表面光滑，无漏涂、流挂、气泡现象。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4.安装要求：墙面固定：根据墙面材质采用相应加固方案，安装工艺采用隐藏式冷轧钢隐形支架，表面喷塑防锈处理，支架完全隐藏于层板内部，不外露单支架承重≥50kg，每块层板支架数量：长度≤2m 配 3 个，2-4m 配 4 个，4m 以上每增加1m加1个。</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800576" behindDoc="0" locked="0" layoutInCell="1" allowOverlap="1">
                      <wp:simplePos x="0" y="0"/>
                      <wp:positionH relativeFrom="column">
                        <wp:posOffset>172720</wp:posOffset>
                      </wp:positionH>
                      <wp:positionV relativeFrom="paragraph">
                        <wp:posOffset>441960</wp:posOffset>
                      </wp:positionV>
                      <wp:extent cx="1482090" cy="1718310"/>
                      <wp:effectExtent l="0" t="0" r="3810" b="15240"/>
                      <wp:wrapNone/>
                      <wp:docPr id="28" name="ID_1FFF6DEB3EF8431CB85A1A02CF93ED43"/>
                      <wp:cNvGraphicFramePr/>
                      <a:graphic xmlns:a="http://schemas.openxmlformats.org/drawingml/2006/main">
                        <a:graphicData uri="http://schemas.openxmlformats.org/drawingml/2006/picture">
                          <pic:pic xmlns:pic="http://schemas.openxmlformats.org/drawingml/2006/picture">
                            <pic:nvPicPr>
                              <pic:cNvPr id="167" name="ID_1FFF6DEB3EF8431CB85A1A02CF93ED43"/>
                              <pic:cNvPicPr/>
                              <pic:nvPr/>
                            </pic:nvPicPr>
                            <pic:blipFill>
                              <a:blip r:embed="rId37"/>
                              <a:stretch/>
                            </pic:blipFill>
                            <pic:spPr bwMode="auto">
                              <a:xfrm>
                                <a:off x="0" y="0"/>
                                <a:ext cx="1482090" cy="1718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800576;o:allowoverlap:true;o:allowincell:true;mso-position-horizontal-relative:text;margin-left:13.6pt;mso-position-horizontal:absolute;mso-position-vertical-relative:text;margin-top:34.8pt;mso-position-vertical:absolute;width:116.7pt;height:135.3pt;mso-wrap-distance-left:9.0pt;mso-wrap-distance-top:0.0pt;mso-wrap-distance-right:9.0pt;mso-wrap-distance-bottom:0.0pt;" stroked="f">
                      <v:path textboxrect="0,0,0,0"/>
                      <v:imagedata r:id="rId37"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28</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挂衣柜</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1.尺寸：80*40*100cm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2.材质：所有板材全部采用18mm厚AA级橡胶木机拼板，经干燥处理，含水率≤12%。芯层整齐，密实度好，且无虫蛀、腐朽等缺陷。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所有板边倒圆角、圆边，板面无结疤、光滑无毛刺；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3.工艺：采用环保木器漆，三底两面工艺，机器打孔、三合一连接件组装；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4.底部配4个承重尼龙万向轮。</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3840" behindDoc="0" locked="0" layoutInCell="1" allowOverlap="1">
                      <wp:simplePos x="0" y="0"/>
                      <wp:positionH relativeFrom="column">
                        <wp:posOffset>349885</wp:posOffset>
                      </wp:positionH>
                      <wp:positionV relativeFrom="paragraph">
                        <wp:posOffset>24130</wp:posOffset>
                      </wp:positionV>
                      <wp:extent cx="1014730" cy="1255395"/>
                      <wp:effectExtent l="0" t="0" r="13970" b="1905"/>
                      <wp:wrapNone/>
                      <wp:docPr id="29" name="ID_20945A02C20045538E68228FD31D1518"/>
                      <wp:cNvGraphicFramePr/>
                      <a:graphic xmlns:a="http://schemas.openxmlformats.org/drawingml/2006/main">
                        <a:graphicData uri="http://schemas.openxmlformats.org/drawingml/2006/picture">
                          <pic:pic xmlns:pic="http://schemas.openxmlformats.org/drawingml/2006/picture">
                            <pic:nvPicPr>
                              <pic:cNvPr id="168" name="ID_20945A02C20045538E68228FD31D1518"/>
                              <pic:cNvPicPr/>
                              <pic:nvPr/>
                            </pic:nvPicPr>
                            <pic:blipFill>
                              <a:blip r:embed="rId38"/>
                              <a:stretch/>
                            </pic:blipFill>
                            <pic:spPr bwMode="auto">
                              <a:xfrm>
                                <a:off x="0" y="0"/>
                                <a:ext cx="1014730" cy="12553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83840;o:allowoverlap:true;o:allowincell:true;mso-position-horizontal-relative:text;margin-left:27.5pt;mso-position-horizontal:absolute;mso-position-vertical-relative:text;margin-top:1.9pt;mso-position-vertical:absolute;width:79.9pt;height:98.8pt;mso-wrap-distance-left:9.0pt;mso-wrap-distance-top:0.0pt;mso-wrap-distance-right:9.0pt;mso-wrap-distance-bottom:0.0pt;" stroked="f">
                      <v:path textboxrect="0,0,0,0"/>
                      <v:imagedata r:id="rId38"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29</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美工柜1</w:t>
            </w:r>
            <w:r>
              <w:rPr>
                <w:rFonts w:hint="eastAsia" w:ascii="宋体" w:hAnsi="宋体" w:eastAsia="宋体" w:cs="宋体"/>
                <w:szCs w:val="21"/>
                <w:lang w:val="en-US" w:eastAsia="zh-CN" w:bidi="ar"/>
              </w:rPr>
              <w:br/>
            </w:r>
            <w:r>
              <w:rPr>
                <w:rFonts w:hint="eastAsia" w:ascii="宋体" w:hAnsi="宋体" w:eastAsia="宋体" w:cs="宋体"/>
                <w:szCs w:val="21"/>
                <w:lang w:val="en-US" w:eastAsia="zh-CN" w:bidi="ar"/>
              </w:rPr>
              <w:t xml:space="preserve">洞洞板背板</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1.尺寸：100*40*75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1.2.材质：所有板材全部采用18mm厚AA级橡胶木机拼板（含9mm 厚背板），经干燥处理，含水率≤12%。芯层整齐，密实度好，且无虫蛀、腐朽等缺陷。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所有板边倒圆角、圆边，板面无结疤、光滑无毛刺；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3.工艺：采用环保木器漆，三底两面工艺，机器打孔、三合一连接件组装；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4.底部配4个承重尼龙万向轮。</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4864" behindDoc="0" locked="0" layoutInCell="1" allowOverlap="1">
                      <wp:simplePos x="0" y="0"/>
                      <wp:positionH relativeFrom="column">
                        <wp:posOffset>88900</wp:posOffset>
                      </wp:positionH>
                      <wp:positionV relativeFrom="paragraph">
                        <wp:posOffset>88900</wp:posOffset>
                      </wp:positionV>
                      <wp:extent cx="1705610" cy="1141730"/>
                      <wp:effectExtent l="0" t="0" r="8890" b="1270"/>
                      <wp:wrapNone/>
                      <wp:docPr id="30" name="ID_6D647842619C41009A0AF55341649857"/>
                      <wp:cNvGraphicFramePr/>
                      <a:graphic xmlns:a="http://schemas.openxmlformats.org/drawingml/2006/main">
                        <a:graphicData uri="http://schemas.openxmlformats.org/drawingml/2006/picture">
                          <pic:pic xmlns:pic="http://schemas.openxmlformats.org/drawingml/2006/picture">
                            <pic:nvPicPr>
                              <pic:cNvPr id="169" name="ID_6D647842619C41009A0AF55341649857"/>
                              <pic:cNvPicPr/>
                              <pic:nvPr/>
                            </pic:nvPicPr>
                            <pic:blipFill>
                              <a:blip r:embed="rId39"/>
                              <a:stretch/>
                            </pic:blipFill>
                            <pic:spPr bwMode="auto">
                              <a:xfrm>
                                <a:off x="0" y="0"/>
                                <a:ext cx="1705610" cy="11417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84864;o:allowoverlap:true;o:allowincell:true;mso-position-horizontal-relative:text;margin-left:7.0pt;mso-position-horizontal:absolute;mso-position-vertical-relative:text;margin-top:7.0pt;mso-position-vertical:absolute;width:134.3pt;height:89.9pt;mso-wrap-distance-left:9.0pt;mso-wrap-distance-top:0.0pt;mso-wrap-distance-right:9.0pt;mso-wrap-distance-bottom:0.0pt;" stroked="f">
                      <v:path textboxrect="0,0,0,0"/>
                      <v:imagedata r:id="rId39"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30</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美工纸柜</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1.规格：60*35*120cm，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2.材质：采用AA级橡胶木机拼板，板材厚度1.8cm，经干燥处理，含水率≤12%。芯层整齐，密实度好，且无虫蛀、腐朽等缺陷。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3.柜体：外露部件边倒R5mm圆角，圆边圆角，PVC封边条封边。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4.胶水：优质环保型胶水。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5.五金件：优质五金配件。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6.底部配4个承重尼龙万向轮。</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5888" behindDoc="0" locked="0" layoutInCell="1" allowOverlap="1">
                      <wp:simplePos x="0" y="0"/>
                      <wp:positionH relativeFrom="column">
                        <wp:posOffset>165100</wp:posOffset>
                      </wp:positionH>
                      <wp:positionV relativeFrom="paragraph">
                        <wp:posOffset>149860</wp:posOffset>
                      </wp:positionV>
                      <wp:extent cx="998220" cy="1136015"/>
                      <wp:effectExtent l="0" t="0" r="11430" b="6985"/>
                      <wp:wrapNone/>
                      <wp:docPr id="31" name="ID_93D3BF6191894DEB8B3AD69AAF563AB0"/>
                      <wp:cNvGraphicFramePr/>
                      <a:graphic xmlns:a="http://schemas.openxmlformats.org/drawingml/2006/main">
                        <a:graphicData uri="http://schemas.openxmlformats.org/drawingml/2006/picture">
                          <pic:pic xmlns:pic="http://schemas.openxmlformats.org/drawingml/2006/picture">
                            <pic:nvPicPr>
                              <pic:cNvPr id="170" name="ID_93D3BF6191894DEB8B3AD69AAF563AB0"/>
                              <pic:cNvPicPr/>
                              <pic:nvPr/>
                            </pic:nvPicPr>
                            <pic:blipFill>
                              <a:blip r:embed="rId40"/>
                              <a:stretch/>
                            </pic:blipFill>
                            <pic:spPr bwMode="auto">
                              <a:xfrm>
                                <a:off x="0" y="0"/>
                                <a:ext cx="998220" cy="11360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85888;o:allowoverlap:true;o:allowincell:true;mso-position-horizontal-relative:text;margin-left:13.0pt;mso-position-horizontal:absolute;mso-position-vertical-relative:text;margin-top:11.8pt;mso-position-vertical:absolute;width:78.6pt;height:89.4pt;mso-wrap-distance-left:9.0pt;mso-wrap-distance-top:0.0pt;mso-wrap-distance-right:9.0pt;mso-wrap-distance-bottom:0.0pt;" stroked="f">
                      <v:path textboxrect="0,0,0,0"/>
                      <v:imagedata r:id="rId40"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31</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玩具柜1</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1.尺寸：46*30*90cm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2.材质：所有板材全部采用18mm厚AA级橡胶木机拼板，经干燥处理，含水率≤12%。芯层整齐，密实度好，且无虫蛀、腐朽等缺陷。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所有板边倒圆角、圆边，板面无结疤、光滑无毛刺；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3.工艺：采用环保木器漆，三底两面工艺，机器打孔、三合一连接件组装；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4.底部配4个承重尼龙万向轮。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5.内含环保PP材质收纳抽屉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投标人或生产商提供玩具柜①依据GB/T35607-2024标准产品有害物质：甲醛释放量、苯、甲苯、二甲苯、总挥发性有机化合物（TVOV)、可接触的实木部件中五氯苯酚（PCP)未检出；涂层可迁移元素：铅Pb、镉Cd、铬Cr、汞Hg、锑Sb、钡Ba、硒Se、砷As含量均未检出。②依据QB/T4371-2012标准抗菌性能中：白色葡萄球菌、金黄色葡萄球菌抑菌率均≥99%；③依据GB/T 1741-2020标准耐霉菌性中黑曲霉、黄曲霉耐霉菌性等级均达0级的带CMA标识的检测报告。</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6912" behindDoc="0" locked="0" layoutInCell="1" allowOverlap="1">
                      <wp:simplePos x="0" y="0"/>
                      <wp:positionH relativeFrom="column">
                        <wp:posOffset>340360</wp:posOffset>
                      </wp:positionH>
                      <wp:positionV relativeFrom="paragraph">
                        <wp:posOffset>142875</wp:posOffset>
                      </wp:positionV>
                      <wp:extent cx="1037590" cy="1123950"/>
                      <wp:effectExtent l="0" t="0" r="10160" b="0"/>
                      <wp:wrapNone/>
                      <wp:docPr id="32" name="ID_156DA1647A3C4550BDC3611198E46461"/>
                      <wp:cNvGraphicFramePr/>
                      <a:graphic xmlns:a="http://schemas.openxmlformats.org/drawingml/2006/main">
                        <a:graphicData uri="http://schemas.openxmlformats.org/drawingml/2006/picture">
                          <pic:pic xmlns:pic="http://schemas.openxmlformats.org/drawingml/2006/picture">
                            <pic:nvPicPr>
                              <pic:cNvPr id="171" name="ID_156DA1647A3C4550BDC3611198E46461"/>
                              <pic:cNvPicPr/>
                              <pic:nvPr/>
                            </pic:nvPicPr>
                            <pic:blipFill>
                              <a:blip r:embed="rId41"/>
                              <a:stretch/>
                            </pic:blipFill>
                            <pic:spPr bwMode="auto">
                              <a:xfrm>
                                <a:off x="0" y="0"/>
                                <a:ext cx="1037590" cy="11239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86912;o:allowoverlap:true;o:allowincell:true;mso-position-horizontal-relative:text;margin-left:26.8pt;mso-position-horizontal:absolute;mso-position-vertical-relative:text;margin-top:11.2pt;mso-position-vertical:absolute;width:81.7pt;height:88.5pt;mso-wrap-distance-left:9.0pt;mso-wrap-distance-top:0.0pt;mso-wrap-distance-right:9.0pt;mso-wrap-distance-bottom:0.0pt;" stroked="f">
                      <v:path textboxrect="0,0,0,0"/>
                      <v:imagedata r:id="rId41"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32</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玩具柜2</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1.尺寸：100*35*90cm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2.材质：所有板材全部采用18mm厚AA级橡胶木机拼板，经干燥处理，含水率≤12%。芯层整齐，密实度好，且无虫蛀、腐朽等缺陷。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所有板边倒圆角、圆边，板面无结疤、光滑无毛刺；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3.工艺：采用环保木器漆，三底两面工艺，机器打孔、三合一连接件组装；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4.底部配4个承重尼龙万向轮。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5.有门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▲投标人或生产商提供幼儿柜（玩具柜）符合GB/T4893.1-2021、GB/T 32487-2016标准，检测内容需包含：DBP、BBP、DEHP、DNOP、DINP、DIDP均未检出，可溶性铅、镉、铬、汞均未检出；苯并[a]芘、16种多环芳烃(PAH)总量、多溴联苯、多溴二苯醚均未检出；500mg/L与1000mg/L含氯消毒液分别接触10s和2min后，耐液性等级达到1级的带CMA标识的检测报告并加盖公章。</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7936" behindDoc="0" locked="0" layoutInCell="1" allowOverlap="1">
                      <wp:simplePos x="0" y="0"/>
                      <wp:positionH relativeFrom="column">
                        <wp:posOffset>251460</wp:posOffset>
                      </wp:positionH>
                      <wp:positionV relativeFrom="paragraph">
                        <wp:posOffset>347980</wp:posOffset>
                      </wp:positionV>
                      <wp:extent cx="1364615" cy="1122680"/>
                      <wp:effectExtent l="0" t="0" r="6985" b="1270"/>
                      <wp:wrapNone/>
                      <wp:docPr id="33" name="ID_694FA54AF3514BEA9B7AB8E9C04DC922"/>
                      <wp:cNvGraphicFramePr/>
                      <a:graphic xmlns:a="http://schemas.openxmlformats.org/drawingml/2006/main">
                        <a:graphicData uri="http://schemas.openxmlformats.org/drawingml/2006/picture">
                          <pic:pic xmlns:pic="http://schemas.openxmlformats.org/drawingml/2006/picture">
                            <pic:nvPicPr>
                              <pic:cNvPr id="172" name="ID_694FA54AF3514BEA9B7AB8E9C04DC922"/>
                              <pic:cNvPicPr/>
                              <pic:nvPr/>
                            </pic:nvPicPr>
                            <pic:blipFill>
                              <a:blip r:embed="rId42"/>
                              <a:stretch/>
                            </pic:blipFill>
                            <pic:spPr bwMode="auto">
                              <a:xfrm>
                                <a:off x="0" y="0"/>
                                <a:ext cx="1364615" cy="11226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87936;o:allowoverlap:true;o:allowincell:true;mso-position-horizontal-relative:text;margin-left:19.8pt;mso-position-horizontal:absolute;mso-position-vertical-relative:text;margin-top:27.4pt;mso-position-vertical:absolute;width:107.4pt;height:88.4pt;mso-wrap-distance-left:9.0pt;mso-wrap-distance-top:0.0pt;mso-wrap-distance-right:9.0pt;mso-wrap-distance-bottom:0.0pt;" stroked="f">
                      <v:path textboxrect="0,0,0,0"/>
                      <v:imagedata r:id="rId42"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33</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户外收纳柜1</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尺寸：260*85*95cm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1.整体框架采用4*4cm，壁厚2.0mm钢管焊接而成，整体加工经特殊工艺除锈，抛沙处理。表面处理：CO2 保护焊、经喷丸技术处理、然后经过抛光处理、室外聚酯系树脂粉体涂装高温电磁烤漆、高温固化、防锈性能特强，表面光滑，抗紫外线，色泽艳丽，不易脱落。内置两层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2.板材采用现代科技木，厚度20mm，科技木防水、防潮、耐候，从根本上解决了木制产品在潮湿多水环境中易腐烂和膨胀变形的问题。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3.顶部内层做防水处理。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4.五金配件材质：采用不锈钢材质的半圆头、T型平头螺丝。外露螺丝均使用不锈钢半圆、无棱角的螺丝，加不锈钢螺丝帽。螺丝需使用专用工具，具有预防任意调整功能，维护设备安全的作用。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5.其他：所有接触面材料均经倒圆角处理。所有产品外表面和内表面以及儿童手指可触及无任何毛刺及尖锐的棱角。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6.门材质：铝合金百叶卷帘门6组、PC耐力板（透明面板）6组，推拉门</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8960" behindDoc="0" locked="0" layoutInCell="1" allowOverlap="1">
                      <wp:simplePos x="0" y="0"/>
                      <wp:positionH relativeFrom="column">
                        <wp:posOffset>126365</wp:posOffset>
                      </wp:positionH>
                      <wp:positionV relativeFrom="paragraph">
                        <wp:posOffset>1007745</wp:posOffset>
                      </wp:positionV>
                      <wp:extent cx="1312545" cy="907415"/>
                      <wp:effectExtent l="0" t="0" r="1905" b="6985"/>
                      <wp:wrapNone/>
                      <wp:docPr id="34" name="ID_91DD66F1EB7E48929B621D322323C98B"/>
                      <wp:cNvGraphicFramePr/>
                      <a:graphic xmlns:a="http://schemas.openxmlformats.org/drawingml/2006/main">
                        <a:graphicData uri="http://schemas.openxmlformats.org/drawingml/2006/picture">
                          <pic:pic xmlns:pic="http://schemas.openxmlformats.org/drawingml/2006/picture">
                            <pic:nvPicPr>
                              <pic:cNvPr id="173" name="ID_91DD66F1EB7E48929B621D322323C98B"/>
                              <pic:cNvPicPr/>
                              <pic:nvPr/>
                            </pic:nvPicPr>
                            <pic:blipFill>
                              <a:blip r:embed="rId43"/>
                              <a:stretch/>
                            </pic:blipFill>
                            <pic:spPr bwMode="auto">
                              <a:xfrm>
                                <a:off x="0" y="0"/>
                                <a:ext cx="1312545" cy="9074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88960;o:allowoverlap:true;o:allowincell:true;mso-position-horizontal-relative:text;margin-left:9.9pt;mso-position-horizontal:absolute;mso-position-vertical-relative:text;margin-top:79.3pt;mso-position-vertical:absolute;width:103.3pt;height:71.5pt;mso-wrap-distance-left:9.0pt;mso-wrap-distance-top:0.0pt;mso-wrap-distance-right:9.0pt;mso-wrap-distance-bottom:0.0pt;" stroked="f">
                      <v:path textboxrect="0,0,0,0"/>
                      <v:imagedata r:id="rId43"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34</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户外收纳柜2</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尺寸：260*85*130cm，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1.整体框架采用4*4cm，壁厚2.0mm钢管焊接而成，整体加工经特殊工艺除锈，抛沙处理。表面处理：CO2 保护焊、经喷丸技术处理、然后经过抛光处理、室外聚酯系树脂粉体涂装高温电磁烤漆、高温固化、防锈</w:t>
            </w: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89984" behindDoc="0" locked="0" layoutInCell="1" allowOverlap="1">
                      <wp:simplePos x="0" y="0"/>
                      <wp:positionH relativeFrom="column">
                        <wp:posOffset>3268345</wp:posOffset>
                      </wp:positionH>
                      <wp:positionV relativeFrom="paragraph">
                        <wp:posOffset>94615</wp:posOffset>
                      </wp:positionV>
                      <wp:extent cx="1553210" cy="1195070"/>
                      <wp:effectExtent l="0" t="0" r="8890" b="5080"/>
                      <wp:wrapNone/>
                      <wp:docPr id="35" name="ID_957BCF28F36645C084353AAD6015A7BC"/>
                      <wp:cNvGraphicFramePr/>
                      <a:graphic xmlns:a="http://schemas.openxmlformats.org/drawingml/2006/main">
                        <a:graphicData uri="http://schemas.openxmlformats.org/drawingml/2006/picture">
                          <pic:pic xmlns:pic="http://schemas.openxmlformats.org/drawingml/2006/picture">
                            <pic:nvPicPr>
                              <pic:cNvPr id="174" name="ID_957BCF28F36645C084353AAD6015A7BC"/>
                              <pic:cNvPicPr/>
                              <pic:nvPr/>
                            </pic:nvPicPr>
                            <pic:blipFill>
                              <a:blip r:embed="rId44"/>
                              <a:stretch/>
                            </pic:blipFill>
                            <pic:spPr bwMode="auto">
                              <a:xfrm>
                                <a:off x="0" y="0"/>
                                <a:ext cx="1553210" cy="1195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689984;o:allowoverlap:true;o:allowincell:true;mso-position-horizontal-relative:text;margin-left:257.3pt;mso-position-horizontal:absolute;mso-position-vertical-relative:text;margin-top:7.4pt;mso-position-vertical:absolute;width:122.3pt;height:94.1pt;mso-wrap-distance-left:9.0pt;mso-wrap-distance-top:0.0pt;mso-wrap-distance-right:9.0pt;mso-wrap-distance-bottom:0.0pt;" stroked="f">
                      <v:path textboxrect="0,0,0,0"/>
                      <v:imagedata r:id="rId44" o:title=""/>
                    </v:shape>
                  </w:pict>
                </mc:Fallback>
              </mc:AlternateContent>
            </w:r>
            <w:r>
              <w:rPr>
                <w:rFonts w:hint="eastAsia" w:ascii="宋体" w:hAnsi="宋体" w:eastAsia="宋体" w:cs="宋体"/>
                <w:i w:val="0"/>
                <w:iCs w:val="0"/>
                <w:color w:val="000000"/>
                <w:sz w:val="20"/>
                <w:szCs w:val="20"/>
                <w:u w:val="none"/>
                <w:lang w:val="en-US" w:eastAsia="zh-CN" w:bidi="ar"/>
              </w:rPr>
              <w:t xml:space="preserve">性能特强，表面光滑，抗紫外线，色泽艳丽，不易脱落。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2.板材采用现代科技木，厚度20mm，科技木防水、防潮、耐候，从根本上解决了木制产品在潮湿多水环境中易腐烂和膨胀变形的问题。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3.顶部内层做防水处理。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4.五金配件材质：采用不锈钢材质的半圆头、T型平头螺丝。外露螺丝均使用不锈钢半圆、无棱角的螺丝，加不锈钢螺丝帽。螺丝需使用专用工具，具有预防任意调整功能，维护设备安全的作用。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5.其他：所有接触面材料均经倒圆角处理。所有产品外表面和内表面以及儿童手指可触及无任何毛刺及尖锐的棱角。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6.门：推拉门，PC耐力板（透明面板部分）</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eastAsia" w:ascii="宋体" w:hAnsi="宋体" w:cs="宋体"/>
                <w:szCs w:val="21"/>
              </w:rPr>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35</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大筐玩具收纳</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规格：260*85*130cm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1.材质：整体框架采用4*4cm，壁厚2.0mm钢管焊接而成；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2.工艺：整体加工经特殊工艺除锈，抛沙处理。表面处理：CO2 保护焊、经喷丸技术处理、然后经过抛光处理、室外聚酯系树脂粉体涂装高温电磁烤漆、高温固化、防锈性能特强，表面光滑，抗紫外线，色泽艳丽，不易脱落。板材采用现代科技木，厚度20mm，科技木防水、防潮、耐候，从根本上解决了木制产品在潮湿多水环境中易腐烂和膨胀变形的问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3.顶部内层做防水处理。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5.五金配件材质：采用不锈钢材质的半圆头、T型平头螺丝。外露螺丝均使用不锈钢半圆、无棱角的螺丝，加不锈钢螺丝帽。螺丝需使用专用工具，具有预防任意调整功能，维护设备安全的作用。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6.其他：所有接触面材料均经倒圆角处理。所有产品外表面和内表面以及儿童手指可触及无任何毛刺及尖锐的棱角。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7.门：PC耐力板（透明面板部分）3个，2层对开门</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91008" behindDoc="0" locked="0" layoutInCell="1" allowOverlap="1">
                      <wp:simplePos x="0" y="0"/>
                      <wp:positionH relativeFrom="column">
                        <wp:posOffset>11430</wp:posOffset>
                      </wp:positionH>
                      <wp:positionV relativeFrom="paragraph">
                        <wp:posOffset>122555</wp:posOffset>
                      </wp:positionV>
                      <wp:extent cx="1576070" cy="1263015"/>
                      <wp:effectExtent l="0" t="0" r="5080" b="13335"/>
                      <wp:wrapNone/>
                      <wp:docPr id="36" name="ID_9756C2A91F674880A3D0C4CFF8A648B7"/>
                      <wp:cNvGraphicFramePr/>
                      <a:graphic xmlns:a="http://schemas.openxmlformats.org/drawingml/2006/main">
                        <a:graphicData uri="http://schemas.openxmlformats.org/drawingml/2006/picture">
                          <pic:pic xmlns:pic="http://schemas.openxmlformats.org/drawingml/2006/picture">
                            <pic:nvPicPr>
                              <pic:cNvPr id="175" name="ID_9756C2A91F674880A3D0C4CFF8A648B7"/>
                              <pic:cNvPicPr/>
                              <pic:nvPr/>
                            </pic:nvPicPr>
                            <pic:blipFill>
                              <a:blip r:embed="rId45"/>
                              <a:stretch/>
                            </pic:blipFill>
                            <pic:spPr bwMode="auto">
                              <a:xfrm>
                                <a:off x="0" y="0"/>
                                <a:ext cx="1576069" cy="12630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691008;o:allowoverlap:true;o:allowincell:true;mso-position-horizontal-relative:text;margin-left:0.9pt;mso-position-horizontal:absolute;mso-position-vertical-relative:text;margin-top:9.7pt;mso-position-vertical:absolute;width:124.1pt;height:99.4pt;mso-wrap-distance-left:9.0pt;mso-wrap-distance-top:0.0pt;mso-wrap-distance-right:9.0pt;mso-wrap-distance-bottom:0.0pt;" stroked="f">
                      <v:path textboxrect="0,0,0,0"/>
                      <v:imagedata r:id="rId45"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36</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角色收纳屋</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规格：170*85*210cm；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材质：镀锌钢管、现代科技木、沥青瓦、PE板等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1.整体框架采用4*4cm，壁厚2.0mm钢管焊接而成，整体加工经特殊工艺除锈，抛沙处理。表面处理：CO2 保护焊、经喷丸技术处理、然后经过抛光处理、室外聚酯系树脂粉体涂装高温电磁烤漆、高温固化、防锈性能特强，表面光滑，抗紫外线，色泽艳丽，不易脱落。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2.板材采用现代科技木，厚度20mm，科技木防水、防潮、耐候，从根本上解决了木制产品在潮湿多水环境中易腐烂和膨胀变形的问题。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3.顶部内层做防水处理，外铺沥青瓦，沥青瓦色彩丰富，隔热保温，耐用不破碎，可抵御光照、冷热，雨水和冰冻等多种气候因素引起的侵蚀等。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4.边条采用PE板封板，整体看上去有立体感。</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5.五金配件材质：采用不锈钢材质的半圆头、T型平头螺丝。外露螺丝均使用不锈钢半圆、无棱角的螺丝，加不锈钢螺丝帽。螺丝需使用专用工具，具有预防任意调整功能，维护设备安全的作用。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6.其他：所有接触面材料均经倒圆角处理。所有产品外表面和内表面以及儿童手指可触及无任何毛刺及尖锐的棱角。</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92032" behindDoc="0" locked="0" layoutInCell="1" allowOverlap="1">
                      <wp:simplePos x="0" y="0"/>
                      <wp:positionH relativeFrom="column">
                        <wp:posOffset>369570</wp:posOffset>
                      </wp:positionH>
                      <wp:positionV relativeFrom="paragraph">
                        <wp:posOffset>355600</wp:posOffset>
                      </wp:positionV>
                      <wp:extent cx="1336040" cy="1502410"/>
                      <wp:effectExtent l="0" t="0" r="16510" b="2540"/>
                      <wp:wrapNone/>
                      <wp:docPr id="37" name="ID_38ADEF4BB82840F7A1EFF73D2C25354D"/>
                      <wp:cNvGraphicFramePr/>
                      <a:graphic xmlns:a="http://schemas.openxmlformats.org/drawingml/2006/main">
                        <a:graphicData uri="http://schemas.openxmlformats.org/drawingml/2006/picture">
                          <pic:pic xmlns:pic="http://schemas.openxmlformats.org/drawingml/2006/picture">
                            <pic:nvPicPr>
                              <pic:cNvPr id="176" name="ID_38ADEF4BB82840F7A1EFF73D2C25354D"/>
                              <pic:cNvPicPr/>
                              <pic:nvPr/>
                            </pic:nvPicPr>
                            <pic:blipFill>
                              <a:blip r:embed="rId46"/>
                              <a:stretch/>
                            </pic:blipFill>
                            <pic:spPr bwMode="auto">
                              <a:xfrm>
                                <a:off x="0" y="0"/>
                                <a:ext cx="1336040" cy="15024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692032;o:allowoverlap:true;o:allowincell:true;mso-position-horizontal-relative:text;margin-left:29.1pt;mso-position-horizontal:absolute;mso-position-vertical-relative:text;margin-top:28.0pt;mso-position-vertical:absolute;width:105.2pt;height:118.3pt;mso-wrap-distance-left:9.0pt;mso-wrap-distance-top:0.0pt;mso-wrap-distance-right:9.0pt;mso-wrap-distance-bottom:0.0pt;" stroked="f">
                      <v:path textboxrect="0,0,0,0"/>
                      <v:imagedata r:id="rId46"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37</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小框玩具收纳（2层</w:t>
            </w:r>
            <w:r>
              <w:rPr>
                <w:rFonts w:hint="eastAsia" w:ascii="宋体" w:hAnsi="宋体" w:eastAsia="宋体" w:cs="宋体"/>
                <w:szCs w:val="21"/>
                <w:lang w:val="en-US" w:eastAsia="zh-CN" w:bidi="ar"/>
              </w:rPr>
              <w:br/>
            </w:r>
            <w:r>
              <w:rPr>
                <w:rFonts w:hint="eastAsia" w:ascii="宋体" w:hAnsi="宋体" w:eastAsia="宋体" w:cs="宋体"/>
                <w:szCs w:val="21"/>
                <w:lang w:val="en-US" w:eastAsia="zh-CN" w:bidi="ar"/>
              </w:rPr>
              <w:t xml:space="preserve">对开门）</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1.规格：130*85*130cm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2.材质：整体框架采用4*4cm，壁厚2.0mm钢管焊接而成，整体加工经特殊工艺除锈，抛沙处理。表面处理：CO2 保护焊、经喷丸技术处理、然后经过抛光处理、室外聚酯系树脂粉体涂装高温电磁烤漆、高温固化、防锈性能特强，表面光滑，抗紫外线，色泽艳丽，不易脱落。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3.板材采用现代科技木，厚度20mm，科技木防水、防潮、耐候，从根本上解决了木制产品在潮湿多水环境中易腐烂和膨胀变形的问题。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4.顶部内层做防水处理。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5.五金配件材质：采用不锈钢材质的半圆头、T型平头螺丝。外露螺丝均使用不锈钢半圆、无棱角的螺丝，加不锈钢螺丝帽。螺丝需使用专用工具，具有预防任意调整功能，维护设备安全的作用。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6.其他：所有接触面材料均经倒圆角处理。所有产品外表面和内表面以及儿童手指可触及无任何毛刺及尖锐的棱角。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7.门：PC耐力板（透明面板部分）</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93056" behindDoc="0" locked="0" layoutInCell="1" allowOverlap="1">
                      <wp:simplePos x="0" y="0"/>
                      <wp:positionH relativeFrom="column">
                        <wp:posOffset>88265</wp:posOffset>
                      </wp:positionH>
                      <wp:positionV relativeFrom="paragraph">
                        <wp:posOffset>810895</wp:posOffset>
                      </wp:positionV>
                      <wp:extent cx="1405890" cy="1127760"/>
                      <wp:effectExtent l="0" t="0" r="3810" b="15240"/>
                      <wp:wrapNone/>
                      <wp:docPr id="38" name="ID_9FF56E5423A2458AA24ADBED254BEA63"/>
                      <wp:cNvGraphicFramePr/>
                      <a:graphic xmlns:a="http://schemas.openxmlformats.org/drawingml/2006/main">
                        <a:graphicData uri="http://schemas.openxmlformats.org/drawingml/2006/picture">
                          <pic:pic xmlns:pic="http://schemas.openxmlformats.org/drawingml/2006/picture">
                            <pic:nvPicPr>
                              <pic:cNvPr id="177" name="ID_9FF56E5423A2458AA24ADBED254BEA63"/>
                              <pic:cNvPicPr/>
                              <pic:nvPr/>
                            </pic:nvPicPr>
                            <pic:blipFill>
                              <a:blip r:embed="rId47"/>
                              <a:stretch/>
                            </pic:blipFill>
                            <pic:spPr bwMode="auto">
                              <a:xfrm>
                                <a:off x="0" y="0"/>
                                <a:ext cx="1405890" cy="11277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1693056;o:allowoverlap:true;o:allowincell:true;mso-position-horizontal-relative:text;margin-left:6.9pt;mso-position-horizontal:absolute;mso-position-vertical-relative:text;margin-top:63.8pt;mso-position-vertical:absolute;width:110.7pt;height:88.8pt;mso-wrap-distance-left:9.0pt;mso-wrap-distance-top:0.0pt;mso-wrap-distance-right:9.0pt;mso-wrap-distance-bottom:0.0pt;" stroked="f">
                      <v:path textboxrect="0,0,0,0"/>
                      <v:imagedata r:id="rId47"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38</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沙水收纳</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规格：300*65*210cm，材质：镀锌钢管、现代科技木、沥青瓦、PE板等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1.整体框架采用4*4cm，壁厚2.0mm钢管焊接而成，整体加工经特殊工艺除锈，抛沙处理。表面处理：CO2 保护焊、经喷丸技术处理、然后经过抛光处理、室外聚酯系树脂粉体涂装高温电磁烤漆、高温固化、防锈性能特强，表面光滑，抗紫外线，色泽艳丽，不易脱落。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2.板材采用现代科技木，厚度20mm，科技木防水、防潮、耐候，从根本上解决了木制产品在潮湿多水环境中易腐烂和膨胀变形的问题。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3.顶部内层做防水处理，外铺沥青瓦，沥青瓦色彩丰富，隔热保温，耐用不破碎，可抵御光照、冷热，雨水和冰冻等多种气候因素引起的侵蚀等。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4.边条采用PE板封板，整体看上去有立体感。</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5.五金配件材质：采用不锈钢材质的半圆头、T型平头螺丝。外露螺丝均使用不锈钢半圆、无棱角的螺丝，加不锈钢螺丝帽。螺丝需使用专用工具，具有预防任意调整功能，维护设备安全的作用。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6.其他：所有接触面材料均经倒圆角处理。所有产品外表面和内表面以及儿童手指可触及无任何毛刺及尖锐的棱角。</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94080" behindDoc="0" locked="0" layoutInCell="1" allowOverlap="1">
                      <wp:simplePos x="0" y="0"/>
                      <wp:positionH relativeFrom="column">
                        <wp:posOffset>50165</wp:posOffset>
                      </wp:positionH>
                      <wp:positionV relativeFrom="paragraph">
                        <wp:posOffset>1186180</wp:posOffset>
                      </wp:positionV>
                      <wp:extent cx="1688465" cy="1077595"/>
                      <wp:effectExtent l="0" t="0" r="6985" b="8255"/>
                      <wp:wrapNone/>
                      <wp:docPr id="39" name="ID_6EB2AFADB64C4A0F9FB2F03F55D707DD"/>
                      <wp:cNvGraphicFramePr/>
                      <a:graphic xmlns:a="http://schemas.openxmlformats.org/drawingml/2006/main">
                        <a:graphicData uri="http://schemas.openxmlformats.org/drawingml/2006/picture">
                          <pic:pic xmlns:pic="http://schemas.openxmlformats.org/drawingml/2006/picture">
                            <pic:nvPicPr>
                              <pic:cNvPr id="178" name="ID_6EB2AFADB64C4A0F9FB2F03F55D707DD"/>
                              <pic:cNvPicPr/>
                              <pic:nvPr/>
                            </pic:nvPicPr>
                            <pic:blipFill>
                              <a:blip r:embed="rId48"/>
                              <a:stretch/>
                            </pic:blipFill>
                            <pic:spPr bwMode="auto">
                              <a:xfrm>
                                <a:off x="0" y="0"/>
                                <a:ext cx="1688465" cy="10775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position:absolute;z-index:251694080;o:allowoverlap:true;o:allowincell:true;mso-position-horizontal-relative:text;margin-left:3.9pt;mso-position-horizontal:absolute;mso-position-vertical-relative:text;margin-top:93.4pt;mso-position-vertical:absolute;width:132.9pt;height:84.8pt;mso-wrap-distance-left:9.0pt;mso-wrap-distance-top:0.0pt;mso-wrap-distance-right:9.0pt;mso-wrap-distance-bottom:0.0pt;" stroked="f">
                      <v:path textboxrect="0,0,0,0"/>
                      <v:imagedata r:id="rId48"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39</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饮水机</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1.尺寸：500*410**105mm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2.电压220V／50Hz，功率2KW，供水量40升，热胆容量6升；</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3.二温开水，水温可调节；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4.材料要求：门板／龙头／水箱／热交换器／加热管材质均为304不锈钢；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5.外观要求：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（1）柜式箱体外形，一体化显示屏；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（2）2龙头出水，采用轻触式开关控制低压电磁阀出水，配置防溅板，防止水溅孩子身上；</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（3）外形尺寸应根据学生身高设计，边角光滑、圆弧过渡；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（4）底部设置高度可调的支座，便于安装水平、稳固；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6.加热方式：采用节能热交换技术，采用步进式加热方式，将经过多级物理净化后的水加热到100℃再经热交换器内管降温至温水供饮用，不可采用冷热水直接混合，保证水100%加热到100℃，水不开则无水流出。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7.过滤技术：熔喷滤芯、活性炭滤芯；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8.安全技术要求：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（1）采用水电联动阀技术与常压式节能饮水机技术；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（2）具有安全可靠的接地方式，配备独立专用的断路器、过流保护器和漏电保护器；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（3）具有漏电防护、防干烧保护功能，保障用户人身财产安全；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（4）水箱设置泄压阀，具有防爆功能；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（5）可增配减压阀，防止放水时水压过大造成溅水情况；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9.智能化要求：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（1）智能无菌技术，定时排空水箱内部存水，确保每日饮水新鲜；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（2）设备配置滤芯更换提醒功能，滤芯使用情况一目了然；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（3）智能水芯片技术，设备使用情况可实时关注。</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95104" behindDoc="0" locked="0" layoutInCell="1" allowOverlap="1">
                      <wp:simplePos x="0" y="0"/>
                      <wp:positionH relativeFrom="column">
                        <wp:posOffset>36195</wp:posOffset>
                      </wp:positionH>
                      <wp:positionV relativeFrom="paragraph">
                        <wp:posOffset>142240</wp:posOffset>
                      </wp:positionV>
                      <wp:extent cx="1557655" cy="1332865"/>
                      <wp:effectExtent l="0" t="0" r="4445" b="635"/>
                      <wp:wrapNone/>
                      <wp:docPr id="40" name="ID_370682E91EEC42A2935AD4F33E66488F"/>
                      <wp:cNvGraphicFramePr/>
                      <a:graphic xmlns:a="http://schemas.openxmlformats.org/drawingml/2006/main">
                        <a:graphicData uri="http://schemas.openxmlformats.org/drawingml/2006/picture">
                          <pic:pic xmlns:pic="http://schemas.openxmlformats.org/drawingml/2006/picture">
                            <pic:nvPicPr>
                              <pic:cNvPr id="179" name="ID_370682E91EEC42A2935AD4F33E66488F"/>
                              <pic:cNvPicPr/>
                              <pic:nvPr/>
                            </pic:nvPicPr>
                            <pic:blipFill>
                              <a:blip r:embed="rId49"/>
                              <a:stretch/>
                            </pic:blipFill>
                            <pic:spPr bwMode="auto">
                              <a:xfrm>
                                <a:off x="0" y="0"/>
                                <a:ext cx="1557655" cy="13328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position:absolute;z-index:251695104;o:allowoverlap:true;o:allowincell:true;mso-position-horizontal-relative:text;margin-left:2.8pt;mso-position-horizontal:absolute;mso-position-vertical-relative:text;margin-top:11.2pt;mso-position-vertical:absolute;width:122.6pt;height:104.9pt;mso-wrap-distance-left:9.0pt;mso-wrap-distance-top:0.0pt;mso-wrap-distance-right:9.0pt;mso-wrap-distance-bottom:0.0pt;" stroked="f">
                      <v:path textboxrect="0,0,0,0"/>
                      <v:imagedata r:id="rId49"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40</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洗衣机</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1.规格：595*600*850mm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2.三筒洗衣机，能效等级：二级；分三区洗衣容量，大筒10kg,小筒0.6kg。</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3.全自动全开式滚筒洗衣机，标准程序耗水量：56L;洗涤容量：11KG;不锈钢内筒材质，脱水转速：1000转/分3个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4.采用母婴级巴氏温护除菌系统，呵护孩子健康，持续升温至60°相对低温，物理方式除菌螨，深层防过敏洗，安全健康。</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96128" behindDoc="0" locked="0" layoutInCell="1" allowOverlap="1">
                      <wp:simplePos x="0" y="0"/>
                      <wp:positionH relativeFrom="column">
                        <wp:posOffset>250190</wp:posOffset>
                      </wp:positionH>
                      <wp:positionV relativeFrom="paragraph">
                        <wp:posOffset>76200</wp:posOffset>
                      </wp:positionV>
                      <wp:extent cx="1159510" cy="1207135"/>
                      <wp:effectExtent l="0" t="0" r="2540" b="12065"/>
                      <wp:wrapNone/>
                      <wp:docPr id="41" name="ID_10C911F52BC94A2481A4F9CE4FFCF15F"/>
                      <wp:cNvGraphicFramePr/>
                      <a:graphic xmlns:a="http://schemas.openxmlformats.org/drawingml/2006/main">
                        <a:graphicData uri="http://schemas.openxmlformats.org/drawingml/2006/picture">
                          <pic:pic xmlns:pic="http://schemas.openxmlformats.org/drawingml/2006/picture">
                            <pic:nvPicPr>
                              <pic:cNvPr id="180" name="ID_10C911F52BC94A2481A4F9CE4FFCF15F"/>
                              <pic:cNvPicPr/>
                              <pic:nvPr/>
                            </pic:nvPicPr>
                            <pic:blipFill>
                              <a:blip r:embed="rId50"/>
                              <a:stretch/>
                            </pic:blipFill>
                            <pic:spPr bwMode="auto">
                              <a:xfrm>
                                <a:off x="0" y="0"/>
                                <a:ext cx="1159510" cy="12071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position:absolute;z-index:251696128;o:allowoverlap:true;o:allowincell:true;mso-position-horizontal-relative:text;margin-left:19.7pt;mso-position-horizontal:absolute;mso-position-vertical-relative:text;margin-top:6.0pt;mso-position-vertical:absolute;width:91.3pt;height:95.0pt;mso-wrap-distance-left:9.0pt;mso-wrap-distance-top:0.0pt;mso-wrap-distance-right:9.0pt;mso-wrap-distance-bottom:0.0pt;" stroked="f">
                      <v:path textboxrect="0,0,0,0"/>
                      <v:imagedata r:id="rId50"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41</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横版消毒柜</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1.规格：≥800*330*445mm；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2.功能：360度无死角杀菌，高浓度臭氧，快速分解细菌细胞，更安心，碗筷干爽又清新，专业发泡技术，保温隔热效果好，精密防虫网设计，避免二次污染，安全门控开关，防止孩子随意打开，安全更放心。</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97152" behindDoc="0" locked="0" layoutInCell="1" allowOverlap="1">
                      <wp:simplePos x="0" y="0"/>
                      <wp:positionH relativeFrom="column">
                        <wp:posOffset>259715</wp:posOffset>
                      </wp:positionH>
                      <wp:positionV relativeFrom="paragraph">
                        <wp:posOffset>38735</wp:posOffset>
                      </wp:positionV>
                      <wp:extent cx="1153160" cy="810260"/>
                      <wp:effectExtent l="0" t="0" r="8890" b="8890"/>
                      <wp:wrapNone/>
                      <wp:docPr id="42" name="ID_180936900F524FCC83A456FB18A5E17E"/>
                      <wp:cNvGraphicFramePr/>
                      <a:graphic xmlns:a="http://schemas.openxmlformats.org/drawingml/2006/main">
                        <a:graphicData uri="http://schemas.openxmlformats.org/drawingml/2006/picture">
                          <pic:pic xmlns:pic="http://schemas.openxmlformats.org/drawingml/2006/picture">
                            <pic:nvPicPr>
                              <pic:cNvPr id="181" name="ID_180936900F524FCC83A456FB18A5E17E"/>
                              <pic:cNvPicPr/>
                              <pic:nvPr/>
                            </pic:nvPicPr>
                            <pic:blipFill>
                              <a:blip r:embed="rId51"/>
                              <a:stretch/>
                            </pic:blipFill>
                            <pic:spPr bwMode="auto">
                              <a:xfrm>
                                <a:off x="0" y="0"/>
                                <a:ext cx="1153160" cy="810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position:absolute;z-index:251697152;o:allowoverlap:true;o:allowincell:true;mso-position-horizontal-relative:text;margin-left:20.4pt;mso-position-horizontal:absolute;mso-position-vertical-relative:text;margin-top:3.0pt;mso-position-vertical:absolute;width:90.8pt;height:63.8pt;mso-wrap-distance-left:9.0pt;mso-wrap-distance-top:0.0pt;mso-wrap-distance-right:9.0pt;mso-wrap-distance-bottom:0.0pt;" stroked="f">
                      <v:path textboxrect="0,0,0,0"/>
                      <v:imagedata r:id="rId51"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42</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竖版消毒柜</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1.总容量：≥70L，双门双层设计，上下室独立控制；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2.规格：≥宽420mm × 深335mm × 高790mm；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3.消毒星级：国标二星级，杀菌率≥99.99%，可杀灭脊髓灰质炎病毒、幽门螺杆菌等顽固病原体；</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4.消毒方式：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上室：紫外线+臭氧+中温烘干（60-80℃），适合塑料、木质、毛巾等不耐高温物品；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下室：125℃高温消毒，适合陶瓷、不锈钢等耐高温餐具；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5.材质与工艺：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箱体材质：外壳采用冷轧钢板喷涂工艺，耐腐蚀、易清洁，长期使用不生锈、不掉漆；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内胆与层架：采用食品级不锈钢材质（304/430 均可），耐腐蚀、耐高温，无有害物质析出；层架可灵活拆卸，便于清洁；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门体工艺：透明钢化玻璃门，带儿童安全锁，防止幼儿误触；门体密封胶条耐高温、无异味，长期使用不老化；</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安全防护：具备过热保护、防干烧保护功能；底部带防滑脚垫，运行稳定无倾倒风险；</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烘干功能：支持热风烘干，消毒后餐具无残留水分，防止滋生细菌；</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双室独立：上下室可单独启动，满足不同材质物品的消毒需求，节能省电；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静音运行：工作噪音≤55dB (A)，不影响日常工作。</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98176" behindDoc="0" locked="0" layoutInCell="1" allowOverlap="1">
                      <wp:simplePos x="0" y="0"/>
                      <wp:positionH relativeFrom="column">
                        <wp:posOffset>386080</wp:posOffset>
                      </wp:positionH>
                      <wp:positionV relativeFrom="paragraph">
                        <wp:posOffset>579120</wp:posOffset>
                      </wp:positionV>
                      <wp:extent cx="1035685" cy="1267460"/>
                      <wp:effectExtent l="0" t="0" r="12065" b="8890"/>
                      <wp:wrapNone/>
                      <wp:docPr id="43" name="图片_140"/>
                      <wp:cNvGraphicFramePr/>
                      <a:graphic xmlns:a="http://schemas.openxmlformats.org/drawingml/2006/main">
                        <a:graphicData uri="http://schemas.openxmlformats.org/drawingml/2006/picture">
                          <pic:pic xmlns:pic="http://schemas.openxmlformats.org/drawingml/2006/picture">
                            <pic:nvPicPr>
                              <pic:cNvPr id="182" name="图片_140"/>
                              <pic:cNvPicPr/>
                              <pic:nvPr/>
                            </pic:nvPicPr>
                            <pic:blipFill>
                              <a:blip r:embed="rId52"/>
                              <a:stretch/>
                            </pic:blipFill>
                            <pic:spPr bwMode="auto">
                              <a:xfrm>
                                <a:off x="0" y="0"/>
                                <a:ext cx="1035685" cy="12674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position:absolute;z-index:251698176;o:allowoverlap:true;o:allowincell:true;mso-position-horizontal-relative:text;margin-left:30.4pt;mso-position-horizontal:absolute;mso-position-vertical-relative:text;margin-top:45.6pt;mso-position-vertical:absolute;width:81.5pt;height:99.8pt;mso-wrap-distance-left:9.0pt;mso-wrap-distance-top:0.0pt;mso-wrap-distance-right:9.0pt;mso-wrap-distance-bottom:0.0pt;" stroked="f">
                      <v:path textboxrect="0,0,0,0"/>
                      <v:imagedata r:id="rId52"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43</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冰箱</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1.总容量：≥88L，含独立冷藏室 + 冷冻室，满足食品留样及食材储存需求；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2.控温方式：支持机械控温，温度调节范围：冷藏 0-10℃、冷冻≤-18℃；</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3.制冷方式：风冷无霜，采用全铜加粗蒸发器，制冷均匀无死角，无需人工除霜；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4.能效等级：三级及以上，符合国家节能标准；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5.运行噪音：≤40dB (A)，低噪运行，不影响日常教学与办公</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6.材质与工艺：外壳材质：喷涂钢板，表面耐腐蚀、易清洁，长期使用不生锈、不掉漆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7.门体配置：采用弹簧铰链自动回归门，关门到位自动闭合，防止食材冷气流失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8.内箱配置：一体成型内胆，无拼接缝隙，抗菌易清洁；配备可调节层架，适配不同尺寸留样盒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9.核心部件：采用环保高效压缩机，运行稳定、低噪节能；管路采用全铜材质，制冷效率高、耐腐蚀</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99200" behindDoc="0" locked="0" layoutInCell="1" allowOverlap="1">
                      <wp:simplePos x="0" y="0"/>
                      <wp:positionH relativeFrom="column">
                        <wp:posOffset>408940</wp:posOffset>
                      </wp:positionH>
                      <wp:positionV relativeFrom="paragraph">
                        <wp:posOffset>500380</wp:posOffset>
                      </wp:positionV>
                      <wp:extent cx="902335" cy="1547495"/>
                      <wp:effectExtent l="0" t="0" r="12065" b="14604"/>
                      <wp:wrapNone/>
                      <wp:docPr id="44" name="ID_FB1571294BF94BB2AA485ADD9EB3E7D0"/>
                      <wp:cNvGraphicFramePr/>
                      <a:graphic xmlns:a="http://schemas.openxmlformats.org/drawingml/2006/main">
                        <a:graphicData uri="http://schemas.openxmlformats.org/drawingml/2006/picture">
                          <pic:pic xmlns:pic="http://schemas.openxmlformats.org/drawingml/2006/picture">
                            <pic:nvPicPr>
                              <pic:cNvPr id="183" name="ID_FB1571294BF94BB2AA485ADD9EB3E7D0"/>
                              <pic:cNvPicPr/>
                              <pic:nvPr/>
                            </pic:nvPicPr>
                            <pic:blipFill>
                              <a:blip r:embed="rId53"/>
                              <a:stretch/>
                            </pic:blipFill>
                            <pic:spPr bwMode="auto">
                              <a:xfrm>
                                <a:off x="0" y="0"/>
                                <a:ext cx="902335" cy="15474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position:absolute;z-index:251699200;o:allowoverlap:true;o:allowincell:true;mso-position-horizontal-relative:text;margin-left:32.2pt;mso-position-horizontal:absolute;mso-position-vertical-relative:text;margin-top:39.4pt;mso-position-vertical:absolute;width:71.0pt;height:121.8pt;mso-wrap-distance-left:9.0pt;mso-wrap-distance-top:0.0pt;mso-wrap-distance-right:9.0pt;mso-wrap-distance-bottom:0.0pt;" stroked="f">
                      <v:path textboxrect="0,0,0,0"/>
                      <v:imagedata r:id="rId53"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44</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便携式高清运动相机</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 基础参数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机身形态：迷你紧凑、口袋可携带，整体重量≤160g（不含电池 / 配件）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操作方式：触控操作，支持横竖屏构图，便于单人拍摄、记录使用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 影像性能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传感器：有效像素≥1200 万，支持高清照片输出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视频：支持 4K@30fps 及以上高清录制，支持 HDR 高动态范围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镜头：广角镜头，视角≥150°，最大光圈≥f/2.8</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对焦：支持快速自动对焦，日常场景对焦准确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 显示屏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屏幕：≥2.0 英寸彩色触控屏，支持前后双屏/翻转屏（二选一即可），方便自拍取景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显示效果：户外强光下可清晰查看画面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 防抖与音频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防抖：支持电子防抖功能，手持走动拍摄画面无明显剧烈抖动，满足日常稳定拍摄需求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收音：内置双麦克风，支持立体声录音，具备基础降噪功能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接口：Type-C 接口，支持充电、数据传输；支持 TF 卡扩展，单卡最大支持≥128GB</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 续航与防护</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续航：内置锂电池，4K@30fps 连续录制≥45 分钟；支持快充、边充边录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防护：支持防水功能（可搭配专用防水壳实现水下拍摄），具备基础防尘防泼溅能力</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 功能与配件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无线连接：内置 WiFi / 蓝牙，支持手机 APP 连接、预览、下载、遥控拍摄</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附加功能：支持延时拍摄、慢动作等常用拍摄功能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配件：标配充电线、说明书，兼容通用三脚架、胸带、头盔支架等配件</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00224" behindDoc="0" locked="0" layoutInCell="1" allowOverlap="1">
                      <wp:simplePos x="0" y="0"/>
                      <wp:positionH relativeFrom="column">
                        <wp:posOffset>401955</wp:posOffset>
                      </wp:positionH>
                      <wp:positionV relativeFrom="paragraph">
                        <wp:posOffset>1558290</wp:posOffset>
                      </wp:positionV>
                      <wp:extent cx="937895" cy="1097915"/>
                      <wp:effectExtent l="0" t="0" r="14604" b="6985"/>
                      <wp:wrapNone/>
                      <wp:docPr id="45" name="图片_133"/>
                      <wp:cNvGraphicFramePr/>
                      <a:graphic xmlns:a="http://schemas.openxmlformats.org/drawingml/2006/main">
                        <a:graphicData uri="http://schemas.openxmlformats.org/drawingml/2006/picture">
                          <pic:pic xmlns:pic="http://schemas.openxmlformats.org/drawingml/2006/picture">
                            <pic:nvPicPr>
                              <pic:cNvPr id="184" name="图片_133"/>
                              <pic:cNvPicPr/>
                              <pic:nvPr/>
                            </pic:nvPicPr>
                            <pic:blipFill>
                              <a:blip r:embed="rId54"/>
                              <a:stretch/>
                            </pic:blipFill>
                            <pic:spPr bwMode="auto">
                              <a:xfrm>
                                <a:off x="0" y="0"/>
                                <a:ext cx="937895" cy="10979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position:absolute;z-index:251700224;o:allowoverlap:true;o:allowincell:true;mso-position-horizontal-relative:text;margin-left:31.6pt;mso-position-horizontal:absolute;mso-position-vertical-relative:text;margin-top:122.7pt;mso-position-vertical:absolute;width:73.8pt;height:86.5pt;mso-wrap-distance-left:9.0pt;mso-wrap-distance-top:0.0pt;mso-wrap-distance-right:9.0pt;mso-wrap-distance-bottom:0.0pt;" stroked="f">
                      <v:path textboxrect="0,0,0,0"/>
                      <v:imagedata r:id="rId54"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45</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高清数码相机</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核心技术参数：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1.基础成像性能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有效像素：≥2400万像素，CMOS 传感器，支持高清照片输出，满足活动拍摄、资料存档、后期基础裁切需求；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连拍性能：最高连拍速度≥5 张 / 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视频性能：支持4K/30P及以上超高清视频录制，支持延时摄影、慢动作基础拍摄功能；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基础感光度：支持 ISO100-3200 常规感光度范围，室内弱光场景可正常拍摄；</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2.机身与操控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显示屏：≥3 英寸高清触控液晶屏，支持触控操作、照片放大回放；</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对焦系统：支持自动对焦 +人脸检测对焦，拍摄人物时对焦快速准确，满足日常活动拍摄需求；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机身材质：高强度工程塑料机身，握持舒适，防刮耐摔；</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镜头配置：标配标准镜头（变焦/定焦、固定/可换均可），覆盖日常拍摄焦段，满足室内外拍摄需求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3.配件与配套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存储设备：含64GB及以上U3级高速SD卡，支持4K视频连续录制、大量照片存储；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标准配件：标配原装电池、充电器、Type-C 数据线、产品说明书、专用收纳包；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拓展支持：支持外接三脚架、外接电源等拓展配件；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 基础功能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无线连接：内置 WiFi+蓝牙，支持照片无线传输至电脑；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电池续航：单电池可拍摄≥250张照片；</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实用功能：支持定时拍摄、美颜滤镜、场景模式等基础功能，操作简单易上手。</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01248" behindDoc="0" locked="0" layoutInCell="1" allowOverlap="1">
                      <wp:simplePos x="0" y="0"/>
                      <wp:positionH relativeFrom="column">
                        <wp:posOffset>394335</wp:posOffset>
                      </wp:positionH>
                      <wp:positionV relativeFrom="paragraph">
                        <wp:posOffset>1132205</wp:posOffset>
                      </wp:positionV>
                      <wp:extent cx="1195705" cy="1393825"/>
                      <wp:effectExtent l="0" t="0" r="4445" b="15875"/>
                      <wp:wrapNone/>
                      <wp:docPr id="46" name="图片_134"/>
                      <wp:cNvGraphicFramePr/>
                      <a:graphic xmlns:a="http://schemas.openxmlformats.org/drawingml/2006/main">
                        <a:graphicData uri="http://schemas.openxmlformats.org/drawingml/2006/picture">
                          <pic:pic xmlns:pic="http://schemas.openxmlformats.org/drawingml/2006/picture">
                            <pic:nvPicPr>
                              <pic:cNvPr id="185" name="图片_134"/>
                              <pic:cNvPicPr/>
                              <pic:nvPr/>
                            </pic:nvPicPr>
                            <pic:blipFill>
                              <a:blip r:embed="rId55"/>
                              <a:stretch/>
                            </pic:blipFill>
                            <pic:spPr bwMode="auto">
                              <a:xfrm>
                                <a:off x="0" y="0"/>
                                <a:ext cx="1195705" cy="1393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position:absolute;z-index:251701248;o:allowoverlap:true;o:allowincell:true;mso-position-horizontal-relative:text;margin-left:31.0pt;mso-position-horizontal:absolute;mso-position-vertical-relative:text;margin-top:89.1pt;mso-position-vertical:absolute;width:94.1pt;height:109.8pt;mso-wrap-distance-left:9.0pt;mso-wrap-distance-top:0.0pt;mso-wrap-distance-right:9.0pt;mso-wrap-distance-bottom:0.0pt;" stroked="f">
                      <v:path textboxrect="0,0,0,0"/>
                      <v:imagedata r:id="rId55"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46</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移动紫外</w:t>
            </w:r>
            <w:r>
              <w:rPr>
                <w:rFonts w:hint="eastAsia" w:ascii="宋体" w:hAnsi="宋体" w:eastAsia="宋体" w:cs="宋体"/>
                <w:szCs w:val="21"/>
                <w:lang w:val="en-US" w:eastAsia="zh-CN" w:bidi="ar"/>
              </w:rPr>
              <w:br/>
            </w:r>
            <w:r>
              <w:rPr>
                <w:rFonts w:hint="eastAsia" w:ascii="宋体" w:hAnsi="宋体" w:eastAsia="宋体" w:cs="宋体"/>
                <w:szCs w:val="21"/>
                <w:lang w:val="en-US" w:eastAsia="zh-CN" w:bidi="ar"/>
              </w:rPr>
              <w:t xml:space="preserve">线消毒灯</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 107*28*22；紫外线灯管长度：92cm；紫外线波长：253.7nm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2.工艺：电源电压220V50Hz,功率为2*30W,灯臂可以调节，调节用度0-180度。采用双灯管结构，也可单独使用，不用时可垂放，关上保护门，以免灯管破坏，又能保持灯管清洁。定位灯脚座，间距固定，不易变形。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3.功能：具备智能遥控、定时功能、灵活万向轮，产品传动部位采用了内置式分离结构，高强度韧性工程塑料，具有耐氧化，抗辐射，使用寿命长等特点。</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02272" behindDoc="0" locked="0" layoutInCell="1" allowOverlap="1">
                      <wp:simplePos x="0" y="0"/>
                      <wp:positionH relativeFrom="column">
                        <wp:posOffset>524510</wp:posOffset>
                      </wp:positionH>
                      <wp:positionV relativeFrom="paragraph">
                        <wp:posOffset>178435</wp:posOffset>
                      </wp:positionV>
                      <wp:extent cx="842645" cy="1082040"/>
                      <wp:effectExtent l="0" t="0" r="14604" b="3810"/>
                      <wp:wrapNone/>
                      <wp:docPr id="47" name="ID_594FBF7EEBBA4349BE997C22658AE487"/>
                      <wp:cNvGraphicFramePr/>
                      <a:graphic xmlns:a="http://schemas.openxmlformats.org/drawingml/2006/main">
                        <a:graphicData uri="http://schemas.openxmlformats.org/drawingml/2006/picture">
                          <pic:pic xmlns:pic="http://schemas.openxmlformats.org/drawingml/2006/picture">
                            <pic:nvPicPr>
                              <pic:cNvPr id="186" name="ID_594FBF7EEBBA4349BE997C22658AE487"/>
                              <pic:cNvPicPr/>
                              <pic:nvPr/>
                            </pic:nvPicPr>
                            <pic:blipFill>
                              <a:blip r:embed="rId56"/>
                              <a:stretch/>
                            </pic:blipFill>
                            <pic:spPr bwMode="auto">
                              <a:xfrm>
                                <a:off x="0" y="0"/>
                                <a:ext cx="842644" cy="10820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position:absolute;z-index:251702272;o:allowoverlap:true;o:allowincell:true;mso-position-horizontal-relative:text;margin-left:41.3pt;mso-position-horizontal:absolute;mso-position-vertical-relative:text;margin-top:14.0pt;mso-position-vertical:absolute;width:66.3pt;height:85.2pt;mso-wrap-distance-left:9.0pt;mso-wrap-distance-top:0.0pt;mso-wrap-distance-right:9.0pt;mso-wrap-distance-bottom:0.0pt;" stroked="f">
                      <v:path textboxrect="0,0,0,0"/>
                      <v:imagedata r:id="rId56"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47</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非接触式</w:t>
            </w:r>
            <w:r>
              <w:rPr>
                <w:rFonts w:hint="eastAsia" w:ascii="宋体" w:hAnsi="宋体" w:eastAsia="宋体" w:cs="宋体"/>
                <w:szCs w:val="21"/>
                <w:lang w:val="en-US" w:eastAsia="zh-CN" w:bidi="ar"/>
              </w:rPr>
              <w:br/>
            </w:r>
            <w:r>
              <w:rPr>
                <w:rFonts w:hint="eastAsia" w:ascii="宋体" w:hAnsi="宋体" w:eastAsia="宋体" w:cs="宋体"/>
                <w:szCs w:val="21"/>
                <w:lang w:val="en-US" w:eastAsia="zh-CN" w:bidi="ar"/>
              </w:rPr>
              <w:t xml:space="preserve">测温净手一体机</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1、外观整洁、无划痕、磨损、凹陷、裂缝、变形、毛刺等缺陷，表面涂层无气泡、龟裂、脱落现象；</w:t>
            </w:r>
            <w:r>
              <w:rPr>
                <w:rFonts w:hint="eastAsia" w:ascii="宋体" w:hAnsi="宋体" w:eastAsia="宋体" w:cs="宋体"/>
                <w:i w:val="0"/>
                <w:iCs w:val="0"/>
                <w:color w:val="000000"/>
                <w:sz w:val="20"/>
                <w:szCs w:val="20"/>
                <w:u w:val="none"/>
                <w:lang w:val="en-US" w:eastAsia="zh-CN" w:bidi="ar"/>
              </w:rPr>
              <w:br/>
            </w: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03296" behindDoc="0" locked="0" layoutInCell="1" allowOverlap="1">
                      <wp:simplePos x="0" y="0"/>
                      <wp:positionH relativeFrom="column">
                        <wp:posOffset>3572510</wp:posOffset>
                      </wp:positionH>
                      <wp:positionV relativeFrom="paragraph">
                        <wp:posOffset>608965</wp:posOffset>
                      </wp:positionV>
                      <wp:extent cx="894715" cy="928370"/>
                      <wp:effectExtent l="0" t="0" r="635" b="5080"/>
                      <wp:wrapNone/>
                      <wp:docPr id="48" name="ID_144A6355FCB447FDAF324965134F626D"/>
                      <wp:cNvGraphicFramePr/>
                      <a:graphic xmlns:a="http://schemas.openxmlformats.org/drawingml/2006/main">
                        <a:graphicData uri="http://schemas.openxmlformats.org/drawingml/2006/picture">
                          <pic:pic xmlns:pic="http://schemas.openxmlformats.org/drawingml/2006/picture">
                            <pic:nvPicPr>
                              <pic:cNvPr id="187" name="ID_144A6355FCB447FDAF324965134F626D"/>
                              <pic:cNvPicPr/>
                              <pic:nvPr/>
                            </pic:nvPicPr>
                            <pic:blipFill>
                              <a:blip r:embed="rId57"/>
                              <a:stretch/>
                            </pic:blipFill>
                            <pic:spPr bwMode="auto">
                              <a:xfrm>
                                <a:off x="0" y="0"/>
                                <a:ext cx="894715" cy="9283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position:absolute;z-index:251703296;o:allowoverlap:true;o:allowincell:true;mso-position-horizontal-relative:text;margin-left:281.3pt;mso-position-horizontal:absolute;mso-position-vertical-relative:text;margin-top:47.9pt;mso-position-vertical:absolute;width:70.5pt;height:73.1pt;mso-wrap-distance-left:9.0pt;mso-wrap-distance-top:0.0pt;mso-wrap-distance-right:9.0pt;mso-wrap-distance-bottom:0.0pt;" stroked="f">
                      <v:path textboxrect="0,0,0,0"/>
                      <v:imagedata r:id="rId57" o:title=""/>
                    </v:shape>
                  </w:pict>
                </mc:Fallback>
              </mc:AlternateContent>
            </w:r>
            <w:r>
              <w:rPr>
                <w:rFonts w:hint="eastAsia" w:ascii="宋体" w:hAnsi="宋体" w:eastAsia="宋体" w:cs="宋体"/>
                <w:i w:val="0"/>
                <w:iCs w:val="0"/>
                <w:color w:val="000000"/>
                <w:sz w:val="20"/>
                <w:szCs w:val="20"/>
                <w:u w:val="none"/>
                <w:lang w:val="en-US" w:eastAsia="zh-CN" w:bidi="ar"/>
              </w:rPr>
              <w:t xml:space="preserve">2、设备采用方形倒角设计，直边加圆弧形、无棱角、无磕碰隐患；</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3、设备尺寸不超过 260mm×200mm×300mm，±误差 10%；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4、供电方式：设备具有插电式、太阳能、锂电池三种供电方式；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▲5、太阳能供电：设备具有太阳能自动充电功能，可在阳光下自动充电并进行储存，为设备使用提供电能（投标人或生产商须提供带CMA标识的检测报告复印件并加盖公章）；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▲6、非接触操控：非接触式操控，人体可在不与设备接触情况下，利用手势动作切换测温、出液等功能（投标人或生产商须提供带CMA标识的检测报告复印件并加盖公章）；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▲7、测温净手功能：设备可在人体无需任何接触情况下，同时进行手部测温与出液洗手两种功能，也可以根据需要关闭或开启某一项功能（投标人或生产商须提供带CMA标识的检测报告复印件并加盖公章）；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▲8、自动休眠：设备在一定时间无人使用后，具有自动休眠功能，降低耗电延长使用寿命（投标人或生产商须提供带CMA标识的检测报告复印件并加盖公章）；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▲9、感应唤醒：设备在休眠状态中可以根据手势动作进行唤醒，重新进入工作状态（投标人或生产商须提供带CMA标识的检测报告复印件并加盖公章）；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▲10、电机寿命：电机连续工作10万次以上（投标人或生产商须提供带CMA标识的检测报告复印件并加盖公章）；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▲12、设备安全性：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1）电源适应性：设备电源接入198V 49Hz、198V 51Hz、220V 50Hz、242V 49Hz、242V 51Hz每种组合运行检查程序一遍，设备工作正常；</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2）抗电强度：L、N～保护接地端子，承受AC1500V 60s绝缘不应被击穿；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3）接触电流：在242V与198V电压测试下，接触电流为流过模拟人体阻抗网络的电流≤3.5mA；</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（投标人或生产商须提供带CMA标识的检测报告复印件并加盖公章）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14、设备环境试验：</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1）低温负荷测试：设备在-10℃低温环境，工作24小时无异常；</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2）高温负荷测试：设备在50℃高温环境，工作24小时无异常；</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3）恒定湿热负荷测试：设备在40℃,90％RH湿度环境，工作24小时无异常；</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4）在以上三项试验后外观无凹陷、变形等缺陷，表面涂层无气泡、龟裂、脱落现象，设备硬件均正常；</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eastAsia" w:ascii="宋体" w:hAnsi="宋体" w:cs="宋体"/>
                <w:szCs w:val="21"/>
              </w:rPr>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48</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茶杯箱</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1.规格：750*130*720mm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2.材质：所有板材全部采用18mm厚AA级橡胶木机拼板，所有板边倒圆角、圆边，板面无结疤、光滑无毛刺；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3.工艺：采用环保木器漆，三底两面工艺，机器打孔、三合一连接件组装；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4.落地式，36人位，配隐形折叠纱帘，木条隔断，双开门下柜。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5.颜色由甲方最后确定。</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04320" behindDoc="0" locked="0" layoutInCell="1" allowOverlap="1">
                      <wp:simplePos x="0" y="0"/>
                      <wp:positionH relativeFrom="column">
                        <wp:posOffset>435610</wp:posOffset>
                      </wp:positionH>
                      <wp:positionV relativeFrom="paragraph">
                        <wp:posOffset>102235</wp:posOffset>
                      </wp:positionV>
                      <wp:extent cx="901700" cy="879475"/>
                      <wp:effectExtent l="0" t="0" r="12700" b="15875"/>
                      <wp:wrapNone/>
                      <wp:docPr id="49" name="ID_FC14D00BAE2E4EFD8BA93B4D51EF003D"/>
                      <wp:cNvGraphicFramePr/>
                      <a:graphic xmlns:a="http://schemas.openxmlformats.org/drawingml/2006/main">
                        <a:graphicData uri="http://schemas.openxmlformats.org/drawingml/2006/picture">
                          <pic:pic xmlns:pic="http://schemas.openxmlformats.org/drawingml/2006/picture">
                            <pic:nvPicPr>
                              <pic:cNvPr id="188" name="ID_FC14D00BAE2E4EFD8BA93B4D51EF003D"/>
                              <pic:cNvPicPr/>
                              <pic:nvPr/>
                            </pic:nvPicPr>
                            <pic:blipFill>
                              <a:blip r:embed="rId58"/>
                              <a:stretch/>
                            </pic:blipFill>
                            <pic:spPr bwMode="auto">
                              <a:xfrm>
                                <a:off x="0" y="0"/>
                                <a:ext cx="901700" cy="8794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position:absolute;z-index:251704320;o:allowoverlap:true;o:allowincell:true;mso-position-horizontal-relative:text;margin-left:34.3pt;mso-position-horizontal:absolute;mso-position-vertical-relative:text;margin-top:8.0pt;mso-position-vertical:absolute;width:71.0pt;height:69.2pt;mso-wrap-distance-left:9.0pt;mso-wrap-distance-top:0.0pt;mso-wrap-distance-right:9.0pt;mso-wrap-distance-bottom:0.0pt;" stroked="f">
                      <v:path textboxrect="0,0,0,0"/>
                      <v:imagedata r:id="rId58"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49</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玩具</w:t>
            </w:r>
            <w:r>
              <w:rPr>
                <w:rFonts w:hint="eastAsia" w:ascii="宋体" w:hAnsi="宋体" w:eastAsia="宋体" w:cs="宋体"/>
                <w:szCs w:val="21"/>
                <w:lang w:val="en-US" w:eastAsia="zh-CN" w:bidi="ar"/>
              </w:rPr>
              <w:br/>
            </w:r>
            <w:r>
              <w:rPr>
                <w:rFonts w:hint="eastAsia" w:ascii="宋体" w:hAnsi="宋体" w:eastAsia="宋体" w:cs="宋体"/>
                <w:szCs w:val="21"/>
                <w:lang w:val="en-US" w:eastAsia="zh-CN" w:bidi="ar"/>
              </w:rPr>
              <w:t xml:space="preserve">小方桌</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1.规格：600*600*550mm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2.材质：精选优质橡胶木，所有板边倒圆角、圆边，板面无结疤、光滑无毛刺；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3.工艺：采用优质清漆制成，耐水，耐黄边，高环保标准,底部防滑，稳固不摔倒。</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05344" behindDoc="0" locked="0" layoutInCell="1" allowOverlap="1">
                      <wp:simplePos x="0" y="0"/>
                      <wp:positionH relativeFrom="column">
                        <wp:posOffset>563245</wp:posOffset>
                      </wp:positionH>
                      <wp:positionV relativeFrom="paragraph">
                        <wp:posOffset>7620</wp:posOffset>
                      </wp:positionV>
                      <wp:extent cx="807085" cy="767080"/>
                      <wp:effectExtent l="0" t="0" r="12065" b="13970"/>
                      <wp:wrapNone/>
                      <wp:docPr id="50" name="ID_807FB9807FCF47408F8F17157BF2594A"/>
                      <wp:cNvGraphicFramePr/>
                      <a:graphic xmlns:a="http://schemas.openxmlformats.org/drawingml/2006/main">
                        <a:graphicData uri="http://schemas.openxmlformats.org/drawingml/2006/picture">
                          <pic:pic xmlns:pic="http://schemas.openxmlformats.org/drawingml/2006/picture">
                            <pic:nvPicPr>
                              <pic:cNvPr id="189" name="ID_807FB9807FCF47408F8F17157BF2594A"/>
                              <pic:cNvPicPr/>
                              <pic:nvPr/>
                            </pic:nvPicPr>
                            <pic:blipFill>
                              <a:blip r:embed="rId59"/>
                              <a:stretch/>
                            </pic:blipFill>
                            <pic:spPr bwMode="auto">
                              <a:xfrm>
                                <a:off x="0" y="0"/>
                                <a:ext cx="807085" cy="76707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position:absolute;z-index:251705344;o:allowoverlap:true;o:allowincell:true;mso-position-horizontal-relative:text;margin-left:44.3pt;mso-position-horizontal:absolute;mso-position-vertical-relative:text;margin-top:0.6pt;mso-position-vertical:absolute;width:63.5pt;height:60.4pt;mso-wrap-distance-left:9.0pt;mso-wrap-distance-top:0.0pt;mso-wrap-distance-right:9.0pt;mso-wrap-distance-bottom:0.0pt;" stroked="f">
                      <v:path textboxrect="0,0,0,0"/>
                      <v:imagedata r:id="rId59"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50</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长方形茶几</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1.规格：1000*500*450mm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2.材质：E0级实木颗粒板；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3.工艺：台身金属支撑架经酸洗磷化抛光等处理后，采用环氧树脂塑粉喷涂处理。电镀钢脚，钢管壁厚1.5mm厚，带可调节底脚。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4.颜色由甲方指定。</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06368" behindDoc="0" locked="0" layoutInCell="1" allowOverlap="1">
                      <wp:simplePos x="0" y="0"/>
                      <wp:positionH relativeFrom="column">
                        <wp:posOffset>200660</wp:posOffset>
                      </wp:positionH>
                      <wp:positionV relativeFrom="paragraph">
                        <wp:posOffset>98425</wp:posOffset>
                      </wp:positionV>
                      <wp:extent cx="1483360" cy="847725"/>
                      <wp:effectExtent l="0" t="0" r="2540" b="9525"/>
                      <wp:wrapNone/>
                      <wp:docPr id="51" name="ID_056715034D8B49F597A800F49EC612C1"/>
                      <wp:cNvGraphicFramePr/>
                      <a:graphic xmlns:a="http://schemas.openxmlformats.org/drawingml/2006/main">
                        <a:graphicData uri="http://schemas.openxmlformats.org/drawingml/2006/picture">
                          <pic:pic xmlns:pic="http://schemas.openxmlformats.org/drawingml/2006/picture">
                            <pic:nvPicPr>
                              <pic:cNvPr id="190" name="ID_056715034D8B49F597A800F49EC612C1"/>
                              <pic:cNvPicPr/>
                              <pic:nvPr/>
                            </pic:nvPicPr>
                            <pic:blipFill>
                              <a:blip r:embed="rId60"/>
                              <a:stretch/>
                            </pic:blipFill>
                            <pic:spPr bwMode="auto">
                              <a:xfrm>
                                <a:off x="0" y="0"/>
                                <a:ext cx="1483360" cy="847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position:absolute;z-index:251706368;o:allowoverlap:true;o:allowincell:true;mso-position-horizontal-relative:text;margin-left:15.8pt;mso-position-horizontal:absolute;mso-position-vertical-relative:text;margin-top:7.8pt;mso-position-vertical:absolute;width:116.8pt;height:66.8pt;mso-wrap-distance-left:9.0pt;mso-wrap-distance-top:0.0pt;mso-wrap-distance-right:9.0pt;mso-wrap-distance-bottom:0.0pt;" stroked="f">
                      <v:path textboxrect="0,0,0,0"/>
                      <v:imagedata r:id="rId60"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51</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会议室会议桌子</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1.规格：长480cm*高760cm*宽180cm；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2.饰面：采用厚度≥0.6mm实木木皮贴面，无节疤、腐朽、裂纹、虫眼、夹皮、变色等缺陷，用于同一件产品的木皮颜色、纹纹理一致，木纹清晰；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3.基材：采用中密度板，甲醛释放量符合国家环保标准：甲醛释放量≤8mg/100g,符合国家：中密度纤维板(GB/T11718-2009)标准。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4.油漆：采用无苯聚酯环保油漆，标准厚度为0.5mm,底着色色，五底三面油漆工艺，清晰体现实木质感。</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5.胶水：环保白乳胶，不含甲醛。</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6.颜色由甲方指定，造型根据现场实际情况进行设计。</w:t>
            </w:r>
            <w:r/>
          </w:p>
        </w:tc>
        <w:tc>
          <w:tcPr>
            <w:tcW w:w="3080" w:type="dxa"/>
            <w:vAlign w:val="top"/>
            <w:textDirection w:val="lrTb"/>
            <w:noWrap w:val="false"/>
          </w:tcPr>
          <w:p>
            <w:pPr>
              <w:jc w:val="left"/>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07392" behindDoc="0" locked="0" layoutInCell="1" allowOverlap="1">
                      <wp:simplePos x="0" y="0"/>
                      <wp:positionH relativeFrom="column">
                        <wp:posOffset>-64770</wp:posOffset>
                      </wp:positionH>
                      <wp:positionV relativeFrom="paragraph">
                        <wp:posOffset>438150</wp:posOffset>
                      </wp:positionV>
                      <wp:extent cx="1948815" cy="1094740"/>
                      <wp:effectExtent l="0" t="0" r="13335" b="10160"/>
                      <wp:wrapNone/>
                      <wp:docPr id="52" name="ID_FA70CAAE5AD9464BB6B06D83886D54D8"/>
                      <wp:cNvGraphicFramePr/>
                      <a:graphic xmlns:a="http://schemas.openxmlformats.org/drawingml/2006/main">
                        <a:graphicData uri="http://schemas.openxmlformats.org/drawingml/2006/picture">
                          <pic:pic xmlns:pic="http://schemas.openxmlformats.org/drawingml/2006/picture">
                            <pic:nvPicPr>
                              <pic:cNvPr id="191" name="ID_FA70CAAE5AD9464BB6B06D83886D54D8"/>
                              <pic:cNvPicPr/>
                              <pic:nvPr/>
                            </pic:nvPicPr>
                            <pic:blipFill>
                              <a:blip r:embed="rId61"/>
                              <a:stretch/>
                            </pic:blipFill>
                            <pic:spPr bwMode="auto">
                              <a:xfrm>
                                <a:off x="0" y="0"/>
                                <a:ext cx="1948815" cy="10947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position:absolute;z-index:251707392;o:allowoverlap:true;o:allowincell:true;mso-position-horizontal-relative:text;margin-left:-5.1pt;mso-position-horizontal:absolute;mso-position-vertical-relative:text;margin-top:34.5pt;mso-position-vertical:absolute;width:153.4pt;height:86.2pt;mso-wrap-distance-left:9.0pt;mso-wrap-distance-top:0.0pt;mso-wrap-distance-right:9.0pt;mso-wrap-distance-bottom:0.0pt;" stroked="f">
                      <v:path textboxrect="0,0,0,0"/>
                      <v:imagedata r:id="rId61"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52</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高餐桌组合</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组合配置：240cm不规则结构吧台桌 ×1 张 + 皮革坐垫高脚吧台椅 ×4 把</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1.规格尺寸：</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吧台桌：长 1800mm × 宽 500mm × 高 1050mm（桌面厚度 50mm）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吧台椅：总高 950mm × 坐高 750mm × 坐宽 400mm × 坐深 380mm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2.核心技术参数: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1.实木收纳吧台桌</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主体材质：桌面及右侧收纳柜体采用E0 级实木多层板 / 橡胶木实木，厚度 50mm，稳固不变形；左侧支撑腿为同材质实木方料</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结构设计：不规则不对称结构，右侧一体化三层开放式收纳格（单格尺寸：宽 500mm× 深 450mm× 高 300mm）；左侧双斜腿 + 横向加固杆设计，力学结构合理，整体稳固不晃动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表面处理：整体涂刷环保水性木器漆，哑光胡桃木色，纹理清晰；符合 GB 18580-2017 室内环保标准，无甲醛、无刺鼻异味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安全工艺：桌面所有边缘做 R10mm 圆角打磨，无尖锐棱角；收纳格边缘光滑无毛刺；底部加装防滑静音橡胶脚垫，保护地面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承重性能：桌面均匀承重≥100kg，收纳格单层承重≥15kg</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2.皮革坐垫高脚吧台椅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主体结构：加厚黑色铁艺椅架，壁厚≥1.2mm，一体弯曲成型；带横向金属脚踏杆，提升舒适度</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3.坐垫靠背：</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面料：耐磨耐刮超纤皮 / PU 皮革，防水防污，易清洁打理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内芯：38D 高密度高回弹海绵，久坐不塌陷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4.表面处理：铁艺架采用静电喷塑工艺，黑色哑光，防锈防刮，不易掉漆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5.安全工艺：所有边角打磨光滑，无尖锐部分；焊接牢固，焊点打磨平整；底部加装防滑静音橡胶垫</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6.承重性能：单椅均匀承重≥120kg</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ff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08416" behindDoc="0" locked="0" layoutInCell="1" allowOverlap="1">
                      <wp:simplePos x="0" y="0"/>
                      <wp:positionH relativeFrom="column">
                        <wp:posOffset>34290</wp:posOffset>
                      </wp:positionH>
                      <wp:positionV relativeFrom="paragraph">
                        <wp:posOffset>1234440</wp:posOffset>
                      </wp:positionV>
                      <wp:extent cx="1723390" cy="1442720"/>
                      <wp:effectExtent l="0" t="0" r="10160" b="5080"/>
                      <wp:wrapNone/>
                      <wp:docPr id="53" name="图片_40"/>
                      <wp:cNvGraphicFramePr/>
                      <a:graphic xmlns:a="http://schemas.openxmlformats.org/drawingml/2006/main">
                        <a:graphicData uri="http://schemas.openxmlformats.org/drawingml/2006/picture">
                          <pic:pic xmlns:pic="http://schemas.openxmlformats.org/drawingml/2006/picture">
                            <pic:nvPicPr>
                              <pic:cNvPr id="192" name="图片_40"/>
                              <pic:cNvPicPr/>
                              <pic:nvPr/>
                            </pic:nvPicPr>
                            <pic:blipFill>
                              <a:blip r:embed="rId62"/>
                              <a:stretch/>
                            </pic:blipFill>
                            <pic:spPr bwMode="auto">
                              <a:xfrm>
                                <a:off x="0" y="0"/>
                                <a:ext cx="1723390" cy="14427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position:absolute;z-index:251708416;o:allowoverlap:true;o:allowincell:true;mso-position-horizontal-relative:text;margin-left:2.7pt;mso-position-horizontal:absolute;mso-position-vertical-relative:text;margin-top:97.2pt;mso-position-vertical:absolute;width:135.7pt;height:113.6pt;mso-wrap-distance-left:9.0pt;mso-wrap-distance-top:0.0pt;mso-wrap-distance-right:9.0pt;mso-wrap-distance-bottom:0.0pt;" stroked="f">
                      <v:path textboxrect="0,0,0,0"/>
                      <v:imagedata r:id="rId62" o:title=""/>
                    </v:shape>
                  </w:pict>
                </mc:Fallback>
              </mc:AlternateContent>
            </w:r>
            <w:r/>
          </w:p>
        </w:tc>
      </w:tr>
      <w:tr>
        <w:trPr>
          <w:jc w:val="center"/>
          <w:trHeight w:val="291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53</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餐桌</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1.规格：长 1600mm × 宽 700mm × 高750mm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2.材质：采用E0级实木多层板，厚度≥45mm，整板拼接工艺，拼接缝隙≤0.5mm，桌面平整无高低差；无刺鼻异味。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3.工艺：表面涂刷环保水性木蜡油，哑光原木色，纹理清晰自然；防水防污、耐刮耐磨，日常油污用湿布即可擦拭干净。</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4.桌腿与结构：采用双立柱 + 长方形底盘支撑结构，桌腿为加厚黑色方管，壁厚≥2.0mm；底盘尺寸≥800mm×400mm，落地平稳不晃动，抗侧翻能力强。金属表面采用静电喷塑工艺，黑色哑光质感，防锈防腐蚀，不易掉漆</w:t>
            </w:r>
            <w:r/>
          </w:p>
        </w:tc>
        <w:tc>
          <w:tcPr>
            <w:tcW w:w="3080"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09440" behindDoc="0" locked="0" layoutInCell="1" allowOverlap="1">
                      <wp:simplePos x="0" y="0"/>
                      <wp:positionH relativeFrom="column">
                        <wp:posOffset>281305</wp:posOffset>
                      </wp:positionH>
                      <wp:positionV relativeFrom="paragraph">
                        <wp:posOffset>-466725</wp:posOffset>
                      </wp:positionV>
                      <wp:extent cx="1242060" cy="976630"/>
                      <wp:effectExtent l="0" t="0" r="15240" b="13970"/>
                      <wp:wrapNone/>
                      <wp:docPr id="54" name="图片_95"/>
                      <wp:cNvGraphicFramePr/>
                      <a:graphic xmlns:a="http://schemas.openxmlformats.org/drawingml/2006/main">
                        <a:graphicData uri="http://schemas.openxmlformats.org/drawingml/2006/picture">
                          <pic:pic xmlns:pic="http://schemas.openxmlformats.org/drawingml/2006/picture">
                            <pic:nvPicPr>
                              <pic:cNvPr id="193" name="图片_95"/>
                              <pic:cNvPicPr/>
                              <pic:nvPr/>
                            </pic:nvPicPr>
                            <pic:blipFill>
                              <a:blip r:embed="rId63"/>
                              <a:stretch/>
                            </pic:blipFill>
                            <pic:spPr bwMode="auto">
                              <a:xfrm>
                                <a:off x="0" y="0"/>
                                <a:ext cx="1242060" cy="9766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position:absolute;z-index:251709440;o:allowoverlap:true;o:allowincell:true;mso-position-horizontal-relative:text;margin-left:22.1pt;mso-position-horizontal:absolute;mso-position-vertical-relative:text;margin-top:-36.8pt;mso-position-vertical:absolute;width:97.8pt;height:76.9pt;mso-wrap-distance-left:9.0pt;mso-wrap-distance-top:0.0pt;mso-wrap-distance-right:9.0pt;mso-wrap-distance-bottom:0.0pt;" stroked="f">
                      <v:path textboxrect="0,0,0,0"/>
                      <v:imagedata r:id="rId63"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54</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餐椅</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1.尺寸：座高 450mm，总高 810–850mm，座深 420–450mm，座宽 450mm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2.整体框架为橡胶木实木材质，刷清水漆，座面饰面为软包，内填充高弹力海绵，坐感柔软舒适。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3.颜色由甲方指定。</w:t>
            </w:r>
            <w:r/>
          </w:p>
        </w:tc>
        <w:tc>
          <w:tcPr>
            <w:tcW w:w="3080"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10464" behindDoc="0" locked="0" layoutInCell="1" allowOverlap="1">
                      <wp:simplePos x="0" y="0"/>
                      <wp:positionH relativeFrom="column">
                        <wp:posOffset>520065</wp:posOffset>
                      </wp:positionH>
                      <wp:positionV relativeFrom="paragraph">
                        <wp:posOffset>-36195</wp:posOffset>
                      </wp:positionV>
                      <wp:extent cx="723265" cy="698500"/>
                      <wp:effectExtent l="0" t="0" r="635" b="6350"/>
                      <wp:wrapNone/>
                      <wp:docPr id="55" name="图片_75"/>
                      <wp:cNvGraphicFramePr/>
                      <a:graphic xmlns:a="http://schemas.openxmlformats.org/drawingml/2006/main">
                        <a:graphicData uri="http://schemas.openxmlformats.org/drawingml/2006/picture">
                          <pic:pic xmlns:pic="http://schemas.openxmlformats.org/drawingml/2006/picture">
                            <pic:nvPicPr>
                              <pic:cNvPr id="194" name="图片_75"/>
                              <pic:cNvPicPr/>
                              <pic:nvPr/>
                            </pic:nvPicPr>
                            <pic:blipFill>
                              <a:blip r:embed="rId64"/>
                              <a:stretch/>
                            </pic:blipFill>
                            <pic:spPr bwMode="auto">
                              <a:xfrm>
                                <a:off x="0" y="0"/>
                                <a:ext cx="723265" cy="698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position:absolute;z-index:251710464;o:allowoverlap:true;o:allowincell:true;mso-position-horizontal-relative:text;margin-left:40.9pt;mso-position-horizontal:absolute;mso-position-vertical-relative:text;margin-top:-2.8pt;mso-position-vertical:absolute;width:56.9pt;height:55.0pt;mso-wrap-distance-left:9.0pt;mso-wrap-distance-top:0.0pt;mso-wrap-distance-right:9.0pt;mso-wrap-distance-bottom:0.0pt;" stroked="f">
                      <v:path textboxrect="0,0,0,0"/>
                      <v:imagedata r:id="rId64"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55</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办公室椅</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1.规格：总宽 710mm × 总深 600mm × 总高 1040mm；坐高 485mm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2.靠背</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背框：采用全新料加纤 PP 材质一体注塑成型，强度高、韧性好，不易断裂变形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网布：高弹性透气网布，抗拉扯、不易变形，久坐不闷汗，环保无异味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腰靠：独立可上下调节腰靠，调节行程≥50mm，精准贴合腰部曲线，缓解久坐疲劳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3.坐垫</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内芯：高密度定型海绵，厚度≥10cm，回弹性好，久坐不塌陷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面料：耐磨透气亚麻布/科技布，防水防污，易清洁打理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4.扶手与框架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扶手：固定扶手，PP 材质扶手面，边角圆润打磨，握感舒适；与背框连接牢固，单扶手承重≥30kg</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脚架：加厚 Q235 钢管白色弓形脚架，壁厚≥1.2mm，一体冷弯成型，整体稳固不晃动；表面静电喷塑处理，防锈防腐蚀</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5.安全性能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所有焊接点采用满焊工艺，焊点打磨光滑，无虚焊、漏焊，整体结构稳固，单椅均匀承重≥150kg，符合国家办公家具安全标准，所有边角圆润处理，无尖锐棱角、无外露金属螺丝。</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Calibri" w:hAnsi="Calibri" w:eastAsia="宋体" w:cs="Calibri"/>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11488" behindDoc="0" locked="0" layoutInCell="1" allowOverlap="1">
                      <wp:simplePos x="0" y="0"/>
                      <wp:positionH relativeFrom="column">
                        <wp:posOffset>246380</wp:posOffset>
                      </wp:positionH>
                      <wp:positionV relativeFrom="paragraph">
                        <wp:posOffset>1461135</wp:posOffset>
                      </wp:positionV>
                      <wp:extent cx="1257300" cy="1750060"/>
                      <wp:effectExtent l="0" t="0" r="0" b="2540"/>
                      <wp:wrapNone/>
                      <wp:docPr id="56" name="图片_66"/>
                      <wp:cNvGraphicFramePr/>
                      <a:graphic xmlns:a="http://schemas.openxmlformats.org/drawingml/2006/main">
                        <a:graphicData uri="http://schemas.openxmlformats.org/drawingml/2006/picture">
                          <pic:pic xmlns:pic="http://schemas.openxmlformats.org/drawingml/2006/picture">
                            <pic:nvPicPr>
                              <pic:cNvPr id="195" name="图片_66"/>
                              <pic:cNvPicPr/>
                              <pic:nvPr/>
                            </pic:nvPicPr>
                            <pic:blipFill>
                              <a:blip r:embed="rId65"/>
                              <a:stretch/>
                            </pic:blipFill>
                            <pic:spPr bwMode="auto">
                              <a:xfrm>
                                <a:off x="0" y="0"/>
                                <a:ext cx="1257300" cy="17500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position:absolute;z-index:251711488;o:allowoverlap:true;o:allowincell:true;mso-position-horizontal-relative:text;margin-left:19.4pt;mso-position-horizontal:absolute;mso-position-vertical-relative:text;margin-top:115.0pt;mso-position-vertical:absolute;width:99.0pt;height:137.8pt;mso-wrap-distance-left:9.0pt;mso-wrap-distance-top:0.0pt;mso-wrap-distance-right:9.0pt;mso-wrap-distance-bottom:0.0pt;" stroked="f">
                      <v:path textboxrect="0,0,0,0"/>
                      <v:imagedata r:id="rId65"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56</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会议椅</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1.规格尺寸：总高 1060mm×总宽560mm× 总深 590mm；靠背高640mm ×靠背宽450mm；坐深480mm ×坐高 450mm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2.主体框架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采用加厚钢管弓形架，壁厚≥1.2mm，一体冷弯成型，力学结构合理，整体稳固不晃动；表面镜面镀铬处理，防锈防腐蚀，光亮不易掉漆。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坐垫与靠背。</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面料：耐磨耐刮 PU 皮革，防水防污，日常用湿布即可清洁，无刺鼻异味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内芯：40D 高密度高回弹海绵，久坐不塌陷，回弹性好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工艺：横向条纹绗缝工艺，走线工整均匀，边缘包边牢固，无脱线、无起皱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3.扶手系统</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电镀金属支架 + 黑色海绵扶手，握感舒适；边角圆润打磨，无尖锐毛刺；与框架连接牢固，承重≥30kg。</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4.安全与细节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所有焊接点采用满焊工艺，焊点打磨光滑平整，无虚焊、漏焊，底部四角加装防滑静音橡胶垫，保护地面不被刮花，移动无噪音，单椅均匀承重≥120kg，符合成人办公使用安全标准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6、颜色根据甲方要求选择。</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Calibri" w:hAnsi="Calibri" w:eastAsia="宋体" w:cs="Calibri"/>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12512" behindDoc="0" locked="0" layoutInCell="1" allowOverlap="1">
                      <wp:simplePos x="0" y="0"/>
                      <wp:positionH relativeFrom="column">
                        <wp:posOffset>60960</wp:posOffset>
                      </wp:positionH>
                      <wp:positionV relativeFrom="paragraph">
                        <wp:posOffset>603885</wp:posOffset>
                      </wp:positionV>
                      <wp:extent cx="1695450" cy="2087880"/>
                      <wp:effectExtent l="0" t="0" r="0" b="7620"/>
                      <wp:wrapNone/>
                      <wp:docPr id="57" name="图片_55"/>
                      <wp:cNvGraphicFramePr/>
                      <a:graphic xmlns:a="http://schemas.openxmlformats.org/drawingml/2006/main">
                        <a:graphicData uri="http://schemas.openxmlformats.org/drawingml/2006/picture">
                          <pic:pic xmlns:pic="http://schemas.openxmlformats.org/drawingml/2006/picture">
                            <pic:nvPicPr>
                              <pic:cNvPr id="196" name="图片_55"/>
                              <pic:cNvPicPr/>
                              <pic:nvPr/>
                            </pic:nvPicPr>
                            <pic:blipFill>
                              <a:blip r:embed="rId66"/>
                              <a:stretch/>
                            </pic:blipFill>
                            <pic:spPr bwMode="auto">
                              <a:xfrm>
                                <a:off x="0" y="0"/>
                                <a:ext cx="1695450" cy="20878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position:absolute;z-index:251712512;o:allowoverlap:true;o:allowincell:true;mso-position-horizontal-relative:text;margin-left:4.8pt;mso-position-horizontal:absolute;mso-position-vertical-relative:text;margin-top:47.5pt;mso-position-vertical:absolute;width:133.5pt;height:164.4pt;mso-wrap-distance-left:9.0pt;mso-wrap-distance-top:0.0pt;mso-wrap-distance-right:9.0pt;mso-wrap-distance-bottom:0.0pt;" stroked="f">
                      <v:path textboxrect="0,0,0,0"/>
                      <v:imagedata r:id="rId66"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57</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会议椅（带桌板）</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1.规格：615*560*885±5mm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2.胶壳：材质采用PP加纤材质，环保不褪色，抗裂性强，上下分体式双背框设计，符合人体工程学贴合腰部曲线，坐感舒适久坐不累；整椅：10.8KG</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3.椅架：采用32*18*1.5mm厚冷锻方圆钢管，220度高温静电喷涂，处理精细光滑、牢固抗冲击不变形。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4.网背座垫：优质透气中网背；定型海棉，弹力布面料，回弹好，坐感舒适；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5.连接件：椅背两边采用优质可活动圆柱形铝合金连接件，增加靠背倾仰功能，铝合金作精抛处理，坚固耐用，防锈防腐性高；椅架中间位置，两边采用组合式PP连接件，美观的同时也增加椅子的稳定性。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6.轮子：优质尼龙万向轮，方便移动。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7.写字板：全铝合金支架+黑色PP面板，写字板面设计有多功能置物槽，可放笔、手机、平板，可侧放收纳。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8.功能：座包翻起可连排堆叠，椅架可全折叠，拆箱即用。</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13536" behindDoc="0" locked="0" layoutInCell="1" allowOverlap="1">
                      <wp:simplePos x="0" y="0"/>
                      <wp:positionH relativeFrom="column">
                        <wp:posOffset>416560</wp:posOffset>
                      </wp:positionH>
                      <wp:positionV relativeFrom="paragraph">
                        <wp:posOffset>485140</wp:posOffset>
                      </wp:positionV>
                      <wp:extent cx="1113155" cy="1252855"/>
                      <wp:effectExtent l="0" t="0" r="10795" b="4445"/>
                      <wp:wrapNone/>
                      <wp:docPr id="58" name="ID_B060124697DA4FECB7E1F3172CF3CF1E"/>
                      <wp:cNvGraphicFramePr/>
                      <a:graphic xmlns:a="http://schemas.openxmlformats.org/drawingml/2006/main">
                        <a:graphicData uri="http://schemas.openxmlformats.org/drawingml/2006/picture">
                          <pic:pic xmlns:pic="http://schemas.openxmlformats.org/drawingml/2006/picture">
                            <pic:nvPicPr>
                              <pic:cNvPr id="197" name="ID_B060124697DA4FECB7E1F3172CF3CF1E"/>
                              <pic:cNvPicPr/>
                              <pic:nvPr/>
                            </pic:nvPicPr>
                            <pic:blipFill>
                              <a:blip r:embed="rId67"/>
                              <a:stretch/>
                            </pic:blipFill>
                            <pic:spPr bwMode="auto">
                              <a:xfrm>
                                <a:off x="0" y="0"/>
                                <a:ext cx="1113155" cy="12528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position:absolute;z-index:251713536;o:allowoverlap:true;o:allowincell:true;mso-position-horizontal-relative:text;margin-left:32.8pt;mso-position-horizontal:absolute;mso-position-vertical-relative:text;margin-top:38.2pt;mso-position-vertical:absolute;width:87.6pt;height:98.6pt;mso-wrap-distance-left:9.0pt;mso-wrap-distance-top:0.0pt;mso-wrap-distance-right:9.0pt;mso-wrap-distance-bottom:0.0pt;" stroked="f">
                      <v:path textboxrect="0,0,0,0"/>
                      <v:imagedata r:id="rId67"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58</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钢琴凳</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1.尺寸：750*350*490mm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2.结构工艺：稳固实木或高密度板框架，软包皮质座面，可升降调节高度，防滑静音，安全圆角设计，耐用易清洁，符合校园使用标准。</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14560" behindDoc="0" locked="0" layoutInCell="1" allowOverlap="1">
                      <wp:simplePos x="0" y="0"/>
                      <wp:positionH relativeFrom="column">
                        <wp:posOffset>487680</wp:posOffset>
                      </wp:positionH>
                      <wp:positionV relativeFrom="paragraph">
                        <wp:posOffset>31115</wp:posOffset>
                      </wp:positionV>
                      <wp:extent cx="821055" cy="628650"/>
                      <wp:effectExtent l="0" t="0" r="17145" b="0"/>
                      <wp:wrapNone/>
                      <wp:docPr id="59" name="图片_10"/>
                      <wp:cNvGraphicFramePr/>
                      <a:graphic xmlns:a="http://schemas.openxmlformats.org/drawingml/2006/main">
                        <a:graphicData uri="http://schemas.openxmlformats.org/drawingml/2006/picture">
                          <pic:pic xmlns:pic="http://schemas.openxmlformats.org/drawingml/2006/picture">
                            <pic:nvPicPr>
                              <pic:cNvPr id="198" name="图片_10"/>
                              <pic:cNvPicPr/>
                              <pic:nvPr/>
                            </pic:nvPicPr>
                            <pic:blipFill>
                              <a:blip r:embed="rId68"/>
                              <a:stretch/>
                            </pic:blipFill>
                            <pic:spPr bwMode="auto">
                              <a:xfrm>
                                <a:off x="0" y="0"/>
                                <a:ext cx="821055" cy="628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position:absolute;z-index:251714560;o:allowoverlap:true;o:allowincell:true;mso-position-horizontal-relative:text;margin-left:38.4pt;mso-position-horizontal:absolute;mso-position-vertical-relative:text;margin-top:2.4pt;mso-position-vertical:absolute;width:64.6pt;height:49.5pt;mso-wrap-distance-left:9.0pt;mso-wrap-distance-top:0.0pt;mso-wrap-distance-right:9.0pt;mso-wrap-distance-bottom:0.0pt;" stroked="f">
                      <v:path textboxrect="0,0,0,0"/>
                      <v:imagedata r:id="rId68"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59</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沙发</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1.尺寸：1800*800*800mm；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2.面料：采用优质西皮；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3.坐垫采用高回弹海绵，密度≥45kg/m³；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4.内部采用优质弹簧，纵向十三道；</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5.内部框架采用优质实木，经专业干燥处理；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6.颜色由甲方指定；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7.带扶手功能。</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15584" behindDoc="0" locked="0" layoutInCell="1" allowOverlap="1">
                      <wp:simplePos x="0" y="0"/>
                      <wp:positionH relativeFrom="column">
                        <wp:posOffset>25400</wp:posOffset>
                      </wp:positionH>
                      <wp:positionV relativeFrom="paragraph">
                        <wp:posOffset>231140</wp:posOffset>
                      </wp:positionV>
                      <wp:extent cx="1801495" cy="799465"/>
                      <wp:effectExtent l="0" t="0" r="8255" b="635"/>
                      <wp:wrapNone/>
                      <wp:docPr id="60" name="图片_101"/>
                      <wp:cNvGraphicFramePr/>
                      <a:graphic xmlns:a="http://schemas.openxmlformats.org/drawingml/2006/main">
                        <a:graphicData uri="http://schemas.openxmlformats.org/drawingml/2006/picture">
                          <pic:pic xmlns:pic="http://schemas.openxmlformats.org/drawingml/2006/picture">
                            <pic:nvPicPr>
                              <pic:cNvPr id="199" name="图片_101"/>
                              <pic:cNvPicPr/>
                              <pic:nvPr/>
                            </pic:nvPicPr>
                            <pic:blipFill>
                              <a:blip r:embed="rId69"/>
                              <a:stretch/>
                            </pic:blipFill>
                            <pic:spPr bwMode="auto">
                              <a:xfrm>
                                <a:off x="0" y="0"/>
                                <a:ext cx="1801495" cy="799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position:absolute;z-index:251715584;o:allowoverlap:true;o:allowincell:true;mso-position-horizontal-relative:text;margin-left:2.0pt;mso-position-horizontal:absolute;mso-position-vertical-relative:text;margin-top:18.2pt;mso-position-vertical:absolute;width:141.8pt;height:62.9pt;mso-wrap-distance-left:9.0pt;mso-wrap-distance-top:0.0pt;mso-wrap-distance-right:9.0pt;mso-wrap-distance-bottom:0.0pt;" stroked="f">
                      <v:path textboxrect="0,0,0,0"/>
                      <v:imagedata r:id="rId69"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60</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阅读单人沙发</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1.尺寸：600×600×400mm；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2.材质：实木，环保软包 / 塑胶材质，圆角防滑。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采用辐射松木实木框架加腿，内架木框：30*50mm加粗实做成，稳固耐用，含水率在8%-12%之间，厚度≥18mm,优质透气棉麻布料，坐垫厚度160mm,密度≥35kg高回弹聚胺脂阻燃海棉，回弹性好；外表面和内表面以及手指可触及的隐蔽处，均不得有锐利的棱角、毛刺以及小五金部件露出的锐利尖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4.颜色造型由甲方指定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投标人或生产商提供沙发符合GB/T40904-2021、GB/T27717-2011、GB/T35607-2024、GB/T24253-2009标准，检测内容需包含：甲醛释放量、苯、甲苯、二甲苯、TVOC、可分解芳香胺染料、富马酸二甲酯、纺织品和皮革中五氯苯酚符合标准要求，防螨性能≥80%的带有CMA标识的检测报告并加盖公章。</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16608" behindDoc="0" locked="0" layoutInCell="1" allowOverlap="1">
                      <wp:simplePos x="0" y="0"/>
                      <wp:positionH relativeFrom="column">
                        <wp:posOffset>262255</wp:posOffset>
                      </wp:positionH>
                      <wp:positionV relativeFrom="paragraph">
                        <wp:posOffset>854075</wp:posOffset>
                      </wp:positionV>
                      <wp:extent cx="1074420" cy="1162685"/>
                      <wp:effectExtent l="0" t="0" r="11430" b="18415"/>
                      <wp:wrapNone/>
                      <wp:docPr id="61" name="ID_533F8B3CD5554393B746AF52D3CD8C04"/>
                      <wp:cNvGraphicFramePr/>
                      <a:graphic xmlns:a="http://schemas.openxmlformats.org/drawingml/2006/main">
                        <a:graphicData uri="http://schemas.openxmlformats.org/drawingml/2006/picture">
                          <pic:pic xmlns:pic="http://schemas.openxmlformats.org/drawingml/2006/picture">
                            <pic:nvPicPr>
                              <pic:cNvPr id="200" name="ID_533F8B3CD5554393B746AF52D3CD8C04"/>
                              <pic:cNvPicPr/>
                              <pic:nvPr/>
                            </pic:nvPicPr>
                            <pic:blipFill>
                              <a:blip r:embed="rId70"/>
                              <a:stretch/>
                            </pic:blipFill>
                            <pic:spPr bwMode="auto">
                              <a:xfrm>
                                <a:off x="0" y="0"/>
                                <a:ext cx="1074420" cy="11626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position:absolute;z-index:251716608;o:allowoverlap:true;o:allowincell:true;mso-position-horizontal-relative:text;margin-left:20.6pt;mso-position-horizontal:absolute;mso-position-vertical-relative:text;margin-top:67.2pt;mso-position-vertical:absolute;width:84.6pt;height:91.5pt;mso-wrap-distance-left:9.0pt;mso-wrap-distance-top:0.0pt;mso-wrap-distance-right:9.0pt;mso-wrap-distance-bottom:0.0pt;" stroked="f">
                      <v:path textboxrect="0,0,0,0"/>
                      <v:imagedata r:id="rId70"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61</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阅读双人沙发</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1.尺寸，1200×600×400mm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2.材质：实木，软包采用塑胶材质，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采用辐射松木实木框架加腿，内架木框：30*50mm加粗实做成，稳固耐用，含水率在8%-12%之间，厚度≥18mm,优质透气棉麻布料，坐垫厚度160mm,密度≥35kg高回弹聚胺脂阻燃海棉，回弹性好；外表面和内表面以及手指可触及的隐蔽处，均不得有锐利的棱角、毛刺以及小五金部件露出的锐利尖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4.颜色由甲方指定。</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17632" behindDoc="0" locked="0" layoutInCell="1" allowOverlap="1">
                      <wp:simplePos x="0" y="0"/>
                      <wp:positionH relativeFrom="column">
                        <wp:posOffset>142240</wp:posOffset>
                      </wp:positionH>
                      <wp:positionV relativeFrom="paragraph">
                        <wp:posOffset>243205</wp:posOffset>
                      </wp:positionV>
                      <wp:extent cx="1424940" cy="1098550"/>
                      <wp:effectExtent l="0" t="0" r="3810" b="6350"/>
                      <wp:wrapNone/>
                      <wp:docPr id="62" name="ID_B4C5A48008264F1286D3DF4984BA9A01"/>
                      <wp:cNvGraphicFramePr/>
                      <a:graphic xmlns:a="http://schemas.openxmlformats.org/drawingml/2006/main">
                        <a:graphicData uri="http://schemas.openxmlformats.org/drawingml/2006/picture">
                          <pic:pic xmlns:pic="http://schemas.openxmlformats.org/drawingml/2006/picture">
                            <pic:nvPicPr>
                              <pic:cNvPr id="201" name="ID_B4C5A48008264F1286D3DF4984BA9A01"/>
                              <pic:cNvPicPr/>
                              <pic:nvPr/>
                            </pic:nvPicPr>
                            <pic:blipFill>
                              <a:blip r:embed="rId71"/>
                              <a:stretch/>
                            </pic:blipFill>
                            <pic:spPr bwMode="auto">
                              <a:xfrm>
                                <a:off x="0" y="0"/>
                                <a:ext cx="1424940" cy="1098550"/>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position:absolute;z-index:251717632;o:allowoverlap:true;o:allowincell:true;mso-position-horizontal-relative:text;margin-left:11.2pt;mso-position-horizontal:absolute;mso-position-vertical-relative:text;margin-top:19.1pt;mso-position-vertical:absolute;width:112.2pt;height:86.5pt;mso-wrap-distance-left:9.0pt;mso-wrap-distance-top:0.0pt;mso-wrap-distance-right:9.0pt;mso-wrap-distance-bottom:0.0pt;" stroked="f">
                      <v:path textboxrect="0,0,0,0"/>
                      <v:imagedata r:id="rId71"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62</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成人</w:t>
            </w:r>
            <w:r>
              <w:rPr>
                <w:rFonts w:hint="eastAsia" w:ascii="宋体" w:hAnsi="宋体" w:eastAsia="宋体" w:cs="宋体"/>
                <w:szCs w:val="21"/>
                <w:lang w:val="en-US" w:eastAsia="zh-CN" w:bidi="ar"/>
              </w:rPr>
              <w:br/>
            </w:r>
            <w:r>
              <w:rPr>
                <w:rFonts w:hint="eastAsia" w:ascii="宋体" w:hAnsi="宋体" w:eastAsia="宋体" w:cs="宋体"/>
                <w:szCs w:val="21"/>
                <w:lang w:val="en-US" w:eastAsia="zh-CN" w:bidi="ar"/>
              </w:rPr>
              <w:t xml:space="preserve">沙发床</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1.规格：外径总长192cm床垫长181cm*外径宽158cm(内径145cm)*总高85cm，扶手高度52cm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2.主材：采用全实木铺板加白色钢架，厚度10cm，7cm厚度高回弹品质海绵，灰色猫抓皮布面料。</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3.颜色由甲方最后确定。</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18656" behindDoc="0" locked="0" layoutInCell="1" allowOverlap="1">
                      <wp:simplePos x="0" y="0"/>
                      <wp:positionH relativeFrom="column">
                        <wp:posOffset>511810</wp:posOffset>
                      </wp:positionH>
                      <wp:positionV relativeFrom="paragraph">
                        <wp:posOffset>29210</wp:posOffset>
                      </wp:positionV>
                      <wp:extent cx="835660" cy="838835"/>
                      <wp:effectExtent l="0" t="0" r="2540" b="18415"/>
                      <wp:wrapNone/>
                      <wp:docPr id="63" name="ID_173559B4DBA943C9A7D57320F88FBCE6"/>
                      <wp:cNvGraphicFramePr/>
                      <a:graphic xmlns:a="http://schemas.openxmlformats.org/drawingml/2006/main">
                        <a:graphicData uri="http://schemas.openxmlformats.org/drawingml/2006/picture">
                          <pic:pic xmlns:pic="http://schemas.openxmlformats.org/drawingml/2006/picture">
                            <pic:nvPicPr>
                              <pic:cNvPr id="202" name="ID_173559B4DBA943C9A7D57320F88FBCE6"/>
                              <pic:cNvPicPr/>
                              <pic:nvPr/>
                            </pic:nvPicPr>
                            <pic:blipFill>
                              <a:blip r:embed="rId72"/>
                              <a:stretch/>
                            </pic:blipFill>
                            <pic:spPr bwMode="auto">
                              <a:xfrm>
                                <a:off x="0" y="0"/>
                                <a:ext cx="835660" cy="8388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position:absolute;z-index:251718656;o:allowoverlap:true;o:allowincell:true;mso-position-horizontal-relative:text;margin-left:40.3pt;mso-position-horizontal:absolute;mso-position-vertical-relative:text;margin-top:2.3pt;mso-position-vertical:absolute;width:65.8pt;height:66.0pt;mso-wrap-distance-left:9.0pt;mso-wrap-distance-top:0.0pt;mso-wrap-distance-right:9.0pt;mso-wrap-distance-bottom:0.0pt;" stroked="f">
                      <v:path textboxrect="0,0,0,0"/>
                      <v:imagedata r:id="rId72"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63</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幼儿床</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不低于以下要求：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1.规格尺寸：1500*630*1050mm，主材：采用橡胶木实木板，厚度 18mm；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2.床板采用杉木板条，厚度 14mm。含水率在 8%-12%之间。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3.采用联通三合一连接件，床栏杆做白色浑水漆(PU)成份为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聚胺酯，耐压，三底两面工艺。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4.机器打孔，采用榫卯结构加木工专用胶配合连接件进行加固连接，结</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构合理美观，牢固耐用，重金属含量控制指标符合标准的要求；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5.整体结构稳固，不易倾倒，在棱角及边缘安全防撞设计方面，全面采</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用倒圆或倒角设计，对所有的外露面，棱角，边缘部位进行倒圆或倒角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处理，且倒圆半径不小于 10mm 或倒圆弧长不小于 15mm，没有危险锐利</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边缘，尖端及尖锐突出螺丝等；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6.结构：三层抽拉结构。</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7.其他：内两层床侧板带定向滑轮，最外层床侧板有孔洞便于攀爬。所</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有板边倒圆角，圆边，板面光滑，无毛刺，机器打孔。</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 投标人或生产商须提供橡胶木板以下带CMA标识的检测报告复印件并加盖公章：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①依据GB/T 35601-2024标准检测：挥发性有机化合物（苯、甲苯、二甲苯、总挥发性有机化合物）、可溶性重金属（铅、镉、铬、汞）均未检出；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②依据JC/T 2039-2010标准检测：防霉菌等级达到0级（无霉菌生长），试验菌种包含黑曲霉、土曲霉、宛氏拟青霉、绳状青霉、出芽短梗霉、球毛壳霉；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③依据QB/T 4371-2012标准检测：抑菌率≥99%，试验菌种包含金黄色葡萄球菌、白色念珠菌、大肠杆菌、肺炎克雷伯氏菌。</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19680" behindDoc="0" locked="0" layoutInCell="1" allowOverlap="1">
                      <wp:simplePos x="0" y="0"/>
                      <wp:positionH relativeFrom="column">
                        <wp:posOffset>90170</wp:posOffset>
                      </wp:positionH>
                      <wp:positionV relativeFrom="paragraph">
                        <wp:posOffset>1071245</wp:posOffset>
                      </wp:positionV>
                      <wp:extent cx="1736090" cy="1401445"/>
                      <wp:effectExtent l="0" t="0" r="16510" b="8255"/>
                      <wp:wrapNone/>
                      <wp:docPr id="64" name="ID_39725A3621E84A138B15C4F996E6744E"/>
                      <wp:cNvGraphicFramePr/>
                      <a:graphic xmlns:a="http://schemas.openxmlformats.org/drawingml/2006/main">
                        <a:graphicData uri="http://schemas.openxmlformats.org/drawingml/2006/picture">
                          <pic:pic xmlns:pic="http://schemas.openxmlformats.org/drawingml/2006/picture">
                            <pic:nvPicPr>
                              <pic:cNvPr id="203" name="ID_39725A3621E84A138B15C4F996E6744E"/>
                              <pic:cNvPicPr/>
                              <pic:nvPr/>
                            </pic:nvPicPr>
                            <pic:blipFill>
                              <a:blip r:embed="rId73"/>
                              <a:stretch/>
                            </pic:blipFill>
                            <pic:spPr bwMode="auto">
                              <a:xfrm>
                                <a:off x="0" y="0"/>
                                <a:ext cx="1736090" cy="14014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position:absolute;z-index:251719680;o:allowoverlap:true;o:allowincell:true;mso-position-horizontal-relative:text;margin-left:7.1pt;mso-position-horizontal:absolute;mso-position-vertical-relative:text;margin-top:84.3pt;mso-position-vertical:absolute;width:136.7pt;height:110.3pt;mso-wrap-distance-left:9.0pt;mso-wrap-distance-top:0.0pt;mso-wrap-distance-right:9.0pt;mso-wrap-distance-bottom:0.0pt;" stroked="f">
                      <v:path textboxrect="0,0,0,0"/>
                      <v:imagedata r:id="rId73"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64</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户外小型玩具1</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1.规格：330*240*110cm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2.材质：花梨木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原木经严格筛选，无开裂、死节、虫蛀；经脱脂、烘干、防腐、碳化四道工艺处理，含水率控制在8%-12%，户外使用不易变形、开裂、霉变，耐候性强；①表面处理工艺：全手工打磨三遍，所有边角倒圆R3以上，无毛刺、无尖锐棱角；表面涂刷环保水性木蜡油，无毒无异味，耐摩擦、防紫外线，不含有害重金属，幼儿接触安全。②结构连接工艺：采用榫卯+不锈钢螺栓双重加固，所有金属配件均</w:t>
            </w:r>
            <w:r>
              <w:rPr>
                <w:rFonts w:hint="eastAsia" w:ascii="宋体" w:hAnsi="宋体" w:eastAsia="宋体" w:cs="宋体"/>
                <w:i w:val="0"/>
                <w:iCs w:val="0"/>
                <w:color w:val="000000"/>
                <w:sz w:val="20"/>
                <w:szCs w:val="20"/>
                <w:u w:val="none"/>
                <w:lang w:val="en-US" w:eastAsia="zh-CN" w:bidi="ar"/>
              </w:rPr>
              <w:t xml:space="preserve">为304不锈钢材质，防锈防腐蚀；爬杆与框架连接处加装防滑胶垫，防止晃动异响；螺栓全部加装塑料保护盖，无外露尖锐点。③爬杆制作工艺：横向爬杆直径适配幼儿抓握（直径≥4cm），杆身无结疤、无裂纹，表面光滑且带适度摩擦力，防滑不硌手；爬杆间距符合幼儿肢体活动安全距离，避免夹伤风险。④整体稳定工艺：底部框架采用加宽加厚设计，可根据需求加装预埋固定件，防止使用过程中侧翻倾倒；结构经过多次承重与稳定性测试，可承受多名幼儿同时攀爬；⑤装饰件工艺：圆形装饰件为一体成型工艺，边缘光滑无毛刺，与主体框架牢固固定，无脱落风险。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4.核心结构：原木交叉框架+横向爬杆，搭配仿动物造型圆形装饰件，形成双侧可玩攀爬结构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5.安全说明 爬杆间距适配幼儿手部抓握，整体结构稳固防侧翻，边角圆角处理，无突出尖锐部件，材质环保无异味，符合幼儿户外游乐设施安全标准</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20704" behindDoc="0" locked="0" layoutInCell="1" allowOverlap="1">
                      <wp:simplePos x="0" y="0"/>
                      <wp:positionH relativeFrom="column">
                        <wp:posOffset>123190</wp:posOffset>
                      </wp:positionH>
                      <wp:positionV relativeFrom="paragraph">
                        <wp:posOffset>1164590</wp:posOffset>
                      </wp:positionV>
                      <wp:extent cx="1762125" cy="1000125"/>
                      <wp:effectExtent l="0" t="0" r="9525" b="9525"/>
                      <wp:wrapNone/>
                      <wp:docPr id="65" name="ID_0FFC6C3070CA40E39D95C68C5868D115"/>
                      <wp:cNvGraphicFramePr/>
                      <a:graphic xmlns:a="http://schemas.openxmlformats.org/drawingml/2006/main">
                        <a:graphicData uri="http://schemas.openxmlformats.org/drawingml/2006/picture">
                          <pic:pic xmlns:pic="http://schemas.openxmlformats.org/drawingml/2006/picture">
                            <pic:nvPicPr>
                              <pic:cNvPr id="204" name="ID_0FFC6C3070CA40E39D95C68C5868D115"/>
                              <pic:cNvPicPr/>
                              <pic:nvPr/>
                            </pic:nvPicPr>
                            <pic:blipFill>
                              <a:blip r:embed="rId74"/>
                              <a:stretch/>
                            </pic:blipFill>
                            <pic:spPr bwMode="auto">
                              <a:xfrm>
                                <a:off x="0" y="0"/>
                                <a:ext cx="1762125" cy="10001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position:absolute;z-index:251720704;o:allowoverlap:true;o:allowincell:true;mso-position-horizontal-relative:text;margin-left:9.7pt;mso-position-horizontal:absolute;mso-position-vertical-relative:text;margin-top:91.7pt;mso-position-vertical:absolute;width:138.8pt;height:78.8pt;mso-wrap-distance-left:9.0pt;mso-wrap-distance-top:0.0pt;mso-wrap-distance-right:9.0pt;mso-wrap-distance-bottom:0.0pt;" stroked="f">
                      <v:path textboxrect="0,0,0,0"/>
                      <v:imagedata r:id="rId74"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65</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户外小型玩具2</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1.规格：280*150*110cm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2.材质：花梨木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原木经严格筛选，无开裂、死节、虫蛀；经脱脂、烘干、防腐、碳化四道工艺处理，含水率控制在8%-12%，户外使用不易变形、开裂、霉变，耐候性强；①表面处理工艺：全手工打磨三遍，所有边角倒圆R3以上，无毛刺、无尖锐棱角；表面涂刷环保水性木蜡油，无毒无异味，耐摩擦、防紫外线，不含有害重金属，幼儿接触安全。②结构连接工艺：采用榫卯+不锈钢螺栓双重加固，所有金属配件均</w:t>
            </w:r>
            <w:r>
              <w:rPr>
                <w:rFonts w:hint="eastAsia" w:ascii="宋体" w:hAnsi="宋体" w:eastAsia="宋体" w:cs="宋体"/>
                <w:i w:val="0"/>
                <w:iCs w:val="0"/>
                <w:color w:val="000000"/>
                <w:sz w:val="20"/>
                <w:szCs w:val="20"/>
                <w:u w:val="none"/>
                <w:lang w:val="en-US" w:eastAsia="zh-CN" w:bidi="ar"/>
              </w:rPr>
              <w:t xml:space="preserve">为304不锈钢材质，防锈防腐蚀；爬杆与框架连接处加装防滑胶垫，防止晃动异响；螺栓全部加装塑料保护盖，无外露尖锐点。③爬杆制作工艺：横向爬杆直径适配幼儿抓握（直径≥4cm），杆身无结疤、无裂纹，表面光滑且带适度摩擦力，防滑不硌手；爬杆间距符合幼儿肢体活动安全距离，避免夹伤风险。④整体稳定工艺：底部框架采用加宽加厚设计，可根据需求加装预埋固定件，防止使用过程中侧翻倾倒；结构经过多次承重与稳定性测试，可承受多名幼儿同时攀爬；⑤装饰件工艺：圆形装饰件为一体成型工艺，边缘光滑无毛刺，与主体框架牢固固定，无脱落风险。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4.核心结构：原木框架+金属网格笼身，搭配仿动物造型圆形装饰件;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5.安全说明 爬杆间距适配幼儿手部抓握，整体结构稳固防侧翻，边角圆角处理，无突出尖锐部件，材质环保无异味。</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21728" behindDoc="0" locked="0" layoutInCell="1" allowOverlap="1">
                      <wp:simplePos x="0" y="0"/>
                      <wp:positionH relativeFrom="column">
                        <wp:posOffset>64135</wp:posOffset>
                      </wp:positionH>
                      <wp:positionV relativeFrom="paragraph">
                        <wp:posOffset>874395</wp:posOffset>
                      </wp:positionV>
                      <wp:extent cx="1744345" cy="920115"/>
                      <wp:effectExtent l="0" t="0" r="8255" b="13335"/>
                      <wp:wrapNone/>
                      <wp:docPr id="66" name="ID_E1767C322C4140BA975A45714D5A5C54"/>
                      <wp:cNvGraphicFramePr/>
                      <a:graphic xmlns:a="http://schemas.openxmlformats.org/drawingml/2006/main">
                        <a:graphicData uri="http://schemas.openxmlformats.org/drawingml/2006/picture">
                          <pic:pic xmlns:pic="http://schemas.openxmlformats.org/drawingml/2006/picture">
                            <pic:nvPicPr>
                              <pic:cNvPr id="205" name="ID_E1767C322C4140BA975A45714D5A5C54"/>
                              <pic:cNvPicPr/>
                              <pic:nvPr/>
                            </pic:nvPicPr>
                            <pic:blipFill>
                              <a:blip r:embed="rId75"/>
                              <a:stretch/>
                            </pic:blipFill>
                            <pic:spPr bwMode="auto">
                              <a:xfrm>
                                <a:off x="0" y="0"/>
                                <a:ext cx="1744345" cy="9201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position:absolute;z-index:251721728;o:allowoverlap:true;o:allowincell:true;mso-position-horizontal-relative:text;margin-left:5.0pt;mso-position-horizontal:absolute;mso-position-vertical-relative:text;margin-top:68.8pt;mso-position-vertical:absolute;width:137.3pt;height:72.5pt;mso-wrap-distance-left:9.0pt;mso-wrap-distance-top:0.0pt;mso-wrap-distance-right:9.0pt;mso-wrap-distance-bottom:0.0pt;" stroked="f">
                      <v:path textboxrect="0,0,0,0"/>
                      <v:imagedata r:id="rId75"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66</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可折叠地台</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1.规格：打开长度 1200mm*宽400mm *高 400mm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2.材质：不锈钢材质；壁厚≥1.5mm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3.功能：可以三折叠，防水，承重≥200kg/㎡。</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22752" behindDoc="0" locked="0" layoutInCell="1" allowOverlap="1">
                      <wp:simplePos x="0" y="0"/>
                      <wp:positionH relativeFrom="column">
                        <wp:posOffset>283845</wp:posOffset>
                      </wp:positionH>
                      <wp:positionV relativeFrom="paragraph">
                        <wp:posOffset>73025</wp:posOffset>
                      </wp:positionV>
                      <wp:extent cx="1149350" cy="431165"/>
                      <wp:effectExtent l="0" t="0" r="12700" b="6985"/>
                      <wp:wrapNone/>
                      <wp:docPr id="67" name="ID_4B2B46D8F9044007B5CCF8F4555248FA"/>
                      <wp:cNvGraphicFramePr/>
                      <a:graphic xmlns:a="http://schemas.openxmlformats.org/drawingml/2006/main">
                        <a:graphicData uri="http://schemas.openxmlformats.org/drawingml/2006/picture">
                          <pic:pic xmlns:pic="http://schemas.openxmlformats.org/drawingml/2006/picture">
                            <pic:nvPicPr>
                              <pic:cNvPr id="206" name="ID_4B2B46D8F9044007B5CCF8F4555248FA"/>
                              <pic:cNvPicPr/>
                              <pic:nvPr/>
                            </pic:nvPicPr>
                            <pic:blipFill>
                              <a:blip r:embed="rId76"/>
                              <a:stretch/>
                            </pic:blipFill>
                            <pic:spPr bwMode="auto">
                              <a:xfrm>
                                <a:off x="0" y="0"/>
                                <a:ext cx="1149350" cy="4311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position:absolute;z-index:251722752;o:allowoverlap:true;o:allowincell:true;mso-position-horizontal-relative:text;margin-left:22.3pt;mso-position-horizontal:absolute;mso-position-vertical-relative:text;margin-top:5.8pt;mso-position-vertical:absolute;width:90.5pt;height:33.9pt;mso-wrap-distance-left:9.0pt;mso-wrap-distance-top:0.0pt;mso-wrap-distance-right:9.0pt;mso-wrap-distance-bottom:0.0pt;" stroked="f">
                      <v:path textboxrect="0,0,0,0"/>
                      <v:imagedata r:id="rId76"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67</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自然角植物架</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1.尺寸：120*35*80cm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2.材质：全部采用18mm厚AA级橡胶木机拼板，经干燥处理，含水率≤12%。芯层整齐，密实度好，且无虫蛀、腐朽等缺陷。所有板边倒圆角、圆边，板面无结疤、光滑无毛刺；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3.工艺：采用环保木器漆，三底两面工艺，机器打孔、三合一连接件组装；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4.底部配4个承重尼龙万向轮。</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23776" behindDoc="0" locked="0" layoutInCell="1" allowOverlap="1">
                      <wp:simplePos x="0" y="0"/>
                      <wp:positionH relativeFrom="column">
                        <wp:posOffset>585470</wp:posOffset>
                      </wp:positionH>
                      <wp:positionV relativeFrom="paragraph">
                        <wp:posOffset>295910</wp:posOffset>
                      </wp:positionV>
                      <wp:extent cx="681990" cy="909955"/>
                      <wp:effectExtent l="0" t="0" r="3810" b="4445"/>
                      <wp:wrapNone/>
                      <wp:docPr id="68" name="ID_C15E7FDBB0BB4C1BA08C09C065EA004B"/>
                      <wp:cNvGraphicFramePr/>
                      <a:graphic xmlns:a="http://schemas.openxmlformats.org/drawingml/2006/main">
                        <a:graphicData uri="http://schemas.openxmlformats.org/drawingml/2006/picture">
                          <pic:pic xmlns:pic="http://schemas.openxmlformats.org/drawingml/2006/picture">
                            <pic:nvPicPr>
                              <pic:cNvPr id="207" name="ID_C15E7FDBB0BB4C1BA08C09C065EA004B"/>
                              <pic:cNvPicPr/>
                              <pic:nvPr/>
                            </pic:nvPicPr>
                            <pic:blipFill>
                              <a:blip r:embed="rId77"/>
                              <a:stretch/>
                            </pic:blipFill>
                            <pic:spPr bwMode="auto">
                              <a:xfrm>
                                <a:off x="0" y="0"/>
                                <a:ext cx="681990" cy="90995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position:absolute;z-index:251723776;o:allowoverlap:true;o:allowincell:true;mso-position-horizontal-relative:text;margin-left:46.1pt;mso-position-horizontal:absolute;mso-position-vertical-relative:text;margin-top:23.3pt;mso-position-vertical:absolute;width:53.7pt;height:71.6pt;mso-wrap-distance-left:9.0pt;mso-wrap-distance-top:0.0pt;mso-wrap-distance-right:9.0pt;mso-wrap-distance-bottom:0.0pt;" stroked="f">
                      <v:path textboxrect="0,0,0,0"/>
                      <v:imagedata r:id="rId77"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68</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种植箱</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1.尺寸：1000*800*400mm（两层）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2.材料：ACQ芬兰防腐木，边缘抛圆处理，外表面和内表面以及儿童手指可触及的隐蔽处，均不得有锐利的棱角、毛刺以及小五金部件露出的锐利尖锐。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3.油漆:环保型全哑光聚脂面漆，两底一面，产品所有可长期置于室外，防锈、防腐，无尖锐点，安全。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4.附件类：盖帽采用环保塑料材质；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5.金螺丝需采用子母螺丝，螺母需采用防松螺母,不锈钢膨胀螺丝。</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24800" behindDoc="0" locked="0" layoutInCell="1" allowOverlap="1">
                      <wp:simplePos x="0" y="0"/>
                      <wp:positionH relativeFrom="column">
                        <wp:posOffset>27305</wp:posOffset>
                      </wp:positionH>
                      <wp:positionV relativeFrom="paragraph">
                        <wp:posOffset>198755</wp:posOffset>
                      </wp:positionV>
                      <wp:extent cx="1830705" cy="1048385"/>
                      <wp:effectExtent l="0" t="0" r="17145" b="18415"/>
                      <wp:wrapNone/>
                      <wp:docPr id="69" name="ID_F3D457BAA1D1478FB09B17769EDBF56E"/>
                      <wp:cNvGraphicFramePr/>
                      <a:graphic xmlns:a="http://schemas.openxmlformats.org/drawingml/2006/main">
                        <a:graphicData uri="http://schemas.openxmlformats.org/drawingml/2006/picture">
                          <pic:pic xmlns:pic="http://schemas.openxmlformats.org/drawingml/2006/picture">
                            <pic:nvPicPr>
                              <pic:cNvPr id="208" name="ID_F3D457BAA1D1478FB09B17769EDBF56E"/>
                              <pic:cNvPicPr/>
                              <pic:nvPr/>
                            </pic:nvPicPr>
                            <pic:blipFill>
                              <a:blip r:embed="rId78"/>
                              <a:stretch/>
                            </pic:blipFill>
                            <pic:spPr bwMode="auto">
                              <a:xfrm>
                                <a:off x="0" y="0"/>
                                <a:ext cx="1830705" cy="10483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position:absolute;z-index:251724800;o:allowoverlap:true;o:allowincell:true;mso-position-horizontal-relative:text;margin-left:2.1pt;mso-position-horizontal:absolute;mso-position-vertical-relative:text;margin-top:15.6pt;mso-position-vertical:absolute;width:144.2pt;height:82.5pt;mso-wrap-distance-left:9.0pt;mso-wrap-distance-top:0.0pt;mso-wrap-distance-right:9.0pt;mso-wrap-distance-bottom:0.0pt;" stroked="f">
                      <v:path textboxrect="0,0,0,0"/>
                      <v:imagedata r:id="rId78"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69</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栅栏</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1.规格：单片高150cm*长100cm，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2.主材：防腐木，厚度≥18mm；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3.工艺：表面防腐处理，采用耐候木油，面漆为花园木器漆，四面涂层，木油2层，面漆2层；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4.颜色造型由甲方确认。</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25824" behindDoc="0" locked="0" layoutInCell="1" allowOverlap="1">
                      <wp:simplePos x="0" y="0"/>
                      <wp:positionH relativeFrom="column">
                        <wp:posOffset>397510</wp:posOffset>
                      </wp:positionH>
                      <wp:positionV relativeFrom="paragraph">
                        <wp:posOffset>53340</wp:posOffset>
                      </wp:positionV>
                      <wp:extent cx="892175" cy="755650"/>
                      <wp:effectExtent l="0" t="0" r="3175" b="6350"/>
                      <wp:wrapNone/>
                      <wp:docPr id="70" name="ID_7DC915DBAD8548DBAE022F8F807601D8"/>
                      <wp:cNvGraphicFramePr/>
                      <a:graphic xmlns:a="http://schemas.openxmlformats.org/drawingml/2006/main">
                        <a:graphicData uri="http://schemas.openxmlformats.org/drawingml/2006/picture">
                          <pic:pic xmlns:pic="http://schemas.openxmlformats.org/drawingml/2006/picture">
                            <pic:nvPicPr>
                              <pic:cNvPr id="209" name="ID_7DC915DBAD8548DBAE022F8F807601D8"/>
                              <pic:cNvPicPr/>
                              <pic:nvPr/>
                            </pic:nvPicPr>
                            <pic:blipFill>
                              <a:blip r:embed="rId79"/>
                              <a:stretch/>
                            </pic:blipFill>
                            <pic:spPr bwMode="auto">
                              <a:xfrm>
                                <a:off x="0" y="0"/>
                                <a:ext cx="892175" cy="755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position:absolute;z-index:251725824;o:allowoverlap:true;o:allowincell:true;mso-position-horizontal-relative:text;margin-left:31.3pt;mso-position-horizontal:absolute;mso-position-vertical-relative:text;margin-top:4.2pt;mso-position-vertical:absolute;width:70.2pt;height:59.5pt;mso-wrap-distance-left:9.0pt;mso-wrap-distance-top:0.0pt;mso-wrap-distance-right:9.0pt;mso-wrap-distance-bottom:0.0pt;" stroked="f">
                      <v:path textboxrect="0,0,0,0"/>
                      <v:imagedata r:id="rId79"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70</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拱门</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1.规格：1200*600*1600mm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2.材料：ACQ芬兰防腐木，边缘抛圆处理，外表面和内表面以及儿童手指可触及的隐蔽处，均不得有锐利的棱角、毛刺以及小五金部件露出的锐利尖锐。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3.油漆:环保型全哑光聚脂面漆，两底一面，产品所有可长期置于室外，防锈、防腐，无尖锐点，安全。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4.附件类：盖帽采用环保塑料材质；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5.金螺丝需采用子母螺丝，螺母需采用防松螺母,不锈钢膨胀螺丝。</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26848" behindDoc="0" locked="0" layoutInCell="1" allowOverlap="1">
                      <wp:simplePos x="0" y="0"/>
                      <wp:positionH relativeFrom="column">
                        <wp:posOffset>373380</wp:posOffset>
                      </wp:positionH>
                      <wp:positionV relativeFrom="paragraph">
                        <wp:posOffset>596265</wp:posOffset>
                      </wp:positionV>
                      <wp:extent cx="1028065" cy="742950"/>
                      <wp:effectExtent l="0" t="0" r="635" b="0"/>
                      <wp:wrapNone/>
                      <wp:docPr id="71" name="ID_61CB9C8AD60941A88857DF40B356796A"/>
                      <wp:cNvGraphicFramePr/>
                      <a:graphic xmlns:a="http://schemas.openxmlformats.org/drawingml/2006/main">
                        <a:graphicData uri="http://schemas.openxmlformats.org/drawingml/2006/picture">
                          <pic:pic xmlns:pic="http://schemas.openxmlformats.org/drawingml/2006/picture">
                            <pic:nvPicPr>
                              <pic:cNvPr id="210" name="ID_61CB9C8AD60941A88857DF40B356796A"/>
                              <pic:cNvPicPr/>
                              <pic:nvPr/>
                            </pic:nvPicPr>
                            <pic:blipFill>
                              <a:blip r:embed="rId80"/>
                              <a:stretch/>
                            </pic:blipFill>
                            <pic:spPr bwMode="auto">
                              <a:xfrm>
                                <a:off x="0" y="0"/>
                                <a:ext cx="1028065" cy="7429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position:absolute;z-index:251726848;o:allowoverlap:true;o:allowincell:true;mso-position-horizontal-relative:text;margin-left:29.4pt;mso-position-horizontal:absolute;mso-position-vertical-relative:text;margin-top:46.9pt;mso-position-vertical:absolute;width:81.0pt;height:58.5pt;mso-wrap-distance-left:9.0pt;mso-wrap-distance-top:0.0pt;mso-wrap-distance-right:9.0pt;mso-wrap-distance-bottom:0.0pt;" stroked="f">
                      <v:path textboxrect="0,0,0,0"/>
                      <v:imagedata r:id="rId80" o:title=""/>
                    </v:shape>
                  </w:pict>
                </mc:Fallback>
              </mc:AlternateContent>
            </w:r>
            <w:r/>
          </w:p>
        </w:tc>
      </w:tr>
      <w:tr>
        <w:trPr>
          <w:jc w:val="center"/>
          <w:trHeight w:val="1418"/>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71</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松鼠笼</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1.规格：直径30cm ，总长度30米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2.材质：不锈钢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3.功能：可伸缩不锈钢金属笼</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27872" behindDoc="0" locked="0" layoutInCell="1" allowOverlap="1">
                      <wp:simplePos x="0" y="0"/>
                      <wp:positionH relativeFrom="column">
                        <wp:posOffset>408305</wp:posOffset>
                      </wp:positionH>
                      <wp:positionV relativeFrom="paragraph">
                        <wp:posOffset>20955</wp:posOffset>
                      </wp:positionV>
                      <wp:extent cx="978535" cy="854710"/>
                      <wp:effectExtent l="0" t="0" r="12065" b="2540"/>
                      <wp:wrapNone/>
                      <wp:docPr id="72" name="ID_E22C223716C1490ABEDDA17CBE41073C"/>
                      <wp:cNvGraphicFramePr/>
                      <a:graphic xmlns:a="http://schemas.openxmlformats.org/drawingml/2006/main">
                        <a:graphicData uri="http://schemas.openxmlformats.org/drawingml/2006/picture">
                          <pic:pic xmlns:pic="http://schemas.openxmlformats.org/drawingml/2006/picture">
                            <pic:nvPicPr>
                              <pic:cNvPr id="211" name="ID_E22C223716C1490ABEDDA17CBE41073C"/>
                              <pic:cNvPicPr/>
                              <pic:nvPr/>
                            </pic:nvPicPr>
                            <pic:blipFill>
                              <a:blip r:embed="rId81"/>
                              <a:stretch/>
                            </pic:blipFill>
                            <pic:spPr bwMode="auto">
                              <a:xfrm>
                                <a:off x="0" y="0"/>
                                <a:ext cx="978535" cy="8547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position:absolute;z-index:251727872;o:allowoverlap:true;o:allowincell:true;mso-position-horizontal-relative:text;margin-left:32.1pt;mso-position-horizontal:absolute;mso-position-vertical-relative:text;margin-top:1.6pt;mso-position-vertical:absolute;width:77.0pt;height:67.3pt;mso-wrap-distance-left:9.0pt;mso-wrap-distance-top:0.0pt;mso-wrap-distance-right:9.0pt;mso-wrap-distance-bottom:0.0pt;" stroked="f">
                      <v:path textboxrect="0,0,0,0"/>
                      <v:imagedata r:id="rId81"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72</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松鼠笼房子</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规格：L600xW600xH600mm；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材质：玻璃钢，坚固耐用；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▲投标人或生产商提供“玻纤布”符合GB/T 9914.3-2013、GB/T 7689.2-2013、GB/T 18370-2014要求：①单位面积质量(g/㎡）570-630；②径向断裂强力（N）≥4700；③纬向断裂强力（N）≥4200；④经密度(根/cm)2.4-2.8；⑤纬密度(根/cm)2.2-2.6；⑥含水率（%）≤0.10的带CMA标识的检测报告并盖章。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▲投标人或生产商提供“6-8mm玻璃钢”符合GB/T 1447-2005,GB/T 1449-2005,GB/T 1451-2005要求：①厚度为6-8mm；②拉伸强度(速度:10mm/min)MPa≥78；③弯曲强度(速度:2m/min)，MPa≥147；④弯曲模量(速度:2mm/min),MPa≥7300；⑤简支梁缺口冲击韧性，J/cm²≥11.7的带CMA标识的检测报告并盖章。</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28896" behindDoc="0" locked="0" layoutInCell="1" allowOverlap="1">
                      <wp:simplePos x="0" y="0"/>
                      <wp:positionH relativeFrom="column">
                        <wp:posOffset>584835</wp:posOffset>
                      </wp:positionH>
                      <wp:positionV relativeFrom="paragraph">
                        <wp:posOffset>610870</wp:posOffset>
                      </wp:positionV>
                      <wp:extent cx="450215" cy="801370"/>
                      <wp:effectExtent l="0" t="0" r="6985" b="17780"/>
                      <wp:wrapNone/>
                      <wp:docPr id="73" name="ID_B48F6487EB6A4305A1F129797417CC1E"/>
                      <wp:cNvGraphicFramePr/>
                      <a:graphic xmlns:a="http://schemas.openxmlformats.org/drawingml/2006/main">
                        <a:graphicData uri="http://schemas.openxmlformats.org/drawingml/2006/picture">
                          <pic:pic xmlns:pic="http://schemas.openxmlformats.org/drawingml/2006/picture">
                            <pic:nvPicPr>
                              <pic:cNvPr id="212" name="ID_B48F6487EB6A4305A1F129797417CC1E"/>
                              <pic:cNvPicPr/>
                              <pic:nvPr/>
                            </pic:nvPicPr>
                            <pic:blipFill>
                              <a:blip r:embed="rId82"/>
                              <a:stretch/>
                            </pic:blipFill>
                            <pic:spPr bwMode="auto">
                              <a:xfrm>
                                <a:off x="0" y="0"/>
                                <a:ext cx="450215" cy="8013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position:absolute;z-index:251728896;o:allowoverlap:true;o:allowincell:true;mso-position-horizontal-relative:text;margin-left:46.0pt;mso-position-horizontal:absolute;mso-position-vertical-relative:text;margin-top:48.1pt;mso-position-vertical:absolute;width:35.4pt;height:63.1pt;mso-wrap-distance-left:9.0pt;mso-wrap-distance-top:0.0pt;mso-wrap-distance-right:9.0pt;mso-wrap-distance-bottom:0.0pt;" stroked="f">
                      <v:path textboxrect="0,0,0,0"/>
                      <v:imagedata r:id="rId82"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73</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动物饲养</w:t>
            </w:r>
            <w:r>
              <w:rPr>
                <w:rFonts w:hint="eastAsia" w:ascii="宋体" w:hAnsi="宋体" w:eastAsia="宋体" w:cs="宋体"/>
                <w:szCs w:val="21"/>
                <w:lang w:val="en-US" w:eastAsia="zh-CN" w:bidi="ar"/>
              </w:rPr>
              <w:br/>
            </w:r>
            <w:r>
              <w:rPr>
                <w:rFonts w:hint="eastAsia" w:ascii="宋体" w:hAnsi="宋体" w:eastAsia="宋体" w:cs="宋体"/>
                <w:szCs w:val="21"/>
                <w:lang w:val="en-US" w:eastAsia="zh-CN" w:bidi="ar"/>
              </w:rPr>
              <w:t xml:space="preserve">屋</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规格：335*70*135cm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结构组成：左侧双层鸡舍（咕咕屋）+ 中间连通活动区 + 右侧双层羊舍（咩咩屋）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核心技术参数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 主体框架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材质：防腐木，厚度≥20mm；经真空加压防腐、防虫、防白蚁处理，含水率≤18%，耐候性强；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工艺：榫卯+不锈钢螺丝双重加固结构，整体稳固抗风；所有拼接处无缝隙，防止动物逃脱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承重性能：整体框架承重≥300kg，层板承重≥50kg/㎡</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 屋顶与防水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屋顶采用沥青瓦全覆盖，防水防晒、隔热保温；屋顶坡度≥15°，排水顺畅，不积水、不漏水；屋檐伸出≥100mm，防止雨水淋湿内部饲养区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 围栏与门窗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围栏网：采用热镀锌铁丝网，丝径≥2mm，孔径≤20mm×20mm，焊接牢固，防锈防腐蚀；门窗：所有对外开门均采用实木边框+铁丝网设计，配备安全防误开锁扣；</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 功能分区设计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左侧鸡舍（咕咕屋）：长 1200mm× 宽 1200mm× 高 1700mm，双层结构；下层为活动区，上层为产蛋休息区，带2个对外开门和1个内部连通门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中间活动区：长 1200mm× 宽 1200mm× 高 1800mm，全围栏开放式设计，前后双开门，空间宽敞，适合动物活动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右侧羊舍（咩咩屋）：长 1200mm× 宽 1200mm× 高 2000mm，双层结构；下层为饲养区，上层为休息区，配备实木爬梯连接上下层，带 2 个对外开门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 安全工艺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所有可接触边角、立柱、层板均做R10mm 以上圆角打磨，无尖锐棱角、无毛刺；无外露金属螺丝；整体采用环保水性木蜡油涂刷，无甲醛、无异味，对动物和儿童安全无害。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 投标人或生产商须提供防腐木以下带CMA资质标识的检测报告复印件并加盖公章：</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依据GB/T 35601-2024、LY/T 1926-2020、JC/T 2039-2010标准检测，满足以下要求：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① 有害物质：苯、甲苯、二甲苯、总挥发性有机化合物均未检出；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② 抗菌性能：大肠埃希氏菌、金黄色葡萄球菌抗菌率≥99%，达到Ⅰ级强抗菌级；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③ 防霉性能：黑曲霉、土曲霉、出芽短梗霉防霉菌等级达到0级（无霉菌生长）。</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eastAsia" w:ascii="宋体" w:hAnsi="宋体" w:cs="宋体"/>
                <w:szCs w:val="21"/>
              </w:rPr>
            </w:r>
            <w:r/>
          </w:p>
          <w:p>
            <w:pPr>
              <w:jc w:val="center"/>
              <w:keepLines w:val="0"/>
              <w:keepNext w:val="0"/>
              <w:widowControl/>
              <w:rPr>
                <w:rFonts w:hint="eastAsia" w:ascii="宋体" w:hAnsi="宋体" w:cs="宋体"/>
                <w:szCs w:val="21"/>
              </w:rPr>
              <w:suppressLineNumbers w:val="0"/>
            </w:pPr>
            <w:r>
              <w:rPr>
                <w:rFonts w:hint="eastAsia" w:ascii="宋体" w:hAnsi="宋体" w:cs="宋体"/>
                <w:szCs w:val="21"/>
              </w:rPr>
            </w:r>
            <w:r/>
          </w:p>
          <w:p>
            <w:pPr>
              <w:jc w:val="center"/>
              <w:keepLines w:val="0"/>
              <w:keepNext w:val="0"/>
              <w:widowControl/>
              <w:rPr>
                <w:rFonts w:hint="eastAsia" w:ascii="宋体" w:hAnsi="宋体" w:cs="宋体"/>
                <w:szCs w:val="21"/>
              </w:rPr>
              <w:suppressLineNumbers w:val="0"/>
            </w:pPr>
            <w:r>
              <w:rPr>
                <w:rFonts w:hint="eastAsia" w:ascii="宋体" w:hAnsi="宋体" w:cs="宋体"/>
                <w:szCs w:val="21"/>
              </w:rPr>
            </w:r>
            <w:r/>
          </w:p>
          <w:p>
            <w:pPr>
              <w:jc w:val="center"/>
              <w:keepLines w:val="0"/>
              <w:keepNext w:val="0"/>
              <w:widowControl/>
              <w:rPr>
                <w:rFonts w:hint="eastAsia" w:ascii="宋体" w:hAnsi="宋体" w:cs="宋体"/>
                <w:szCs w:val="21"/>
              </w:rPr>
              <w:suppressLineNumbers w:val="0"/>
            </w:pPr>
            <w:r>
              <w:rPr>
                <w:rFonts w:hint="eastAsia" w:ascii="宋体" w:hAnsi="宋体" w:cs="宋体"/>
                <w:szCs w:val="21"/>
              </w:rPr>
            </w:r>
            <w:r/>
          </w:p>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29920" behindDoc="0" locked="0" layoutInCell="1" allowOverlap="1">
                      <wp:simplePos x="0" y="0"/>
                      <wp:positionH relativeFrom="column">
                        <wp:posOffset>112395</wp:posOffset>
                      </wp:positionH>
                      <wp:positionV relativeFrom="paragraph">
                        <wp:posOffset>1030605</wp:posOffset>
                      </wp:positionV>
                      <wp:extent cx="1720215" cy="730250"/>
                      <wp:effectExtent l="0" t="0" r="13335" b="12700"/>
                      <wp:wrapNone/>
                      <wp:docPr id="74" name="ID_0EC60C238E6F4E29B672E47695BCAD46"/>
                      <wp:cNvGraphicFramePr/>
                      <a:graphic xmlns:a="http://schemas.openxmlformats.org/drawingml/2006/main">
                        <a:graphicData uri="http://schemas.openxmlformats.org/drawingml/2006/picture">
                          <pic:pic xmlns:pic="http://schemas.openxmlformats.org/drawingml/2006/picture">
                            <pic:nvPicPr>
                              <pic:cNvPr id="213" name="ID_0EC60C238E6F4E29B672E47695BCAD46"/>
                              <pic:cNvPicPr/>
                              <pic:nvPr/>
                            </pic:nvPicPr>
                            <pic:blipFill>
                              <a:blip r:embed="rId83"/>
                              <a:stretch/>
                            </pic:blipFill>
                            <pic:spPr bwMode="auto">
                              <a:xfrm>
                                <a:off x="0" y="0"/>
                                <a:ext cx="1720215" cy="7302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position:absolute;z-index:251729920;o:allowoverlap:true;o:allowincell:true;mso-position-horizontal-relative:text;margin-left:8.8pt;mso-position-horizontal:absolute;mso-position-vertical-relative:text;margin-top:81.1pt;mso-position-vertical:absolute;width:135.4pt;height:57.5pt;mso-wrap-distance-left:9.0pt;mso-wrap-distance-top:0.0pt;mso-wrap-distance-right:9.0pt;mso-wrap-distance-bottom:0.0pt;" stroked="f">
                      <v:path textboxrect="0,0,0,0"/>
                      <v:imagedata r:id="rId83"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74</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垃圾分类集中投放点</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1.规格：长 3500mm× 宽 2000mm× 高 2200mm（±20mm）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2.材质：全主体防腐木结构</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3.主体结构：</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框架立柱：100mm×100mm 樟子松防腐木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横梁/椽子：80mm×80mm 同材质防腐木，榫卯+镀锌螺栓连接，无外露铁钉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屋顶：防腐木檩条 +沥青瓦（仿木纹），坡度 5°，檐口外挑150mm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整体刷两遍户外耐候木油，颜色与图片一致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4.墙体与投放口：</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外墙：18mm厚防腐木扣板，竖向安装，接缝严密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内墙底部：1.0mm 厚 304 不锈钢护板（高度 1000mm），防垃圾腐蚀</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投放口：4个分类口，防腐木边框 + 不锈钢面板，配脚踏式开启装置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标识：国标四色分类标识，UV 印刷，耐磨不褪色</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5.基础与内部：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基础：4个 C25混凝土墩（300×300×300mm），预埋镀锌连接件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通风：前后各 1 个木质百叶窗（300×400mm）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配套：4个240L 国标加厚塑料垃圾桶（对应四色）</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30944" behindDoc="0" locked="0" layoutInCell="1" allowOverlap="1">
                      <wp:simplePos x="0" y="0"/>
                      <wp:positionH relativeFrom="column">
                        <wp:posOffset>267335</wp:posOffset>
                      </wp:positionH>
                      <wp:positionV relativeFrom="paragraph">
                        <wp:posOffset>549910</wp:posOffset>
                      </wp:positionV>
                      <wp:extent cx="1546860" cy="1412875"/>
                      <wp:effectExtent l="0" t="0" r="15240" b="15875"/>
                      <wp:wrapNone/>
                      <wp:docPr id="75" name="ID_5FCFBA964163454EAE1BAC4CA77FF06D"/>
                      <wp:cNvGraphicFramePr/>
                      <a:graphic xmlns:a="http://schemas.openxmlformats.org/drawingml/2006/main">
                        <a:graphicData uri="http://schemas.openxmlformats.org/drawingml/2006/picture">
                          <pic:pic xmlns:pic="http://schemas.openxmlformats.org/drawingml/2006/picture">
                            <pic:nvPicPr>
                              <pic:cNvPr id="214" name="ID_5FCFBA964163454EAE1BAC4CA77FF06D"/>
                              <pic:cNvPicPr/>
                              <pic:nvPr/>
                            </pic:nvPicPr>
                            <pic:blipFill>
                              <a:blip r:embed="rId84"/>
                              <a:stretch/>
                            </pic:blipFill>
                            <pic:spPr bwMode="auto">
                              <a:xfrm>
                                <a:off x="0" y="0"/>
                                <a:ext cx="1546860" cy="14128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position:absolute;z-index:251730944;o:allowoverlap:true;o:allowincell:true;mso-position-horizontal-relative:text;margin-left:21.1pt;mso-position-horizontal:absolute;mso-position-vertical-relative:text;margin-top:43.3pt;mso-position-vertical:absolute;width:121.8pt;height:111.2pt;mso-wrap-distance-left:9.0pt;mso-wrap-distance-top:0.0pt;mso-wrap-distance-right:9.0pt;mso-wrap-distance-bottom:0.0pt;" stroked="f">
                      <v:path textboxrect="0,0,0,0"/>
                      <v:imagedata r:id="rId84" o:title=""/>
                    </v:shape>
                  </w:pict>
                </mc:Fallback>
              </mc:AlternateContent>
            </w:r>
            <w:r/>
          </w:p>
        </w:tc>
      </w:tr>
      <w:tr>
        <w:trPr>
          <w:jc w:val="center"/>
          <w:trHeight w:val="608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75</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保安亭</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1.规格：长 1300mm× 宽 1500mm× 高 2600mm（±10mm）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2.主体结构：主框架：80mm×80mm×2.5mm 国标热镀锌方管，满焊工艺，整体防锈处理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外墙：1.5mm 厚冷轧钢板，表面静电喷涂深灰色氟碳漆，涂层厚度≥60μm，耐候性≥5 年不褪色</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顶部：同材质钢结构，带图片同款格栅通风设计，内置防水保温层，檐口外挑 150mm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底部：10 号槽钢底座，内置防腐木龙骨 + 防滑花纹铝板地面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造型：所有边角做圆角处理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3.门窗系统：</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正面：12mm 厚钢化玻璃推拉门，配不锈钢拉手及防盗锁。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侧面：10mm 厚钢化玻璃固定窗，通透无遮挡。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玻璃：全部采用钢化玻璃，安全防爆。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4.内部标准配置：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工作台：1个不锈钢简易工作台（长 800mm× 宽 400mm× 高 750mm）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电气系统：1个配电箱（含漏电保护器）、2 个五孔插座、1盏 12W LED 吸顶灯、1个翘板开关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空调位：预留 1匹空调安装位置及专用插座。</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31968" behindDoc="0" locked="0" layoutInCell="1" allowOverlap="1">
                      <wp:simplePos x="0" y="0"/>
                      <wp:positionH relativeFrom="column">
                        <wp:posOffset>236220</wp:posOffset>
                      </wp:positionH>
                      <wp:positionV relativeFrom="paragraph">
                        <wp:posOffset>1077595</wp:posOffset>
                      </wp:positionV>
                      <wp:extent cx="1507490" cy="1541780"/>
                      <wp:effectExtent l="0" t="0" r="16510" b="1270"/>
                      <wp:wrapNone/>
                      <wp:docPr id="76" name="ID_7334D34155AF44BDA3D862C6EA17712B"/>
                      <wp:cNvGraphicFramePr/>
                      <a:graphic xmlns:a="http://schemas.openxmlformats.org/drawingml/2006/main">
                        <a:graphicData uri="http://schemas.openxmlformats.org/drawingml/2006/picture">
                          <pic:pic xmlns:pic="http://schemas.openxmlformats.org/drawingml/2006/picture">
                            <pic:nvPicPr>
                              <pic:cNvPr id="215" name="ID_7334D34155AF44BDA3D862C6EA17712B"/>
                              <pic:cNvPicPr/>
                              <pic:nvPr/>
                            </pic:nvPicPr>
                            <pic:blipFill>
                              <a:blip r:embed="rId85"/>
                              <a:stretch/>
                            </pic:blipFill>
                            <pic:spPr bwMode="auto">
                              <a:xfrm>
                                <a:off x="0" y="0"/>
                                <a:ext cx="1507490" cy="15417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position:absolute;z-index:251731968;o:allowoverlap:true;o:allowincell:true;mso-position-horizontal-relative:text;margin-left:18.6pt;mso-position-horizontal:absolute;mso-position-vertical-relative:text;margin-top:84.8pt;mso-position-vertical:absolute;width:118.7pt;height:121.4pt;mso-wrap-distance-left:9.0pt;mso-wrap-distance-top:0.0pt;mso-wrap-distance-right:9.0pt;mso-wrap-distance-bottom:0.0pt;" stroked="f">
                      <v:path textboxrect="0,0,0,0"/>
                      <v:imagedata r:id="rId85"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76</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移动</w:t>
            </w:r>
            <w:r>
              <w:rPr>
                <w:rFonts w:hint="eastAsia" w:ascii="宋体" w:hAnsi="宋体" w:eastAsia="宋体" w:cs="宋体"/>
                <w:szCs w:val="21"/>
                <w:lang w:val="en-US" w:eastAsia="zh-CN" w:bidi="ar"/>
              </w:rPr>
              <w:br/>
            </w:r>
            <w:r>
              <w:rPr>
                <w:rFonts w:hint="eastAsia" w:ascii="宋体" w:hAnsi="宋体" w:eastAsia="宋体" w:cs="宋体"/>
                <w:szCs w:val="21"/>
                <w:lang w:val="en-US" w:eastAsia="zh-CN" w:bidi="ar"/>
              </w:rPr>
              <w:t xml:space="preserve">帐篷</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规格：长 5000mm× 宽 4200mm× 边高 1800mm× 顶高 3240mm（±20mm）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1.主体框架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主立柱：50mm×50mm×1.5mm 国标热镀锌钢管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横梁 / 斜撑：40mm×40mm×1.2mm 同材质热镀锌钢管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2.篷布系统</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材质：600D 加厚牛津布，双面 PVC 涂层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性能：防水等级 IP65，抗紫外线 UPF50+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工艺：双线缝合，所有接缝处热压防水胶条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3.配套配件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固定件：12 根高强度地钉 + 6 条加粗防风拉绳 + 4 个沙袋配重</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32992" behindDoc="0" locked="0" layoutInCell="1" allowOverlap="1">
                      <wp:simplePos x="0" y="0"/>
                      <wp:positionH relativeFrom="column">
                        <wp:posOffset>127000</wp:posOffset>
                      </wp:positionH>
                      <wp:positionV relativeFrom="paragraph">
                        <wp:posOffset>277495</wp:posOffset>
                      </wp:positionV>
                      <wp:extent cx="1659890" cy="1258570"/>
                      <wp:effectExtent l="0" t="0" r="16510" b="17780"/>
                      <wp:wrapNone/>
                      <wp:docPr id="77" name="ID_D84484E837FE4E15A526EE334E8E3504"/>
                      <wp:cNvGraphicFramePr/>
                      <a:graphic xmlns:a="http://schemas.openxmlformats.org/drawingml/2006/main">
                        <a:graphicData uri="http://schemas.openxmlformats.org/drawingml/2006/picture">
                          <pic:pic xmlns:pic="http://schemas.openxmlformats.org/drawingml/2006/picture">
                            <pic:nvPicPr>
                              <pic:cNvPr id="216" name="ID_D84484E837FE4E15A526EE334E8E3504"/>
                              <pic:cNvPicPr/>
                              <pic:nvPr/>
                            </pic:nvPicPr>
                            <pic:blipFill>
                              <a:blip r:embed="rId86"/>
                              <a:stretch/>
                            </pic:blipFill>
                            <pic:spPr bwMode="auto">
                              <a:xfrm>
                                <a:off x="0" y="0"/>
                                <a:ext cx="1659889" cy="12585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position:absolute;z-index:251732992;o:allowoverlap:true;o:allowincell:true;mso-position-horizontal-relative:text;margin-left:10.0pt;mso-position-horizontal:absolute;mso-position-vertical-relative:text;margin-top:21.8pt;mso-position-vertical:absolute;width:130.7pt;height:99.1pt;mso-wrap-distance-left:9.0pt;mso-wrap-distance-top:0.0pt;mso-wrap-distance-right:9.0pt;mso-wrap-distance-bottom:0.0pt;" stroked="f">
                      <v:path textboxrect="0,0,0,0"/>
                      <v:imagedata r:id="rId86"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77</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传菜窗</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1.规格：总面积 4㎡（单扇建议尺寸 1000mm×2000mm，共 2 扇；可根据现场洞口微调）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2.材质：国标6063-T5 铝合金型材，主型材壁厚：≥1.4mm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3.工艺：表面处理：静电粉末喷涂，颜色为白色（或甲方指定），涂层均匀无脱落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4.五金配件：提拉系统：品牌专用上下提拉五金件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5.功能：可在任意位置悬停，提拉顺滑无卡顿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6.把手：不锈钢隐藏式把手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7.锁具：配备简易插销锁，关闭后可锁定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8.滑轮：尼龙静音滑轮，耐磨耐用。</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34016" behindDoc="0" locked="0" layoutInCell="1" allowOverlap="1">
                      <wp:simplePos x="0" y="0"/>
                      <wp:positionH relativeFrom="column">
                        <wp:posOffset>360680</wp:posOffset>
                      </wp:positionH>
                      <wp:positionV relativeFrom="paragraph">
                        <wp:posOffset>304165</wp:posOffset>
                      </wp:positionV>
                      <wp:extent cx="1115060" cy="1109345"/>
                      <wp:effectExtent l="0" t="0" r="8890" b="14604"/>
                      <wp:wrapNone/>
                      <wp:docPr id="78" name="ID_A8E9AB2147A84A23A19D8B8D2F703E6B"/>
                      <wp:cNvGraphicFramePr/>
                      <a:graphic xmlns:a="http://schemas.openxmlformats.org/drawingml/2006/main">
                        <a:graphicData uri="http://schemas.openxmlformats.org/drawingml/2006/picture">
                          <pic:pic xmlns:pic="http://schemas.openxmlformats.org/drawingml/2006/picture">
                            <pic:nvPicPr>
                              <pic:cNvPr id="217" name="ID_A8E9AB2147A84A23A19D8B8D2F703E6B"/>
                              <pic:cNvPicPr/>
                              <pic:nvPr/>
                            </pic:nvPicPr>
                            <pic:blipFill>
                              <a:blip r:embed="rId87"/>
                              <a:stretch/>
                            </pic:blipFill>
                            <pic:spPr bwMode="auto">
                              <a:xfrm>
                                <a:off x="0" y="0"/>
                                <a:ext cx="1115060" cy="11093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position:absolute;z-index:251734016;o:allowoverlap:true;o:allowincell:true;mso-position-horizontal-relative:text;margin-left:28.4pt;mso-position-horizontal:absolute;mso-position-vertical-relative:text;margin-top:23.9pt;mso-position-vertical:absolute;width:87.8pt;height:87.3pt;mso-wrap-distance-left:9.0pt;mso-wrap-distance-top:0.0pt;mso-wrap-distance-right:9.0pt;mso-wrap-distance-bottom:0.0pt;" stroked="f">
                      <v:path textboxrect="0,0,0,0"/>
                      <v:imagedata r:id="rId87"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78</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金钢网折叠纱门</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规格：8 平方米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金刚纱网材质：不锈钢丝，丝径：≥0.8mm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网孔规格：11 目 ×11 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表面处理：电泳喷涂，白色 / 原木色可选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性能：防蚊、防盗、防鼠、防冲击，耐腐蚀不生锈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边框型材材质：高强度铝合金型材，壁厚：≥1.2mm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表面处理：静电粉末喷涂，颜色与现有门窗协调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结构：加强型边框，抗变形能力强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五金配件 合页、拉手、锁具全部采用不锈钢材质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锁具：多点防盗锁，开启灵活，防盗性能良好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密封性能 四周加装优质硅橡胶密封条，关闭后无明显缝隙，有效防蚊虫、防尘</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35040" behindDoc="0" locked="0" layoutInCell="1" allowOverlap="1">
                      <wp:simplePos x="0" y="0"/>
                      <wp:positionH relativeFrom="column">
                        <wp:posOffset>228600</wp:posOffset>
                      </wp:positionH>
                      <wp:positionV relativeFrom="paragraph">
                        <wp:posOffset>123190</wp:posOffset>
                      </wp:positionV>
                      <wp:extent cx="1556385" cy="1628775"/>
                      <wp:effectExtent l="0" t="0" r="5715" b="9525"/>
                      <wp:wrapNone/>
                      <wp:docPr id="79" name="图片_1"/>
                      <wp:cNvGraphicFramePr/>
                      <a:graphic xmlns:a="http://schemas.openxmlformats.org/drawingml/2006/main">
                        <a:graphicData uri="http://schemas.openxmlformats.org/drawingml/2006/picture">
                          <pic:pic xmlns:pic="http://schemas.openxmlformats.org/drawingml/2006/picture">
                            <pic:nvPicPr>
                              <pic:cNvPr id="218" name="图片_1"/>
                              <pic:cNvPicPr/>
                              <pic:nvPr/>
                            </pic:nvPicPr>
                            <pic:blipFill>
                              <a:blip r:embed="rId88"/>
                              <a:stretch/>
                            </pic:blipFill>
                            <pic:spPr bwMode="auto">
                              <a:xfrm>
                                <a:off x="0" y="0"/>
                                <a:ext cx="1556385" cy="16287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position:absolute;z-index:251735040;o:allowoverlap:true;o:allowincell:true;mso-position-horizontal-relative:text;margin-left:18.0pt;mso-position-horizontal:absolute;mso-position-vertical-relative:text;margin-top:9.7pt;mso-position-vertical:absolute;width:122.5pt;height:128.2pt;mso-wrap-distance-left:9.0pt;mso-wrap-distance-top:0.0pt;mso-wrap-distance-right:9.0pt;mso-wrap-distance-bottom:0.0pt;" stroked="f">
                      <v:path textboxrect="0,0,0,0"/>
                      <v:imagedata r:id="rId88"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79</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布艺窗帘</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规格尺寸：窗户尺寸分布：班级：12400*3000*mm *12间（12 个班级）,图书室：6050*1750 mm，党员活动室：6050*1750 mm，会议室：7750**3000 mm，办公室：（3800+3800+ 4200+3350）*3000 mm；窗帘面积安装1.5倍褶皱乘以窗户面积计算；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材质：棉麻混纺，无异味、无甲醛、无有害染料。</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遮光性能：班级教室：≥100% 全遮光；功能室和办公室可按需调整，遮光率偏差≤±5%；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色牢度：耐水色牢度≥4 级，耐干摩擦色牢度≥4 级，耐日晒色牢度≥4 级，长期使用不褪色、不泛黄。</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克重：面料克重≥300g/㎡，垂感良好，不轻薄透影，抗皱性能强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滑轮：静音纳米滑轮，顺滑不响；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工艺：双线锁边，针脚均匀细密，针距≤3mm，无跳线、漏针；底边采用加重铅线设计，垂感平整，不卷边、不飘起。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褶皱处理：按 1.5 倍褶皱比例均匀打褶，褶距一致，无明显偏差；挂钩采用高强度ABS材质，承重≥5kg，不易断裂。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拼接：12.4m  太长，轨道分 3  段拼接，加接驳器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限位器：两端加限位器，防止孩子拉脱轨</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36064" behindDoc="0" locked="0" layoutInCell="1" allowOverlap="1">
                      <wp:simplePos x="0" y="0"/>
                      <wp:positionH relativeFrom="column">
                        <wp:posOffset>13335</wp:posOffset>
                      </wp:positionH>
                      <wp:positionV relativeFrom="paragraph">
                        <wp:posOffset>553720</wp:posOffset>
                      </wp:positionV>
                      <wp:extent cx="1856740" cy="1499870"/>
                      <wp:effectExtent l="0" t="0" r="10160" b="5080"/>
                      <wp:wrapNone/>
                      <wp:docPr id="80" name="ID_0163F74C2EAB4D4E94706D7D052ACEC7"/>
                      <wp:cNvGraphicFramePr/>
                      <a:graphic xmlns:a="http://schemas.openxmlformats.org/drawingml/2006/main">
                        <a:graphicData uri="http://schemas.openxmlformats.org/drawingml/2006/picture">
                          <pic:pic xmlns:pic="http://schemas.openxmlformats.org/drawingml/2006/picture">
                            <pic:nvPicPr>
                              <pic:cNvPr id="219" name="ID_0163F74C2EAB4D4E94706D7D052ACEC7"/>
                              <pic:cNvPicPr/>
                              <pic:nvPr/>
                            </pic:nvPicPr>
                            <pic:blipFill>
                              <a:blip r:embed="rId89"/>
                              <a:stretch/>
                            </pic:blipFill>
                            <pic:spPr bwMode="auto">
                              <a:xfrm>
                                <a:off x="0" y="0"/>
                                <a:ext cx="1856740" cy="14998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position:absolute;z-index:251736064;o:allowoverlap:true;o:allowincell:true;mso-position-horizontal-relative:text;margin-left:1.1pt;mso-position-horizontal:absolute;mso-position-vertical-relative:text;margin-top:43.6pt;mso-position-vertical:absolute;width:146.2pt;height:118.1pt;mso-wrap-distance-left:9.0pt;mso-wrap-distance-top:0.0pt;mso-wrap-distance-right:9.0pt;mso-wrap-distance-bottom:0.0pt;" stroked="f">
                      <v:path textboxrect="0,0,0,0"/>
                      <v:imagedata r:id="rId89"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80</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浴帘</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1.规格尺寸：12个教室厕所封闭式浴帘1400*3000mm，一楼残疾人卫生间：L型浴帘2000×1200mm，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2.材质：采用加厚 PEVA 环保防水材质，厚度≥0.12mm，无异味、不含邻苯二甲酸酯，母婴级安全标准，符合校园室内环保要求。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3.性能要求：超强防水隔水、垂感好、不飘不移，防霉抑菌、防潮防臭，长期潮湿环境不发黄、不变脆、不易撕裂，耐高温易擦拭清洁。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4.工艺：高频热压打孔，孔位加固不易扯破，加厚金属防锈挂环，滑动顺畅；边缘工整包边，走线牢固，整体简约素雅，适配园区整体风格。</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5.配套伸缩杆：加厚不锈钢免打孔伸缩杆，壁厚达标，承重强，免打孔不伤墙面墙体，安装便捷，伸缩牢固不滑落，适配各类墙体安装。</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6.样式颜色甲方选定。</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37088" behindDoc="0" locked="0" layoutInCell="1" allowOverlap="1">
                      <wp:simplePos x="0" y="0"/>
                      <wp:positionH relativeFrom="column">
                        <wp:posOffset>280670</wp:posOffset>
                      </wp:positionH>
                      <wp:positionV relativeFrom="paragraph">
                        <wp:posOffset>661670</wp:posOffset>
                      </wp:positionV>
                      <wp:extent cx="1195705" cy="1574165"/>
                      <wp:effectExtent l="0" t="0" r="4445" b="6985"/>
                      <wp:wrapNone/>
                      <wp:docPr id="81" name="ID_F71E5D2A533C428B9DE8F999D4A134FE"/>
                      <wp:cNvGraphicFramePr/>
                      <a:graphic xmlns:a="http://schemas.openxmlformats.org/drawingml/2006/main">
                        <a:graphicData uri="http://schemas.openxmlformats.org/drawingml/2006/picture">
                          <pic:pic xmlns:pic="http://schemas.openxmlformats.org/drawingml/2006/picture">
                            <pic:nvPicPr>
                              <pic:cNvPr id="220" name="ID_F71E5D2A533C428B9DE8F999D4A134FE"/>
                              <pic:cNvPicPr/>
                              <pic:nvPr/>
                            </pic:nvPicPr>
                            <pic:blipFill>
                              <a:blip r:embed="rId90"/>
                              <a:stretch/>
                            </pic:blipFill>
                            <pic:spPr bwMode="auto">
                              <a:xfrm>
                                <a:off x="0" y="0"/>
                                <a:ext cx="1195705" cy="15741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position:absolute;z-index:251737088;o:allowoverlap:true;o:allowincell:true;mso-position-horizontal-relative:text;margin-left:22.1pt;mso-position-horizontal:absolute;mso-position-vertical-relative:text;margin-top:52.1pt;mso-position-vertical:absolute;width:94.1pt;height:123.9pt;mso-wrap-distance-left:9.0pt;mso-wrap-distance-top:0.0pt;mso-wrap-distance-right:9.0pt;mso-wrap-distance-bottom:0.0pt;" stroked="f">
                      <v:path textboxrect="0,0,0,0"/>
                      <v:imagedata r:id="rId90"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81</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磨砂玻璃贴</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1.规格：32平方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2.材质：优质 PVC 静电无胶磨砂玻璃贴膜，不含甲醛异味，环保无毒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3.透光隐私：半透光不透视，遮光柔和，保护室内隐私，不影响室内采光，磨砂质感均匀细腻。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4.性能：厚度适中，韧性强、不易起皱、不易断裂；防水防潮、耐晒不褪色、易清洁擦洗。</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38112" behindDoc="0" locked="0" layoutInCell="1" allowOverlap="1">
                      <wp:simplePos x="0" y="0"/>
                      <wp:positionH relativeFrom="column">
                        <wp:posOffset>441325</wp:posOffset>
                      </wp:positionH>
                      <wp:positionV relativeFrom="paragraph">
                        <wp:posOffset>175895</wp:posOffset>
                      </wp:positionV>
                      <wp:extent cx="1049655" cy="715645"/>
                      <wp:effectExtent l="0" t="0" r="17145" b="8255"/>
                      <wp:wrapNone/>
                      <wp:docPr id="82" name="ID_D06AFC48D9ED4D8EA019BA3CB6456DC0"/>
                      <wp:cNvGraphicFramePr/>
                      <a:graphic xmlns:a="http://schemas.openxmlformats.org/drawingml/2006/main">
                        <a:graphicData uri="http://schemas.openxmlformats.org/drawingml/2006/picture">
                          <pic:pic xmlns:pic="http://schemas.openxmlformats.org/drawingml/2006/picture">
                            <pic:nvPicPr>
                              <pic:cNvPr id="221" name="ID_D06AFC48D9ED4D8EA019BA3CB6456DC0"/>
                              <pic:cNvPicPr/>
                              <pic:nvPr/>
                            </pic:nvPicPr>
                            <pic:blipFill>
                              <a:blip r:embed="rId91"/>
                              <a:stretch/>
                            </pic:blipFill>
                            <pic:spPr bwMode="auto">
                              <a:xfrm>
                                <a:off x="0" y="0"/>
                                <a:ext cx="1049655" cy="7156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position:absolute;z-index:251738112;o:allowoverlap:true;o:allowincell:true;mso-position-horizontal-relative:text;margin-left:34.8pt;mso-position-horizontal:absolute;mso-position-vertical-relative:text;margin-top:13.8pt;mso-position-vertical:absolute;width:82.6pt;height:56.3pt;mso-wrap-distance-left:9.0pt;mso-wrap-distance-top:0.0pt;mso-wrap-distance-right:9.0pt;mso-wrap-distance-bottom:0.0pt;" stroked="f">
                      <v:path textboxrect="0,0,0,0"/>
                      <v:imagedata r:id="rId91"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82</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百叶窗帘</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1.面积：美工室：4200*1150 mm，科发室：4150*1150 mm，多功能厅：21650* 1750mm；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2.材质：采用加厚铝合金百叶叶片，叶片厚度≥0.25mm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3.工艺：表面静电喷塑处理，哑光纯色，耐晒不退色、防潮不变形，遮光可调，可自由调光、全遮光、半透光自由切换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4.轨道与支架：上下轨道一体成型，高强度铝合金材质，坚固耐用，支架卡扣牢固，安装平稳，无松动晃动，所有金属配件防锈防腐，适合园区长期使用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5.配件：选用安全无拉珠款/隐式拉绳，杜绝儿童缠绕隐患，升降操作轻便顺滑，阻尼适中不卡顿，升降顺畅，定位稳固，停位不滑落。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环保安全要求：无异味、无甲醛。</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39136" behindDoc="0" locked="0" layoutInCell="1" allowOverlap="1">
                      <wp:simplePos x="0" y="0"/>
                      <wp:positionH relativeFrom="column">
                        <wp:posOffset>502920</wp:posOffset>
                      </wp:positionH>
                      <wp:positionV relativeFrom="paragraph">
                        <wp:posOffset>307975</wp:posOffset>
                      </wp:positionV>
                      <wp:extent cx="861060" cy="1461770"/>
                      <wp:effectExtent l="0" t="0" r="15240" b="5080"/>
                      <wp:wrapNone/>
                      <wp:docPr id="83" name="ID_8A9C3648CE8249309A4C4E5FBBB4322F"/>
                      <wp:cNvGraphicFramePr/>
                      <a:graphic xmlns:a="http://schemas.openxmlformats.org/drawingml/2006/main">
                        <a:graphicData uri="http://schemas.openxmlformats.org/drawingml/2006/picture">
                          <pic:pic xmlns:pic="http://schemas.openxmlformats.org/drawingml/2006/picture">
                            <pic:nvPicPr>
                              <pic:cNvPr id="222" name="ID_8A9C3648CE8249309A4C4E5FBBB4322F"/>
                              <pic:cNvPicPr/>
                              <pic:nvPr/>
                            </pic:nvPicPr>
                            <pic:blipFill>
                              <a:blip r:embed="rId92"/>
                              <a:stretch/>
                            </pic:blipFill>
                            <pic:spPr bwMode="auto">
                              <a:xfrm>
                                <a:off x="0" y="0"/>
                                <a:ext cx="861060" cy="14617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position:absolute;z-index:251739136;o:allowoverlap:true;o:allowincell:true;mso-position-horizontal-relative:text;margin-left:39.6pt;mso-position-horizontal:absolute;mso-position-vertical-relative:text;margin-top:24.2pt;mso-position-vertical:absolute;width:67.8pt;height:115.1pt;mso-wrap-distance-left:9.0pt;mso-wrap-distance-top:0.0pt;mso-wrap-distance-right:9.0pt;mso-wrap-distance-bottom:0.0pt;" stroked="f">
                      <v:path textboxrect="0,0,0,0"/>
                      <v:imagedata r:id="rId92"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83</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门禁系统</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1.规格：整机尺寸 85mm（宽）×166mm（高）×24.5mm（厚），净重约 0.3kg；配备 4.3 英寸 IPS 高清触摸屏，操作直观便捷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2.认证方式：人脸识别、数字密码、IC 卡刷卡三合一</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3.存储容量：人脸容量≥200 张，IC 卡容量≥1000 张，密码容量≥100 组，考勤记录容量≥10 万条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4.联网方式：支持无线 WiFi 联网。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5.识别性能：识别速度≤0.2 秒；支持 2D 活体检测，有效防止照片、视频、面具欺骗；配备 200 万像素宽动态摄像头，强光、逆光、暗光环境下均可正常识别</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6.系统功能：考勤数据自动同步云端，支持多维度统计，可导出 Excel 格式考勤报表；支持手机 APP 远程查看记录、远程开门、设备状态监控；可按人员、时段设置不同开门权限，支持临时权限分配；支持防拆报警、非法开门报警、门未关报警。</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7.环境与安装：IP65 级防水防尘，室内外均可安装；供电方式 DC 12V/2A；工作温度 - 30℃~+60℃；壁挂式安装，标配主机安装支架及固定辅材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8.配套设备参数：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室内出门按钮：86 型标准暗装，ABS 阻燃材质，自复位设计，按压回弹灵敏；带夜光指示，夜间清晰可见；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电插锁：12V 直流供电，断电自动开锁（符合消防疏散强制要求）；带门磁状态反馈，防插锁舌设计；适用于玻璃门、木门、金属门，吸力≥280kg</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门禁专用电源：12V/5A 稳压电源，带过载、短路、过压保护；预留后备电池接口，支持断电续航；稳定为整套系统供电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液压缓冲闭门器：承重 60-80kg，闭门力度 3 档可调；自动闭门，缓冲减速，防夹手、无撞击噪音；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线材辅材：采用国标 RVV 控制线、超五类网线、PVC 线管；包含膨胀螺丝、接线端子、扎带等所有安装所需辅材</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40160" behindDoc="0" locked="0" layoutInCell="1" allowOverlap="1">
                      <wp:simplePos x="0" y="0"/>
                      <wp:positionH relativeFrom="column">
                        <wp:posOffset>664210</wp:posOffset>
                      </wp:positionH>
                      <wp:positionV relativeFrom="paragraph">
                        <wp:posOffset>83820</wp:posOffset>
                      </wp:positionV>
                      <wp:extent cx="790575" cy="1585595"/>
                      <wp:effectExtent l="0" t="0" r="9525" b="14604"/>
                      <wp:wrapNone/>
                      <wp:docPr id="84" name="图片_44"/>
                      <wp:cNvGraphicFramePr/>
                      <a:graphic xmlns:a="http://schemas.openxmlformats.org/drawingml/2006/main">
                        <a:graphicData uri="http://schemas.openxmlformats.org/drawingml/2006/picture">
                          <pic:pic xmlns:pic="http://schemas.openxmlformats.org/drawingml/2006/picture">
                            <pic:nvPicPr>
                              <pic:cNvPr id="223" name="图片_44"/>
                              <pic:cNvPicPr/>
                              <pic:nvPr/>
                            </pic:nvPicPr>
                            <pic:blipFill>
                              <a:blip r:embed="rId93"/>
                              <a:stretch/>
                            </pic:blipFill>
                            <pic:spPr bwMode="auto">
                              <a:xfrm>
                                <a:off x="0" y="0"/>
                                <a:ext cx="790575" cy="15855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position:absolute;z-index:251740160;o:allowoverlap:true;o:allowincell:true;mso-position-horizontal-relative:text;margin-left:52.3pt;mso-position-horizontal:absolute;mso-position-vertical-relative:text;margin-top:6.6pt;mso-position-vertical:absolute;width:62.2pt;height:124.8pt;mso-wrap-distance-left:9.0pt;mso-wrap-distance-top:0.0pt;mso-wrap-distance-right:9.0pt;mso-wrap-distance-bottom:0.0pt;" stroked="f">
                      <v:path textboxrect="0,0,0,0"/>
                      <v:imagedata r:id="rId93"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84</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考勤机</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1.整机尺寸：120mm（宽）× 120mm（高）× 25mm（厚）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2.屏幕：≥2.4 英寸高清彩色显示屏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3.认证方式：人脸识别、指纹识别</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4.存储容量：人脸容量≥1000 张，指纹容量≥2000 枚，事件记录容量≥30 万条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5.联网方式：无线联网，免布线安装，支持数据自动同步云端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 识别性能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识别速度：≤0.3 秒，快速打卡不拥堵</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活体检测：支持 2D 活体检测，有效防止照片、视频代打卡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环境适应性：配备宽动态摄像头，支持强光、逆光、暗光环境下正常识别</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7.系统功能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云端管理：考勤数据实时同步云端，支持多设备、多地点统一管理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报表功能：自动生成日报、月报、年报等多种考勤报表，支持 Excel 格式导出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远程管理：支持海康互联 APP 远程查看考勤记录、管理员工信息、设置考勤规则</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智能提醒：支持迟到、早退、旷工自动提醒，异常考勤实时推送</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8.硬件参数：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供电方式：DC 5V/2A</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工作温度：0℃ ~ +45℃</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安装方式：标配桌面支架，支持壁挂安装（可选免打孔套餐）</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41184" behindDoc="0" locked="0" layoutInCell="1" allowOverlap="1">
                      <wp:simplePos x="0" y="0"/>
                      <wp:positionH relativeFrom="column">
                        <wp:posOffset>107950</wp:posOffset>
                      </wp:positionH>
                      <wp:positionV relativeFrom="paragraph">
                        <wp:posOffset>1565275</wp:posOffset>
                      </wp:positionV>
                      <wp:extent cx="1552575" cy="1471930"/>
                      <wp:effectExtent l="0" t="0" r="9525" b="13970"/>
                      <wp:wrapNone/>
                      <wp:docPr id="85" name="图片_46"/>
                      <wp:cNvGraphicFramePr/>
                      <a:graphic xmlns:a="http://schemas.openxmlformats.org/drawingml/2006/main">
                        <a:graphicData uri="http://schemas.openxmlformats.org/drawingml/2006/picture">
                          <pic:pic xmlns:pic="http://schemas.openxmlformats.org/drawingml/2006/picture">
                            <pic:nvPicPr>
                              <pic:cNvPr id="224" name="图片_46"/>
                              <pic:cNvPicPr/>
                              <pic:nvPr/>
                            </pic:nvPicPr>
                            <pic:blipFill>
                              <a:blip r:embed="rId94"/>
                              <a:stretch/>
                            </pic:blipFill>
                            <pic:spPr bwMode="auto">
                              <a:xfrm>
                                <a:off x="0" y="0"/>
                                <a:ext cx="1552575" cy="14719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position:absolute;z-index:251741184;o:allowoverlap:true;o:allowincell:true;mso-position-horizontal-relative:text;margin-left:8.5pt;mso-position-horizontal:absolute;mso-position-vertical-relative:text;margin-top:123.2pt;mso-position-vertical:absolute;width:122.2pt;height:115.9pt;mso-wrap-distance-left:9.0pt;mso-wrap-distance-top:0.0pt;mso-wrap-distance-right:9.0pt;mso-wrap-distance-bottom:0.0pt;" stroked="f">
                      <v:path textboxrect="0,0,0,0"/>
                      <v:imagedata r:id="rId94"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85</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拒马</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1.规格：长 1500mm × 高 900mm × 宽 500mm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2.核心技术参数：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主体材质与结构：采用加厚钢管焊接成型，主管壁厚</w:t>
            </w: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42208" behindDoc="0" locked="0" layoutInCell="1" allowOverlap="1">
                      <wp:simplePos x="0" y="0"/>
                      <wp:positionH relativeFrom="column">
                        <wp:posOffset>3341370</wp:posOffset>
                      </wp:positionH>
                      <wp:positionV relativeFrom="paragraph">
                        <wp:posOffset>264160</wp:posOffset>
                      </wp:positionV>
                      <wp:extent cx="1375410" cy="1062355"/>
                      <wp:effectExtent l="0" t="0" r="15240" b="4445"/>
                      <wp:wrapNone/>
                      <wp:docPr id="86" name="ID_42486EDEFE894C16B6EBAAFD1263BCE8"/>
                      <wp:cNvGraphicFramePr/>
                      <a:graphic xmlns:a="http://schemas.openxmlformats.org/drawingml/2006/main">
                        <a:graphicData uri="http://schemas.openxmlformats.org/drawingml/2006/picture">
                          <pic:pic xmlns:pic="http://schemas.openxmlformats.org/drawingml/2006/picture">
                            <pic:nvPicPr>
                              <pic:cNvPr id="225" name="ID_42486EDEFE894C16B6EBAAFD1263BCE8"/>
                              <pic:cNvPicPr/>
                              <pic:nvPr/>
                            </pic:nvPicPr>
                            <pic:blipFill>
                              <a:blip r:embed="rId95"/>
                              <a:stretch/>
                            </pic:blipFill>
                            <pic:spPr bwMode="auto">
                              <a:xfrm>
                                <a:off x="0" y="0"/>
                                <a:ext cx="1375410" cy="10623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position:absolute;z-index:251742208;o:allowoverlap:true;o:allowincell:true;mso-position-horizontal-relative:text;margin-left:263.1pt;mso-position-horizontal:absolute;mso-position-vertical-relative:text;margin-top:20.8pt;mso-position-vertical:absolute;width:108.3pt;height:83.6pt;mso-wrap-distance-left:9.0pt;mso-wrap-distance-top:0.0pt;mso-wrap-distance-right:9.0pt;mso-wrap-distance-bottom:0.0pt;" stroked="f">
                      <v:path textboxrect="0,0,0,0"/>
                      <v:imagedata r:id="rId95" o:title=""/>
                    </v:shape>
                  </w:pict>
                </mc:Fallback>
              </mc:AlternateContent>
            </w:r>
            <w:r>
              <w:rPr>
                <w:rFonts w:hint="eastAsia" w:ascii="宋体" w:hAnsi="宋体" w:eastAsia="宋体" w:cs="宋体"/>
                <w:i w:val="0"/>
                <w:iCs w:val="0"/>
                <w:color w:val="000000"/>
                <w:sz w:val="20"/>
                <w:szCs w:val="20"/>
                <w:u w:val="none"/>
                <w:lang w:val="en-US" w:eastAsia="zh-CN" w:bidi="ar"/>
              </w:rPr>
              <w:t xml:space="preserve">≥3.0mm，整体采用三角交叉加固结构，稳定性强，防冲撞等级高，可有效阻挡小型车辆强行闯入。焊接工艺为满焊处理，焊点打磨光滑，无虚焊、漏焊，整体结构牢固，不易变形。底部配备万向轮+固定脚，移动灵活，可按需调整位置；也可通过膨胀螺丝固定安装，防止被推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表面处理与安全性能：整体采用静电喷塑工艺，喷涂黄黑相间的警示漆，漆面均匀光滑、附着力强，不易脱落褪色；防水防锈，无尖锐毛刺，所有焊接点打磨光滑，避免划伤人员；黄黑警示配色醒目，夜间可视性强，起到良好的警示作用。整体抗冲击强度高，可承受≥5 吨冲击力，有效阻挡车辆闯入。</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eastAsia" w:ascii="宋体" w:hAnsi="宋体" w:cs="宋体"/>
                <w:szCs w:val="21"/>
              </w:rPr>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86</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科技墙</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尺寸：6.8*2.4m；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材质：密度板、亚克力板、PE材料、PC材料；</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准功能包含：</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①阿基米德螺旋管：小球从左侧直行球道入球口处加入球道，启动风机后，小球在风力作用下沿</w:t>
            </w:r>
            <w:r>
              <w:rPr>
                <w:rFonts w:hint="eastAsia" w:ascii="宋体" w:hAnsi="宋体" w:eastAsia="宋体" w:cs="宋体"/>
                <w:i w:val="0"/>
                <w:iCs w:val="0"/>
                <w:color w:val="000000"/>
                <w:sz w:val="20"/>
                <w:szCs w:val="20"/>
                <w:u w:val="none"/>
                <w:lang w:val="en-US" w:eastAsia="zh-CN" w:bidi="ar"/>
              </w:rPr>
              <w:t xml:space="preserve">直行管道上升进入螺旋波纹管内，小球在重力和风力作用下沿阿基米德螺旋球道进入底部球盒内。②斜坡阶梯模块：小球从左侧直行球道入球口进入球道，风机吹动小球沿轨道到达集球盒内，转动下方白色齿轮通过绳索带动集球盒倾斜，小球在重力作用下顺着斜坡下滑到黄色运输轮上。转动运输轮上的白色齿轮将小球运送到阶梯上。小球顺着阶梯下行至底部球盒内。③概率磁力轨道：用球道组件自主吸附墙面的磁力板，规划小球的路径。在将小球从右侧入球口进入球道，风机吹动小球沿透明管到达概率分流区域。小球在重力作用下沿概率分流装置分流下行，通过预设的磁力轨</w:t>
            </w:r>
            <w:r>
              <w:rPr>
                <w:rFonts w:hint="eastAsia" w:ascii="宋体" w:hAnsi="宋体" w:eastAsia="宋体" w:cs="宋体"/>
                <w:i w:val="0"/>
                <w:iCs w:val="0"/>
                <w:color w:val="000000"/>
                <w:sz w:val="20"/>
                <w:szCs w:val="20"/>
                <w:u w:val="none"/>
                <w:lang w:val="en-US" w:eastAsia="zh-CN" w:bidi="ar"/>
              </w:rPr>
              <w:t xml:space="preserve">道下行至球盒。④拼接齿轮：自由规划磁力板上齿轮路径，转动齿轮通过齿轮间的啮和作用带动连齿轮路径传动。齿轮传动：转动墙面手轮通过连接齿轮的皮带带动齿轮转动，转动的齿轮通过齿轮间的啮合作用带动连接飞机螺旋桨的皮带转动，皮带带动飞机螺旋桨运动。⑤行星齿轮：转动白色齿轮，带动装置内的白色齿轮转动。白色齿轮带动装置下方小球顺着弯曲轨道上行至最高处 。小球通过最高处拐点下落至最低的起点处形成循环。⑥缓冲球道:小球通过右侧风机的作用沿波纹管进入缓冲球道通过球道中的挡板连续交替变换方向降低小球的速度，再随机分流掉入球盒内。</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43232" behindDoc="0" locked="0" layoutInCell="1" allowOverlap="1">
                      <wp:simplePos x="0" y="0"/>
                      <wp:positionH relativeFrom="column">
                        <wp:posOffset>14605</wp:posOffset>
                      </wp:positionH>
                      <wp:positionV relativeFrom="paragraph">
                        <wp:posOffset>1565910</wp:posOffset>
                      </wp:positionV>
                      <wp:extent cx="1887855" cy="763270"/>
                      <wp:effectExtent l="0" t="0" r="17145" b="17780"/>
                      <wp:wrapNone/>
                      <wp:docPr id="87" name="图片_112"/>
                      <wp:cNvGraphicFramePr/>
                      <a:graphic xmlns:a="http://schemas.openxmlformats.org/drawingml/2006/main">
                        <a:graphicData uri="http://schemas.openxmlformats.org/drawingml/2006/picture">
                          <pic:pic xmlns:pic="http://schemas.openxmlformats.org/drawingml/2006/picture">
                            <pic:nvPicPr>
                              <pic:cNvPr id="226" name="图片_112"/>
                              <pic:cNvPicPr/>
                              <pic:nvPr/>
                            </pic:nvPicPr>
                            <pic:blipFill>
                              <a:blip r:embed="rId96"/>
                              <a:stretch/>
                            </pic:blipFill>
                            <pic:spPr bwMode="auto">
                              <a:xfrm>
                                <a:off x="0" y="0"/>
                                <a:ext cx="1887855" cy="7632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position:absolute;z-index:251743232;o:allowoverlap:true;o:allowincell:true;mso-position-horizontal-relative:text;margin-left:1.1pt;mso-position-horizontal:absolute;mso-position-vertical-relative:text;margin-top:123.3pt;mso-position-vertical:absolute;width:148.7pt;height:60.1pt;mso-wrap-distance-left:9.0pt;mso-wrap-distance-top:0.0pt;mso-wrap-distance-right:9.0pt;mso-wrap-distance-bottom:0.0pt;" stroked="f">
                      <v:path textboxrect="0,0,0,0"/>
                      <v:imagedata r:id="rId96"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87</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光影走廊</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1.规格尺寸：小:190*118*140cm；中:190*125*145cm；大:190*134*150cm；特大:190*145*155cm；一套四个；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和工艺：产品采用耐力板材质，耐撞击、抗冲击，不易变形、开裂或变色;耐候性好，耐高温，不易老化和变色，适合多种环境条件。透明度高，重量轻，安装方便，安全性高。框架采用铝型材，具有强度好、再生资源、环保节能、不开裂、不变形；</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44256" behindDoc="0" locked="0" layoutInCell="1" allowOverlap="1">
                      <wp:simplePos x="0" y="0"/>
                      <wp:positionH relativeFrom="column">
                        <wp:posOffset>154940</wp:posOffset>
                      </wp:positionH>
                      <wp:positionV relativeFrom="paragraph">
                        <wp:posOffset>386715</wp:posOffset>
                      </wp:positionV>
                      <wp:extent cx="1692275" cy="555625"/>
                      <wp:effectExtent l="0" t="0" r="3175" b="15875"/>
                      <wp:wrapNone/>
                      <wp:docPr id="88" name="图片_2"/>
                      <wp:cNvGraphicFramePr/>
                      <a:graphic xmlns:a="http://schemas.openxmlformats.org/drawingml/2006/main">
                        <a:graphicData uri="http://schemas.openxmlformats.org/drawingml/2006/picture">
                          <pic:pic xmlns:pic="http://schemas.openxmlformats.org/drawingml/2006/picture">
                            <pic:nvPicPr>
                              <pic:cNvPr id="227" name="图片_2"/>
                              <pic:cNvPicPr/>
                              <pic:nvPr/>
                            </pic:nvPicPr>
                            <pic:blipFill>
                              <a:blip r:embed="rId97"/>
                              <a:stretch/>
                            </pic:blipFill>
                            <pic:spPr bwMode="auto">
                              <a:xfrm>
                                <a:off x="0" y="0"/>
                                <a:ext cx="1692275" cy="5556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position:absolute;z-index:251744256;o:allowoverlap:true;o:allowincell:true;mso-position-horizontal-relative:text;margin-left:12.2pt;mso-position-horizontal:absolute;mso-position-vertical-relative:text;margin-top:30.4pt;mso-position-vertical:absolute;width:133.2pt;height:43.8pt;mso-wrap-distance-left:9.0pt;mso-wrap-distance-top:0.0pt;mso-wrap-distance-right:9.0pt;mso-wrap-distance-bottom:0.0pt;" stroked="f">
                      <v:path textboxrect="0,0,0,0"/>
                      <v:imagedata r:id="rId97"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88</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小木屋</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规格：270*240*240CM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1.材质：花梨木，边缘抛圆处理，外表面和内表面以及儿童手指可触及的隐蔽处，均不得有锐利的棱角、毛刺以及小五金部件露出的锐利尖锐。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2.油漆:环保型全哑光聚脂面漆，两底一面，产品所有</w:t>
            </w: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45280" behindDoc="0" locked="0" layoutInCell="1" allowOverlap="1">
                      <wp:simplePos x="0" y="0"/>
                      <wp:positionH relativeFrom="column">
                        <wp:posOffset>3302635</wp:posOffset>
                      </wp:positionH>
                      <wp:positionV relativeFrom="paragraph">
                        <wp:posOffset>16510</wp:posOffset>
                      </wp:positionV>
                      <wp:extent cx="1487170" cy="1408430"/>
                      <wp:effectExtent l="0" t="0" r="17780" b="1270"/>
                      <wp:wrapNone/>
                      <wp:docPr id="89" name="ID_DA17152DBA7F4FCB85C8F3980101664E"/>
                      <wp:cNvGraphicFramePr/>
                      <a:graphic xmlns:a="http://schemas.openxmlformats.org/drawingml/2006/main">
                        <a:graphicData uri="http://schemas.openxmlformats.org/drawingml/2006/picture">
                          <pic:pic xmlns:pic="http://schemas.openxmlformats.org/drawingml/2006/picture">
                            <pic:nvPicPr>
                              <pic:cNvPr id="228" name="ID_DA17152DBA7F4FCB85C8F3980101664E"/>
                              <pic:cNvPicPr/>
                              <pic:nvPr/>
                            </pic:nvPicPr>
                            <pic:blipFill>
                              <a:blip r:embed="rId98"/>
                              <a:stretch/>
                            </pic:blipFill>
                            <pic:spPr bwMode="auto">
                              <a:xfrm>
                                <a:off x="0" y="0"/>
                                <a:ext cx="1487170" cy="14084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position:absolute;z-index:251745280;o:allowoverlap:true;o:allowincell:true;mso-position-horizontal-relative:text;margin-left:260.1pt;mso-position-horizontal:absolute;mso-position-vertical-relative:text;margin-top:1.3pt;mso-position-vertical:absolute;width:117.1pt;height:110.9pt;mso-wrap-distance-left:9.0pt;mso-wrap-distance-top:0.0pt;mso-wrap-distance-right:9.0pt;mso-wrap-distance-bottom:0.0pt;" stroked="f">
                      <v:path textboxrect="0,0,0,0"/>
                      <v:imagedata r:id="rId98" o:title=""/>
                    </v:shape>
                  </w:pict>
                </mc:Fallback>
              </mc:AlternateContent>
            </w:r>
            <w:r>
              <w:rPr>
                <w:rFonts w:hint="eastAsia" w:ascii="宋体" w:hAnsi="宋体" w:eastAsia="宋体" w:cs="宋体"/>
                <w:i w:val="0"/>
                <w:iCs w:val="0"/>
                <w:color w:val="000000"/>
                <w:sz w:val="20"/>
                <w:szCs w:val="20"/>
                <w:u w:val="none"/>
                <w:lang w:val="en-US" w:eastAsia="zh-CN" w:bidi="ar"/>
              </w:rPr>
              <w:t xml:space="preserve">可长期置于室外，防锈、防腐，无尖锐点。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3.附件类：盖帽采用环保塑料材质；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4.金螺丝需采用子母螺丝，螺母需采用防松螺母,不锈钢膨胀螺丝。</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▲投标人或生产商提供花梨木符合JC/T 2039-2010 标准试验菌种为黑曲霉、土曲霉、出芽短梗霉、绳状青霉、球毛壳霉且防霉菌等级均为0级（不长）的带CMA标识的检测报告并加盖公章；依据QB/T 4371-2012标准，金黄色葡萄球菌、大肠杆菌、白色念球菌、肺炎克雷伯氏菌抑菌率均≥99.90%的带CMA标识的检测报告并加盖公章。</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eastAsia" w:ascii="宋体" w:hAnsi="宋体" w:cs="宋体"/>
                <w:szCs w:val="21"/>
              </w:rPr>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89</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光影屋</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1.尺寸：180*200*180CM；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镀锌钢管，尺寸50*50mm和50*30mm的方形镀锌钢管，壁厚不低于2mm；铺装不低于23mm的ACQ芬兰防腐木，pc板厚度不低于5mm。边缘抛圆处理，外表面和内表面以及儿童手指可触及的隐蔽处，均不得有锐利的棱角、毛刺以及小五金部件露出的锐利尖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3.油漆:环保型全哑光聚脂面漆，两底一面，产品所有可长期置于室外，防锈、防腐，无尖锐点。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4.附件类：盖帽采用环保塑料材质；金螺丝需采用子母螺丝，螺母需采用防松螺母,不锈钢膨胀螺丝。</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46304" behindDoc="0" locked="0" layoutInCell="1" allowOverlap="1">
                      <wp:simplePos x="0" y="0"/>
                      <wp:positionH relativeFrom="column">
                        <wp:posOffset>408940</wp:posOffset>
                      </wp:positionH>
                      <wp:positionV relativeFrom="paragraph">
                        <wp:posOffset>381000</wp:posOffset>
                      </wp:positionV>
                      <wp:extent cx="1126490" cy="1074420"/>
                      <wp:effectExtent l="0" t="0" r="16510" b="11430"/>
                      <wp:wrapNone/>
                      <wp:docPr id="90" name="ID_E67077B385AA4F889BD6B1AC5001C2F3"/>
                      <wp:cNvGraphicFramePr/>
                      <a:graphic xmlns:a="http://schemas.openxmlformats.org/drawingml/2006/main">
                        <a:graphicData uri="http://schemas.openxmlformats.org/drawingml/2006/picture">
                          <pic:pic xmlns:pic="http://schemas.openxmlformats.org/drawingml/2006/picture">
                            <pic:nvPicPr>
                              <pic:cNvPr id="229" name="ID_E67077B385AA4F889BD6B1AC5001C2F3"/>
                              <pic:cNvPicPr/>
                              <pic:nvPr/>
                            </pic:nvPicPr>
                            <pic:blipFill>
                              <a:blip r:embed="rId99"/>
                              <a:stretch/>
                            </pic:blipFill>
                            <pic:spPr bwMode="auto">
                              <a:xfrm>
                                <a:off x="0" y="0"/>
                                <a:ext cx="1126490" cy="10744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position:absolute;z-index:251746304;o:allowoverlap:true;o:allowincell:true;mso-position-horizontal-relative:text;margin-left:32.2pt;mso-position-horizontal:absolute;mso-position-vertical-relative:text;margin-top:30.0pt;mso-position-vertical:absolute;width:88.7pt;height:84.6pt;mso-wrap-distance-left:9.0pt;mso-wrap-distance-top:0.0pt;mso-wrap-distance-right:9.0pt;mso-wrap-distance-bottom:0.0pt;" stroked="f">
                      <v:path textboxrect="0,0,0,0"/>
                      <v:imagedata r:id="rId99"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90</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水洗画架</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规格：111*60*115cm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1.材料：ACQ芬兰防腐木，边缘抛圆处理，外表面和内表面以及儿童手指可触及的隐蔽处，均不得有锐利的棱角、毛刺以及小五金部件露出的锐利尖锐。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2.油漆:环保型全哑光聚脂面漆，两底一面，产品所有可长期置于室外，防锈、防腐，无尖锐点。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3.附件类：盖帽采用环保塑料材质；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4.金螺丝需采用子母螺丝，螺母需采用防松螺母,不锈钢膨胀螺丝。</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47328" behindDoc="0" locked="0" layoutInCell="1" allowOverlap="1">
                      <wp:simplePos x="0" y="0"/>
                      <wp:positionH relativeFrom="column">
                        <wp:posOffset>473075</wp:posOffset>
                      </wp:positionH>
                      <wp:positionV relativeFrom="paragraph">
                        <wp:posOffset>176530</wp:posOffset>
                      </wp:positionV>
                      <wp:extent cx="1022350" cy="1022985"/>
                      <wp:effectExtent l="0" t="0" r="6350" b="5715"/>
                      <wp:wrapNone/>
                      <wp:docPr id="91" name="ID_C9B4BBE5C96E4CD3A711C937B7D3DFF6"/>
                      <wp:cNvGraphicFramePr/>
                      <a:graphic xmlns:a="http://schemas.openxmlformats.org/drawingml/2006/main">
                        <a:graphicData uri="http://schemas.openxmlformats.org/drawingml/2006/picture">
                          <pic:pic xmlns:pic="http://schemas.openxmlformats.org/drawingml/2006/picture">
                            <pic:nvPicPr>
                              <pic:cNvPr id="230" name="ID_C9B4BBE5C96E4CD3A711C937B7D3DFF6"/>
                              <pic:cNvPicPr/>
                              <pic:nvPr/>
                            </pic:nvPicPr>
                            <pic:blipFill>
                              <a:blip r:embed="rId100"/>
                              <a:stretch/>
                            </pic:blipFill>
                            <pic:spPr bwMode="auto">
                              <a:xfrm>
                                <a:off x="0" y="0"/>
                                <a:ext cx="1022350" cy="10229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position:absolute;z-index:251747328;o:allowoverlap:true;o:allowincell:true;mso-position-horizontal-relative:text;margin-left:37.2pt;mso-position-horizontal:absolute;mso-position-vertical-relative:text;margin-top:13.9pt;mso-position-vertical:absolute;width:80.5pt;height:80.5pt;mso-wrap-distance-left:9.0pt;mso-wrap-distance-top:0.0pt;mso-wrap-distance-right:9.0pt;mso-wrap-distance-bottom:0.0pt;" stroked="f">
                      <v:path textboxrect="0,0,0,0"/>
                      <v:imagedata r:id="rId100"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91</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光影桌</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1.规格：80*60cm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2.材质：采用桦木多层板，板材厚度 1.8cm ，经干燥处理，含水率≤12% 。芯层整齐，密实度好，且无虫蛀、腐朽等缺陷。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3.柜体：外露部件边倒 R5mm 圆角，圆边圆角，PVC 封边条封边。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4.胶水：优质环保型胶水。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5.五金件：优质五金配件。</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48352" behindDoc="0" locked="0" layoutInCell="1" allowOverlap="1">
                      <wp:simplePos x="0" y="0"/>
                      <wp:positionH relativeFrom="column">
                        <wp:posOffset>494665</wp:posOffset>
                      </wp:positionH>
                      <wp:positionV relativeFrom="paragraph">
                        <wp:posOffset>223520</wp:posOffset>
                      </wp:positionV>
                      <wp:extent cx="775970" cy="901700"/>
                      <wp:effectExtent l="0" t="0" r="5080" b="12700"/>
                      <wp:wrapNone/>
                      <wp:docPr id="92" name="ID_8F407F53F2F84D09B14EEC84F3925049"/>
                      <wp:cNvGraphicFramePr/>
                      <a:graphic xmlns:a="http://schemas.openxmlformats.org/drawingml/2006/main">
                        <a:graphicData uri="http://schemas.openxmlformats.org/drawingml/2006/picture">
                          <pic:pic xmlns:pic="http://schemas.openxmlformats.org/drawingml/2006/picture">
                            <pic:nvPicPr>
                              <pic:cNvPr id="231" name="ID_8F407F53F2F84D09B14EEC84F3925049"/>
                              <pic:cNvPicPr/>
                              <pic:nvPr/>
                            </pic:nvPicPr>
                            <pic:blipFill>
                              <a:blip r:embed="rId101"/>
                              <a:stretch/>
                            </pic:blipFill>
                            <pic:spPr bwMode="auto">
                              <a:xfrm>
                                <a:off x="0" y="0"/>
                                <a:ext cx="775970" cy="901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position:absolute;z-index:251748352;o:allowoverlap:true;o:allowincell:true;mso-position-horizontal-relative:text;margin-left:38.9pt;mso-position-horizontal:absolute;mso-position-vertical-relative:text;margin-top:17.6pt;mso-position-vertical:absolute;width:61.1pt;height:71.0pt;mso-wrap-distance-left:9.0pt;mso-wrap-distance-top:0.0pt;mso-wrap-distance-right:9.0pt;mso-wrap-distance-bottom:0.0pt;" stroked="f">
                      <v:path textboxrect="0,0,0,0"/>
                      <v:imagedata r:id="rId101"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92</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欢乐水车</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1.尺寸：长70厘米*宽30厘米*总高60厘米，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2.材质：ACQ芬兰防腐木，边缘抛圆处理，外表面和内表面以及儿童手指可触及的隐蔽处，均不得有锐利的棱角、毛刺以及小五金部件露出的锐利尖锐。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3.油漆:环保型全哑光聚脂面漆，两底一面，产品所有可长期置于室外，防锈、防腐，无尖锐点。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4.附件类：盖帽采用环保塑料材质，具备四个3寸轮子，2定向2万向；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5.金螺丝需采用子母螺丝，螺母需采用防松螺母,不锈钢膨胀螺丝。</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50400" behindDoc="0" locked="0" layoutInCell="1" allowOverlap="1">
                      <wp:simplePos x="0" y="0"/>
                      <wp:positionH relativeFrom="column">
                        <wp:posOffset>113665</wp:posOffset>
                      </wp:positionH>
                      <wp:positionV relativeFrom="paragraph">
                        <wp:posOffset>1647190</wp:posOffset>
                      </wp:positionV>
                      <wp:extent cx="1646555" cy="626745"/>
                      <wp:effectExtent l="0" t="0" r="10795" b="1905"/>
                      <wp:wrapNone/>
                      <wp:docPr id="93" name="图片_1_SpCnt_1"/>
                      <wp:cNvGraphicFramePr/>
                      <a:graphic xmlns:a="http://schemas.openxmlformats.org/drawingml/2006/main">
                        <a:graphicData uri="http://schemas.openxmlformats.org/drawingml/2006/picture">
                          <pic:pic xmlns:pic="http://schemas.openxmlformats.org/drawingml/2006/picture">
                            <pic:nvPicPr>
                              <pic:cNvPr id="233" name="图片_1_SpCnt_1"/>
                              <pic:cNvPicPr/>
                              <pic:nvPr/>
                            </pic:nvPicPr>
                            <pic:blipFill>
                              <a:blip r:embed="rId102"/>
                              <a:stretch/>
                            </pic:blipFill>
                            <pic:spPr bwMode="auto">
                              <a:xfrm>
                                <a:off x="0" y="0"/>
                                <a:ext cx="1646555" cy="6267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position:absolute;z-index:251750400;o:allowoverlap:true;o:allowincell:true;mso-position-horizontal-relative:text;margin-left:8.9pt;mso-position-horizontal:absolute;mso-position-vertical-relative:text;margin-top:129.7pt;mso-position-vertical:absolute;width:129.7pt;height:49.3pt;mso-wrap-distance-left:9.0pt;mso-wrap-distance-top:0.0pt;mso-wrap-distance-right:9.0pt;mso-wrap-distance-bottom:0.0pt;" stroked="f">
                      <v:path textboxrect="0,0,0,0"/>
                      <v:imagedata r:id="rId102" o:title=""/>
                    </v:shape>
                  </w:pict>
                </mc:Fallback>
              </mc:AlternateContent>
            </w: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49376" behindDoc="0" locked="0" layoutInCell="1" allowOverlap="1">
                      <wp:simplePos x="0" y="0"/>
                      <wp:positionH relativeFrom="column">
                        <wp:posOffset>240665</wp:posOffset>
                      </wp:positionH>
                      <wp:positionV relativeFrom="paragraph">
                        <wp:posOffset>285115</wp:posOffset>
                      </wp:positionV>
                      <wp:extent cx="1345565" cy="1010285"/>
                      <wp:effectExtent l="0" t="0" r="6985" b="18415"/>
                      <wp:wrapNone/>
                      <wp:docPr id="94" name="图片_111"/>
                      <wp:cNvGraphicFramePr/>
                      <a:graphic xmlns:a="http://schemas.openxmlformats.org/drawingml/2006/main">
                        <a:graphicData uri="http://schemas.openxmlformats.org/drawingml/2006/picture">
                          <pic:pic xmlns:pic="http://schemas.openxmlformats.org/drawingml/2006/picture">
                            <pic:nvPicPr>
                              <pic:cNvPr id="232" name="图片_111"/>
                              <pic:cNvPicPr/>
                              <pic:nvPr/>
                            </pic:nvPicPr>
                            <pic:blipFill>
                              <a:blip r:embed="rId103"/>
                              <a:stretch/>
                            </pic:blipFill>
                            <pic:spPr bwMode="auto">
                              <a:xfrm>
                                <a:off x="0" y="0"/>
                                <a:ext cx="1345565" cy="10102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position:absolute;z-index:251749376;o:allowoverlap:true;o:allowincell:true;mso-position-horizontal-relative:text;margin-left:18.9pt;mso-position-horizontal:absolute;mso-position-vertical-relative:text;margin-top:22.4pt;mso-position-vertical:absolute;width:105.9pt;height:79.5pt;mso-wrap-distance-left:9.0pt;mso-wrap-distance-top:0.0pt;mso-wrap-distance-right:9.0pt;mso-wrap-distance-bottom:0.0pt;" stroked="f">
                      <v:path textboxrect="0,0,0,0"/>
                      <v:imagedata r:id="rId103"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93</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组合迷宫</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规格：105*55*55CM/件。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1.采用环保PVC塑料管，管子外径48.6mm，厚度约3mm；20件/套；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2.PP塑料连接件</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eastAsia" w:ascii="宋体" w:hAnsi="宋体" w:cs="宋体"/>
                <w:szCs w:val="21"/>
              </w:rPr>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94</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大型玩具</w:t>
            </w:r>
            <w:r/>
          </w:p>
        </w:tc>
        <w:tc>
          <w:tcPr>
            <w:tcW w:w="4948" w:type="dxa"/>
            <w:vAlign w:val="top"/>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1.整体尺寸：2470*1180*650CM；圆平台尺寸：ø：400CM H=180CM；近四分之三圆平台尺寸：ø：400CM H=270CM；椭圆平台尺寸：540*390*150CM；轮胎荡桥：200</w:t>
            </w:r>
            <w:r>
              <w:rPr>
                <w:rFonts w:hint="eastAsia" w:ascii="宋体" w:hAnsi="宋体" w:eastAsia="宋体" w:cs="宋体"/>
                <w:i w:val="0"/>
                <w:iCs w:val="0"/>
                <w:color w:val="000000"/>
                <w:sz w:val="20"/>
                <w:szCs w:val="20"/>
                <w:u w:val="none"/>
                <w:lang w:val="en-US" w:eastAsia="zh-CN" w:bidi="ar"/>
              </w:rPr>
              <w:t xml:space="preserve">*120*150CM；斜爬：250*120C*270CM；弧形过桥平台：400*225*150CM；弧形爬网过桥：260*120*150CM；七节直桶滑1组，六节螺旋桶滑1组，五节螺旋桶滑1组，斜爬网1组，楼梯1组，钻网桶2组，弧形钻网爬2组，立柱顶部配件11组，直爬网桶2组，圆盘荡桥1组，秋千1组，小圆盘爬1组，传声筒1组。采用镀锌钢管框架+柳桉木平台构件+高强度安全爬网+封闭式钻笼+螺旋滑梯组合，含多层平台、楼梯、镂空步道、连通钻笼、攀爬网、滑梯滑道、防护围栏等功能单元，适用于幼儿园、户外儿童乐园场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立柱管件材质及工艺：（1）主立柱采用114mm，厚度2.5mm的定制镀锌钢管。（2）表面打磨喷砂边角除毛刺，平整光滑不伤手。（3）采用焊接成型，焊缝均匀、强度大、承载能力强，焊接工艺采用C02气体保护焊，环保安全。（4）外表面采用阿克苏环保塑粉，流水线喷涂装置进行喷涂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木制材料部分：主体采用芬兰木，平台厚度23mm,装饰板厚15mm。经专业技师进行压、刨、铣、冲等处理后，表面进行防腐、防火、防蛀处理，后采用原子灰进行两次刮灰抹平，并打磨光滑，表面再喷室外专用环保面漆。木制部分光滑无毛刺，结实耐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3、金属部件：镀锌板材料，成品表面光滑，抗紫外线能力强，耐腐蚀，耐候性好。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塑料部件材料及工艺：采用LLDPE高强度工程塑粉经滚塑成型，经造粒工艺将颜料完全溶入颗粒中、磨粉机加工、滚塑工艺成型。加工工艺采用滚塑工艺，回转成型，色彩艳丽，渗入抗紫外线、防静电及防脱色元素，安全、环保、不易老化脱落，日久弥新部分装饰板为PE板（厚度15mm\19mm），色彩鲜艳，材质稳定，无毒无味，成品内外平整，无毛刺，且不易褪色，不易变形，具有韧性高，抗拉，耐磨等特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网绳：主件采用优质Φ16mm航海船用缆绳，内含6股钢丝绳，中芯为镀铬钢丝，外层再覆以变色锦纶编织绳，以绳网扣连接。绳网强度大，抗磨损，耐腐蚀，安全性能好，安全使用能强；附件采用优质Φ14mm航海船用缆绳，内含一股钢丝绳，坚韧耐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6、螺丝、帽盖采用304不锈钢材质，采用组合式联结。</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7、整套设备安全环保、耐候性好、不易老化、不易褪色、不易生锈。</w:t>
            </w:r>
            <w:r/>
          </w:p>
        </w:tc>
        <w:tc>
          <w:tcPr>
            <w:tcW w:w="3080"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51424" behindDoc="0" locked="0" layoutInCell="1" allowOverlap="1">
                      <wp:simplePos x="0" y="0"/>
                      <wp:positionH relativeFrom="column">
                        <wp:posOffset>-8890</wp:posOffset>
                      </wp:positionH>
                      <wp:positionV relativeFrom="paragraph">
                        <wp:posOffset>-1017270</wp:posOffset>
                      </wp:positionV>
                      <wp:extent cx="1731645" cy="1008380"/>
                      <wp:effectExtent l="0" t="0" r="1905" b="1270"/>
                      <wp:wrapNone/>
                      <wp:docPr id="95" name="图片_126"/>
                      <wp:cNvGraphicFramePr/>
                      <a:graphic xmlns:a="http://schemas.openxmlformats.org/drawingml/2006/main">
                        <a:graphicData uri="http://schemas.openxmlformats.org/drawingml/2006/picture">
                          <pic:pic xmlns:pic="http://schemas.openxmlformats.org/drawingml/2006/picture">
                            <pic:nvPicPr>
                              <pic:cNvPr id="234" name="图片_126"/>
                              <pic:cNvPicPr/>
                              <pic:nvPr/>
                            </pic:nvPicPr>
                            <pic:blipFill>
                              <a:blip r:embed="rId104"/>
                              <a:stretch/>
                            </pic:blipFill>
                            <pic:spPr bwMode="auto">
                              <a:xfrm>
                                <a:off x="0" y="0"/>
                                <a:ext cx="1731645" cy="10083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position:absolute;z-index:251751424;o:allowoverlap:true;o:allowincell:true;mso-position-horizontal-relative:text;margin-left:-0.7pt;mso-position-horizontal:absolute;mso-position-vertical-relative:text;margin-top:-80.1pt;mso-position-vertical:absolute;width:136.3pt;height:79.4pt;mso-wrap-distance-left:9.0pt;mso-wrap-distance-top:0.0pt;mso-wrap-distance-right:9.0pt;mso-wrap-distance-bottom:0.0pt;" stroked="f">
                      <v:path textboxrect="0,0,0,0"/>
                      <v:imagedata r:id="rId104"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95</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升旗台</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1.规格：长300cm*宽250cm*台阶总高40cm,单层台阶20cm,旗台围栏高度150cm,围栏装饰高度200cm；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2.材质工艺：镀锌钢管，整体加工后经特殊工艺除锈，抛沙处理。表面处理：CO2 保护焊、经喷丸技术处理、然后经过抛光处理、室外聚酯系树脂粉体涂装高温电磁烤漆</w:t>
            </w:r>
            <w:r/>
          </w:p>
        </w:tc>
        <w:tc>
          <w:tcPr>
            <w:tcW w:w="3080"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52448" behindDoc="0" locked="0" layoutInCell="1" allowOverlap="1">
                      <wp:simplePos x="0" y="0"/>
                      <wp:positionH relativeFrom="column">
                        <wp:posOffset>577850</wp:posOffset>
                      </wp:positionH>
                      <wp:positionV relativeFrom="paragraph">
                        <wp:posOffset>-208280</wp:posOffset>
                      </wp:positionV>
                      <wp:extent cx="591185" cy="626110"/>
                      <wp:effectExtent l="0" t="0" r="18415" b="2540"/>
                      <wp:wrapNone/>
                      <wp:docPr id="96" name="图片_5"/>
                      <wp:cNvGraphicFramePr/>
                      <a:graphic xmlns:a="http://schemas.openxmlformats.org/drawingml/2006/main">
                        <a:graphicData uri="http://schemas.openxmlformats.org/drawingml/2006/picture">
                          <pic:pic xmlns:pic="http://schemas.openxmlformats.org/drawingml/2006/picture">
                            <pic:nvPicPr>
                              <pic:cNvPr id="235" name="图片_5"/>
                              <pic:cNvPicPr/>
                              <pic:nvPr/>
                            </pic:nvPicPr>
                            <pic:blipFill>
                              <a:blip r:embed="rId105"/>
                              <a:stretch/>
                            </pic:blipFill>
                            <pic:spPr bwMode="auto">
                              <a:xfrm>
                                <a:off x="0" y="0"/>
                                <a:ext cx="591185" cy="626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position:absolute;z-index:251752448;o:allowoverlap:true;o:allowincell:true;mso-position-horizontal-relative:text;margin-left:45.5pt;mso-position-horizontal:absolute;mso-position-vertical-relative:text;margin-top:-16.4pt;mso-position-vertical:absolute;width:46.5pt;height:49.3pt;mso-wrap-distance-left:9.0pt;mso-wrap-distance-top:0.0pt;mso-wrap-distance-right:9.0pt;mso-wrap-distance-bottom:0.0pt;" stroked="f">
                      <v:path textboxrect="0,0,0,0"/>
                      <v:imagedata r:id="rId105"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96</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沙池玩具01</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规格：1328*800*1080mm；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1.材料：ACQ芬兰防腐木，边缘抛圆处理，外表面和内表面以及儿童手指可触及的隐蔽处，均不得有锐利</w:t>
            </w:r>
            <w:r>
              <w:rPr>
                <w:rFonts w:hint="eastAsia" w:ascii="微软雅黑" w:hAnsi="微软雅黑" w:eastAsia="微软雅黑" w:cs="微软雅黑"/>
                <w:i w:val="0"/>
                <w:iCs w:val="0"/>
                <w:color w:val="000000"/>
                <w:sz w:val="28"/>
                <w:szCs w:val="2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53472" behindDoc="0" locked="0" layoutInCell="1" allowOverlap="1">
                      <wp:simplePos x="0" y="0"/>
                      <wp:positionH relativeFrom="column">
                        <wp:posOffset>3505200</wp:posOffset>
                      </wp:positionH>
                      <wp:positionV relativeFrom="paragraph">
                        <wp:posOffset>66040</wp:posOffset>
                      </wp:positionV>
                      <wp:extent cx="1031240" cy="716280"/>
                      <wp:effectExtent l="0" t="0" r="16510" b="7620"/>
                      <wp:wrapNone/>
                      <wp:docPr id="97" name="ID_4CD686D169D54C79AEFEF53B476C65A2"/>
                      <wp:cNvGraphicFramePr/>
                      <a:graphic xmlns:a="http://schemas.openxmlformats.org/drawingml/2006/main">
                        <a:graphicData uri="http://schemas.openxmlformats.org/drawingml/2006/picture">
                          <pic:pic xmlns:pic="http://schemas.openxmlformats.org/drawingml/2006/picture">
                            <pic:nvPicPr>
                              <pic:cNvPr id="236" name="ID_4CD686D169D54C79AEFEF53B476C65A2"/>
                              <pic:cNvPicPr/>
                              <pic:nvPr/>
                            </pic:nvPicPr>
                            <pic:blipFill>
                              <a:blip r:embed="rId106"/>
                              <a:stretch/>
                            </pic:blipFill>
                            <pic:spPr bwMode="auto">
                              <a:xfrm>
                                <a:off x="0" y="0"/>
                                <a:ext cx="1031240" cy="7162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position:absolute;z-index:251753472;o:allowoverlap:true;o:allowincell:true;mso-position-horizontal-relative:text;margin-left:276.0pt;mso-position-horizontal:absolute;mso-position-vertical-relative:text;margin-top:5.2pt;mso-position-vertical:absolute;width:81.2pt;height:56.4pt;mso-wrap-distance-left:9.0pt;mso-wrap-distance-top:0.0pt;mso-wrap-distance-right:9.0pt;mso-wrap-distance-bottom:0.0pt;" stroked="f">
                      <v:path textboxrect="0,0,0,0"/>
                      <v:imagedata r:id="rId106" o:title=""/>
                    </v:shape>
                  </w:pict>
                </mc:Fallback>
              </mc:AlternateContent>
            </w:r>
            <w:r>
              <w:rPr>
                <w:rFonts w:hint="eastAsia" w:ascii="宋体" w:hAnsi="宋体" w:eastAsia="宋体" w:cs="宋体"/>
                <w:i w:val="0"/>
                <w:iCs w:val="0"/>
                <w:color w:val="000000"/>
                <w:sz w:val="20"/>
                <w:szCs w:val="20"/>
                <w:u w:val="none"/>
                <w:lang w:val="en-US" w:eastAsia="zh-CN" w:bidi="ar"/>
              </w:rPr>
              <w:t xml:space="preserve">的棱角、毛刺以及小五金部件露出的锐利尖锐。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2.油漆:环保型全哑光聚脂面漆，两底一面，产品所有可长期置于室外，防锈、防腐，无尖锐点。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3.附件类：盖帽采用环保塑料材质；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4.金螺丝需采用子母螺丝，螺母需采用防松螺母,不锈钢膨胀螺丝。</w:t>
            </w:r>
            <w:r/>
          </w:p>
        </w:tc>
        <w:tc>
          <w:tcPr>
            <w:tcW w:w="3080"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cs="宋体"/>
                <w:szCs w:val="21"/>
              </w:rPr>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97</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沙池玩具02</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规格：⌀900*600mm；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1.材料：ACQ芬兰防腐木，边缘抛圆处理，外表面和内表面以及儿童手指可触及的隐蔽处，均不得有锐利的棱角、毛刺以及小五金部件露出的锐利尖锐。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2.油漆:环保型全哑光聚脂面漆，两底一面，产品所有可长期置于室外，防锈、防腐，无尖锐点，安全。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3.附件类：盖帽采用环保塑料材质；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4.金螺丝需采用子母螺丝，螺母需采用防松螺母,不锈钢膨胀螺丝。</w:t>
            </w:r>
            <w:r/>
          </w:p>
        </w:tc>
        <w:tc>
          <w:tcPr>
            <w:tcW w:w="3080"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54496" behindDoc="0" locked="0" layoutInCell="1" allowOverlap="1">
                      <wp:simplePos x="0" y="0"/>
                      <wp:positionH relativeFrom="column">
                        <wp:posOffset>363855</wp:posOffset>
                      </wp:positionH>
                      <wp:positionV relativeFrom="paragraph">
                        <wp:posOffset>-177800</wp:posOffset>
                      </wp:positionV>
                      <wp:extent cx="1104900" cy="892810"/>
                      <wp:effectExtent l="0" t="0" r="0" b="2540"/>
                      <wp:wrapNone/>
                      <wp:docPr id="98" name="ID_D006458C76A84A518874C2C036D542AB"/>
                      <wp:cNvGraphicFramePr/>
                      <a:graphic xmlns:a="http://schemas.openxmlformats.org/drawingml/2006/main">
                        <a:graphicData uri="http://schemas.openxmlformats.org/drawingml/2006/picture">
                          <pic:pic xmlns:pic="http://schemas.openxmlformats.org/drawingml/2006/picture">
                            <pic:nvPicPr>
                              <pic:cNvPr id="237" name="ID_D006458C76A84A518874C2C036D542AB"/>
                              <pic:cNvPicPr/>
                              <pic:nvPr/>
                            </pic:nvPicPr>
                            <pic:blipFill>
                              <a:blip r:embed="rId107"/>
                              <a:stretch/>
                            </pic:blipFill>
                            <pic:spPr bwMode="auto">
                              <a:xfrm>
                                <a:off x="0" y="0"/>
                                <a:ext cx="1104900" cy="8928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position:absolute;z-index:251754496;o:allowoverlap:true;o:allowincell:true;mso-position-horizontal-relative:text;margin-left:28.6pt;mso-position-horizontal:absolute;mso-position-vertical-relative:text;margin-top:-14.0pt;mso-position-vertical:absolute;width:87.0pt;height:70.3pt;mso-wrap-distance-left:9.0pt;mso-wrap-distance-top:0.0pt;mso-wrap-distance-right:9.0pt;mso-wrap-distance-bottom:0.0pt;" stroked="f">
                      <v:path textboxrect="0,0,0,0"/>
                      <v:imagedata r:id="rId107"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98</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沙池玩具03</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规格：800*600*720mm；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1.材料：ACQ芬兰防腐木，边缘抛圆处理，外表面和内表面以及儿童手指可触及的隐蔽处，均不得有锐利的棱角、毛刺以及小五金部件露出的锐利尖锐。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2.油漆:环保型全哑光聚脂面漆，两底一面，产品所有可长期置于室外，防锈、防腐，无尖锐点，安全。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3.附件类：盖帽采用环保塑料材质；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4.金螺丝需采用子母螺丝，螺母需采用防松螺母,不锈钢膨胀螺丝。</w:t>
            </w:r>
            <w:r/>
          </w:p>
        </w:tc>
        <w:tc>
          <w:tcPr>
            <w:tcW w:w="3080"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55520" behindDoc="0" locked="0" layoutInCell="1" allowOverlap="1">
                      <wp:simplePos x="0" y="0"/>
                      <wp:positionH relativeFrom="column">
                        <wp:posOffset>381635</wp:posOffset>
                      </wp:positionH>
                      <wp:positionV relativeFrom="paragraph">
                        <wp:posOffset>-311150</wp:posOffset>
                      </wp:positionV>
                      <wp:extent cx="982980" cy="801370"/>
                      <wp:effectExtent l="0" t="0" r="7620" b="17780"/>
                      <wp:wrapNone/>
                      <wp:docPr id="99" name="ID_738D81F40B5A40ABA9F61C82E3B2D4E7"/>
                      <wp:cNvGraphicFramePr/>
                      <a:graphic xmlns:a="http://schemas.openxmlformats.org/drawingml/2006/main">
                        <a:graphicData uri="http://schemas.openxmlformats.org/drawingml/2006/picture">
                          <pic:pic xmlns:pic="http://schemas.openxmlformats.org/drawingml/2006/picture">
                            <pic:nvPicPr>
                              <pic:cNvPr id="238" name="ID_738D81F40B5A40ABA9F61C82E3B2D4E7"/>
                              <pic:cNvPicPr/>
                              <pic:nvPr/>
                            </pic:nvPicPr>
                            <pic:blipFill>
                              <a:blip r:embed="rId108"/>
                              <a:stretch/>
                            </pic:blipFill>
                            <pic:spPr bwMode="auto">
                              <a:xfrm>
                                <a:off x="0" y="0"/>
                                <a:ext cx="982980" cy="8013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position:absolute;z-index:251755520;o:allowoverlap:true;o:allowincell:true;mso-position-horizontal-relative:text;margin-left:30.0pt;mso-position-horizontal:absolute;mso-position-vertical-relative:text;margin-top:-24.5pt;mso-position-vertical:absolute;width:77.4pt;height:63.1pt;mso-wrap-distance-left:9.0pt;mso-wrap-distance-top:0.0pt;mso-wrap-distance-right:9.0pt;mso-wrap-distance-bottom:0.0pt;" stroked="f">
                      <v:path textboxrect="0,0,0,0"/>
                      <v:imagedata r:id="rId108" o:title=""/>
                    </v:shape>
                  </w:pict>
                </mc:Fallback>
              </mc:AlternateContent>
            </w:r>
            <w:r/>
          </w:p>
        </w:tc>
      </w:tr>
      <w:tr>
        <w:trPr>
          <w:jc w:val="center"/>
          <w:trHeight w:val="1127"/>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99</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沙池玩具04</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材质：PP塑料，包括：小推车个、铲子、耙子、塑料水桶等，不少于28个。</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56544" behindDoc="0" locked="0" layoutInCell="1" allowOverlap="1">
                      <wp:simplePos x="0" y="0"/>
                      <wp:positionH relativeFrom="column">
                        <wp:posOffset>579755</wp:posOffset>
                      </wp:positionH>
                      <wp:positionV relativeFrom="paragraph">
                        <wp:posOffset>126365</wp:posOffset>
                      </wp:positionV>
                      <wp:extent cx="790575" cy="419100"/>
                      <wp:effectExtent l="0" t="0" r="9525" b="0"/>
                      <wp:wrapNone/>
                      <wp:docPr id="100" name="图片_94"/>
                      <wp:cNvGraphicFramePr/>
                      <a:graphic xmlns:a="http://schemas.openxmlformats.org/drawingml/2006/main">
                        <a:graphicData uri="http://schemas.openxmlformats.org/drawingml/2006/picture">
                          <pic:pic xmlns:pic="http://schemas.openxmlformats.org/drawingml/2006/picture">
                            <pic:nvPicPr>
                              <pic:cNvPr id="239" name="图片_94"/>
                              <pic:cNvPicPr/>
                              <pic:nvPr/>
                            </pic:nvPicPr>
                            <pic:blipFill>
                              <a:blip r:embed="rId109"/>
                              <a:stretch/>
                            </pic:blipFill>
                            <pic:spPr bwMode="auto">
                              <a:xfrm>
                                <a:off x="0" y="0"/>
                                <a:ext cx="790575" cy="4191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position:absolute;z-index:251756544;o:allowoverlap:true;o:allowincell:true;mso-position-horizontal-relative:text;margin-left:45.6pt;mso-position-horizontal:absolute;mso-position-vertical-relative:text;margin-top:9.9pt;mso-position-vertical:absolute;width:62.2pt;height:33.0pt;mso-wrap-distance-left:9.0pt;mso-wrap-distance-top:0.0pt;mso-wrap-distance-right:9.0pt;mso-wrap-distance-bottom:0.0pt;" stroked="f">
                      <v:path textboxrect="0,0,0,0"/>
                      <v:imagedata r:id="rId109"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100</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沙池玩具05</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规格：460*430*670mm；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1.材料：ACQ芬兰防腐木，边缘抛圆处理，外表面和内表面以及儿童手指可触及的隐蔽处，均不得有锐利的棱角、毛刺以及小五金部件露出的锐利尖锐。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2.油漆:环保型全哑光聚脂面漆，两底一面，产品所有可长期置于室外，防锈、防腐，无尖锐点，安全。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3.附件类：盖帽采用环保塑料材质；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4.金螺丝需采用子母螺丝，螺母需采用防松螺母,不锈钢膨胀螺丝。</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57568" behindDoc="0" locked="0" layoutInCell="1" allowOverlap="1">
                      <wp:simplePos x="0" y="0"/>
                      <wp:positionH relativeFrom="column">
                        <wp:posOffset>450850</wp:posOffset>
                      </wp:positionH>
                      <wp:positionV relativeFrom="paragraph">
                        <wp:posOffset>214630</wp:posOffset>
                      </wp:positionV>
                      <wp:extent cx="1014095" cy="948055"/>
                      <wp:effectExtent l="0" t="0" r="14604" b="4445"/>
                      <wp:wrapNone/>
                      <wp:docPr id="101" name="ID_7527CB94145948F8AD1F743231E00AA6"/>
                      <wp:cNvGraphicFramePr/>
                      <a:graphic xmlns:a="http://schemas.openxmlformats.org/drawingml/2006/main">
                        <a:graphicData uri="http://schemas.openxmlformats.org/drawingml/2006/picture">
                          <pic:pic xmlns:pic="http://schemas.openxmlformats.org/drawingml/2006/picture">
                            <pic:nvPicPr>
                              <pic:cNvPr id="240" name="ID_7527CB94145948F8AD1F743231E00AA6"/>
                              <pic:cNvPicPr/>
                              <pic:nvPr/>
                            </pic:nvPicPr>
                            <pic:blipFill>
                              <a:blip r:embed="rId110"/>
                              <a:stretch/>
                            </pic:blipFill>
                            <pic:spPr bwMode="auto">
                              <a:xfrm>
                                <a:off x="0" y="0"/>
                                <a:ext cx="1014095" cy="948055"/>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position:absolute;z-index:251757568;o:allowoverlap:true;o:allowincell:true;mso-position-horizontal-relative:text;margin-left:35.5pt;mso-position-horizontal:absolute;mso-position-vertical-relative:text;margin-top:16.9pt;mso-position-vertical:absolute;width:79.8pt;height:74.6pt;mso-wrap-distance-left:9.0pt;mso-wrap-distance-top:0.0pt;mso-wrap-distance-right:9.0pt;mso-wrap-distance-bottom:0.0pt;" stroked="f">
                      <v:path textboxrect="0,0,0,0"/>
                      <v:imagedata r:id="rId110"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101</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水池</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规格：2300x1050x1530mm；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1.材料：ACQ芬兰防腐木，边缘抛圆处理，外表面和内表面以及儿童手指可触及的隐蔽处，均不得有锐利的棱角、毛刺以及小五金部件露出的锐利尖锐。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2.油漆:环保型全哑光聚脂面漆，两底一面，产品所有可长期置于室外，防锈、防腐，无尖锐点，安全。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3.附件类：盖帽采用环保塑料材质；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4.金螺丝需采用子母螺丝，螺母需采用防松螺母,不锈钢膨胀螺丝。</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58592" behindDoc="0" locked="0" layoutInCell="1" allowOverlap="1">
                      <wp:simplePos x="0" y="0"/>
                      <wp:positionH relativeFrom="column">
                        <wp:posOffset>125095</wp:posOffset>
                      </wp:positionH>
                      <wp:positionV relativeFrom="paragraph">
                        <wp:posOffset>233045</wp:posOffset>
                      </wp:positionV>
                      <wp:extent cx="1607185" cy="1046480"/>
                      <wp:effectExtent l="0" t="0" r="12065" b="1270"/>
                      <wp:wrapNone/>
                      <wp:docPr id="102" name="ID_1CAC9F7157E446D48705DDCEB70BA34B"/>
                      <wp:cNvGraphicFramePr/>
                      <a:graphic xmlns:a="http://schemas.openxmlformats.org/drawingml/2006/main">
                        <a:graphicData uri="http://schemas.openxmlformats.org/drawingml/2006/picture">
                          <pic:pic xmlns:pic="http://schemas.openxmlformats.org/drawingml/2006/picture">
                            <pic:nvPicPr>
                              <pic:cNvPr id="241" name="ID_1CAC9F7157E446D48705DDCEB70BA34B"/>
                              <pic:cNvPicPr/>
                              <pic:nvPr/>
                            </pic:nvPicPr>
                            <pic:blipFill>
                              <a:blip r:embed="rId111"/>
                              <a:stretch/>
                            </pic:blipFill>
                            <pic:spPr bwMode="auto">
                              <a:xfrm>
                                <a:off x="0" y="0"/>
                                <a:ext cx="1607185" cy="1046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position:absolute;z-index:251758592;o:allowoverlap:true;o:allowincell:true;mso-position-horizontal-relative:text;margin-left:9.8pt;mso-position-horizontal:absolute;mso-position-vertical-relative:text;margin-top:18.3pt;mso-position-vertical:absolute;width:126.5pt;height:82.4pt;mso-wrap-distance-left:9.0pt;mso-wrap-distance-top:0.0pt;mso-wrap-distance-right:9.0pt;mso-wrap-distance-bottom:0.0pt;" stroked="f">
                      <v:path textboxrect="0,0,0,0"/>
                      <v:imagedata r:id="rId111"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102</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假山</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1.石材：天然青灰色板岩片石，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2.规格：厚度2–4cm，长宽15–40cm自然毛边。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3.堆叠方式：横向错缝层叠，竖向错落收分，局部悬挑，模拟自然层理肌理。</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59616" behindDoc="0" locked="0" layoutInCell="1" allowOverlap="1">
                      <wp:simplePos x="0" y="0"/>
                      <wp:positionH relativeFrom="column">
                        <wp:posOffset>296545</wp:posOffset>
                      </wp:positionH>
                      <wp:positionV relativeFrom="paragraph">
                        <wp:posOffset>53340</wp:posOffset>
                      </wp:positionV>
                      <wp:extent cx="1350645" cy="553720"/>
                      <wp:effectExtent l="0" t="0" r="1905" b="17780"/>
                      <wp:wrapNone/>
                      <wp:docPr id="103" name="图片_98"/>
                      <wp:cNvGraphicFramePr/>
                      <a:graphic xmlns:a="http://schemas.openxmlformats.org/drawingml/2006/main">
                        <a:graphicData uri="http://schemas.openxmlformats.org/drawingml/2006/picture">
                          <pic:pic xmlns:pic="http://schemas.openxmlformats.org/drawingml/2006/picture">
                            <pic:nvPicPr>
                              <pic:cNvPr id="242" name="图片_98"/>
                              <pic:cNvPicPr/>
                              <pic:nvPr/>
                            </pic:nvPicPr>
                            <pic:blipFill>
                              <a:blip r:embed="rId112"/>
                              <a:stretch/>
                            </pic:blipFill>
                            <pic:spPr bwMode="auto">
                              <a:xfrm>
                                <a:off x="0" y="0"/>
                                <a:ext cx="1350645" cy="5537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position:absolute;z-index:251759616;o:allowoverlap:true;o:allowincell:true;mso-position-horizontal-relative:text;margin-left:23.3pt;mso-position-horizontal:absolute;mso-position-vertical-relative:text;margin-top:4.2pt;mso-position-vertical:absolute;width:106.3pt;height:43.6pt;mso-wrap-distance-left:9.0pt;mso-wrap-distance-top:0.0pt;mso-wrap-distance-right:9.0pt;mso-wrap-distance-bottom:0.0pt;" stroked="f">
                      <v:path textboxrect="0,0,0,0"/>
                      <v:imagedata r:id="rId112"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103</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中型玩具</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1.整体尺寸：2470*1180*650CM；圆平台尺寸：ø：400CM H=180CM；近四分之三圆平台尺寸：ø：400CM H=270CM；椭圆平台尺寸：540*390*150CM；轮胎荡</w:t>
            </w: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60640" behindDoc="0" locked="0" layoutInCell="1" allowOverlap="1">
                      <wp:simplePos x="0" y="0"/>
                      <wp:positionH relativeFrom="column">
                        <wp:posOffset>3196590</wp:posOffset>
                      </wp:positionH>
                      <wp:positionV relativeFrom="paragraph">
                        <wp:posOffset>742950</wp:posOffset>
                      </wp:positionV>
                      <wp:extent cx="1697355" cy="867410"/>
                      <wp:effectExtent l="0" t="0" r="17145" b="8890"/>
                      <wp:wrapNone/>
                      <wp:docPr id="104" name="图片_17"/>
                      <wp:cNvGraphicFramePr/>
                      <a:graphic xmlns:a="http://schemas.openxmlformats.org/drawingml/2006/main">
                        <a:graphicData uri="http://schemas.openxmlformats.org/drawingml/2006/picture">
                          <pic:pic xmlns:pic="http://schemas.openxmlformats.org/drawingml/2006/picture">
                            <pic:nvPicPr>
                              <pic:cNvPr id="243" name="图片_17"/>
                              <pic:cNvPicPr/>
                              <pic:nvPr/>
                            </pic:nvPicPr>
                            <pic:blipFill>
                              <a:blip r:embed="rId113"/>
                              <a:stretch/>
                            </pic:blipFill>
                            <pic:spPr bwMode="auto">
                              <a:xfrm>
                                <a:off x="0" y="0"/>
                                <a:ext cx="1697355" cy="8674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position:absolute;z-index:251760640;o:allowoverlap:true;o:allowincell:true;mso-position-horizontal-relative:text;margin-left:251.7pt;mso-position-horizontal:absolute;mso-position-vertical-relative:text;margin-top:58.5pt;mso-position-vertical:absolute;width:133.7pt;height:68.3pt;mso-wrap-distance-left:9.0pt;mso-wrap-distance-top:0.0pt;mso-wrap-distance-right:9.0pt;mso-wrap-distance-bottom:0.0pt;" stroked="f">
                      <v:path textboxrect="0,0,0,0"/>
                      <v:imagedata r:id="rId113" o:title=""/>
                    </v:shape>
                  </w:pict>
                </mc:Fallback>
              </mc:AlternateContent>
            </w:r>
            <w:r>
              <w:rPr>
                <w:rFonts w:hint="eastAsia" w:ascii="宋体" w:hAnsi="宋体" w:eastAsia="宋体" w:cs="宋体"/>
                <w:i w:val="0"/>
                <w:iCs w:val="0"/>
                <w:color w:val="000000"/>
                <w:sz w:val="20"/>
                <w:szCs w:val="20"/>
                <w:u w:val="none"/>
                <w:lang w:val="en-US" w:eastAsia="zh-CN" w:bidi="ar"/>
              </w:rPr>
              <w:t xml:space="preserve">桥：200*120*150CM；斜爬：250*120C*270CM；弧形过桥平台：400*225*150CM；弧形爬网过桥：260*120*150CM；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七节直桶滑1组，六节螺旋桶滑1组，五节螺旋桶滑1组，斜爬网1组，楼梯1组，钻网桶2组，弧形钻网爬2组，立柱顶部配件11组，直爬网桶2组，圆盘荡桥1组，秋千1组，小圆盘爬1组，传声筒1组。</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立柱管件材质及工艺：（1）主立柱采用114mm，厚度2.5mm的定制镀锌钢管。（2）表面打磨喷砂边角除毛刺，平整光滑不伤手。（3）采用焊接成型，焊缝均匀、强度大、承载能力强，焊接工艺采用C02气体保护焊，环保安全。（4）外表面采用阿克苏环保塑粉，流水线喷涂装置进行喷涂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木制材料部分：主体采用芬兰木，平台厚度23mm,装饰板厚15mm。经专业技师进行压、刨、铣、冲等处理后，表面进行防腐、防火、防蛀处理，后采用原子灰进行两次刮灰抹平，并打磨光滑，表面再喷室外专用环保面漆。木制部分光滑无毛刺，结实耐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3、金属部件：镀锌板材料，成品表面光滑，抗紫外线能力强，耐腐蚀，耐候性好。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塑料部件材料及工艺：采用LLDPE高强度工程塑粉经滚塑成型，经造粒工艺将颜料完全溶入颗粒中、磨粉机加工、滚塑工艺成型。加工工艺采用滚塑工艺，回转成型，色彩艳丽，渗入抗紫外线、防静电及防脱色元素，安全、环保、不易老化脱落，日久弥新部分装饰板为PE板（厚度15mm\19mm），色彩鲜艳，材质稳定，无毒无味，成品内外平整，无毛刺，且不易褪色，不易变形，具有韧性高，抗拉，耐磨等特点。</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网绳：主件采用优质Φ16mm航海船用缆绳，内含6股钢丝绳，中芯为镀铬钢丝，外层再覆以变色锦纶编织绳，以绳网扣连接。绳网强度大，抗磨损，耐腐蚀，安全性能好，安全使用能强；附件采用优质Φ14mm航海船用缆绳，内含一股钢丝绳，坚韧耐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6、螺丝、帽盖采用304不锈钢材质，采用组合式联结。</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7、整套设备安全环保、耐候性好、不易老化、不易褪色、不易生锈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▲投标人或生产商提供芬兰木符合JC/T 2039-2010 标准试验菌种为黑曲霉、土曲霉、出芽短梗霉、绳状青霉且防霉菌等级均为0级（不长）带CMA标识的检测报告并盖章。</w:t>
            </w:r>
            <w:r/>
          </w:p>
        </w:tc>
        <w:tc>
          <w:tcPr>
            <w:tcW w:w="3080"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eastAsia" w:ascii="宋体" w:hAnsi="宋体" w:cs="宋体"/>
                <w:szCs w:val="21"/>
              </w:rPr>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104</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钻洞</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1.规格:3.5m长；直径76cm，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2.滑梯面：304不锈钢板面2MM，滑梯护板：304不锈钢板2MM, 氩弧焊透度均匀，表面光滑、整齐，整体安全可靠。</w:t>
            </w:r>
            <w:r/>
          </w:p>
        </w:tc>
        <w:tc>
          <w:tcPr>
            <w:tcW w:w="3080"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61664" behindDoc="0" locked="0" layoutInCell="1" allowOverlap="1">
                      <wp:simplePos x="0" y="0"/>
                      <wp:positionH relativeFrom="column">
                        <wp:posOffset>663575</wp:posOffset>
                      </wp:positionH>
                      <wp:positionV relativeFrom="paragraph">
                        <wp:posOffset>635</wp:posOffset>
                      </wp:positionV>
                      <wp:extent cx="452755" cy="568960"/>
                      <wp:effectExtent l="0" t="0" r="4445" b="2540"/>
                      <wp:wrapNone/>
                      <wp:docPr id="105" name="图片_100"/>
                      <wp:cNvGraphicFramePr/>
                      <a:graphic xmlns:a="http://schemas.openxmlformats.org/drawingml/2006/main">
                        <a:graphicData uri="http://schemas.openxmlformats.org/drawingml/2006/picture">
                          <pic:pic xmlns:pic="http://schemas.openxmlformats.org/drawingml/2006/picture">
                            <pic:nvPicPr>
                              <pic:cNvPr id="244" name="图片_100"/>
                              <pic:cNvPicPr/>
                              <pic:nvPr/>
                            </pic:nvPicPr>
                            <pic:blipFill>
                              <a:blip r:embed="rId114"/>
                              <a:stretch/>
                            </pic:blipFill>
                            <pic:spPr bwMode="auto">
                              <a:xfrm>
                                <a:off x="0" y="0"/>
                                <a:ext cx="452755" cy="5689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position:absolute;z-index:251761664;o:allowoverlap:true;o:allowincell:true;mso-position-horizontal-relative:text;margin-left:52.2pt;mso-position-horizontal:absolute;mso-position-vertical-relative:text;margin-top:0.0pt;mso-position-vertical:absolute;width:35.6pt;height:44.8pt;mso-wrap-distance-left:9.0pt;mso-wrap-distance-top:0.0pt;mso-wrap-distance-right:9.0pt;mso-wrap-distance-bottom:0.0pt;" stroked="f">
                      <v:path textboxrect="0,0,0,0"/>
                      <v:imagedata r:id="rId114"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105</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木桥障碍</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1.规格:2.1*1m*0.65m高；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2.材料：ACQ芬兰防腐木，边缘抛圆处理，外表面和内表面以及儿童手指可触及的隐蔽处，均不得有锐利的棱角、毛刺以及小五金部件露出的锐利尖锐。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3.油漆:环保型全哑光聚脂面漆，两底一面，产品所有可长期置于室外，防锈、防腐，无尖锐点，安全。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4.附件类：盖帽采用环保塑料材质；金螺丝需采用子母螺丝，螺母需采用防松螺母,不锈钢膨胀螺丝。</w:t>
            </w:r>
            <w:r/>
          </w:p>
        </w:tc>
        <w:tc>
          <w:tcPr>
            <w:tcW w:w="3080"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default" w:ascii="Calibri" w:hAnsi="Calibri" w:eastAsia="宋体" w:cs="Calibri"/>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62688" behindDoc="0" locked="0" layoutInCell="1" allowOverlap="1">
                      <wp:simplePos x="0" y="0"/>
                      <wp:positionH relativeFrom="column">
                        <wp:posOffset>504190</wp:posOffset>
                      </wp:positionH>
                      <wp:positionV relativeFrom="paragraph">
                        <wp:posOffset>38100</wp:posOffset>
                      </wp:positionV>
                      <wp:extent cx="1062990" cy="564515"/>
                      <wp:effectExtent l="0" t="0" r="3810" b="6985"/>
                      <wp:wrapNone/>
                      <wp:docPr id="106" name="图片_101_SpCnt_1"/>
                      <wp:cNvGraphicFramePr/>
                      <a:graphic xmlns:a="http://schemas.openxmlformats.org/drawingml/2006/main">
                        <a:graphicData uri="http://schemas.openxmlformats.org/drawingml/2006/picture">
                          <pic:pic xmlns:pic="http://schemas.openxmlformats.org/drawingml/2006/picture">
                            <pic:nvPicPr>
                              <pic:cNvPr id="245" name="图片_101_SpCnt_1"/>
                              <pic:cNvPicPr/>
                              <pic:nvPr/>
                            </pic:nvPicPr>
                            <pic:blipFill>
                              <a:blip r:embed="rId115"/>
                              <a:stretch/>
                            </pic:blipFill>
                            <pic:spPr bwMode="auto">
                              <a:xfrm>
                                <a:off x="0" y="0"/>
                                <a:ext cx="1062990" cy="5645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position:absolute;z-index:251762688;o:allowoverlap:true;o:allowincell:true;mso-position-horizontal-relative:text;margin-left:39.7pt;mso-position-horizontal:absolute;mso-position-vertical-relative:text;margin-top:3.0pt;mso-position-vertical:absolute;width:83.7pt;height:44.4pt;mso-wrap-distance-left:9.0pt;mso-wrap-distance-top:0.0pt;mso-wrap-distance-right:9.0pt;mso-wrap-distance-bottom:0.0pt;" stroked="f">
                      <v:path textboxrect="0,0,0,0"/>
                      <v:imagedata r:id="rId115"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106</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梅花桩</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1.规格:直径10cm，高度分别到10cm，15cm，20cm，25cm，30cm每个规格2个；</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2.材料：ACQ芬兰防腐木，边缘抛圆处理，外表面和内表面以及儿童手指可触及的隐蔽处，均不得有锐利的棱角、毛刺以及小五金部件露出的锐利尖锐。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3.油漆:环保型全哑光聚脂面漆，两底一面，产品所有可长期置于室外，防锈、防腐，无尖锐点，安全。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4.附件类：盖帽采用环保塑料材质；金螺丝需采用子母螺丝，螺母需采用防松螺母,不锈钢膨胀螺丝。</w:t>
            </w:r>
            <w:r/>
          </w:p>
        </w:tc>
        <w:tc>
          <w:tcPr>
            <w:tcW w:w="3080"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default" w:ascii="Calibri" w:hAnsi="Calibri" w:eastAsia="宋体" w:cs="Calibri"/>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63712" behindDoc="0" locked="0" layoutInCell="1" allowOverlap="1">
                      <wp:simplePos x="0" y="0"/>
                      <wp:positionH relativeFrom="column">
                        <wp:posOffset>420370</wp:posOffset>
                      </wp:positionH>
                      <wp:positionV relativeFrom="paragraph">
                        <wp:posOffset>-238125</wp:posOffset>
                      </wp:positionV>
                      <wp:extent cx="1220470" cy="1014095"/>
                      <wp:effectExtent l="0" t="0" r="17780" b="14604"/>
                      <wp:wrapNone/>
                      <wp:docPr id="107" name="图片_102"/>
                      <wp:cNvGraphicFramePr/>
                      <a:graphic xmlns:a="http://schemas.openxmlformats.org/drawingml/2006/main">
                        <a:graphicData uri="http://schemas.openxmlformats.org/drawingml/2006/picture">
                          <pic:pic xmlns:pic="http://schemas.openxmlformats.org/drawingml/2006/picture">
                            <pic:nvPicPr>
                              <pic:cNvPr id="246" name="图片_102"/>
                              <pic:cNvPicPr/>
                              <pic:nvPr/>
                            </pic:nvPicPr>
                            <pic:blipFill>
                              <a:blip r:embed="rId116"/>
                              <a:stretch/>
                            </pic:blipFill>
                            <pic:spPr bwMode="auto">
                              <a:xfrm>
                                <a:off x="0" y="0"/>
                                <a:ext cx="1220470" cy="10140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position:absolute;z-index:251763712;o:allowoverlap:true;o:allowincell:true;mso-position-horizontal-relative:text;margin-left:33.1pt;mso-position-horizontal:absolute;mso-position-vertical-relative:text;margin-top:-18.8pt;mso-position-vertical:absolute;width:96.1pt;height:79.8pt;mso-wrap-distance-left:9.0pt;mso-wrap-distance-top:0.0pt;mso-wrap-distance-right:9.0pt;mso-wrap-distance-bottom:0.0pt;" stroked="f">
                      <v:path textboxrect="0,0,0,0"/>
                      <v:imagedata r:id="rId116"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107</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爬网</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1.规格:2800*900mm；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2.材料：ACQ芬兰防腐木，边缘抛圆处理，外表面和内表面以及儿童手指可触及的隐蔽处，均不得有锐利的棱角、毛刺以及小五金部件露出的锐利尖锐。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3.油漆:环保型全哑光聚脂面漆，两底一面，产品所有可长期置于室外，防锈、防腐，无尖锐点，安全。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4.附件类：盖帽采用环保塑料材质；金螺丝需采用子母螺丝，螺母需采用防松螺母,不锈钢膨胀螺丝。网部分采用14mm的一股钢丝的变色绳编制，安全牢固；</w:t>
            </w:r>
            <w:r/>
          </w:p>
        </w:tc>
        <w:tc>
          <w:tcPr>
            <w:tcW w:w="3080" w:type="dxa"/>
            <w:vAlign w:val="top"/>
            <w:textDirection w:val="lrTb"/>
            <w:noWrap w:val="false"/>
          </w:tcPr>
          <w:p>
            <w:pPr>
              <w:jc w:val="left"/>
              <w:keepLines w:val="0"/>
              <w:keepNext w:val="0"/>
              <w:widowControl/>
              <w:rPr>
                <w:rFonts w:hint="eastAsia" w:ascii="宋体" w:hAnsi="宋体" w:cs="宋体"/>
                <w:szCs w:val="21"/>
              </w:rPr>
              <w:suppressLineNumbers w:val="0"/>
            </w:pPr>
            <w:r>
              <w:rPr>
                <w:rFonts w:hint="default" w:ascii="Calibri" w:hAnsi="Calibri" w:eastAsia="宋体" w:cs="Calibri"/>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64736" behindDoc="0" locked="0" layoutInCell="1" allowOverlap="1">
                      <wp:simplePos x="0" y="0"/>
                      <wp:positionH relativeFrom="column">
                        <wp:posOffset>154305</wp:posOffset>
                      </wp:positionH>
                      <wp:positionV relativeFrom="paragraph">
                        <wp:posOffset>448945</wp:posOffset>
                      </wp:positionV>
                      <wp:extent cx="1393190" cy="509905"/>
                      <wp:effectExtent l="0" t="0" r="16510" b="4445"/>
                      <wp:wrapNone/>
                      <wp:docPr id="108" name="图片_104"/>
                      <wp:cNvGraphicFramePr/>
                      <a:graphic xmlns:a="http://schemas.openxmlformats.org/drawingml/2006/main">
                        <a:graphicData uri="http://schemas.openxmlformats.org/drawingml/2006/picture">
                          <pic:pic xmlns:pic="http://schemas.openxmlformats.org/drawingml/2006/picture">
                            <pic:nvPicPr>
                              <pic:cNvPr id="247" name="图片_104"/>
                              <pic:cNvPicPr/>
                              <pic:nvPr/>
                            </pic:nvPicPr>
                            <pic:blipFill>
                              <a:blip r:embed="rId117"/>
                              <a:stretch/>
                            </pic:blipFill>
                            <pic:spPr bwMode="auto">
                              <a:xfrm>
                                <a:off x="0" y="0"/>
                                <a:ext cx="1393190" cy="5099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position:absolute;z-index:251764736;o:allowoverlap:true;o:allowincell:true;mso-position-horizontal-relative:text;margin-left:12.1pt;mso-position-horizontal:absolute;mso-position-vertical-relative:text;margin-top:35.4pt;mso-position-vertical:absolute;width:109.7pt;height:40.1pt;mso-wrap-distance-left:9.0pt;mso-wrap-distance-top:0.0pt;mso-wrap-distance-right:9.0pt;mso-wrap-distance-bottom:0.0pt;" stroked="f">
                      <v:path textboxrect="0,0,0,0"/>
                      <v:imagedata r:id="rId117"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108</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软体</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1.规格:长度2m；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2.材质：攀爬绳：高强锦纶安全绳；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3.绳体材质：涤纶编织，户外耐候。</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4.固定方式：上端膨胀挂钩式安装。</w:t>
            </w:r>
            <w:r/>
          </w:p>
        </w:tc>
        <w:tc>
          <w:tcPr>
            <w:tcW w:w="3080"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default" w:ascii="Calibri" w:hAnsi="Calibri" w:eastAsia="宋体" w:cs="Calibri"/>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65760" behindDoc="0" locked="0" layoutInCell="1" allowOverlap="1">
                      <wp:simplePos x="0" y="0"/>
                      <wp:positionH relativeFrom="column">
                        <wp:posOffset>520065</wp:posOffset>
                      </wp:positionH>
                      <wp:positionV relativeFrom="paragraph">
                        <wp:posOffset>27940</wp:posOffset>
                      </wp:positionV>
                      <wp:extent cx="775970" cy="665480"/>
                      <wp:effectExtent l="0" t="0" r="5080" b="1270"/>
                      <wp:wrapNone/>
                      <wp:docPr id="109" name="图片_105"/>
                      <wp:cNvGraphicFramePr/>
                      <a:graphic xmlns:a="http://schemas.openxmlformats.org/drawingml/2006/main">
                        <a:graphicData uri="http://schemas.openxmlformats.org/drawingml/2006/picture">
                          <pic:pic xmlns:pic="http://schemas.openxmlformats.org/drawingml/2006/picture">
                            <pic:nvPicPr>
                              <pic:cNvPr id="248" name="图片_105"/>
                              <pic:cNvPicPr/>
                              <pic:nvPr/>
                            </pic:nvPicPr>
                            <pic:blipFill>
                              <a:blip r:embed="rId118"/>
                              <a:stretch/>
                            </pic:blipFill>
                            <pic:spPr bwMode="auto">
                              <a:xfrm>
                                <a:off x="0" y="0"/>
                                <a:ext cx="775970" cy="665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position:absolute;z-index:251765760;o:allowoverlap:true;o:allowincell:true;mso-position-horizontal-relative:text;margin-left:40.9pt;mso-position-horizontal:absolute;mso-position-vertical-relative:text;margin-top:2.2pt;mso-position-vertical:absolute;width:61.1pt;height:52.4pt;mso-wrap-distance-left:9.0pt;mso-wrap-distance-top:0.0pt;mso-wrap-distance-right:9.0pt;mso-wrap-distance-bottom:0.0pt;" stroked="f">
                      <v:path textboxrect="0,0,0,0"/>
                      <v:imagedata r:id="rId118"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109</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防腐木地板</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1.规格面积：200㎡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2.主材材质要求：地板板材：采用加压防腐实木，厚度≥20mm，宽度120-150mm；经防腐、防虫、防白蚁处理，含水率≤18%，无节疤、无开裂变形；龙骨材料：同等级防腐木龙骨，规格 40mm×60mm，防腐等级与地板一致；固定件：全部采用304不锈钢沉头自攻螺丝，严禁使用普通铁钉或镀锌螺丝，防止生锈污染木材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3.铺设工艺要求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采用龙骨架空铺设法，龙骨间距≤400mm，架空高度 100-150mm，预留充足排水空间，防止积水腐烂；地面基层做 1-2% 自然排水坡度，确保雨水快速排出；龙骨底部加装防腐木垫块，避免直接接触地面；地板拼接预留 5-8mm 伸缩缝，适应热胀冷缩；固定件沉头处理，嵌入板材表面 2mm，后期用木蜡油补平；整体平整度偏差≤3mm/米，缝隙均匀一致，无高低差。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4.安全与表面处理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圆角处理：所有地板外露边角、端头均做R≥10mm 圆角打磨，无尖锐棱角、无毛刺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涂装工艺：整体涂刷环保水性户外耐候木油2-3 遍，哑光原木色；防水、防紫外线、耐老化，甲醛释放量符合 ENF 级标准，无刺鼻异味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5.性能要求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地板均匀承重≥150kg/㎡，整体稳固不晃动，无异响；表面耐刮耐磨，易清洁打理。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7.其他：含主材、辅材、安装。</w:t>
            </w:r>
            <w:r/>
          </w:p>
        </w:tc>
        <w:tc>
          <w:tcPr>
            <w:tcW w:w="3080" w:type="dxa"/>
            <w:vAlign w:val="center"/>
            <w:textDirection w:val="lrTb"/>
            <w:noWrap w:val="false"/>
          </w:tcPr>
          <w:p>
            <w:pPr>
              <w:jc w:val="center"/>
              <w:rPr>
                <w:rFonts w:hint="eastAsia" w:ascii="宋体" w:hAnsi="宋体" w:cs="宋体"/>
                <w:szCs w:val="21"/>
              </w:rPr>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66784" behindDoc="0" locked="0" layoutInCell="1" allowOverlap="1">
                      <wp:simplePos x="0" y="0"/>
                      <wp:positionH relativeFrom="column">
                        <wp:posOffset>487680</wp:posOffset>
                      </wp:positionH>
                      <wp:positionV relativeFrom="paragraph">
                        <wp:posOffset>-713740</wp:posOffset>
                      </wp:positionV>
                      <wp:extent cx="1040130" cy="963295"/>
                      <wp:effectExtent l="0" t="0" r="7620" b="8255"/>
                      <wp:wrapNone/>
                      <wp:docPr id="110" name="image50"/>
                      <wp:cNvGraphicFramePr/>
                      <a:graphic xmlns:a="http://schemas.openxmlformats.org/drawingml/2006/main">
                        <a:graphicData uri="http://schemas.openxmlformats.org/drawingml/2006/picture">
                          <pic:pic xmlns:pic="http://schemas.openxmlformats.org/drawingml/2006/picture">
                            <pic:nvPicPr>
                              <pic:cNvPr id="249" name="image50"/>
                              <pic:cNvPicPr/>
                              <pic:nvPr/>
                            </pic:nvPicPr>
                            <pic:blipFill>
                              <a:blip r:embed="rId119"/>
                              <a:stretch/>
                            </pic:blipFill>
                            <pic:spPr bwMode="auto">
                              <a:xfrm>
                                <a:off x="0" y="0"/>
                                <a:ext cx="1040129" cy="9632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position:absolute;z-index:251766784;o:allowoverlap:true;o:allowincell:true;mso-position-horizontal-relative:text;margin-left:38.4pt;mso-position-horizontal:absolute;mso-position-vertical-relative:text;margin-top:-56.2pt;mso-position-vertical:absolute;width:81.9pt;height:75.8pt;mso-wrap-distance-left:9.0pt;mso-wrap-distance-top:0.0pt;mso-wrap-distance-right:9.0pt;mso-wrap-distance-bottom:0.0pt;" stroked="f">
                      <v:path textboxrect="0,0,0,0"/>
                      <v:imagedata r:id="rId119"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110</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木语美术多格柜</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1.材质：橡胶木+枫木纹贴皮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2.规格：长90cm*宽40cm*高180cm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3.结构和工艺：采用板式拼接结构，连接牢固稳定，表面光滑平整，无毛刺、无尖锐棱角，柜体设有多层隔板，便于分类陈列幼儿作品，适用于幼儿各类展示与收纳场景</w:t>
            </w:r>
            <w:r/>
          </w:p>
        </w:tc>
        <w:tc>
          <w:tcPr>
            <w:tcW w:w="3080"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66784" behindDoc="0" locked="0" layoutInCell="1" allowOverlap="1">
                      <wp:simplePos x="0" y="0"/>
                      <wp:positionH relativeFrom="column">
                        <wp:posOffset>683895</wp:posOffset>
                      </wp:positionH>
                      <wp:positionV relativeFrom="paragraph">
                        <wp:posOffset>8255</wp:posOffset>
                      </wp:positionV>
                      <wp:extent cx="417830" cy="850900"/>
                      <wp:effectExtent l="0" t="0" r="1270" b="6350"/>
                      <wp:wrapNone/>
                      <wp:docPr id="111" name="ID_74D0F1D13850438DBFB4F0F096B2ECBA"/>
                      <wp:cNvGraphicFramePr/>
                      <a:graphic xmlns:a="http://schemas.openxmlformats.org/drawingml/2006/main">
                        <a:graphicData uri="http://schemas.openxmlformats.org/drawingml/2006/picture">
                          <pic:pic xmlns:pic="http://schemas.openxmlformats.org/drawingml/2006/picture">
                            <pic:nvPicPr>
                              <pic:cNvPr id="250" name="ID_74D0F1D13850438DBFB4F0F096B2ECBA"/>
                              <pic:cNvPicPr/>
                              <pic:nvPr/>
                            </pic:nvPicPr>
                            <pic:blipFill>
                              <a:blip r:embed="rId120"/>
                              <a:stretch/>
                            </pic:blipFill>
                            <pic:spPr bwMode="auto">
                              <a:xfrm>
                                <a:off x="0" y="0"/>
                                <a:ext cx="417830" cy="8509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 o:spid="_x0000_s110" type="#_x0000_t75" style="position:absolute;z-index:251766784;o:allowoverlap:true;o:allowincell:true;mso-position-horizontal-relative:text;margin-left:53.8pt;mso-position-horizontal:absolute;mso-position-vertical-relative:text;margin-top:0.7pt;mso-position-vertical:absolute;width:32.9pt;height:67.0pt;mso-wrap-distance-left:9.0pt;mso-wrap-distance-top:0.0pt;mso-wrap-distance-right:9.0pt;mso-wrap-distance-bottom:0.0pt;" stroked="f">
                      <v:path textboxrect="0,0,0,0"/>
                      <v:imagedata r:id="rId120"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111</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木语美术展示柜</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1.材质：橡胶木+枫木纹贴皮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2.规格：长90cm*宽40cm*高180cm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3.描述：采用板式拼接结构，连接牢固稳定，基材经多道工序精细打磨，表面平整光滑，无毛刺、无开裂；预置标准化孔位，便于与挂钩、层板等配件灵活组合，适用于教室墙面收纳、展示、悬挂各类工具</w:t>
            </w:r>
            <w:r/>
          </w:p>
        </w:tc>
        <w:tc>
          <w:tcPr>
            <w:tcW w:w="3080" w:type="dxa"/>
            <w:vAlign w:val="center"/>
            <w:textDirection w:val="lrTb"/>
            <w:noWrap w:val="false"/>
          </w:tcPr>
          <w:p>
            <w:pPr>
              <w:jc w:val="center"/>
              <w:rPr>
                <w:rFonts w:hint="eastAsia" w:ascii="宋体" w:hAnsi="宋体" w:cs="宋体"/>
                <w:szCs w:val="21"/>
              </w:rPr>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67808" behindDoc="0" locked="0" layoutInCell="1" allowOverlap="1">
                      <wp:simplePos x="0" y="0"/>
                      <wp:positionH relativeFrom="column">
                        <wp:posOffset>654050</wp:posOffset>
                      </wp:positionH>
                      <wp:positionV relativeFrom="paragraph">
                        <wp:posOffset>6350</wp:posOffset>
                      </wp:positionV>
                      <wp:extent cx="605155" cy="876935"/>
                      <wp:effectExtent l="0" t="0" r="0" b="18415"/>
                      <wp:wrapNone/>
                      <wp:docPr id="112" name="ID_E07461A2AC2A422283FEF72AA1942DC5"/>
                      <wp:cNvGraphicFramePr/>
                      <a:graphic xmlns:a="http://schemas.openxmlformats.org/drawingml/2006/main">
                        <a:graphicData uri="http://schemas.openxmlformats.org/drawingml/2006/picture">
                          <pic:pic xmlns:pic="http://schemas.openxmlformats.org/drawingml/2006/picture">
                            <pic:nvPicPr>
                              <pic:cNvPr id="251" name="ID_E07461A2AC2A422283FEF72AA1942DC5"/>
                              <pic:cNvPicPr/>
                              <pic:nvPr/>
                            </pic:nvPicPr>
                            <pic:blipFill>
                              <a:blip r:embed="rId121"/>
                              <a:stretch/>
                            </pic:blipFill>
                            <pic:spPr bwMode="auto">
                              <a:xfrm>
                                <a:off x="0" y="0"/>
                                <a:ext cx="605155" cy="8769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 o:spid="_x0000_s111" type="#_x0000_t75" style="position:absolute;z-index:251767808;o:allowoverlap:true;o:allowincell:true;mso-position-horizontal-relative:text;margin-left:51.5pt;mso-position-horizontal:absolute;mso-position-vertical-relative:text;margin-top:0.5pt;mso-position-vertical:absolute;width:47.6pt;height:69.0pt;mso-wrap-distance-left:9.0pt;mso-wrap-distance-top:0.0pt;mso-wrap-distance-right:9.0pt;mso-wrap-distance-bottom:0.0pt;" stroked="f">
                      <v:path textboxrect="0,0,0,0"/>
                      <v:imagedata r:id="rId121"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112</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木语大型操作台</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1.材质：橡胶木+枫木纹贴皮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2.规格：长200cm*宽100cm*高55cm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描述：结构采用榫卯结合加固，连接牢固稳定，表面贴皮采用枫木纹贴皮工艺，贴皮纹理自然均匀，无起翘、气泡、色差等问题；整体经过多次精细打磨，表面光滑平整，无毛刺、无尖锐棱角，柜体设有多层储物空间，可分格存放教具、材料等</w:t>
            </w:r>
            <w:r/>
          </w:p>
        </w:tc>
        <w:tc>
          <w:tcPr>
            <w:tcW w:w="3080"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68832" behindDoc="0" locked="0" layoutInCell="1" allowOverlap="1">
                      <wp:simplePos x="0" y="0"/>
                      <wp:positionH relativeFrom="column">
                        <wp:posOffset>241300</wp:posOffset>
                      </wp:positionH>
                      <wp:positionV relativeFrom="paragraph">
                        <wp:posOffset>165100</wp:posOffset>
                      </wp:positionV>
                      <wp:extent cx="1484630" cy="614680"/>
                      <wp:effectExtent l="0" t="0" r="0" b="14604"/>
                      <wp:wrapNone/>
                      <wp:docPr id="113" name="ID_99B1F4B50640456FA6E167819E60CC89"/>
                      <wp:cNvGraphicFramePr/>
                      <a:graphic xmlns:a="http://schemas.openxmlformats.org/drawingml/2006/main">
                        <a:graphicData uri="http://schemas.openxmlformats.org/drawingml/2006/picture">
                          <pic:pic xmlns:pic="http://schemas.openxmlformats.org/drawingml/2006/picture">
                            <pic:nvPicPr>
                              <pic:cNvPr id="252" name="ID_99B1F4B50640456FA6E167819E60CC89"/>
                              <pic:cNvPicPr/>
                              <pic:nvPr/>
                            </pic:nvPicPr>
                            <pic:blipFill>
                              <a:blip r:embed="rId122"/>
                              <a:stretch/>
                            </pic:blipFill>
                            <pic:spPr bwMode="auto">
                              <a:xfrm>
                                <a:off x="0" y="0"/>
                                <a:ext cx="1484630" cy="6146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 o:spid="_x0000_s112" type="#_x0000_t75" style="position:absolute;z-index:251768832;o:allowoverlap:true;o:allowincell:true;mso-position-horizontal-relative:text;margin-left:19.0pt;mso-position-horizontal:absolute;mso-position-vertical-relative:text;margin-top:13.0pt;mso-position-vertical:absolute;width:116.9pt;height:48.4pt;mso-wrap-distance-left:9.0pt;mso-wrap-distance-top:0.0pt;mso-wrap-distance-right:9.0pt;mso-wrap-distance-bottom:0.0pt;" stroked="f">
                      <v:path textboxrect="0,0,0,0"/>
                      <v:imagedata r:id="rId122"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113</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木语饼干凳</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1.材质：橡胶木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2.规格：直径30cm*高30cm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描述：采用天然橡胶木，木质坚硬、纹理清晰、结构稳定，表面经多道精细砂光打磨，触感光滑细腻，无毛刺、无裂纹；凳体榫卯结构牢固稳定，外露边角及棱线进行精磨倒圆处理，符合幼儿坐姿使用，适用于操作台、活动桌等配套场景</w:t>
            </w:r>
            <w:r/>
          </w:p>
        </w:tc>
        <w:tc>
          <w:tcPr>
            <w:tcW w:w="3080" w:type="dxa"/>
            <w:vAlign w:val="center"/>
            <w:textDirection w:val="lrTb"/>
            <w:noWrap w:val="false"/>
          </w:tcPr>
          <w:p>
            <w:pPr>
              <w:jc w:val="center"/>
              <w:keepLines w:val="0"/>
              <w:keepNext w:val="0"/>
              <w:widowControl/>
              <w:rPr>
                <w:rFonts w:hint="eastAsia" w:ascii="宋体" w:hAnsi="宋体" w:cs="宋体"/>
                <w:szCs w:val="21"/>
              </w:rPr>
              <w:suppressLineNumbers w:val="0"/>
            </w:pPr>
            <w:r>
              <mc:AlternateContent>
                <mc:Choice Requires="wpg">
                  <w:drawing>
                    <wp:inline xmlns:wp="http://schemas.openxmlformats.org/drawingml/2006/wordprocessingDrawing" distT="0" distB="0" distL="0" distR="0">
                      <wp:extent cx="974725" cy="1010285"/>
                      <wp:effectExtent l="0" t="0" r="0" b="18415"/>
                      <wp:docPr id="114" name="ID_81DC825A983D40AB8956F722B6CE4384"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D_81DC825A983D40AB8956F722B6CE4384" descr="图片1"/>
                              <pic:cNvPicPr>
                                <a:picLocks noChangeAspect="1"/>
                              </pic:cNvPicPr>
                              <pic:nvPr/>
                            </pic:nvPicPr>
                            <pic:blipFill>
                              <a:blip r:embed="rId123"/>
                              <a:stretch/>
                            </pic:blipFill>
                            <pic:spPr bwMode="auto">
                              <a:xfrm>
                                <a:off x="0" y="0"/>
                                <a:ext cx="974725" cy="101028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 o:spid="_x0000_s113" type="#_x0000_t75" style="width:76.8pt;height:79.5pt;mso-wrap-distance-left:0.0pt;mso-wrap-distance-top:0.0pt;mso-wrap-distance-right:0.0pt;mso-wrap-distance-bottom:0.0pt;" stroked="false">
                      <v:path textboxrect="0,0,0,0"/>
                      <v:imagedata r:id="rId123"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114</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木语三层材料架</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1.材质：橡胶木+枫木纹贴皮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2.规格：长88cm*宽34cm*高80cm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描述：采用板式拆装结构，使用金属连接件加固，柜体稳定、结构紧凑、分区合理；表面经过多道打磨、底漆、面漆工艺处理，平整光滑，无色差、无颗粒，适用于幼儿木工教室用于分类存放教材、工具、文具、物料等，实现整洁收纳</w:t>
            </w:r>
            <w:r/>
          </w:p>
        </w:tc>
        <w:tc>
          <w:tcPr>
            <w:tcW w:w="3080"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69856" behindDoc="0" locked="0" layoutInCell="1" allowOverlap="1">
                      <wp:simplePos x="0" y="0"/>
                      <wp:positionH relativeFrom="column">
                        <wp:posOffset>496570</wp:posOffset>
                      </wp:positionH>
                      <wp:positionV relativeFrom="paragraph">
                        <wp:posOffset>-69850</wp:posOffset>
                      </wp:positionV>
                      <wp:extent cx="966470" cy="915035"/>
                      <wp:effectExtent l="0" t="0" r="0" b="0"/>
                      <wp:wrapNone/>
                      <wp:docPr id="115" name="ID_52A89158FBC849F086A5859496D05019"/>
                      <wp:cNvGraphicFramePr/>
                      <a:graphic xmlns:a="http://schemas.openxmlformats.org/drawingml/2006/main">
                        <a:graphicData uri="http://schemas.openxmlformats.org/drawingml/2006/picture">
                          <pic:pic xmlns:pic="http://schemas.openxmlformats.org/drawingml/2006/picture">
                            <pic:nvPicPr>
                              <pic:cNvPr id="254" name="ID_52A89158FBC849F086A5859496D05019"/>
                              <pic:cNvPicPr/>
                              <pic:nvPr/>
                            </pic:nvPicPr>
                            <pic:blipFill>
                              <a:blip r:embed="rId124"/>
                              <a:stretch/>
                            </pic:blipFill>
                            <pic:spPr bwMode="auto">
                              <a:xfrm>
                                <a:off x="0" y="0"/>
                                <a:ext cx="966470" cy="9150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 o:spid="_x0000_s114" type="#_x0000_t75" style="position:absolute;z-index:251769856;o:allowoverlap:true;o:allowincell:true;mso-position-horizontal-relative:text;margin-left:39.1pt;mso-position-horizontal:absolute;mso-position-vertical-relative:text;margin-top:-5.5pt;mso-position-vertical:absolute;width:76.1pt;height:72.0pt;mso-wrap-distance-left:9.0pt;mso-wrap-distance-top:0.0pt;mso-wrap-distance-right:9.0pt;mso-wrap-distance-bottom:0.0pt;" stroked="f">
                      <v:path textboxrect="0,0,0,0"/>
                      <v:imagedata r:id="rId124"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115</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木语笑脸收纳柜（小）</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1.材质：实木多层板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2.规格：长50cm*宽40cm*高82cm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3.描述：柜体采用实木多层板，板材平整度高，结构稳固；表面经多道精细打磨，平整光滑，无颗粒感，用于收纳工具、手工材料及幼儿作品，笑脸造型设计可营造温馨活泼的教室氛围</w:t>
            </w:r>
            <w:r/>
          </w:p>
        </w:tc>
        <w:tc>
          <w:tcPr>
            <w:tcW w:w="3080"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70880" behindDoc="0" locked="0" layoutInCell="1" allowOverlap="1">
                      <wp:simplePos x="0" y="0"/>
                      <wp:positionH relativeFrom="column">
                        <wp:posOffset>353060</wp:posOffset>
                      </wp:positionH>
                      <wp:positionV relativeFrom="paragraph">
                        <wp:posOffset>41910</wp:posOffset>
                      </wp:positionV>
                      <wp:extent cx="1039495" cy="801370"/>
                      <wp:effectExtent l="0" t="0" r="0" b="17780"/>
                      <wp:wrapNone/>
                      <wp:docPr id="116" name="ID_257A2A85CEAA4B2BAADAF74560CB5DBB"/>
                      <wp:cNvGraphicFramePr/>
                      <a:graphic xmlns:a="http://schemas.openxmlformats.org/drawingml/2006/main">
                        <a:graphicData uri="http://schemas.openxmlformats.org/drawingml/2006/picture">
                          <pic:pic xmlns:pic="http://schemas.openxmlformats.org/drawingml/2006/picture">
                            <pic:nvPicPr>
                              <pic:cNvPr id="255" name="ID_257A2A85CEAA4B2BAADAF74560CB5DBB"/>
                              <pic:cNvPicPr/>
                              <pic:nvPr/>
                            </pic:nvPicPr>
                            <pic:blipFill>
                              <a:blip r:embed="rId125"/>
                              <a:stretch/>
                            </pic:blipFill>
                            <pic:spPr bwMode="auto">
                              <a:xfrm>
                                <a:off x="0" y="0"/>
                                <a:ext cx="1039495" cy="8013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 o:spid="_x0000_s115" type="#_x0000_t75" style="position:absolute;z-index:251770880;o:allowoverlap:true;o:allowincell:true;mso-position-horizontal-relative:text;margin-left:27.8pt;mso-position-horizontal:absolute;mso-position-vertical-relative:text;margin-top:3.3pt;mso-position-vertical:absolute;width:81.8pt;height:63.1pt;mso-wrap-distance-left:9.0pt;mso-wrap-distance-top:0.0pt;mso-wrap-distance-right:9.0pt;mso-wrap-distance-bottom:0.0pt;" stroked="f">
                      <v:path textboxrect="0,0,0,0"/>
                      <v:imagedata r:id="rId125"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116</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木语笑脸收纳柜（大）</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1.材质：实木多层板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2.规格：长100cm*宽40cm*高82cm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3.描述：柜体采用实木多层板，板材平整度高，结构稳固；表面经多道精细打磨，平整光滑，无颗粒感，用于收纳工具、手工材料及幼儿作品，笑脸造型设计可营造温馨活泼的教室氛围</w:t>
            </w:r>
            <w:r/>
          </w:p>
        </w:tc>
        <w:tc>
          <w:tcPr>
            <w:tcW w:w="3080"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71904" behindDoc="0" locked="0" layoutInCell="1" allowOverlap="1">
                      <wp:simplePos x="0" y="0"/>
                      <wp:positionH relativeFrom="column">
                        <wp:posOffset>316230</wp:posOffset>
                      </wp:positionH>
                      <wp:positionV relativeFrom="paragraph">
                        <wp:posOffset>-8890</wp:posOffset>
                      </wp:positionV>
                      <wp:extent cx="950595" cy="929640"/>
                      <wp:effectExtent l="0" t="0" r="0" b="3810"/>
                      <wp:wrapNone/>
                      <wp:docPr id="117" name="ID_DE790DEE0A67438A98711B194B6FFE99"/>
                      <wp:cNvGraphicFramePr/>
                      <a:graphic xmlns:a="http://schemas.openxmlformats.org/drawingml/2006/main">
                        <a:graphicData uri="http://schemas.openxmlformats.org/drawingml/2006/picture">
                          <pic:pic xmlns:pic="http://schemas.openxmlformats.org/drawingml/2006/picture">
                            <pic:nvPicPr>
                              <pic:cNvPr id="256" name="ID_DE790DEE0A67438A98711B194B6FFE99"/>
                              <pic:cNvPicPr/>
                              <pic:nvPr/>
                            </pic:nvPicPr>
                            <pic:blipFill>
                              <a:blip r:embed="rId126"/>
                              <a:stretch/>
                            </pic:blipFill>
                            <pic:spPr bwMode="auto">
                              <a:xfrm>
                                <a:off x="0" y="0"/>
                                <a:ext cx="950595" cy="9296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6" o:spid="_x0000_s116" type="#_x0000_t75" style="position:absolute;z-index:251771904;o:allowoverlap:true;o:allowincell:true;mso-position-horizontal-relative:text;margin-left:24.9pt;mso-position-horizontal:absolute;mso-position-vertical-relative:text;margin-top:-0.7pt;mso-position-vertical:absolute;width:74.8pt;height:73.2pt;mso-wrap-distance-left:9.0pt;mso-wrap-distance-top:0.0pt;mso-wrap-distance-right:9.0pt;mso-wrap-distance-bottom:0.0pt;" stroked="f">
                      <v:path textboxrect="0,0,0,0"/>
                      <v:imagedata r:id="rId126"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117</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木语移动收纳车</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1.材质：实木多层板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2.规格：60cm*40cm*80cm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3.描述：三层画车，顶部带折叠，可放置画板/纸、画笔和笔筒，搭配刷笔筒凹槽，中间层板可以抽拉，底部层板部分带抽屉，下底有万向轮，两侧带把手</w:t>
            </w:r>
            <w:r/>
          </w:p>
        </w:tc>
        <w:tc>
          <w:tcPr>
            <w:tcW w:w="3080"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18"/>
                <w:szCs w:val="18"/>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72928" behindDoc="0" locked="0" layoutInCell="1" allowOverlap="1">
                      <wp:simplePos x="0" y="0"/>
                      <wp:positionH relativeFrom="column">
                        <wp:posOffset>561340</wp:posOffset>
                      </wp:positionH>
                      <wp:positionV relativeFrom="paragraph">
                        <wp:posOffset>96520</wp:posOffset>
                      </wp:positionV>
                      <wp:extent cx="691515" cy="646430"/>
                      <wp:effectExtent l="0" t="0" r="13335" b="1270"/>
                      <wp:wrapNone/>
                      <wp:docPr id="118" name="ID_9C5E6B5ACA014D6488113CB554DB9ECB"/>
                      <wp:cNvGraphicFramePr/>
                      <a:graphic xmlns:a="http://schemas.openxmlformats.org/drawingml/2006/main">
                        <a:graphicData uri="http://schemas.openxmlformats.org/drawingml/2006/picture">
                          <pic:pic xmlns:pic="http://schemas.openxmlformats.org/drawingml/2006/picture">
                            <pic:nvPicPr>
                              <pic:cNvPr id="257" name="ID_9C5E6B5ACA014D6488113CB554DB9ECB"/>
                              <pic:cNvPicPr/>
                              <pic:nvPr/>
                            </pic:nvPicPr>
                            <pic:blipFill>
                              <a:blip r:embed="rId127"/>
                              <a:stretch/>
                            </pic:blipFill>
                            <pic:spPr bwMode="auto">
                              <a:xfrm>
                                <a:off x="0" y="0"/>
                                <a:ext cx="691515" cy="6464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7" o:spid="_x0000_s117" type="#_x0000_t75" style="position:absolute;z-index:251772928;o:allowoverlap:true;o:allowincell:true;mso-position-horizontal-relative:text;margin-left:44.2pt;mso-position-horizontal:absolute;mso-position-vertical-relative:text;margin-top:7.6pt;mso-position-vertical:absolute;width:54.4pt;height:50.9pt;mso-wrap-distance-left:9.0pt;mso-wrap-distance-top:0.0pt;mso-wrap-distance-right:9.0pt;mso-wrap-distance-bottom:0.0pt;" stroked="f">
                      <v:path textboxrect="0,0,0,0"/>
                      <v:imagedata r:id="rId127"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118</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网格架</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1.材质：防腐木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2.规格：宽60*高90cm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3.工艺：一体框架，采用防腐木，具备防潮、防蛀的特性，整体稳固，安装便捷，可用于悬挂幼儿美术作品、手工制品或教学用具</w:t>
            </w:r>
            <w:r/>
          </w:p>
        </w:tc>
        <w:tc>
          <w:tcPr>
            <w:tcW w:w="3080" w:type="dxa"/>
            <w:vAlign w:val="top"/>
            <w:textDirection w:val="lrTb"/>
            <w:noWrap w:val="false"/>
          </w:tcPr>
          <w:p>
            <w:pPr>
              <w:jc w:val="center"/>
              <w:rPr>
                <w:rFonts w:hint="eastAsia" w:ascii="宋体" w:hAnsi="宋体" w:cs="宋体"/>
                <w:szCs w:val="21"/>
              </w:rPr>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73952" behindDoc="0" locked="0" layoutInCell="1" allowOverlap="1">
                      <wp:simplePos x="0" y="0"/>
                      <wp:positionH relativeFrom="column">
                        <wp:posOffset>715010</wp:posOffset>
                      </wp:positionH>
                      <wp:positionV relativeFrom="paragraph">
                        <wp:posOffset>107950</wp:posOffset>
                      </wp:positionV>
                      <wp:extent cx="410845" cy="649605"/>
                      <wp:effectExtent l="0" t="0" r="8255" b="17145"/>
                      <wp:wrapNone/>
                      <wp:docPr id="119" name="ID_7BEBB82E35EE4BB991F911240C44D63C"/>
                      <wp:cNvGraphicFramePr/>
                      <a:graphic xmlns:a="http://schemas.openxmlformats.org/drawingml/2006/main">
                        <a:graphicData uri="http://schemas.openxmlformats.org/drawingml/2006/picture">
                          <pic:pic xmlns:pic="http://schemas.openxmlformats.org/drawingml/2006/picture">
                            <pic:nvPicPr>
                              <pic:cNvPr id="258" name="ID_7BEBB82E35EE4BB991F911240C44D63C"/>
                              <pic:cNvPicPr/>
                              <pic:nvPr/>
                            </pic:nvPicPr>
                            <pic:blipFill>
                              <a:blip r:embed="rId128"/>
                              <a:stretch/>
                            </pic:blipFill>
                            <pic:spPr bwMode="auto">
                              <a:xfrm>
                                <a:off x="0" y="0"/>
                                <a:ext cx="410844" cy="6496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8" o:spid="_x0000_s118" type="#_x0000_t75" style="position:absolute;z-index:251773952;o:allowoverlap:true;o:allowincell:true;mso-position-horizontal-relative:text;margin-left:56.3pt;mso-position-horizontal:absolute;mso-position-vertical-relative:text;margin-top:8.5pt;mso-position-vertical:absolute;width:32.4pt;height:51.1pt;mso-wrap-distance-left:9.0pt;mso-wrap-distance-top:0.0pt;mso-wrap-distance-right:9.0pt;mso-wrap-distance-bottom:0.0pt;" stroked="f">
                      <v:path textboxrect="0,0,0,0"/>
                      <v:imagedata r:id="rId128"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119</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花挂展示墙</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1.材质：麻绳+松木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2.规格：宽700*高1200mm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麻绳结实耐用、纹理自然，松木经打磨抛光处理，表面光滑无毛刺，配套包含无痕钉及小木夹，小木夹用于悬挂幼儿美术作品、手工制品或装饰花材，安装与使用便捷，兼具展示与装饰功能，可用于展示幼儿作品或布置教室环境，营造自然温馨的美工教室氛围</w:t>
            </w:r>
            <w:r/>
          </w:p>
        </w:tc>
        <w:tc>
          <w:tcPr>
            <w:tcW w:w="3080" w:type="dxa"/>
            <w:vAlign w:val="center"/>
            <w:textDirection w:val="lrTb"/>
            <w:noWrap w:val="false"/>
          </w:tcPr>
          <w:p>
            <w:pPr>
              <w:jc w:val="righ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74976" behindDoc="0" locked="0" layoutInCell="1" allowOverlap="1">
                      <wp:simplePos x="0" y="0"/>
                      <wp:positionH relativeFrom="column">
                        <wp:posOffset>551815</wp:posOffset>
                      </wp:positionH>
                      <wp:positionV relativeFrom="paragraph">
                        <wp:posOffset>-402590</wp:posOffset>
                      </wp:positionV>
                      <wp:extent cx="823595" cy="1121410"/>
                      <wp:effectExtent l="0" t="0" r="14604" b="2540"/>
                      <wp:wrapNone/>
                      <wp:docPr id="120" name="ID_329AFD14F19142D68CEFC75C5CB96AE8"/>
                      <wp:cNvGraphicFramePr/>
                      <a:graphic xmlns:a="http://schemas.openxmlformats.org/drawingml/2006/main">
                        <a:graphicData uri="http://schemas.openxmlformats.org/drawingml/2006/picture">
                          <pic:pic xmlns:pic="http://schemas.openxmlformats.org/drawingml/2006/picture">
                            <pic:nvPicPr>
                              <pic:cNvPr id="260" name="ID_329AFD14F19142D68CEFC75C5CB96AE8"/>
                              <pic:cNvPicPr/>
                              <pic:nvPr/>
                            </pic:nvPicPr>
                            <pic:blipFill>
                              <a:blip r:embed="rId129"/>
                              <a:stretch/>
                            </pic:blipFill>
                            <pic:spPr bwMode="auto">
                              <a:xfrm>
                                <a:off x="0" y="0"/>
                                <a:ext cx="823595" cy="11214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9" o:spid="_x0000_s119" type="#_x0000_t75" style="position:absolute;z-index:251774976;o:allowoverlap:true;o:allowincell:true;mso-position-horizontal-relative:text;margin-left:43.4pt;mso-position-horizontal:absolute;mso-position-vertical-relative:text;margin-top:-31.7pt;mso-position-vertical:absolute;width:64.8pt;height:88.3pt;mso-wrap-distance-left:9.0pt;mso-wrap-distance-top:0.0pt;mso-wrap-distance-right:9.0pt;mso-wrap-distance-bottom:0.0pt;" stroked="f">
                      <v:path textboxrect="0,0,0,0"/>
                      <v:imagedata r:id="rId129"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120</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洗手台</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1.规格尺寸：2000*800*800mm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2.结构：柳桉木做支撑+轮胎作洗手盆。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3.材质：柳桉木；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4.表面工艺：户外专用木油清漆，至少三遍，抗紫外线、防水，保留原木质感。</w:t>
            </w:r>
            <w:r/>
          </w:p>
        </w:tc>
        <w:tc>
          <w:tcPr>
            <w:tcW w:w="3080" w:type="dxa"/>
            <w:vAlign w:val="center"/>
            <w:textDirection w:val="lrTb"/>
            <w:noWrap w:val="false"/>
          </w:tcPr>
          <w:p>
            <w:pPr>
              <w:jc w:val="righ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74976" behindDoc="0" locked="0" layoutInCell="1" allowOverlap="1">
                      <wp:simplePos x="0" y="0"/>
                      <wp:positionH relativeFrom="column">
                        <wp:posOffset>349250</wp:posOffset>
                      </wp:positionH>
                      <wp:positionV relativeFrom="paragraph">
                        <wp:posOffset>98425</wp:posOffset>
                      </wp:positionV>
                      <wp:extent cx="1290320" cy="670560"/>
                      <wp:effectExtent l="0" t="0" r="5080" b="15240"/>
                      <wp:wrapNone/>
                      <wp:docPr id="121" name="图片_4"/>
                      <wp:cNvGraphicFramePr/>
                      <a:graphic xmlns:a="http://schemas.openxmlformats.org/drawingml/2006/main">
                        <a:graphicData uri="http://schemas.openxmlformats.org/drawingml/2006/picture">
                          <pic:pic xmlns:pic="http://schemas.openxmlformats.org/drawingml/2006/picture">
                            <pic:nvPicPr>
                              <pic:cNvPr id="259" name="图片_4"/>
                              <pic:cNvPicPr/>
                              <pic:nvPr/>
                            </pic:nvPicPr>
                            <pic:blipFill>
                              <a:blip r:embed="rId130"/>
                              <a:stretch/>
                            </pic:blipFill>
                            <pic:spPr bwMode="auto">
                              <a:xfrm>
                                <a:off x="0" y="0"/>
                                <a:ext cx="1290319" cy="6705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0" o:spid="_x0000_s120" type="#_x0000_t75" style="position:absolute;z-index:251774976;o:allowoverlap:true;o:allowincell:true;mso-position-horizontal-relative:text;margin-left:27.5pt;mso-position-horizontal:absolute;mso-position-vertical-relative:text;margin-top:7.8pt;mso-position-vertical:absolute;width:101.6pt;height:52.8pt;mso-wrap-distance-left:9.0pt;mso-wrap-distance-top:0.0pt;mso-wrap-distance-right:9.0pt;mso-wrap-distance-bottom:0.0pt;" stroked="f">
                      <v:path textboxrect="0,0,0,0"/>
                      <v:imagedata r:id="rId130"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121</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冲洗区</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1.规格尺寸：1400*1000*1500mm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2.材质：柳桉木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3.工艺：户外专用木油清漆，至少三遍，抗紫外线、防水。</w:t>
            </w:r>
            <w:r/>
          </w:p>
        </w:tc>
        <w:tc>
          <w:tcPr>
            <w:tcW w:w="3080" w:type="dxa"/>
            <w:vAlign w:val="center"/>
            <w:textDirection w:val="lrTb"/>
            <w:noWrap w:val="false"/>
          </w:tcPr>
          <w:p>
            <w:pPr>
              <w:jc w:val="righ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76000" behindDoc="0" locked="0" layoutInCell="1" allowOverlap="1">
                      <wp:simplePos x="0" y="0"/>
                      <wp:positionH relativeFrom="column">
                        <wp:posOffset>565150</wp:posOffset>
                      </wp:positionH>
                      <wp:positionV relativeFrom="paragraph">
                        <wp:posOffset>50800</wp:posOffset>
                      </wp:positionV>
                      <wp:extent cx="823595" cy="603885"/>
                      <wp:effectExtent l="0" t="0" r="14604" b="5715"/>
                      <wp:wrapNone/>
                      <wp:docPr id="122" name="图片_10_SpCnt_1"/>
                      <wp:cNvGraphicFramePr/>
                      <a:graphic xmlns:a="http://schemas.openxmlformats.org/drawingml/2006/main">
                        <a:graphicData uri="http://schemas.openxmlformats.org/drawingml/2006/picture">
                          <pic:pic xmlns:pic="http://schemas.openxmlformats.org/drawingml/2006/picture">
                            <pic:nvPicPr>
                              <pic:cNvPr id="261" name="图片_10_SpCnt_1"/>
                              <pic:cNvPicPr/>
                              <pic:nvPr/>
                            </pic:nvPicPr>
                            <pic:blipFill>
                              <a:blip r:embed="rId131"/>
                              <a:stretch/>
                            </pic:blipFill>
                            <pic:spPr bwMode="auto">
                              <a:xfrm>
                                <a:off x="0" y="0"/>
                                <a:ext cx="823595" cy="6038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1" o:spid="_x0000_s121" type="#_x0000_t75" style="position:absolute;z-index:251776000;o:allowoverlap:true;o:allowincell:true;mso-position-horizontal-relative:text;margin-left:44.5pt;mso-position-horizontal:absolute;mso-position-vertical-relative:text;margin-top:4.0pt;mso-position-vertical:absolute;width:64.8pt;height:47.5pt;mso-wrap-distance-left:9.0pt;mso-wrap-distance-top:0.0pt;mso-wrap-distance-right:9.0pt;mso-wrap-distance-bottom:0.0pt;" stroked="f">
                      <v:path textboxrect="0,0,0,0"/>
                      <v:imagedata r:id="rId131"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122</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拓展套件</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1.规格：24500*1000*400mm；功能包括：梯形平台3个，2个圆形平台，3个树围，1组梅花桩，6个平衡木，3个荡桥，一组爬网，一组吊环，2个爬梯，一组走梯等；</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2.材质：柳桉木，立柱尺寸9.5*9.5cm；平台板厚不低于2.3cm；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结构：有4大单元串联组合而成。1.轮胎攀爬架单元：柳桉木框架+彩色橡胶轮胎攀爬点+网格侧爬面；2.树间荡桥+平衡步道单元：木板平台、悬索步道、软链独木桥、树围圆形平台；3.秋千式行走吊桥单元：木质框架+悬挂式软绳踏板行走桥；4.多功能综合攀爬单元：木质攀岩墙、网格攀爬网、圆形平衡桩、辅助爬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4.工艺：户外专用木油清漆，至少三遍，抗紫外线、防水，保留原木质感。所有木材圆角打磨，倒角R≥15mm；板材拼接无缝隙，防止夹伤；表面无木刺、无开裂、无结疤。</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4.塑料装饰顶：材质：食品级LLDPE工程塑料，滚塑一体成型。</w:t>
            </w:r>
            <w:r/>
          </w:p>
        </w:tc>
        <w:tc>
          <w:tcPr>
            <w:tcW w:w="3080"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77024" behindDoc="0" locked="0" layoutInCell="1" allowOverlap="1">
                      <wp:simplePos x="0" y="0"/>
                      <wp:positionH relativeFrom="column">
                        <wp:posOffset>48895</wp:posOffset>
                      </wp:positionH>
                      <wp:positionV relativeFrom="paragraph">
                        <wp:posOffset>-300990</wp:posOffset>
                      </wp:positionV>
                      <wp:extent cx="1798320" cy="814705"/>
                      <wp:effectExtent l="0" t="0" r="11430" b="4445"/>
                      <wp:wrapNone/>
                      <wp:docPr id="123" name="图片_73"/>
                      <wp:cNvGraphicFramePr/>
                      <a:graphic xmlns:a="http://schemas.openxmlformats.org/drawingml/2006/main">
                        <a:graphicData uri="http://schemas.openxmlformats.org/drawingml/2006/picture">
                          <pic:pic xmlns:pic="http://schemas.openxmlformats.org/drawingml/2006/picture">
                            <pic:nvPicPr>
                              <pic:cNvPr id="262" name="图片_73"/>
                              <pic:cNvPicPr/>
                              <pic:nvPr/>
                            </pic:nvPicPr>
                            <pic:blipFill>
                              <a:blip r:embed="rId132"/>
                              <a:stretch/>
                            </pic:blipFill>
                            <pic:spPr bwMode="auto">
                              <a:xfrm>
                                <a:off x="0" y="0"/>
                                <a:ext cx="1798320" cy="8147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2" o:spid="_x0000_s122" type="#_x0000_t75" style="position:absolute;z-index:251777024;o:allowoverlap:true;o:allowincell:true;mso-position-horizontal-relative:text;margin-left:3.8pt;mso-position-horizontal:absolute;mso-position-vertical-relative:text;margin-top:-23.7pt;mso-position-vertical:absolute;width:141.6pt;height:64.1pt;mso-wrap-distance-left:9.0pt;mso-wrap-distance-top:0.0pt;mso-wrap-distance-right:9.0pt;mso-wrap-distance-bottom:0.0pt;" stroked="f">
                      <v:path textboxrect="0,0,0,0"/>
                      <v:imagedata r:id="rId132"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123</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光学游戏盒</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 530*270*120mm(包装尺寸)。</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 桦木夹板、亚克力、铝片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产品包含:导光棒x3、投影剪卡底座x2、透镜x3、轴x1、投影剪卡x12、主题板支架x2、主题板x3、导光棒卡槽x4、三色滤光镜x3、遮光板x1、遮光板支架x1、旋转底座x1、焦散光环x1、放映盘x1、放映盘支架x1、光源x3、光源支架x3。</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功能：这是一款光学实验游戏,引领孩子们利用光以及延伸物理现象进行游戏实验。孩子们通过观察实验现象所产生的变化来学习光和影子,每一款光学现象实验都有简短的物理现象介绍,不需要很强的专业背景就能理解。</w:t>
            </w:r>
            <w:r/>
          </w:p>
        </w:tc>
        <w:tc>
          <w:tcPr>
            <w:tcW w:w="3080"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78048" behindDoc="0" locked="0" layoutInCell="1" allowOverlap="1">
                      <wp:simplePos x="0" y="0"/>
                      <wp:positionH relativeFrom="column">
                        <wp:posOffset>85725</wp:posOffset>
                      </wp:positionH>
                      <wp:positionV relativeFrom="paragraph">
                        <wp:posOffset>-383540</wp:posOffset>
                      </wp:positionV>
                      <wp:extent cx="1739900" cy="941705"/>
                      <wp:effectExtent l="0" t="0" r="12700" b="10795"/>
                      <wp:wrapNone/>
                      <wp:docPr id="124" name="图片_3"/>
                      <wp:cNvGraphicFramePr/>
                      <a:graphic xmlns:a="http://schemas.openxmlformats.org/drawingml/2006/main">
                        <a:graphicData uri="http://schemas.openxmlformats.org/drawingml/2006/picture">
                          <pic:pic xmlns:pic="http://schemas.openxmlformats.org/drawingml/2006/picture">
                            <pic:nvPicPr>
                              <pic:cNvPr id="263" name="图片_3"/>
                              <pic:cNvPicPr/>
                              <pic:nvPr/>
                            </pic:nvPicPr>
                            <pic:blipFill>
                              <a:blip r:embed="rId133"/>
                              <a:stretch/>
                            </pic:blipFill>
                            <pic:spPr bwMode="auto">
                              <a:xfrm>
                                <a:off x="0" y="0"/>
                                <a:ext cx="1739900" cy="9417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3" o:spid="_x0000_s123" type="#_x0000_t75" style="position:absolute;z-index:251778048;o:allowoverlap:true;o:allowincell:true;mso-position-horizontal-relative:text;margin-left:6.8pt;mso-position-horizontal:absolute;mso-position-vertical-relative:text;margin-top:-30.2pt;mso-position-vertical:absolute;width:137.0pt;height:74.1pt;mso-wrap-distance-left:9.0pt;mso-wrap-distance-top:0.0pt;mso-wrap-distance-right:9.0pt;mso-wrap-distance-bottom:0.0pt;" stroked="f">
                      <v:path textboxrect="0,0,0,0"/>
                      <v:imagedata r:id="rId133"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124</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镜子工作室材料盒</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1规格:423x295x85mm(木盒)。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功能：镜子工作室提供了23种游戏方式,引导孩子接触学习镜面实验,走进认知反射和对称性现象的大门,帮助幼儿建立空间概念,获得日常生活中常用的三维感知能力。孩子们能毫无困难地操作所有的实验,同时猜测实验结果并描述自己的预测。配有教师指导用书。</w:t>
            </w:r>
            <w:r/>
          </w:p>
        </w:tc>
        <w:tc>
          <w:tcPr>
            <w:tcW w:w="3080"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79072" behindDoc="0" locked="0" layoutInCell="1" allowOverlap="1">
                      <wp:simplePos x="0" y="0"/>
                      <wp:positionH relativeFrom="column">
                        <wp:posOffset>451485</wp:posOffset>
                      </wp:positionH>
                      <wp:positionV relativeFrom="paragraph">
                        <wp:posOffset>5715</wp:posOffset>
                      </wp:positionV>
                      <wp:extent cx="835025" cy="624205"/>
                      <wp:effectExtent l="0" t="0" r="3175" b="4445"/>
                      <wp:wrapNone/>
                      <wp:docPr id="125" name="图片_5_SpCnt_1"/>
                      <wp:cNvGraphicFramePr/>
                      <a:graphic xmlns:a="http://schemas.openxmlformats.org/drawingml/2006/main">
                        <a:graphicData uri="http://schemas.openxmlformats.org/drawingml/2006/picture">
                          <pic:pic xmlns:pic="http://schemas.openxmlformats.org/drawingml/2006/picture">
                            <pic:nvPicPr>
                              <pic:cNvPr id="264" name="图片_5_SpCnt_1"/>
                              <pic:cNvPicPr/>
                              <pic:nvPr/>
                            </pic:nvPicPr>
                            <pic:blipFill>
                              <a:blip r:embed="rId134"/>
                              <a:stretch/>
                            </pic:blipFill>
                            <pic:spPr bwMode="auto">
                              <a:xfrm>
                                <a:off x="0" y="0"/>
                                <a:ext cx="835025" cy="62420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4" o:spid="_x0000_s124" type="#_x0000_t75" style="position:absolute;z-index:251779072;o:allowoverlap:true;o:allowincell:true;mso-position-horizontal-relative:text;margin-left:35.5pt;mso-position-horizontal:absolute;mso-position-vertical-relative:text;margin-top:0.4pt;mso-position-vertical:absolute;width:65.8pt;height:49.1pt;mso-wrap-distance-left:9.0pt;mso-wrap-distance-top:0.0pt;mso-wrap-distance-right:9.0pt;mso-wrap-distance-bottom:0.0pt;" stroked="f">
                      <v:path textboxrect="0,0,0,0"/>
                      <v:imagedata r:id="rId134"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125</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水力发电组合</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1.规格:370*80*290mm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2.材质:塑料，165个零件可做15种模型变化,内附彩色说明书,针对产品所应用之科学原理、模型所需的零用件用量,模型组装步骤有详尽的解说。</w:t>
            </w:r>
            <w:r/>
          </w:p>
        </w:tc>
        <w:tc>
          <w:tcPr>
            <w:tcW w:w="3080"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80096" behindDoc="0" locked="0" layoutInCell="1" allowOverlap="1">
                      <wp:simplePos x="0" y="0"/>
                      <wp:positionH relativeFrom="column">
                        <wp:posOffset>466725</wp:posOffset>
                      </wp:positionH>
                      <wp:positionV relativeFrom="paragraph">
                        <wp:posOffset>109855</wp:posOffset>
                      </wp:positionV>
                      <wp:extent cx="713740" cy="429895"/>
                      <wp:effectExtent l="0" t="0" r="10160" b="8255"/>
                      <wp:wrapNone/>
                      <wp:docPr id="126" name="图片_189"/>
                      <wp:cNvGraphicFramePr/>
                      <a:graphic xmlns:a="http://schemas.openxmlformats.org/drawingml/2006/main">
                        <a:graphicData uri="http://schemas.openxmlformats.org/drawingml/2006/picture">
                          <pic:pic xmlns:pic="http://schemas.openxmlformats.org/drawingml/2006/picture">
                            <pic:nvPicPr>
                              <pic:cNvPr id="265" name="图片_189"/>
                              <pic:cNvPicPr/>
                              <pic:nvPr/>
                            </pic:nvPicPr>
                            <pic:blipFill>
                              <a:blip r:embed="rId135"/>
                              <a:stretch/>
                            </pic:blipFill>
                            <pic:spPr bwMode="auto">
                              <a:xfrm>
                                <a:off x="0" y="0"/>
                                <a:ext cx="713740" cy="4298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5" o:spid="_x0000_s125" type="#_x0000_t75" style="position:absolute;z-index:251780096;o:allowoverlap:true;o:allowincell:true;mso-position-horizontal-relative:text;margin-left:36.8pt;mso-position-horizontal:absolute;mso-position-vertical-relative:text;margin-top:8.7pt;mso-position-vertical:absolute;width:56.2pt;height:33.9pt;mso-wrap-distance-left:9.0pt;mso-wrap-distance-top:0.0pt;mso-wrap-distance-right:9.0pt;mso-wrap-distance-bottom:0.0pt;" stroked="f">
                      <v:path textboxrect="0,0,0,0"/>
                      <v:imagedata r:id="rId135"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126</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风力发电模型</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1.规格:370*80*290mm，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2.材质:ABS塑料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3.结构：共有133个零件,可做8种模型变化,内附彩色说明书,针对产品所应用之科学原理、风力发电实验过程及结果。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▲投标人或生产商提供本项目所投基材ABS塑料部件的具有CMA标识的检测报告并盖章，符合以下要求：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①GB/T 22048-2022玩具及儿童用品中特定邻苯二甲酸酯增塑剂的测定(DBP、BBP、DEHP、DNOP、DINP和DIDP的总量） ≤0.1％</w:t>
            </w:r>
            <w:r/>
          </w:p>
        </w:tc>
        <w:tc>
          <w:tcPr>
            <w:tcW w:w="3080"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81120" behindDoc="0" locked="0" layoutInCell="1" allowOverlap="1">
                      <wp:simplePos x="0" y="0"/>
                      <wp:positionH relativeFrom="column">
                        <wp:posOffset>351790</wp:posOffset>
                      </wp:positionH>
                      <wp:positionV relativeFrom="paragraph">
                        <wp:posOffset>-372745</wp:posOffset>
                      </wp:positionV>
                      <wp:extent cx="1325245" cy="845820"/>
                      <wp:effectExtent l="0" t="0" r="8255" b="11430"/>
                      <wp:wrapNone/>
                      <wp:docPr id="127" name="图片_190"/>
                      <wp:cNvGraphicFramePr/>
                      <a:graphic xmlns:a="http://schemas.openxmlformats.org/drawingml/2006/main">
                        <a:graphicData uri="http://schemas.openxmlformats.org/drawingml/2006/picture">
                          <pic:pic xmlns:pic="http://schemas.openxmlformats.org/drawingml/2006/picture">
                            <pic:nvPicPr>
                              <pic:cNvPr id="266" name="图片_190"/>
                              <pic:cNvPicPr/>
                              <pic:nvPr/>
                            </pic:nvPicPr>
                            <pic:blipFill>
                              <a:blip r:embed="rId136"/>
                              <a:stretch/>
                            </pic:blipFill>
                            <pic:spPr bwMode="auto">
                              <a:xfrm>
                                <a:off x="0" y="0"/>
                                <a:ext cx="1325245" cy="8458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6" o:spid="_x0000_s126" type="#_x0000_t75" style="position:absolute;z-index:251781120;o:allowoverlap:true;o:allowincell:true;mso-position-horizontal-relative:text;margin-left:27.7pt;mso-position-horizontal:absolute;mso-position-vertical-relative:text;margin-top:-29.3pt;mso-position-vertical:absolute;width:104.3pt;height:66.6pt;mso-wrap-distance-left:9.0pt;mso-wrap-distance-top:0.0pt;mso-wrap-distance-right:9.0pt;mso-wrap-distance-bottom:0.0pt;" stroked="f">
                      <v:path textboxrect="0,0,0,0"/>
                      <v:imagedata r:id="rId136"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127</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电磁起重机</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1.规格:350*400mm;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2.材质:金属、木质。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3.功能：接通电源,左手一直按着左边的“起重”按钮不放,通过右手控制机械臂,把物体运到指定地点,通过操作了解电磁起重机的原理。</w:t>
            </w:r>
            <w:r/>
          </w:p>
        </w:tc>
        <w:tc>
          <w:tcPr>
            <w:tcW w:w="3080"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82144" behindDoc="0" locked="0" layoutInCell="1" allowOverlap="1">
                      <wp:simplePos x="0" y="0"/>
                      <wp:positionH relativeFrom="column">
                        <wp:posOffset>554990</wp:posOffset>
                      </wp:positionH>
                      <wp:positionV relativeFrom="paragraph">
                        <wp:posOffset>24130</wp:posOffset>
                      </wp:positionV>
                      <wp:extent cx="850900" cy="435610"/>
                      <wp:effectExtent l="0" t="0" r="6350" b="2540"/>
                      <wp:wrapNone/>
                      <wp:docPr id="128" name="图片_11"/>
                      <wp:cNvGraphicFramePr/>
                      <a:graphic xmlns:a="http://schemas.openxmlformats.org/drawingml/2006/main">
                        <a:graphicData uri="http://schemas.openxmlformats.org/drawingml/2006/picture">
                          <pic:pic xmlns:pic="http://schemas.openxmlformats.org/drawingml/2006/picture">
                            <pic:nvPicPr>
                              <pic:cNvPr id="267" name="图片_11"/>
                              <pic:cNvPicPr/>
                              <pic:nvPr/>
                            </pic:nvPicPr>
                            <pic:blipFill>
                              <a:blip r:embed="rId137"/>
                              <a:stretch/>
                            </pic:blipFill>
                            <pic:spPr bwMode="auto">
                              <a:xfrm>
                                <a:off x="0" y="0"/>
                                <a:ext cx="850900" cy="435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7" o:spid="_x0000_s127" type="#_x0000_t75" style="position:absolute;z-index:251782144;o:allowoverlap:true;o:allowincell:true;mso-position-horizontal-relative:text;margin-left:43.7pt;mso-position-horizontal:absolute;mso-position-vertical-relative:text;margin-top:1.9pt;mso-position-vertical:absolute;width:67.0pt;height:34.3pt;mso-wrap-distance-left:9.0pt;mso-wrap-distance-top:0.0pt;mso-wrap-distance-right:9.0pt;mso-wrap-distance-bottom:0.0pt;" stroked="f">
                      <v:path textboxrect="0,0,0,0"/>
                      <v:imagedata r:id="rId137"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128</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手摇发电机</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1.规格:101*60*31mm(不含手摇柄尺寸)，</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2.材质：整机外壳由环保塑料注塑而成, 外加一个手摇柄,内部由一个小型发电机,塑料齿轮,电路板组合而成。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3.功能：通过手柄转动,塑料齿轮传动,使小型发电机发电,从而使电路板上小灯泡亮起来。</w:t>
            </w:r>
            <w:r/>
          </w:p>
        </w:tc>
        <w:tc>
          <w:tcPr>
            <w:tcW w:w="3080"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83168" behindDoc="0" locked="0" layoutInCell="1" allowOverlap="1">
                      <wp:simplePos x="0" y="0"/>
                      <wp:positionH relativeFrom="column">
                        <wp:posOffset>496570</wp:posOffset>
                      </wp:positionH>
                      <wp:positionV relativeFrom="paragraph">
                        <wp:posOffset>43815</wp:posOffset>
                      </wp:positionV>
                      <wp:extent cx="995680" cy="641985"/>
                      <wp:effectExtent l="0" t="0" r="13970" b="5715"/>
                      <wp:wrapNone/>
                      <wp:docPr id="129" name="图片_83"/>
                      <wp:cNvGraphicFramePr/>
                      <a:graphic xmlns:a="http://schemas.openxmlformats.org/drawingml/2006/main">
                        <a:graphicData uri="http://schemas.openxmlformats.org/drawingml/2006/picture">
                          <pic:pic xmlns:pic="http://schemas.openxmlformats.org/drawingml/2006/picture">
                            <pic:nvPicPr>
                              <pic:cNvPr id="268" name="图片_83"/>
                              <pic:cNvPicPr/>
                              <pic:nvPr/>
                            </pic:nvPicPr>
                            <pic:blipFill>
                              <a:blip r:embed="rId138"/>
                              <a:stretch/>
                            </pic:blipFill>
                            <pic:spPr bwMode="auto">
                              <a:xfrm>
                                <a:off x="0" y="0"/>
                                <a:ext cx="995680" cy="6419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8" o:spid="_x0000_s128" type="#_x0000_t75" style="position:absolute;z-index:251783168;o:allowoverlap:true;o:allowincell:true;mso-position-horizontal-relative:text;margin-left:39.1pt;mso-position-horizontal:absolute;mso-position-vertical-relative:text;margin-top:3.4pt;mso-position-vertical:absolute;width:78.4pt;height:50.5pt;mso-wrap-distance-left:9.0pt;mso-wrap-distance-top:0.0pt;mso-wrap-distance-right:9.0pt;mso-wrap-distance-bottom:0.0pt;" stroked="f">
                      <v:path textboxrect="0,0,0,0"/>
                      <v:imagedata r:id="rId138"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129</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光学组件套装</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1.规格:425*355*70mm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2.材质:塑料、金属，</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3.结构：此套装包括组装散件29件。 产品易组装,操作简单,无需工具,利用其组件可组装:放大镜、显微镜、 单目望远镜、万花筒、望远镜、小型望远镜等。</w:t>
            </w:r>
            <w:r/>
          </w:p>
        </w:tc>
        <w:tc>
          <w:tcPr>
            <w:tcW w:w="3080"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84192" behindDoc="0" locked="0" layoutInCell="1" allowOverlap="1">
                      <wp:simplePos x="0" y="0"/>
                      <wp:positionH relativeFrom="column">
                        <wp:posOffset>589280</wp:posOffset>
                      </wp:positionH>
                      <wp:positionV relativeFrom="paragraph">
                        <wp:posOffset>-78740</wp:posOffset>
                      </wp:positionV>
                      <wp:extent cx="681355" cy="561340"/>
                      <wp:effectExtent l="0" t="0" r="4445" b="10160"/>
                      <wp:wrapNone/>
                      <wp:docPr id="130" name="图片_193"/>
                      <wp:cNvGraphicFramePr/>
                      <a:graphic xmlns:a="http://schemas.openxmlformats.org/drawingml/2006/main">
                        <a:graphicData uri="http://schemas.openxmlformats.org/drawingml/2006/picture">
                          <pic:pic xmlns:pic="http://schemas.openxmlformats.org/drawingml/2006/picture">
                            <pic:nvPicPr>
                              <pic:cNvPr id="269" name="图片_193"/>
                              <pic:cNvPicPr/>
                              <pic:nvPr/>
                            </pic:nvPicPr>
                            <pic:blipFill>
                              <a:blip r:embed="rId139"/>
                              <a:stretch/>
                            </pic:blipFill>
                            <pic:spPr bwMode="auto">
                              <a:xfrm>
                                <a:off x="0" y="0"/>
                                <a:ext cx="681355" cy="5613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9" o:spid="_x0000_s129" type="#_x0000_t75" style="position:absolute;z-index:251784192;o:allowoverlap:true;o:allowincell:true;mso-position-horizontal-relative:text;margin-left:46.4pt;mso-position-horizontal:absolute;mso-position-vertical-relative:text;margin-top:-6.2pt;mso-position-vertical:absolute;width:53.6pt;height:44.2pt;mso-wrap-distance-left:9.0pt;mso-wrap-distance-top:0.0pt;mso-wrap-distance-right:9.0pt;mso-wrap-distance-bottom:0.0pt;" stroked="f">
                      <v:path textboxrect="0,0,0,0"/>
                      <v:imagedata r:id="rId139"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130</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奇妙的磁力</w:t>
            </w:r>
            <w:r/>
          </w:p>
        </w:tc>
        <w:tc>
          <w:tcPr>
            <w:tcW w:w="494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1.规格:425*295*105cm(包装尺寸)。</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2.材质:夹板、磁铁、金属片、亚克力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3.功能：通过有趣的磁力实验向幼儿展示了磁极、磁化、同性相斥、异性相吸等磁的现象。通过游戏,幼儿可以提升探索能力、动手操作能力并理解生活中一些简单的磁力现象。</w:t>
            </w:r>
            <w:r/>
          </w:p>
        </w:tc>
        <w:tc>
          <w:tcPr>
            <w:tcW w:w="3080" w:type="dxa"/>
            <w:vAlign w:val="top"/>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85216" behindDoc="0" locked="0" layoutInCell="1" allowOverlap="1">
                      <wp:simplePos x="0" y="0"/>
                      <wp:positionH relativeFrom="column">
                        <wp:posOffset>364490</wp:posOffset>
                      </wp:positionH>
                      <wp:positionV relativeFrom="paragraph">
                        <wp:posOffset>151765</wp:posOffset>
                      </wp:positionV>
                      <wp:extent cx="1341755" cy="795020"/>
                      <wp:effectExtent l="0" t="0" r="10795" b="5080"/>
                      <wp:wrapNone/>
                      <wp:docPr id="131" name="图片_2_SpCnt_1"/>
                      <wp:cNvGraphicFramePr/>
                      <a:graphic xmlns:a="http://schemas.openxmlformats.org/drawingml/2006/main">
                        <a:graphicData uri="http://schemas.openxmlformats.org/drawingml/2006/picture">
                          <pic:pic xmlns:pic="http://schemas.openxmlformats.org/drawingml/2006/picture">
                            <pic:nvPicPr>
                              <pic:cNvPr id="270" name="图片_2_SpCnt_1"/>
                              <pic:cNvPicPr/>
                              <pic:nvPr/>
                            </pic:nvPicPr>
                            <pic:blipFill>
                              <a:blip r:embed="rId140"/>
                              <a:stretch/>
                            </pic:blipFill>
                            <pic:spPr bwMode="auto">
                              <a:xfrm>
                                <a:off x="0" y="0"/>
                                <a:ext cx="1341755" cy="7950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0" o:spid="_x0000_s130" type="#_x0000_t75" style="position:absolute;z-index:251785216;o:allowoverlap:true;o:allowincell:true;mso-position-horizontal-relative:text;margin-left:28.7pt;mso-position-horizontal:absolute;mso-position-vertical-relative:text;margin-top:11.9pt;mso-position-vertical:absolute;width:105.6pt;height:62.6pt;mso-wrap-distance-left:9.0pt;mso-wrap-distance-top:0.0pt;mso-wrap-distance-right:9.0pt;mso-wrap-distance-bottom:0.0pt;" stroked="f">
                      <v:path textboxrect="0,0,0,0"/>
                      <v:imagedata r:id="rId140"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131</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赛道滑滑车</w:t>
            </w:r>
            <w:r/>
          </w:p>
        </w:tc>
        <w:tc>
          <w:tcPr>
            <w:tcW w:w="4948"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1.产品材质：椴木胶合板、金属、榉木。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2.产品尺寸：轨道框架≥31×17.7×28.3mm，小车≥45×31×20 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3.产品配件：1个四条赛道的游戏框架，4辆含轮木制小车。</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4.产品要求：斜坡赛道玩具，共有4辆玩具车，1个彩虹赛道，无需组装就能开启赛车游戏。</w:t>
            </w:r>
            <w:r/>
          </w:p>
        </w:tc>
        <w:tc>
          <w:tcPr>
            <w:tcW w:w="3080" w:type="dxa"/>
            <w:vAlign w:val="top"/>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86240" behindDoc="0" locked="0" layoutInCell="1" allowOverlap="1">
                      <wp:simplePos x="0" y="0"/>
                      <wp:positionH relativeFrom="column">
                        <wp:posOffset>197485</wp:posOffset>
                      </wp:positionH>
                      <wp:positionV relativeFrom="paragraph">
                        <wp:posOffset>245110</wp:posOffset>
                      </wp:positionV>
                      <wp:extent cx="1344930" cy="864235"/>
                      <wp:effectExtent l="0" t="0" r="7620" b="12065"/>
                      <wp:wrapNone/>
                      <wp:docPr id="132" name="Picture_124"/>
                      <wp:cNvGraphicFramePr/>
                      <a:graphic xmlns:a="http://schemas.openxmlformats.org/drawingml/2006/main">
                        <a:graphicData uri="http://schemas.openxmlformats.org/drawingml/2006/picture">
                          <pic:pic xmlns:pic="http://schemas.openxmlformats.org/drawingml/2006/picture">
                            <pic:nvPicPr>
                              <pic:cNvPr id="271" name="Picture_124"/>
                              <pic:cNvPicPr/>
                              <pic:nvPr/>
                            </pic:nvPicPr>
                            <pic:blipFill>
                              <a:blip r:embed="rId141"/>
                              <a:stretch/>
                            </pic:blipFill>
                            <pic:spPr bwMode="auto">
                              <a:xfrm>
                                <a:off x="0" y="0"/>
                                <a:ext cx="1344930" cy="8642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1" o:spid="_x0000_s131" type="#_x0000_t75" style="position:absolute;z-index:251786240;o:allowoverlap:true;o:allowincell:true;mso-position-horizontal-relative:text;margin-left:15.5pt;mso-position-horizontal:absolute;mso-position-vertical-relative:text;margin-top:19.3pt;mso-position-vertical:absolute;width:105.9pt;height:68.0pt;mso-wrap-distance-left:9.0pt;mso-wrap-distance-top:0.0pt;mso-wrap-distance-right:9.0pt;mso-wrap-distance-bottom:0.0pt;" stroked="f">
                      <v:path textboxrect="0,0,0,0"/>
                      <v:imagedata r:id="rId141"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132</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户外建构积木</w:t>
            </w:r>
            <w:r/>
          </w:p>
        </w:tc>
        <w:tc>
          <w:tcPr>
            <w:tcW w:w="4948" w:type="dxa"/>
            <w:vAlign w:val="top"/>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一、大型器材组件：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（1）三角中空：6块  1.材质：新西兰松2.规格：33.5*31.5*20*10cm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（2）矩形中空①：16块  1.材质：新西兰松 2.规格：20*20*10cm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（3）矩形中空②：8块  1.材质：新西兰松 2.规格：40*20*10cm</w:t>
            </w:r>
            <w:r>
              <w:rPr>
                <w:rFonts w:hint="eastAsia" w:ascii="宋体" w:hAnsi="宋体" w:eastAsia="宋体" w:cs="宋体"/>
                <w:i w:val="0"/>
                <w:iCs w:val="0"/>
                <w:color w:val="000000"/>
                <w:sz w:val="20"/>
                <w:szCs w:val="20"/>
                <w:u w:val="none"/>
                <w:lang w:val="en-US" w:eastAsia="zh-CN" w:bidi="ar"/>
              </w:rPr>
              <w:br/>
            </w: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87264" behindDoc="0" locked="0" layoutInCell="1" allowOverlap="1">
                      <wp:simplePos x="0" y="0"/>
                      <wp:positionH relativeFrom="column">
                        <wp:posOffset>3270250</wp:posOffset>
                      </wp:positionH>
                      <wp:positionV relativeFrom="paragraph">
                        <wp:posOffset>716915</wp:posOffset>
                      </wp:positionV>
                      <wp:extent cx="1605915" cy="1917700"/>
                      <wp:effectExtent l="0" t="0" r="13335" b="6350"/>
                      <wp:wrapNone/>
                      <wp:docPr id="133" name="图片_76"/>
                      <wp:cNvGraphicFramePr/>
                      <a:graphic xmlns:a="http://schemas.openxmlformats.org/drawingml/2006/main">
                        <a:graphicData uri="http://schemas.openxmlformats.org/drawingml/2006/picture">
                          <pic:pic xmlns:pic="http://schemas.openxmlformats.org/drawingml/2006/picture">
                            <pic:nvPicPr>
                              <pic:cNvPr id="272" name="图片_76"/>
                              <pic:cNvPicPr/>
                              <pic:nvPr/>
                            </pic:nvPicPr>
                            <pic:blipFill>
                              <a:blip r:embed="rId142"/>
                              <a:stretch/>
                            </pic:blipFill>
                            <pic:spPr bwMode="auto">
                              <a:xfrm>
                                <a:off x="0" y="0"/>
                                <a:ext cx="1605915" cy="19177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2" o:spid="_x0000_s132" type="#_x0000_t75" style="position:absolute;z-index:251787264;o:allowoverlap:true;o:allowincell:true;mso-position-horizontal-relative:text;margin-left:257.5pt;mso-position-horizontal:absolute;mso-position-vertical-relative:text;margin-top:56.4pt;mso-position-vertical:absolute;width:126.4pt;height:151.0pt;mso-wrap-distance-left:9.0pt;mso-wrap-distance-top:0.0pt;mso-wrap-distance-right:9.0pt;mso-wrap-distance-bottom:0.0pt;" stroked="f">
                      <v:path textboxrect="0,0,0,0"/>
                      <v:imagedata r:id="rId142" o:title=""/>
                    </v:shape>
                  </w:pict>
                </mc:Fallback>
              </mc:AlternateContent>
            </w:r>
            <w:r>
              <w:rPr>
                <w:rFonts w:hint="eastAsia" w:ascii="宋体" w:hAnsi="宋体" w:eastAsia="宋体" w:cs="宋体"/>
                <w:i w:val="0"/>
                <w:iCs w:val="0"/>
                <w:color w:val="000000"/>
                <w:sz w:val="20"/>
                <w:szCs w:val="20"/>
                <w:u w:val="none"/>
                <w:lang w:val="en-US" w:eastAsia="zh-CN" w:bidi="ar"/>
              </w:rPr>
              <w:t xml:space="preserve">（4）四孔矩形中空：8块  1.材质：新西兰松 2.规格：60*20*10cm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（5）六孔矩形中空：8块  1.材质：新西兰松  2.规格：80*20*10cm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（6）一洞方板：50块  1.材质：新西兰松   2.规格：10*10*2.5cm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（7）薄方块：50块  1.材质：新西兰松  2.规格：10*10*2.5cm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（8）厚方块：100块 1.材质：新西兰松  2.规格：10*10*5cm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（9）长方块①：120块  1.材质：新西兰松  2.规格：20*5*2.5cm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（10）长方块②：120块  1.材质：新西兰松  2.规格：20*10*2.5cm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（11）长方块③：60块  1.材质：新西兰松  2.规格：20*10*5cm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（12）长板①：60块  1.材质：新西兰松  2.规格：40*10*2.5cm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（13）长板②：24块  1.材质：新西兰松  2.规格：100*10*2.5cm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（14）两洞长板：40块  1.材质：新西兰松  2.规格：60*10*2.5cm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（15）三洞长板：30块   1.材质：新西兰松  2.规格：80*10*2.5cm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（16）圆柱：24块  1.材质：新西兰松  2.规格：直径8*高10cm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（17）圆棒①：24块  1.材质：新西兰松  2.规格：直径5*长30cm（18）圆棒②：12块  1.材质：新西兰松  2.规格：直径5*长50cm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（19）圆棒③：12块  1.材质：新西兰松  2.规格：直径5*长60cm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（20）圆环：10块  1.材质：新西兰松  2.规格：外直径20*厚5cm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（21）三角块：10块  1.材质：新西兰松  2.规格：腰边20*腰边20*厚2.5cm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（22）1/4圆：16块  1.材质：新西兰松  2.规格：半径10cm*厚度2.5cm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（23）半圆：8块  1.材质：新西兰松  2.规格：直径20*厚度2.5cm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（24）小弯曲：24块  1.材质：新西兰松  2.规格：外半径17*厚2.5*板宽7cm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（25）大弯曲：12块  1.材质：新西兰松  2.规格：外直径34*厚2.5*板宽7cm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（26）屋檐：12块  1.材质：新西兰松  2.规格：长20*宽10*厚5cm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（27）1/2拱形：12块  1.材质：新西兰松  2.规格：20*20*厚2.5cm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（28）三角卡口板：2块  1.材质：新西兰松   2.规格：长100*高35*厚5cm；等腰  边长61cm；每侧腰边2个卡口宽5cm*深1cm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（29）屋顶板：10块  1.材质：新西兰松  2.规格：长61*宽20*厚2cm；中间2个卡口分别长5*深1cm，2个卡口的边距位置平均</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（30）顶梁：1块  1.材质：新西兰松  2.规格：长100*宽7*厚5cm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（31）房梁：4块  1.材质：新西兰松  2.规格：长100*宽5*厚3cm，中间2个卡口分别长5*深1cm，2个卡口的边距位置平均</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（32）堵头：30个  1.材质：硅胶  2.规格：直径6.4*高5.2cm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（33）连接件①：120个  1.材质：硅胶  2.规格：直径10*高5.25cm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（34）连接件②：120个  1.材质：硅胶  2.规格：直径10*高10cm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二、角色类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（1）交警背心：2件  1.材质：涤纶  2.规格：衣长49*宽40cm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（2）交通标志套装：1套  1.材质：塑  2.规格：塑料棒长75cm*直径2.2cm；塑料底座直径25.5cm*高8cm；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3.数量：5件/套（含底座、连接件、塑料棒、提示牌；1个直行、1个转弯、1个停车场、1个让行、1个注意行人标志）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三、收纳类（1）收纳箱：2个1.材质：塑料2.规格：60*40*34cm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（2）积木图卡套装：1套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1.材质：157g铜版，双面覆膜，圆角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2.规格：21*14cm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3.数量：34张/套</w:t>
            </w:r>
            <w:r/>
          </w:p>
        </w:tc>
        <w:tc>
          <w:tcPr>
            <w:tcW w:w="3080"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eastAsia" w:ascii="宋体" w:hAnsi="宋体" w:cs="宋体"/>
                <w:szCs w:val="21"/>
              </w:rPr>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133</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组合花架</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1.规格：高75cm*宽32.2cm*总深32.5cm（包含铁盘突出部位）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2.材质：全实木毛榉木，三层花架，铁艺托盘，错落分层。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3.形式：三层错落式设计，三角形稳定支撑结构，可放置于墙角/平面区域，无晃动。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4.连接件：采用金属螺丝+隐藏式五金件连接，安装牢固，无外露尖锐部件，避免划伤。</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5.工艺：实木部件经过烘干、打磨、倒角处理，边角圆润无毛刺；托盘表面光滑，无变形、翘曲，防水防污。</w:t>
            </w:r>
            <w:r/>
          </w:p>
        </w:tc>
        <w:tc>
          <w:tcPr>
            <w:tcW w:w="3080"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88288" behindDoc="0" locked="0" layoutInCell="1" allowOverlap="1">
                      <wp:simplePos x="0" y="0"/>
                      <wp:positionH relativeFrom="column">
                        <wp:posOffset>546735</wp:posOffset>
                      </wp:positionH>
                      <wp:positionV relativeFrom="paragraph">
                        <wp:posOffset>-175260</wp:posOffset>
                      </wp:positionV>
                      <wp:extent cx="737870" cy="1286510"/>
                      <wp:effectExtent l="0" t="0" r="5080" b="8890"/>
                      <wp:wrapNone/>
                      <wp:docPr id="134" name="图片_64"/>
                      <wp:cNvGraphicFramePr/>
                      <a:graphic xmlns:a="http://schemas.openxmlformats.org/drawingml/2006/main">
                        <a:graphicData uri="http://schemas.openxmlformats.org/drawingml/2006/picture">
                          <pic:pic xmlns:pic="http://schemas.openxmlformats.org/drawingml/2006/picture">
                            <pic:nvPicPr>
                              <pic:cNvPr id="273" name="图片_64"/>
                              <pic:cNvPicPr/>
                              <pic:nvPr/>
                            </pic:nvPicPr>
                            <pic:blipFill>
                              <a:blip r:embed="rId143"/>
                              <a:stretch/>
                            </pic:blipFill>
                            <pic:spPr bwMode="auto">
                              <a:xfrm>
                                <a:off x="0" y="0"/>
                                <a:ext cx="737870" cy="12865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3" o:spid="_x0000_s133" type="#_x0000_t75" style="position:absolute;z-index:251788288;o:allowoverlap:true;o:allowincell:true;mso-position-horizontal-relative:text;margin-left:43.0pt;mso-position-horizontal:absolute;mso-position-vertical-relative:text;margin-top:-13.8pt;mso-position-vertical:absolute;width:58.1pt;height:101.3pt;mso-wrap-distance-left:9.0pt;mso-wrap-distance-top:0.0pt;mso-wrap-distance-right:9.0pt;mso-wrap-distance-bottom:0.0pt;" stroked="f">
                      <v:path textboxrect="0,0,0,0"/>
                      <v:imagedata r:id="rId143"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134</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木梯组合</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1.规格：大A型架67*40*100cm 小型架57*35*80 走梯180*35 木板180*18cm(16件/套）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主体木材：采用C4级实木防腐木，经真空加压防腐、防虫、防白蚁处理，含水率≤18%，无开裂、无节疤、无变形，适合户外长期使用；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连接配件：全部采用304 不锈钢螺丝 + 镀锌角码，防锈防腐蚀，无生锈污染木材的风险；</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表面处理：整体涂刷环保水性户外耐候木油2 遍，哑光原木色，防水、防紫外线、耐老化，无甲醛、无刺鼻异味，符合 ENF 级环保标准；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4.工艺与安全设计：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A 型架/小型架：一体榫卯+螺丝加固结构，三角支撑力学稳定，防侧翻；所有可接触边角、立柱均做R10mm 以上圆角打磨，无尖锐棱角、无毛刺；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走梯：梯板间距均匀，梯板表面做防滑拉丝处理，防止幼儿滑倒；两侧加装防护挡板，防止幼儿踩空坠落；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平衡木板：实木整板切割，无拼接缝隙；木板边缘倒圆处理，无划手风险；木板与支架采用防滑卡槽设计，安装后无松动、无移位；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承重性能：单块木板均匀承重≥100kg，整体组合承重≥300kg，可同时容纳多名幼儿使用；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防倾倒设计：所有支架底部可预留膨胀螺丝固定孔位，可根据场地需求固定安装，防止训练过程中倾倒移位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功能：可自由组合搭建直线、交叉、环形等多种训练路径，适配不同难度的感统训练需求；支架高度可根据训练难度调整，走梯与木板可互换使用，实现多功能训练；户外使用防腐、防开裂；安装拆卸便捷，方便收纳存放。</w:t>
            </w:r>
            <w:r/>
          </w:p>
        </w:tc>
        <w:tc>
          <w:tcPr>
            <w:tcW w:w="3080"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89312" behindDoc="0" locked="0" layoutInCell="1" allowOverlap="1">
                      <wp:simplePos x="0" y="0"/>
                      <wp:positionH relativeFrom="column">
                        <wp:posOffset>78740</wp:posOffset>
                      </wp:positionH>
                      <wp:positionV relativeFrom="paragraph">
                        <wp:posOffset>-523240</wp:posOffset>
                      </wp:positionV>
                      <wp:extent cx="1711325" cy="1288415"/>
                      <wp:effectExtent l="0" t="0" r="3175" b="6985"/>
                      <wp:wrapNone/>
                      <wp:docPr id="135" name="图片_54"/>
                      <wp:cNvGraphicFramePr/>
                      <a:graphic xmlns:a="http://schemas.openxmlformats.org/drawingml/2006/main">
                        <a:graphicData uri="http://schemas.openxmlformats.org/drawingml/2006/picture">
                          <pic:pic xmlns:pic="http://schemas.openxmlformats.org/drawingml/2006/picture">
                            <pic:nvPicPr>
                              <pic:cNvPr id="274" name="图片_54"/>
                              <pic:cNvPicPr/>
                              <pic:nvPr/>
                            </pic:nvPicPr>
                            <pic:blipFill>
                              <a:blip r:embed="rId144"/>
                              <a:stretch/>
                            </pic:blipFill>
                            <pic:spPr bwMode="auto">
                              <a:xfrm>
                                <a:off x="0" y="0"/>
                                <a:ext cx="1711325" cy="12884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4" o:spid="_x0000_s134" type="#_x0000_t75" style="position:absolute;z-index:251789312;o:allowoverlap:true;o:allowincell:true;mso-position-horizontal-relative:text;margin-left:6.2pt;mso-position-horizontal:absolute;mso-position-vertical-relative:text;margin-top:-41.2pt;mso-position-vertical:absolute;width:134.8pt;height:101.4pt;mso-wrap-distance-left:9.0pt;mso-wrap-distance-top:0.0pt;mso-wrap-distance-right:9.0pt;mso-wrap-distance-bottom:0.0pt;" stroked="f">
                      <v:path textboxrect="0,0,0,0"/>
                      <v:imagedata r:id="rId144"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135</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儿童体检仪</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1.身长测量范围：80cm--150cm，测量精度：±1mm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2.坐高测量范围：50-90cm，测量精度：±1mm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3.体重测量范围： 1kg--100kg，精度±50g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4.全电子精确实时显示测量结果：身高体重、坐高及BMI指标</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5.测量技术：采用位移技术，测量结果更精准。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6.大屏幕LCD显示读数方便，可多个方向自由调节视角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功能：全电子精确实时显示、操作方便舒适，大屏幕点阵式LCD显示器，全电子实时自动测试并显示精确的儿童身高、体重、坐高读数;专业儿童生长发育测评系统，实时显示儿童BMI指标;显示器可按用户需要多个方向自由调节视角;内置不间断电源，在没有外接电源或突然断电时可长时间使用，在接外接电源时自动充电;</w:t>
            </w:r>
            <w:r/>
          </w:p>
        </w:tc>
        <w:tc>
          <w:tcPr>
            <w:tcW w:w="3080"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90336" behindDoc="0" locked="0" layoutInCell="1" allowOverlap="1">
                      <wp:simplePos x="0" y="0"/>
                      <wp:positionH relativeFrom="column">
                        <wp:posOffset>494665</wp:posOffset>
                      </wp:positionH>
                      <wp:positionV relativeFrom="paragraph">
                        <wp:posOffset>3810</wp:posOffset>
                      </wp:positionV>
                      <wp:extent cx="892175" cy="1726565"/>
                      <wp:effectExtent l="0" t="0" r="3175" b="6985"/>
                      <wp:wrapNone/>
                      <wp:docPr id="136" name="图片_57"/>
                      <wp:cNvGraphicFramePr/>
                      <a:graphic xmlns:a="http://schemas.openxmlformats.org/drawingml/2006/main">
                        <a:graphicData uri="http://schemas.openxmlformats.org/drawingml/2006/picture">
                          <pic:pic xmlns:pic="http://schemas.openxmlformats.org/drawingml/2006/picture">
                            <pic:nvPicPr>
                              <pic:cNvPr id="275" name="图片_57"/>
                              <pic:cNvPicPr/>
                              <pic:nvPr/>
                            </pic:nvPicPr>
                            <pic:blipFill>
                              <a:blip r:embed="rId145"/>
                              <a:stretch/>
                            </pic:blipFill>
                            <pic:spPr bwMode="auto">
                              <a:xfrm>
                                <a:off x="0" y="0"/>
                                <a:ext cx="892175" cy="17265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5" o:spid="_x0000_s135" type="#_x0000_t75" style="position:absolute;z-index:251790336;o:allowoverlap:true;o:allowincell:true;mso-position-horizontal-relative:text;margin-left:38.9pt;mso-position-horizontal:absolute;mso-position-vertical-relative:text;margin-top:0.3pt;mso-position-vertical:absolute;width:70.2pt;height:135.9pt;mso-wrap-distance-left:9.0pt;mso-wrap-distance-top:0.0pt;mso-wrap-distance-right:9.0pt;mso-wrap-distance-bottom:0.0pt;" stroked="f">
                      <v:path textboxrect="0,0,0,0"/>
                      <v:imagedata r:id="rId145"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136</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握力测试仪</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1.规格：设备采用环形一体化设计，整体直径约 15cm，厚度约 2cm，单台重量≤100g，轻便小巧，便于批量携带和收纳。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2.功能：核心测量范围为 0-50kg，测量精度不低于 0.1kg</w:t>
            </w:r>
            <w:r>
              <w:rPr>
                <w:rFonts w:hint="eastAsia" w:ascii="宋体" w:hAnsi="宋体" w:eastAsia="宋体" w:cs="宋体"/>
                <w:i w:val="0"/>
                <w:iCs w:val="0"/>
                <w:color w:val="000000"/>
                <w:sz w:val="20"/>
                <w:szCs w:val="20"/>
                <w:u w:val="none"/>
                <w:lang w:val="en-US" w:eastAsia="zh-CN" w:bidi="ar"/>
              </w:rPr>
              <w:t xml:space="preserve">，可精准覆盖 3-16 岁儿童及青少年握力测试需求。供电方式采用 CR2032 纽扣电池供电，无需外接电源，续航时间长，电池更换便捷；外观提供蓝色等儿童友好色系可选。设备配备高清 LCD 电子数显屏幕，数据显示清晰直观，强光下也可清晰读取。具备测量数值自动锁定（HOLD）功能，测试完成后自动保持最大值，无需人工实时记录；支持 kg/lb 双单位一键转换，可满足不同测量标准的使用需求。配备一键清零按键，可快速进行下一次测试，操作简单便捷，无需专业培训即可上手。同时具备低功耗自动关机功能，有效延长电池使用寿命。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材质：机身主体采用高强度环保ABS塑料一体成型，符合国家儿童用品安全标准，无毒无异味，无尖锐边角设计，保障儿童使用安全。材质具备优异的耐磕耐摔、抗老化、防刮花性能，能够适应校园高频次、多场景的使用需求；手柄部分采用人体工学防滑设计，握持舒适不易滑脱，适配不同年龄段儿童手型。</w:t>
            </w:r>
            <w:r/>
          </w:p>
        </w:tc>
        <w:tc>
          <w:tcPr>
            <w:tcW w:w="3080"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91360" behindDoc="0" locked="0" layoutInCell="1" allowOverlap="1">
                      <wp:simplePos x="0" y="0"/>
                      <wp:positionH relativeFrom="column">
                        <wp:posOffset>327025</wp:posOffset>
                      </wp:positionH>
                      <wp:positionV relativeFrom="paragraph">
                        <wp:posOffset>956310</wp:posOffset>
                      </wp:positionV>
                      <wp:extent cx="998220" cy="1114425"/>
                      <wp:effectExtent l="0" t="0" r="11430" b="9525"/>
                      <wp:wrapNone/>
                      <wp:docPr id="137" name="图片_93"/>
                      <wp:cNvGraphicFramePr/>
                      <a:graphic xmlns:a="http://schemas.openxmlformats.org/drawingml/2006/main">
                        <a:graphicData uri="http://schemas.openxmlformats.org/drawingml/2006/picture">
                          <pic:pic xmlns:pic="http://schemas.openxmlformats.org/drawingml/2006/picture">
                            <pic:nvPicPr>
                              <pic:cNvPr id="276" name="图片_93"/>
                              <pic:cNvPicPr/>
                              <pic:nvPr/>
                            </pic:nvPicPr>
                            <pic:blipFill>
                              <a:blip r:embed="rId146"/>
                              <a:stretch/>
                            </pic:blipFill>
                            <pic:spPr bwMode="auto">
                              <a:xfrm>
                                <a:off x="0" y="0"/>
                                <a:ext cx="998220" cy="11144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6" o:spid="_x0000_s136" type="#_x0000_t75" style="position:absolute;z-index:251791360;o:allowoverlap:true;o:allowincell:true;mso-position-horizontal-relative:text;margin-left:25.8pt;mso-position-horizontal:absolute;mso-position-vertical-relative:text;margin-top:75.3pt;mso-position-vertical:absolute;width:78.6pt;height:87.8pt;mso-wrap-distance-left:9.0pt;mso-wrap-distance-top:0.0pt;mso-wrap-distance-right:9.0pt;mso-wrap-distance-bottom:0.0pt;" stroked="f">
                      <v:path textboxrect="0,0,0,0"/>
                      <v:imagedata r:id="rId146"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137</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儿童立定跳远测试仪</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1.规格：整体尺寸不小于 250cm×50cm，标准厚度为 3mm，单块测试垫重量≤1.5kg，卷收后直径≤15cm、长度≤50cm，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主体采用高密度环保橡胶复合材质，符合国家儿童用品安全标准，无毒无异味，无甲醛、重金属等有害物质残留。材质具备良好的回弹性和减震缓冲性能，能够有效吸收落地冲击力，保护儿童膝关节和踝关节；同时具备优异的耐磨、抗撕裂、抗老化特性，可承受校园高频次踩踏使用，使用寿命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3.工艺：刻度测量范围覆盖 0-200cm，最小刻度单位为 1cm，刻度标识精准，测量误差不超过 ±1mm。采用一体热压成型工艺，无拼接缝隙，整体结构平整稳固，长期使用不易起翘、变形。刻度采用高清耐磨丝网印刷工艺，油墨附着力强，反复踩踏摩擦不脱落、不模糊。</w:t>
            </w:r>
            <w:r/>
          </w:p>
        </w:tc>
        <w:tc>
          <w:tcPr>
            <w:tcW w:w="3080"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92384" behindDoc="0" locked="0" layoutInCell="1" allowOverlap="1">
                      <wp:simplePos x="0" y="0"/>
                      <wp:positionH relativeFrom="column">
                        <wp:posOffset>66040</wp:posOffset>
                      </wp:positionH>
                      <wp:positionV relativeFrom="paragraph">
                        <wp:posOffset>-270510</wp:posOffset>
                      </wp:positionV>
                      <wp:extent cx="1751965" cy="562610"/>
                      <wp:effectExtent l="0" t="0" r="635" b="8890"/>
                      <wp:wrapNone/>
                      <wp:docPr id="138" name="图片_139"/>
                      <wp:cNvGraphicFramePr/>
                      <a:graphic xmlns:a="http://schemas.openxmlformats.org/drawingml/2006/main">
                        <a:graphicData uri="http://schemas.openxmlformats.org/drawingml/2006/picture">
                          <pic:pic xmlns:pic="http://schemas.openxmlformats.org/drawingml/2006/picture">
                            <pic:nvPicPr>
                              <pic:cNvPr id="277" name="图片_139"/>
                              <pic:cNvPicPr/>
                              <pic:nvPr/>
                            </pic:nvPicPr>
                            <pic:blipFill>
                              <a:blip r:embed="rId147"/>
                              <a:stretch/>
                            </pic:blipFill>
                            <pic:spPr bwMode="auto">
                              <a:xfrm>
                                <a:off x="0" y="0"/>
                                <a:ext cx="1751965" cy="5626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7" o:spid="_x0000_s137" type="#_x0000_t75" style="position:absolute;z-index:251792384;o:allowoverlap:true;o:allowincell:true;mso-position-horizontal-relative:text;margin-left:5.2pt;mso-position-horizontal:absolute;mso-position-vertical-relative:text;margin-top:-21.3pt;mso-position-vertical:absolute;width:137.9pt;height:44.3pt;mso-wrap-distance-left:9.0pt;mso-wrap-distance-top:0.0pt;mso-wrap-distance-right:9.0pt;mso-wrap-distance-bottom:0.0pt;" stroked="f">
                      <v:path textboxrect="0,0,0,0"/>
                      <v:imagedata r:id="rId147"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138</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电子坐位体前屈测试仪</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1.规格：整体160cm*49cm  测试仪72cm*25.5cm*53.5cm*24cm </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2.测量范围：-20cm ~ +40cm，分度值 0.1cm，测量精度 ±0.1cm</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3.升降调节：支持七档高度调节，适配不同身高人群使用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4.显示方式：电子数显屏，清晰直观；支持语音报读功能，自动播报测量结果，操作便捷</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材质与工艺：高密度复合板一体成型，表面平整光滑，无毛刺、无变形，承重≥100kg，稳固耐用。面板工艺：表面防水防污涂层，易清洁打理，耐刮耐磨，长期使用不褪色。滑杆材质：金属不锈钢滑杆，滑动顺畅不卡顿，无噪音。缓冲垫：加厚环保海绵垫，表面防水面料，舒适亲肤。</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 安全与附加功能：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安全设计：所有边角做 R≥5mm 圆角打磨，无尖锐棱角，防止划伤；滑杆末端带防撞保护装置；防误操作：测量过程中滑杆防回弹，避免夹手风险；测量结果锁定功能，防止数据误读；环保标准：无甲醛、无刺鼻异味，符合国家儿童活动场所环保要求。</w:t>
            </w:r>
            <w:r/>
          </w:p>
        </w:tc>
        <w:tc>
          <w:tcPr>
            <w:tcW w:w="3080"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93408" behindDoc="0" locked="0" layoutInCell="1" allowOverlap="1">
                      <wp:simplePos x="0" y="0"/>
                      <wp:positionH relativeFrom="column">
                        <wp:posOffset>162560</wp:posOffset>
                      </wp:positionH>
                      <wp:positionV relativeFrom="paragraph">
                        <wp:posOffset>-216535</wp:posOffset>
                      </wp:positionV>
                      <wp:extent cx="1654810" cy="1047750"/>
                      <wp:effectExtent l="0" t="0" r="2540" b="0"/>
                      <wp:wrapNone/>
                      <wp:docPr id="139" name="图片_145"/>
                      <wp:cNvGraphicFramePr/>
                      <a:graphic xmlns:a="http://schemas.openxmlformats.org/drawingml/2006/main">
                        <a:graphicData uri="http://schemas.openxmlformats.org/drawingml/2006/picture">
                          <pic:pic xmlns:pic="http://schemas.openxmlformats.org/drawingml/2006/picture">
                            <pic:nvPicPr>
                              <pic:cNvPr id="278" name="图片_145"/>
                              <pic:cNvPicPr/>
                              <pic:nvPr/>
                            </pic:nvPicPr>
                            <pic:blipFill>
                              <a:blip r:embed="rId148"/>
                              <a:stretch/>
                            </pic:blipFill>
                            <pic:spPr bwMode="auto">
                              <a:xfrm>
                                <a:off x="0" y="0"/>
                                <a:ext cx="1654810" cy="10477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8" o:spid="_x0000_s138" type="#_x0000_t75" style="position:absolute;z-index:251793408;o:allowoverlap:true;o:allowincell:true;mso-position-horizontal-relative:text;margin-left:12.8pt;mso-position-horizontal:absolute;mso-position-vertical-relative:text;margin-top:-17.1pt;mso-position-vertical:absolute;width:130.3pt;height:82.5pt;mso-wrap-distance-left:9.0pt;mso-wrap-distance-top:0.0pt;mso-wrap-distance-right:9.0pt;mso-wrap-distance-bottom:0.0pt;" stroked="f">
                      <v:path textboxrect="0,0,0,0"/>
                      <v:imagedata r:id="rId148"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139</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双脚连续跳测试仪</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1.尺寸：长 3000mm × 宽 600mm × 厚 3mm（可根据场地定制尺寸）</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2.刻度设计：前端标注起跳线，后续每 300mm 设置一条彩色刻度线，刻度清晰耐磨，不易脱落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3.材质：主体材质：高密度 PVC 防滑卷材，厚度≥3mm，防水防污、耐磨耐刮，适合室内外使用；环保标准：无甲醛、无刺鼻异味；防滑性能：表面哑光磨砂纹理，防止幼儿滑倒；</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4.工艺要求：印刷工艺：采用环保 UV 数码印刷，色彩鲜艳、刻度清晰，耐磨度≥4 级，长期使用不褪色、不模糊；热压工艺：四周高频热压包边，无胶水、无开裂，边缘平整不划手；防卷边处理：背面做防滑颗粒 + 抗 UV 涂层，长期使用不卷边、不变形；安全处理：所有边角无毛刺、无尖锐凸起，表面无任何有害物质析出</w:t>
            </w:r>
            <w:r/>
          </w:p>
        </w:tc>
        <w:tc>
          <w:tcPr>
            <w:tcW w:w="3080"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94432" behindDoc="0" locked="0" layoutInCell="1" allowOverlap="1">
                      <wp:simplePos x="0" y="0"/>
                      <wp:positionH relativeFrom="column">
                        <wp:posOffset>325120</wp:posOffset>
                      </wp:positionH>
                      <wp:positionV relativeFrom="paragraph">
                        <wp:posOffset>-894715</wp:posOffset>
                      </wp:positionV>
                      <wp:extent cx="874395" cy="1224280"/>
                      <wp:effectExtent l="0" t="0" r="1905" b="13970"/>
                      <wp:wrapNone/>
                      <wp:docPr id="140" name="图片_141"/>
                      <wp:cNvGraphicFramePr/>
                      <a:graphic xmlns:a="http://schemas.openxmlformats.org/drawingml/2006/main">
                        <a:graphicData uri="http://schemas.openxmlformats.org/drawingml/2006/picture">
                          <pic:pic xmlns:pic="http://schemas.openxmlformats.org/drawingml/2006/picture">
                            <pic:nvPicPr>
                              <pic:cNvPr id="279" name="图片_141"/>
                              <pic:cNvPicPr/>
                              <pic:nvPr/>
                            </pic:nvPicPr>
                            <pic:blipFill>
                              <a:blip r:embed="rId149"/>
                              <a:stretch/>
                            </pic:blipFill>
                            <pic:spPr bwMode="auto">
                              <a:xfrm>
                                <a:off x="0" y="0"/>
                                <a:ext cx="874395" cy="12242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9" o:spid="_x0000_s139" type="#_x0000_t75" style="position:absolute;z-index:251794432;o:allowoverlap:true;o:allowincell:true;mso-position-horizontal-relative:text;margin-left:25.6pt;mso-position-horizontal:absolute;mso-position-vertical-relative:text;margin-top:-70.5pt;mso-position-vertical:absolute;width:68.8pt;height:96.4pt;mso-wrap-distance-left:9.0pt;mso-wrap-distance-top:0.0pt;mso-wrap-distance-right:9.0pt;mso-wrap-distance-bottom:0.0pt;" stroked="f">
                      <v:path textboxrect="0,0,0,0"/>
                      <v:imagedata r:id="rId149"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140</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15米障碍跑设备</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1.规格：标志桶：高300mm，底部直径 200mm，桶身带 3 个调节孔，可自由调节标志杆高度；标志杆：直径 19mm，长度≥1200mm，杆身可搭配红白反光条或单</w:t>
            </w: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95456" behindDoc="0" locked="0" layoutInCell="1" allowOverlap="1">
                      <wp:simplePos x="0" y="0"/>
                      <wp:positionH relativeFrom="column">
                        <wp:posOffset>3629660</wp:posOffset>
                      </wp:positionH>
                      <wp:positionV relativeFrom="paragraph">
                        <wp:posOffset>626110</wp:posOffset>
                      </wp:positionV>
                      <wp:extent cx="1166495" cy="1155700"/>
                      <wp:effectExtent l="0" t="0" r="14604" b="6350"/>
                      <wp:wrapNone/>
                      <wp:docPr id="141" name="图片_142"/>
                      <wp:cNvGraphicFramePr/>
                      <a:graphic xmlns:a="http://schemas.openxmlformats.org/drawingml/2006/main">
                        <a:graphicData uri="http://schemas.openxmlformats.org/drawingml/2006/picture">
                          <pic:pic xmlns:pic="http://schemas.openxmlformats.org/drawingml/2006/picture">
                            <pic:nvPicPr>
                              <pic:cNvPr id="280" name="图片_142"/>
                              <pic:cNvPicPr/>
                              <pic:nvPr/>
                            </pic:nvPicPr>
                            <pic:blipFill>
                              <a:blip r:embed="rId150"/>
                              <a:stretch/>
                            </pic:blipFill>
                            <pic:spPr bwMode="auto">
                              <a:xfrm>
                                <a:off x="0" y="0"/>
                                <a:ext cx="1166495" cy="115569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0" o:spid="_x0000_s140" type="#_x0000_t75" style="position:absolute;z-index:251795456;o:allowoverlap:true;o:allowincell:true;mso-position-horizontal-relative:text;margin-left:285.8pt;mso-position-horizontal:absolute;mso-position-vertical-relative:text;margin-top:49.3pt;mso-position-vertical:absolute;width:91.8pt;height:91.0pt;mso-wrap-distance-left:9.0pt;mso-wrap-distance-top:0.0pt;mso-wrap-distance-right:9.0pt;mso-wrap-distance-bottom:0.0pt;" stroked="f">
                      <v:path textboxrect="0,0,0,0"/>
                      <v:imagedata r:id="rId150" o:title=""/>
                    </v:shape>
                  </w:pict>
                </mc:Fallback>
              </mc:AlternateContent>
            </w:r>
            <w:r>
              <w:rPr>
                <w:rFonts w:hint="eastAsia" w:ascii="宋体" w:hAnsi="宋体" w:eastAsia="宋体" w:cs="宋体"/>
                <w:i w:val="0"/>
                <w:iCs w:val="0"/>
                <w:color w:val="000000"/>
                <w:sz w:val="20"/>
                <w:szCs w:val="20"/>
                <w:u w:val="none"/>
                <w:lang w:val="en-US" w:eastAsia="zh-CN" w:bidi="ar"/>
              </w:rPr>
              <w:t xml:space="preserve">色款</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组合高度：可根据需求调节，最高不低于 1200mm，适配幼儿体能训练需求；一套包含5个标志桶标志杆组成；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2.材质：标志桶：采用全新 HDPE 食品级塑料，壁厚≥3mm，环保无异味，耐寒 - 20℃、耐高温 + 60℃，耐摔耐撞、不易变形开裂，无尖锐边角，符合儿童用品安全标准；标志杆：采用高弹性 PVC / 玻璃纤维杆，韧性强不易折断，杆身光滑无毛刺，无有害物质析出；红白反光条款采用高亮度反光膜，夜间可视性强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工艺与结构：标志桶：一体注塑成型工艺，桶身加厚加重设计，底部加宽防滑底座，重心稳定，幼儿碰撞不易倾倒；桶身带多档位调节孔，可适配不同长度标志杆，支持多种组合训练；标志杆：表面光滑无毛刺，无尖锐断口；红白反光条采用高温热转印工艺，附着力强，长期使用不褪色、不脱落；安全设计：所有边角均做 R5mm 以上圆角打磨，无尖锐棱角；杆身采用柔性材质，碰撞后不易断裂，避免划伤幼儿</w:t>
            </w:r>
            <w:r/>
          </w:p>
        </w:tc>
        <w:tc>
          <w:tcPr>
            <w:tcW w:w="3080" w:type="dxa"/>
            <w:vAlign w:val="center"/>
            <w:textDirection w:val="lrTb"/>
            <w:noWrap w:val="false"/>
          </w:tcPr>
          <w:p>
            <w:pPr>
              <w:jc w:val="center"/>
              <w:keepLines w:val="0"/>
              <w:keepNext w:val="0"/>
              <w:widowControl/>
              <w:rPr>
                <w:rFonts w:hint="eastAsia" w:ascii="宋体" w:hAnsi="宋体" w:cs="宋体"/>
                <w:szCs w:val="21"/>
              </w:rPr>
              <w:suppressLineNumbers w:val="0"/>
            </w:pPr>
            <w:r>
              <w:rPr>
                <w:rFonts w:hint="eastAsia" w:ascii="宋体" w:hAnsi="宋体" w:cs="宋体"/>
                <w:szCs w:val="21"/>
              </w:rPr>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141</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秒表</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1.尺寸：常规</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2.显示方式：三排液晶显示屏，支持同时显示总计时、分段计时、单圈计时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3.计时精度：0.01 秒，计时误差≤±0.01 秒，满足体能测试标准要求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4.存储道数：≥10 道，可同时记录多组数据，支持数据查询与回读</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5.计时范围：9小时59分59.99秒，支持分段计时、单圈计时、累计计时功能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6.材质与工艺：主体材质：高强度 ABS 工程塑料外壳，壁厚≥2mm，抗摔防冲击，耐磨损、耐腐蚀；按键工艺：硅胶防水按键，按压行程适中，反应灵敏，使用寿命≥10 万次；显示工艺：高对比度 LCD 液晶屏，背光清晰，强光下可视性强，无频闪、无拖影；防护等级：IP54 级防尘防水，可防日常泼溅，适合户外操场使用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7.附加功能与安全：附加功能：倒计时、正计时、节拍器、闹钟提醒功能，满足教学多场景需求；续航≥1 年，低电量提醒；安全设计；配备防丢挂绳，无尖锐边角，表面无有害物质析出，符合儿童用品安全标准</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96480" behindDoc="0" locked="0" layoutInCell="1" allowOverlap="1">
                      <wp:simplePos x="0" y="0"/>
                      <wp:positionH relativeFrom="column">
                        <wp:posOffset>385445</wp:posOffset>
                      </wp:positionH>
                      <wp:positionV relativeFrom="paragraph">
                        <wp:posOffset>798195</wp:posOffset>
                      </wp:positionV>
                      <wp:extent cx="1029970" cy="1157605"/>
                      <wp:effectExtent l="0" t="0" r="17780" b="4445"/>
                      <wp:wrapNone/>
                      <wp:docPr id="142" name="图片_143"/>
                      <wp:cNvGraphicFramePr/>
                      <a:graphic xmlns:a="http://schemas.openxmlformats.org/drawingml/2006/main">
                        <a:graphicData uri="http://schemas.openxmlformats.org/drawingml/2006/picture">
                          <pic:pic xmlns:pic="http://schemas.openxmlformats.org/drawingml/2006/picture">
                            <pic:nvPicPr>
                              <pic:cNvPr id="281" name="图片_143"/>
                              <pic:cNvPicPr/>
                              <pic:nvPr/>
                            </pic:nvPicPr>
                            <pic:blipFill>
                              <a:blip r:embed="rId151"/>
                              <a:stretch/>
                            </pic:blipFill>
                            <pic:spPr bwMode="auto">
                              <a:xfrm>
                                <a:off x="0" y="0"/>
                                <a:ext cx="1029970" cy="11576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1" o:spid="_x0000_s141" type="#_x0000_t75" style="position:absolute;z-index:251796480;o:allowoverlap:true;o:allowincell:true;mso-position-horizontal-relative:text;margin-left:30.3pt;mso-position-horizontal:absolute;mso-position-vertical-relative:text;margin-top:62.8pt;mso-position-vertical:absolute;width:81.1pt;height:91.1pt;mso-wrap-distance-left:9.0pt;mso-wrap-distance-top:0.0pt;mso-wrap-distance-right:9.0pt;mso-wrap-distance-bottom:0.0pt;" stroked="f">
                      <v:path textboxrect="0,0,0,0"/>
                      <v:imagedata r:id="rId151" o:title=""/>
                    </v:shape>
                  </w:pict>
                </mc:Fallback>
              </mc:AlternateContent>
            </w:r>
            <w:r/>
          </w:p>
        </w:tc>
      </w:tr>
      <w:tr>
        <w:trPr>
          <w:jc w:val="center"/>
          <w:trHeight w:val="674"/>
        </w:trPr>
        <w:tc>
          <w:tcPr>
            <w:tcW w:w="688" w:type="dxa"/>
            <w:vAlign w:val="center"/>
            <w:textDirection w:val="lrTb"/>
            <w:noWrap w:val="false"/>
          </w:tcPr>
          <w:p>
            <w:pPr>
              <w:jc w:val="center"/>
              <w:rPr>
                <w:rFonts w:hint="eastAsia" w:ascii="宋体" w:hAnsi="宋体" w:cs="宋体"/>
                <w:color w:val="000000"/>
                <w:sz w:val="22"/>
                <w:lang w:bidi="ar"/>
              </w:rPr>
            </w:pPr>
            <w:r>
              <w:rPr>
                <w:rFonts w:hint="default" w:ascii="宋体" w:hAnsi="宋体" w:eastAsia="宋体" w:cs="宋体"/>
                <w:szCs w:val="21"/>
                <w:lang w:val="en-US" w:eastAsia="zh-CN" w:bidi="ar"/>
              </w:rPr>
              <w:t xml:space="preserve">142</w:t>
            </w:r>
            <w:r/>
          </w:p>
        </w:tc>
        <w:tc>
          <w:tcPr>
            <w:tcW w:w="1439" w:type="dxa"/>
            <w:vAlign w:val="center"/>
            <w:textDirection w:val="lrTb"/>
            <w:noWrap w:val="false"/>
          </w:tcPr>
          <w:p>
            <w:pPr>
              <w:jc w:val="center"/>
              <w:rPr>
                <w:rFonts w:hint="eastAsia" w:ascii="宋体" w:hAnsi="宋体" w:cs="宋体"/>
                <w:szCs w:val="21"/>
              </w:rPr>
            </w:pPr>
            <w:r>
              <w:rPr>
                <w:rFonts w:hint="eastAsia" w:ascii="宋体" w:hAnsi="宋体" w:eastAsia="宋体" w:cs="宋体"/>
                <w:szCs w:val="21"/>
                <w:lang w:val="en-US" w:eastAsia="zh-CN" w:bidi="ar"/>
              </w:rPr>
              <w:t xml:space="preserve">平衡木测试仪</w:t>
            </w:r>
            <w:r/>
          </w:p>
        </w:tc>
        <w:tc>
          <w:tcPr>
            <w:tcW w:w="4948" w:type="dxa"/>
            <w:vAlign w:val="center"/>
            <w:textDirection w:val="lrTb"/>
            <w:noWrap w:val="false"/>
          </w:tcPr>
          <w:p>
            <w:pPr>
              <w:jc w:val="left"/>
              <w:keepLines w:val="0"/>
              <w:keepNext w:val="0"/>
              <w:widowControl/>
              <w:rPr>
                <w:rFonts w:hint="eastAsia" w:ascii="宋体" w:hAnsi="宋体" w:cs="宋体"/>
                <w:szCs w:val="21"/>
              </w:rPr>
              <w:suppressLineNumbers w:val="0"/>
            </w:pPr>
            <w:r>
              <w:rPr>
                <w:rFonts w:hint="eastAsia" w:ascii="宋体" w:hAnsi="宋体" w:eastAsia="宋体" w:cs="宋体"/>
                <w:i w:val="0"/>
                <w:iCs w:val="0"/>
                <w:color w:val="000000"/>
                <w:sz w:val="20"/>
                <w:szCs w:val="20"/>
                <w:u w:val="none"/>
                <w:lang w:val="en-US" w:eastAsia="zh-CN" w:bidi="ar"/>
              </w:rPr>
              <w:t xml:space="preserve">1.规格尺寸：总长 3000mm × 宽度 100mm × 高度 300mm（可按场地定制尺寸）；</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2.分段设计：采用 4 段式拼接结构，单段长 750mm，安装拆卸便捷，方便收纳；</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3.两端加宽：平衡木两端平台加宽至 200mm，便于幼儿上下，降低磕碰风险；</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4.材质：主体面板：优质实木（松木/橡胶木），厚度≥40mm，无开裂、无结疤，含水率≤12%，不易变形；表面处理：环保水性木蜡油涂装，哑光原木色，防水防污，无甲醛、无刺鼻异味，符合 ENF 级环保标准；支撑脚架：加厚钢管支架，壁厚≥1.5mm，表面静电喷塑防锈处理，承重≥200kg，稳固不晃动；防滑设计：底部四角加装防滑静音橡胶垫，保护地面不被刮花，同时防止平衡木移位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5.工艺与安全设计：</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面板工艺：实木面板表面打磨光滑，所有边角均做R10mm 以上圆角打磨，无尖锐棱角、无毛刺，防止划伤幼儿</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拼接工艺：分段采用榫卯 + 不锈钢螺丝双重固定，拼接缝隙≤1mm，整体无晃动、无异响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支架工艺：三角支撑结构，力学稳定，防侧翻；支架与面板连接采用隐藏式螺丝，无外露金属件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承重工艺：加厚面板 + 三角支架组合，整体均匀承重≥200kg，可同时承受 2-3 名幼儿使用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6.功能要求</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适配性：符合《国家学生体质健康标准》幼儿组平衡木测试要求，可直接用于体测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安全性：整体无松动、无晃动，幼儿行走不打滑，支架无倾倒风险</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耐用性：户外使用防腐、防开裂；室内使用防潮、防变形</w:t>
            </w:r>
            <w:r/>
          </w:p>
        </w:tc>
        <w:tc>
          <w:tcPr>
            <w:tcW w:w="3080" w:type="dxa"/>
            <w:vAlign w:val="top"/>
            <w:textDirection w:val="lrTb"/>
            <w:noWrap w:val="false"/>
          </w:tcPr>
          <w:p>
            <w:pPr>
              <w:jc w:val="center"/>
              <w:keepLines w:val="0"/>
              <w:keepNext w:val="0"/>
              <w:widowControl/>
              <w:rPr>
                <w:rFonts w:hint="eastAsia" w:ascii="宋体" w:hAnsi="宋体" w:cs="宋体"/>
                <w:szCs w:val="21"/>
              </w:rPr>
              <w:suppressLineNumbers w:val="0"/>
            </w:pPr>
            <w:r>
              <w:rPr>
                <w:rFonts w:hint="default" w:ascii="Arial" w:hAnsi="Arial" w:eastAsia="宋体" w:cs="Arial"/>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797504" behindDoc="0" locked="0" layoutInCell="1" allowOverlap="1">
                      <wp:simplePos x="0" y="0"/>
                      <wp:positionH relativeFrom="column">
                        <wp:posOffset>247650</wp:posOffset>
                      </wp:positionH>
                      <wp:positionV relativeFrom="paragraph">
                        <wp:posOffset>648970</wp:posOffset>
                      </wp:positionV>
                      <wp:extent cx="1343660" cy="1134110"/>
                      <wp:effectExtent l="0" t="0" r="8890" b="8890"/>
                      <wp:wrapNone/>
                      <wp:docPr id="143" name="图片_144"/>
                      <wp:cNvGraphicFramePr/>
                      <a:graphic xmlns:a="http://schemas.openxmlformats.org/drawingml/2006/main">
                        <a:graphicData uri="http://schemas.openxmlformats.org/drawingml/2006/picture">
                          <pic:pic xmlns:pic="http://schemas.openxmlformats.org/drawingml/2006/picture">
                            <pic:nvPicPr>
                              <pic:cNvPr id="282" name="图片_144"/>
                              <pic:cNvPicPr/>
                              <pic:nvPr/>
                            </pic:nvPicPr>
                            <pic:blipFill>
                              <a:blip r:embed="rId152"/>
                              <a:stretch/>
                            </pic:blipFill>
                            <pic:spPr bwMode="auto">
                              <a:xfrm>
                                <a:off x="0" y="0"/>
                                <a:ext cx="1343660" cy="11341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2" o:spid="_x0000_s142" type="#_x0000_t75" style="position:absolute;z-index:251797504;o:allowoverlap:true;o:allowincell:true;mso-position-horizontal-relative:text;margin-left:19.5pt;mso-position-horizontal:absolute;mso-position-vertical-relative:text;margin-top:51.1pt;mso-position-vertical:absolute;width:105.8pt;height:89.3pt;mso-wrap-distance-left:9.0pt;mso-wrap-distance-top:0.0pt;mso-wrap-distance-right:9.0pt;mso-wrap-distance-bottom:0.0pt;" stroked="f">
                      <v:path textboxrect="0,0,0,0"/>
                      <v:imagedata r:id="rId152" o:title=""/>
                    </v:shape>
                  </w:pict>
                </mc:Fallback>
              </mc:AlternateContent>
            </w:r>
            <w:r/>
          </w:p>
        </w:tc>
      </w:tr>
    </w:tbl>
    <w:p>
      <w:pPr>
        <w:ind w:firstLine="480"/>
        <w:keepLines w:val="0"/>
        <w:keepNext w:val="0"/>
        <w:pageBreakBefore w:val="0"/>
        <w:spacing w:line="240" w:lineRule="auto"/>
        <w:widowControl w:val="off"/>
        <w:rPr>
          <w:rFonts w:hint="eastAsia" w:ascii="宋体" w:hAnsi="宋体" w:eastAsia="宋体" w:cs="宋体"/>
          <w:bCs/>
          <w:color w:val="000000"/>
          <w:sz w:val="24"/>
          <w:szCs w:val="24"/>
        </w:rPr>
      </w:pPr>
      <w:r>
        <w:rPr>
          <w:rFonts w:hint="eastAsia" w:ascii="宋体" w:hAnsi="宋体" w:eastAsia="宋体" w:cs="Times New Roman"/>
          <w:b w:val="0"/>
          <w:bCs w:val="0"/>
          <w:i w:val="0"/>
          <w:iCs w:val="0"/>
          <w:color w:val="000000"/>
          <w:sz w:val="24"/>
          <w:u w:val="none"/>
          <w:lang w:val="en-US" w:eastAsia="zh-CN"/>
        </w:rPr>
        <w:t xml:space="preserve">★</w:t>
      </w:r>
      <w:r>
        <w:rPr>
          <w:rFonts w:hint="eastAsia" w:ascii="宋体" w:hAnsi="宋体" w:eastAsia="宋体" w:cs="宋体"/>
          <w:bCs/>
          <w:color w:val="000000"/>
          <w:sz w:val="24"/>
          <w:szCs w:val="24"/>
        </w:rPr>
        <w:t xml:space="preserve">（二）商务要求</w:t>
      </w:r>
      <w:r/>
    </w:p>
    <w:p>
      <w:pPr>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ascii="宋体" w:hAnsi="宋体" w:eastAsia="宋体" w:cs="宋体"/>
          <w:color w:val="000000"/>
          <w:sz w:val="24"/>
          <w:szCs w:val="24"/>
          <w:lang w:val="en-US" w:eastAsia="zh-CN"/>
        </w:rPr>
        <w:t xml:space="preserve">报价要求</w:t>
      </w:r>
      <w:r/>
    </w:p>
    <w:p>
      <w:pPr>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（2）供应商的任何错漏、优惠、竞争性报价不得作为减轻责任、减少服务、增加收费、降低服务质量的理由。</w:t>
      </w:r>
      <w:r/>
    </w:p>
    <w:p>
      <w:pPr>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2.实施要求</w:t>
      </w:r>
      <w:r/>
    </w:p>
    <w:p>
      <w:pPr>
        <w:ind w:firstLine="480"/>
        <w:keepLines w:val="0"/>
        <w:keepNext w:val="0"/>
        <w:pageBreakBefore w:val="0"/>
        <w:spacing w:line="240"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（1）总体要求</w:t>
      </w:r>
      <w:r/>
    </w:p>
    <w:p>
      <w:pPr>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中标供应商应及时与采购人联系，对本项目所有产品的规格尺寸、款式、颜色等要求进一步确认，得到采购人的签字盖章认可后方可生产，并确保产品质量。</w:t>
      </w:r>
      <w:r/>
    </w:p>
    <w:p>
      <w:pPr>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（2）质量要求</w:t>
      </w:r>
      <w:r/>
    </w:p>
    <w:p>
      <w:pPr>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所供产品必须是全新的原装正品，符合国家规定的质量标准，不得私自添加或更改，保证所有产品原材料及部件均是全新的纯正部件，不得以废、旧材料制作，产品必须符合家具行业设计及采购人的品质、环保要求。交货时所有家具应完好，物品配件齐全，否则视为不合格产品。</w:t>
      </w:r>
      <w:r/>
    </w:p>
    <w:p>
      <w:pPr>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（3）安全实施要求</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000000"/>
          <w:sz w:val="24"/>
          <w:szCs w:val="24"/>
          <w:lang w:val="en-US" w:eastAsia="zh-CN"/>
        </w:rPr>
        <w:t xml:space="preserve">供应商应采取安</w:t>
      </w:r>
      <w:r>
        <w:rPr>
          <w:rFonts w:hint="eastAsia" w:ascii="宋体" w:hAnsi="宋体" w:eastAsia="宋体" w:cs="宋体"/>
          <w:color w:val="auto"/>
          <w:sz w:val="24"/>
          <w:szCs w:val="24"/>
          <w:highlight w:val="none"/>
          <w:lang w:val="en-US" w:eastAsia="zh-CN"/>
        </w:rPr>
        <w:t xml:space="preserve">全措施，确保施工安全。因本项目施工产生的施工人员和学校师生人身安全问题由供应商承担全部责任。 </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（4）验收要求</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因产品质量或安装不当导致验收不合格，应及时处理直至验收合格，期间产生的一切费用由供应商承担；若二次验收不合格，采购人有权退货。采购人在此期间保留对供应商的索赔权利。</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人将对供应商正式供货家具随机抽取一件进行破坏性检测，被抽样检测家具中甲醛和苯等有害物质含量不符合投标文件响应内容或国家标准的、参数和材质不符合投标文件响应内容的，视为不合格产品，采购人有权拒绝接收所有家具，并要求供应商按合同规定赔偿采购人损失（破坏性检测的货物，检测费用以及重新安装费用由中标供应商支付）。</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家具安装完毕后，供应商主动配合采购人组织的验收小组进行验收，提供制成品现场抽测的相关质量检测报告，环保检测需达到《南京市中小学校幼儿园建筑工程项目室内环境污染控制管理办法》（宁教〔2017〕17号）规定要求，并作为本项目验收前置条件。如检测达不到质量和环保要求，采购人有权退货，供应商承担采购人由此而造成的相关损失。</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家具安装完毕后，室内空气质量达到国家环保标准；本项目自预验收后</w:t>
      </w:r>
      <w:r>
        <w:rPr>
          <w:rFonts w:hint="eastAsia" w:ascii="宋体" w:hAnsi="宋体" w:eastAsia="宋体" w:cs="宋体"/>
          <w:color w:val="auto"/>
          <w:sz w:val="24"/>
          <w:szCs w:val="24"/>
          <w:highlight w:val="none"/>
          <w:lang w:val="en-US" w:eastAsia="zh-CN"/>
        </w:rPr>
        <w:t xml:space="preserve">5天内，委托具有相应资质的第三方检测机构进行室内环境空气质量检测，检测项目中含“甲醛”、“苯类”、“TVOC”等项；抽取样品和检测时，供应商代表、检测中心专业人员、采购人代表三方同时在场的情况下方可进行，否则进行的检测视为无效；检测数据以具有相应资质的第三方检测机构出具的《环境检测报告》为准；如检测合格，检测费用由采购人承担；如检测不合格，则检测费用由供应商承担，同时供应商对相关的项目无条件进行整改，直至再次检测合格为止，由此造成一切损失均由供应商承担。不满足以上要求的检测报告或报告不全，项目不得竣工验收。</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（5）质保（维保）及售后要求</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①中标供应商</w:t>
      </w:r>
      <w:bookmarkStart w:id="194" w:name="_Hlk167633382"/>
      <w:r>
        <w:rPr>
          <w:rFonts w:hint="eastAsia" w:ascii="宋体" w:hAnsi="宋体" w:eastAsia="宋体" w:cs="宋体"/>
          <w:color w:val="auto"/>
          <w:sz w:val="24"/>
          <w:szCs w:val="24"/>
          <w:highlight w:val="none"/>
          <w:lang w:val="en-US" w:eastAsia="zh-CN"/>
        </w:rPr>
        <w:t xml:space="preserve">提供家具类设备上门质保时间为六年，</w:t>
      </w:r>
      <w:r>
        <w:rPr>
          <w:rFonts w:hint="eastAsia" w:ascii="宋体" w:hAnsi="宋体" w:cs="宋体"/>
          <w:color w:val="auto"/>
          <w:sz w:val="24"/>
          <w:szCs w:val="24"/>
          <w:highlight w:val="none"/>
        </w:rPr>
        <w:t xml:space="preserve">其他非家具类设备上门质保时间为三年。</w:t>
      </w:r>
      <w:r>
        <w:rPr>
          <w:rFonts w:hint="eastAsia" w:ascii="宋体" w:hAnsi="宋体" w:eastAsia="宋体" w:cs="宋体"/>
          <w:color w:val="auto"/>
          <w:sz w:val="24"/>
          <w:szCs w:val="24"/>
          <w:highlight w:val="none"/>
          <w:lang w:val="en-US" w:eastAsia="zh-CN"/>
        </w:rPr>
        <w:t xml:space="preserve">费用包含在投标总价中</w:t>
      </w:r>
      <w:bookmarkEnd w:id="194"/>
      <w:r>
        <w:rPr>
          <w:rFonts w:hint="eastAsia" w:ascii="宋体" w:hAnsi="宋体" w:eastAsia="宋体" w:cs="宋体"/>
          <w:color w:val="auto"/>
          <w:sz w:val="24"/>
          <w:szCs w:val="24"/>
          <w:highlight w:val="none"/>
          <w:lang w:val="en-US" w:eastAsia="zh-CN"/>
        </w:rPr>
        <w:t xml:space="preserve">。招标文件中如对质保期有特殊要求的，应按照特殊要求执行（自验收报告签字确认日起，开始进入质保期）。</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②中标供应商提供详细的售后服务承诺书，包括质保期、质量问题处理方法。 </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fldChar w:fldCharType="begin"/>
      </w:r>
      <w:r>
        <w:rPr>
          <w:rFonts w:hint="eastAsia" w:ascii="宋体" w:hAnsi="宋体" w:eastAsia="宋体" w:cs="宋体"/>
          <w:color w:val="auto"/>
          <w:sz w:val="24"/>
          <w:szCs w:val="24"/>
          <w:highlight w:val="none"/>
          <w:lang w:val="en-US" w:eastAsia="zh-CN"/>
        </w:rPr>
        <w:instrText xml:space="preserve"> = 3 \* GB3 \* MERGEFORMAT </w:instrText>
      </w:r>
      <w:r>
        <w:rPr>
          <w:rFonts w:hint="eastAsia" w:ascii="宋体" w:hAnsi="宋体" w:eastAsia="宋体" w:cs="宋体"/>
          <w:color w:val="auto"/>
          <w:sz w:val="24"/>
          <w:szCs w:val="24"/>
          <w:highlight w:val="none"/>
          <w:lang w:val="en-US" w:eastAsia="zh-CN"/>
        </w:rPr>
        <w:fldChar w:fldCharType="separate"/>
      </w:r>
      <w:r>
        <w:rPr>
          <w:rFonts w:hint="eastAsia" w:ascii="宋体" w:hAnsi="宋体" w:eastAsia="宋体" w:cs="宋体"/>
          <w:color w:val="auto"/>
          <w:sz w:val="24"/>
          <w:szCs w:val="24"/>
          <w:highlight w:val="none"/>
          <w:lang w:val="en-US" w:eastAsia="zh-CN"/>
        </w:rPr>
        <w:t xml:space="preserve">③</w:t>
      </w:r>
      <w:r>
        <w:rPr>
          <w:rFonts w:hint="eastAsia" w:ascii="宋体" w:hAnsi="宋体" w:eastAsia="宋体" w:cs="宋体"/>
          <w:color w:val="auto"/>
          <w:sz w:val="24"/>
          <w:szCs w:val="24"/>
          <w:highlight w:val="none"/>
          <w:lang w:val="en-US" w:eastAsia="zh-CN"/>
        </w:rPr>
        <w:fldChar w:fldCharType="end"/>
      </w:r>
      <w:r>
        <w:rPr>
          <w:rFonts w:hint="eastAsia" w:ascii="宋体" w:hAnsi="宋体" w:eastAsia="宋体" w:cs="宋体"/>
          <w:color w:val="auto"/>
          <w:sz w:val="24"/>
          <w:szCs w:val="24"/>
          <w:highlight w:val="none"/>
          <w:lang w:val="en-US" w:eastAsia="zh-CN"/>
        </w:rPr>
        <w:t xml:space="preserve">质保期内，中标供应商接到保修请求，应在2小时内响应，4小时内维修人员到达现场，必要时应向采购人提供应急备用设备，修复或更换零部件须满足国家及行业环保和质量标准。 </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.付款条件</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以第三章合同文本要求为准。</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.交付时间及地点</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（1）交付时间：</w:t>
      </w:r>
      <w:r>
        <w:rPr>
          <w:rFonts w:hint="eastAsia" w:ascii="宋体" w:hAnsi="宋体" w:cs="宋体"/>
          <w:color w:val="auto"/>
          <w:sz w:val="24"/>
          <w:szCs w:val="24"/>
          <w:highlight w:val="none"/>
          <w:lang w:val="en-US" w:eastAsia="zh-CN"/>
        </w:rPr>
        <w:t xml:space="preserve">按照合同约定时间。 </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（2）交付地点：采购人指定地点。</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.履约保证金</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以第三章合同文本内容为准。</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bookmarkStart w:id="195" w:name="_Hlk180567491"/>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.其他要求：</w:t>
      </w:r>
      <w:r>
        <w:rPr>
          <w:rFonts w:hint="eastAsia" w:ascii="宋体" w:hAnsi="宋体" w:cs="宋体"/>
          <w:color w:val="auto"/>
          <w:sz w:val="24"/>
          <w:szCs w:val="24"/>
          <w:highlight w:val="none"/>
        </w:rPr>
        <w:t xml:space="preserve">本项目中打“▲”技术参数</w:t>
      </w:r>
      <w:r>
        <w:rPr>
          <w:rFonts w:hint="eastAsia" w:ascii="宋体" w:hAnsi="宋体" w:cs="宋体"/>
          <w:color w:val="auto"/>
          <w:sz w:val="24"/>
          <w:szCs w:val="24"/>
          <w:highlight w:val="none"/>
          <w:lang w:val="en-US" w:eastAsia="zh-CN"/>
        </w:rPr>
        <w:t xml:space="preserve">及</w:t>
      </w:r>
      <w:r>
        <w:rPr>
          <w:rFonts w:hint="eastAsia" w:ascii="宋体" w:hAnsi="宋体" w:cs="宋体"/>
          <w:color w:val="auto"/>
          <w:sz w:val="24"/>
          <w:szCs w:val="24"/>
          <w:highlight w:val="none"/>
        </w:rPr>
        <w:t xml:space="preserve">评标标准中的相关证书</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中标供应商按照投标文件响应内容，</w:t>
      </w:r>
      <w:r>
        <w:rPr>
          <w:rFonts w:hint="eastAsia" w:ascii="宋体" w:hAnsi="宋体" w:cs="宋体"/>
          <w:color w:val="auto"/>
          <w:sz w:val="24"/>
          <w:szCs w:val="24"/>
          <w:highlight w:val="none"/>
        </w:rPr>
        <w:t xml:space="preserve">签订合同时提交招标文件</w:t>
      </w:r>
      <w:r>
        <w:rPr>
          <w:rFonts w:hint="eastAsia" w:ascii="宋体" w:hAnsi="宋体" w:cs="宋体"/>
          <w:color w:val="auto"/>
          <w:sz w:val="24"/>
          <w:szCs w:val="24"/>
          <w:highlight w:val="none"/>
          <w:lang w:val="en-US" w:eastAsia="zh-CN"/>
        </w:rPr>
        <w:t xml:space="preserve">要求的证明材料原件供采购人核验（</w:t>
      </w:r>
      <w:r>
        <w:rPr>
          <w:rFonts w:hint="eastAsia" w:ascii="宋体" w:hAnsi="宋体" w:cs="宋体"/>
          <w:color w:val="auto"/>
          <w:sz w:val="24"/>
          <w:szCs w:val="24"/>
          <w:highlight w:val="none"/>
        </w:rPr>
        <w:t xml:space="preserve">随着检测报告标准的修订，以修订后的最新标准为依据</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，未按要求提供或提供的证明材料不满足招标文件技术指标，采购人有权对不满足要求的中标供应商视为虚假应标，按无效投标处理。</w:t>
      </w:r>
      <w:bookmarkEnd w:id="195"/>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（三）样品要求</w:t>
      </w:r>
      <w:r/>
    </w:p>
    <w:p>
      <w:pPr>
        <w:ind w:firstLine="480"/>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1.供应商提供非接触式测温净手一体机</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en-US" w:eastAsia="zh-CN"/>
        </w:rPr>
        <w:t xml:space="preserve">产品清单序号</w:t>
      </w:r>
      <w:r>
        <w:rPr>
          <w:rFonts w:hint="eastAsia" w:ascii="宋体" w:hAnsi="宋体" w:cs="宋体"/>
          <w:color w:val="auto"/>
          <w:sz w:val="24"/>
          <w:szCs w:val="24"/>
          <w:highlight w:val="none"/>
          <w:lang w:val="en-US" w:eastAsia="zh-CN"/>
        </w:rPr>
        <w:t xml:space="preserve">47</w:t>
      </w:r>
      <w:r>
        <w:rPr>
          <w:rFonts w:hint="eastAsia" w:ascii="宋体" w:hAnsi="宋体" w:eastAsia="宋体" w:cs="宋体"/>
          <w:color w:val="auto"/>
          <w:sz w:val="24"/>
          <w:szCs w:val="24"/>
          <w:highlight w:val="none"/>
          <w:lang w:val="zh-CN" w:eastAsia="zh-CN"/>
        </w:rPr>
        <w:t xml:space="preserve">）</w:t>
      </w:r>
      <w:r>
        <w:rPr>
          <w:rFonts w:hint="eastAsia" w:ascii="宋体" w:hAnsi="宋体" w:cs="宋体"/>
          <w:color w:val="auto"/>
          <w:sz w:val="24"/>
          <w:szCs w:val="24"/>
          <w:highlight w:val="none"/>
          <w:lang w:val="en-US" w:eastAsia="zh-CN"/>
        </w:rPr>
        <w:t xml:space="preserve">、会议椅（带桌板）</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en-US" w:eastAsia="zh-CN"/>
        </w:rPr>
        <w:t xml:space="preserve">产品清单序号</w:t>
      </w:r>
      <w:r>
        <w:rPr>
          <w:rFonts w:hint="eastAsia" w:ascii="宋体" w:hAnsi="宋体" w:cs="宋体"/>
          <w:color w:val="auto"/>
          <w:sz w:val="24"/>
          <w:szCs w:val="24"/>
          <w:highlight w:val="none"/>
          <w:lang w:val="en-US" w:eastAsia="zh-CN"/>
        </w:rPr>
        <w:t xml:space="preserve"> 57</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en-US" w:eastAsia="zh-CN"/>
        </w:rPr>
        <w:t xml:space="preserve">样品</w:t>
      </w:r>
      <w:r>
        <w:rPr>
          <w:rFonts w:hint="eastAsia" w:ascii="宋体" w:hAnsi="宋体" w:cs="宋体"/>
          <w:color w:val="auto"/>
          <w:sz w:val="24"/>
          <w:szCs w:val="24"/>
          <w:highlight w:val="none"/>
          <w:lang w:val="en-US" w:eastAsia="zh-CN"/>
        </w:rPr>
        <w:t xml:space="preserve">各</w:t>
      </w:r>
      <w:r>
        <w:rPr>
          <w:rFonts w:hint="eastAsia" w:ascii="宋体" w:hAnsi="宋体" w:eastAsia="宋体" w:cs="宋体"/>
          <w:color w:val="auto"/>
          <w:sz w:val="24"/>
          <w:szCs w:val="24"/>
          <w:highlight w:val="none"/>
          <w:lang w:val="zh-CN" w:eastAsia="zh-CN"/>
        </w:rPr>
        <w:t xml:space="preserve">1件</w:t>
      </w:r>
      <w:r>
        <w:rPr>
          <w:rFonts w:hint="eastAsia" w:ascii="宋体" w:hAnsi="宋体" w:eastAsia="宋体" w:cs="宋体"/>
          <w:color w:val="auto"/>
          <w:sz w:val="24"/>
          <w:szCs w:val="24"/>
          <w:highlight w:val="none"/>
          <w:lang w:val="en-US" w:eastAsia="zh-CN"/>
        </w:rPr>
        <w:t xml:space="preserve">，制作标准和要求与本次采购对应产品的参数一致。</w:t>
      </w:r>
      <w:r/>
    </w:p>
    <w:p>
      <w:pPr>
        <w:ind w:firstLine="480"/>
        <w:keepLines w:val="0"/>
        <w:keepNext w:val="0"/>
        <w:pageBreakBefore w:val="0"/>
        <w:spacing w:line="240" w:lineRule="auto"/>
        <w:widowControl w:val="off"/>
        <w:rPr>
          <w:rFonts w:hint="eastAsia" w:ascii="宋体" w:hAnsi="宋体" w:eastAsia="宋体" w:cs="宋体"/>
          <w:color w:val="000000"/>
          <w:sz w:val="24"/>
          <w:szCs w:val="24"/>
          <w:lang w:val="zh-CN" w:eastAsia="zh-CN"/>
        </w:rPr>
      </w:pPr>
      <w:r>
        <w:rPr>
          <w:rFonts w:hint="eastAsia" w:ascii="宋体" w:hAnsi="宋体" w:eastAsia="宋体" w:cs="宋体"/>
          <w:color w:val="000000"/>
          <w:sz w:val="24"/>
          <w:szCs w:val="24"/>
          <w:lang w:val="en-US" w:eastAsia="zh-CN"/>
        </w:rPr>
        <w:t xml:space="preserve">2.样品提交地点：：南京市浦口区江浦街道象山路4号浦口市民中心B幢五楼受理大厅。</w:t>
      </w:r>
      <w:r/>
    </w:p>
    <w:p>
      <w:pPr>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3.样品提交时间：提交投标文件截止时间前半小时开始接收，到提交投标文件截止时间时结束。</w:t>
      </w:r>
      <w:r/>
    </w:p>
    <w:p>
      <w:pPr>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4.其他说明</w:t>
      </w:r>
      <w:r/>
    </w:p>
    <w:p>
      <w:pPr>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（1）样品上如有和供应商名称有关的信息，应提前覆盖或处理，未在规定地点及截止时间前按要求提交的样品将被拒收，样品评审不得分。</w:t>
      </w:r>
      <w:r/>
    </w:p>
    <w:p>
      <w:pPr>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（2）样品的所有费用由供应商承担，评标结束后，供应商应最迟于次日取回，否则按废品处理，后果自负。中标供应商的样品由采购人封存、保管，作为履约验收的参考。</w:t>
      </w:r>
      <w:r/>
    </w:p>
    <w:p>
      <w:pPr>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（3）样品尺寸正负偏离不超过1cm。</w:t>
      </w:r>
      <w:r/>
    </w:p>
    <w:p>
      <w:pPr>
        <w:ind w:firstLine="480"/>
        <w:keepLines w:val="0"/>
        <w:keepNext w:val="0"/>
        <w:pageBreakBefore w:val="0"/>
        <w:spacing w:line="240" w:lineRule="auto"/>
        <w:widowControl w:val="off"/>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（4）样品要求：</w:t>
      </w:r>
      <w:r/>
    </w:p>
    <w:tbl>
      <w:tblPr>
        <w:tblStyle w:val="705"/>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988"/>
        <w:gridCol w:w="2250"/>
        <w:gridCol w:w="1778"/>
        <w:gridCol w:w="3682"/>
        <w:gridCol w:w="424"/>
      </w:tblGrid>
      <w:tr>
        <w:trPr>
          <w:jc w:val="center"/>
          <w:trHeight w:val="547"/>
        </w:trPr>
        <w:tc>
          <w:tcPr>
            <w:tcW w:w="419" w:type="pct"/>
            <w:vAlign w:val="center"/>
            <w:textDirection w:val="lrTb"/>
            <w:noWrap w:val="false"/>
          </w:tcPr>
          <w:p>
            <w:pPr>
              <w:jc w:val="center"/>
              <w:rPr>
                <w:rFonts w:ascii="宋体" w:hAnsi="宋体" w:cs="宋体"/>
                <w:sz w:val="21"/>
                <w:szCs w:val="21"/>
              </w:rPr>
            </w:pPr>
            <w:r>
              <w:rPr>
                <w:rFonts w:hint="eastAsia" w:ascii="宋体" w:hAnsi="宋体" w:cs="宋体"/>
                <w:sz w:val="21"/>
                <w:szCs w:val="21"/>
              </w:rPr>
              <w:t xml:space="preserve">采购清单序号</w:t>
            </w:r>
            <w:r/>
          </w:p>
        </w:tc>
        <w:tc>
          <w:tcPr>
            <w:tcW w:w="496" w:type="pct"/>
            <w:vAlign w:val="center"/>
            <w:textDirection w:val="lrTb"/>
            <w:noWrap w:val="false"/>
          </w:tcPr>
          <w:p>
            <w:pPr>
              <w:jc w:val="center"/>
              <w:rPr>
                <w:rFonts w:ascii="宋体" w:hAnsi="宋体" w:cs="宋体"/>
                <w:sz w:val="21"/>
                <w:szCs w:val="21"/>
              </w:rPr>
            </w:pPr>
            <w:r>
              <w:rPr>
                <w:rFonts w:hint="eastAsia" w:ascii="宋体" w:hAnsi="宋体" w:cs="宋体"/>
                <w:sz w:val="21"/>
                <w:szCs w:val="21"/>
              </w:rPr>
              <w:t xml:space="preserve">样品名称</w:t>
            </w:r>
            <w:r/>
          </w:p>
        </w:tc>
        <w:tc>
          <w:tcPr>
            <w:tcW w:w="1129" w:type="pct"/>
            <w:vAlign w:val="center"/>
            <w:textDirection w:val="lrTb"/>
            <w:noWrap w:val="false"/>
          </w:tcPr>
          <w:p>
            <w:pPr>
              <w:jc w:val="center"/>
              <w:rPr>
                <w:rFonts w:ascii="宋体" w:hAnsi="宋体" w:cs="宋体"/>
                <w:sz w:val="21"/>
                <w:szCs w:val="21"/>
              </w:rPr>
            </w:pPr>
            <w:r>
              <w:rPr>
                <w:rFonts w:hint="eastAsia" w:ascii="宋体" w:hAnsi="宋体" w:cs="宋体"/>
                <w:sz w:val="21"/>
                <w:szCs w:val="21"/>
              </w:rPr>
              <w:t xml:space="preserve">参考图片</w:t>
            </w:r>
            <w:r/>
          </w:p>
        </w:tc>
        <w:tc>
          <w:tcPr>
            <w:tcW w:w="892" w:type="pct"/>
            <w:vAlign w:val="center"/>
            <w:textDirection w:val="lrTb"/>
            <w:noWrap w:val="false"/>
          </w:tcPr>
          <w:p>
            <w:pPr>
              <w:jc w:val="center"/>
              <w:rPr>
                <w:rFonts w:ascii="宋体" w:hAnsi="宋体" w:cs="宋体"/>
                <w:sz w:val="21"/>
                <w:szCs w:val="21"/>
              </w:rPr>
            </w:pPr>
            <w:r>
              <w:rPr>
                <w:rFonts w:hint="eastAsia" w:ascii="宋体" w:hAnsi="宋体" w:cs="宋体"/>
                <w:sz w:val="21"/>
                <w:szCs w:val="21"/>
              </w:rPr>
              <w:t xml:space="preserve">规格（mm）</w:t>
            </w:r>
            <w:r/>
          </w:p>
        </w:tc>
        <w:tc>
          <w:tcPr>
            <w:tcW w:w="1848" w:type="pct"/>
            <w:vAlign w:val="center"/>
            <w:textDirection w:val="lrTb"/>
            <w:noWrap w:val="false"/>
          </w:tcPr>
          <w:p>
            <w:pPr>
              <w:jc w:val="center"/>
              <w:rPr>
                <w:rFonts w:ascii="宋体" w:hAnsi="宋体" w:cs="宋体"/>
                <w:sz w:val="21"/>
                <w:szCs w:val="21"/>
              </w:rPr>
            </w:pPr>
            <w:r>
              <w:rPr>
                <w:rFonts w:hint="eastAsia" w:ascii="宋体" w:hAnsi="宋体" w:cs="宋体"/>
                <w:sz w:val="21"/>
                <w:szCs w:val="21"/>
              </w:rPr>
              <w:t xml:space="preserve">技术参数</w:t>
            </w:r>
            <w:r/>
          </w:p>
        </w:tc>
        <w:tc>
          <w:tcPr>
            <w:tcW w:w="212" w:type="pct"/>
            <w:vAlign w:val="center"/>
            <w:textDirection w:val="lrTb"/>
            <w:noWrap w:val="false"/>
          </w:tcPr>
          <w:p>
            <w:pPr>
              <w:jc w:val="center"/>
              <w:rPr>
                <w:rFonts w:ascii="宋体" w:hAnsi="宋体" w:cs="宋体"/>
                <w:sz w:val="21"/>
                <w:szCs w:val="21"/>
              </w:rPr>
            </w:pPr>
            <w:r>
              <w:rPr>
                <w:rFonts w:hint="eastAsia" w:ascii="宋体" w:hAnsi="宋体" w:cs="宋体"/>
                <w:sz w:val="21"/>
                <w:szCs w:val="21"/>
              </w:rPr>
              <w:t xml:space="preserve">数量</w:t>
            </w:r>
            <w:r/>
          </w:p>
        </w:tc>
      </w:tr>
      <w:tr>
        <w:trPr>
          <w:jc w:val="center"/>
          <w:trHeight w:val="2188"/>
        </w:trPr>
        <w:tc>
          <w:tcPr>
            <w:tcW w:w="419" w:type="pct"/>
            <w:vAlign w:val="center"/>
            <w:textDirection w:val="lrTb"/>
            <w:noWrap w:val="false"/>
          </w:tcPr>
          <w:p>
            <w:pPr>
              <w:jc w:val="center"/>
              <w:rPr>
                <w:rFonts w:hint="default" w:ascii="宋体" w:hAnsi="宋体" w:eastAsia="宋体" w:cs="宋体"/>
                <w:sz w:val="21"/>
                <w:szCs w:val="21"/>
                <w:lang w:val="en-US" w:eastAsia="zh-CN"/>
              </w:rPr>
            </w:pPr>
            <w:r>
              <w:rPr>
                <w:rFonts w:hint="eastAsia" w:ascii="宋体" w:hAnsi="宋体" w:cs="宋体"/>
                <w:b/>
                <w:bCs/>
                <w:sz w:val="21"/>
                <w:szCs w:val="21"/>
                <w:lang w:eastAsia="zh-CN" w:bidi="ar"/>
              </w:rPr>
              <w:t xml:space="preserve"> </w:t>
            </w:r>
            <w:r>
              <w:rPr>
                <w:rFonts w:hint="eastAsia" w:ascii="宋体" w:hAnsi="宋体" w:cs="宋体"/>
                <w:b/>
                <w:bCs/>
                <w:sz w:val="21"/>
                <w:szCs w:val="21"/>
                <w:lang w:val="en-US" w:eastAsia="zh-CN" w:bidi="ar"/>
              </w:rPr>
              <w:t xml:space="preserve">序号47</w:t>
            </w:r>
            <w:r/>
          </w:p>
        </w:tc>
        <w:tc>
          <w:tcPr>
            <w:tcW w:w="496" w:type="pct"/>
            <w:vAlign w:val="center"/>
            <w:textDirection w:val="lrTb"/>
            <w:noWrap w:val="false"/>
          </w:tcPr>
          <w:p>
            <w:pPr>
              <w:jc w:val="center"/>
              <w:widowControl/>
              <w:tabs>
                <w:tab w:val="left" w:pos="342" w:leader="none"/>
              </w:tabs>
              <w:rPr>
                <w:rFonts w:ascii="宋体" w:hAnsi="宋体" w:cs="宋体"/>
                <w:sz w:val="21"/>
                <w:szCs w:val="21"/>
              </w:rPr>
            </w:pPr>
            <w:r>
              <w:rPr>
                <w:rFonts w:hint="eastAsia" w:ascii="宋体" w:hAnsi="宋体" w:cs="宋体"/>
                <w:sz w:val="21"/>
                <w:szCs w:val="21"/>
                <w:lang w:bidi="ar"/>
              </w:rPr>
              <w:t xml:space="preserve">非接触式测温净手一体机</w:t>
            </w:r>
            <w:r/>
          </w:p>
        </w:tc>
        <w:tc>
          <w:tcPr>
            <w:tcW w:w="1129" w:type="pct"/>
            <w:vAlign w:val="center"/>
            <w:textDirection w:val="lrTb"/>
            <w:noWrap w:val="false"/>
          </w:tcPr>
          <w:p>
            <w:pPr>
              <w:jc w:val="center"/>
              <w:widowControl/>
              <w:rPr>
                <w:rFonts w:ascii="宋体" w:hAnsi="宋体" w:cs="宋体"/>
                <w:sz w:val="21"/>
                <w:szCs w:val="21"/>
              </w:rPr>
            </w:pPr>
            <w:r>
              <w:rPr>
                <w:sz w:val="21"/>
                <w:szCs w:val="21"/>
              </w:rPr>
              <mc:AlternateContent>
                <mc:Choice Requires="wpg">
                  <w:drawing>
                    <wp:inline xmlns:wp="http://schemas.openxmlformats.org/drawingml/2006/wordprocessingDrawing" distT="0" distB="0" distL="0" distR="0">
                      <wp:extent cx="1267460" cy="1560195"/>
                      <wp:effectExtent l="0" t="0" r="8890" b="1905"/>
                      <wp:docPr id="14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4"/>
                              <pic:cNvPicPr>
                                <a:picLocks noChangeAspect="1"/>
                              </pic:cNvPicPr>
                              <pic:nvPr/>
                            </pic:nvPicPr>
                            <pic:blipFill>
                              <a:blip r:embed="rId153"/>
                              <a:stretch/>
                            </pic:blipFill>
                            <pic:spPr bwMode="auto">
                              <a:xfrm>
                                <a:off x="0" y="0"/>
                                <a:ext cx="1267460" cy="15601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3" o:spid="_x0000_s143" type="#_x0000_t75" style="width:99.8pt;height:122.8pt;mso-wrap-distance-left:0.0pt;mso-wrap-distance-top:0.0pt;mso-wrap-distance-right:0.0pt;mso-wrap-distance-bottom:0.0pt;" stroked="f">
                      <v:path textboxrect="0,0,0,0"/>
                      <v:imagedata r:id="rId153" o:title=""/>
                    </v:shape>
                  </w:pict>
                </mc:Fallback>
              </mc:AlternateContent>
            </w:r>
            <w:r/>
          </w:p>
        </w:tc>
        <w:tc>
          <w:tcPr>
            <w:tcW w:w="892" w:type="pct"/>
            <w:vAlign w:val="center"/>
            <w:textDirection w:val="lrTb"/>
            <w:noWrap w:val="false"/>
          </w:tcPr>
          <w:p>
            <w:pPr>
              <w:jc w:val="center"/>
              <w:widowControl/>
              <w:tabs>
                <w:tab w:val="left" w:pos="242" w:leader="none"/>
              </w:tabs>
              <w:rPr>
                <w:rFonts w:ascii="宋体" w:hAnsi="宋体" w:cs="宋体"/>
                <w:sz w:val="21"/>
                <w:szCs w:val="21"/>
                <w:lang w:bidi="ar"/>
              </w:rPr>
            </w:pPr>
            <w:r>
              <w:rPr>
                <w:rFonts w:hint="eastAsia"/>
                <w:sz w:val="21"/>
                <w:szCs w:val="21"/>
              </w:rPr>
              <w:t xml:space="preserve">260mm×200mm×300mm</w:t>
            </w:r>
            <w:r/>
          </w:p>
        </w:tc>
        <w:tc>
          <w:tcPr>
            <w:tcW w:w="1848" w:type="pct"/>
            <w:vAlign w:val="center"/>
            <w:textDirection w:val="lrTb"/>
            <w:noWrap w:val="false"/>
          </w:tcPr>
          <w:p>
            <w:pPr>
              <w:jc w:val="left"/>
              <w:widowControl/>
              <w:tabs>
                <w:tab w:val="left" w:pos="1179" w:leader="none"/>
              </w:tabs>
              <w:rPr>
                <w:rFonts w:hint="eastAsia"/>
                <w:sz w:val="21"/>
                <w:szCs w:val="21"/>
              </w:rPr>
            </w:pPr>
            <w:r>
              <w:rPr>
                <w:rFonts w:hint="eastAsia"/>
                <w:sz w:val="21"/>
                <w:szCs w:val="21"/>
              </w:rPr>
              <w:t xml:space="preserve">1、外观整洁、无划痕、磨损、凹陷、裂缝、变形、毛刺等缺陷，表面涂层无气泡、龟裂、脱落现象；</w:t>
            </w:r>
            <w:r/>
          </w:p>
          <w:p>
            <w:pPr>
              <w:jc w:val="left"/>
              <w:widowControl/>
              <w:tabs>
                <w:tab w:val="left" w:pos="1179" w:leader="none"/>
              </w:tabs>
              <w:rPr>
                <w:rFonts w:hint="eastAsia"/>
                <w:sz w:val="21"/>
                <w:szCs w:val="21"/>
              </w:rPr>
            </w:pPr>
            <w:r>
              <w:rPr>
                <w:rFonts w:hint="eastAsia"/>
                <w:sz w:val="21"/>
                <w:szCs w:val="21"/>
              </w:rPr>
              <w:t xml:space="preserve">2、设备采用方形倒角设计，直边加圆弧形、无棱角、无磕碰隐患；</w:t>
            </w:r>
            <w:r/>
          </w:p>
          <w:p>
            <w:pPr>
              <w:jc w:val="left"/>
              <w:widowControl/>
              <w:tabs>
                <w:tab w:val="left" w:pos="1179" w:leader="none"/>
              </w:tabs>
              <w:rPr>
                <w:rFonts w:hint="eastAsia"/>
                <w:sz w:val="21"/>
                <w:szCs w:val="21"/>
              </w:rPr>
            </w:pPr>
            <w:r>
              <w:rPr>
                <w:rFonts w:hint="eastAsia"/>
                <w:sz w:val="21"/>
                <w:szCs w:val="21"/>
              </w:rPr>
              <w:t xml:space="preserve">3、设备尺寸不超过 260mm×200mm×300mm，±误差 10%；</w:t>
            </w:r>
            <w:r/>
          </w:p>
          <w:p>
            <w:pPr>
              <w:jc w:val="left"/>
              <w:widowControl/>
              <w:tabs>
                <w:tab w:val="left" w:pos="1179" w:leader="none"/>
              </w:tabs>
              <w:rPr>
                <w:rFonts w:hint="eastAsia"/>
                <w:sz w:val="21"/>
                <w:szCs w:val="21"/>
              </w:rPr>
            </w:pPr>
            <w:r>
              <w:rPr>
                <w:rFonts w:hint="eastAsia"/>
                <w:sz w:val="21"/>
                <w:szCs w:val="21"/>
              </w:rPr>
              <w:t xml:space="preserve">4、供电方式：设备具有插电式、太阳能、锂电池三种供电方式；</w:t>
            </w:r>
            <w:r/>
          </w:p>
          <w:p>
            <w:pPr>
              <w:jc w:val="left"/>
              <w:widowControl/>
              <w:tabs>
                <w:tab w:val="left" w:pos="1179" w:leader="none"/>
              </w:tabs>
              <w:rPr>
                <w:rFonts w:hint="eastAsia"/>
                <w:sz w:val="21"/>
                <w:szCs w:val="21"/>
              </w:rPr>
            </w:pPr>
            <w:r>
              <w:rPr>
                <w:rFonts w:hint="eastAsia"/>
                <w:sz w:val="21"/>
                <w:szCs w:val="21"/>
              </w:rPr>
              <w:t xml:space="preserve">5、太阳能供电：设备具有太阳能自动充电功能，可在阳光下自动充电并进行储存，为设备使用提供电能（投标供应商须提供国家或省/市级具有相关检测资质的检测机构出具的产品检测报告复印件加盖生产商公章佐证该条技术参数）；</w:t>
            </w:r>
            <w:r/>
          </w:p>
          <w:p>
            <w:pPr>
              <w:jc w:val="left"/>
              <w:widowControl/>
              <w:tabs>
                <w:tab w:val="left" w:pos="1179" w:leader="none"/>
              </w:tabs>
              <w:rPr>
                <w:rFonts w:hint="eastAsia"/>
                <w:sz w:val="21"/>
                <w:szCs w:val="21"/>
              </w:rPr>
            </w:pPr>
            <w:r>
              <w:rPr>
                <w:rFonts w:hint="eastAsia"/>
                <w:sz w:val="21"/>
                <w:szCs w:val="21"/>
              </w:rPr>
              <w:t xml:space="preserve">6、非接触操控：非接触式操控，人体可在不与设备接触情况下，利用手势动作切换测温、出液等功能；</w:t>
            </w:r>
            <w:r/>
          </w:p>
          <w:p>
            <w:pPr>
              <w:jc w:val="left"/>
              <w:widowControl/>
              <w:tabs>
                <w:tab w:val="left" w:pos="1179" w:leader="none"/>
              </w:tabs>
              <w:rPr>
                <w:rFonts w:hint="eastAsia"/>
                <w:sz w:val="21"/>
                <w:szCs w:val="21"/>
              </w:rPr>
            </w:pPr>
            <w:r>
              <w:rPr>
                <w:rFonts w:hint="eastAsia"/>
                <w:sz w:val="21"/>
                <w:szCs w:val="21"/>
              </w:rPr>
              <w:t xml:space="preserve">7、测温净手功能：设备可在人体无需任何接触情况下，同时进行手部测温与出液洗手两种功能，也可以根据需要关闭或开启某一项功能；</w:t>
            </w:r>
            <w:r/>
          </w:p>
          <w:p>
            <w:pPr>
              <w:jc w:val="left"/>
              <w:widowControl/>
              <w:tabs>
                <w:tab w:val="left" w:pos="1179" w:leader="none"/>
              </w:tabs>
              <w:rPr>
                <w:rFonts w:hint="eastAsia"/>
                <w:sz w:val="21"/>
                <w:szCs w:val="21"/>
              </w:rPr>
            </w:pPr>
            <w:r>
              <w:rPr>
                <w:rFonts w:hint="eastAsia"/>
                <w:sz w:val="21"/>
                <w:szCs w:val="21"/>
              </w:rPr>
              <w:t xml:space="preserve">8、自动休眠：设备在一定时间无人使用后，具有自动休眠功能，降低耗电延长使用寿命（；</w:t>
            </w:r>
            <w:r/>
          </w:p>
          <w:p>
            <w:pPr>
              <w:jc w:val="left"/>
              <w:widowControl/>
              <w:tabs>
                <w:tab w:val="left" w:pos="1179" w:leader="none"/>
              </w:tabs>
              <w:rPr>
                <w:rFonts w:hint="eastAsia"/>
                <w:sz w:val="21"/>
                <w:szCs w:val="21"/>
              </w:rPr>
            </w:pPr>
            <w:r>
              <w:rPr>
                <w:rFonts w:hint="eastAsia"/>
                <w:sz w:val="21"/>
                <w:szCs w:val="21"/>
              </w:rPr>
              <w:t xml:space="preserve">9、感应唤醒：设备在休眠状态中可以根据手势动作进行唤醒，重新进入工作状态；</w:t>
            </w:r>
            <w:r/>
          </w:p>
          <w:p>
            <w:pPr>
              <w:jc w:val="left"/>
              <w:widowControl/>
              <w:tabs>
                <w:tab w:val="left" w:pos="1179" w:leader="none"/>
              </w:tabs>
              <w:rPr>
                <w:rFonts w:hint="eastAsia"/>
                <w:sz w:val="21"/>
                <w:szCs w:val="21"/>
              </w:rPr>
            </w:pPr>
            <w:r>
              <w:rPr>
                <w:rFonts w:hint="eastAsia"/>
                <w:sz w:val="21"/>
                <w:szCs w:val="21"/>
              </w:rPr>
              <w:t xml:space="preserve">10、电机寿命：电机连续工作10万次以上；</w:t>
            </w:r>
            <w:r/>
          </w:p>
          <w:p>
            <w:pPr>
              <w:jc w:val="left"/>
              <w:widowControl/>
              <w:tabs>
                <w:tab w:val="left" w:pos="1179" w:leader="none"/>
              </w:tabs>
              <w:rPr>
                <w:rFonts w:hint="eastAsia"/>
                <w:sz w:val="21"/>
                <w:szCs w:val="21"/>
              </w:rPr>
            </w:pPr>
            <w:r>
              <w:rPr>
                <w:rFonts w:hint="eastAsia"/>
                <w:sz w:val="21"/>
                <w:szCs w:val="21"/>
              </w:rPr>
              <w:t xml:space="preserve">12、设备安全性：</w:t>
            </w:r>
            <w:r/>
          </w:p>
          <w:p>
            <w:pPr>
              <w:jc w:val="left"/>
              <w:widowControl/>
              <w:tabs>
                <w:tab w:val="left" w:pos="1179" w:leader="none"/>
              </w:tabs>
              <w:rPr>
                <w:rFonts w:hint="eastAsia"/>
                <w:sz w:val="21"/>
                <w:szCs w:val="21"/>
              </w:rPr>
            </w:pPr>
            <w:r>
              <w:rPr>
                <w:rFonts w:hint="eastAsia"/>
                <w:sz w:val="21"/>
                <w:szCs w:val="21"/>
              </w:rPr>
              <w:t xml:space="preserve">1）电源适应性：设备电源接入198V 49Hz、198V 51Hz、220V 50Hz、242V 49Hz、242V 51Hz每种组合运行检查程序一遍，设备工作正常；</w:t>
            </w:r>
            <w:r/>
          </w:p>
          <w:p>
            <w:pPr>
              <w:jc w:val="left"/>
              <w:widowControl/>
              <w:tabs>
                <w:tab w:val="left" w:pos="1179" w:leader="none"/>
              </w:tabs>
              <w:rPr>
                <w:rFonts w:hint="eastAsia"/>
                <w:sz w:val="21"/>
                <w:szCs w:val="21"/>
              </w:rPr>
            </w:pPr>
            <w:r>
              <w:rPr>
                <w:rFonts w:hint="eastAsia"/>
                <w:sz w:val="21"/>
                <w:szCs w:val="21"/>
              </w:rPr>
              <w:t xml:space="preserve">2）抗电强度：L、N～保护接地端子，承受AC1500V 60s绝缘不应被击穿；</w:t>
            </w:r>
            <w:r/>
          </w:p>
          <w:p>
            <w:pPr>
              <w:jc w:val="left"/>
              <w:widowControl/>
              <w:tabs>
                <w:tab w:val="left" w:pos="1179" w:leader="none"/>
              </w:tabs>
              <w:rPr>
                <w:rFonts w:hint="eastAsia"/>
                <w:sz w:val="21"/>
                <w:szCs w:val="21"/>
              </w:rPr>
            </w:pPr>
            <w:r>
              <w:rPr>
                <w:rFonts w:hint="eastAsia"/>
                <w:sz w:val="21"/>
                <w:szCs w:val="21"/>
              </w:rPr>
              <w:t xml:space="preserve">3）接触电流：在242V与198V电压测试下，接触电流为流过模拟人体阻抗网络的电流≤3.5mA；</w:t>
            </w:r>
            <w:r/>
          </w:p>
          <w:p>
            <w:pPr>
              <w:jc w:val="left"/>
              <w:widowControl/>
              <w:tabs>
                <w:tab w:val="left" w:pos="1179" w:leader="none"/>
              </w:tabs>
              <w:rPr>
                <w:rFonts w:hint="eastAsia"/>
                <w:sz w:val="21"/>
                <w:szCs w:val="21"/>
              </w:rPr>
            </w:pPr>
            <w:r>
              <w:rPr>
                <w:rFonts w:hint="eastAsia"/>
                <w:sz w:val="21"/>
                <w:szCs w:val="21"/>
              </w:rPr>
              <w:t xml:space="preserve">14、设备环境试验：</w:t>
            </w:r>
            <w:r/>
          </w:p>
          <w:p>
            <w:pPr>
              <w:jc w:val="left"/>
              <w:widowControl/>
              <w:tabs>
                <w:tab w:val="left" w:pos="1179" w:leader="none"/>
              </w:tabs>
              <w:rPr>
                <w:rFonts w:hint="eastAsia"/>
                <w:sz w:val="21"/>
                <w:szCs w:val="21"/>
              </w:rPr>
            </w:pPr>
            <w:r>
              <w:rPr>
                <w:rFonts w:hint="eastAsia"/>
                <w:sz w:val="21"/>
                <w:szCs w:val="21"/>
              </w:rPr>
              <w:t xml:space="preserve">1）低温负荷测试：设备在-10℃低温环境，工作24小时无异常；</w:t>
            </w:r>
            <w:r/>
          </w:p>
          <w:p>
            <w:pPr>
              <w:jc w:val="left"/>
              <w:widowControl/>
              <w:tabs>
                <w:tab w:val="left" w:pos="1179" w:leader="none"/>
              </w:tabs>
              <w:rPr>
                <w:rFonts w:hint="eastAsia"/>
                <w:sz w:val="21"/>
                <w:szCs w:val="21"/>
              </w:rPr>
            </w:pPr>
            <w:r>
              <w:rPr>
                <w:rFonts w:hint="eastAsia"/>
                <w:sz w:val="21"/>
                <w:szCs w:val="21"/>
              </w:rPr>
              <w:t xml:space="preserve">2）高温负荷测试：设备在50℃高温环境，工作24小时无异常；</w:t>
            </w:r>
            <w:r/>
          </w:p>
          <w:p>
            <w:pPr>
              <w:jc w:val="left"/>
              <w:widowControl/>
              <w:tabs>
                <w:tab w:val="left" w:pos="1179" w:leader="none"/>
              </w:tabs>
              <w:rPr>
                <w:rFonts w:hint="eastAsia"/>
                <w:sz w:val="21"/>
                <w:szCs w:val="21"/>
              </w:rPr>
            </w:pPr>
            <w:r>
              <w:rPr>
                <w:rFonts w:hint="eastAsia"/>
                <w:sz w:val="21"/>
                <w:szCs w:val="21"/>
              </w:rPr>
              <w:t xml:space="preserve">3）恒定湿热负荷测试：设备在40℃,90％RH湿度环境，工作24小时无异常；</w:t>
            </w:r>
            <w:r/>
          </w:p>
          <w:p>
            <w:pPr>
              <w:jc w:val="left"/>
              <w:widowControl/>
              <w:tabs>
                <w:tab w:val="left" w:pos="1179" w:leader="none"/>
              </w:tabs>
              <w:rPr>
                <w:rFonts w:ascii="宋体" w:hAnsi="宋体" w:cs="宋体"/>
                <w:sz w:val="21"/>
                <w:szCs w:val="21"/>
              </w:rPr>
            </w:pPr>
            <w:r>
              <w:rPr>
                <w:rFonts w:hint="eastAsia"/>
                <w:sz w:val="21"/>
                <w:szCs w:val="21"/>
              </w:rPr>
              <w:t xml:space="preserve">4）在以上三项试验后外观无凹陷、变形等缺陷，表面涂层无气泡、龟裂、脱落现象，设备硬件均正常；</w:t>
            </w:r>
            <w:r/>
          </w:p>
        </w:tc>
        <w:tc>
          <w:tcPr>
            <w:tcW w:w="212" w:type="pct"/>
            <w:vAlign w:val="center"/>
            <w:textDirection w:val="lrTb"/>
            <w:noWrap w:val="false"/>
          </w:tcPr>
          <w:p>
            <w:pPr>
              <w:jc w:val="center"/>
              <w:rPr>
                <w:rFonts w:ascii="宋体" w:hAnsi="宋体" w:cs="宋体"/>
                <w:sz w:val="21"/>
                <w:szCs w:val="21"/>
              </w:rPr>
            </w:pPr>
            <w:r>
              <w:rPr>
                <w:rFonts w:hint="eastAsia" w:ascii="宋体" w:hAnsi="宋体" w:cs="宋体"/>
                <w:sz w:val="21"/>
                <w:szCs w:val="21"/>
              </w:rPr>
              <w:t xml:space="preserve">1</w:t>
            </w:r>
            <w:r/>
          </w:p>
        </w:tc>
      </w:tr>
      <w:tr>
        <w:trPr>
          <w:jc w:val="center"/>
          <w:trHeight w:val="947"/>
        </w:trPr>
        <w:tc>
          <w:tcPr>
            <w:tcW w:w="419" w:type="pct"/>
            <w:vAlign w:val="center"/>
            <w:textDirection w:val="lrTb"/>
            <w:noWrap w:val="false"/>
          </w:tcPr>
          <w:p>
            <w:pPr>
              <w:jc w:val="center"/>
              <w:rPr>
                <w:rFonts w:hint="default" w:ascii="宋体" w:hAnsi="宋体" w:eastAsia="宋体" w:cs="宋体"/>
                <w:sz w:val="21"/>
                <w:szCs w:val="21"/>
                <w:lang w:val="en-US" w:eastAsia="zh-CN"/>
              </w:rPr>
            </w:pPr>
            <w:r>
              <w:rPr>
                <w:rFonts w:hint="eastAsia" w:ascii="宋体" w:hAnsi="宋体" w:cs="宋体"/>
                <w:b/>
                <w:bCs/>
                <w:sz w:val="21"/>
                <w:szCs w:val="21"/>
                <w:lang w:eastAsia="zh-CN" w:bidi="ar"/>
              </w:rPr>
              <w:t xml:space="preserve"> </w:t>
            </w:r>
            <w:r>
              <w:rPr>
                <w:rFonts w:hint="eastAsia" w:ascii="宋体" w:hAnsi="宋体" w:cs="宋体"/>
                <w:b/>
                <w:bCs/>
                <w:sz w:val="21"/>
                <w:szCs w:val="21"/>
                <w:lang w:val="en-US" w:eastAsia="zh-CN" w:bidi="ar"/>
              </w:rPr>
              <w:t xml:space="preserve">序号 57</w:t>
            </w:r>
            <w:r/>
          </w:p>
        </w:tc>
        <w:tc>
          <w:tcPr>
            <w:tcW w:w="496" w:type="pct"/>
            <w:vAlign w:val="center"/>
            <w:textDirection w:val="lrTb"/>
            <w:noWrap w:val="false"/>
          </w:tcPr>
          <w:p>
            <w:pPr>
              <w:jc w:val="center"/>
              <w:widowControl/>
              <w:tabs>
                <w:tab w:val="left" w:pos="467" w:leader="none"/>
              </w:tabs>
              <w:rPr>
                <w:rFonts w:ascii="宋体" w:hAnsi="宋体" w:cs="宋体"/>
                <w:sz w:val="21"/>
                <w:szCs w:val="21"/>
              </w:rPr>
            </w:pPr>
            <w:r>
              <w:rPr>
                <w:rFonts w:hint="eastAsia"/>
                <w:sz w:val="21"/>
                <w:szCs w:val="21"/>
              </w:rPr>
              <w:t xml:space="preserve">会议椅（带桌板）</w:t>
            </w:r>
            <w:r/>
          </w:p>
        </w:tc>
        <w:tc>
          <w:tcPr>
            <w:tcW w:w="1129" w:type="pct"/>
            <w:vAlign w:val="center"/>
            <w:textDirection w:val="lrTb"/>
            <w:noWrap w:val="false"/>
          </w:tcPr>
          <w:p>
            <w:pPr>
              <w:jc w:val="center"/>
              <w:rPr>
                <w:rFonts w:ascii="宋体" w:hAnsi="宋体" w:cs="宋体"/>
                <w:sz w:val="21"/>
                <w:szCs w:val="21"/>
              </w:rPr>
            </w:pPr>
            <w:r>
              <w:rPr>
                <w:rFonts w:hint="eastAsia"/>
                <w:sz w:val="21"/>
                <w:szCs w:val="21"/>
              </w:rPr>
              <mc:AlternateContent>
                <mc:Choice Requires="wpg">
                  <w:drawing>
                    <wp:inline xmlns:wp="http://schemas.openxmlformats.org/drawingml/2006/wordprocessingDrawing" distT="0" distB="0" distL="0" distR="0">
                      <wp:extent cx="1219200" cy="1219200"/>
                      <wp:effectExtent l="0" t="0" r="0" b="0"/>
                      <wp:docPr id="145" name="图片 4" descr="ffedfcfba16d8c087808b70d7ece2bc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4" descr="ffedfcfba16d8c087808b70d7ece2bc8"/>
                              <pic:cNvPicPr>
                                <a:picLocks noChangeAspect="1"/>
                              </pic:cNvPicPr>
                              <pic:nvPr/>
                            </pic:nvPicPr>
                            <pic:blipFill>
                              <a:blip r:embed="rId154"/>
                              <a:stretch/>
                            </pic:blipFill>
                            <pic:spPr bwMode="auto">
                              <a:xfrm>
                                <a:off x="0" y="0"/>
                                <a:ext cx="1219200" cy="12192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4" o:spid="_x0000_s144" type="#_x0000_t75" style="width:96.0pt;height:96.0pt;mso-wrap-distance-left:0.0pt;mso-wrap-distance-top:0.0pt;mso-wrap-distance-right:0.0pt;mso-wrap-distance-bottom:0.0pt;" stroked="f">
                      <v:path textboxrect="0,0,0,0"/>
                      <v:imagedata r:id="rId154" o:title=""/>
                    </v:shape>
                  </w:pict>
                </mc:Fallback>
              </mc:AlternateContent>
            </w:r>
            <w:r/>
          </w:p>
        </w:tc>
        <w:tc>
          <w:tcPr>
            <w:tcW w:w="892" w:type="pct"/>
            <w:vAlign w:val="center"/>
            <w:textDirection w:val="lrTb"/>
            <w:noWrap w:val="false"/>
          </w:tcPr>
          <w:p>
            <w:pPr>
              <w:jc w:val="center"/>
              <w:widowControl/>
              <w:rPr>
                <w:rFonts w:hint="eastAsia" w:ascii="宋体" w:hAnsi="宋体" w:eastAsia="宋体" w:cs="宋体"/>
                <w:sz w:val="21"/>
                <w:szCs w:val="21"/>
                <w:lang w:val="en-US" w:eastAsia="zh-CN" w:bidi="ar"/>
              </w:rPr>
            </w:pPr>
            <w:r>
              <w:rPr>
                <w:rFonts w:hint="eastAsia" w:ascii="Times New Roman" w:hAnsi="Times New Roman" w:eastAsia="宋体" w:cs="Times New Roman"/>
                <w:sz w:val="21"/>
                <w:szCs w:val="21"/>
              </w:rPr>
              <w:t xml:space="preserve">615*560*885</w:t>
            </w:r>
            <w:r>
              <w:rPr>
                <w:rFonts w:hint="eastAsia" w:cs="Times New Roman"/>
                <w:sz w:val="21"/>
                <w:szCs w:val="21"/>
                <w:lang w:val="en-US" w:eastAsia="zh-CN"/>
              </w:rPr>
              <w:t xml:space="preserve">mm</w:t>
            </w:r>
            <w:r/>
          </w:p>
        </w:tc>
        <w:tc>
          <w:tcPr>
            <w:tcW w:w="1848" w:type="pct"/>
            <w:vAlign w:val="center"/>
            <w:textDirection w:val="lrTb"/>
            <w:noWrap w:val="false"/>
          </w:tcPr>
          <w:p>
            <w:pPr>
              <w:jc w:val="left"/>
              <w:widowControl/>
              <w:tabs>
                <w:tab w:val="left" w:pos="1179" w:leader="none"/>
              </w:tabs>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1、规格：615*560*885±5mm</w:t>
            </w:r>
            <w:r/>
          </w:p>
          <w:p>
            <w:pPr>
              <w:jc w:val="left"/>
              <w:widowControl/>
              <w:tabs>
                <w:tab w:val="left" w:pos="1179" w:leader="none"/>
              </w:tabs>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2、胶壳：材质采用PP加纤材质，环保不褪色，抗裂性强，上下分体式双背框设计，符合人体工程学贴合腰部曲线，坐感舒适久坐不累；整椅：10.8KG</w:t>
            </w:r>
            <w:r/>
          </w:p>
          <w:p>
            <w:pPr>
              <w:jc w:val="left"/>
              <w:widowControl/>
              <w:tabs>
                <w:tab w:val="left" w:pos="1179" w:leader="none"/>
              </w:tabs>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3、椅架：采用32*18*1.5mm厚冷锻方圆钢管，220度高温静电喷涂，处理精细光滑、牢固抗冲击不变形。 </w:t>
            </w:r>
            <w:r/>
          </w:p>
          <w:p>
            <w:pPr>
              <w:jc w:val="left"/>
              <w:widowControl/>
              <w:tabs>
                <w:tab w:val="left" w:pos="1179" w:leader="none"/>
              </w:tabs>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4、网背座垫：优质透气中网背；定型海棉，弹力布面料，回弹好，坐感舒适；                          </w:t>
            </w:r>
            <w:r/>
          </w:p>
          <w:p>
            <w:pPr>
              <w:jc w:val="left"/>
              <w:widowControl/>
              <w:tabs>
                <w:tab w:val="left" w:pos="1179" w:leader="none"/>
              </w:tabs>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5、连接件：椅背两边采用优质可活动圆柱形铝合金连接件，增加靠背倾仰功能，铝合金作精抛处理，坚固耐用，防锈防腐性高；椅架中间位置，两边采用组合式PP连接件，美观的同时也增加椅子的稳定性。</w:t>
            </w:r>
            <w:r/>
          </w:p>
          <w:p>
            <w:pPr>
              <w:jc w:val="left"/>
              <w:widowControl/>
              <w:tabs>
                <w:tab w:val="left" w:pos="1179" w:leader="none"/>
              </w:tabs>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6、轮子：优质尼龙万向轮，方便移动。（可根据实际使用需求更换成固定脚垫）          </w:t>
            </w:r>
            <w:r/>
          </w:p>
          <w:p>
            <w:pPr>
              <w:jc w:val="left"/>
              <w:widowControl/>
              <w:tabs>
                <w:tab w:val="left" w:pos="1179" w:leader="none"/>
              </w:tabs>
              <w:rPr>
                <w:rFonts w:hint="eastAsia" w:ascii="Times New Roman" w:hAnsi="Times New Roman" w:eastAsia="宋体" w:cs="Times New Roman"/>
                <w:sz w:val="21"/>
                <w:szCs w:val="21"/>
              </w:rPr>
            </w:pPr>
            <w:r>
              <w:rPr>
                <w:rFonts w:hint="eastAsia" w:ascii="Times New Roman" w:hAnsi="Times New Roman" w:eastAsia="宋体" w:cs="Times New Roman"/>
                <w:sz w:val="21"/>
                <w:szCs w:val="21"/>
              </w:rPr>
              <w:t xml:space="preserve">7、写字板：全铝合金支架+黑色PP面板，写字板面设计有多功能置物槽，可放笔、手机、平板，可侧放收纳。</w:t>
            </w:r>
            <w:r/>
          </w:p>
          <w:p>
            <w:pPr>
              <w:jc w:val="left"/>
              <w:widowControl/>
              <w:tabs>
                <w:tab w:val="left" w:pos="1179" w:leader="none"/>
              </w:tabs>
              <w:rPr>
                <w:rFonts w:ascii="宋体" w:hAnsi="宋体" w:cs="宋体"/>
                <w:sz w:val="21"/>
                <w:szCs w:val="21"/>
              </w:rPr>
            </w:pPr>
            <w:r>
              <w:rPr>
                <w:rFonts w:hint="eastAsia" w:ascii="Times New Roman" w:hAnsi="Times New Roman" w:eastAsia="宋体" w:cs="Times New Roman"/>
                <w:sz w:val="21"/>
                <w:szCs w:val="21"/>
              </w:rPr>
              <w:t xml:space="preserve">8、功能：座包翻起可连排堆叠，椅架可全折叠、节省收纳空间，拆箱即用</w:t>
            </w:r>
            <w:r/>
          </w:p>
        </w:tc>
        <w:tc>
          <w:tcPr>
            <w:tcW w:w="212" w:type="pct"/>
            <w:vAlign w:val="center"/>
            <w:textDirection w:val="lrTb"/>
            <w:noWrap w:val="false"/>
          </w:tcPr>
          <w:p>
            <w:pPr>
              <w:jc w:val="center"/>
              <w:rPr>
                <w:rFonts w:ascii="宋体" w:hAnsi="宋体" w:cs="宋体"/>
                <w:sz w:val="21"/>
                <w:szCs w:val="21"/>
              </w:rPr>
            </w:pPr>
            <w:r>
              <w:rPr>
                <w:rFonts w:hint="eastAsia" w:ascii="宋体" w:hAnsi="宋体" w:cs="宋体"/>
                <w:sz w:val="21"/>
                <w:szCs w:val="21"/>
              </w:rPr>
              <w:t xml:space="preserve">1</w:t>
            </w:r>
            <w:r/>
          </w:p>
        </w:tc>
      </w:tr>
    </w:tbl>
    <w:p>
      <w:pPr>
        <w:ind w:firstLine="480"/>
        <w:keepLines w:val="0"/>
        <w:keepNext w:val="0"/>
        <w:pageBreakBefore w:val="0"/>
        <w:spacing w:line="240" w:lineRule="auto"/>
        <w:widowControl w:val="off"/>
        <w:rPr>
          <w:rFonts w:hint="default" w:ascii="宋体" w:hAnsi="宋体" w:cs="宋体"/>
          <w:color w:val="000000"/>
          <w:sz w:val="24"/>
          <w:szCs w:val="24"/>
          <w:lang w:val="en-US" w:eastAsia="zh-CN"/>
        </w:rPr>
      </w:pPr>
      <w:r>
        <w:rPr>
          <w:rFonts w:hint="default" w:ascii="宋体" w:hAnsi="宋体" w:cs="宋体"/>
          <w:color w:val="000000"/>
          <w:sz w:val="24"/>
          <w:szCs w:val="24"/>
          <w:lang w:val="en-US" w:eastAsia="zh-CN"/>
        </w:rPr>
      </w:r>
      <w:r/>
    </w:p>
    <w:p>
      <w:pPr>
        <w:ind w:firstLine="480"/>
        <w:keepLines w:val="0"/>
        <w:keepNext w:val="0"/>
        <w:pageBreakBefore w:val="0"/>
        <w:spacing w:line="24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rPr>
      </w:pPr>
      <w:r/>
      <w:bookmarkStart w:id="196" w:name="_Toc120614281"/>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第五章  评标方法与评标标准</w:t>
      </w:r>
      <w:r/>
    </w:p>
    <w:p>
      <w:pPr>
        <w:keepLines w:val="0"/>
        <w:keepNext w:val="0"/>
        <w:pageBreakBefore w:val="0"/>
        <w:spacing w:line="240" w:lineRule="auto"/>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r>
      <w:r/>
    </w:p>
    <w:p>
      <w:pPr>
        <w:ind w:firstLine="480"/>
        <w:keepLines w:val="0"/>
        <w:keepNext w:val="0"/>
        <w:pageBreakBefore w:val="0"/>
        <w:spacing w:line="360"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w:t>
      </w:r>
      <w:r>
        <w:rPr>
          <w:rFonts w:hint="eastAsia" w:ascii="黑体" w:hAnsi="黑体" w:eastAsia="黑体" w:cs="黑体"/>
          <w:b w:val="0"/>
          <w:bCs w:val="0"/>
          <w:color w:val="000000"/>
          <w:sz w:val="24"/>
          <w:szCs w:val="24"/>
        </w:rPr>
        <w:t xml:space="preserve">评标</w:t>
      </w:r>
      <w:r>
        <w:rPr>
          <w:rFonts w:hint="eastAsia" w:ascii="黑体" w:hAnsi="黑体" w:eastAsia="黑体" w:cs="黑体"/>
          <w:b w:val="0"/>
          <w:bCs w:val="0"/>
          <w:color w:val="000000"/>
          <w:sz w:val="24"/>
          <w:szCs w:val="24"/>
          <w:lang w:eastAsia="zh-CN"/>
        </w:rPr>
        <w:t xml:space="preserve">方法</w:t>
      </w:r>
      <w:r/>
    </w:p>
    <w:p>
      <w:pPr>
        <w:ind w:firstLine="480"/>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采用综合评分法，评标结果按评审后得分由高到低顺序排列。得分相同的，按投标报价由低到高顺序排列。得分且投标报价相同的</w:t>
      </w:r>
      <w:r>
        <w:rPr>
          <w:rFonts w:hint="eastAsia" w:ascii="宋体" w:hAnsi="宋体" w:eastAsia="宋体" w:cs="宋体"/>
          <w:sz w:val="24"/>
          <w:szCs w:val="24"/>
          <w:lang w:eastAsia="zh-CN"/>
        </w:rPr>
        <w:t xml:space="preserve">，按“</w:t>
      </w:r>
      <w:r>
        <w:rPr>
          <w:rFonts w:hint="eastAsia" w:ascii="宋体" w:hAnsi="宋体" w:eastAsia="宋体" w:cs="宋体"/>
          <w:color w:val="000000"/>
          <w:sz w:val="24"/>
          <w:szCs w:val="24"/>
          <w:highlight w:val="none"/>
          <w:lang w:eastAsia="zh-CN"/>
        </w:rPr>
        <w:t xml:space="preserve">三、评标标准中</w:t>
      </w:r>
      <w:r>
        <w:rPr>
          <w:rFonts w:hint="eastAsia" w:ascii="宋体" w:hAnsi="宋体" w:cs="Times New Roman"/>
          <w:color w:val="auto"/>
          <w:sz w:val="24"/>
          <w:szCs w:val="24"/>
          <w:highlight w:val="none"/>
          <w:lang w:val="en-US" w:eastAsia="zh-CN"/>
        </w:rPr>
        <w:t xml:space="preserve">3.1</w:t>
      </w:r>
      <w:r>
        <w:rPr>
          <w:rFonts w:hint="eastAsia" w:ascii="宋体" w:hAnsi="宋体" w:eastAsia="宋体" w:cs="Times New Roman"/>
          <w:color w:val="auto"/>
          <w:sz w:val="24"/>
          <w:szCs w:val="24"/>
          <w:highlight w:val="none"/>
          <w:lang w:val="en-US" w:eastAsia="zh-CN"/>
        </w:rPr>
        <w:t xml:space="preserve">-</w:t>
      </w:r>
      <w:r>
        <w:rPr>
          <w:rFonts w:hint="eastAsia" w:ascii="宋体" w:hAnsi="宋体" w:cs="Times New Roman"/>
          <w:color w:val="auto"/>
          <w:sz w:val="24"/>
          <w:szCs w:val="24"/>
          <w:highlight w:val="none"/>
          <w:lang w:val="en-US" w:eastAsia="zh-CN"/>
        </w:rPr>
        <w:t xml:space="preserve">3.3</w:t>
      </w:r>
      <w:r>
        <w:rPr>
          <w:rFonts w:hint="eastAsia" w:ascii="宋体" w:hAnsi="宋体" w:eastAsia="宋体" w:cs="Times New Roman"/>
          <w:color w:val="000000"/>
          <w:sz w:val="24"/>
          <w:szCs w:val="24"/>
          <w:highlight w:val="none"/>
          <w:lang w:val="en-US" w:eastAsia="zh-CN"/>
        </w:rPr>
        <w:t xml:space="preserve">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lang w:eastAsia="zh-CN"/>
        </w:rPr>
        <w:t xml:space="preserve">得分由高到低顺序排列。</w:t>
      </w:r>
      <w:r>
        <w:rPr>
          <w:rFonts w:hint="eastAsia" w:ascii="宋体" w:hAnsi="宋体" w:eastAsia="宋体" w:cs="宋体"/>
          <w:sz w:val="24"/>
          <w:szCs w:val="24"/>
          <w:lang w:val="en-US" w:eastAsia="zh-CN"/>
        </w:rPr>
        <w:t xml:space="preserve">在</w:t>
      </w:r>
      <w:r>
        <w:rPr>
          <w:rFonts w:hint="eastAsia" w:ascii="宋体" w:hAnsi="宋体" w:eastAsia="宋体" w:cs="宋体"/>
          <w:sz w:val="24"/>
          <w:szCs w:val="24"/>
          <w:lang w:eastAsia="zh-CN"/>
        </w:rPr>
        <w:t xml:space="preserve">投标文件满足招标文件全部实质性要求</w:t>
      </w:r>
      <w:r>
        <w:rPr>
          <w:rFonts w:hint="eastAsia" w:ascii="宋体" w:hAnsi="宋体" w:eastAsia="宋体" w:cs="宋体"/>
          <w:sz w:val="24"/>
          <w:szCs w:val="24"/>
          <w:lang w:val="en-US" w:eastAsia="zh-CN"/>
        </w:rPr>
        <w:t xml:space="preserve">的供应商中</w:t>
      </w:r>
      <w:r>
        <w:rPr>
          <w:rFonts w:hint="eastAsia" w:ascii="宋体" w:hAnsi="宋体" w:eastAsia="宋体" w:cs="宋体"/>
          <w:sz w:val="24"/>
          <w:szCs w:val="24"/>
          <w:lang w:eastAsia="zh-CN"/>
        </w:rPr>
        <w:t xml:space="preserve">，按照评审得分</w:t>
      </w:r>
      <w:r>
        <w:rPr>
          <w:rFonts w:hint="eastAsia" w:ascii="宋体" w:hAnsi="宋体" w:eastAsia="宋体" w:cs="宋体"/>
          <w:sz w:val="24"/>
          <w:szCs w:val="24"/>
          <w:lang w:val="en-US" w:eastAsia="zh-CN"/>
        </w:rPr>
        <w:t xml:space="preserve">由高到低推荐</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lang w:eastAsia="zh-CN"/>
        </w:rPr>
        <w:t xml:space="preserve">中标候选人。</w:t>
      </w:r>
      <w:r/>
    </w:p>
    <w:p>
      <w:pPr>
        <w:ind w:firstLine="480"/>
        <w:keepLines w:val="0"/>
        <w:keepNext w:val="0"/>
        <w:pageBreakBefore w:val="0"/>
        <w:spacing w:line="360"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eastAsia="zh-CN"/>
        </w:rPr>
        <w:t xml:space="preserve">核心产品评审。多家供应商提供的核心产品品牌相同的，按一家供应商计算，评审后得分最高的同品牌供应商</w:t>
      </w:r>
      <w:r>
        <w:rPr>
          <w:rFonts w:hint="eastAsia" w:ascii="宋体" w:hAnsi="宋体" w:eastAsia="宋体" w:cs="宋体"/>
          <w:color w:val="000000"/>
          <w:sz w:val="24"/>
          <w:szCs w:val="24"/>
          <w:lang w:val="en-US" w:eastAsia="zh-CN"/>
        </w:rPr>
        <w:t xml:space="preserve">获得中标人推荐资格</w:t>
      </w:r>
      <w:r>
        <w:rPr>
          <w:rFonts w:hint="eastAsia" w:ascii="宋体" w:hAnsi="宋体" w:eastAsia="宋体" w:cs="宋体"/>
          <w:color w:val="000000"/>
          <w:sz w:val="24"/>
          <w:szCs w:val="24"/>
          <w:lang w:eastAsia="zh-CN"/>
        </w:rPr>
        <w:t xml:space="preserve">。</w:t>
      </w:r>
      <w:r/>
    </w:p>
    <w:p>
      <w:pPr>
        <w:ind w:firstLine="482"/>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黑体" w:hAnsi="黑体" w:eastAsia="黑体" w:cs="黑体"/>
          <w:b w:val="0"/>
          <w:bCs w:val="0"/>
          <w:color w:val="000000"/>
          <w:sz w:val="24"/>
          <w:szCs w:val="24"/>
          <w:lang w:eastAsia="zh-CN"/>
        </w:rPr>
        <w:t xml:space="preserve">二、</w:t>
      </w:r>
      <w:r>
        <w:rPr>
          <w:rFonts w:hint="eastAsia" w:ascii="宋体" w:hAnsi="宋体" w:eastAsia="宋体" w:cs="宋体"/>
          <w:sz w:val="24"/>
          <w:szCs w:val="24"/>
          <w:lang w:eastAsia="zh-CN"/>
        </w:rPr>
        <w:t xml:space="preserve">政府采购政策功能落实</w:t>
      </w:r>
      <w:r>
        <w:rPr>
          <w:rFonts w:hint="eastAsia" w:ascii="宋体" w:hAnsi="宋体" w:eastAsia="宋体" w:cs="宋体"/>
          <w:b/>
          <w:bCs/>
          <w:sz w:val="24"/>
          <w:szCs w:val="24"/>
          <w:lang w:eastAsia="zh-CN"/>
        </w:rPr>
        <w:t xml:space="preserve">（本项目专门面向中小企业采购，不执行价格扣除政策。）</w:t>
      </w:r>
      <w:r/>
    </w:p>
    <w:p>
      <w:pPr>
        <w:ind w:firstLine="480"/>
        <w:keepLines w:val="0"/>
        <w:keepNext w:val="0"/>
        <w:pageBreakBefore w:val="0"/>
        <w:spacing w:line="240" w:lineRule="auto"/>
        <w:widowControl w:val="off"/>
        <w:rPr>
          <w:rFonts w:hint="eastAsia" w:ascii="黑体" w:hAnsi="黑体" w:eastAsia="黑体" w:cs="黑体"/>
          <w:b w:val="0"/>
          <w:bCs w:val="0"/>
          <w:color w:val="0000ff"/>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三、评标标准</w:t>
      </w:r>
      <w:r/>
    </w:p>
    <w:tbl>
      <w:tblPr>
        <w:tblStyle w:val="996"/>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jc w:val="center"/>
          <w:trHeight w:val="793"/>
          <w:tblHeader/>
        </w:trPr>
        <w:tc>
          <w:tcPr>
            <w:tcW w:w="519" w:type="dxa"/>
            <w:vAlign w:val="top"/>
            <w:textDirection w:val="lrTb"/>
            <w:noWrap w:val="false"/>
          </w:tcPr>
          <w:p>
            <w:pPr>
              <w:jc w:val="center"/>
              <w:keepLines w:val="0"/>
              <w:keepNext w:val="0"/>
              <w:pageBreakBefore w:val="0"/>
              <w:spacing w:before="264" w:line="360" w:lineRule="auto"/>
              <w:widowControl w:val="off"/>
              <w:rPr>
                <w:rFonts w:ascii="宋体" w:hAnsi="宋体" w:eastAsia="宋体" w:cs="宋体"/>
                <w:b/>
                <w:bCs/>
                <w:spacing w:val="-2"/>
              </w:rPr>
            </w:pPr>
            <w:r>
              <w:rPr>
                <w:rFonts w:ascii="宋体" w:hAnsi="宋体" w:eastAsia="宋体" w:cs="宋体"/>
                <w:b/>
                <w:bCs/>
                <w:spacing w:val="-2"/>
              </w:rPr>
              <w:t xml:space="preserve">序号</w:t>
            </w:r>
            <w:r/>
          </w:p>
        </w:tc>
        <w:tc>
          <w:tcPr>
            <w:tcW w:w="1179" w:type="dxa"/>
            <w:vAlign w:val="top"/>
            <w:textDirection w:val="lrTb"/>
            <w:noWrap w:val="false"/>
          </w:tcPr>
          <w:p>
            <w:pPr>
              <w:jc w:val="center"/>
              <w:keepLines w:val="0"/>
              <w:keepNext w:val="0"/>
              <w:pageBreakBefore w:val="0"/>
              <w:spacing w:before="264" w:line="360" w:lineRule="auto"/>
              <w:widowControl w:val="off"/>
              <w:rPr>
                <w:rFonts w:ascii="宋体" w:hAnsi="宋体" w:eastAsia="宋体" w:cs="宋体"/>
                <w:b/>
                <w:bCs/>
                <w:spacing w:val="-2"/>
              </w:rPr>
            </w:pPr>
            <w:r>
              <w:rPr>
                <w:rFonts w:ascii="宋体" w:hAnsi="宋体" w:eastAsia="宋体" w:cs="宋体"/>
                <w:b/>
                <w:bCs/>
                <w:spacing w:val="-2"/>
              </w:rPr>
              <w:t xml:space="preserve">评审因素</w:t>
            </w:r>
            <w:r/>
          </w:p>
        </w:tc>
        <w:tc>
          <w:tcPr>
            <w:tcW w:w="6330" w:type="dxa"/>
            <w:vAlign w:val="top"/>
            <w:textDirection w:val="lrTb"/>
            <w:noWrap w:val="false"/>
          </w:tcPr>
          <w:p>
            <w:pPr>
              <w:jc w:val="center"/>
              <w:keepLines w:val="0"/>
              <w:keepNext w:val="0"/>
              <w:pageBreakBefore w:val="0"/>
              <w:spacing w:before="264" w:line="360" w:lineRule="auto"/>
              <w:widowControl w:val="off"/>
              <w:rPr>
                <w:rFonts w:ascii="宋体" w:hAnsi="宋体" w:eastAsia="宋体" w:cs="宋体"/>
                <w:b/>
                <w:bCs/>
                <w:spacing w:val="-2"/>
              </w:rPr>
            </w:pPr>
            <w:r>
              <w:rPr>
                <w:rFonts w:ascii="宋体" w:hAnsi="宋体" w:eastAsia="宋体" w:cs="宋体"/>
                <w:b/>
                <w:bCs/>
                <w:spacing w:val="-2"/>
              </w:rPr>
              <w:t xml:space="preserve">评审细则</w:t>
            </w:r>
            <w:r/>
          </w:p>
        </w:tc>
        <w:tc>
          <w:tcPr>
            <w:tcW w:w="647" w:type="dxa"/>
            <w:vAlign w:val="top"/>
            <w:textDirection w:val="lrTb"/>
            <w:noWrap w:val="false"/>
          </w:tcPr>
          <w:p>
            <w:pPr>
              <w:jc w:val="center"/>
              <w:keepLines w:val="0"/>
              <w:keepNext w:val="0"/>
              <w:pageBreakBefore w:val="0"/>
              <w:spacing w:before="264" w:line="360" w:lineRule="auto"/>
              <w:widowControl w:val="off"/>
              <w:rPr>
                <w:rFonts w:ascii="宋体" w:hAnsi="宋体" w:eastAsia="宋体" w:cs="宋体"/>
                <w:b/>
                <w:bCs/>
                <w:spacing w:val="-2"/>
              </w:rPr>
            </w:pPr>
            <w:r>
              <w:rPr>
                <w:rFonts w:ascii="宋体" w:hAnsi="宋体" w:eastAsia="宋体" w:cs="宋体"/>
                <w:b/>
                <w:bCs/>
                <w:spacing w:val="-2"/>
              </w:rPr>
              <w:t xml:space="preserve">分值</w:t>
            </w:r>
            <w:r/>
          </w:p>
        </w:tc>
        <w:tc>
          <w:tcPr>
            <w:tcW w:w="900" w:type="dxa"/>
            <w:vAlign w:val="top"/>
            <w:textDirection w:val="lrTb"/>
            <w:noWrap w:val="false"/>
          </w:tcPr>
          <w:p>
            <w:pPr>
              <w:jc w:val="center"/>
              <w:keepLines w:val="0"/>
              <w:keepNext w:val="0"/>
              <w:pageBreakBefore w:val="0"/>
              <w:spacing w:before="264" w:line="360" w:lineRule="auto"/>
              <w:widowControl w:val="off"/>
              <w:rPr>
                <w:rFonts w:ascii="宋体" w:hAnsi="宋体" w:eastAsia="宋体" w:cs="宋体"/>
                <w:b/>
                <w:bCs/>
                <w:spacing w:val="-2"/>
              </w:rPr>
            </w:pPr>
            <w:r>
              <w:rPr>
                <w:rFonts w:ascii="宋体" w:hAnsi="宋体" w:eastAsia="宋体" w:cs="宋体"/>
                <w:b/>
                <w:bCs/>
                <w:spacing w:val="-2"/>
              </w:rPr>
              <w:t xml:space="preserve">类型</w:t>
            </w:r>
            <w:r/>
          </w:p>
        </w:tc>
      </w:tr>
      <w:tr>
        <w:trPr>
          <w:jc w:val="center"/>
          <w:trHeight w:val="460"/>
        </w:trPr>
        <w:tc>
          <w:tcPr>
            <w:gridSpan w:val="5"/>
            <w:tcW w:w="9575" w:type="dxa"/>
            <w:vAlign w:val="top"/>
            <w:textDirection w:val="lrTb"/>
            <w:noWrap w:val="false"/>
          </w:tcPr>
          <w:p>
            <w:pPr>
              <w:ind w:left="114"/>
              <w:keepLines w:val="0"/>
              <w:keepNext w:val="0"/>
              <w:pageBreakBefore w:val="0"/>
              <w:spacing w:before="122" w:line="360" w:lineRule="auto"/>
              <w:widowControl w:val="off"/>
              <w:rPr>
                <w:rFonts w:ascii="宋体" w:hAnsi="宋体" w:eastAsia="宋体" w:cs="宋体"/>
              </w:rPr>
            </w:pPr>
            <w:r>
              <w:rPr>
                <w:rFonts w:hint="eastAsia" w:ascii="宋体" w:hAnsi="宋体" w:eastAsia="宋体" w:cs="宋体"/>
                <w:b/>
                <w:bCs/>
                <w:spacing w:val="-3"/>
                <w:lang w:val="en-US" w:eastAsia="zh-CN"/>
              </w:rPr>
              <w:t xml:space="preserve">1.</w:t>
            </w:r>
            <w:r>
              <w:rPr>
                <w:rFonts w:ascii="宋体" w:hAnsi="宋体" w:eastAsia="宋体" w:cs="宋体"/>
                <w:b/>
                <w:bCs/>
                <w:spacing w:val="-3"/>
              </w:rPr>
              <w:t xml:space="preserve">价</w:t>
            </w:r>
            <w:r>
              <w:rPr>
                <w:rFonts w:ascii="宋体" w:hAnsi="宋体" w:eastAsia="宋体" w:cs="宋体"/>
                <w:b/>
                <w:bCs/>
                <w:spacing w:val="-2"/>
              </w:rPr>
              <w:t xml:space="preserve">格</w:t>
            </w:r>
            <w:r/>
          </w:p>
        </w:tc>
      </w:tr>
      <w:tr>
        <w:trPr>
          <w:jc w:val="center"/>
          <w:trHeight w:val="1030"/>
        </w:trPr>
        <w:tc>
          <w:tcPr>
            <w:tcW w:w="519" w:type="dxa"/>
            <w:vAlign w:val="center"/>
            <w:textDirection w:val="lrTb"/>
            <w:noWrap w:val="false"/>
          </w:tcPr>
          <w:p>
            <w:pPr>
              <w:jc w:val="center"/>
              <w:keepLines w:val="0"/>
              <w:keepNext w:val="0"/>
              <w:pageBreakBefore w:val="0"/>
              <w:spacing w:before="68" w:line="360" w:lineRule="auto"/>
              <w:widowControl w:val="off"/>
              <w:rPr>
                <w:rFonts w:ascii="宋体" w:hAnsi="宋体" w:eastAsia="宋体" w:cs="宋体"/>
              </w:rPr>
            </w:pPr>
            <w:r>
              <w:rPr>
                <w:rFonts w:ascii="宋体" w:hAnsi="宋体" w:eastAsia="宋体" w:cs="宋体"/>
                <w:spacing w:val="-6"/>
              </w:rPr>
              <w:t xml:space="preserve">1</w:t>
            </w:r>
            <w:r>
              <w:rPr>
                <w:rFonts w:ascii="宋体" w:hAnsi="宋体" w:eastAsia="宋体" w:cs="宋体"/>
                <w:spacing w:val="-5"/>
              </w:rPr>
              <w:t xml:space="preserve">.1</w:t>
            </w:r>
            <w:r/>
          </w:p>
        </w:tc>
        <w:tc>
          <w:tcPr>
            <w:tcW w:w="1179" w:type="dxa"/>
            <w:vAlign w:val="center"/>
            <w:textDirection w:val="lrTb"/>
            <w:noWrap w:val="false"/>
          </w:tcPr>
          <w:p>
            <w:pPr>
              <w:jc w:val="left"/>
              <w:keepLines w:val="0"/>
              <w:keepNext w:val="0"/>
              <w:pageBreakBefore w:val="0"/>
              <w:spacing w:before="68" w:line="360" w:lineRule="auto"/>
              <w:widowControl w:val="off"/>
              <w:rPr>
                <w:rFonts w:ascii="宋体" w:hAnsi="宋体" w:eastAsia="宋体" w:cs="宋体"/>
              </w:rPr>
            </w:pPr>
            <w:r>
              <w:rPr>
                <w:rFonts w:ascii="宋体" w:hAnsi="宋体" w:eastAsia="宋体" w:cs="宋体"/>
                <w:spacing w:val="-2"/>
              </w:rPr>
              <w:t xml:space="preserve">价格分</w:t>
            </w:r>
            <w:r/>
          </w:p>
        </w:tc>
        <w:tc>
          <w:tcPr>
            <w:tcW w:w="6330" w:type="dxa"/>
            <w:vAlign w:val="center"/>
            <w:textDirection w:val="lrTb"/>
            <w:noWrap w:val="false"/>
          </w:tcPr>
          <w:p>
            <w:pPr>
              <w:jc w:val="left"/>
              <w:keepLines w:val="0"/>
              <w:keepNext w:val="0"/>
              <w:pageBreakBefore w:val="0"/>
              <w:spacing w:line="360" w:lineRule="auto"/>
              <w:widowControl w:val="off"/>
              <w:rPr>
                <w:rFonts w:ascii="宋体" w:hAnsi="宋体" w:eastAsia="宋体" w:cs="宋体"/>
                <w:lang w:val="en-US" w:eastAsia="zh-CN"/>
              </w:rPr>
            </w:pPr>
            <w:r>
              <w:rPr>
                <w:rFonts w:ascii="宋体" w:hAnsi="宋体" w:eastAsia="宋体" w:cs="宋体"/>
                <w:spacing w:val="1"/>
              </w:rPr>
              <w:t xml:space="preserve">采用低价优先</w:t>
            </w:r>
            <w:r>
              <w:rPr>
                <w:rFonts w:ascii="宋体" w:hAnsi="宋体" w:eastAsia="宋体" w:cs="宋体"/>
              </w:rPr>
              <w:t xml:space="preserve">法计算，即满足招标文件要求且投标价格最低的投标</w:t>
            </w:r>
            <w:r>
              <w:rPr>
                <w:rFonts w:ascii="宋体" w:hAnsi="宋体" w:eastAsia="宋体" w:cs="宋体"/>
                <w:spacing w:val="1"/>
              </w:rPr>
              <w:t xml:space="preserve">报价为评标基准</w:t>
            </w:r>
            <w:r>
              <w:rPr>
                <w:rFonts w:ascii="宋体" w:hAnsi="宋体" w:eastAsia="宋体" w:cs="宋体"/>
              </w:rPr>
              <w:t xml:space="preserve">价，其价格分为满分。其他投标人的价格分统一按</w:t>
            </w:r>
            <w:r>
              <w:rPr>
                <w:rFonts w:ascii="宋体" w:hAnsi="宋体" w:eastAsia="宋体" w:cs="宋体"/>
                <w:spacing w:val="-1"/>
              </w:rPr>
              <w:t xml:space="preserve">照下列公</w:t>
            </w:r>
            <w:r>
              <w:rPr>
                <w:rFonts w:ascii="宋体" w:hAnsi="宋体" w:eastAsia="宋体" w:cs="宋体"/>
              </w:rPr>
              <w:t xml:space="preserve">式计算：投标报价得分=(评标基准价/投标报价)×</w:t>
            </w:r>
            <w:r>
              <w:rPr>
                <w:rFonts w:hint="eastAsia" w:ascii="宋体" w:hAnsi="宋体" w:cs="宋体"/>
                <w:lang w:val="en-US" w:eastAsia="zh-CN"/>
              </w:rPr>
              <w:t xml:space="preserve">30。</w:t>
            </w:r>
            <w:r>
              <w:rPr>
                <w:rFonts w:hint="eastAsia" w:ascii="宋体" w:hAnsi="宋体" w:eastAsia="宋体" w:cs="宋体"/>
                <w:lang w:val="en-US" w:eastAsia="zh-CN"/>
              </w:rPr>
              <w:t xml:space="preserve">（小数点保留两位）</w:t>
            </w:r>
            <w:r/>
          </w:p>
        </w:tc>
        <w:tc>
          <w:tcPr>
            <w:tcW w:w="647" w:type="dxa"/>
            <w:vAlign w:val="center"/>
            <w:textDirection w:val="lrTb"/>
            <w:noWrap w:val="false"/>
          </w:tcPr>
          <w:p>
            <w:pPr>
              <w:jc w:val="center"/>
              <w:keepLines w:val="0"/>
              <w:keepNext w:val="0"/>
              <w:pageBreakBefore w:val="0"/>
              <w:spacing w:before="68" w:line="360" w:lineRule="auto"/>
              <w:widowControl w:val="off"/>
              <w:rPr>
                <w:rFonts w:ascii="宋体" w:hAnsi="宋体" w:eastAsia="宋体" w:cs="宋体"/>
                <w:lang w:val="en-US" w:eastAsia="zh-CN"/>
              </w:rPr>
            </w:pPr>
            <w:r>
              <w:rPr>
                <w:rFonts w:hint="eastAsia" w:ascii="宋体" w:hAnsi="宋体" w:eastAsia="宋体" w:cs="宋体"/>
                <w:lang w:val="en-US" w:eastAsia="zh-CN"/>
              </w:rPr>
              <w:t xml:space="preserve">30</w:t>
            </w:r>
            <w:r/>
          </w:p>
        </w:tc>
        <w:tc>
          <w:tcPr>
            <w:tcW w:w="900" w:type="dxa"/>
            <w:vAlign w:val="center"/>
            <w:textDirection w:val="lrTb"/>
            <w:noWrap w:val="false"/>
          </w:tcPr>
          <w:p>
            <w:pPr>
              <w:jc w:val="center"/>
              <w:keepLines w:val="0"/>
              <w:keepNext w:val="0"/>
              <w:pageBreakBefore w:val="0"/>
              <w:spacing w:before="68" w:line="360" w:lineRule="auto"/>
              <w:widowControl w:val="off"/>
              <w:rPr>
                <w:rFonts w:hint="eastAsia" w:ascii="宋体" w:hAnsi="宋体" w:eastAsia="宋体" w:cs="宋体"/>
                <w:lang w:val="en-US" w:eastAsia="zh-CN"/>
              </w:rPr>
            </w:pPr>
            <w:r>
              <w:rPr>
                <w:rFonts w:ascii="宋体" w:hAnsi="宋体" w:eastAsia="宋体" w:cs="宋体"/>
                <w:lang w:val="en-US" w:eastAsia="zh-CN"/>
              </w:rPr>
              <w:t xml:space="preserve">价格分</w:t>
            </w:r>
            <w:r/>
          </w:p>
        </w:tc>
      </w:tr>
      <w:tr>
        <w:trPr>
          <w:jc w:val="center"/>
          <w:trHeight w:val="460"/>
        </w:trPr>
        <w:tc>
          <w:tcPr>
            <w:gridSpan w:val="5"/>
            <w:tcW w:w="9575" w:type="dxa"/>
            <w:vAlign w:val="top"/>
            <w:textDirection w:val="lrTb"/>
            <w:noWrap w:val="false"/>
          </w:tcPr>
          <w:p>
            <w:pPr>
              <w:ind w:left="114"/>
              <w:keepLines w:val="0"/>
              <w:keepNext w:val="0"/>
              <w:pageBreakBefore w:val="0"/>
              <w:spacing w:before="123" w:line="360" w:lineRule="auto"/>
              <w:widowControl w:val="off"/>
              <w:rPr>
                <w:rFonts w:ascii="宋体" w:hAnsi="宋体" w:eastAsia="宋体" w:cs="宋体"/>
              </w:rPr>
            </w:pPr>
            <w:r>
              <w:rPr>
                <w:rFonts w:hint="eastAsia" w:ascii="宋体" w:hAnsi="宋体" w:eastAsia="宋体" w:cs="宋体"/>
                <w:b/>
                <w:bCs/>
                <w:spacing w:val="-3"/>
                <w:lang w:val="en-US" w:eastAsia="zh-CN"/>
              </w:rPr>
              <w:t xml:space="preserve">2.技术</w:t>
            </w:r>
            <w:r/>
          </w:p>
        </w:tc>
      </w:tr>
      <w:tr>
        <w:trPr>
          <w:jc w:val="center"/>
          <w:trHeight w:val="891"/>
        </w:trPr>
        <w:tc>
          <w:tcPr>
            <w:tcW w:w="519" w:type="dxa"/>
            <w:vAlign w:val="center"/>
            <w:textDirection w:val="lrTb"/>
            <w:noWrap w:val="false"/>
          </w:tcPr>
          <w:p>
            <w:pPr>
              <w:jc w:val="center"/>
              <w:keepLines w:val="0"/>
              <w:keepNext w:val="0"/>
              <w:pageBreakBefore w:val="0"/>
              <w:spacing w:before="68" w:line="360" w:lineRule="auto"/>
              <w:widowControl w:val="off"/>
              <w:rPr>
                <w:rFonts w:ascii="宋体" w:hAnsi="宋体" w:eastAsia="宋体" w:cs="宋体"/>
                <w:spacing w:val="-2"/>
              </w:rPr>
            </w:pPr>
            <w:r>
              <w:rPr>
                <w:rFonts w:ascii="宋体" w:hAnsi="宋体" w:eastAsia="宋体" w:cs="宋体"/>
                <w:spacing w:val="-2"/>
              </w:rPr>
              <w:t xml:space="preserve">2.1</w:t>
            </w:r>
            <w:r/>
          </w:p>
        </w:tc>
        <w:tc>
          <w:tcPr>
            <w:tcW w:w="1179"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0000ff"/>
                <w:spacing w:val="-2"/>
                <w:lang w:eastAsia="zh-CN"/>
              </w:rPr>
            </w:pPr>
            <w:r>
              <w:rPr>
                <w:rFonts w:hint="eastAsia" w:ascii="宋体" w:hAnsi="宋体" w:eastAsia="宋体" w:cs="宋体"/>
                <w:spacing w:val="1"/>
                <w:lang w:eastAsia="zh-CN"/>
              </w:rPr>
              <w:t xml:space="preserve">技术参数响应情况</w:t>
            </w:r>
            <w:r/>
          </w:p>
        </w:tc>
        <w:tc>
          <w:tcPr>
            <w:tcW w:w="6330" w:type="dxa"/>
            <w:vAlign w:val="center"/>
            <w:textDirection w:val="lrTb"/>
            <w:noWrap w:val="false"/>
          </w:tcPr>
          <w:p>
            <w:pPr>
              <w:jc w:val="both"/>
              <w:keepLines w:val="0"/>
              <w:keepNext w:val="0"/>
              <w:pageBreakBefore w:val="0"/>
              <w:spacing w:line="360" w:lineRule="auto"/>
              <w:widowControl w:val="off"/>
              <w:rPr>
                <w:rFonts w:ascii="宋体" w:hAnsi="宋体" w:eastAsia="宋体" w:cs="宋体"/>
                <w:spacing w:val="1"/>
              </w:rPr>
            </w:pPr>
            <w:r>
              <w:rPr>
                <w:rFonts w:hint="eastAsia" w:ascii="宋体" w:hAnsi="宋体" w:eastAsia="宋体" w:cs="宋体"/>
                <w:spacing w:val="1"/>
              </w:rPr>
              <w:t xml:space="preserve">“▲”条款技术要求每负偏离1项，扣</w:t>
            </w:r>
            <w:r>
              <w:rPr>
                <w:rFonts w:hint="eastAsia" w:ascii="宋体" w:hAnsi="宋体" w:eastAsia="宋体" w:cs="宋体"/>
                <w:spacing w:val="1"/>
                <w:lang w:val="en-US" w:eastAsia="zh-CN"/>
              </w:rPr>
              <w:t xml:space="preserve">1</w:t>
            </w:r>
            <w:r>
              <w:rPr>
                <w:rFonts w:hint="eastAsia" w:ascii="宋体" w:hAnsi="宋体" w:eastAsia="宋体" w:cs="宋体"/>
                <w:spacing w:val="1"/>
              </w:rPr>
              <w:t xml:space="preserve">分，扣完为止。（必须满足并以招标文件明确要求的材料为准，提供完整的扫描件加盖投标人公章，未提供有效材料或材料内容辨识不清导致评审时无法确定的，该内容按负偏离处理。）</w:t>
            </w:r>
            <w:r/>
          </w:p>
        </w:tc>
        <w:tc>
          <w:tcPr>
            <w:tcW w:w="647" w:type="dxa"/>
            <w:vAlign w:val="center"/>
            <w:textDirection w:val="lrTb"/>
            <w:noWrap w:val="false"/>
          </w:tcPr>
          <w:p>
            <w:pPr>
              <w:jc w:val="center"/>
              <w:keepLines w:val="0"/>
              <w:keepNext w:val="0"/>
              <w:pageBreakBefore w:val="0"/>
              <w:spacing w:before="68" w:line="360" w:lineRule="auto"/>
              <w:widowControl w:val="off"/>
              <w:rPr>
                <w:rFonts w:hint="default" w:ascii="宋体" w:hAnsi="宋体" w:eastAsia="宋体" w:cs="宋体"/>
                <w:lang w:val="en-US" w:eastAsia="zh-CN"/>
              </w:rPr>
            </w:pPr>
            <w:r>
              <w:rPr>
                <w:rFonts w:hint="eastAsia" w:ascii="宋体" w:hAnsi="宋体" w:cs="宋体"/>
                <w:lang w:val="en-US" w:eastAsia="zh-CN"/>
              </w:rPr>
              <w:t xml:space="preserve">25</w:t>
            </w:r>
            <w:r/>
          </w:p>
        </w:tc>
        <w:tc>
          <w:tcPr>
            <w:tcW w:w="900" w:type="dxa"/>
            <w:vAlign w:val="center"/>
            <w:textDirection w:val="lrTb"/>
            <w:noWrap w:val="false"/>
          </w:tcPr>
          <w:p>
            <w:pPr>
              <w:jc w:val="center"/>
              <w:keepLines w:val="0"/>
              <w:keepNext w:val="0"/>
              <w:pageBreakBefore w:val="0"/>
              <w:spacing w:before="68" w:line="360" w:lineRule="auto"/>
              <w:widowControl w:val="off"/>
              <w:rPr>
                <w:rFonts w:hint="eastAsia" w:ascii="宋体" w:hAnsi="宋体" w:eastAsia="宋体" w:cs="宋体"/>
                <w:lang w:eastAsia="zh-CN"/>
              </w:rPr>
            </w:pPr>
            <w:r>
              <w:rPr>
                <w:rFonts w:hint="eastAsia" w:ascii="宋体" w:hAnsi="宋体" w:eastAsia="宋体" w:cs="宋体"/>
                <w:spacing w:val="-6"/>
                <w:lang w:eastAsia="zh-CN"/>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p>
        </w:tc>
      </w:tr>
      <w:tr>
        <w:trPr>
          <w:jc w:val="center"/>
          <w:trHeight w:val="562"/>
        </w:trPr>
        <w:tc>
          <w:tcPr>
            <w:tcW w:w="519" w:type="dxa"/>
            <w:vAlign w:val="center"/>
            <w:textDirection w:val="lrTb"/>
            <w:noWrap w:val="false"/>
          </w:tcPr>
          <w:p>
            <w:pPr>
              <w:jc w:val="center"/>
              <w:keepLines w:val="0"/>
              <w:keepNext w:val="0"/>
              <w:pageBreakBefore w:val="0"/>
              <w:spacing w:before="68" w:line="360" w:lineRule="auto"/>
              <w:widowControl w:val="off"/>
              <w:rPr>
                <w:rFonts w:hint="eastAsia" w:ascii="宋体" w:hAnsi="宋体" w:eastAsia="宋体" w:cs="宋体"/>
                <w:spacing w:val="-2"/>
                <w:sz w:val="21"/>
                <w:szCs w:val="22"/>
                <w:highlight w:val="none"/>
                <w:lang w:val="en-US" w:eastAsia="zh-CN" w:bidi="ar-SA"/>
              </w:rPr>
            </w:pPr>
            <w:r>
              <w:rPr>
                <w:rFonts w:hint="eastAsia" w:ascii="宋体" w:hAnsi="宋体" w:eastAsia="宋体" w:cs="宋体"/>
                <w:spacing w:val="-2"/>
                <w:highlight w:val="none"/>
                <w:lang w:val="en-US" w:eastAsia="zh-CN"/>
              </w:rPr>
              <w:t xml:space="preserve">2.</w:t>
            </w:r>
            <w:r>
              <w:rPr>
                <w:rFonts w:hint="eastAsia" w:ascii="宋体" w:hAnsi="宋体" w:cs="宋体"/>
                <w:spacing w:val="-2"/>
                <w:highlight w:val="none"/>
                <w:lang w:val="en-US" w:eastAsia="zh-CN"/>
              </w:rPr>
              <w:t xml:space="preserve">2</w:t>
            </w:r>
            <w:r/>
          </w:p>
        </w:tc>
        <w:tc>
          <w:tcPr>
            <w:tcW w:w="1179"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spacing w:val="1"/>
                <w:lang w:val="en-US" w:eastAsia="zh-CN"/>
              </w:rPr>
            </w:pPr>
            <w:r>
              <w:rPr>
                <w:rFonts w:hint="eastAsia" w:ascii="宋体" w:hAnsi="宋体" w:eastAsia="宋体" w:cs="宋体"/>
                <w:spacing w:val="1"/>
              </w:rPr>
              <w:t xml:space="preserve">样品</w:t>
            </w:r>
            <w:r>
              <w:rPr>
                <w:rFonts w:hint="eastAsia" w:ascii="宋体" w:hAnsi="宋体" w:eastAsia="宋体" w:cs="宋体"/>
                <w:spacing w:val="1"/>
                <w:lang w:val="en-US" w:eastAsia="zh-CN"/>
              </w:rPr>
              <w:t xml:space="preserve">1</w:t>
            </w:r>
            <w:r/>
          </w:p>
        </w:tc>
        <w:tc>
          <w:tcPr>
            <w:tcW w:w="6330"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spacing w:val="1"/>
              </w:rPr>
            </w:pPr>
            <w:r>
              <w:rPr>
                <w:rFonts w:hint="eastAsia" w:ascii="宋体" w:hAnsi="宋体" w:eastAsia="宋体" w:cs="宋体"/>
                <w:spacing w:val="1"/>
              </w:rPr>
              <w:t xml:space="preserve">非接触式测温净手一体机</w:t>
            </w:r>
            <w:r/>
          </w:p>
          <w:p>
            <w:pPr>
              <w:jc w:val="both"/>
              <w:keepLines w:val="0"/>
              <w:keepNext w:val="0"/>
              <w:pageBreakBefore w:val="0"/>
              <w:spacing w:line="360" w:lineRule="auto"/>
              <w:widowControl w:val="off"/>
              <w:rPr>
                <w:rFonts w:hint="default" w:ascii="宋体" w:hAnsi="宋体" w:eastAsia="宋体" w:cs="宋体"/>
                <w:spacing w:val="1"/>
              </w:rPr>
            </w:pPr>
            <w:r>
              <w:rPr>
                <w:rFonts w:hint="eastAsia" w:ascii="宋体" w:hAnsi="宋体" w:eastAsia="宋体" w:cs="宋体"/>
                <w:spacing w:val="1"/>
              </w:rPr>
              <w:t xml:space="preserve">材质/规格（2分）：样品选材、规格尺寸完全符合技术参数要求的得2分；部分满足技术参数要求的得1分；不满足技术参数要求或未提供样品的不得分。</w:t>
            </w:r>
            <w:r/>
          </w:p>
          <w:p>
            <w:pPr>
              <w:jc w:val="both"/>
              <w:keepLines w:val="0"/>
              <w:keepNext w:val="0"/>
              <w:pageBreakBefore w:val="0"/>
              <w:spacing w:line="360" w:lineRule="auto"/>
              <w:widowControl w:val="off"/>
              <w:rPr>
                <w:rFonts w:hint="default" w:ascii="宋体" w:hAnsi="宋体" w:eastAsia="宋体" w:cs="宋体"/>
                <w:spacing w:val="1"/>
              </w:rPr>
            </w:pPr>
            <w:r>
              <w:rPr>
                <w:rFonts w:hint="eastAsia" w:ascii="宋体" w:hAnsi="宋体" w:eastAsia="宋体" w:cs="宋体"/>
                <w:spacing w:val="1"/>
              </w:rPr>
              <w:t xml:space="preserve">款式/功能（2分）：样品实用功能完全符合技术参数要求的得2分；部分满足技术参数要求的得1分；不满足技术参数要求或未提供样品的不得分。</w:t>
            </w:r>
            <w:r/>
          </w:p>
          <w:p>
            <w:pPr>
              <w:jc w:val="both"/>
              <w:keepLines w:val="0"/>
              <w:keepNext w:val="0"/>
              <w:pageBreakBefore w:val="0"/>
              <w:spacing w:line="360" w:lineRule="auto"/>
              <w:widowControl w:val="off"/>
              <w:rPr>
                <w:rFonts w:hint="eastAsia" w:ascii="宋体" w:hAnsi="宋体" w:eastAsia="宋体" w:cs="宋体"/>
                <w:spacing w:val="1"/>
                <w:lang w:val="zh-CN" w:eastAsia="zh-CN"/>
              </w:rPr>
            </w:pPr>
            <w:r>
              <w:rPr>
                <w:rFonts w:hint="eastAsia" w:ascii="宋体" w:hAnsi="宋体" w:eastAsia="宋体" w:cs="宋体"/>
                <w:spacing w:val="1"/>
              </w:rPr>
              <w:t xml:space="preserve">工艺/结构（2分）：样品工艺精细、结构结实耐用完全符合技术参数要求的得2分；部分满足技术参数要求的得1分；不满足技术参数要求或未提供样品的不得分。</w:t>
            </w:r>
            <w:r/>
          </w:p>
        </w:tc>
        <w:tc>
          <w:tcPr>
            <w:tcW w:w="647" w:type="dxa"/>
            <w:vAlign w:val="center"/>
            <w:textDirection w:val="lrTb"/>
            <w:noWrap w:val="false"/>
          </w:tcPr>
          <w:p>
            <w:pPr>
              <w:jc w:val="center"/>
              <w:widowControl/>
              <w:rPr>
                <w:rFonts w:hint="eastAsia" w:ascii="宋体" w:hAnsi="宋体" w:eastAsia="宋体" w:cs="宋体"/>
                <w:sz w:val="21"/>
                <w:szCs w:val="22"/>
                <w:highlight w:val="none"/>
                <w:lang w:val="en-US" w:eastAsia="zh-CN" w:bidi="ar-SA"/>
              </w:rPr>
            </w:pPr>
            <w:r>
              <w:rPr>
                <w:rFonts w:hint="eastAsia" w:ascii="宋体" w:hAnsi="宋体" w:eastAsia="宋体" w:cs="宋体"/>
                <w:b w:val="0"/>
                <w:bCs w:val="0"/>
                <w:sz w:val="18"/>
                <w:szCs w:val="18"/>
              </w:rPr>
              <w:t xml:space="preserve">6</w:t>
            </w:r>
            <w:r/>
          </w:p>
        </w:tc>
        <w:tc>
          <w:tcPr>
            <w:tcW w:w="900" w:type="dxa"/>
            <w:vAlign w:val="center"/>
            <w:textDirection w:val="lrTb"/>
            <w:noWrap w:val="false"/>
          </w:tcPr>
          <w:p>
            <w:pPr>
              <w:jc w:val="center"/>
              <w:keepLines w:val="0"/>
              <w:keepNext w:val="0"/>
              <w:pageBreakBefore w:val="0"/>
              <w:spacing w:before="68" w:line="360" w:lineRule="auto"/>
              <w:widowControl w:val="off"/>
              <w:rPr>
                <w:rFonts w:hint="eastAsia" w:ascii="宋体" w:hAnsi="宋体" w:eastAsia="宋体" w:cs="宋体"/>
                <w:spacing w:val="-6"/>
                <w:sz w:val="21"/>
                <w:szCs w:val="22"/>
                <w:highlight w:val="none"/>
                <w:lang w:val="en-US" w:eastAsia="zh-CN" w:bidi="ar-SA"/>
              </w:rPr>
            </w:pPr>
            <w:r>
              <w:rPr>
                <w:rFonts w:hint="eastAsia" w:ascii="宋体" w:hAnsi="宋体" w:eastAsia="宋体" w:cs="宋体"/>
                <w:spacing w:val="-6"/>
                <w:lang w:val="en-US" w:eastAsia="zh-CN"/>
              </w:rPr>
              <w:t xml:space="preserve">主</w:t>
            </w:r>
            <w:r>
              <w:rPr>
                <w:rFonts w:ascii="宋体" w:hAnsi="宋体" w:eastAsia="宋体" w:cs="宋体"/>
                <w:spacing w:val="-4"/>
              </w:rPr>
              <w:t xml:space="preserve">观</w:t>
            </w:r>
            <w:r>
              <w:rPr>
                <w:rFonts w:hint="eastAsia" w:ascii="宋体" w:hAnsi="宋体" w:eastAsia="宋体" w:cs="宋体"/>
                <w:spacing w:val="-4"/>
                <w:lang w:eastAsia="zh-CN"/>
              </w:rPr>
              <w:t xml:space="preserve">分</w:t>
            </w:r>
            <w:r/>
          </w:p>
        </w:tc>
      </w:tr>
      <w:tr>
        <w:trPr>
          <w:jc w:val="center"/>
          <w:trHeight w:val="3802"/>
        </w:trPr>
        <w:tc>
          <w:tcPr>
            <w:tcW w:w="519" w:type="dxa"/>
            <w:vAlign w:val="center"/>
            <w:textDirection w:val="lrTb"/>
            <w:noWrap w:val="false"/>
          </w:tcPr>
          <w:p>
            <w:pPr>
              <w:jc w:val="center"/>
              <w:keepLines w:val="0"/>
              <w:keepNext w:val="0"/>
              <w:pageBreakBefore w:val="0"/>
              <w:spacing w:before="68" w:line="360" w:lineRule="auto"/>
              <w:widowControl w:val="off"/>
              <w:rPr>
                <w:rFonts w:hint="default" w:ascii="宋体" w:hAnsi="宋体" w:eastAsia="宋体" w:cs="宋体"/>
                <w:spacing w:val="-2"/>
                <w:highlight w:val="none"/>
                <w:lang w:val="en-US" w:eastAsia="zh-CN"/>
              </w:rPr>
            </w:pPr>
            <w:r>
              <w:rPr>
                <w:rFonts w:hint="eastAsia" w:ascii="宋体" w:hAnsi="宋体" w:cs="宋体"/>
                <w:spacing w:val="-2"/>
                <w:highlight w:val="none"/>
                <w:lang w:val="en-US" w:eastAsia="zh-CN"/>
              </w:rPr>
              <w:t xml:space="preserve">2.3</w:t>
            </w:r>
            <w:r/>
          </w:p>
        </w:tc>
        <w:tc>
          <w:tcPr>
            <w:tcW w:w="1179"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spacing w:val="1"/>
                <w:lang w:val="en-US" w:eastAsia="zh-CN"/>
              </w:rPr>
            </w:pPr>
            <w:r>
              <w:rPr>
                <w:rFonts w:hint="eastAsia" w:ascii="宋体" w:hAnsi="宋体" w:eastAsia="宋体" w:cs="宋体"/>
                <w:spacing w:val="1"/>
              </w:rPr>
              <w:t xml:space="preserve">样品</w:t>
            </w:r>
            <w:r>
              <w:rPr>
                <w:rFonts w:hint="eastAsia" w:ascii="宋体" w:hAnsi="宋体" w:eastAsia="宋体" w:cs="宋体"/>
                <w:spacing w:val="1"/>
                <w:lang w:val="en-US" w:eastAsia="zh-CN"/>
              </w:rPr>
              <w:t xml:space="preserve">2</w:t>
            </w:r>
            <w:r/>
          </w:p>
        </w:tc>
        <w:tc>
          <w:tcPr>
            <w:tcW w:w="6330"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spacing w:val="1"/>
              </w:rPr>
            </w:pPr>
            <w:r>
              <w:rPr>
                <w:rFonts w:hint="eastAsia" w:ascii="宋体" w:hAnsi="宋体" w:eastAsia="宋体" w:cs="宋体"/>
                <w:spacing w:val="1"/>
              </w:rPr>
              <w:t xml:space="preserve">会议椅（带桌板）</w:t>
            </w:r>
            <w:r/>
          </w:p>
          <w:p>
            <w:pPr>
              <w:jc w:val="both"/>
              <w:keepLines w:val="0"/>
              <w:keepNext w:val="0"/>
              <w:pageBreakBefore w:val="0"/>
              <w:spacing w:line="360" w:lineRule="auto"/>
              <w:widowControl w:val="off"/>
              <w:rPr>
                <w:rFonts w:hint="default" w:ascii="宋体" w:hAnsi="宋体" w:eastAsia="宋体" w:cs="宋体"/>
                <w:spacing w:val="1"/>
              </w:rPr>
            </w:pPr>
            <w:r>
              <w:rPr>
                <w:rFonts w:hint="eastAsia" w:ascii="宋体" w:hAnsi="宋体" w:eastAsia="宋体" w:cs="宋体"/>
                <w:spacing w:val="1"/>
              </w:rPr>
              <w:t xml:space="preserve">材质/规格（2分）：样品选材、规格尺寸完全符合技术参数要求的得2分；部分满足技术参数要求的得1分；不满足技术参数要求或未提供样品的不得分。</w:t>
            </w:r>
            <w:r/>
          </w:p>
          <w:p>
            <w:pPr>
              <w:jc w:val="both"/>
              <w:keepLines w:val="0"/>
              <w:keepNext w:val="0"/>
              <w:pageBreakBefore w:val="0"/>
              <w:spacing w:line="360" w:lineRule="auto"/>
              <w:widowControl w:val="off"/>
              <w:rPr>
                <w:rFonts w:hint="default" w:ascii="宋体" w:hAnsi="宋体" w:eastAsia="宋体" w:cs="宋体"/>
                <w:spacing w:val="1"/>
              </w:rPr>
            </w:pPr>
            <w:r>
              <w:rPr>
                <w:rFonts w:hint="eastAsia" w:ascii="宋体" w:hAnsi="宋体" w:eastAsia="宋体" w:cs="宋体"/>
                <w:spacing w:val="1"/>
              </w:rPr>
              <w:t xml:space="preserve">款式/功能（2分）：样品实用功能完全符合技术参数要求的得2分；部分满足技术参数要求的得1分；不满足技术参数要求或未提供样品的不得分。</w:t>
            </w:r>
            <w:r/>
          </w:p>
          <w:p>
            <w:pPr>
              <w:jc w:val="both"/>
              <w:keepLines w:val="0"/>
              <w:keepNext w:val="0"/>
              <w:pageBreakBefore w:val="0"/>
              <w:spacing w:line="360" w:lineRule="auto"/>
              <w:widowControl w:val="off"/>
              <w:rPr>
                <w:rFonts w:hint="eastAsia" w:ascii="宋体" w:hAnsi="宋体" w:eastAsia="宋体" w:cs="宋体"/>
                <w:spacing w:val="1"/>
                <w:lang w:val="zh-CN" w:eastAsia="zh-CN"/>
              </w:rPr>
            </w:pPr>
            <w:r>
              <w:rPr>
                <w:rFonts w:hint="eastAsia" w:ascii="宋体" w:hAnsi="宋体" w:eastAsia="宋体" w:cs="宋体"/>
                <w:spacing w:val="1"/>
              </w:rPr>
              <w:t xml:space="preserve">工艺/结构（2分）：样品工艺精细、结构结实耐用完全符合技术参数要求的得2分；部分满足技术参数要求的得1分；不满足技术参数要求或未提供样品的不得分。</w:t>
            </w:r>
            <w:r/>
          </w:p>
        </w:tc>
        <w:tc>
          <w:tcPr>
            <w:tcW w:w="647" w:type="dxa"/>
            <w:vAlign w:val="center"/>
            <w:textDirection w:val="lrTb"/>
            <w:noWrap w:val="false"/>
          </w:tcPr>
          <w:p>
            <w:pPr>
              <w:jc w:val="center"/>
              <w:widowControl/>
              <w:rPr>
                <w:rFonts w:hint="eastAsia" w:ascii="宋体" w:hAnsi="宋体" w:cs="宋体"/>
                <w:highlight w:val="none"/>
                <w:lang w:val="en-US" w:eastAsia="zh-CN"/>
              </w:rPr>
            </w:pPr>
            <w:r>
              <w:rPr>
                <w:rFonts w:hint="eastAsia" w:ascii="宋体" w:hAnsi="宋体" w:eastAsia="宋体" w:cs="宋体"/>
                <w:b w:val="0"/>
                <w:bCs w:val="0"/>
                <w:sz w:val="18"/>
                <w:szCs w:val="18"/>
              </w:rPr>
              <w:t xml:space="preserve">6</w:t>
            </w:r>
            <w:r/>
          </w:p>
        </w:tc>
        <w:tc>
          <w:tcPr>
            <w:tcW w:w="900" w:type="dxa"/>
            <w:vAlign w:val="center"/>
            <w:textDirection w:val="lrTb"/>
            <w:noWrap w:val="false"/>
          </w:tcPr>
          <w:p>
            <w:pPr>
              <w:jc w:val="center"/>
              <w:keepLines w:val="0"/>
              <w:keepNext w:val="0"/>
              <w:pageBreakBefore w:val="0"/>
              <w:spacing w:before="68" w:line="360" w:lineRule="auto"/>
              <w:widowControl w:val="off"/>
              <w:rPr>
                <w:rFonts w:hint="eastAsia" w:ascii="宋体" w:hAnsi="宋体" w:eastAsia="宋体" w:cs="宋体"/>
                <w:spacing w:val="-6"/>
                <w:highlight w:val="none"/>
                <w:lang w:eastAsia="zh-CN"/>
              </w:rPr>
            </w:pPr>
            <w:r>
              <w:rPr>
                <w:rFonts w:hint="eastAsia" w:ascii="宋体" w:hAnsi="宋体" w:eastAsia="宋体" w:cs="宋体"/>
                <w:spacing w:val="-6"/>
                <w:lang w:val="en-US" w:eastAsia="zh-CN"/>
              </w:rPr>
              <w:t xml:space="preserve">主</w:t>
            </w:r>
            <w:r>
              <w:rPr>
                <w:rFonts w:ascii="宋体" w:hAnsi="宋体" w:eastAsia="宋体" w:cs="宋体"/>
                <w:spacing w:val="-4"/>
              </w:rPr>
              <w:t xml:space="preserve">观</w:t>
            </w:r>
            <w:r>
              <w:rPr>
                <w:rFonts w:hint="eastAsia" w:ascii="宋体" w:hAnsi="宋体" w:eastAsia="宋体" w:cs="宋体"/>
                <w:spacing w:val="-4"/>
                <w:lang w:eastAsia="zh-CN"/>
              </w:rPr>
              <w:t xml:space="preserve">分</w:t>
            </w:r>
            <w:r/>
          </w:p>
        </w:tc>
      </w:tr>
      <w:tr>
        <w:trPr>
          <w:jc w:val="center"/>
          <w:trHeight w:val="2275"/>
        </w:trPr>
        <w:tc>
          <w:tcPr>
            <w:tcW w:w="519" w:type="dxa"/>
            <w:vAlign w:val="center"/>
            <w:textDirection w:val="lrTb"/>
            <w:noWrap w:val="false"/>
          </w:tcPr>
          <w:p>
            <w:pPr>
              <w:jc w:val="center"/>
              <w:keepLines w:val="0"/>
              <w:keepNext w:val="0"/>
              <w:pageBreakBefore w:val="0"/>
              <w:spacing w:before="68" w:line="360" w:lineRule="auto"/>
              <w:widowControl w:val="off"/>
              <w:rPr>
                <w:rFonts w:hint="default" w:ascii="宋体" w:hAnsi="宋体" w:cs="宋体"/>
                <w:spacing w:val="-2"/>
                <w:highlight w:val="none"/>
                <w:lang w:val="en-US" w:eastAsia="zh-CN"/>
              </w:rPr>
            </w:pPr>
            <w:r>
              <w:rPr>
                <w:rFonts w:hint="eastAsia" w:ascii="宋体" w:hAnsi="宋体" w:cs="宋体"/>
                <w:spacing w:val="-2"/>
                <w:highlight w:val="none"/>
                <w:lang w:val="en-US" w:eastAsia="zh-CN"/>
              </w:rPr>
              <w:t xml:space="preserve">2.4</w:t>
            </w:r>
            <w:r/>
          </w:p>
        </w:tc>
        <w:tc>
          <w:tcPr>
            <w:tcW w:w="1179"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spacing w:val="1"/>
              </w:rPr>
            </w:pPr>
            <w:r>
              <w:rPr>
                <w:rFonts w:hint="eastAsia" w:ascii="宋体" w:hAnsi="宋体" w:eastAsia="宋体" w:cs="宋体"/>
                <w:spacing w:val="1"/>
                <w:lang w:val="en-US" w:eastAsia="zh-CN"/>
              </w:rPr>
              <w:t xml:space="preserve">产品设计</w:t>
            </w:r>
            <w:r>
              <w:rPr>
                <w:rFonts w:hint="eastAsia" w:ascii="宋体" w:hAnsi="宋体" w:eastAsia="宋体" w:cs="宋体"/>
                <w:spacing w:val="1"/>
              </w:rPr>
              <w:t xml:space="preserve">方案</w:t>
            </w:r>
            <w:r/>
          </w:p>
        </w:tc>
        <w:tc>
          <w:tcPr>
            <w:tcW w:w="6330"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spacing w:val="1"/>
              </w:rPr>
            </w:pPr>
            <w:r>
              <w:rPr>
                <w:rFonts w:hint="eastAsia" w:ascii="宋体" w:hAnsi="宋体" w:eastAsia="宋体" w:cs="宋体"/>
                <w:spacing w:val="1"/>
              </w:rPr>
              <w:t xml:space="preserve">投标人针对本项目</w:t>
            </w:r>
            <w:r>
              <w:rPr>
                <w:rFonts w:hint="eastAsia" w:ascii="宋体" w:hAnsi="宋体" w:eastAsia="宋体" w:cs="宋体"/>
                <w:spacing w:val="1"/>
                <w:lang w:val="en-US" w:eastAsia="zh-CN"/>
              </w:rPr>
              <w:t xml:space="preserve">的</w:t>
            </w:r>
            <w:r>
              <w:rPr>
                <w:rFonts w:hint="eastAsia" w:ascii="宋体" w:hAnsi="宋体" w:eastAsia="宋体" w:cs="宋体"/>
                <w:spacing w:val="1"/>
                <w:lang w:eastAsia="zh-CN"/>
              </w:rPr>
              <w:t xml:space="preserve">“</w:t>
            </w:r>
            <w:r>
              <w:rPr>
                <w:rFonts w:hint="eastAsia" w:ascii="宋体" w:hAnsi="宋体" w:eastAsia="宋体" w:cs="宋体"/>
                <w:spacing w:val="1"/>
                <w:lang w:val="en-US" w:eastAsia="zh-CN"/>
              </w:rPr>
              <w:t xml:space="preserve">中型玩具（产品清单序号103）”</w:t>
            </w:r>
            <w:r>
              <w:rPr>
                <w:rFonts w:hint="eastAsia" w:ascii="宋体" w:hAnsi="宋体" w:eastAsia="宋体" w:cs="宋体"/>
                <w:spacing w:val="1"/>
              </w:rPr>
              <w:t xml:space="preserve">提供①三视图、②装配图、③用材配置表，图纸内容、用材说明、结构合理全面符合采购需求的得</w:t>
            </w:r>
            <w:r>
              <w:rPr>
                <w:rFonts w:hint="eastAsia" w:ascii="宋体" w:hAnsi="宋体" w:cs="宋体"/>
                <w:spacing w:val="1"/>
                <w:lang w:val="en-US" w:eastAsia="zh-CN"/>
              </w:rPr>
              <w:t xml:space="preserve">6</w:t>
            </w:r>
            <w:r>
              <w:rPr>
                <w:rFonts w:hint="eastAsia" w:ascii="宋体" w:hAnsi="宋体" w:eastAsia="宋体" w:cs="宋体"/>
                <w:spacing w:val="1"/>
              </w:rPr>
              <w:t xml:space="preserve">分，每有一项内容缺失的扣2分；每有一项内容存在缺陷或不满足要求的扣1分，扣完为止。</w:t>
            </w:r>
            <w:r/>
          </w:p>
        </w:tc>
        <w:tc>
          <w:tcPr>
            <w:tcW w:w="64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pacing w:val="1"/>
              </w:rPr>
            </w:pPr>
            <w:r>
              <w:rPr>
                <w:rFonts w:hint="eastAsia" w:ascii="宋体" w:hAnsi="宋体" w:cs="宋体"/>
                <w:spacing w:val="1"/>
                <w:lang w:val="en-US" w:eastAsia="zh-CN"/>
              </w:rPr>
              <w:t xml:space="preserve">6</w:t>
            </w:r>
            <w:r/>
          </w:p>
        </w:tc>
        <w:tc>
          <w:tcPr>
            <w:tcW w:w="900" w:type="dxa"/>
            <w:vAlign w:val="center"/>
            <w:textDirection w:val="lrTb"/>
            <w:noWrap w:val="false"/>
          </w:tcPr>
          <w:p>
            <w:pPr>
              <w:jc w:val="center"/>
              <w:keepLines w:val="0"/>
              <w:keepNext w:val="0"/>
              <w:pageBreakBefore w:val="0"/>
              <w:spacing w:before="68" w:line="360" w:lineRule="auto"/>
              <w:widowControl w:val="off"/>
              <w:rPr>
                <w:rFonts w:hint="eastAsia" w:ascii="宋体" w:hAnsi="宋体" w:eastAsia="宋体" w:cs="宋体"/>
                <w:spacing w:val="-6"/>
                <w:highlight w:val="none"/>
                <w:lang w:eastAsia="zh-CN"/>
              </w:rPr>
            </w:pPr>
            <w:r>
              <w:rPr>
                <w:rFonts w:hint="eastAsia" w:ascii="宋体" w:hAnsi="宋体" w:eastAsia="宋体" w:cs="宋体"/>
                <w:spacing w:val="-6"/>
                <w:lang w:val="en-US" w:eastAsia="zh-CN"/>
              </w:rPr>
              <w:t xml:space="preserve">主</w:t>
            </w:r>
            <w:r>
              <w:rPr>
                <w:rFonts w:ascii="宋体" w:hAnsi="宋体" w:eastAsia="宋体" w:cs="宋体"/>
                <w:spacing w:val="-4"/>
              </w:rPr>
              <w:t xml:space="preserve">观</w:t>
            </w:r>
            <w:r>
              <w:rPr>
                <w:rFonts w:hint="eastAsia" w:ascii="宋体" w:hAnsi="宋体" w:eastAsia="宋体" w:cs="宋体"/>
                <w:spacing w:val="-4"/>
                <w:lang w:eastAsia="zh-CN"/>
              </w:rPr>
              <w:t xml:space="preserve">分</w:t>
            </w:r>
            <w:r/>
          </w:p>
        </w:tc>
      </w:tr>
      <w:tr>
        <w:trPr>
          <w:jc w:val="center"/>
          <w:trHeight w:val="472"/>
        </w:trPr>
        <w:tc>
          <w:tcPr>
            <w:gridSpan w:val="5"/>
            <w:tcW w:w="9575" w:type="dxa"/>
            <w:vAlign w:val="center"/>
            <w:textDirection w:val="lrTb"/>
            <w:noWrap w:val="false"/>
          </w:tcPr>
          <w:p>
            <w:pPr>
              <w:jc w:val="both"/>
              <w:keepLines w:val="0"/>
              <w:keepNext w:val="0"/>
              <w:pageBreakBefore w:val="0"/>
              <w:spacing w:before="68" w:line="360" w:lineRule="auto"/>
              <w:widowControl w:val="off"/>
              <w:rPr>
                <w:rFonts w:hint="eastAsia" w:ascii="宋体" w:hAnsi="宋体" w:eastAsia="宋体" w:cs="宋体"/>
                <w:lang w:eastAsia="zh-CN"/>
              </w:rPr>
            </w:pPr>
            <w:r>
              <w:rPr>
                <w:rFonts w:hint="eastAsia" w:ascii="宋体" w:hAnsi="宋体" w:eastAsia="宋体" w:cs="宋体"/>
                <w:b/>
                <w:bCs/>
                <w:spacing w:val="-3"/>
                <w:lang w:val="en-US" w:eastAsia="zh-CN"/>
              </w:rPr>
              <w:t xml:space="preserve">3.服务</w:t>
            </w:r>
            <w:r/>
          </w:p>
        </w:tc>
      </w:tr>
      <w:tr>
        <w:trPr>
          <w:jc w:val="center"/>
          <w:trHeight w:val="90"/>
        </w:trPr>
        <w:tc>
          <w:tcPr>
            <w:tcW w:w="519" w:type="dxa"/>
            <w:vAlign w:val="center"/>
            <w:textDirection w:val="lrTb"/>
            <w:noWrap w:val="false"/>
          </w:tcPr>
          <w:p>
            <w:pPr>
              <w:jc w:val="center"/>
              <w:keepLines w:val="0"/>
              <w:keepNext w:val="0"/>
              <w:pageBreakBefore w:val="0"/>
              <w:spacing w:before="68" w:line="360" w:lineRule="auto"/>
              <w:widowControl w:val="off"/>
              <w:rPr>
                <w:rFonts w:ascii="宋体" w:hAnsi="宋体" w:eastAsia="宋体" w:cs="宋体"/>
                <w:spacing w:val="-2"/>
                <w:lang w:val="en-US" w:eastAsia="zh-CN"/>
              </w:rPr>
            </w:pPr>
            <w:r>
              <w:rPr>
                <w:rFonts w:hint="eastAsia" w:ascii="宋体" w:hAnsi="宋体" w:eastAsia="宋体" w:cs="宋体"/>
                <w:spacing w:val="-2"/>
                <w:lang w:val="en-US" w:eastAsia="zh-CN"/>
              </w:rPr>
              <w:t xml:space="preserve">3.1</w:t>
            </w:r>
            <w:r/>
          </w:p>
        </w:tc>
        <w:tc>
          <w:tcPr>
            <w:shd w:val="clear" w:color="auto" w:fill="auto"/>
            <w:tcW w:w="1179"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spacing w:val="1"/>
                <w:lang w:val="en-US" w:eastAsia="zh-CN"/>
              </w:rPr>
            </w:pPr>
            <w:r>
              <w:rPr>
                <w:rFonts w:hint="eastAsia" w:ascii="宋体" w:hAnsi="宋体" w:eastAsia="宋体" w:cs="宋体"/>
                <w:spacing w:val="1"/>
                <w:lang w:val="en-US" w:eastAsia="zh-CN"/>
              </w:rPr>
              <w:t xml:space="preserve">项目实施进度计划</w:t>
            </w:r>
            <w:r/>
          </w:p>
        </w:tc>
        <w:tc>
          <w:tcPr>
            <w:shd w:val="clear" w:color="auto" w:fill="auto"/>
            <w:tcW w:w="6330" w:type="dxa"/>
            <w:vAlign w:val="center"/>
            <w:textDirection w:val="lrTb"/>
            <w:noWrap w:val="false"/>
          </w:tcPr>
          <w:p>
            <w:pPr>
              <w:jc w:val="both"/>
              <w:keepLines w:val="0"/>
              <w:keepNext w:val="0"/>
              <w:pageBreakBefore w:val="0"/>
              <w:spacing w:line="360" w:lineRule="auto"/>
              <w:widowControl w:val="off"/>
              <w:rPr>
                <w:rFonts w:hint="default" w:ascii="宋体" w:hAnsi="宋体" w:eastAsia="宋体" w:cs="宋体"/>
                <w:spacing w:val="1"/>
                <w:lang w:val="zh-CN" w:eastAsia="zh-CN"/>
              </w:rPr>
            </w:pPr>
            <w:r>
              <w:rPr>
                <w:rFonts w:hint="eastAsia" w:ascii="宋体" w:hAnsi="宋体" w:eastAsia="宋体" w:cs="宋体"/>
                <w:spacing w:val="1"/>
                <w:lang w:val="en-US" w:eastAsia="zh-CN"/>
              </w:rPr>
              <w:t xml:space="preserve">对投标人提供的针对本项目的进度安排、施工方案及质量保证措施、安全文明安装及环境保护措施、劳动力、机械设备和材料投入计划等进行评分。方案完整全面、与本项目实际情况实际完全相符，完全满足采购需求的得6分；方案完整不够全面、与本项目实际情况实际基本相符，基本满足采购需求的得3分；方案缺失不完整、与本项目实际情况实际不完全相符，方案针对性不强的得1分；未提供不得分。</w:t>
            </w:r>
            <w:r/>
          </w:p>
        </w:tc>
        <w:tc>
          <w:tcPr>
            <w:shd w:val="clear" w:color="auto" w:fill="auto"/>
            <w:tcW w:w="64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pacing w:val="1"/>
                <w:lang w:val="en-US" w:eastAsia="zh-CN"/>
              </w:rPr>
            </w:pPr>
            <w:r>
              <w:rPr>
                <w:rFonts w:hint="eastAsia" w:ascii="宋体" w:hAnsi="宋体" w:eastAsia="宋体" w:cs="宋体"/>
                <w:spacing w:val="1"/>
                <w:lang w:val="en-US" w:eastAsia="zh-CN"/>
              </w:rPr>
              <w:t xml:space="preserve">6</w:t>
            </w:r>
            <w:r/>
          </w:p>
        </w:tc>
        <w:tc>
          <w:tcPr>
            <w:tcW w:w="900" w:type="dxa"/>
            <w:vAlign w:val="center"/>
            <w:textDirection w:val="lrTb"/>
            <w:noWrap w:val="false"/>
          </w:tcPr>
          <w:p>
            <w:pPr>
              <w:jc w:val="center"/>
              <w:keepLines w:val="0"/>
              <w:keepNext w:val="0"/>
              <w:pageBreakBefore w:val="0"/>
              <w:spacing w:before="68" w:line="360" w:lineRule="auto"/>
              <w:widowControl w:val="off"/>
              <w:rPr>
                <w:rFonts w:ascii="宋体" w:hAnsi="宋体" w:eastAsia="宋体" w:cs="宋体"/>
                <w:spacing w:val="-6"/>
                <w:lang w:val="en-US" w:eastAsia="zh-CN"/>
              </w:rPr>
            </w:pPr>
            <w:r>
              <w:rPr>
                <w:rFonts w:hint="eastAsia" w:ascii="宋体" w:hAnsi="宋体" w:eastAsia="宋体" w:cs="宋体"/>
                <w:spacing w:val="-6"/>
                <w:highlight w:val="none"/>
                <w:lang w:eastAsia="zh-CN"/>
              </w:rPr>
              <w:t xml:space="preserve">主观分</w:t>
            </w:r>
            <w:r/>
          </w:p>
        </w:tc>
      </w:tr>
      <w:tr>
        <w:trPr>
          <w:jc w:val="center"/>
          <w:trHeight w:val="133"/>
        </w:trPr>
        <w:tc>
          <w:tcPr>
            <w:tcW w:w="519" w:type="dxa"/>
            <w:vAlign w:val="center"/>
            <w:textDirection w:val="lrTb"/>
            <w:noWrap w:val="false"/>
          </w:tcPr>
          <w:p>
            <w:pPr>
              <w:jc w:val="center"/>
              <w:keepLines w:val="0"/>
              <w:keepNext w:val="0"/>
              <w:pageBreakBefore w:val="0"/>
              <w:spacing w:before="68" w:line="360" w:lineRule="auto"/>
              <w:widowControl w:val="off"/>
              <w:rPr>
                <w:rFonts w:ascii="宋体" w:hAnsi="宋体" w:eastAsia="宋体" w:cs="宋体"/>
                <w:spacing w:val="-2"/>
                <w:lang w:val="en-US" w:eastAsia="zh-CN"/>
              </w:rPr>
            </w:pPr>
            <w:r>
              <w:rPr>
                <w:rFonts w:hint="eastAsia" w:ascii="宋体" w:hAnsi="宋体" w:eastAsia="宋体" w:cs="宋体"/>
                <w:spacing w:val="-2"/>
                <w:lang w:val="en-US" w:eastAsia="zh-CN"/>
              </w:rPr>
              <w:t xml:space="preserve">3.2</w:t>
            </w:r>
            <w:r/>
          </w:p>
        </w:tc>
        <w:tc>
          <w:tcPr>
            <w:shd w:val="clear" w:color="auto" w:fill="auto"/>
            <w:tcW w:w="1179"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spacing w:val="1"/>
                <w:lang w:val="en-US" w:eastAsia="zh-CN"/>
              </w:rPr>
            </w:pPr>
            <w:r>
              <w:rPr>
                <w:rFonts w:hint="eastAsia" w:ascii="宋体" w:hAnsi="宋体" w:eastAsia="宋体" w:cs="宋体"/>
                <w:spacing w:val="1"/>
                <w:lang w:val="en-US" w:eastAsia="zh-CN"/>
              </w:rPr>
              <w:t xml:space="preserve">安装与调试方案</w:t>
            </w:r>
            <w:r/>
          </w:p>
        </w:tc>
        <w:tc>
          <w:tcPr>
            <w:shd w:val="clear" w:color="auto" w:fill="auto"/>
            <w:tcW w:w="6330"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spacing w:val="1"/>
                <w:lang w:val="en-US" w:eastAsia="zh-CN"/>
              </w:rPr>
            </w:pPr>
            <w:r>
              <w:rPr>
                <w:rFonts w:hint="eastAsia" w:ascii="宋体" w:hAnsi="宋体" w:eastAsia="宋体" w:cs="宋体"/>
                <w:spacing w:val="1"/>
                <w:lang w:val="en-US" w:eastAsia="zh-CN"/>
              </w:rPr>
              <w:t xml:space="preserve">投标人提供的本项目安装施工方案及成品保护措施、安全文明施工措施等。方案合理完善，可行性高，内容详实，得6分；方案较合理，可行性较高，内容较详实得3分；方案一般，可行性一般，得1分；未提供不得分。</w:t>
            </w:r>
            <w:r/>
          </w:p>
        </w:tc>
        <w:tc>
          <w:tcPr>
            <w:shd w:val="clear" w:color="auto" w:fill="auto"/>
            <w:tcW w:w="64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pacing w:val="1"/>
                <w:lang w:val="en-US" w:eastAsia="zh-CN"/>
              </w:rPr>
            </w:pPr>
            <w:r>
              <w:rPr>
                <w:rFonts w:hint="eastAsia" w:ascii="宋体" w:hAnsi="宋体" w:eastAsia="宋体" w:cs="宋体"/>
                <w:spacing w:val="1"/>
                <w:lang w:val="en-US" w:eastAsia="zh-CN"/>
              </w:rPr>
              <w:t xml:space="preserve">6</w:t>
            </w:r>
            <w:r/>
          </w:p>
        </w:tc>
        <w:tc>
          <w:tcPr>
            <w:tcW w:w="900" w:type="dxa"/>
            <w:vAlign w:val="center"/>
            <w:textDirection w:val="lrTb"/>
            <w:noWrap w:val="false"/>
          </w:tcPr>
          <w:p>
            <w:pPr>
              <w:jc w:val="center"/>
              <w:keepLines w:val="0"/>
              <w:keepNext w:val="0"/>
              <w:pageBreakBefore w:val="0"/>
              <w:spacing w:before="68" w:line="360" w:lineRule="auto"/>
              <w:widowControl w:val="off"/>
              <w:rPr>
                <w:rFonts w:ascii="宋体" w:hAnsi="宋体" w:eastAsia="宋体" w:cs="宋体"/>
                <w:spacing w:val="-6"/>
                <w:lang w:val="en-US" w:eastAsia="zh-CN"/>
              </w:rPr>
            </w:pPr>
            <w:r>
              <w:rPr>
                <w:rFonts w:hint="eastAsia" w:ascii="宋体" w:hAnsi="宋体" w:eastAsia="宋体" w:cs="宋体"/>
                <w:spacing w:val="-6"/>
                <w:highlight w:val="none"/>
                <w:lang w:eastAsia="zh-CN"/>
              </w:rPr>
              <w:t xml:space="preserve">主观分</w:t>
            </w:r>
            <w:r/>
          </w:p>
        </w:tc>
      </w:tr>
      <w:tr>
        <w:trPr>
          <w:jc w:val="center"/>
          <w:trHeight w:val="133"/>
        </w:trPr>
        <w:tc>
          <w:tcPr>
            <w:tcW w:w="519" w:type="dxa"/>
            <w:vAlign w:val="center"/>
            <w:textDirection w:val="lrTb"/>
            <w:noWrap w:val="false"/>
          </w:tcPr>
          <w:p>
            <w:pPr>
              <w:jc w:val="center"/>
              <w:keepLines w:val="0"/>
              <w:keepNext w:val="0"/>
              <w:pageBreakBefore w:val="0"/>
              <w:spacing w:before="68" w:line="360" w:lineRule="auto"/>
              <w:widowControl w:val="off"/>
              <w:rPr>
                <w:rFonts w:hint="default" w:ascii="宋体" w:hAnsi="宋体" w:eastAsia="宋体" w:cs="宋体"/>
                <w:spacing w:val="-2"/>
                <w:lang w:val="en-US" w:eastAsia="zh-CN"/>
              </w:rPr>
            </w:pPr>
            <w:r>
              <w:rPr>
                <w:rFonts w:hint="eastAsia" w:ascii="宋体" w:hAnsi="宋体" w:cs="宋体"/>
                <w:spacing w:val="-2"/>
                <w:lang w:val="en-US" w:eastAsia="zh-CN"/>
              </w:rPr>
              <w:t xml:space="preserve">3.3</w:t>
            </w:r>
            <w:r/>
          </w:p>
        </w:tc>
        <w:tc>
          <w:tcPr>
            <w:shd w:val="clear" w:color="auto" w:fill="auto"/>
            <w:tcW w:w="1179"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spacing w:val="1"/>
                <w:lang w:val="en-US" w:eastAsia="zh-CN"/>
              </w:rPr>
            </w:pPr>
            <w:r>
              <w:rPr>
                <w:rFonts w:hint="eastAsia" w:ascii="宋体" w:hAnsi="宋体" w:eastAsia="宋体" w:cs="宋体"/>
                <w:spacing w:val="1"/>
                <w:lang w:val="en-US" w:eastAsia="zh-CN"/>
              </w:rPr>
              <w:t xml:space="preserve">售后服务方案</w:t>
            </w:r>
            <w:r/>
          </w:p>
        </w:tc>
        <w:tc>
          <w:tcPr>
            <w:shd w:val="clear" w:color="auto" w:fill="auto"/>
            <w:tcW w:w="6330"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spacing w:val="1"/>
                <w:lang w:val="en-US" w:eastAsia="zh-CN"/>
              </w:rPr>
            </w:pPr>
            <w:r>
              <w:rPr>
                <w:rFonts w:hint="eastAsia" w:ascii="宋体" w:hAnsi="宋体" w:eastAsia="宋体" w:cs="宋体"/>
                <w:spacing w:val="1"/>
                <w:lang w:val="en-US" w:eastAsia="zh-CN"/>
              </w:rPr>
              <w:t xml:space="preserve">投标人提供的本项目售后服务方案（包括服务内容、故障解决方案、响应时间、技术人员保障及服务电话等内容）综合评分。投标人在具备完善的服务体系、全面的服务内容、可行的故障解决方案、可靠的人员保障和服务电话的，得6分；投标人具备基本完善的服务体系、基本全面的服务内容、基本可行的故障解决方案、基本可靠的人员保障和服务电话的，得3分；投标人售后服务方案、故障解决方案一般，方案内容是否满足采购文件要求具有不确定性的得1分；未提供不得分。</w:t>
            </w:r>
            <w:r/>
          </w:p>
        </w:tc>
        <w:tc>
          <w:tcPr>
            <w:shd w:val="clear" w:color="auto" w:fill="auto"/>
            <w:tcW w:w="647"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spacing w:val="1"/>
                <w:lang w:val="en-US" w:eastAsia="zh-CN"/>
              </w:rPr>
            </w:pPr>
            <w:r>
              <w:rPr>
                <w:rFonts w:hint="eastAsia" w:ascii="宋体" w:hAnsi="宋体" w:eastAsia="宋体" w:cs="宋体"/>
                <w:spacing w:val="1"/>
                <w:lang w:val="en-US" w:eastAsia="zh-CN"/>
              </w:rPr>
              <w:t xml:space="preserve">6</w:t>
            </w:r>
            <w:r/>
          </w:p>
        </w:tc>
        <w:tc>
          <w:tcPr>
            <w:tcW w:w="900" w:type="dxa"/>
            <w:vAlign w:val="center"/>
            <w:textDirection w:val="lrTb"/>
            <w:noWrap w:val="false"/>
          </w:tcPr>
          <w:p>
            <w:pPr>
              <w:jc w:val="center"/>
              <w:keepLines w:val="0"/>
              <w:keepNext w:val="0"/>
              <w:pageBreakBefore w:val="0"/>
              <w:spacing w:before="68" w:line="360" w:lineRule="auto"/>
              <w:widowControl w:val="off"/>
              <w:rPr>
                <w:rFonts w:ascii="宋体" w:hAnsi="宋体" w:eastAsia="宋体" w:cs="宋体"/>
                <w:spacing w:val="-6"/>
                <w:lang w:val="en-US" w:eastAsia="zh-CN"/>
              </w:rPr>
            </w:pPr>
            <w:r>
              <w:rPr>
                <w:rFonts w:hint="eastAsia" w:ascii="宋体" w:hAnsi="宋体" w:eastAsia="宋体" w:cs="宋体"/>
                <w:spacing w:val="-6"/>
                <w:highlight w:val="none"/>
                <w:lang w:eastAsia="zh-CN"/>
              </w:rPr>
              <w:t xml:space="preserve">主观分</w:t>
            </w:r>
            <w:r/>
          </w:p>
        </w:tc>
      </w:tr>
      <w:tr>
        <w:trPr>
          <w:jc w:val="center"/>
          <w:trHeight w:val="455"/>
        </w:trPr>
        <w:tc>
          <w:tcPr>
            <w:gridSpan w:val="5"/>
            <w:tcW w:w="9575" w:type="dxa"/>
            <w:vAlign w:val="center"/>
            <w:textDirection w:val="lrTb"/>
            <w:noWrap w:val="false"/>
          </w:tcPr>
          <w:p>
            <w:pPr>
              <w:keepLines w:val="0"/>
              <w:keepNext w:val="0"/>
              <w:pageBreakBefore w:val="0"/>
              <w:spacing w:line="360" w:lineRule="auto"/>
              <w:widowControl w:val="off"/>
              <w:rPr>
                <w:rFonts w:ascii="宋体" w:hAnsi="宋体" w:eastAsia="宋体" w:cs="宋体"/>
              </w:rPr>
            </w:pPr>
            <w:r>
              <w:rPr>
                <w:rFonts w:hint="eastAsia" w:ascii="宋体" w:hAnsi="宋体" w:eastAsia="宋体" w:cs="宋体"/>
                <w:b/>
                <w:bCs/>
                <w:spacing w:val="-3"/>
                <w:lang w:val="en-US" w:eastAsia="zh-CN"/>
              </w:rPr>
              <w:t xml:space="preserve">4.业绩</w:t>
            </w:r>
            <w:r/>
          </w:p>
        </w:tc>
      </w:tr>
      <w:tr>
        <w:trPr>
          <w:jc w:val="center"/>
          <w:trHeight w:val="513"/>
        </w:trPr>
        <w:tc>
          <w:tcPr>
            <w:tcW w:w="519" w:type="dxa"/>
            <w:vAlign w:val="center"/>
            <w:textDirection w:val="lrTb"/>
            <w:noWrap w:val="false"/>
          </w:tcPr>
          <w:p>
            <w:pPr>
              <w:jc w:val="center"/>
              <w:keepLines w:val="0"/>
              <w:keepNext w:val="0"/>
              <w:pageBreakBefore w:val="0"/>
              <w:spacing w:before="68" w:line="360" w:lineRule="auto"/>
              <w:widowControl w:val="off"/>
              <w:rPr>
                <w:rFonts w:ascii="宋体" w:hAnsi="宋体" w:eastAsia="宋体" w:cs="宋体"/>
                <w:spacing w:val="-2"/>
              </w:rPr>
            </w:pPr>
            <w:r>
              <w:rPr>
                <w:rFonts w:hint="eastAsia" w:ascii="宋体" w:hAnsi="宋体" w:eastAsia="宋体" w:cs="宋体"/>
                <w:spacing w:val="-2"/>
                <w:lang w:val="en-US" w:eastAsia="zh-CN"/>
              </w:rPr>
              <w:t xml:space="preserve">4</w:t>
            </w:r>
            <w:r>
              <w:rPr>
                <w:rFonts w:ascii="宋体" w:hAnsi="宋体" w:eastAsia="宋体" w:cs="宋体"/>
                <w:spacing w:val="-2"/>
              </w:rPr>
              <w:t xml:space="preserve">.1</w:t>
            </w:r>
            <w:r/>
          </w:p>
        </w:tc>
        <w:tc>
          <w:tcPr>
            <w:tcW w:w="1179"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spacing w:val="1"/>
                <w:lang w:val="en-US" w:eastAsia="zh-CN"/>
              </w:rPr>
            </w:pPr>
            <w:r>
              <w:rPr>
                <w:rFonts w:hint="eastAsia" w:ascii="宋体" w:hAnsi="宋体" w:eastAsia="宋体" w:cs="宋体"/>
                <w:spacing w:val="1"/>
                <w:lang w:val="en-US" w:eastAsia="zh-CN"/>
              </w:rPr>
              <w:t xml:space="preserve">业绩</w:t>
            </w:r>
            <w:r/>
          </w:p>
        </w:tc>
        <w:tc>
          <w:tcPr>
            <w:tcW w:w="6330" w:type="dxa"/>
            <w:vAlign w:val="center"/>
            <w:textDirection w:val="lrTb"/>
            <w:noWrap w:val="false"/>
          </w:tcPr>
          <w:p>
            <w:pPr>
              <w:jc w:val="both"/>
              <w:keepLines w:val="0"/>
              <w:keepNext w:val="0"/>
              <w:pageBreakBefore w:val="0"/>
              <w:spacing w:line="360" w:lineRule="auto"/>
              <w:widowControl w:val="off"/>
              <w:rPr>
                <w:rFonts w:hint="default" w:ascii="宋体" w:hAnsi="宋体" w:eastAsia="宋体" w:cs="宋体"/>
                <w:spacing w:val="1"/>
                <w:lang w:val="en-US" w:eastAsia="zh-CN"/>
              </w:rPr>
            </w:pPr>
            <w:r>
              <w:rPr>
                <w:rFonts w:hint="eastAsia" w:ascii="宋体" w:hAnsi="宋体" w:eastAsia="宋体" w:cs="宋体"/>
                <w:spacing w:val="1"/>
                <w:lang w:val="en-US" w:eastAsia="zh-CN"/>
              </w:rPr>
              <w:t xml:space="preserve">投标人提供自2023年1月1日至开标日期以来的（以合同签订时间为准）类似业绩，每提供一个得 1分，最高得3分。</w:t>
            </w:r>
            <w:r/>
          </w:p>
          <w:p>
            <w:pPr>
              <w:jc w:val="both"/>
              <w:keepLines w:val="0"/>
              <w:keepNext w:val="0"/>
              <w:pageBreakBefore w:val="0"/>
              <w:spacing w:line="360" w:lineRule="auto"/>
              <w:widowControl w:val="off"/>
              <w:rPr>
                <w:rFonts w:hint="eastAsia" w:ascii="宋体" w:hAnsi="宋体" w:eastAsia="宋体" w:cs="宋体"/>
                <w:spacing w:val="1"/>
                <w:lang w:val="en-US" w:eastAsia="zh-CN"/>
              </w:rPr>
            </w:pPr>
            <w:r>
              <w:rPr>
                <w:rFonts w:hint="eastAsia" w:ascii="宋体" w:hAnsi="宋体" w:eastAsia="宋体" w:cs="宋体"/>
                <w:spacing w:val="1"/>
                <w:lang w:val="en-US" w:eastAsia="zh-CN"/>
              </w:rPr>
              <w:t xml:space="preserve">评审材料：提供完整合同件、中标（成交）通知书和验收证明的扫描件并加盖投标人公章，未按要求提供或未提供的不得分，中标单位在中标结果公示后3个工作日内提供原件由采购人核查。</w:t>
            </w:r>
            <w:r/>
          </w:p>
        </w:tc>
        <w:tc>
          <w:tcPr>
            <w:tcW w:w="64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pacing w:val="1"/>
                <w:lang w:val="en-US" w:eastAsia="zh-CN"/>
              </w:rPr>
            </w:pPr>
            <w:r>
              <w:rPr>
                <w:rFonts w:hint="eastAsia" w:ascii="宋体" w:hAnsi="宋体" w:eastAsia="宋体" w:cs="宋体"/>
                <w:spacing w:val="1"/>
                <w:lang w:val="en-US" w:eastAsia="zh-CN"/>
              </w:rPr>
              <w:t xml:space="preserve">3</w:t>
            </w:r>
            <w:r/>
          </w:p>
        </w:tc>
        <w:tc>
          <w:tcPr>
            <w:tcW w:w="900" w:type="dxa"/>
            <w:vAlign w:val="center"/>
            <w:textDirection w:val="lrTb"/>
            <w:noWrap w:val="false"/>
          </w:tcPr>
          <w:p>
            <w:pPr>
              <w:jc w:val="center"/>
              <w:keepLines w:val="0"/>
              <w:keepNext w:val="0"/>
              <w:pageBreakBefore w:val="0"/>
              <w:spacing w:before="68" w:line="360" w:lineRule="auto"/>
              <w:widowControl w:val="off"/>
              <w:rPr>
                <w:rFonts w:hint="eastAsia" w:ascii="宋体" w:hAnsi="宋体" w:eastAsia="宋体" w:cs="宋体"/>
                <w:lang w:eastAsia="zh-CN"/>
              </w:rPr>
            </w:pPr>
            <w:r>
              <w:rPr>
                <w:rFonts w:hint="eastAsia" w:ascii="宋体" w:hAnsi="宋体" w:eastAsia="宋体" w:cs="宋体"/>
                <w:spacing w:val="-6"/>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p>
        </w:tc>
      </w:tr>
      <w:tr>
        <w:trPr>
          <w:jc w:val="center"/>
          <w:trHeight w:val="269"/>
        </w:trPr>
        <w:tc>
          <w:tcPr>
            <w:gridSpan w:val="5"/>
            <w:tcW w:w="9575" w:type="dxa"/>
            <w:vAlign w:val="top"/>
            <w:textDirection w:val="lrTb"/>
            <w:noWrap w:val="false"/>
          </w:tcPr>
          <w:p>
            <w:pPr>
              <w:keepLines w:val="0"/>
              <w:keepNext w:val="0"/>
              <w:pageBreakBefore w:val="0"/>
              <w:spacing w:before="123" w:line="360" w:lineRule="auto"/>
              <w:widowControl w:val="off"/>
              <w:rPr>
                <w:rFonts w:ascii="宋体" w:hAnsi="宋体" w:eastAsia="宋体" w:cs="宋体"/>
              </w:rPr>
            </w:pPr>
            <w:r>
              <w:rPr>
                <w:rFonts w:hint="eastAsia" w:ascii="宋体" w:hAnsi="宋体" w:eastAsia="宋体" w:cs="宋体"/>
                <w:b/>
                <w:bCs/>
                <w:spacing w:val="-3"/>
                <w:lang w:val="en-US" w:eastAsia="zh-CN"/>
              </w:rPr>
              <w:t xml:space="preserve">5.履约能力</w:t>
            </w:r>
            <w:r/>
          </w:p>
        </w:tc>
      </w:tr>
      <w:tr>
        <w:trPr>
          <w:jc w:val="center"/>
          <w:trHeight w:val="387"/>
        </w:trPr>
        <w:tc>
          <w:tcPr>
            <w:tcW w:w="519" w:type="dxa"/>
            <w:vAlign w:val="center"/>
            <w:textDirection w:val="lrTb"/>
            <w:noWrap w:val="false"/>
          </w:tcPr>
          <w:p>
            <w:pPr>
              <w:jc w:val="center"/>
              <w:keepLines w:val="0"/>
              <w:keepNext w:val="0"/>
              <w:pageBreakBefore w:val="0"/>
              <w:spacing w:before="68" w:line="360" w:lineRule="auto"/>
              <w:widowControl w:val="off"/>
              <w:rPr>
                <w:rFonts w:ascii="宋体" w:hAnsi="宋体" w:eastAsia="宋体" w:cs="宋体"/>
                <w:color w:val="000000"/>
                <w:spacing w:val="-2"/>
              </w:rPr>
            </w:pPr>
            <w:r>
              <w:rPr>
                <w:rFonts w:hint="eastAsia" w:ascii="宋体" w:hAnsi="宋体" w:eastAsia="宋体" w:cs="宋体"/>
                <w:color w:val="000000"/>
                <w:spacing w:val="-2"/>
                <w:lang w:val="en-US" w:eastAsia="zh-CN"/>
              </w:rPr>
              <w:t xml:space="preserve">5</w:t>
            </w:r>
            <w:r>
              <w:rPr>
                <w:rFonts w:ascii="宋体" w:hAnsi="宋体" w:eastAsia="宋体" w:cs="宋体"/>
                <w:color w:val="000000"/>
                <w:spacing w:val="-2"/>
              </w:rPr>
              <w:t xml:space="preserve">.1</w:t>
            </w:r>
            <w:r/>
          </w:p>
        </w:tc>
        <w:tc>
          <w:tcPr>
            <w:tcW w:w="1179" w:type="dxa"/>
            <w:vAlign w:val="center"/>
            <w:textDirection w:val="lrTb"/>
            <w:noWrap w:val="false"/>
          </w:tcPr>
          <w:p>
            <w:pPr>
              <w:jc w:val="both"/>
              <w:keepLines w:val="0"/>
              <w:keepNext w:val="0"/>
              <w:pageBreakBefore w:val="0"/>
              <w:spacing w:before="69" w:line="360" w:lineRule="auto"/>
              <w:widowControl w:val="off"/>
              <w:rPr>
                <w:rFonts w:ascii="宋体" w:hAnsi="宋体" w:eastAsia="宋体" w:cs="宋体"/>
                <w:color w:val="000000"/>
                <w:spacing w:val="-1"/>
                <w:lang w:val="en-US" w:eastAsia="zh-CN"/>
              </w:rPr>
            </w:pPr>
            <w:r>
              <w:rPr>
                <w:rFonts w:hint="eastAsia" w:ascii="宋体" w:hAnsi="宋体" w:eastAsia="宋体" w:cs="宋体"/>
                <w:color w:val="000000"/>
                <w:spacing w:val="-1"/>
                <w:lang w:eastAsia="zh-CN"/>
              </w:rPr>
              <w:t xml:space="preserve">履约能力</w:t>
            </w:r>
            <w:r>
              <w:rPr>
                <w:rFonts w:hint="eastAsia" w:ascii="宋体" w:hAnsi="宋体" w:eastAsia="宋体" w:cs="宋体"/>
                <w:color w:val="000000"/>
                <w:spacing w:val="-1"/>
                <w:lang w:val="en-US" w:eastAsia="zh-CN"/>
              </w:rPr>
              <w:t xml:space="preserve">1</w:t>
            </w:r>
            <w:r/>
          </w:p>
        </w:tc>
        <w:tc>
          <w:tcPr>
            <w:tcW w:w="6330" w:type="dxa"/>
            <w:vAlign w:val="center"/>
            <w:textDirection w:val="lrTb"/>
            <w:noWrap w:val="false"/>
          </w:tcPr>
          <w:p>
            <w:pPr>
              <w:numPr>
                <w:ilvl w:val="0"/>
                <w:numId w:val="7"/>
              </w:numPr>
              <w:jc w:val="both"/>
              <w:keepLines w:val="0"/>
              <w:keepNext w:val="0"/>
              <w:pageBreakBefore w:val="0"/>
              <w:spacing w:line="360" w:lineRule="auto"/>
              <w:widowControl w:val="off"/>
              <w:rPr>
                <w:rFonts w:hint="eastAsia" w:ascii="宋体" w:hAnsi="宋体" w:eastAsia="宋体" w:cs="宋体"/>
                <w:spacing w:val="1"/>
                <w:lang w:val="en-US" w:eastAsia="zh-CN"/>
              </w:rPr>
            </w:pPr>
            <w:r>
              <w:rPr>
                <w:rFonts w:hint="eastAsia" w:ascii="宋体" w:hAnsi="宋体" w:cs="宋体"/>
                <w:spacing w:val="1"/>
                <w:lang w:val="en-US" w:eastAsia="zh-CN"/>
              </w:rPr>
              <w:t xml:space="preserve">所投</w:t>
            </w:r>
            <w:r>
              <w:rPr>
                <w:rFonts w:hint="eastAsia" w:ascii="宋体" w:hAnsi="宋体" w:eastAsia="宋体" w:cs="宋体"/>
                <w:spacing w:val="1"/>
                <w:lang w:val="en-US" w:eastAsia="zh-CN"/>
              </w:rPr>
              <w:t xml:space="preserve">核心产品</w:t>
            </w:r>
            <w:r>
              <w:rPr>
                <w:rFonts w:hint="eastAsia" w:ascii="宋体" w:hAnsi="宋体" w:cs="宋体"/>
                <w:spacing w:val="1"/>
                <w:lang w:val="en-US" w:eastAsia="zh-CN"/>
              </w:rPr>
              <w:t xml:space="preserve">投标人或制造商</w:t>
            </w:r>
            <w:r>
              <w:rPr>
                <w:rFonts w:hint="eastAsia" w:ascii="宋体" w:hAnsi="宋体" w:eastAsia="宋体" w:cs="宋体"/>
                <w:spacing w:val="1"/>
                <w:lang w:val="en-US" w:eastAsia="zh-CN"/>
              </w:rPr>
              <w:t xml:space="preserve">具有有效期内的质量管理体系认证证书的得2分。</w:t>
            </w:r>
            <w:r/>
          </w:p>
          <w:p>
            <w:pPr>
              <w:numPr>
                <w:ilvl w:val="0"/>
                <w:numId w:val="0"/>
              </w:numPr>
              <w:jc w:val="both"/>
              <w:keepLines w:val="0"/>
              <w:keepNext w:val="0"/>
              <w:pageBreakBefore w:val="0"/>
              <w:spacing w:line="360" w:lineRule="auto"/>
              <w:widowControl w:val="off"/>
              <w:rPr>
                <w:rFonts w:hint="eastAsia" w:ascii="宋体" w:hAnsi="宋体" w:eastAsia="宋体" w:cs="宋体"/>
                <w:spacing w:val="1"/>
                <w:lang w:val="en-US" w:eastAsia="zh-CN"/>
              </w:rPr>
            </w:pPr>
            <w:r>
              <w:rPr>
                <w:rFonts w:hint="eastAsia" w:ascii="宋体" w:hAnsi="宋体" w:cs="宋体"/>
                <w:spacing w:val="1"/>
                <w:lang w:val="en-US" w:eastAsia="zh-CN"/>
              </w:rPr>
              <w:t xml:space="preserve">2、所投</w:t>
            </w:r>
            <w:r>
              <w:rPr>
                <w:rFonts w:hint="eastAsia" w:ascii="宋体" w:hAnsi="宋体" w:eastAsia="宋体" w:cs="宋体"/>
                <w:spacing w:val="1"/>
                <w:lang w:val="en-US" w:eastAsia="zh-CN"/>
              </w:rPr>
              <w:t xml:space="preserve">核心产品具有有效期内的绿色供应链认证证书的得</w:t>
            </w:r>
            <w:r>
              <w:rPr>
                <w:rFonts w:hint="eastAsia" w:ascii="宋体" w:hAnsi="宋体" w:cs="宋体"/>
                <w:spacing w:val="1"/>
                <w:lang w:val="en-US" w:eastAsia="zh-CN"/>
              </w:rPr>
              <w:t xml:space="preserve">2</w:t>
            </w:r>
            <w:r>
              <w:rPr>
                <w:rFonts w:hint="eastAsia" w:ascii="宋体" w:hAnsi="宋体" w:eastAsia="宋体" w:cs="宋体"/>
                <w:spacing w:val="1"/>
                <w:lang w:val="en-US" w:eastAsia="zh-CN"/>
              </w:rPr>
              <w:t xml:space="preserve">分。</w:t>
            </w:r>
            <w:r/>
          </w:p>
          <w:p>
            <w:pPr>
              <w:jc w:val="both"/>
              <w:keepLines w:val="0"/>
              <w:keepNext w:val="0"/>
              <w:pageBreakBefore w:val="0"/>
              <w:spacing w:line="360" w:lineRule="auto"/>
              <w:widowControl w:val="off"/>
              <w:rPr>
                <w:rFonts w:hint="default" w:ascii="宋体" w:hAnsi="宋体" w:eastAsia="宋体" w:cs="宋体"/>
                <w:spacing w:val="1"/>
                <w:lang w:val="en-US" w:eastAsia="zh-CN"/>
              </w:rPr>
            </w:pPr>
            <w:r>
              <w:rPr>
                <w:rFonts w:hint="eastAsia" w:ascii="宋体" w:hAnsi="宋体" w:eastAsia="宋体" w:cs="宋体"/>
                <w:spacing w:val="1"/>
                <w:lang w:val="en-US" w:eastAsia="zh-CN"/>
              </w:rPr>
              <w:t xml:space="preserve">提供认证证书及全国认证认可信息公共服务平台查询截图，不提供不得分。中标单位在中标结果公示后3个工作日内提供原件交采购人核查。</w:t>
            </w:r>
            <w:r/>
          </w:p>
        </w:tc>
        <w:tc>
          <w:tcPr>
            <w:tcW w:w="647" w:type="dxa"/>
            <w:vAlign w:val="center"/>
            <w:textDirection w:val="lrTb"/>
            <w:noWrap w:val="false"/>
          </w:tcPr>
          <w:p>
            <w:pPr>
              <w:jc w:val="center"/>
              <w:keepLines w:val="0"/>
              <w:keepNext w:val="0"/>
              <w:pageBreakBefore w:val="0"/>
              <w:spacing w:before="68" w:line="360" w:lineRule="auto"/>
              <w:widowControl w:val="off"/>
              <w:rPr>
                <w:rFonts w:hint="default" w:ascii="宋体" w:hAnsi="宋体" w:eastAsia="宋体" w:cs="宋体"/>
                <w:color w:val="000000"/>
                <w:lang w:val="en-US" w:eastAsia="zh-CN"/>
              </w:rPr>
            </w:pPr>
            <w:r>
              <w:rPr>
                <w:rFonts w:hint="eastAsia" w:ascii="宋体" w:hAnsi="宋体" w:cs="宋体"/>
                <w:color w:val="000000"/>
                <w:lang w:val="en-US" w:eastAsia="zh-CN"/>
              </w:rPr>
              <w:t xml:space="preserve">2</w:t>
            </w:r>
            <w:r/>
          </w:p>
        </w:tc>
        <w:tc>
          <w:tcPr>
            <w:tcW w:w="900" w:type="dxa"/>
            <w:vAlign w:val="center"/>
            <w:textDirection w:val="lrTb"/>
            <w:noWrap w:val="false"/>
          </w:tcPr>
          <w:p>
            <w:pPr>
              <w:jc w:val="center"/>
              <w:keepLines w:val="0"/>
              <w:keepNext w:val="0"/>
              <w:pageBreakBefore w:val="0"/>
              <w:spacing w:before="68" w:line="360" w:lineRule="auto"/>
              <w:widowControl w:val="off"/>
              <w:rPr>
                <w:rFonts w:ascii="宋体" w:hAnsi="宋体" w:eastAsia="宋体" w:cs="宋体"/>
                <w:color w:val="000000"/>
              </w:rPr>
            </w:pPr>
            <w:r>
              <w:rPr>
                <w:rFonts w:hint="eastAsia" w:ascii="宋体" w:hAnsi="宋体" w:eastAsia="宋体" w:cs="宋体"/>
                <w:spacing w:val="-6"/>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p>
        </w:tc>
      </w:tr>
      <w:tr>
        <w:trPr>
          <w:jc w:val="center"/>
          <w:trHeight w:val="676"/>
        </w:trPr>
        <w:tc>
          <w:tcPr>
            <w:tcW w:w="519" w:type="dxa"/>
            <w:vAlign w:val="center"/>
            <w:textDirection w:val="lrTb"/>
            <w:noWrap w:val="false"/>
          </w:tcPr>
          <w:p>
            <w:pPr>
              <w:jc w:val="center"/>
              <w:keepLines w:val="0"/>
              <w:keepNext w:val="0"/>
              <w:pageBreakBefore w:val="0"/>
              <w:spacing w:before="68" w:line="360" w:lineRule="auto"/>
              <w:widowControl w:val="off"/>
              <w:rPr>
                <w:rFonts w:ascii="宋体" w:hAnsi="宋体" w:eastAsia="宋体" w:cs="宋体"/>
                <w:spacing w:val="-2"/>
              </w:rPr>
            </w:pPr>
            <w:r>
              <w:rPr>
                <w:rFonts w:hint="eastAsia" w:ascii="宋体" w:hAnsi="宋体" w:eastAsia="宋体" w:cs="宋体"/>
                <w:spacing w:val="-2"/>
                <w:lang w:val="en-US" w:eastAsia="zh-CN"/>
              </w:rPr>
              <w:t xml:space="preserve">5</w:t>
            </w:r>
            <w:r>
              <w:rPr>
                <w:rFonts w:ascii="宋体" w:hAnsi="宋体" w:eastAsia="宋体" w:cs="宋体"/>
                <w:spacing w:val="-2"/>
              </w:rPr>
              <w:t xml:space="preserve">.2</w:t>
            </w:r>
            <w:r/>
          </w:p>
        </w:tc>
        <w:tc>
          <w:tcPr>
            <w:tcW w:w="1179" w:type="dxa"/>
            <w:vAlign w:val="center"/>
            <w:textDirection w:val="lrTb"/>
            <w:noWrap w:val="false"/>
          </w:tcPr>
          <w:p>
            <w:pPr>
              <w:jc w:val="both"/>
              <w:keepLines w:val="0"/>
              <w:keepNext w:val="0"/>
              <w:pageBreakBefore w:val="0"/>
              <w:spacing w:before="69" w:line="360" w:lineRule="auto"/>
              <w:widowControl w:val="off"/>
              <w:rPr>
                <w:rFonts w:ascii="宋体" w:hAnsi="宋体" w:eastAsia="宋体" w:cs="宋体"/>
                <w:color w:val="000000"/>
                <w:spacing w:val="-1"/>
                <w:lang w:val="en-US" w:eastAsia="zh-CN"/>
              </w:rPr>
            </w:pPr>
            <w:r>
              <w:rPr>
                <w:rFonts w:hint="eastAsia" w:ascii="宋体" w:hAnsi="宋体" w:eastAsia="宋体" w:cs="宋体"/>
                <w:color w:val="000000"/>
                <w:spacing w:val="-1"/>
                <w:lang w:eastAsia="zh-CN"/>
              </w:rPr>
              <w:t xml:space="preserve">履约能力</w:t>
            </w:r>
            <w:r>
              <w:rPr>
                <w:rFonts w:hint="eastAsia" w:ascii="宋体" w:hAnsi="宋体" w:eastAsia="宋体" w:cs="宋体"/>
                <w:color w:val="000000"/>
                <w:spacing w:val="-1"/>
                <w:lang w:val="en-US" w:eastAsia="zh-CN"/>
              </w:rPr>
              <w:t xml:space="preserve">2</w:t>
            </w:r>
            <w:r/>
          </w:p>
        </w:tc>
        <w:tc>
          <w:tcPr>
            <w:tcW w:w="6330" w:type="dxa"/>
            <w:vAlign w:val="center"/>
            <w:textDirection w:val="lrTb"/>
            <w:noWrap w:val="false"/>
          </w:tcPr>
          <w:p>
            <w:pPr>
              <w:numPr>
                <w:ilvl w:val="0"/>
                <w:numId w:val="0"/>
              </w:numPr>
              <w:jc w:val="both"/>
              <w:keepLines w:val="0"/>
              <w:keepNext w:val="0"/>
              <w:pageBreakBefore w:val="0"/>
              <w:spacing w:line="360" w:lineRule="auto"/>
              <w:widowControl w:val="off"/>
              <w:rPr>
                <w:rFonts w:hint="eastAsia" w:ascii="宋体" w:hAnsi="宋体" w:eastAsia="宋体" w:cs="宋体"/>
                <w:spacing w:val="1"/>
                <w:lang w:val="en-US" w:eastAsia="zh-CN"/>
              </w:rPr>
            </w:pPr>
            <w:r>
              <w:rPr>
                <w:rFonts w:hint="eastAsia" w:ascii="宋体" w:hAnsi="宋体" w:eastAsia="宋体" w:cs="宋体"/>
                <w:spacing w:val="1"/>
                <w:lang w:val="en-US" w:eastAsia="zh-CN"/>
              </w:rPr>
              <w:t xml:space="preserve">投标人</w:t>
            </w:r>
            <w:r>
              <w:rPr>
                <w:rFonts w:hint="eastAsia" w:ascii="宋体" w:hAnsi="宋体" w:cs="宋体"/>
                <w:spacing w:val="1"/>
                <w:lang w:val="en-US" w:eastAsia="zh-CN"/>
              </w:rPr>
              <w:t xml:space="preserve">或制造商</w:t>
            </w:r>
            <w:r>
              <w:rPr>
                <w:rFonts w:hint="eastAsia" w:ascii="宋体" w:hAnsi="宋体" w:eastAsia="宋体" w:cs="宋体"/>
                <w:spacing w:val="1"/>
                <w:lang w:val="en-US" w:eastAsia="zh-CN"/>
              </w:rPr>
              <w:t xml:space="preserve">具有有效的中国环境标志产品认证证书（十环）的得</w:t>
            </w:r>
            <w:r>
              <w:rPr>
                <w:rFonts w:hint="eastAsia" w:ascii="宋体" w:hAnsi="宋体" w:cs="宋体"/>
                <w:spacing w:val="1"/>
                <w:lang w:val="en-US" w:eastAsia="zh-CN"/>
              </w:rPr>
              <w:t xml:space="preserve">4</w:t>
            </w:r>
            <w:r>
              <w:rPr>
                <w:rFonts w:hint="eastAsia" w:ascii="宋体" w:hAnsi="宋体" w:eastAsia="宋体" w:cs="宋体"/>
                <w:spacing w:val="1"/>
                <w:lang w:val="en-US" w:eastAsia="zh-CN"/>
              </w:rPr>
              <w:t xml:space="preserve">分。</w:t>
            </w:r>
            <w:r/>
          </w:p>
          <w:p>
            <w:pPr>
              <w:jc w:val="both"/>
              <w:keepLines w:val="0"/>
              <w:keepNext w:val="0"/>
              <w:pageBreakBefore w:val="0"/>
              <w:spacing w:line="360" w:lineRule="auto"/>
              <w:widowControl w:val="off"/>
              <w:rPr>
                <w:rFonts w:hint="eastAsia" w:ascii="宋体" w:hAnsi="宋体" w:eastAsia="宋体" w:cs="宋体"/>
                <w:spacing w:val="1"/>
                <w:lang w:val="en-US" w:eastAsia="zh-CN"/>
              </w:rPr>
            </w:pPr>
            <w:r>
              <w:rPr>
                <w:rFonts w:hint="eastAsia" w:ascii="宋体" w:hAnsi="宋体" w:eastAsia="宋体" w:cs="宋体"/>
                <w:spacing w:val="1"/>
                <w:lang w:val="en-US" w:eastAsia="zh-CN"/>
              </w:rPr>
              <w:t xml:space="preserve">提供认证证书及全国认证认可信息公共服务平台查询截图，不提供不得分。中标单位在中标结果公示后3个工作日内提供原件交采购人核查。</w:t>
            </w:r>
            <w:r/>
          </w:p>
        </w:tc>
        <w:tc>
          <w:tcPr>
            <w:tcW w:w="647" w:type="dxa"/>
            <w:vAlign w:val="center"/>
            <w:textDirection w:val="lrTb"/>
            <w:noWrap w:val="false"/>
          </w:tcPr>
          <w:p>
            <w:pPr>
              <w:jc w:val="center"/>
              <w:keepLines w:val="0"/>
              <w:keepNext w:val="0"/>
              <w:pageBreakBefore w:val="0"/>
              <w:spacing w:before="68" w:line="360" w:lineRule="auto"/>
              <w:widowControl w:val="off"/>
              <w:rPr>
                <w:rFonts w:hint="default" w:ascii="宋体" w:hAnsi="宋体" w:eastAsia="宋体" w:cs="宋体"/>
                <w:lang w:val="en-US" w:eastAsia="zh-CN"/>
              </w:rPr>
            </w:pPr>
            <w:r>
              <w:rPr>
                <w:rFonts w:hint="eastAsia" w:ascii="宋体" w:hAnsi="宋体" w:cs="宋体"/>
                <w:lang w:val="en-US" w:eastAsia="zh-CN"/>
              </w:rPr>
              <w:t xml:space="preserve">4</w:t>
            </w:r>
            <w:r/>
          </w:p>
        </w:tc>
        <w:tc>
          <w:tcPr>
            <w:tcW w:w="900" w:type="dxa"/>
            <w:vAlign w:val="center"/>
            <w:textDirection w:val="lrTb"/>
            <w:noWrap w:val="false"/>
          </w:tcPr>
          <w:p>
            <w:pPr>
              <w:jc w:val="center"/>
              <w:keepLines w:val="0"/>
              <w:keepNext w:val="0"/>
              <w:pageBreakBefore w:val="0"/>
              <w:spacing w:before="68" w:line="360" w:lineRule="auto"/>
              <w:widowControl w:val="off"/>
              <w:rPr>
                <w:rFonts w:ascii="宋体" w:hAnsi="宋体" w:eastAsia="宋体" w:cs="宋体"/>
              </w:rPr>
            </w:pPr>
            <w:r>
              <w:rPr>
                <w:rFonts w:hint="eastAsia" w:ascii="宋体" w:hAnsi="宋体" w:eastAsia="宋体" w:cs="宋体"/>
                <w:spacing w:val="-6"/>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p>
        </w:tc>
      </w:tr>
      <w:tr>
        <w:trPr>
          <w:jc w:val="center"/>
          <w:trHeight w:val="464"/>
        </w:trPr>
        <w:tc>
          <w:tcPr>
            <w:tcW w:w="519" w:type="dxa"/>
            <w:vAlign w:val="center"/>
            <w:textDirection w:val="lrTb"/>
            <w:noWrap w:val="false"/>
          </w:tcPr>
          <w:p>
            <w:pPr>
              <w:jc w:val="center"/>
              <w:keepLines w:val="0"/>
              <w:keepNext w:val="0"/>
              <w:pageBreakBefore w:val="0"/>
              <w:spacing w:line="360" w:lineRule="auto"/>
              <w:widowControl w:val="off"/>
              <w:rPr>
                <w:color w:val="ff0000"/>
              </w:rPr>
            </w:pPr>
            <w:r>
              <w:rPr>
                <w:rFonts w:ascii="宋体" w:hAnsi="宋体" w:eastAsia="宋体" w:cs="宋体"/>
                <w:spacing w:val="-3"/>
              </w:rPr>
              <w:t xml:space="preserve">合</w:t>
            </w:r>
            <w:r>
              <w:rPr>
                <w:rFonts w:ascii="宋体" w:hAnsi="宋体" w:eastAsia="宋体" w:cs="宋体"/>
                <w:spacing w:val="-2"/>
              </w:rPr>
              <w:t xml:space="preserve">计</w:t>
            </w:r>
            <w:r/>
          </w:p>
        </w:tc>
        <w:tc>
          <w:tcPr>
            <w:gridSpan w:val="2"/>
            <w:tcW w:w="7509" w:type="dxa"/>
            <w:vAlign w:val="center"/>
            <w:textDirection w:val="lrTb"/>
            <w:noWrap w:val="false"/>
          </w:tcPr>
          <w:p>
            <w:pPr>
              <w:ind w:left="172"/>
              <w:jc w:val="center"/>
              <w:keepLines w:val="0"/>
              <w:keepNext w:val="0"/>
              <w:pageBreakBefore w:val="0"/>
              <w:spacing w:before="123" w:line="360" w:lineRule="auto"/>
              <w:widowControl w:val="off"/>
              <w:rPr>
                <w:rFonts w:ascii="宋体" w:hAnsi="宋体" w:eastAsia="宋体" w:cs="宋体"/>
                <w:color w:val="ff0000"/>
                <w:spacing w:val="-2"/>
              </w:rPr>
            </w:pPr>
            <w:r>
              <w:rPr>
                <w:rFonts w:ascii="宋体" w:hAnsi="宋体" w:eastAsia="宋体" w:cs="宋体"/>
                <w:color w:val="ff0000"/>
                <w:spacing w:val="-2"/>
              </w:rPr>
            </w:r>
            <w:r/>
          </w:p>
        </w:tc>
        <w:tc>
          <w:tcPr>
            <w:gridSpan w:val="2"/>
            <w:tcW w:w="1547" w:type="dxa"/>
            <w:vAlign w:val="center"/>
            <w:textDirection w:val="lrTb"/>
            <w:noWrap w:val="false"/>
          </w:tcPr>
          <w:p>
            <w:pPr>
              <w:jc w:val="center"/>
              <w:keepLines w:val="0"/>
              <w:keepNext w:val="0"/>
              <w:pageBreakBefore w:val="0"/>
              <w:spacing w:line="360" w:lineRule="auto"/>
              <w:widowControl w:val="off"/>
              <w:rPr>
                <w:color w:val="000000"/>
              </w:rPr>
            </w:pPr>
            <w:r>
              <w:rPr>
                <w:rFonts w:ascii="宋体" w:hAnsi="宋体" w:eastAsia="宋体" w:cs="宋体"/>
                <w:color w:val="000000"/>
                <w:spacing w:val="-11"/>
              </w:rPr>
              <w:t xml:space="preserve">100分</w:t>
            </w:r>
            <w:r/>
          </w:p>
        </w:tc>
      </w:tr>
    </w:tbl>
    <w:p>
      <w:pPr>
        <w:keepLines w:val="0"/>
        <w:keepNext w:val="0"/>
        <w:pageBreakBefore w:val="0"/>
        <w:spacing w:line="240"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ind w:firstLine="482"/>
        <w:keepLines w:val="0"/>
        <w:keepNext w:val="0"/>
        <w:pageBreakBefore w:val="0"/>
        <w:spacing w:line="240"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ind w:firstLine="482"/>
        <w:keepLines w:val="0"/>
        <w:keepNext w:val="0"/>
        <w:pageBreakBefore w:val="0"/>
        <w:spacing w:line="240"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rPr>
          <w:rFonts w:hint="eastAsia"/>
        </w:rPr>
      </w:pPr>
      <w:r>
        <w:rPr>
          <w:rFonts w:hint="eastAsia" w:ascii="方正小标宋简体" w:hAnsi="方正小标宋简体" w:eastAsia="方正小标宋简体" w:cs="方正小标宋简体"/>
          <w:color w:val="000000"/>
          <w:sz w:val="36"/>
          <w:szCs w:val="36"/>
        </w:rPr>
        <w:br w:type="page" w:clear="all"/>
      </w:r>
      <w:r/>
    </w:p>
    <w:p>
      <w:pPr>
        <w:ind w:right="840"/>
        <w:jc w:val="center"/>
        <w:spacing w:before="0" w:after="0" w:line="240" w:lineRule="auto"/>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 xml:space="preserve">第六章  投标</w:t>
      </w:r>
      <w:bookmarkEnd w:id="192"/>
      <w:r/>
      <w:bookmarkEnd w:id="193"/>
      <w:r/>
      <w:bookmarkEnd w:id="196"/>
      <w:r>
        <w:rPr>
          <w:rFonts w:hint="eastAsia" w:ascii="方正小标宋简体" w:hAnsi="方正小标宋简体" w:eastAsia="方正小标宋简体" w:cs="方正小标宋简体"/>
          <w:color w:val="000000"/>
          <w:sz w:val="36"/>
          <w:szCs w:val="36"/>
        </w:rPr>
        <w:t xml:space="preserve">文件格式 </w:t>
      </w:r>
      <w:r/>
    </w:p>
    <w:p>
      <w:pPr>
        <w:jc w:val="center"/>
        <w:rPr>
          <w:rFonts w:hint="eastAsia" w:ascii="宋体" w:hAnsi="宋体"/>
          <w:b/>
          <w:color w:val="000000"/>
          <w:sz w:val="72"/>
          <w:szCs w:val="21"/>
        </w:rPr>
      </w:pPr>
      <w:r/>
      <w:bookmarkStart w:id="197" w:name="_Hlt26671244"/>
      <w:r/>
      <w:bookmarkEnd w:id="197"/>
      <w:r/>
      <w:bookmarkStart w:id="198" w:name="_Hlt26955039"/>
      <w:r/>
      <w:bookmarkEnd w:id="198"/>
      <w:r/>
      <w:bookmarkStart w:id="199" w:name="_Toc26554094"/>
      <w:r/>
      <w:bookmarkStart w:id="200" w:name="_Toc49090576"/>
      <w:r/>
      <w:bookmarkStart w:id="201" w:name="_Toc120614282"/>
      <w:r/>
      <w:r/>
    </w:p>
    <w:p>
      <w:pPr>
        <w:jc w:val="center"/>
        <w:rPr>
          <w:rFonts w:hint="eastAsia" w:ascii="宋体" w:hAnsi="宋体"/>
          <w:b/>
          <w:color w:val="000000"/>
          <w:sz w:val="72"/>
          <w:szCs w:val="21"/>
        </w:rPr>
      </w:pPr>
      <w:r>
        <w:rPr>
          <w:rFonts w:hint="eastAsia" w:ascii="宋体" w:hAnsi="宋体"/>
          <w:b/>
          <w:color w:val="000000"/>
          <w:sz w:val="72"/>
          <w:szCs w:val="21"/>
        </w:rPr>
        <w:t xml:space="preserve">投  标  文  件</w:t>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084"/>
        <w:rPr>
          <w:rFonts w:ascii="宋体" w:hAnsi="宋体" w:eastAsia="宋体"/>
          <w:b/>
          <w:color w:val="000000"/>
          <w:sz w:val="36"/>
          <w:szCs w:val="21"/>
          <w:lang w:val="en-US" w:eastAsia="zh-CN"/>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p>
    <w:p>
      <w:pPr>
        <w:ind w:firstLine="1084"/>
        <w:rPr>
          <w:rFonts w:ascii="宋体" w:hAnsi="宋体" w:eastAsia="宋体"/>
          <w:b/>
          <w:color w:val="000000"/>
          <w:sz w:val="36"/>
          <w:szCs w:val="21"/>
          <w:u w:val="single"/>
          <w:lang w:val="en-US" w:eastAsia="zh-CN"/>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p>
    <w:p>
      <w:pPr>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w:t>
      </w:r>
      <w:r>
        <w:rPr>
          <w:rFonts w:hint="eastAsia" w:ascii="宋体" w:hAnsi="宋体"/>
          <w:b/>
          <w:color w:val="000000"/>
          <w:sz w:val="36"/>
          <w:szCs w:val="21"/>
          <w:u w:val="single"/>
          <w:lang w:val="en-US" w:eastAsia="zh-CN"/>
        </w:rPr>
        <w:t xml:space="preserve">   </w:t>
      </w:r>
      <w:r/>
    </w:p>
    <w:p>
      <w:pPr>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jc w:val="center"/>
        <w:rPr>
          <w:rFonts w:hint="eastAsia" w:ascii="方正黑体_GBK" w:hAnsi="方正黑体_GBK" w:eastAsia="方正黑体_GBK" w:cs="方正黑体_GBK"/>
          <w:b w:val="0"/>
          <w:bCs w:val="0"/>
          <w:color w:val="000000"/>
          <w:sz w:val="32"/>
          <w:szCs w:val="32"/>
        </w:rPr>
      </w:pPr>
      <w:r>
        <w:rPr>
          <w:rFonts w:ascii="宋体" w:hAnsi="宋体"/>
          <w:b/>
          <w:color w:val="000000"/>
          <w:sz w:val="36"/>
          <w:szCs w:val="21"/>
          <w:u w:val="single"/>
        </w:rPr>
        <w:br w:type="page" w:clear="all"/>
      </w:r>
      <w:r>
        <w:rPr>
          <w:rFonts w:hint="eastAsia" w:ascii="方正黑体_GBK" w:hAnsi="方正黑体_GBK" w:eastAsia="方正黑体_GBK" w:cs="方正黑体_GBK"/>
          <w:b w:val="0"/>
          <w:bCs w:val="0"/>
          <w:color w:val="000000"/>
          <w:sz w:val="32"/>
          <w:szCs w:val="32"/>
        </w:rPr>
        <w:t xml:space="preserve">投标文件目录</w:t>
      </w:r>
      <w:bookmarkEnd w:id="199"/>
      <w:r/>
      <w:bookmarkEnd w:id="200"/>
      <w:r/>
      <w:bookmarkEnd w:id="201"/>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bookmarkStart w:id="202" w:name="_Toc120614284"/>
      <w:r>
        <w:rPr>
          <w:rFonts w:hint="eastAsia" w:ascii="宋体" w:hAnsi="宋体" w:eastAsia="宋体" w:cs="宋体"/>
          <w:b w:val="0"/>
          <w:bCs w:val="0"/>
          <w:i w:val="0"/>
          <w:sz w:val="28"/>
          <w:szCs w:val="28"/>
          <w:u w:val="none"/>
          <w:lang w:val="en-US" w:eastAsia="zh-CN"/>
        </w:rPr>
        <w:t xml:space="preserve">一、供应商信用承诺函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四、投标函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五、开标一览表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六、核心产品品牌一览表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七、投标分项报价表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八、技术要求响应及偏离表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十、中小企业声明函（如有）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十一、残疾人福利性单位声明函（如有）</w:t>
      </w:r>
      <w:r/>
    </w:p>
    <w:p>
      <w:pPr>
        <w:ind w:firstLine="560"/>
        <w:spacing w:line="600" w:lineRule="exact"/>
        <w:rPr>
          <w:rFonts w:hint="eastAsia" w:ascii="宋体" w:hAnsi="宋体" w:eastAsia="宋体" w:cs="宋体"/>
          <w:sz w:val="28"/>
          <w:szCs w:val="28"/>
        </w:rPr>
      </w:pPr>
      <w:r>
        <w:rPr>
          <w:rFonts w:hint="eastAsia" w:ascii="宋体" w:hAnsi="宋体" w:eastAsia="宋体" w:cs="宋体"/>
          <w:b w:val="0"/>
          <w:bCs w:val="0"/>
          <w:i w:val="0"/>
          <w:sz w:val="28"/>
          <w:szCs w:val="28"/>
          <w:u w:val="none"/>
          <w:lang w:val="en-US" w:eastAsia="zh-CN"/>
        </w:rPr>
        <w:t xml:space="preserve">十二、关于符合本国产品标准的声明函</w:t>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pStyle w:val="997"/>
        <w:rPr>
          <w:rFonts w:ascii="宋体" w:hAnsi="宋体"/>
          <w:sz w:val="24"/>
        </w:rPr>
      </w:pPr>
      <w:r>
        <w:rPr>
          <w:rFonts w:ascii="宋体" w:hAnsi="宋体"/>
          <w:sz w:val="24"/>
        </w:rPr>
      </w:r>
      <w:r/>
    </w:p>
    <w:p>
      <w:pPr>
        <w:pStyle w:val="997"/>
        <w:rPr>
          <w:rFonts w:ascii="宋体" w:hAnsi="宋体"/>
          <w:sz w:val="24"/>
        </w:rPr>
      </w:pPr>
      <w:r>
        <w:rPr>
          <w:rFonts w:ascii="宋体" w:hAnsi="宋体"/>
          <w:sz w:val="24"/>
        </w:rPr>
      </w:r>
      <w:r/>
    </w:p>
    <w:p>
      <w:pPr>
        <w:pStyle w:val="997"/>
        <w:rPr>
          <w:rFonts w:ascii="宋体" w:hAnsi="宋体"/>
          <w:sz w:val="24"/>
        </w:rPr>
      </w:pPr>
      <w:r>
        <w:rPr>
          <w:rFonts w:ascii="宋体" w:hAnsi="宋体"/>
          <w:sz w:val="24"/>
        </w:rPr>
      </w:r>
      <w:r/>
    </w:p>
    <w:p>
      <w:pPr>
        <w:pStyle w:val="997"/>
        <w:rPr>
          <w:rFonts w:ascii="宋体" w:hAnsi="宋体"/>
          <w:sz w:val="24"/>
        </w:rPr>
      </w:pPr>
      <w:r>
        <w:rPr>
          <w:rFonts w:ascii="宋体" w:hAnsi="宋体"/>
          <w:sz w:val="24"/>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rPr>
          <w:rFonts w:hint="eastAsia" w:ascii="黑体" w:hAnsi="黑体" w:eastAsia="黑体" w:cs="Times New Roman"/>
          <w:bCs/>
          <w:i/>
          <w:sz w:val="32"/>
          <w:szCs w:val="32"/>
          <w:u w:val="single"/>
          <w:lang w:val="en-US" w:eastAsia="zh-CN"/>
        </w:rPr>
      </w:pPr>
      <w:r>
        <w:rPr>
          <w:rFonts w:hint="eastAsia" w:ascii="黑体" w:hAnsi="黑体" w:eastAsia="黑体" w:cs="Times New Roman"/>
          <w:bCs/>
          <w:i/>
          <w:sz w:val="32"/>
          <w:szCs w:val="32"/>
          <w:u w:val="single"/>
          <w:lang w:val="en-US" w:eastAsia="zh-CN"/>
        </w:rPr>
      </w:r>
      <w:r/>
    </w:p>
    <w:p>
      <w:pPr>
        <w:rPr>
          <w:rFonts w:hint="eastAsia" w:ascii="黑体" w:hAnsi="黑体" w:eastAsia="黑体" w:cs="Times New Roman"/>
          <w:bCs/>
          <w:i/>
          <w:sz w:val="32"/>
          <w:szCs w:val="32"/>
          <w:u w:val="single"/>
          <w:lang w:val="en-US" w:eastAsia="zh-CN"/>
        </w:rPr>
      </w:pPr>
      <w:r>
        <w:rPr>
          <w:rFonts w:hint="eastAsia" w:ascii="黑体" w:hAnsi="黑体" w:eastAsia="黑体" w:cs="Times New Roman"/>
          <w:bCs/>
          <w:i/>
          <w:sz w:val="32"/>
          <w:szCs w:val="32"/>
          <w:u w:val="single"/>
          <w:lang w:val="en-US" w:eastAsia="zh-CN"/>
        </w:rPr>
      </w:r>
      <w:r/>
    </w:p>
    <w:p>
      <w:pPr>
        <w:rPr>
          <w:rFonts w:hint="eastAsia" w:ascii="黑体" w:hAnsi="黑体" w:eastAsia="黑体" w:cs="Times New Roman"/>
          <w:bCs/>
          <w:i/>
          <w:sz w:val="32"/>
          <w:szCs w:val="32"/>
          <w:u w:val="single"/>
          <w:lang w:val="en-US" w:eastAsia="zh-CN"/>
        </w:rPr>
      </w:pPr>
      <w:r>
        <w:rPr>
          <w:rFonts w:hint="eastAsia" w:ascii="黑体" w:hAnsi="黑体" w:eastAsia="黑体" w:cs="Times New Roman"/>
          <w:bCs/>
          <w:i/>
          <w:sz w:val="32"/>
          <w:szCs w:val="32"/>
          <w:u w:val="single"/>
          <w:lang w:val="en-US" w:eastAsia="zh-CN"/>
        </w:rPr>
      </w:r>
      <w:r/>
    </w:p>
    <w:p>
      <w:pPr>
        <w:rPr>
          <w:rFonts w:hint="eastAsia" w:ascii="黑体" w:hAnsi="黑体" w:eastAsia="黑体" w:cs="Times New Roman"/>
          <w:bCs/>
          <w:i/>
          <w:sz w:val="32"/>
          <w:szCs w:val="32"/>
          <w:u w:val="single"/>
          <w:lang w:val="en-US" w:eastAsia="zh-CN"/>
        </w:rPr>
      </w:pPr>
      <w:r>
        <w:rPr>
          <w:rFonts w:hint="eastAsia" w:ascii="黑体" w:hAnsi="黑体" w:eastAsia="黑体" w:cs="Times New Roman"/>
          <w:bCs/>
          <w:i/>
          <w:sz w:val="32"/>
          <w:szCs w:val="32"/>
          <w:u w:val="single"/>
          <w:lang w:val="en-US" w:eastAsia="zh-CN"/>
        </w:rPr>
      </w:r>
      <w:r/>
    </w:p>
    <w:p>
      <w:pPr>
        <w:rPr>
          <w:rFonts w:hint="eastAsia" w:ascii="黑体" w:hAnsi="黑体" w:eastAsia="黑体" w:cs="Times New Roman"/>
          <w:bCs/>
          <w:i/>
          <w:sz w:val="32"/>
          <w:szCs w:val="32"/>
          <w:u w:val="single"/>
          <w:lang w:val="en-US" w:eastAsia="zh-CN"/>
        </w:rPr>
      </w:pPr>
      <w:r>
        <w:rPr>
          <w:rFonts w:hint="eastAsia" w:ascii="黑体" w:hAnsi="黑体" w:eastAsia="黑体" w:cs="Times New Roman"/>
          <w:bCs/>
          <w:i/>
          <w:sz w:val="32"/>
          <w:szCs w:val="32"/>
          <w:u w:val="single"/>
          <w:lang w:val="en-US" w:eastAsia="zh-CN"/>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一、供应商信用承诺函</w:t>
      </w:r>
      <w:r/>
    </w:p>
    <w:p>
      <w:pPr>
        <w:jc w:val="center"/>
        <w:spacing w:line="360" w:lineRule="auto"/>
        <w:rPr>
          <w:rFonts w:hint="eastAsia" w:ascii="方正小标宋简体" w:hAnsi="方正小标宋简体" w:eastAsia="方正小标宋简体" w:cs="方正小标宋简体"/>
          <w:color w:val="000000"/>
          <w:sz w:val="32"/>
          <w:szCs w:val="32"/>
          <w:lang w:val="en-US"/>
        </w:rPr>
        <w:outlineLvl w:val="0"/>
      </w:pPr>
      <w:r>
        <w:rPr>
          <w:rFonts w:hint="eastAsia" w:ascii="方正小标宋简体" w:hAnsi="方正小标宋简体" w:eastAsia="方正小标宋简体" w:cs="方正小标宋简体"/>
          <w:color w:val="000000"/>
          <w:sz w:val="32"/>
          <w:szCs w:val="32"/>
          <w:lang w:val="en-US"/>
        </w:rPr>
        <w:t xml:space="preserve">供应商信用承诺函</w:t>
      </w:r>
      <w:r/>
    </w:p>
    <w:p>
      <w:pPr>
        <w:spacing w:line="460" w:lineRule="exact"/>
        <w:rPr>
          <w:rFonts w:hint="eastAsia" w:ascii="宋体" w:hAnsi="宋体" w:eastAsia="宋体" w:cs="Times New Roman"/>
          <w:color w:val="000000"/>
          <w:sz w:val="24"/>
          <w:szCs w:val="24"/>
        </w:rPr>
      </w:pPr>
      <w:r>
        <w:rPr>
          <w:rFonts w:hint="eastAsia" w:ascii="宋体" w:hAnsi="宋体" w:cs="Times New Roman"/>
          <w:color w:val="000000"/>
          <w:sz w:val="24"/>
          <w:szCs w:val="24"/>
          <w:lang w:eastAsia="zh-CN"/>
        </w:rPr>
        <w:t xml:space="preserve">南京市公共资源交易中心浦口分中心</w:t>
      </w:r>
      <w:r>
        <w:rPr>
          <w:rFonts w:hint="eastAsia" w:ascii="宋体" w:hAnsi="宋体" w:eastAsia="宋体" w:cs="Times New Roman"/>
          <w:color w:val="000000"/>
          <w:sz w:val="24"/>
          <w:szCs w:val="24"/>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我公司符合下列要求：</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p>
    <w:p>
      <w:pPr>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(五)参加政府采购活动前三年内，在经营活动中没有重大违法记录</w:t>
      </w:r>
      <w:r>
        <w:rPr>
          <w:rFonts w:hint="eastAsia" w:ascii="宋体" w:hAnsi="宋体" w:eastAsia="宋体" w:cs="Times New Roman"/>
          <w:color w:val="000000"/>
          <w:sz w:val="24"/>
          <w:szCs w:val="24"/>
          <w:lang w:eastAsia="zh-CN"/>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如果我公司中标，将在中标结果公示后七个工作日内向采购人提供下列材料核验：</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p>
    <w:p>
      <w:pPr>
        <w:ind w:firstLine="492"/>
        <w:spacing w:line="460" w:lineRule="exact"/>
        <w:rPr>
          <w:rFonts w:hint="eastAsia"/>
          <w:color w:val="000000"/>
          <w:sz w:val="24"/>
          <w:szCs w:val="24"/>
        </w:rPr>
      </w:pPr>
      <w:r>
        <w:rPr>
          <w:rFonts w:hint="eastAsia"/>
          <w:color w:val="000000"/>
          <w:sz w:val="24"/>
          <w:szCs w:val="24"/>
        </w:rPr>
        <w:t xml:space="preserve">本公司对上述承诺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负责，如有虚假，将依法承担相应责任。</w:t>
      </w:r>
      <w:r/>
    </w:p>
    <w:p>
      <w:pPr>
        <w:ind w:firstLine="492"/>
        <w:spacing w:line="460" w:lineRule="exact"/>
        <w:rPr>
          <w:color w:val="000000"/>
          <w:sz w:val="24"/>
          <w:szCs w:val="24"/>
        </w:rPr>
      </w:pPr>
      <w:r>
        <w:rPr>
          <w:color w:val="000000"/>
          <w:sz w:val="24"/>
          <w:szCs w:val="24"/>
        </w:rPr>
      </w:r>
      <w:r/>
    </w:p>
    <w:p>
      <w:pPr>
        <w:pStyle w:val="998"/>
        <w:rPr>
          <w:color w:val="000000"/>
          <w:sz w:val="24"/>
          <w:szCs w:val="24"/>
        </w:rPr>
      </w:pPr>
      <w:r>
        <w:rPr>
          <w:color w:val="000000"/>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240"/>
        <w:spacing w:line="560" w:lineRule="exact"/>
        <w:rPr>
          <w:rFonts w:hint="eastAsia" w:ascii="宋体" w:hAnsi="宋体"/>
          <w:sz w:val="24"/>
          <w:szCs w:val="24"/>
        </w:rPr>
      </w:pPr>
      <w:r>
        <w:rPr>
          <w:rFonts w:hint="eastAsia"/>
          <w:color w:val="000000"/>
          <w:sz w:val="24"/>
          <w:szCs w:val="24"/>
        </w:rPr>
        <w:t xml:space="preserve">日  期：</w:t>
      </w:r>
      <w:r/>
    </w:p>
    <w:p>
      <w:pPr>
        <w:rPr>
          <w:sz w:val="24"/>
          <w:szCs w:val="24"/>
        </w:rPr>
      </w:pPr>
      <w:r>
        <w:rPr>
          <w:sz w:val="24"/>
          <w:szCs w:val="24"/>
        </w:rPr>
      </w:r>
      <w:r/>
    </w:p>
    <w:p>
      <w:pPr>
        <w:spacing w:line="440" w:lineRule="exact"/>
        <w:rPr>
          <w:rFonts w:hint="eastAsia" w:ascii="宋体" w:hAnsi="宋体"/>
          <w:sz w:val="24"/>
          <w:szCs w:val="24"/>
          <w:lang w:eastAsia="zh-CN"/>
        </w:rPr>
      </w:pPr>
      <w:r>
        <w:rPr>
          <w:rFonts w:hint="eastAsia" w:ascii="宋体" w:hAnsi="宋体"/>
          <w:sz w:val="24"/>
          <w:szCs w:val="24"/>
          <w:lang w:eastAsia="zh-CN"/>
        </w:rPr>
      </w:r>
      <w:r/>
    </w:p>
    <w:p>
      <w:pPr>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rPr>
          <w:rFonts w:hint="eastAsia" w:ascii="黑体" w:hAnsi="黑体" w:eastAsia="黑体" w:cs="Times New Roman"/>
          <w:i/>
          <w:color w:val="000000"/>
          <w:sz w:val="32"/>
          <w:szCs w:val="32"/>
          <w:u w:val="single"/>
          <w:lang w:eastAsia="zh-CN"/>
        </w:rPr>
      </w:pPr>
      <w:r>
        <w:rPr>
          <w:rFonts w:hint="eastAsia" w:ascii="黑体" w:hAnsi="黑体" w:eastAsia="黑体" w:cs="Times New Roman"/>
          <w:i/>
          <w:color w:val="000000"/>
          <w:sz w:val="32"/>
          <w:szCs w:val="32"/>
          <w:u w:val="single"/>
          <w:lang w:eastAsia="zh-CN"/>
        </w:rPr>
      </w:r>
      <w:r/>
    </w:p>
    <w:p>
      <w:pPr>
        <w:pStyle w:val="957"/>
        <w:rPr>
          <w:rFonts w:hint="eastAsia"/>
          <w:lang w:eastAsia="zh-CN"/>
        </w:rPr>
      </w:pPr>
      <w:r>
        <w:rPr>
          <w:rFonts w:hint="eastAsia"/>
          <w:lang w:eastAsia="zh-CN"/>
        </w:rPr>
      </w:r>
      <w:r/>
    </w:p>
    <w:p>
      <w:pPr>
        <w:rPr>
          <w:rFonts w:hint="eastAsia"/>
          <w:lang w:eastAsia="zh-CN"/>
        </w:rPr>
      </w:pPr>
      <w:r>
        <w:rPr>
          <w:rFonts w:hint="eastAsia"/>
          <w:lang w:eastAsia="zh-CN"/>
        </w:rPr>
      </w:r>
      <w:r/>
    </w:p>
    <w:p>
      <w:pPr>
        <w:rPr>
          <w:rFonts w:hint="eastAsia" w:ascii="黑体" w:hAnsi="黑体" w:eastAsia="黑体" w:cs="Times New Roman"/>
          <w:i w:val="0"/>
          <w:color w:val="000000"/>
          <w:sz w:val="32"/>
          <w:szCs w:val="32"/>
          <w:u w:val="none"/>
          <w:lang w:eastAsia="zh-CN"/>
        </w:rPr>
      </w:pPr>
      <w:r>
        <w:rPr>
          <w:rFonts w:hint="eastAsia" w:ascii="黑体" w:hAnsi="黑体" w:eastAsia="黑体" w:cs="Times New Roman"/>
          <w:i w:val="0"/>
          <w:color w:val="000000"/>
          <w:sz w:val="32"/>
          <w:szCs w:val="32"/>
          <w:u w:val="none"/>
          <w:lang w:eastAsia="zh-CN"/>
        </w:rPr>
      </w:r>
      <w:r/>
    </w:p>
    <w:p>
      <w:pPr>
        <w:rPr>
          <w:rFonts w:hint="eastAsia" w:ascii="黑体" w:hAnsi="黑体" w:eastAsia="黑体" w:cs="Times New Roman"/>
          <w:i/>
          <w:color w:val="000000"/>
          <w:sz w:val="32"/>
          <w:szCs w:val="32"/>
          <w:u w:val="single"/>
        </w:rPr>
      </w:pPr>
      <w:r>
        <w:rPr>
          <w:rFonts w:hint="eastAsia" w:ascii="黑体" w:hAnsi="黑体" w:eastAsia="黑体" w:cs="Times New Roman"/>
          <w:i w:val="0"/>
          <w:color w:val="000000"/>
          <w:sz w:val="32"/>
          <w:szCs w:val="32"/>
          <w:u w:val="none"/>
          <w:lang w:eastAsia="zh-CN"/>
        </w:rPr>
        <w:t xml:space="preserve">二</w:t>
      </w:r>
      <w:r>
        <w:rPr>
          <w:rFonts w:hint="eastAsia" w:ascii="黑体" w:hAnsi="黑体" w:eastAsia="黑体" w:cs="Times New Roman"/>
          <w:i w:val="0"/>
          <w:color w:val="000000"/>
          <w:sz w:val="32"/>
          <w:szCs w:val="32"/>
          <w:u w:val="none"/>
        </w:rPr>
        <w:t xml:space="preserve">、</w:t>
      </w:r>
      <w:r>
        <w:rPr>
          <w:rFonts w:hint="eastAsia" w:ascii="黑体" w:hAnsi="黑体" w:eastAsia="黑体" w:cs="Times New Roman"/>
          <w:i w:val="0"/>
          <w:color w:val="000000"/>
          <w:sz w:val="32"/>
          <w:szCs w:val="32"/>
          <w:u w:val="none"/>
          <w:lang w:val="en-US" w:eastAsia="zh-CN"/>
        </w:rPr>
        <w:t xml:space="preserve">满足</w:t>
      </w:r>
      <w:r>
        <w:rPr>
          <w:rFonts w:hint="eastAsia" w:ascii="黑体" w:hAnsi="黑体" w:eastAsia="黑体" w:cs="Times New Roman"/>
          <w:i w:val="0"/>
          <w:color w:val="000000"/>
          <w:sz w:val="32"/>
          <w:szCs w:val="32"/>
          <w:u w:val="none"/>
        </w:rPr>
        <w:t xml:space="preserve">特定资格要求的证明文件</w:t>
      </w:r>
      <w:r/>
    </w:p>
    <w:p>
      <w:pPr>
        <w:pStyle w:val="968"/>
        <w:ind w:firstLine="48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本项目申请人的特定资格要求中要求提供的</w:t>
      </w:r>
      <w:r>
        <w:rPr>
          <w:rFonts w:hint="eastAsia" w:ascii="Times New Roman" w:hAnsi="Times New Roman" w:eastAsia="宋体" w:cs="Times New Roman"/>
          <w:sz w:val="24"/>
          <w:szCs w:val="24"/>
          <w:lang w:val="en-US" w:eastAsia="zh-CN"/>
        </w:rPr>
        <w:t xml:space="preserve">材料</w:t>
      </w:r>
      <w:r>
        <w:rPr>
          <w:rFonts w:hint="eastAsia" w:ascii="Times New Roman" w:hAnsi="Times New Roman" w:eastAsia="宋体" w:cs="Times New Roman"/>
          <w:sz w:val="24"/>
          <w:szCs w:val="24"/>
        </w:rPr>
        <w:t xml:space="preserve">。</w:t>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959"/>
        <w:rPr>
          <w:rFonts w:hint="eastAsia"/>
        </w:rPr>
      </w:pPr>
      <w:r>
        <w:rPr>
          <w:rFonts w:hint="eastAsia"/>
        </w:rPr>
      </w:r>
      <w:r/>
    </w:p>
    <w:p>
      <w:pPr>
        <w:rPr>
          <w:rFonts w:hint="eastAsia"/>
        </w:rPr>
      </w:pPr>
      <w:r>
        <w:rPr>
          <w:rFonts w:hint="eastAsia"/>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jc w:val="left"/>
        <w:spacing w:line="360" w:lineRule="auto"/>
        <w:rPr>
          <w:rFonts w:hint="eastAsia" w:ascii="黑体" w:hAnsi="黑体" w:eastAsia="黑体" w:cs="Times New Roman"/>
          <w:i w:val="0"/>
          <w:sz w:val="32"/>
          <w:szCs w:val="32"/>
          <w:u w:val="none"/>
        </w:rPr>
      </w:pPr>
      <w:r>
        <w:rPr>
          <w:rFonts w:hint="eastAsia" w:ascii="黑体" w:hAnsi="黑体" w:eastAsia="黑体" w:cs="Times New Roman"/>
          <w:i w:val="0"/>
          <w:sz w:val="32"/>
          <w:szCs w:val="32"/>
          <w:u w:val="none"/>
          <w:lang w:eastAsia="zh-CN"/>
        </w:rPr>
        <w:t xml:space="preserve">三</w:t>
      </w:r>
      <w:r>
        <w:rPr>
          <w:rFonts w:hint="eastAsia" w:ascii="黑体" w:hAnsi="黑体" w:eastAsia="黑体" w:cs="Times New Roman"/>
          <w:i w:val="0"/>
          <w:sz w:val="32"/>
          <w:szCs w:val="32"/>
          <w:u w:val="none"/>
        </w:rPr>
        <w:t xml:space="preserve">、法人授权书</w:t>
      </w:r>
      <w:r/>
    </w:p>
    <w:p>
      <w:pPr>
        <w:jc w:val="center"/>
        <w:spacing w:line="420" w:lineRule="exact"/>
        <w:rPr>
          <w:rFonts w:hint="eastAsia" w:ascii="方正小标宋简体" w:hAnsi="方正小标宋简体" w:eastAsia="方正小标宋简体" w:cs="方正小标宋简体"/>
          <w:color w:val="000000"/>
          <w:sz w:val="32"/>
          <w:szCs w:val="32"/>
          <w:lang w:val="en-US"/>
        </w:rPr>
        <w:outlineLvl w:val="0"/>
      </w:pPr>
      <w:r>
        <w:rPr>
          <w:rFonts w:hint="eastAsia" w:ascii="方正小标宋简体" w:hAnsi="方正小标宋简体" w:eastAsia="方正小标宋简体" w:cs="方正小标宋简体"/>
          <w:color w:val="000000"/>
          <w:sz w:val="32"/>
          <w:szCs w:val="32"/>
          <w:lang w:val="en-US"/>
        </w:rPr>
        <w:t xml:space="preserve">法人授权书</w:t>
      </w:r>
      <w:r/>
    </w:p>
    <w:p>
      <w:pPr>
        <w:pStyle w:val="968"/>
        <w:ind w:firstLine="480"/>
        <w:spacing w:line="420" w:lineRule="exact"/>
        <w:rPr>
          <w:rFonts w:hint="eastAsia"/>
          <w:sz w:val="24"/>
          <w:szCs w:val="24"/>
        </w:rPr>
      </w:pPr>
      <w:r>
        <w:rPr>
          <w:rFonts w:hint="eastAsia"/>
          <w:sz w:val="24"/>
          <w:szCs w:val="24"/>
        </w:rPr>
      </w:r>
      <w:r/>
    </w:p>
    <w:p>
      <w:pPr>
        <w:pStyle w:val="968"/>
        <w:ind w:firstLine="480"/>
        <w:spacing w:line="480" w:lineRule="exact"/>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（投标人名称）授权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（被授权人姓名）</w:t>
      </w:r>
      <w:r>
        <w:rPr>
          <w:rFonts w:hint="eastAsia"/>
          <w:sz w:val="24"/>
          <w:szCs w:val="24"/>
          <w:lang w:val="en-US" w:eastAsia="zh-CN"/>
        </w:rPr>
        <w:t xml:space="preserve">作</w:t>
      </w:r>
      <w:r>
        <w:rPr>
          <w:rFonts w:hint="eastAsia"/>
          <w:sz w:val="24"/>
          <w:szCs w:val="24"/>
        </w:rPr>
        <w:t xml:space="preserve">为我方</w:t>
      </w:r>
      <w:r>
        <w:rPr>
          <w:rFonts w:hint="eastAsia"/>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sz w:val="24"/>
          <w:szCs w:val="24"/>
        </w:rPr>
        <w:t xml:space="preserve">项目采购活动的合法代理人，以本单位名义全权处理一切与该项目采购有关的事务。</w:t>
      </w:r>
      <w:r/>
    </w:p>
    <w:p>
      <w:pPr>
        <w:pStyle w:val="968"/>
        <w:ind w:firstLine="480"/>
        <w:spacing w:line="480" w:lineRule="exact"/>
        <w:rPr>
          <w:rFonts w:hint="eastAsia"/>
          <w:sz w:val="24"/>
          <w:szCs w:val="24"/>
        </w:rPr>
      </w:pPr>
      <w:r>
        <w:rPr>
          <w:rFonts w:hint="eastAsia"/>
          <w:sz w:val="24"/>
          <w:szCs w:val="24"/>
        </w:rPr>
        <w:t xml:space="preserve">本授权书</w:t>
      </w:r>
      <w:r>
        <w:rPr>
          <w:rFonts w:hint="eastAsia"/>
          <w:sz w:val="24"/>
          <w:szCs w:val="24"/>
          <w:lang w:val="en-US" w:eastAsia="zh-CN"/>
        </w:rPr>
        <w:t xml:space="preserve">自</w:t>
      </w:r>
      <w:r>
        <w:rPr>
          <w:rFonts w:hint="eastAsia"/>
          <w:sz w:val="24"/>
          <w:szCs w:val="24"/>
        </w:rPr>
        <w:t xml:space="preserve">______年____月____日起生效，特此声明。</w:t>
      </w:r>
      <w:r/>
    </w:p>
    <w:p>
      <w:pPr>
        <w:pStyle w:val="968"/>
        <w:ind w:firstLine="480"/>
        <w:spacing w:line="480" w:lineRule="exact"/>
        <w:rPr>
          <w:rFonts w:hint="eastAsia"/>
          <w:sz w:val="24"/>
          <w:szCs w:val="24"/>
        </w:rPr>
      </w:pPr>
      <w:r>
        <w:rPr>
          <w:rFonts w:hint="eastAsia"/>
          <w:sz w:val="24"/>
          <w:szCs w:val="24"/>
        </w:rPr>
        <w:t xml:space="preserve">被授权人身份证号码：</w:t>
      </w:r>
      <w:r/>
    </w:p>
    <w:p>
      <w:pPr>
        <w:pStyle w:val="968"/>
        <w:ind w:firstLine="480"/>
        <w:spacing w:line="480" w:lineRule="exact"/>
        <w:rPr>
          <w:rFonts w:hint="eastAsia" w:eastAsia="宋体"/>
          <w:sz w:val="24"/>
          <w:szCs w:val="24"/>
          <w:u w:val="single"/>
          <w:lang w:val="en-US" w:eastAsia="zh-CN"/>
        </w:rPr>
      </w:pPr>
      <w:r>
        <w:rPr>
          <w:rFonts w:hint="eastAsia"/>
          <w:sz w:val="24"/>
          <w:szCs w:val="24"/>
        </w:rPr>
        <w:t xml:space="preserve">被授权人联系电话：（手机）</w:t>
      </w:r>
      <w:r/>
    </w:p>
    <w:p>
      <w:pPr>
        <w:pStyle w:val="968"/>
        <w:spacing w:line="480" w:lineRule="exact"/>
        <w:rPr>
          <w:rFonts w:eastAsia="宋体"/>
          <w:sz w:val="24"/>
          <w:szCs w:val="24"/>
          <w:lang w:val="en-US" w:eastAsia="zh-CN"/>
        </w:rPr>
      </w:pPr>
      <w:r>
        <w:rPr>
          <w:rFonts w:hint="eastAsia"/>
          <w:sz w:val="24"/>
          <w:szCs w:val="24"/>
          <w:lang w:val="en-US" w:eastAsia="zh-CN"/>
        </w:rPr>
        <w:t xml:space="preserve">单位</w:t>
      </w:r>
      <w:r>
        <w:rPr>
          <w:rFonts w:hint="eastAsia"/>
          <w:sz w:val="24"/>
          <w:szCs w:val="24"/>
        </w:rPr>
        <w:t xml:space="preserve">名称：</w:t>
      </w:r>
      <w:r>
        <w:rPr>
          <w:rFonts w:hint="eastAsia" w:ascii="宋体" w:hAnsi="宋体" w:eastAsia="宋体" w:cs="宋体"/>
          <w:sz w:val="24"/>
          <w:szCs w:val="24"/>
          <w:u w:val="none"/>
        </w:rPr>
        <w:t xml:space="preserve">（加盖电子公章）</w:t>
      </w:r>
      <w:r/>
    </w:p>
    <w:p>
      <w:pPr>
        <w:pStyle w:val="968"/>
        <w:ind w:firstLine="480"/>
        <w:spacing w:line="480" w:lineRule="exact"/>
        <w:rPr>
          <w:rFonts w:hint="eastAsia"/>
          <w:sz w:val="24"/>
          <w:szCs w:val="24"/>
          <w:u w:val="single"/>
        </w:rPr>
      </w:pPr>
      <w:r>
        <w:rPr>
          <w:rFonts w:hint="eastAsia"/>
          <w:sz w:val="24"/>
          <w:szCs w:val="24"/>
        </w:rPr>
        <w:t xml:space="preserve">单位地址：</w:t>
      </w:r>
      <w:r/>
    </w:p>
    <w:p>
      <w:pPr>
        <w:pStyle w:val="968"/>
        <w:ind w:firstLine="480"/>
        <w:spacing w:line="480" w:lineRule="exact"/>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203" w:name="_Hlt26955070"/>
      <w:r/>
      <w:bookmarkEnd w:id="203"/>
      <w:r/>
      <w:bookmarkStart w:id="204" w:name="_Hlt26671380"/>
      <w:r/>
      <w:bookmarkEnd w:id="204"/>
      <w:r/>
      <w:bookmarkStart w:id="205" w:name="_格式3__银行出具的资信证明"/>
      <w:r/>
      <w:bookmarkEnd w:id="205"/>
      <w:r/>
      <w:r/>
    </w:p>
    <w:p>
      <w:pPr>
        <w:pStyle w:val="883"/>
        <w:rPr>
          <w:rFonts w:hint="eastAsia"/>
          <w:i/>
          <w:sz w:val="24"/>
          <w:szCs w:val="24"/>
          <w:u w:val="single"/>
        </w:rPr>
      </w:pPr>
      <w:r>
        <w:rPr>
          <w:rFonts w:hint="eastAsia"/>
          <w:i/>
          <w:sz w:val="24"/>
          <w:szCs w:val="24"/>
          <w:u w:val="single"/>
        </w:rPr>
      </w:r>
      <w:r/>
    </w:p>
    <w:p>
      <w:pPr>
        <w:pStyle w:val="883"/>
        <w:ind w:firstLine="0"/>
        <w:rPr>
          <w:rFonts w:hint="eastAsia"/>
        </w:rPr>
      </w:pPr>
      <w:r>
        <w:rPr>
          <w:rFonts w:hint="eastAsia"/>
        </w:rPr>
      </w:r>
      <w:r/>
    </w:p>
    <w:p>
      <w:pPr>
        <w:spacing w:line="460" w:lineRule="exact"/>
        <w:rPr>
          <w:rFonts w:hint="eastAsia" w:ascii="楷体" w:hAnsi="楷体" w:eastAsia="楷体"/>
          <w:sz w:val="24"/>
          <w:szCs w:val="24"/>
        </w:rPr>
      </w:pPr>
      <w:r>
        <w:rPr>
          <w:rFonts w:hint="eastAsia" w:ascii="楷体" w:hAnsi="楷体" w:eastAsia="楷体"/>
          <w:sz w:val="24"/>
          <w:szCs w:val="24"/>
        </w:rPr>
      </w:r>
      <w:r/>
    </w:p>
    <w:p>
      <w:pPr>
        <w:spacing w:line="460" w:lineRule="exact"/>
        <w:rPr>
          <w:rFonts w:hint="eastAsia" w:ascii="楷体" w:hAnsi="楷体" w:eastAsia="楷体"/>
          <w:sz w:val="24"/>
          <w:szCs w:val="24"/>
        </w:rPr>
      </w:pPr>
      <w:r>
        <w:rPr>
          <w:rFonts w:hint="eastAsia" w:ascii="楷体" w:hAnsi="楷体" w:eastAsia="楷体"/>
          <w:sz w:val="24"/>
          <w:szCs w:val="24"/>
        </w:rPr>
      </w:r>
      <w:r/>
    </w:p>
    <w:p>
      <w:pPr>
        <w:spacing w:line="460" w:lineRule="exact"/>
        <w:rPr>
          <w:rFonts w:hint="eastAsia" w:ascii="楷体" w:hAnsi="楷体" w:eastAsia="楷体"/>
          <w:sz w:val="24"/>
          <w:szCs w:val="24"/>
        </w:rPr>
      </w:pPr>
      <w:r>
        <w:rPr>
          <w:rFonts w:hint="eastAsia" w:ascii="楷体" w:hAnsi="楷体" w:eastAsia="楷体"/>
          <w:sz w:val="24"/>
          <w:szCs w:val="24"/>
        </w:rPr>
      </w:r>
      <w:r/>
    </w:p>
    <w:p>
      <w:pPr>
        <w:spacing w:line="460" w:lineRule="exact"/>
        <w:rPr>
          <w:rFonts w:hint="eastAsia" w:ascii="楷体" w:hAnsi="楷体" w:eastAsia="楷体"/>
          <w:sz w:val="24"/>
          <w:szCs w:val="24"/>
        </w:rPr>
      </w:pPr>
      <w:r>
        <w:rPr>
          <w:rFonts w:hint="eastAsia" w:ascii="楷体" w:hAnsi="楷体" w:eastAsia="楷体"/>
          <w:sz w:val="24"/>
          <w:szCs w:val="24"/>
        </w:rPr>
      </w:r>
      <w:r/>
    </w:p>
    <w:p>
      <w:pPr>
        <w:spacing w:line="460" w:lineRule="exact"/>
        <w:rPr>
          <w:rFonts w:hint="eastAsia" w:ascii="楷体" w:hAnsi="楷体" w:eastAsia="楷体"/>
          <w:sz w:val="24"/>
          <w:szCs w:val="24"/>
        </w:rPr>
      </w:pPr>
      <w:r>
        <w:rPr>
          <w:rFonts w:hint="eastAsia" w:ascii="楷体" w:hAnsi="楷体" w:eastAsia="楷体"/>
          <w:sz w:val="24"/>
          <w:szCs w:val="24"/>
        </w:rPr>
      </w:r>
      <w:r/>
    </w:p>
    <w:p>
      <w:pPr>
        <w:spacing w:line="460" w:lineRule="exact"/>
        <w:rPr>
          <w:rFonts w:hint="eastAsia" w:ascii="宋体" w:hAnsi="宋体"/>
          <w:bCs/>
          <w:sz w:val="24"/>
        </w:rPr>
      </w:pPr>
      <w:r>
        <w:rPr>
          <w:rFonts w:hint="eastAsia" w:ascii="宋体" w:hAnsi="宋体"/>
          <w:bCs/>
          <w:sz w:val="24"/>
        </w:rPr>
      </w:r>
      <w:r/>
    </w:p>
    <w:p>
      <w:pPr>
        <w:pStyle w:val="997"/>
        <w:rPr>
          <w:rFonts w:hint="eastAsia" w:ascii="宋体" w:hAnsi="宋体"/>
          <w:bCs/>
          <w:sz w:val="24"/>
        </w:rPr>
      </w:pPr>
      <w:r>
        <w:rPr>
          <w:rFonts w:hint="eastAsia" w:ascii="宋体" w:hAnsi="宋体"/>
          <w:bCs/>
          <w:sz w:val="24"/>
        </w:rPr>
      </w:r>
      <w:r/>
    </w:p>
    <w:p>
      <w:pPr>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val="en-US" w:eastAsia="zh-CN"/>
        </w:rPr>
        <w:t xml:space="preserve">四、投标函</w:t>
      </w:r>
      <w:r/>
    </w:p>
    <w:p>
      <w:pPr>
        <w:jc w:val="center"/>
        <w:spacing w:line="360" w:lineRule="auto"/>
        <w:rPr>
          <w:rFonts w:hint="eastAsia" w:ascii="方正小标宋简体" w:hAnsi="方正小标宋简体" w:eastAsia="方正小标宋简体" w:cs="方正小标宋简体"/>
          <w:color w:val="000000"/>
          <w:sz w:val="32"/>
          <w:szCs w:val="32"/>
          <w:lang w:val="en-US"/>
        </w:rPr>
        <w:outlineLvl w:val="0"/>
      </w:pPr>
      <w:r>
        <w:rPr>
          <w:rFonts w:hint="eastAsia" w:ascii="方正小标宋简体" w:hAnsi="方正小标宋简体" w:eastAsia="方正小标宋简体" w:cs="方正小标宋简体"/>
          <w:color w:val="000000"/>
          <w:sz w:val="32"/>
          <w:szCs w:val="32"/>
          <w:lang w:val="en-US" w:eastAsia="zh-CN"/>
        </w:rPr>
        <w:t xml:space="preserve">投标函</w:t>
      </w:r>
      <w:r/>
    </w:p>
    <w:p>
      <w:pPr>
        <w:pStyle w:val="970"/>
        <w:spacing w:before="0" w:after="0" w:line="420" w:lineRule="exact"/>
        <w:rPr>
          <w:rFonts w:hint="eastAsia" w:ascii="宋体" w:hAnsi="宋体"/>
          <w:szCs w:val="21"/>
          <w:lang w:eastAsia="zh-CN"/>
        </w:rPr>
      </w:pPr>
      <w:r>
        <w:rPr>
          <w:rFonts w:hint="eastAsia" w:ascii="宋体" w:hAnsi="宋体"/>
          <w:szCs w:val="21"/>
        </w:rPr>
        <w:t xml:space="preserve">致：</w:t>
      </w:r>
      <w:r>
        <w:rPr>
          <w:rFonts w:hint="eastAsia" w:ascii="宋体" w:hAnsi="宋体"/>
          <w:szCs w:val="21"/>
          <w:lang w:eastAsia="zh-CN"/>
        </w:rPr>
        <w:t xml:space="preserve">南京市公共资源交易中心浦口分中心</w:t>
      </w:r>
      <w:r/>
    </w:p>
    <w:p>
      <w:pPr>
        <w:pStyle w:val="970"/>
        <w:ind w:firstLine="480"/>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szCs w:val="21"/>
        </w:rPr>
        <w:t xml:space="preserve">招标文件，</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交投标函，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p>
    <w:p>
      <w:pPr>
        <w:pStyle w:val="970"/>
        <w:spacing w:before="0" w:after="0" w:line="420" w:lineRule="exact"/>
        <w:rPr>
          <w:rFonts w:hint="eastAsia" w:ascii="宋体" w:hAnsi="宋体"/>
          <w:szCs w:val="21"/>
        </w:rPr>
      </w:pPr>
      <w:r>
        <w:rPr>
          <w:rFonts w:hint="eastAsia" w:ascii="宋体" w:hAnsi="宋体"/>
          <w:szCs w:val="21"/>
        </w:rPr>
        <w:t xml:space="preserve">1.按招标文件规定的各项要求，向买方提供所需</w:t>
      </w:r>
      <w:r>
        <w:rPr>
          <w:rFonts w:hint="eastAsia" w:ascii="宋体" w:hAnsi="宋体"/>
          <w:szCs w:val="21"/>
          <w:lang w:val="en-US" w:eastAsia="zh-CN"/>
        </w:rPr>
        <w:t xml:space="preserve">货物</w:t>
      </w:r>
      <w:r>
        <w:rPr>
          <w:rFonts w:hint="eastAsia" w:ascii="宋体" w:hAnsi="宋体"/>
          <w:szCs w:val="21"/>
        </w:rPr>
        <w:t xml:space="preserve">（包含与</w:t>
      </w:r>
      <w:r>
        <w:rPr>
          <w:rFonts w:hint="eastAsia" w:ascii="宋体" w:hAnsi="宋体"/>
          <w:szCs w:val="21"/>
          <w:lang w:val="en-US" w:eastAsia="zh-CN"/>
        </w:rPr>
        <w:t xml:space="preserve">货物</w:t>
      </w:r>
      <w:r>
        <w:rPr>
          <w:rFonts w:hint="eastAsia" w:ascii="宋体" w:hAnsi="宋体"/>
          <w:szCs w:val="21"/>
        </w:rPr>
        <w:t xml:space="preserve">相关的</w:t>
      </w:r>
      <w:r>
        <w:rPr>
          <w:rFonts w:hint="eastAsia" w:ascii="宋体" w:hAnsi="宋体"/>
          <w:szCs w:val="21"/>
          <w:lang w:val="en-US" w:eastAsia="zh-CN"/>
        </w:rPr>
        <w:t xml:space="preserve">服务</w:t>
      </w:r>
      <w:r>
        <w:rPr>
          <w:rFonts w:hint="eastAsia" w:ascii="宋体" w:hAnsi="宋体"/>
          <w:szCs w:val="21"/>
        </w:rPr>
        <w:t xml:space="preserve">）。</w:t>
      </w:r>
      <w:r/>
    </w:p>
    <w:p>
      <w:pPr>
        <w:pStyle w:val="970"/>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70"/>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70"/>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70"/>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70"/>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w:t>
      </w:r>
      <w:r>
        <w:rPr>
          <w:rFonts w:hint="eastAsia" w:ascii="宋体" w:hAnsi="宋体"/>
          <w:szCs w:val="21"/>
          <w:lang w:eastAsia="zh-CN"/>
        </w:rPr>
        <w:t xml:space="preserve">，</w:t>
      </w:r>
      <w:r>
        <w:rPr>
          <w:rFonts w:hint="eastAsia" w:ascii="宋体" w:hAnsi="宋体"/>
          <w:szCs w:val="21"/>
        </w:rPr>
        <w:t xml:space="preserve">我方将根据招标文件的规定，严格履行合同的责任和义务</w:t>
      </w:r>
      <w:r>
        <w:rPr>
          <w:rFonts w:hint="eastAsia" w:ascii="宋体" w:hAnsi="宋体"/>
          <w:szCs w:val="21"/>
          <w:lang w:eastAsia="zh-CN"/>
        </w:rPr>
        <w:t xml:space="preserve">，</w:t>
      </w:r>
      <w:r>
        <w:rPr>
          <w:rFonts w:hint="eastAsia" w:ascii="宋体" w:hAnsi="宋体"/>
          <w:szCs w:val="21"/>
        </w:rPr>
        <w:t xml:space="preserve">并保证在招标文件规定的时间完成项目，交付买方验收、使用。</w:t>
      </w:r>
      <w:r/>
    </w:p>
    <w:p>
      <w:pPr>
        <w:ind w:firstLine="480"/>
        <w:jc w:val="left"/>
        <w:spacing w:line="420" w:lineRule="exac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p>
    <w:p>
      <w:pPr>
        <w:ind w:firstLine="480"/>
        <w:jc w:val="left"/>
        <w:spacing w:line="420" w:lineRule="exac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8.我方为：</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民营企业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非民营企业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其他（在对应内打“√”）</w:t>
      </w:r>
      <w:r/>
    </w:p>
    <w:p>
      <w:pPr>
        <w:ind w:firstLine="480"/>
        <w:jc w:val="left"/>
        <w:spacing w:line="420" w:lineRule="exac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9.我方与本次投标有关信息</w:t>
      </w:r>
      <w:r/>
    </w:p>
    <w:p>
      <w:pPr>
        <w:pStyle w:val="970"/>
        <w:ind w:left="0" w:firstLine="480"/>
        <w:spacing w:before="0" w:after="0" w:line="420" w:lineRule="exact"/>
        <w:rPr>
          <w:rFonts w:hint="eastAsia" w:ascii="宋体" w:hAnsi="宋体"/>
          <w:szCs w:val="21"/>
        </w:rPr>
      </w:pPr>
      <w:r>
        <w:rPr>
          <w:rFonts w:hint="eastAsia" w:ascii="宋体" w:hAnsi="宋体"/>
          <w:szCs w:val="21"/>
        </w:rPr>
        <w:t xml:space="preserve">地  址：</w:t>
      </w:r>
      <w:r/>
    </w:p>
    <w:p>
      <w:pPr>
        <w:pStyle w:val="970"/>
        <w:ind w:left="0" w:firstLine="480"/>
        <w:spacing w:before="0" w:after="0" w:line="420" w:lineRule="exact"/>
        <w:rPr>
          <w:rFonts w:hint="eastAsia" w:ascii="宋体" w:hAnsi="宋体"/>
          <w:szCs w:val="21"/>
          <w:u w:val="none"/>
          <w:lang w:val="en-US" w:eastAsia="zh-CN"/>
        </w:rPr>
      </w:pPr>
      <w:r>
        <w:rPr>
          <w:rFonts w:hint="eastAsia" w:ascii="宋体" w:hAnsi="宋体"/>
          <w:szCs w:val="21"/>
        </w:rPr>
        <w:t xml:space="preserve">邮  编：</w:t>
      </w:r>
      <w:r/>
    </w:p>
    <w:p>
      <w:pPr>
        <w:pStyle w:val="970"/>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电  话：</w:t>
      </w:r>
      <w:r/>
    </w:p>
    <w:p>
      <w:pPr>
        <w:pStyle w:val="970"/>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传  真：</w:t>
      </w:r>
      <w:r/>
    </w:p>
    <w:p>
      <w:pPr>
        <w:pStyle w:val="970"/>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开户行：</w:t>
      </w:r>
      <w:r/>
    </w:p>
    <w:p>
      <w:pPr>
        <w:pStyle w:val="970"/>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账  号：</w:t>
      </w:r>
      <w:r/>
    </w:p>
    <w:p>
      <w:pPr>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p>
    <w:p>
      <w:pPr>
        <w:pStyle w:val="970"/>
        <w:ind w:left="0" w:firstLine="480"/>
        <w:spacing w:before="0" w:after="0" w:line="420" w:lineRule="exact"/>
        <w:rPr>
          <w:rFonts w:hint="eastAsia" w:ascii="宋体" w:hAnsi="宋体"/>
          <w:szCs w:val="21"/>
        </w:rPr>
      </w:pPr>
      <w:r>
        <w:rPr>
          <w:rFonts w:hint="eastAsia" w:ascii="宋体" w:hAnsi="宋体"/>
          <w:szCs w:val="21"/>
        </w:rPr>
        <w:t xml:space="preserve">日  期：</w:t>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五、开标一览表</w:t>
      </w:r>
      <w:r/>
    </w:p>
    <w:p>
      <w:pPr>
        <w:jc w:val="center"/>
        <w:spacing w:line="360" w:lineRule="auto"/>
        <w:rPr>
          <w:rFonts w:hint="eastAsia" w:ascii="方正小标宋简体" w:hAnsi="方正小标宋简体" w:eastAsia="方正小标宋简体" w:cs="方正小标宋简体"/>
          <w:color w:val="000000"/>
          <w:sz w:val="32"/>
          <w:szCs w:val="32"/>
          <w:lang w:val="en-US" w:eastAsia="zh-CN"/>
        </w:rPr>
        <w:outlineLvl w:val="0"/>
      </w:pPr>
      <w:r>
        <w:rPr>
          <w:rFonts w:hint="eastAsia" w:ascii="方正小标宋简体" w:hAnsi="方正小标宋简体" w:eastAsia="方正小标宋简体" w:cs="方正小标宋简体"/>
          <w:color w:val="000000"/>
          <w:sz w:val="32"/>
          <w:szCs w:val="32"/>
          <w:lang w:val="en-US" w:eastAsia="zh-CN"/>
        </w:rPr>
        <w:t xml:space="preserve">开标一览表</w:t>
      </w:r>
      <w:r/>
    </w:p>
    <w:p>
      <w:pPr>
        <w:ind w:firstLine="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p>
    <w:p>
      <w:pPr>
        <w:ind w:firstLine="0"/>
        <w:rPr>
          <w:sz w:val="24"/>
          <w:szCs w:val="24"/>
        </w:rPr>
      </w:pPr>
      <w:r>
        <w:rPr>
          <w:rFonts w:hint="eastAsia" w:ascii="宋体" w:hAnsi="宋体"/>
          <w:sz w:val="24"/>
          <w:szCs w:val="24"/>
        </w:rPr>
        <w:t xml:space="preserve">项目名称：</w:t>
      </w:r>
      <w:r/>
    </w:p>
    <w:p>
      <w:pPr>
        <w:ind w:firstLine="0"/>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分包号：</w:t>
      </w:r>
      <w:r/>
    </w:p>
    <w:tbl>
      <w:tblPr>
        <w:tblStyle w:val="705"/>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投标总报价</w:t>
            </w:r>
            <w:r/>
          </w:p>
        </w:tc>
      </w:tr>
      <w:tr>
        <w:trPr>
          <w:cantSplit/>
          <w:trHeight w:val="720"/>
        </w:trPr>
        <w:tc>
          <w:tcPr>
            <w:tcW w:w="9450" w:type="dxa"/>
            <w:vAlign w:val="center"/>
            <w:textDirection w:val="lrTb"/>
            <w:noWrap w:val="false"/>
          </w:tcPr>
          <w:p>
            <w:pPr>
              <w:pStyle w:val="970"/>
              <w:ind w:firstLine="0"/>
              <w:spacing w:before="0" w:after="0" w:line="500" w:lineRule="exact"/>
              <w:rPr>
                <w:rFonts w:hint="eastAsia" w:ascii="宋体" w:hAnsi="宋体"/>
                <w:szCs w:val="21"/>
              </w:rPr>
            </w:pPr>
            <w:r>
              <w:rPr>
                <w:rFonts w:hint="eastAsia" w:ascii="宋体" w:hAnsi="宋体" w:cs="宋体"/>
              </w:rPr>
              <w:t xml:space="preserve">小写（元）：                             </w:t>
            </w:r>
            <w:r/>
          </w:p>
        </w:tc>
      </w:tr>
    </w:tbl>
    <w:p>
      <w:pPr>
        <w:rPr>
          <w:rFonts w:ascii="宋体" w:hAnsi="宋体"/>
          <w:sz w:val="24"/>
          <w:szCs w:val="24"/>
        </w:rPr>
      </w:pPr>
      <w:r>
        <w:rPr>
          <w:rFonts w:ascii="宋体" w:hAnsi="宋体"/>
          <w:sz w:val="24"/>
          <w:szCs w:val="24"/>
        </w:rPr>
      </w:r>
      <w:r/>
    </w:p>
    <w:p>
      <w:pPr>
        <w:ind w:firstLine="480"/>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p>
    <w:p>
      <w:pPr>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jc w:val="center"/>
        <w:spacing w:line="360" w:lineRule="auto"/>
        <w:rPr>
          <w:rFonts w:hint="eastAsia" w:ascii="黑体" w:eastAsia="黑体" w:cs="Times New Roman"/>
          <w:color w:val="000000"/>
          <w:sz w:val="32"/>
          <w:szCs w:val="32"/>
          <w:lang w:val="en-US" w:eastAsia="zh-CN"/>
        </w:rPr>
        <w:outlineLvl w:val="0"/>
      </w:pPr>
      <w:r>
        <w:rPr>
          <w:rFonts w:hint="eastAsia" w:ascii="黑体" w:eastAsia="黑体" w:cs="Times New Roman"/>
          <w:color w:val="000000"/>
          <w:sz w:val="32"/>
          <w:szCs w:val="32"/>
          <w:lang w:val="en-US" w:eastAsia="zh-CN"/>
        </w:rPr>
      </w:r>
      <w:r/>
    </w:p>
    <w:p>
      <w:pPr>
        <w:jc w:val="center"/>
        <w:spacing w:line="360" w:lineRule="auto"/>
        <w:rPr>
          <w:rFonts w:hint="eastAsia" w:ascii="黑体" w:eastAsia="黑体" w:cs="Times New Roman"/>
          <w:color w:val="000000"/>
          <w:sz w:val="32"/>
          <w:szCs w:val="32"/>
          <w:lang w:val="en-US" w:eastAsia="zh-CN"/>
        </w:rPr>
        <w:outlineLvl w:val="0"/>
      </w:pPr>
      <w:r>
        <w:rPr>
          <w:rFonts w:hint="eastAsia" w:ascii="黑体" w:eastAsia="黑体" w:cs="Times New Roman"/>
          <w:color w:val="000000"/>
          <w:sz w:val="32"/>
          <w:szCs w:val="32"/>
          <w:lang w:val="en-US" w:eastAsia="zh-CN"/>
        </w:rPr>
      </w:r>
      <w:r/>
    </w:p>
    <w:p>
      <w:pPr>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t xml:space="preserve">六、核心产品品牌一览表</w:t>
      </w:r>
      <w:r/>
    </w:p>
    <w:p>
      <w:pPr>
        <w:jc w:val="center"/>
        <w:spacing w:line="360" w:lineRule="auto"/>
        <w:widowControl w:val="off"/>
        <w:rPr>
          <w:rFonts w:hint="eastAsia" w:ascii="方正小标宋简体" w:hAnsi="方正小标宋简体" w:eastAsia="方正小标宋简体" w:cs="方正小标宋简体"/>
          <w:color w:val="000000"/>
          <w:sz w:val="32"/>
          <w:szCs w:val="32"/>
          <w:lang w:val="en-US"/>
        </w:rPr>
        <w:outlineLvl w:val="0"/>
      </w:pPr>
      <w:r>
        <w:rPr>
          <w:rFonts w:hint="eastAsia" w:ascii="方正小标宋简体" w:hAnsi="方正小标宋简体" w:eastAsia="方正小标宋简体" w:cs="方正小标宋简体"/>
          <w:color w:val="000000"/>
          <w:sz w:val="32"/>
          <w:szCs w:val="32"/>
          <w:lang w:val="en-US"/>
        </w:rPr>
        <w:t xml:space="preserve">核心产品</w:t>
      </w:r>
      <w:r>
        <w:rPr>
          <w:rFonts w:hint="eastAsia" w:ascii="方正小标宋简体" w:hAnsi="方正小标宋简体" w:eastAsia="方正小标宋简体" w:cs="方正小标宋简体"/>
          <w:color w:val="000000"/>
          <w:sz w:val="32"/>
          <w:szCs w:val="32"/>
          <w:lang w:val="en-US" w:eastAsia="zh-CN"/>
        </w:rPr>
        <w:t xml:space="preserve">品牌</w:t>
      </w:r>
      <w:r>
        <w:rPr>
          <w:rFonts w:hint="eastAsia" w:ascii="方正小标宋简体" w:hAnsi="方正小标宋简体" w:eastAsia="方正小标宋简体" w:cs="方正小标宋简体"/>
          <w:color w:val="000000"/>
          <w:sz w:val="32"/>
          <w:szCs w:val="32"/>
          <w:lang w:val="en-US"/>
        </w:rPr>
        <w:t xml:space="preserve">一览表</w:t>
      </w:r>
      <w:r/>
    </w:p>
    <w:tbl>
      <w:tblPr>
        <w:tblStyle w:val="705"/>
        <w:tblpPr w:horzAnchor="margin" w:tblpXSpec="center" w:vertAnchor="text" w:tblpY="133" w:leftFromText="180" w:topFromText="0" w:rightFromText="180" w:bottomFromText="0"/>
        <w:tblW w:w="93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jc w:val="center"/>
          <w:trHeight w:val="723"/>
        </w:trPr>
        <w:tc>
          <w:tcPr>
            <w:tcW w:w="1044" w:type="dxa"/>
            <w:vAlign w:val="center"/>
            <w:textDirection w:val="lrTb"/>
            <w:noWrap w:val="false"/>
          </w:tcPr>
          <w:p>
            <w:pPr>
              <w:jc w:val="center"/>
              <w:spacing w:line="360" w:lineRule="auto"/>
              <w:widowControl/>
              <w:rPr>
                <w:rFonts w:ascii="宋体" w:hAnsi="宋体" w:cs="宋体"/>
                <w:szCs w:val="21"/>
                <w:lang w:val="zh-CN"/>
              </w:rPr>
            </w:pPr>
            <w:r>
              <w:rPr>
                <w:rFonts w:hint="eastAsia" w:ascii="宋体" w:hAnsi="宋体" w:cs="宋体"/>
                <w:szCs w:val="21"/>
                <w:lang w:val="zh-CN"/>
              </w:rPr>
              <w:t xml:space="preserve">序号</w:t>
            </w:r>
            <w:r/>
          </w:p>
        </w:tc>
        <w:tc>
          <w:tcPr>
            <w:tcW w:w="3753" w:type="dxa"/>
            <w:vAlign w:val="center"/>
            <w:textDirection w:val="lrTb"/>
            <w:noWrap w:val="false"/>
          </w:tcPr>
          <w:p>
            <w:pPr>
              <w:jc w:val="center"/>
              <w:spacing w:line="360" w:lineRule="auto"/>
              <w:widowControl/>
              <w:rPr>
                <w:rFonts w:hint="eastAsia" w:ascii="宋体" w:hAnsi="宋体" w:cs="宋体"/>
                <w:szCs w:val="21"/>
                <w:lang w:val="zh-CN"/>
              </w:rPr>
            </w:pPr>
            <w:r>
              <w:rPr>
                <w:rFonts w:hint="eastAsia" w:ascii="宋体" w:hAnsi="宋体" w:cs="宋体"/>
                <w:szCs w:val="21"/>
                <w:lang w:val="en-US" w:eastAsia="zh-CN"/>
              </w:rPr>
              <w:t xml:space="preserve">产品</w:t>
            </w:r>
            <w:r>
              <w:rPr>
                <w:rFonts w:hint="eastAsia" w:ascii="宋体" w:hAnsi="宋体" w:cs="宋体"/>
                <w:szCs w:val="21"/>
                <w:lang w:val="zh-CN"/>
              </w:rPr>
              <w:t xml:space="preserve">名称</w:t>
            </w:r>
            <w:r/>
          </w:p>
        </w:tc>
        <w:tc>
          <w:tcPr>
            <w:tcW w:w="2158" w:type="dxa"/>
            <w:vAlign w:val="center"/>
            <w:textDirection w:val="lrTb"/>
            <w:noWrap w:val="false"/>
          </w:tcPr>
          <w:p>
            <w:pPr>
              <w:jc w:val="center"/>
              <w:spacing w:line="360" w:lineRule="auto"/>
              <w:widowControl/>
              <w:rPr>
                <w:rFonts w:hint="eastAsia" w:ascii="宋体" w:hAnsi="宋体" w:cs="宋体"/>
                <w:szCs w:val="21"/>
                <w:lang w:val="zh-CN"/>
              </w:rPr>
            </w:pPr>
            <w:r>
              <w:rPr>
                <w:rFonts w:hint="eastAsia" w:ascii="宋体" w:hAnsi="宋体" w:cs="宋体"/>
                <w:szCs w:val="21"/>
                <w:lang w:val="en-US" w:eastAsia="zh-CN"/>
              </w:rPr>
              <w:t xml:space="preserve">产品</w:t>
            </w:r>
            <w:r>
              <w:rPr>
                <w:rFonts w:hint="eastAsia" w:ascii="宋体" w:hAnsi="宋体" w:cs="宋体"/>
                <w:szCs w:val="21"/>
                <w:lang w:val="zh-CN"/>
              </w:rPr>
              <w:t xml:space="preserve">品牌</w:t>
            </w:r>
            <w:r/>
          </w:p>
        </w:tc>
        <w:tc>
          <w:tcPr>
            <w:tcW w:w="2391" w:type="dxa"/>
            <w:vAlign w:val="center"/>
            <w:textDirection w:val="lrTb"/>
            <w:noWrap w:val="false"/>
          </w:tcPr>
          <w:p>
            <w:pPr>
              <w:jc w:val="center"/>
              <w:spacing w:line="360" w:lineRule="auto"/>
              <w:widowControl/>
              <w:rPr>
                <w:rFonts w:hint="eastAsia" w:ascii="宋体" w:hAnsi="宋体" w:cs="宋体"/>
                <w:szCs w:val="21"/>
                <w:lang w:val="zh-CN"/>
              </w:rPr>
            </w:pPr>
            <w:r>
              <w:rPr>
                <w:rFonts w:hint="eastAsia" w:ascii="宋体" w:hAnsi="宋体" w:cs="宋体"/>
                <w:szCs w:val="21"/>
                <w:lang w:val="zh-CN"/>
              </w:rPr>
              <w:t xml:space="preserve">规格或型号</w:t>
            </w:r>
            <w:r/>
          </w:p>
        </w:tc>
      </w:tr>
      <w:tr>
        <w:trPr>
          <w:jc w:val="center"/>
          <w:trHeight w:val="963"/>
        </w:trPr>
        <w:tc>
          <w:tcPr>
            <w:tcW w:w="1044" w:type="dxa"/>
            <w:vAlign w:val="center"/>
            <w:textDirection w:val="lrTb"/>
            <w:noWrap w:val="false"/>
          </w:tcPr>
          <w:p>
            <w:pPr>
              <w:jc w:val="center"/>
              <w:spacing w:line="360" w:lineRule="auto"/>
              <w:widowControl/>
              <w:rPr>
                <w:rFonts w:ascii="宋体" w:hAnsi="宋体" w:cs="宋体"/>
                <w:szCs w:val="21"/>
                <w:lang w:val="zh-CN"/>
              </w:rPr>
            </w:pPr>
            <w:r>
              <w:rPr>
                <w:rFonts w:hint="eastAsia" w:ascii="宋体" w:hAnsi="宋体" w:cs="宋体"/>
                <w:szCs w:val="21"/>
                <w:lang w:val="zh-CN"/>
              </w:rPr>
              <w:t xml:space="preserve">1</w:t>
            </w:r>
            <w:r/>
          </w:p>
        </w:tc>
        <w:tc>
          <w:tcPr>
            <w:tcW w:w="3753" w:type="dxa"/>
            <w:vAlign w:val="center"/>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c>
          <w:tcPr>
            <w:tcW w:w="2158" w:type="dxa"/>
            <w:vAlign w:val="top"/>
            <w:textDirection w:val="lrTb"/>
            <w:noWrap w:val="false"/>
          </w:tcPr>
          <w:p>
            <w:pPr>
              <w:jc w:val="left"/>
              <w:spacing w:line="360" w:lineRule="auto"/>
              <w:widowControl/>
              <w:rPr>
                <w:rFonts w:ascii="宋体" w:hAnsi="宋体" w:cs="宋体"/>
                <w:szCs w:val="21"/>
                <w:lang w:val="zh-CN"/>
              </w:rPr>
            </w:pPr>
            <w:r>
              <w:rPr>
                <w:rFonts w:ascii="宋体" w:hAnsi="宋体" w:cs="宋体"/>
                <w:szCs w:val="21"/>
                <w:lang w:val="zh-CN"/>
              </w:rPr>
            </w:r>
            <w:r/>
          </w:p>
        </w:tc>
        <w:tc>
          <w:tcPr>
            <w:tcW w:w="2391" w:type="dxa"/>
            <w:vAlign w:val="top"/>
            <w:textDirection w:val="lrTb"/>
            <w:noWrap w:val="false"/>
          </w:tcPr>
          <w:p>
            <w:pPr>
              <w:jc w:val="center"/>
              <w:spacing w:line="360" w:lineRule="auto"/>
              <w:widowControl/>
              <w:rPr>
                <w:rFonts w:ascii="宋体" w:hAnsi="宋体" w:cs="宋体"/>
                <w:szCs w:val="21"/>
                <w:lang w:val="zh-CN"/>
              </w:rPr>
            </w:pPr>
            <w:r>
              <w:rPr>
                <w:rFonts w:ascii="宋体" w:hAnsi="宋体" w:cs="宋体"/>
                <w:szCs w:val="21"/>
                <w:lang w:val="zh-CN"/>
              </w:rPr>
            </w:r>
            <w:r/>
          </w:p>
        </w:tc>
      </w:tr>
    </w:tbl>
    <w:p>
      <w:pPr>
        <w:ind w:firstLine="480"/>
        <w:jc w:val="left"/>
        <w:spacing w:line="360" w:lineRule="auto"/>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r>
      <w:r/>
    </w:p>
    <w:p>
      <w:pPr>
        <w:ind w:firstLine="480"/>
        <w:jc w:val="left"/>
        <w:spacing w:line="360" w:lineRule="auto"/>
        <w:widowControl/>
        <w:rPr>
          <w:rFonts w:ascii="宋体" w:cs="宋体"/>
          <w:color w:val="000000"/>
          <w:lang w:val="zh-CN"/>
        </w:rPr>
      </w:pPr>
      <w:r>
        <w:rPr>
          <w:rFonts w:ascii="宋体" w:cs="宋体"/>
          <w:color w:val="000000"/>
          <w:lang w:val="zh-CN"/>
        </w:rPr>
      </w:r>
      <w:r/>
    </w:p>
    <w:p>
      <w:pPr>
        <w:ind w:firstLine="480"/>
        <w:jc w:val="left"/>
        <w:spacing w:line="360" w:lineRule="auto"/>
        <w:widowControl/>
        <w:rPr>
          <w:rFonts w:hint="eastAsia" w:ascii="宋体" w:hAnsi="宋体" w:cs="宋体"/>
          <w:color w:val="000000"/>
          <w:highlight w:val="none"/>
          <w:lang w:val="zh-CN"/>
        </w:rPr>
      </w:pPr>
      <w:r>
        <w:rPr>
          <w:rFonts w:hint="eastAsia" w:ascii="宋体" w:hAnsi="宋体" w:cs="宋体"/>
          <w:color w:val="000000"/>
          <w:highlight w:val="none"/>
          <w:lang w:val="zh-CN"/>
        </w:rPr>
      </w:r>
      <w:r/>
    </w:p>
    <w:p>
      <w:pPr>
        <w:ind w:firstLine="480"/>
        <w:jc w:val="left"/>
        <w:spacing w:line="360" w:lineRule="auto"/>
        <w:widowControl/>
        <w:rPr>
          <w:rFonts w:hint="eastAsia" w:ascii="宋体" w:hAnsi="宋体" w:cs="宋体"/>
          <w:color w:val="000000"/>
          <w:highlight w:val="none"/>
          <w:lang w:val="zh-CN"/>
        </w:rPr>
      </w:pPr>
      <w:r>
        <w:rPr>
          <w:rFonts w:hint="eastAsia" w:ascii="宋体" w:hAnsi="宋体" w:cs="宋体"/>
          <w:color w:val="000000"/>
          <w:highlight w:val="none"/>
          <w:lang w:val="zh-CN"/>
        </w:rPr>
      </w:r>
      <w:r/>
    </w:p>
    <w:p>
      <w:pPr>
        <w:ind w:firstLine="480"/>
        <w:jc w:val="left"/>
        <w:spacing w:line="360" w:lineRule="auto"/>
        <w:widowControl/>
        <w:rPr>
          <w:rFonts w:hint="eastAsia" w:ascii="宋体" w:hAnsi="宋体" w:cs="宋体"/>
          <w:color w:val="000000"/>
          <w:highlight w:val="none"/>
          <w:lang w:val="zh-CN"/>
        </w:rPr>
      </w:pPr>
      <w:r>
        <w:rPr>
          <w:rFonts w:hint="eastAsia" w:ascii="宋体" w:hAnsi="宋体" w:cs="宋体"/>
          <w:color w:val="000000"/>
          <w:highlight w:val="none"/>
          <w:lang w:val="zh-CN"/>
        </w:rPr>
      </w:r>
      <w:r/>
    </w:p>
    <w:p>
      <w:pPr>
        <w:ind w:firstLine="480"/>
        <w:jc w:val="left"/>
        <w:spacing w:line="360" w:lineRule="auto"/>
        <w:widowControl/>
        <w:rPr>
          <w:rFonts w:hint="eastAsia" w:ascii="宋体" w:hAnsi="宋体" w:cs="宋体"/>
          <w:color w:val="000000"/>
          <w:highlight w:val="none"/>
          <w:lang w:val="zh-CN"/>
        </w:rPr>
      </w:pPr>
      <w:r>
        <w:rPr>
          <w:rFonts w:hint="eastAsia" w:ascii="宋体" w:hAnsi="宋体" w:eastAsia="宋体" w:cs="Times New Roman"/>
          <w:color w:val="000000"/>
          <w:sz w:val="24"/>
          <w:szCs w:val="24"/>
          <w:lang w:val="en-US" w:eastAsia="zh-CN"/>
        </w:rPr>
        <w:t xml:space="preserve">投标人</w:t>
      </w:r>
      <w:r>
        <w:rPr>
          <w:rFonts w:hint="eastAsia" w:ascii="宋体" w:hAnsi="宋体" w:eastAsia="宋体" w:cs="Times New Roman"/>
          <w:color w:val="000000"/>
          <w:sz w:val="24"/>
          <w:szCs w:val="24"/>
          <w:lang w:val="zh-CN"/>
        </w:rPr>
        <w:t xml:space="preserve">名称</w:t>
      </w:r>
      <w:r>
        <w:rPr>
          <w:rFonts w:hint="eastAsia" w:ascii="宋体" w:hAnsi="宋体" w:cs="宋体"/>
          <w:color w:val="000000"/>
          <w:szCs w:val="21"/>
          <w:lang w:val="zh-CN"/>
        </w:rPr>
        <w:t xml:space="preserve">：</w:t>
      </w:r>
      <w:r>
        <w:rPr>
          <w:rFonts w:hint="eastAsia" w:ascii="宋体" w:hAnsi="宋体" w:eastAsia="宋体" w:cs="Times New Roman"/>
          <w:color w:val="000000"/>
          <w:sz w:val="24"/>
          <w:szCs w:val="24"/>
          <w:lang w:val="zh-CN"/>
        </w:rPr>
        <w:t xml:space="preserve">（</w:t>
      </w:r>
      <w:r>
        <w:rPr>
          <w:rFonts w:hint="eastAsia" w:ascii="宋体" w:hAnsi="宋体"/>
          <w:sz w:val="24"/>
          <w:szCs w:val="24"/>
        </w:rPr>
        <w:t xml:space="preserve">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cs="宋体"/>
          <w:color w:val="000000"/>
          <w:szCs w:val="21"/>
          <w:lang w:val="zh-CN"/>
        </w:rPr>
        <w:t xml:space="preserve">）</w:t>
      </w:r>
      <w:r/>
    </w:p>
    <w:p>
      <w:pPr>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ind w:firstLine="482"/>
        <w:spacing w:line="480" w:lineRule="exact"/>
        <w:rPr>
          <w:rFonts w:hint="eastAsia" w:ascii="宋体" w:hAnsi="宋体" w:eastAsia="宋体" w:cs="Times New Roman"/>
          <w:b/>
          <w:bCs/>
          <w:sz w:val="24"/>
          <w:szCs w:val="24"/>
        </w:rPr>
      </w:pPr>
      <w:r>
        <w:rPr>
          <w:rFonts w:hint="eastAsia" w:ascii="宋体" w:hAnsi="宋体" w:eastAsia="宋体" w:cs="Times New Roman"/>
          <w:b/>
          <w:bCs/>
          <w:sz w:val="24"/>
          <w:szCs w:val="24"/>
          <w:lang w:val="en-US" w:eastAsia="zh-CN"/>
        </w:rPr>
        <w:t xml:space="preserve">备注：</w:t>
      </w:r>
      <w:r>
        <w:rPr>
          <w:rFonts w:hint="eastAsia" w:ascii="宋体" w:hAnsi="宋体" w:eastAsia="宋体" w:cs="Times New Roman"/>
          <w:b/>
          <w:bCs/>
          <w:sz w:val="24"/>
          <w:szCs w:val="24"/>
        </w:rPr>
        <w:t xml:space="preserve">供应商</w:t>
      </w:r>
      <w:r>
        <w:rPr>
          <w:rFonts w:hint="eastAsia" w:ascii="宋体" w:hAnsi="宋体" w:cs="Times New Roman"/>
          <w:b/>
          <w:bCs/>
          <w:sz w:val="24"/>
          <w:szCs w:val="24"/>
          <w:lang w:val="en-US" w:eastAsia="zh-CN"/>
        </w:rPr>
        <w:t xml:space="preserve">须按照表格要求明确填写所投“核心产品”的</w:t>
      </w:r>
      <w:r>
        <w:rPr>
          <w:rFonts w:hint="eastAsia" w:ascii="宋体" w:hAnsi="宋体" w:eastAsia="宋体" w:cs="Times New Roman"/>
          <w:b/>
          <w:bCs/>
          <w:sz w:val="24"/>
          <w:szCs w:val="24"/>
        </w:rPr>
        <w:t xml:space="preserve">品牌，不得填报“/”</w:t>
      </w:r>
      <w:r>
        <w:rPr>
          <w:rFonts w:hint="eastAsia" w:ascii="宋体" w:hAnsi="宋体" w:cs="Times New Roman"/>
          <w:b/>
          <w:bCs/>
          <w:sz w:val="24"/>
          <w:szCs w:val="24"/>
          <w:lang w:eastAsia="zh-CN"/>
        </w:rPr>
        <w:t xml:space="preserve">“</w:t>
      </w:r>
      <w:r>
        <w:rPr>
          <w:rFonts w:hint="eastAsia" w:ascii="宋体" w:hAnsi="宋体" w:eastAsia="宋体" w:cs="Times New Roman"/>
          <w:b/>
          <w:bCs/>
          <w:sz w:val="24"/>
          <w:szCs w:val="24"/>
        </w:rPr>
        <w:t xml:space="preserve">无”</w:t>
      </w:r>
      <w:r>
        <w:rPr>
          <w:rFonts w:hint="eastAsia" w:ascii="宋体" w:hAnsi="宋体" w:cs="Times New Roman"/>
          <w:b/>
          <w:bCs/>
          <w:sz w:val="24"/>
          <w:szCs w:val="24"/>
          <w:lang w:val="en-US" w:eastAsia="zh-CN"/>
        </w:rPr>
        <w:t xml:space="preserve">等内容</w:t>
      </w:r>
      <w:r>
        <w:rPr>
          <w:rFonts w:hint="eastAsia" w:ascii="宋体" w:hAnsi="宋体" w:eastAsia="宋体" w:cs="Times New Roman"/>
          <w:b/>
          <w:bCs/>
          <w:sz w:val="24"/>
          <w:szCs w:val="24"/>
        </w:rPr>
        <w:t xml:space="preserve">，</w:t>
      </w:r>
      <w:r>
        <w:rPr>
          <w:rFonts w:hint="eastAsia" w:ascii="宋体" w:hAnsi="宋体" w:cs="Times New Roman"/>
          <w:b/>
          <w:bCs/>
          <w:sz w:val="24"/>
          <w:szCs w:val="24"/>
          <w:lang w:val="en-US" w:eastAsia="zh-CN"/>
        </w:rPr>
        <w:t xml:space="preserve">否则</w:t>
      </w:r>
      <w:r>
        <w:rPr>
          <w:rFonts w:hint="eastAsia" w:ascii="宋体" w:hAnsi="宋体" w:eastAsia="宋体" w:cs="Times New Roman"/>
          <w:b/>
          <w:bCs/>
          <w:sz w:val="24"/>
          <w:szCs w:val="24"/>
        </w:rPr>
        <w:t xml:space="preserve">视为无效投标。</w:t>
      </w:r>
      <w:r/>
    </w:p>
    <w:p>
      <w:pPr>
        <w:numPr>
          <w:ilvl w:val="0"/>
          <w:numId w:val="0"/>
        </w:num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bCs w:val="0"/>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七、投标分项报价表</w:t>
      </w:r>
      <w:r/>
    </w:p>
    <w:p>
      <w:pPr>
        <w:jc w:val="center"/>
        <w:spacing w:line="360" w:lineRule="auto"/>
        <w:rPr>
          <w:rFonts w:hint="eastAsia" w:ascii="方正小标宋简体" w:hAnsi="方正小标宋简体" w:eastAsia="方正小标宋简体" w:cs="方正小标宋简体"/>
          <w:color w:val="000000"/>
          <w:sz w:val="32"/>
          <w:szCs w:val="32"/>
          <w:lang w:val="en-US" w:eastAsia="zh-CN"/>
        </w:rPr>
        <w:outlineLvl w:val="0"/>
      </w:pPr>
      <w:r>
        <w:rPr>
          <w:rFonts w:hint="eastAsia" w:ascii="方正小标宋简体" w:hAnsi="方正小标宋简体" w:eastAsia="方正小标宋简体" w:cs="方正小标宋简体"/>
          <w:color w:val="000000"/>
          <w:sz w:val="32"/>
          <w:szCs w:val="32"/>
          <w:lang w:val="en-US" w:eastAsia="zh-CN"/>
        </w:rPr>
        <w:t xml:space="preserve">投标分项报价表</w:t>
      </w:r>
      <w:r/>
    </w:p>
    <w:tbl>
      <w:tblPr>
        <w:tblStyle w:val="705"/>
        <w:tblW w:w="99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00"/>
        <w:gridCol w:w="1460"/>
      </w:tblGrid>
      <w:tr>
        <w:trPr>
          <w:cantSplit/>
          <w:trHeight w:val="544"/>
        </w:trPr>
        <w:tc>
          <w:tcPr>
            <w:tcW w:w="581" w:type="dxa"/>
            <w:vAlign w:val="center"/>
            <w:vMerge w:val="restart"/>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970" w:type="dxa"/>
            <w:vAlign w:val="center"/>
            <w:textDirection w:val="lrTb"/>
            <w:noWrap w:val="false"/>
          </w:tcPr>
          <w:p>
            <w:pPr>
              <w:jc w:val="center"/>
              <w:spacing w:line="0" w:lineRule="atLeast"/>
              <w:rPr>
                <w:rFonts w:hint="eastAsia" w:ascii="宋体" w:hAnsi="宋体"/>
                <w:sz w:val="24"/>
                <w:szCs w:val="24"/>
                <w:lang w:val="en-US" w:eastAsia="zh-CN" w:bidi="ar-SA"/>
              </w:rPr>
            </w:pPr>
            <w:r>
              <w:rPr>
                <w:rFonts w:hint="eastAsia" w:ascii="宋体" w:hAnsi="宋体"/>
                <w:sz w:val="24"/>
                <w:szCs w:val="24"/>
              </w:rPr>
              <w:t xml:space="preserve">2</w:t>
            </w:r>
            <w:r/>
          </w:p>
        </w:tc>
        <w:tc>
          <w:tcPr>
            <w:tcW w:w="1790" w:type="dxa"/>
            <w:vAlign w:val="center"/>
            <w:textDirection w:val="lrTb"/>
            <w:noWrap w:val="false"/>
          </w:tcPr>
          <w:p>
            <w:pPr>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3</w:t>
            </w:r>
            <w:r/>
          </w:p>
        </w:tc>
        <w:tc>
          <w:tcPr>
            <w:tcW w:w="1470" w:type="dxa"/>
            <w:vAlign w:val="center"/>
            <w:textDirection w:val="lrTb"/>
            <w:noWrap w:val="false"/>
          </w:tcPr>
          <w:p>
            <w:pPr>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4</w:t>
            </w:r>
            <w:r/>
          </w:p>
        </w:tc>
        <w:tc>
          <w:tcPr>
            <w:tcW w:w="830" w:type="dxa"/>
            <w:vAlign w:val="center"/>
            <w:textDirection w:val="lrTb"/>
            <w:noWrap w:val="false"/>
          </w:tcPr>
          <w:p>
            <w:pPr>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5</w:t>
            </w:r>
            <w:r/>
          </w:p>
        </w:tc>
        <w:tc>
          <w:tcPr>
            <w:tcW w:w="820" w:type="dxa"/>
            <w:vAlign w:val="center"/>
            <w:textDirection w:val="lrTb"/>
            <w:noWrap w:val="false"/>
          </w:tcPr>
          <w:p>
            <w:pPr>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6</w:t>
            </w:r>
            <w:r/>
          </w:p>
        </w:tc>
        <w:tc>
          <w:tcPr>
            <w:tcW w:w="800" w:type="dxa"/>
            <w:vAlign w:val="center"/>
            <w:textDirection w:val="lrTb"/>
            <w:noWrap w:val="false"/>
          </w:tcPr>
          <w:p>
            <w:pPr>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7</w:t>
            </w:r>
            <w:r/>
          </w:p>
        </w:tc>
        <w:tc>
          <w:tcPr>
            <w:tcW w:w="1460" w:type="dxa"/>
            <w:vAlign w:val="center"/>
            <w:textDirection w:val="lrTb"/>
            <w:noWrap w:val="false"/>
          </w:tcPr>
          <w:p>
            <w:pPr>
              <w:jc w:val="center"/>
              <w:spacing w:line="0" w:lineRule="atLeast"/>
              <w:rPr>
                <w:rFonts w:ascii="宋体" w:hAnsi="宋体" w:eastAsia="宋体"/>
                <w:sz w:val="24"/>
                <w:szCs w:val="24"/>
                <w:lang w:val="en-US" w:eastAsia="zh-CN"/>
              </w:rPr>
            </w:pPr>
            <w:r>
              <w:rPr>
                <w:rFonts w:hint="eastAsia" w:ascii="宋体" w:hAnsi="宋体" w:eastAsia="宋体"/>
                <w:sz w:val="24"/>
                <w:szCs w:val="24"/>
                <w:lang w:val="en-US" w:eastAsia="zh-CN"/>
              </w:rPr>
              <w:t xml:space="preserve">8</w:t>
            </w:r>
            <w:r/>
          </w:p>
        </w:tc>
      </w:tr>
      <w:tr>
        <w:trPr>
          <w:cantSplit/>
          <w:trHeight w:val="294"/>
        </w:trPr>
        <w:tc>
          <w:tcPr>
            <w:tcW w:w="581" w:type="dxa"/>
            <w:vAlign w:val="center"/>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lang w:eastAsia="zh-CN"/>
              </w:rPr>
              <w:t xml:space="preserve">产品</w:t>
            </w:r>
            <w:r>
              <w:rPr>
                <w:rFonts w:hint="eastAsia" w:ascii="宋体" w:hAnsi="宋体"/>
                <w:sz w:val="24"/>
                <w:szCs w:val="24"/>
              </w:rPr>
              <w:t xml:space="preserve">名称</w:t>
            </w:r>
            <w:r/>
          </w:p>
        </w:tc>
        <w:tc>
          <w:tcPr>
            <w:tcW w:w="970" w:type="dxa"/>
            <w:vAlign w:val="center"/>
            <w:textDirection w:val="lrTb"/>
            <w:noWrap w:val="false"/>
          </w:tcPr>
          <w:p>
            <w:pPr>
              <w:jc w:val="center"/>
              <w:spacing w:line="0" w:lineRule="atLeast"/>
              <w:rPr>
                <w:rFonts w:hint="eastAsia" w:ascii="宋体" w:hAnsi="宋体"/>
                <w:sz w:val="24"/>
                <w:szCs w:val="24"/>
                <w:lang w:eastAsia="zh-CN"/>
              </w:rPr>
            </w:pPr>
            <w:r>
              <w:rPr>
                <w:rFonts w:hint="eastAsia" w:ascii="宋体" w:hAnsi="宋体"/>
                <w:sz w:val="24"/>
                <w:szCs w:val="24"/>
              </w:rPr>
              <w:t xml:space="preserve">品牌</w:t>
            </w:r>
            <w:r/>
          </w:p>
        </w:tc>
        <w:tc>
          <w:tcPr>
            <w:tcW w:w="1790" w:type="dxa"/>
            <w:vAlign w:val="center"/>
            <w:textDirection w:val="lrTb"/>
            <w:noWrap w:val="false"/>
          </w:tcPr>
          <w:p>
            <w:pPr>
              <w:jc w:val="center"/>
              <w:spacing w:line="0" w:lineRule="atLeast"/>
              <w:rPr>
                <w:rFonts w:hint="eastAsia" w:ascii="宋体" w:hAnsi="宋体" w:eastAsia="宋体"/>
                <w:sz w:val="24"/>
                <w:szCs w:val="24"/>
                <w:lang w:val="en-US" w:eastAsia="zh-CN"/>
              </w:rPr>
            </w:pPr>
            <w:r>
              <w:rPr>
                <w:rFonts w:hint="eastAsia" w:ascii="宋体" w:hAnsi="宋体"/>
                <w:sz w:val="24"/>
                <w:szCs w:val="24"/>
              </w:rPr>
              <w:t xml:space="preserve">规格</w:t>
            </w:r>
            <w:r>
              <w:rPr>
                <w:rFonts w:hint="eastAsia" w:ascii="宋体" w:hAnsi="宋体"/>
                <w:sz w:val="24"/>
                <w:szCs w:val="24"/>
                <w:lang w:eastAsia="zh-CN"/>
              </w:rPr>
              <w:t xml:space="preserve">或型号</w:t>
            </w:r>
            <w:r/>
          </w:p>
        </w:tc>
        <w:tc>
          <w:tcPr>
            <w:tcW w:w="1470" w:type="dxa"/>
            <w:vAlign w:val="center"/>
            <w:textDirection w:val="lrTb"/>
            <w:noWrap w:val="false"/>
          </w:tcPr>
          <w:p>
            <w:pPr>
              <w:jc w:val="center"/>
              <w:spacing w:line="0" w:lineRule="atLeast"/>
              <w:rPr>
                <w:rFonts w:hint="eastAsia" w:ascii="宋体" w:hAnsi="宋体" w:eastAsia="宋体"/>
                <w:sz w:val="24"/>
                <w:szCs w:val="24"/>
                <w:lang w:eastAsia="zh-CN"/>
              </w:rPr>
            </w:pPr>
            <w:r>
              <w:rPr>
                <w:rFonts w:hint="eastAsia" w:ascii="宋体" w:hAnsi="宋体"/>
                <w:sz w:val="24"/>
                <w:szCs w:val="24"/>
              </w:rPr>
              <w:t xml:space="preserve">交付期</w:t>
            </w:r>
            <w:r>
              <w:rPr>
                <w:rFonts w:hint="eastAsia" w:ascii="宋体" w:hAnsi="宋体"/>
                <w:sz w:val="24"/>
                <w:szCs w:val="24"/>
                <w:lang w:eastAsia="zh-CN"/>
              </w:rPr>
              <w:t xml:space="preserve">（</w:t>
            </w:r>
            <w:r>
              <w:rPr>
                <w:rFonts w:hint="eastAsia" w:ascii="宋体" w:hAnsi="宋体"/>
                <w:sz w:val="24"/>
                <w:szCs w:val="24"/>
                <w:lang w:val="en-US" w:eastAsia="zh-CN"/>
              </w:rPr>
              <w:t xml:space="preserve">天</w:t>
            </w:r>
            <w:r>
              <w:rPr>
                <w:rFonts w:hint="eastAsia" w:ascii="宋体" w:hAnsi="宋体"/>
                <w:sz w:val="24"/>
                <w:szCs w:val="24"/>
                <w:lang w:eastAsia="zh-CN"/>
              </w:rPr>
              <w:t xml:space="preserve">）</w:t>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单位</w:t>
            </w:r>
            <w:r/>
          </w:p>
        </w:tc>
        <w:tc>
          <w:tcPr>
            <w:tcW w:w="8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单价</w:t>
            </w:r>
            <w:r/>
          </w:p>
        </w:tc>
        <w:tc>
          <w:tcPr>
            <w:tcW w:w="14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24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8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46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gridSpan w:val="8"/>
            <w:tcW w:w="9380" w:type="dxa"/>
            <w:vAlign w:val="center"/>
            <w:textDirection w:val="lrTb"/>
            <w:noWrap w:val="false"/>
          </w:tcPr>
          <w:p>
            <w:pPr>
              <w:jc w:val="both"/>
              <w:spacing w:line="0" w:lineRule="atLeast"/>
              <w:rPr>
                <w:rFonts w:hint="eastAsia" w:ascii="宋体" w:hAnsi="宋体"/>
                <w:sz w:val="24"/>
                <w:szCs w:val="24"/>
              </w:rPr>
            </w:pPr>
            <w:r>
              <w:rPr>
                <w:rFonts w:hint="eastAsia" w:ascii="宋体" w:hAnsi="宋体"/>
                <w:sz w:val="24"/>
                <w:szCs w:val="24"/>
              </w:rPr>
              <w:t xml:space="preserve">投标总价（元）</w:t>
            </w:r>
            <w:r>
              <w:rPr>
                <w:rFonts w:hint="eastAsia" w:ascii="宋体" w:hAnsi="宋体"/>
                <w:sz w:val="24"/>
                <w:szCs w:val="24"/>
                <w:lang w:eastAsia="zh-CN"/>
              </w:rPr>
              <w:t xml:space="preserve">：</w:t>
            </w:r>
            <w:r/>
          </w:p>
        </w:tc>
      </w:tr>
    </w:tbl>
    <w:p>
      <w:pPr>
        <w:ind w:firstLine="48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p>
    <w:p>
      <w:pPr>
        <w:ind w:firstLine="480"/>
        <w:rPr>
          <w:rFonts w:hint="eastAsia" w:ascii="宋体" w:hAnsi="宋体"/>
          <w:sz w:val="24"/>
          <w:szCs w:val="24"/>
        </w:rPr>
      </w:pPr>
      <w:r>
        <w:rPr>
          <w:rFonts w:hint="eastAsia" w:ascii="宋体" w:hAnsi="宋体"/>
          <w:sz w:val="24"/>
          <w:szCs w:val="24"/>
        </w:rPr>
      </w:r>
      <w:r/>
    </w:p>
    <w:p>
      <w:pPr>
        <w:pStyle w:val="945"/>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t xml:space="preserve">备注： </w:t>
      </w:r>
      <w:r/>
    </w:p>
    <w:p>
      <w:pPr>
        <w:pStyle w:val="945"/>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1.“投标报价”应包括为完成整个项目所产生的所有费用，招标文件另有规定的除外。</w:t>
      </w:r>
      <w:r/>
    </w:p>
    <w:p>
      <w:pPr>
        <w:pStyle w:val="945"/>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2.《投标分项报价表》中“投标总价”应当与《开标一览表》中“投标总报价”一致。</w:t>
      </w:r>
      <w:r/>
    </w:p>
    <w:p>
      <w:pPr>
        <w:pStyle w:val="945"/>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3.供应商所投产品须与“第四章-项目清单”中的产品一一对应，如有缺项、漏项或者超出单价上限，视为无效投标。“项目清单”中分项仅为一项的，此表无需提供。</w:t>
      </w:r>
      <w:r/>
    </w:p>
    <w:p>
      <w:pPr>
        <w:pStyle w:val="945"/>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4.行数不够，可自行添加。</w:t>
      </w:r>
      <w:r/>
    </w:p>
    <w:p>
      <w:pPr>
        <w:spacing w:line="480" w:lineRule="exact"/>
        <w:rPr>
          <w:rFonts w:ascii="宋体" w:hAnsi="宋体"/>
          <w:sz w:val="24"/>
          <w:szCs w:val="24"/>
          <w:highlight w:val="none"/>
          <w:lang w:eastAsia="zh-CN"/>
        </w:rPr>
      </w:pPr>
      <w:r>
        <w:rPr>
          <w:rFonts w:ascii="宋体" w:hAnsi="宋体"/>
          <w:sz w:val="24"/>
          <w:szCs w:val="24"/>
          <w:highlight w:val="none"/>
          <w:lang w:eastAsia="zh-CN"/>
        </w:rPr>
      </w:r>
      <w:r/>
    </w:p>
    <w:p>
      <w:pPr>
        <w:rPr>
          <w:rFonts w:ascii="宋体" w:hAnsi="宋体"/>
          <w:sz w:val="24"/>
          <w:szCs w:val="24"/>
          <w:highlight w:val="none"/>
          <w:lang w:eastAsia="zh-CN"/>
        </w:rPr>
      </w:pPr>
      <w:r>
        <w:rPr>
          <w:rFonts w:ascii="宋体" w:hAnsi="宋体"/>
          <w:sz w:val="24"/>
          <w:szCs w:val="24"/>
          <w:highlight w:val="none"/>
          <w:lang w:eastAsia="zh-CN"/>
        </w:rPr>
      </w:r>
      <w:r/>
    </w:p>
    <w:p>
      <w:pPr>
        <w:rPr>
          <w:rFonts w:ascii="宋体" w:hAnsi="宋体"/>
          <w:sz w:val="24"/>
          <w:szCs w:val="24"/>
          <w:highlight w:val="none"/>
          <w:lang w:eastAsia="zh-CN"/>
        </w:rPr>
      </w:pPr>
      <w:r>
        <w:rPr>
          <w:rFonts w:ascii="宋体" w:hAnsi="宋体"/>
          <w:sz w:val="24"/>
          <w:szCs w:val="24"/>
          <w:highlight w:val="none"/>
          <w:lang w:eastAsia="zh-CN"/>
        </w:rPr>
      </w:r>
      <w:r/>
    </w:p>
    <w:p>
      <w:p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bCs w:val="0"/>
          <w:i w:val="0"/>
          <w:sz w:val="32"/>
          <w:szCs w:val="32"/>
          <w:u w:val="none"/>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bCs w:val="0"/>
          <w:i w:val="0"/>
          <w:sz w:val="32"/>
          <w:szCs w:val="32"/>
          <w:u w:val="non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八、技术要求响应及偏离表</w:t>
      </w:r>
      <w:r/>
    </w:p>
    <w:p>
      <w:pPr>
        <w:jc w:val="center"/>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技术要求响应及偏离表</w:t>
      </w:r>
      <w:r/>
    </w:p>
    <w:tbl>
      <w:tblPr>
        <w:tblStyle w:val="70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8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3364" w:type="dxa"/>
            <w:vAlign w:val="center"/>
            <w:textDirection w:val="lrTb"/>
            <w:noWrap w:val="false"/>
          </w:tcPr>
          <w:p>
            <w:pPr>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jc w:val="center"/>
            </w:pPr>
            <w:r/>
            <w:r/>
          </w:p>
          <w:p>
            <w:pPr>
              <w:pStyle w:val="957"/>
              <w:rPr>
                <w:rFonts w:hint="eastAsia"/>
              </w:rPr>
            </w:pPr>
            <w:r>
              <w:rPr>
                <w:rFonts w:hint="eastAsia"/>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p>
    <w:p>
      <w:pPr>
        <w:pStyle w:val="945"/>
        <w:ind w:firstLine="480"/>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945"/>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p>
    <w:p>
      <w:pPr>
        <w:pStyle w:val="945"/>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1.供应商须对招标文件技术要求中的实质性要求（“▲”内容）及其他要求做出明确响应，否则视为无效投标。</w:t>
      </w:r>
      <w:r/>
    </w:p>
    <w:p>
      <w:pPr>
        <w:pStyle w:val="945"/>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技术要求中的实质性要求或打“▲”要求，中标供应商签订合同时应按招标文件要求和投标文件响应内容向采购人提供相应证明材料核验（如：白皮书、彩页、手册、网站截图、具有CMA标识的检测报告等）。中标供应商未按招标文件要求和投标文件响应内容提供相应证明材料或者提供的证明材料不符合招标文件要求的，视为提供虚假材料谋取中标，采购人将取消其中标资格。</w:t>
      </w:r>
      <w:r/>
    </w:p>
    <w:p>
      <w:pPr>
        <w:pStyle w:val="945"/>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bCs w:val="0"/>
          <w:i w:val="0"/>
          <w:sz w:val="32"/>
          <w:szCs w:val="32"/>
          <w:u w:val="none"/>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bCs w:val="0"/>
          <w:i w:val="0"/>
          <w:sz w:val="32"/>
          <w:szCs w:val="32"/>
          <w:u w:val="non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九、商务要求响应及偏离表</w:t>
      </w:r>
      <w:r/>
    </w:p>
    <w:p>
      <w:pPr>
        <w:jc w:val="center"/>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商务要求响应及偏离表</w:t>
      </w:r>
      <w:r/>
    </w:p>
    <w:tbl>
      <w:tblPr>
        <w:tblStyle w:val="70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1"/>
      </w:tblGrid>
      <w:tr>
        <w:trPr>
          <w:cantSplit/>
        </w:trPr>
        <w:tc>
          <w:tcPr>
            <w:tcW w:w="79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878"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3341" w:type="dxa"/>
            <w:vAlign w:val="center"/>
            <w:textDirection w:val="lrTb"/>
            <w:noWrap w:val="false"/>
          </w:tcPr>
          <w:p>
            <w:pPr>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jc w:val="center"/>
            </w:pPr>
            <w:r/>
            <w:r/>
          </w:p>
          <w:p>
            <w:pPr>
              <w:pStyle w:val="957"/>
              <w:rPr>
                <w:rFonts w:hint="eastAsia"/>
              </w:rPr>
            </w:pPr>
            <w:r>
              <w:rPr>
                <w:rFonts w:hint="eastAsia"/>
              </w:rPr>
            </w:r>
            <w:r/>
          </w:p>
        </w:tc>
        <w:tc>
          <w:tcPr>
            <w:tcW w:w="283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34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p>
    <w:p>
      <w:pPr>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945"/>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p>
    <w:p>
      <w:pPr>
        <w:pStyle w:val="945"/>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1.供应商须对采购文件商务要求中的实质性要求做出明确响应，否则视为无效投标。</w:t>
      </w:r>
      <w:r/>
    </w:p>
    <w:p>
      <w:pPr>
        <w:pStyle w:val="945"/>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p>
    <w:p>
      <w:pPr>
        <w:spacing w:line="480" w:lineRule="auto"/>
        <w:rPr>
          <w:rFonts w:hint="eastAsia" w:ascii="宋体" w:hAnsi="宋体"/>
          <w:color w:val="000000"/>
          <w:sz w:val="24"/>
          <w:szCs w:val="21"/>
        </w:rPr>
      </w:pPr>
      <w:r>
        <w:rPr>
          <w:rFonts w:hint="eastAsia" w:ascii="宋体" w:hAnsi="宋体"/>
          <w:color w:val="000000"/>
          <w:sz w:val="24"/>
          <w:szCs w:val="21"/>
        </w:rPr>
      </w:r>
      <w:r/>
    </w:p>
    <w:p>
      <w:pPr>
        <w:spacing w:line="480" w:lineRule="auto"/>
        <w:rPr>
          <w:rFonts w:hint="eastAsia" w:ascii="仿宋_GB2312" w:hAnsi="Arial"/>
          <w:color w:val="000000"/>
          <w:sz w:val="30"/>
          <w:szCs w:val="21"/>
        </w:rPr>
      </w:pPr>
      <w:r>
        <w:rPr>
          <w:rFonts w:hint="eastAsia" w:ascii="仿宋_GB2312" w:hAnsi="Arial"/>
          <w:color w:val="000000"/>
          <w:sz w:val="30"/>
          <w:szCs w:val="21"/>
        </w:rPr>
      </w:r>
      <w:r/>
    </w:p>
    <w:p>
      <w:p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bCs w:val="0"/>
          <w:i w:val="0"/>
          <w:sz w:val="32"/>
          <w:szCs w:val="32"/>
          <w:u w:val="none"/>
          <w:lang w:val="en-US" w:eastAsia="zh-CN"/>
        </w:rPr>
      </w:r>
      <w:r/>
    </w:p>
    <w:p>
      <w:p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t xml:space="preserve">十、中小企业声明函</w:t>
      </w:r>
      <w:r/>
    </w:p>
    <w:p>
      <w:pPr>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lang w:val="en-US" w:eastAsia="zh-CN"/>
        </w:rPr>
        <w:outlineLvl w:val="0"/>
      </w:pPr>
      <w:r>
        <w:rPr>
          <w:rFonts w:hint="eastAsia" w:ascii="方正小标宋简体" w:hAnsi="方正小标宋简体" w:eastAsia="方正小标宋简体" w:cs="方正小标宋简体"/>
          <w:color w:val="000000"/>
          <w:sz w:val="32"/>
          <w:szCs w:val="32"/>
          <w:lang w:val="en-US" w:eastAsia="zh-CN"/>
        </w:rPr>
        <w:t xml:space="preserve">中小企业声明函（货物）</w:t>
      </w:r>
      <w:r/>
    </w:p>
    <w:p>
      <w:pPr>
        <w:ind w:firstLine="360"/>
        <w:keepLines w:val="0"/>
        <w:keepNext w:val="0"/>
        <w:pageBreakBefore w:val="0"/>
        <w:spacing w:line="360"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（分包号：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eastAsia="宋体" w:cs="Times New Roman"/>
          <w:sz w:val="24"/>
          <w:szCs w:val="24"/>
          <w:lang w:eastAsia="zh-CN"/>
        </w:rPr>
        <w:t xml:space="preserve">提供的货物</w:t>
      </w:r>
      <w:r>
        <w:rPr>
          <w:rFonts w:hint="eastAsia" w:ascii="宋体" w:hAnsi="宋体" w:eastAsia="宋体" w:cs="Times New Roman"/>
          <w:sz w:val="24"/>
          <w:szCs w:val="24"/>
        </w:rPr>
        <w:t xml:space="preserve">全部由符合政策</w:t>
      </w:r>
      <w:r>
        <w:rPr>
          <w:rFonts w:hint="eastAsia" w:ascii="宋体" w:hAnsi="宋体" w:eastAsia="宋体" w:cs="Times New Roman"/>
          <w:sz w:val="24"/>
          <w:szCs w:val="24"/>
          <w:lang w:eastAsia="zh-CN"/>
        </w:rPr>
        <w:t xml:space="preserve">要求的中小企业制造</w:t>
      </w:r>
      <w:r>
        <w:rPr>
          <w:rFonts w:hint="eastAsia" w:ascii="宋体" w:hAnsi="宋体" w:eastAsia="宋体" w:cs="Times New Roman"/>
          <w:sz w:val="24"/>
          <w:szCs w:val="24"/>
        </w:rPr>
        <w:t xml:space="preserve">。根据《工业和信息化部、国家统计局、</w:t>
      </w:r>
      <w:r>
        <w:rPr>
          <w:rFonts w:hint="eastAsia" w:ascii="宋体" w:hAnsi="宋体"/>
          <w:sz w:val="24"/>
          <w:szCs w:val="24"/>
        </w:rPr>
        <w:t xml:space="preserve">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300号)的规定，相关企业（含联合体中的小微企业、签订分包意向协议的小微企业）的具体情况如下：</w:t>
      </w:r>
      <w:r/>
    </w:p>
    <w:p>
      <w:pPr>
        <w:ind w:firstLine="360"/>
        <w:keepLines w:val="0"/>
        <w:keepNext w:val="0"/>
        <w:pageBreakBefore w:val="0"/>
        <w:spacing w:line="360"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（采购文件中明确的所属行业）</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p>
    <w:p>
      <w:pPr>
        <w:ind w:firstLine="360"/>
        <w:keepLines w:val="0"/>
        <w:keepNext w:val="0"/>
        <w:pageBreakBefore w:val="0"/>
        <w:spacing w:line="360"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（采购文件中明确的所属行业）</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p>
    <w:p>
      <w:pPr>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w:t>
      </w:r>
      <w:r/>
    </w:p>
    <w:p>
      <w:pPr>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如有虚假，将依法承担相应责任</w:t>
      </w:r>
      <w:r>
        <w:rPr>
          <w:rFonts w:hint="eastAsia" w:ascii="宋体" w:hAnsi="宋体"/>
          <w:sz w:val="24"/>
          <w:szCs w:val="24"/>
          <w:lang w:eastAsia="zh-CN"/>
        </w:rPr>
        <w:t xml:space="preserve">。</w:t>
      </w:r>
      <w:r/>
    </w:p>
    <w:p>
      <w:pPr>
        <w:pStyle w:val="957"/>
        <w:rPr>
          <w:rFonts w:hint="eastAsia" w:ascii="宋体" w:hAnsi="宋体"/>
          <w:sz w:val="24"/>
          <w:szCs w:val="24"/>
          <w:lang w:eastAsia="zh-CN"/>
        </w:rPr>
      </w:pPr>
      <w:r>
        <w:rPr>
          <w:rFonts w:hint="eastAsia" w:ascii="宋体" w:hAnsi="宋体"/>
          <w:sz w:val="24"/>
          <w:szCs w:val="24"/>
          <w:lang w:eastAsia="zh-CN"/>
        </w:rPr>
      </w:r>
      <w:r/>
    </w:p>
    <w:p>
      <w:pPr>
        <w:rPr>
          <w:rFonts w:hint="eastAsia"/>
          <w:lang w:eastAsia="zh-CN"/>
        </w:rPr>
      </w:pPr>
      <w:r>
        <w:rPr>
          <w:rFonts w:hint="eastAsia"/>
          <w:lang w:eastAsia="zh-CN"/>
        </w:rPr>
      </w:r>
      <w:r/>
    </w:p>
    <w:p>
      <w:pPr>
        <w:ind w:right="180" w:firstLine="360"/>
        <w:jc w:val="center"/>
        <w:spacing w:line="560" w:lineRule="exact"/>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000"/>
        <w:spacing w:line="560" w:lineRule="exact"/>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keepLines w:val="0"/>
        <w:keepNext w:val="0"/>
        <w:pageBreakBefore w:val="0"/>
        <w:spacing w:line="336"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r>
      <w:r/>
    </w:p>
    <w:p>
      <w:pPr>
        <w:ind w:firstLine="480"/>
        <w:keepLines w:val="0"/>
        <w:keepNext w:val="0"/>
        <w:pageBreakBefore w:val="0"/>
        <w:spacing w:line="336"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投标人如不提供此声明函，不得参加专门面向中小企业采购项目或者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清单中列示的所有货物，投标人须在声明函中逐项列示并明确制造商的企业类型，如有缺失将按“不提供声明函”处理。此声明函将随成交结果同时公告，接受社会监督。</w:t>
      </w:r>
      <w:r>
        <w:rPr>
          <w:rFonts w:hint="eastAsia" w:ascii="宋体" w:hAnsi="宋体" w:eastAsia="宋体" w:cs="Times New Roman"/>
          <w:sz w:val="24"/>
          <w:szCs w:val="24"/>
          <w:lang w:val="en-US" w:eastAsia="zh-CN"/>
        </w:rPr>
        <w:t xml:space="preserve">4.货物采购项目中，货物的制造商应当为中小企业（货物由中小企业制造，即货物由中小企业生产且使用该中小企业商号或者注册商标），不对其中涉及的服务的承接商、工程的承建商作出要求。</w:t>
      </w:r>
      <w:r/>
    </w:p>
    <w:p>
      <w:pPr>
        <w:ind w:firstLine="0"/>
        <w:jc w:val="left"/>
        <w:spacing w:line="360" w:lineRule="auto"/>
        <w:rPr>
          <w:rFonts w:hint="eastAsia" w:ascii="黑体" w:hAnsi="黑体" w:eastAsia="黑体"/>
          <w:b w:val="0"/>
          <w:bCs w:val="0"/>
          <w:sz w:val="32"/>
          <w:szCs w:val="32"/>
        </w:rPr>
      </w:pPr>
      <w:r>
        <w:rPr>
          <w:rFonts w:hint="eastAsia" w:ascii="黑体" w:hAnsi="黑体" w:eastAsia="黑体"/>
          <w:b w:val="0"/>
          <w:bCs w:val="0"/>
          <w:sz w:val="32"/>
          <w:szCs w:val="32"/>
        </w:rPr>
      </w:r>
      <w:r/>
    </w:p>
    <w:p>
      <w:pPr>
        <w:ind w:firstLine="0"/>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iCs w:val="0"/>
          <w:sz w:val="32"/>
          <w:szCs w:val="32"/>
          <w:u w:val="none"/>
          <w:lang w:val="en-US" w:eastAsia="zh-CN"/>
        </w:rPr>
        <w:t xml:space="preserve">十一、残疾人福利性单位声明函</w:t>
      </w:r>
      <w:r/>
    </w:p>
    <w:p>
      <w:pPr>
        <w:jc w:val="center"/>
        <w:spacing w:line="360" w:lineRule="auto"/>
        <w:rPr>
          <w:rFonts w:hint="eastAsia" w:ascii="方正小标宋简体" w:hAnsi="方正小标宋简体" w:eastAsia="方正小标宋简体" w:cs="方正小标宋简体"/>
          <w:color w:val="000000"/>
          <w:sz w:val="32"/>
          <w:szCs w:val="32"/>
          <w:lang w:val="en-US" w:eastAsia="zh-CN"/>
        </w:rPr>
        <w:outlineLvl w:val="0"/>
      </w:pPr>
      <w:r>
        <w:rPr>
          <w:rFonts w:hint="eastAsia" w:ascii="方正小标宋简体" w:hAnsi="方正小标宋简体" w:eastAsia="方正小标宋简体" w:cs="方正小标宋简体"/>
          <w:color w:val="000000"/>
          <w:sz w:val="32"/>
          <w:szCs w:val="32"/>
          <w:lang w:val="en-US" w:eastAsia="zh-CN"/>
        </w:rPr>
        <w:t xml:space="preserve">残疾人福利性单位声明函</w:t>
      </w:r>
      <w:r/>
    </w:p>
    <w:p>
      <w:pPr>
        <w:ind w:firstLine="480"/>
        <w:spacing w:line="360" w:lineRule="auto"/>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（分包号：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1"/>
        </w:rPr>
        <w:t xml:space="preserve">提供本单位制造的货物，或者提供其他残疾人福利性单位制造的货物（不包括使用非残疾人福利性单位注册商标的货物）。</w:t>
      </w:r>
      <w:r/>
    </w:p>
    <w:p>
      <w:pPr>
        <w:ind w:firstLine="480"/>
        <w:spacing w:line="360" w:lineRule="auto"/>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如有虚假，将依法承担相应责任。</w:t>
      </w:r>
      <w:r/>
    </w:p>
    <w:p>
      <w:pPr>
        <w:pStyle w:val="957"/>
        <w:rPr>
          <w:rFonts w:hint="eastAsia" w:ascii="宋体" w:hAnsi="宋体"/>
          <w:sz w:val="24"/>
          <w:szCs w:val="24"/>
          <w:lang w:eastAsia="zh-CN"/>
        </w:rPr>
      </w:pPr>
      <w:r>
        <w:rPr>
          <w:rFonts w:hint="eastAsia" w:ascii="宋体" w:hAnsi="宋体"/>
          <w:sz w:val="24"/>
          <w:szCs w:val="24"/>
          <w:lang w:eastAsia="zh-CN"/>
        </w:rPr>
      </w:r>
      <w:r/>
    </w:p>
    <w:p>
      <w:pPr>
        <w:rPr>
          <w:rFonts w:hint="eastAsia"/>
          <w:lang w:eastAsia="zh-CN"/>
        </w:rPr>
      </w:pPr>
      <w:r>
        <w:rPr>
          <w:rFonts w:hint="eastAsia"/>
          <w:lang w:eastAsia="zh-CN"/>
        </w:rPr>
      </w:r>
      <w:r/>
    </w:p>
    <w:p>
      <w:pPr>
        <w:ind w:right="180" w:firstLine="360"/>
        <w:jc w:val="center"/>
        <w:spacing w:line="560" w:lineRule="exact"/>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000"/>
        <w:spacing w:line="560" w:lineRule="exact"/>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spacing w:line="588" w:lineRule="exact"/>
        <w:rPr>
          <w:rFonts w:hint="eastAsia" w:ascii="宋体" w:hAnsi="宋体"/>
          <w:sz w:val="24"/>
        </w:rPr>
      </w:pPr>
      <w:r>
        <w:rPr>
          <w:rFonts w:hint="eastAsia" w:ascii="宋体" w:hAnsi="宋体"/>
          <w:sz w:val="24"/>
        </w:rPr>
      </w:r>
      <w:r/>
    </w:p>
    <w:p>
      <w:pPr>
        <w:ind w:firstLine="480"/>
        <w:spacing w:line="480" w:lineRule="exact"/>
        <w:rPr>
          <w:rFonts w:hint="eastAsia" w:ascii="宋体" w:hAnsi="宋体"/>
          <w:sz w:val="24"/>
        </w:rPr>
      </w:pPr>
      <w:r>
        <w:rPr>
          <w:rFonts w:hint="eastAsia" w:ascii="宋体" w:hAnsi="宋体"/>
          <w:sz w:val="24"/>
        </w:rPr>
        <w:t xml:space="preserve">备注：</w:t>
      </w:r>
      <w:r/>
    </w:p>
    <w:p>
      <w:pPr>
        <w:ind w:firstLine="480"/>
        <w:spacing w:line="480" w:lineRule="exact"/>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投标人</w:t>
      </w:r>
      <w:r>
        <w:rPr>
          <w:rFonts w:hint="eastAsia" w:ascii="宋体" w:hAnsi="宋体"/>
          <w:sz w:val="24"/>
        </w:rPr>
        <w:t xml:space="preserve">如不提供此声明函，价格将不</w:t>
      </w:r>
      <w:r>
        <w:rPr>
          <w:rFonts w:hint="eastAsia" w:ascii="宋体" w:hAnsi="宋体"/>
          <w:sz w:val="24"/>
          <w:lang w:val="en-US" w:eastAsia="zh-CN"/>
        </w:rPr>
        <w:t xml:space="preserve">作</w:t>
      </w:r>
      <w:r>
        <w:rPr>
          <w:rFonts w:hint="eastAsia" w:ascii="宋体" w:hAnsi="宋体"/>
          <w:sz w:val="24"/>
        </w:rPr>
        <w:t xml:space="preserve">相应扣除。</w:t>
      </w:r>
      <w:r/>
    </w:p>
    <w:p>
      <w:pPr>
        <w:ind w:firstLine="480"/>
        <w:spacing w:line="480" w:lineRule="exact"/>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中标人为残疾人福利</w:t>
      </w:r>
      <w:r>
        <w:rPr>
          <w:rFonts w:hint="eastAsia" w:ascii="宋体" w:hAnsi="宋体"/>
          <w:sz w:val="24"/>
          <w:lang w:val="en-US" w:eastAsia="zh-CN"/>
        </w:rPr>
        <w:t xml:space="preserve">性</w:t>
      </w:r>
      <w:r>
        <w:rPr>
          <w:rFonts w:hint="eastAsia" w:ascii="宋体" w:hAnsi="宋体"/>
          <w:sz w:val="24"/>
        </w:rPr>
        <w:t xml:space="preserve">单位的，此声明函将随中标结果同时公告，接受社会监督</w:t>
      </w:r>
      <w:r>
        <w:rPr>
          <w:rFonts w:hint="eastAsia" w:ascii="宋体" w:hAnsi="宋体"/>
          <w:sz w:val="24"/>
          <w:lang w:eastAsia="zh-CN"/>
        </w:rPr>
        <w:t xml:space="preserve">。</w:t>
      </w:r>
      <w:r/>
    </w:p>
    <w:p>
      <w:pPr>
        <w:ind w:firstLine="624"/>
        <w:spacing w:line="480" w:lineRule="exact"/>
        <w:rPr>
          <w:rFonts w:ascii="仿宋_GB2312" w:eastAsia="仿宋_GB2312"/>
          <w:spacing w:val="6"/>
          <w:sz w:val="30"/>
          <w:szCs w:val="30"/>
        </w:rPr>
      </w:pPr>
      <w:r>
        <w:rPr>
          <w:rFonts w:ascii="仿宋_GB2312" w:eastAsia="仿宋_GB2312"/>
          <w:spacing w:val="6"/>
          <w:sz w:val="30"/>
          <w:szCs w:val="30"/>
        </w:rPr>
      </w:r>
      <w:r/>
    </w:p>
    <w:p>
      <w:pPr>
        <w:ind w:firstLine="624"/>
        <w:spacing w:line="480" w:lineRule="exact"/>
        <w:rPr>
          <w:rFonts w:ascii="仿宋_GB2312" w:eastAsia="仿宋_GB2312"/>
          <w:spacing w:val="6"/>
          <w:sz w:val="30"/>
          <w:szCs w:val="30"/>
        </w:rPr>
      </w:pPr>
      <w:r>
        <w:rPr>
          <w:rFonts w:ascii="仿宋_GB2312" w:eastAsia="仿宋_GB2312"/>
          <w:spacing w:val="6"/>
          <w:sz w:val="30"/>
          <w:szCs w:val="30"/>
        </w:rPr>
      </w:r>
      <w:r/>
    </w:p>
    <w:p>
      <w:pPr>
        <w:ind w:firstLine="624"/>
        <w:spacing w:line="480" w:lineRule="exact"/>
        <w:rPr>
          <w:rFonts w:ascii="仿宋_GB2312" w:eastAsia="仿宋_GB2312"/>
          <w:spacing w:val="6"/>
          <w:sz w:val="30"/>
          <w:szCs w:val="30"/>
        </w:rPr>
      </w:pPr>
      <w:r>
        <w:rPr>
          <w:rFonts w:ascii="仿宋_GB2312" w:eastAsia="仿宋_GB2312"/>
          <w:spacing w:val="6"/>
          <w:sz w:val="30"/>
          <w:szCs w:val="30"/>
        </w:rPr>
      </w:r>
      <w:r/>
    </w:p>
    <w:p>
      <w:pPr>
        <w:ind w:firstLine="624"/>
        <w:spacing w:line="480" w:lineRule="exact"/>
        <w:rPr>
          <w:rFonts w:ascii="仿宋_GB2312" w:eastAsia="仿宋_GB2312"/>
          <w:spacing w:val="6"/>
          <w:sz w:val="30"/>
          <w:szCs w:val="30"/>
        </w:rPr>
      </w:pPr>
      <w:r>
        <w:rPr>
          <w:rFonts w:ascii="仿宋_GB2312" w:eastAsia="仿宋_GB2312"/>
          <w:spacing w:val="6"/>
          <w:sz w:val="30"/>
          <w:szCs w:val="30"/>
        </w:rPr>
      </w:r>
      <w:r/>
    </w:p>
    <w:p>
      <w:pPr>
        <w:ind w:firstLine="624"/>
        <w:spacing w:line="480" w:lineRule="exact"/>
        <w:rPr>
          <w:rFonts w:ascii="仿宋_GB2312" w:eastAsia="仿宋_GB2312"/>
          <w:spacing w:val="6"/>
          <w:sz w:val="30"/>
          <w:szCs w:val="30"/>
        </w:rPr>
      </w:pPr>
      <w:r>
        <w:rPr>
          <w:rFonts w:ascii="仿宋_GB2312" w:eastAsia="仿宋_GB2312"/>
          <w:spacing w:val="6"/>
          <w:sz w:val="30"/>
          <w:szCs w:val="30"/>
        </w:rPr>
      </w:r>
      <w:r/>
    </w:p>
    <w:p>
      <w:pPr>
        <w:ind w:firstLine="624"/>
        <w:spacing w:line="480" w:lineRule="exact"/>
        <w:rPr>
          <w:rFonts w:ascii="仿宋_GB2312" w:eastAsia="仿宋_GB2312"/>
          <w:spacing w:val="6"/>
          <w:sz w:val="30"/>
          <w:szCs w:val="30"/>
        </w:rPr>
      </w:pPr>
      <w:r>
        <w:rPr>
          <w:rFonts w:ascii="仿宋_GB2312" w:eastAsia="仿宋_GB2312"/>
          <w:spacing w:val="6"/>
          <w:sz w:val="30"/>
          <w:szCs w:val="30"/>
        </w:rPr>
      </w:r>
      <w:r/>
    </w:p>
    <w:p>
      <w:pPr>
        <w:ind w:firstLine="624"/>
        <w:spacing w:line="480" w:lineRule="exact"/>
        <w:rPr>
          <w:rFonts w:ascii="仿宋_GB2312" w:eastAsia="仿宋_GB2312"/>
          <w:spacing w:val="6"/>
          <w:sz w:val="30"/>
          <w:szCs w:val="30"/>
        </w:rPr>
      </w:pPr>
      <w:r>
        <w:rPr>
          <w:rFonts w:ascii="仿宋_GB2312" w:eastAsia="仿宋_GB2312"/>
          <w:spacing w:val="6"/>
          <w:sz w:val="30"/>
          <w:szCs w:val="30"/>
        </w:rPr>
      </w:r>
      <w:r/>
    </w:p>
    <w:p>
      <w:pPr>
        <w:ind w:firstLine="624"/>
        <w:spacing w:line="480" w:lineRule="exact"/>
        <w:rPr>
          <w:rFonts w:ascii="仿宋_GB2312" w:eastAsia="仿宋_GB2312"/>
          <w:spacing w:val="6"/>
          <w:sz w:val="30"/>
          <w:szCs w:val="30"/>
        </w:rPr>
      </w:pPr>
      <w:r>
        <w:rPr>
          <w:rFonts w:ascii="仿宋_GB2312" w:eastAsia="仿宋_GB2312"/>
          <w:spacing w:val="6"/>
          <w:sz w:val="30"/>
          <w:szCs w:val="30"/>
        </w:rPr>
      </w:r>
      <w:r/>
    </w:p>
    <w:p>
      <w:pPr>
        <w:ind w:firstLine="624"/>
        <w:spacing w:line="480" w:lineRule="exact"/>
        <w:rPr>
          <w:rFonts w:ascii="仿宋_GB2312" w:eastAsia="仿宋_GB2312"/>
          <w:spacing w:val="6"/>
          <w:sz w:val="30"/>
          <w:szCs w:val="30"/>
        </w:rPr>
      </w:pPr>
      <w:r>
        <w:rPr>
          <w:rFonts w:ascii="仿宋_GB2312" w:eastAsia="仿宋_GB2312"/>
          <w:spacing w:val="6"/>
          <w:sz w:val="30"/>
          <w:szCs w:val="30"/>
        </w:rPr>
      </w:r>
      <w:r/>
    </w:p>
    <w:p>
      <w:pPr>
        <w:ind w:firstLine="624"/>
        <w:spacing w:line="480" w:lineRule="exact"/>
        <w:rPr>
          <w:rFonts w:ascii="仿宋_GB2312" w:eastAsia="仿宋_GB2312"/>
          <w:spacing w:val="6"/>
          <w:sz w:val="30"/>
          <w:szCs w:val="30"/>
        </w:rPr>
      </w:pPr>
      <w:r>
        <w:rPr>
          <w:rFonts w:ascii="仿宋_GB2312" w:eastAsia="仿宋_GB2312"/>
          <w:spacing w:val="6"/>
          <w:sz w:val="30"/>
          <w:szCs w:val="30"/>
        </w:rPr>
      </w:r>
      <w:r/>
    </w:p>
    <w:p>
      <w:pPr>
        <w:ind w:firstLine="624"/>
        <w:spacing w:line="480" w:lineRule="exact"/>
        <w:rPr>
          <w:rFonts w:ascii="仿宋_GB2312" w:eastAsia="仿宋_GB2312"/>
          <w:spacing w:val="6"/>
          <w:sz w:val="30"/>
          <w:szCs w:val="30"/>
        </w:rPr>
      </w:pPr>
      <w:r>
        <w:rPr>
          <w:rFonts w:ascii="仿宋_GB2312" w:eastAsia="仿宋_GB2312"/>
          <w:spacing w:val="6"/>
          <w:sz w:val="30"/>
          <w:szCs w:val="30"/>
        </w:rPr>
      </w:r>
      <w:r/>
    </w:p>
    <w:p>
      <w:pPr>
        <w:ind w:firstLine="624"/>
        <w:spacing w:line="480" w:lineRule="exact"/>
        <w:rPr>
          <w:rFonts w:ascii="仿宋_GB2312" w:eastAsia="仿宋_GB2312"/>
          <w:spacing w:val="6"/>
          <w:sz w:val="30"/>
          <w:szCs w:val="30"/>
        </w:rPr>
      </w:pPr>
      <w:r>
        <w:rPr>
          <w:rFonts w:ascii="仿宋_GB2312" w:eastAsia="仿宋_GB2312"/>
          <w:spacing w:val="6"/>
          <w:sz w:val="30"/>
          <w:szCs w:val="30"/>
        </w:rPr>
      </w:r>
      <w:r/>
    </w:p>
    <w:p>
      <w:pPr>
        <w:ind w:firstLine="624"/>
        <w:spacing w:line="480" w:lineRule="exact"/>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t xml:space="preserve">十二、关于符合本国产品标准的声明函</w:t>
      </w:r>
      <w:r/>
    </w:p>
    <w:p>
      <w:pPr>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726"/>
        <w:ind w:left="0" w:right="0"/>
        <w:jc w:val="center"/>
        <w:keepLines w:val="0"/>
        <w:keepNext w:val="0"/>
        <w:spacing w:before="15" w:beforeAutospacing="0" w:after="15" w:afterAutospacing="0"/>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333333"/>
          <w:sz w:val="30"/>
          <w:szCs w:val="30"/>
          <w:shd w:val="clear" w:color="auto" w:fill="ffffff"/>
        </w:rPr>
        <w:t xml:space="preserve">关于符合本国产品标准的声明函</w:t>
      </w:r>
      <w:r/>
    </w:p>
    <w:p>
      <w:pPr>
        <w:pStyle w:val="726"/>
        <w:ind w:left="0" w:firstLine="420"/>
        <w:keepLines w:val="0"/>
        <w:keepNext w:val="0"/>
        <w:spacing w:before="15" w:beforeAutospacing="0" w:after="15" w:afterAutospacing="0"/>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726"/>
        <w:ind w:left="0" w:firstLine="42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本公司（单位</w:t>
      </w:r>
      <w:bookmarkStart w:id="206" w:name="_GoBack"/>
      <w:r>
        <w:rPr>
          <w:rFonts w:hint="eastAsia" w:ascii="宋体" w:hAnsi="宋体" w:eastAsia="宋体" w:cs="宋体"/>
          <w:color w:val="000000"/>
          <w:sz w:val="24"/>
          <w:szCs w:val="24"/>
        </w:rPr>
        <w:t xml:space="preserve">）郑重声明，根据《国务院办公厅关于在政府采购中实施本国产品标准及相关政策的通知》（国办发〔2025〕34号）的规定，本公司（单位）提供的以下产品属于本国产品。具体情况如下：</w:t>
      </w:r>
      <w:r/>
    </w:p>
    <w:p>
      <w:pPr>
        <w:pStyle w:val="726"/>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w:t>
      </w:r>
      <w:r>
        <w:rPr>
          <w:rFonts w:hint="eastAsia" w:ascii="宋体" w:hAnsi="宋体" w:eastAsia="宋体" w:cs="宋体"/>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vertAlign w:val="superscript"/>
        </w:rPr>
        <w:t xml:space="preserve">1</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vertAlign w:val="superscript"/>
        </w:rPr>
        <w:t xml:space="preserve">2</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3</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4</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5</w:t>
      </w:r>
      <w:r>
        <w:rPr>
          <w:rFonts w:hint="eastAsia" w:ascii="宋体" w:hAnsi="宋体" w:eastAsia="宋体" w:cs="宋体"/>
          <w:color w:val="000000"/>
          <w:sz w:val="24"/>
          <w:szCs w:val="24"/>
          <w:shd w:val="clear" w:color="auto" w:fill="ffffff"/>
        </w:rPr>
        <w:t xml:space="preserve">在中国境内完成。</w:t>
      </w:r>
      <w:r/>
    </w:p>
    <w:p>
      <w:pPr>
        <w:pStyle w:val="726"/>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w:t>
      </w:r>
      <w:r>
        <w:rPr>
          <w:rFonts w:hint="eastAsia" w:ascii="宋体" w:hAnsi="宋体" w:eastAsia="宋体" w:cs="宋体"/>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在中国境内完成。</w:t>
      </w:r>
      <w:r/>
    </w:p>
    <w:p>
      <w:pPr>
        <w:pStyle w:val="726"/>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w:t>
      </w:r>
      <w:r/>
    </w:p>
    <w:p>
      <w:pPr>
        <w:pStyle w:val="726"/>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本公司（单位）对上述声明内容的真实性负责。如有虚假，愿承担相应法律责任。</w:t>
      </w:r>
      <w:r/>
    </w:p>
    <w:p>
      <w:pPr>
        <w:pStyle w:val="726"/>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726"/>
        <w:jc w:val="right"/>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公司（单位）名称（加盖CA电子公章）：         </w:t>
      </w:r>
      <w:r/>
    </w:p>
    <w:p>
      <w:pPr>
        <w:pStyle w:val="726"/>
        <w:jc w:val="center"/>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日期：      年   月   日         </w:t>
      </w:r>
      <w:r/>
    </w:p>
    <w:p>
      <w:pPr>
        <w:pStyle w:val="726"/>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726"/>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726"/>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_________________</w:t>
      </w:r>
      <w:r/>
    </w:p>
    <w:p>
      <w:pPr>
        <w:pStyle w:val="726"/>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1.产品如有型号，请在“产品名称”栏一并填写。</w:t>
      </w:r>
      <w:r/>
    </w:p>
    <w:p>
      <w:pPr>
        <w:pStyle w:val="726"/>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2.生产厂名与厂址应与生产厂营业执照载明的相关信息保持一致。</w:t>
      </w:r>
      <w:r/>
    </w:p>
    <w:p>
      <w:pPr>
        <w:pStyle w:val="726"/>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3.该产品的中国境内生产的组件成本占比相关要求实施前，“规定比例”栏可不填，下同。</w:t>
      </w:r>
      <w:r/>
    </w:p>
    <w:p>
      <w:pPr>
        <w:pStyle w:val="726"/>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4.该产品的关键组件要求实施前，“关键组件”栏可不填，下同。</w:t>
      </w:r>
      <w:r/>
    </w:p>
    <w:p>
      <w:pPr>
        <w:pStyle w:val="726"/>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5.该产品的关键工序要求实施前，“关键工序”栏可不填，下同。</w:t>
      </w:r>
      <w:r/>
    </w:p>
    <w:p>
      <w:pPr>
        <w:pStyle w:val="726"/>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6.《声明函》中标注“</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”的地方无需填写。</w:t>
      </w:r>
      <w:bookmarkEnd w:id="206"/>
      <w:r/>
      <w:r/>
    </w:p>
    <w:p>
      <w:pPr>
        <w:pStyle w:val="997"/>
      </w:pPr>
      <w:r/>
      <w:r/>
    </w:p>
    <w:p>
      <w:pPr>
        <w:ind w:firstLine="5760"/>
        <w:spacing w:line="560" w:lineRule="exact"/>
        <w:rPr>
          <w:rFonts w:hint="eastAsia" w:ascii="宋体" w:hAnsi="宋体"/>
          <w:sz w:val="24"/>
          <w:szCs w:val="24"/>
        </w:rPr>
      </w:pPr>
      <w:r>
        <w:rPr>
          <w:rFonts w:hint="eastAsia" w:ascii="宋体" w:hAnsi="宋体"/>
          <w:sz w:val="24"/>
          <w:szCs w:val="24"/>
          <w:lang w:val="en-US" w:eastAsia="zh-CN"/>
        </w:rPr>
        <w:t xml:space="preserve">                                         </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ind w:firstLine="645"/>
        <w:spacing w:line="560" w:lineRule="exact"/>
        <w:rPr>
          <w:rFonts w:hint="eastAsia" w:ascii="宋体" w:hAnsi="宋体"/>
          <w:sz w:val="24"/>
          <w:szCs w:val="24"/>
        </w:rPr>
      </w:pPr>
      <w:r>
        <w:rPr>
          <w:rFonts w:hint="eastAsia" w:ascii="宋体" w:hAnsi="宋体"/>
          <w:sz w:val="24"/>
          <w:szCs w:val="24"/>
        </w:rPr>
      </w:r>
      <w:r/>
    </w:p>
    <w:p>
      <w:pPr>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bookmarkEnd w:id="189"/>
      <w:r/>
      <w:bookmarkEnd w:id="190"/>
      <w:r/>
      <w:bookmarkEnd w:id="202"/>
      <w:r/>
      <w:r/>
    </w:p>
    <w:p>
      <w:pPr>
        <w:jc w:val="center"/>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分</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r>
      <w:r/>
    </w:p>
    <w:p>
      <w:pPr>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p>
    <w:p>
      <w:pPr>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p>
    <w:p>
      <w:pPr>
        <w:spacing w:line="480" w:lineRule="exact"/>
        <w:rPr>
          <w:rFonts w:hint="eastAsia" w:ascii="宋体" w:hAnsi="宋体"/>
          <w:b w:val="0"/>
          <w:bCs/>
          <w:sz w:val="24"/>
          <w:szCs w:val="24"/>
        </w:rPr>
      </w:pPr>
      <w:r>
        <w:rPr>
          <w:rFonts w:hint="eastAsia" w:ascii="宋体" w:hAnsi="宋体"/>
          <w:b w:val="0"/>
          <w:bCs/>
          <w:sz w:val="24"/>
          <w:szCs w:val="24"/>
        </w:rPr>
      </w:r>
      <w:r/>
    </w:p>
    <w:p>
      <w:pPr>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sz w:val="24"/>
          <w:szCs w:val="24"/>
          <w:highlight w:val="none"/>
          <w:lang w:val="en-US" w:eastAsia="zh-CN"/>
        </w:rPr>
        <w:t xml:space="preserve">由授权代表负责</w:t>
      </w:r>
      <w:r>
        <w:rPr>
          <w:rFonts w:hint="eastAsia" w:ascii="宋体" w:hAnsi="宋体" w:eastAsia="宋体" w:cs="仿宋"/>
          <w:sz w:val="24"/>
          <w:szCs w:val="24"/>
          <w:highlight w:val="none"/>
          <w:lang w:eastAsia="zh-CN"/>
        </w:rPr>
        <w:t xml:space="preserve">质疑</w:t>
      </w:r>
      <w:r>
        <w:rPr>
          <w:rFonts w:hint="eastAsia" w:ascii="宋体" w:hAnsi="宋体" w:eastAsia="宋体" w:cs="仿宋"/>
          <w:sz w:val="24"/>
          <w:szCs w:val="24"/>
          <w:highlight w:val="none"/>
          <w:lang w:val="en-US" w:eastAsia="zh-CN"/>
        </w:rPr>
        <w:t xml:space="preserve">事宜</w:t>
      </w:r>
      <w:r>
        <w:rPr>
          <w:rFonts w:hint="eastAsia" w:ascii="宋体" w:hAnsi="宋体" w:eastAsia="宋体" w:cs="仿宋"/>
          <w:sz w:val="24"/>
          <w:szCs w:val="24"/>
          <w:highlight w:val="none"/>
          <w:lang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lang w:val="en-US" w:eastAsia="zh-CN"/>
        </w:rPr>
        <w:t xml:space="preserve">附件中</w:t>
      </w:r>
      <w:r>
        <w:rPr>
          <w:rFonts w:hint="eastAsia" w:ascii="宋体" w:hAnsi="宋体" w:eastAsia="宋体" w:cs="仿宋"/>
          <w:b w:val="0"/>
          <w:bCs w:val="0"/>
          <w:sz w:val="24"/>
          <w:szCs w:val="24"/>
          <w:highlight w:val="none"/>
        </w:rPr>
        <w:t xml:space="preserve">应</w:t>
      </w:r>
      <w:r>
        <w:rPr>
          <w:rFonts w:hint="eastAsia" w:ascii="宋体" w:hAnsi="宋体" w:eastAsia="宋体" w:cs="仿宋"/>
          <w:b w:val="0"/>
          <w:bCs w:val="0"/>
          <w:sz w:val="24"/>
          <w:szCs w:val="24"/>
          <w:highlight w:val="none"/>
          <w:lang w:val="en-US" w:eastAsia="zh-CN"/>
        </w:rPr>
        <w:t xml:space="preserve">提交</w:t>
      </w:r>
      <w:r>
        <w:rPr>
          <w:rFonts w:hint="eastAsia" w:ascii="宋体" w:hAnsi="宋体" w:eastAsia="宋体" w:cs="仿宋"/>
          <w:sz w:val="24"/>
          <w:szCs w:val="24"/>
          <w:highlight w:val="none"/>
          <w:lang w:eastAsia="zh-CN"/>
        </w:rPr>
        <w:t xml:space="preserve">由质疑供应商法定代表人签署的《授权委托书》</w:t>
      </w:r>
      <w:r>
        <w:rPr>
          <w:rFonts w:hint="eastAsia" w:ascii="宋体" w:hAnsi="宋体" w:eastAsia="宋体" w:cs="仿宋"/>
          <w:b w:val="0"/>
          <w:bCs w:val="0"/>
          <w:sz w:val="24"/>
          <w:szCs w:val="24"/>
          <w:highlight w:val="none"/>
        </w:rPr>
        <w:t xml:space="preserve">。</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对项目的某一分包进行质疑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rPr>
        <w:t xml:space="preserve">分包号。</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p>
    <w:p>
      <w:pPr>
        <w:ind w:firstLine="480"/>
        <w:spacing w:line="480" w:lineRule="exact"/>
        <w:rPr>
          <w:rFonts w:hint="eastAsia" w:ascii="宋体" w:hAnsi="宋体" w:eastAsia="宋体" w:cs="仿宋"/>
          <w:b w:val="0"/>
          <w:bCs w:val="0"/>
          <w:sz w:val="24"/>
          <w:szCs w:val="24"/>
          <w:highlight w:val="none"/>
          <w:lang w:val="zh-CN"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rPr>
        <w:rStyle w:val="953"/>
        <w:rFonts w:ascii="宋体" w:hAnsi="宋体"/>
      </w:rPr>
      <w:framePr w:wrap="around" w:vAnchor="text" w:hAnchor="margin" w:xAlign="center" w:y="1"/>
    </w:pPr>
    <w:r>
      <w:rPr>
        <w:rFonts w:ascii="宋体" w:hAnsi="宋体"/>
      </w:rPr>
      <w:fldChar w:fldCharType="begin"/>
    </w:r>
    <w:r>
      <w:rPr>
        <w:rStyle w:val="953"/>
        <w:rFonts w:ascii="宋体" w:hAnsi="宋体"/>
      </w:rPr>
      <w:instrText xml:space="preserve">PAGE  </w:instrText>
    </w:r>
    <w:r>
      <w:rPr>
        <w:rFonts w:ascii="宋体" w:hAnsi="宋体"/>
      </w:rPr>
      <w:fldChar w:fldCharType="separate"/>
    </w:r>
    <w:r>
      <w:rPr>
        <w:rStyle w:val="953"/>
        <w:rFonts w:ascii="宋体" w:hAnsi="宋体"/>
      </w:rPr>
      <w:t xml:space="preserve">４２</w:t>
    </w:r>
    <w:r>
      <w:rPr>
        <w:rFonts w:ascii="宋体" w:hAnsi="宋体"/>
      </w:rPr>
      <w:fldChar w:fldCharType="end"/>
    </w:r>
    <w:r/>
  </w:p>
  <w:p>
    <w:pPr>
      <w:pStyle w:val="929"/>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rPr>
        <w:rStyle w:val="953"/>
      </w:rPr>
      <w:framePr w:wrap="around" w:vAnchor="text" w:hAnchor="margin" w:xAlign="center" w:y="1"/>
    </w:pPr>
    <w:r>
      <w:fldChar w:fldCharType="begin"/>
    </w:r>
    <w:r>
      <w:rPr>
        <w:rStyle w:val="953"/>
      </w:rPr>
      <w:instrText xml:space="preserve">PAGE  </w:instrText>
    </w:r>
    <w:r>
      <w:fldChar w:fldCharType="separate"/>
    </w:r>
    <w:r>
      <w:rPr>
        <w:rStyle w:val="953"/>
      </w:rPr>
      <w:t xml:space="preserve">1</w:t>
    </w:r>
    <w:r>
      <w:fldChar w:fldCharType="end"/>
    </w:r>
    <w:r/>
  </w:p>
  <w:p>
    <w:pPr>
      <w:pStyle w:val="92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upperLetter"/>
      <w:pStyle w:val="97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87"/>
      <w:isLgl w:val="false"/>
      <w:suff w:val="nothing"/>
      <w:lvlText w:val=""/>
      <w:lvlJc w:val="left"/>
      <w:pPr>
        <w:ind w:left="0" w:firstLine="0"/>
      </w:pPr>
      <w:rPr>
        <w:rFonts w:hint="eastAsia"/>
      </w:rPr>
    </w:lvl>
    <w:lvl w:ilvl="6">
      <w:start w:val="1"/>
      <w:numFmt w:val="decimal"/>
      <w:pStyle w:val="888"/>
      <w:isLgl w:val="false"/>
      <w:suff w:val="nothing"/>
      <w:lvlText w:val=""/>
      <w:lvlJc w:val="left"/>
      <w:pPr>
        <w:ind w:left="0" w:firstLine="0"/>
      </w:pPr>
      <w:rPr>
        <w:rFonts w:hint="eastAsia"/>
      </w:rPr>
    </w:lvl>
    <w:lvl w:ilvl="7">
      <w:start w:val="1"/>
      <w:numFmt w:val="decimal"/>
      <w:pStyle w:val="889"/>
      <w:isLgl w:val="false"/>
      <w:suff w:val="nothing"/>
      <w:lvlText w:val=""/>
      <w:lvlJc w:val="left"/>
      <w:pPr>
        <w:ind w:left="0" w:firstLine="0"/>
      </w:pPr>
      <w:rPr>
        <w:rFonts w:hint="eastAsia"/>
      </w:rPr>
    </w:lvl>
    <w:lvl w:ilvl="8">
      <w:start w:val="1"/>
      <w:numFmt w:val="decimal"/>
      <w:pStyle w:val="890"/>
      <w:isLgl w:val="false"/>
      <w:suff w:val="nothing"/>
      <w:lvlText w:val=""/>
      <w:lvlJc w:val="left"/>
      <w:pPr>
        <w:ind w:left="0" w:firstLine="0"/>
      </w:pPr>
      <w:rPr>
        <w:rFonts w:hint="eastAsia"/>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7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6"/>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4" w:default="1">
    <w:name w:val="Normal"/>
    <w:link w:val="96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95">
    <w:name w:val="Heading 1"/>
    <w:basedOn w:val="694"/>
    <w:next w:val="694"/>
    <w:link w:val="733"/>
    <w:uiPriority w:val="9"/>
    <w:qFormat/>
    <w:pPr>
      <w:keepLines/>
      <w:keepNext/>
      <w:spacing w:before="480" w:after="200"/>
      <w:outlineLvl w:val="0"/>
    </w:pPr>
    <w:rPr>
      <w:rFonts w:ascii="Arial" w:hAnsi="Arial" w:eastAsia="Arial" w:cs="Arial"/>
      <w:sz w:val="40"/>
      <w:szCs w:val="40"/>
    </w:rPr>
  </w:style>
  <w:style w:type="paragraph" w:styleId="696">
    <w:name w:val="Heading 2"/>
    <w:basedOn w:val="694"/>
    <w:next w:val="694"/>
    <w:link w:val="734"/>
    <w:uiPriority w:val="9"/>
    <w:unhideWhenUsed/>
    <w:qFormat/>
    <w:pPr>
      <w:keepLines/>
      <w:keepNext/>
      <w:spacing w:before="360" w:after="200"/>
      <w:outlineLvl w:val="1"/>
    </w:pPr>
    <w:rPr>
      <w:rFonts w:ascii="Arial" w:hAnsi="Arial" w:eastAsia="Arial" w:cs="Arial"/>
      <w:sz w:val="34"/>
    </w:rPr>
  </w:style>
  <w:style w:type="paragraph" w:styleId="697">
    <w:name w:val="Heading 3"/>
    <w:basedOn w:val="694"/>
    <w:next w:val="694"/>
    <w:link w:val="735"/>
    <w:uiPriority w:val="9"/>
    <w:unhideWhenUsed/>
    <w:qFormat/>
    <w:pPr>
      <w:keepLines/>
      <w:keepNext/>
      <w:spacing w:before="320" w:after="200"/>
      <w:outlineLvl w:val="2"/>
    </w:pPr>
    <w:rPr>
      <w:rFonts w:ascii="Arial" w:hAnsi="Arial" w:eastAsia="Arial" w:cs="Arial"/>
      <w:sz w:val="30"/>
      <w:szCs w:val="30"/>
    </w:rPr>
  </w:style>
  <w:style w:type="paragraph" w:styleId="698">
    <w:name w:val="Heading 4"/>
    <w:basedOn w:val="694"/>
    <w:next w:val="694"/>
    <w:link w:val="736"/>
    <w:uiPriority w:val="9"/>
    <w:unhideWhenUsed/>
    <w:qFormat/>
    <w:pPr>
      <w:keepLines/>
      <w:keepNext/>
      <w:spacing w:before="320" w:after="200"/>
      <w:outlineLvl w:val="3"/>
    </w:pPr>
    <w:rPr>
      <w:rFonts w:ascii="Arial" w:hAnsi="Arial" w:eastAsia="Arial" w:cs="Arial"/>
      <w:b/>
      <w:bCs/>
      <w:sz w:val="26"/>
      <w:szCs w:val="26"/>
    </w:rPr>
  </w:style>
  <w:style w:type="paragraph" w:styleId="699">
    <w:name w:val="Heading 5"/>
    <w:basedOn w:val="694"/>
    <w:next w:val="694"/>
    <w:link w:val="737"/>
    <w:uiPriority w:val="9"/>
    <w:unhideWhenUsed/>
    <w:qFormat/>
    <w:pPr>
      <w:keepLines/>
      <w:keepNext/>
      <w:spacing w:before="320" w:after="200"/>
      <w:outlineLvl w:val="4"/>
    </w:pPr>
    <w:rPr>
      <w:rFonts w:ascii="Arial" w:hAnsi="Arial" w:eastAsia="Arial" w:cs="Arial"/>
      <w:b/>
      <w:bCs/>
      <w:sz w:val="24"/>
      <w:szCs w:val="24"/>
    </w:rPr>
  </w:style>
  <w:style w:type="paragraph" w:styleId="700">
    <w:name w:val="Heading 6"/>
    <w:basedOn w:val="694"/>
    <w:next w:val="694"/>
    <w:link w:val="738"/>
    <w:uiPriority w:val="9"/>
    <w:unhideWhenUsed/>
    <w:qFormat/>
    <w:pPr>
      <w:keepLines/>
      <w:keepNext/>
      <w:spacing w:before="320" w:after="200"/>
      <w:outlineLvl w:val="5"/>
    </w:pPr>
    <w:rPr>
      <w:rFonts w:ascii="Arial" w:hAnsi="Arial" w:eastAsia="Arial" w:cs="Arial"/>
      <w:b/>
      <w:bCs/>
      <w:sz w:val="22"/>
      <w:szCs w:val="22"/>
    </w:rPr>
  </w:style>
  <w:style w:type="paragraph" w:styleId="701">
    <w:name w:val="Heading 7"/>
    <w:basedOn w:val="694"/>
    <w:next w:val="694"/>
    <w:link w:val="739"/>
    <w:uiPriority w:val="9"/>
    <w:unhideWhenUsed/>
    <w:qFormat/>
    <w:pPr>
      <w:keepLines/>
      <w:keepNext/>
      <w:spacing w:before="320" w:after="200"/>
      <w:outlineLvl w:val="6"/>
    </w:pPr>
    <w:rPr>
      <w:rFonts w:ascii="Arial" w:hAnsi="Arial" w:eastAsia="Arial" w:cs="Arial"/>
      <w:b/>
      <w:bCs/>
      <w:i/>
      <w:iCs/>
      <w:sz w:val="22"/>
      <w:szCs w:val="22"/>
    </w:rPr>
  </w:style>
  <w:style w:type="paragraph" w:styleId="702">
    <w:name w:val="Heading 8"/>
    <w:basedOn w:val="694"/>
    <w:next w:val="694"/>
    <w:link w:val="740"/>
    <w:uiPriority w:val="9"/>
    <w:unhideWhenUsed/>
    <w:qFormat/>
    <w:pPr>
      <w:keepLines/>
      <w:keepNext/>
      <w:spacing w:before="320" w:after="200"/>
      <w:outlineLvl w:val="7"/>
    </w:pPr>
    <w:rPr>
      <w:rFonts w:ascii="Arial" w:hAnsi="Arial" w:eastAsia="Arial" w:cs="Arial"/>
      <w:i/>
      <w:iCs/>
      <w:sz w:val="22"/>
      <w:szCs w:val="22"/>
    </w:rPr>
  </w:style>
  <w:style w:type="paragraph" w:styleId="703">
    <w:name w:val="Heading 9"/>
    <w:basedOn w:val="694"/>
    <w:next w:val="694"/>
    <w:link w:val="741"/>
    <w:uiPriority w:val="9"/>
    <w:unhideWhenUsed/>
    <w:qFormat/>
    <w:pPr>
      <w:keepLines/>
      <w:keepNext/>
      <w:spacing w:before="320" w:after="200"/>
      <w:outlineLvl w:val="8"/>
    </w:pPr>
    <w:rPr>
      <w:rFonts w:ascii="Arial" w:hAnsi="Arial" w:eastAsia="Arial" w:cs="Arial"/>
      <w:i/>
      <w:iCs/>
      <w:sz w:val="21"/>
      <w:szCs w:val="21"/>
    </w:rPr>
  </w:style>
  <w:style w:type="character" w:styleId="704" w:default="1">
    <w:name w:val="Default Paragraph Font"/>
    <w:uiPriority w:val="1"/>
    <w:semiHidden/>
    <w:unhideWhenUsed/>
    <w:qFormat/>
  </w:style>
  <w:style w:type="table" w:styleId="705" w:default="1">
    <w:name w:val="Normal Table"/>
    <w:uiPriority w:val="99"/>
    <w:semiHidden/>
    <w:unhideWhenUsed/>
    <w:qFormat/>
    <w:tblPr>
      <w:tblCellMar>
        <w:left w:w="108" w:type="dxa"/>
        <w:top w:w="0" w:type="dxa"/>
        <w:right w:w="108" w:type="dxa"/>
        <w:bottom w:w="0" w:type="dxa"/>
      </w:tblCellMar>
    </w:tblPr>
  </w:style>
  <w:style w:type="paragraph" w:styleId="706">
    <w:name w:val="toc 7"/>
    <w:basedOn w:val="694"/>
    <w:next w:val="694"/>
    <w:uiPriority w:val="39"/>
    <w:unhideWhenUsed/>
    <w:qFormat/>
    <w:pPr>
      <w:ind w:left="1701" w:right="0" w:firstLine="0"/>
      <w:spacing w:after="57"/>
    </w:pPr>
  </w:style>
  <w:style w:type="paragraph" w:styleId="707">
    <w:name w:val="Caption"/>
    <w:basedOn w:val="694"/>
    <w:next w:val="69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8">
    <w:name w:val="Body Text"/>
    <w:basedOn w:val="694"/>
    <w:uiPriority w:val="0"/>
    <w:semiHidden/>
    <w:qFormat/>
    <w:rPr>
      <w:rFonts w:ascii="宋体" w:hAnsi="宋体" w:eastAsia="宋体" w:cs="宋体"/>
      <w:sz w:val="37"/>
      <w:szCs w:val="37"/>
    </w:rPr>
  </w:style>
  <w:style w:type="paragraph" w:styleId="709">
    <w:name w:val="Body Text Indent"/>
    <w:basedOn w:val="694"/>
    <w:next w:val="710"/>
    <w:uiPriority w:val="0"/>
    <w:unhideWhenUsed/>
    <w:qFormat/>
    <w:pPr>
      <w:ind w:left="420"/>
      <w:spacing w:after="120"/>
    </w:pPr>
  </w:style>
  <w:style w:type="paragraph" w:styleId="710">
    <w:name w:val="envelope return"/>
    <w:basedOn w:val="694"/>
    <w:uiPriority w:val="0"/>
    <w:qFormat/>
    <w:rPr>
      <w:rFonts w:ascii="Arial" w:hAnsi="Arial" w:eastAsia="宋体" w:cs="宋体"/>
    </w:rPr>
  </w:style>
  <w:style w:type="paragraph" w:styleId="711">
    <w:name w:val="toc 5"/>
    <w:basedOn w:val="694"/>
    <w:next w:val="694"/>
    <w:uiPriority w:val="39"/>
    <w:unhideWhenUsed/>
    <w:qFormat/>
    <w:pPr>
      <w:ind w:left="1134" w:right="0" w:firstLine="0"/>
      <w:spacing w:after="57"/>
    </w:pPr>
  </w:style>
  <w:style w:type="paragraph" w:styleId="712">
    <w:name w:val="toc 3"/>
    <w:basedOn w:val="694"/>
    <w:next w:val="694"/>
    <w:uiPriority w:val="39"/>
    <w:unhideWhenUsed/>
    <w:qFormat/>
    <w:pPr>
      <w:ind w:left="567" w:right="0" w:firstLine="0"/>
      <w:spacing w:after="57"/>
    </w:pPr>
  </w:style>
  <w:style w:type="paragraph" w:styleId="713">
    <w:name w:val="Plain Text"/>
    <w:basedOn w:val="694"/>
    <w:uiPriority w:val="0"/>
    <w:qFormat/>
    <w:rPr>
      <w:rFonts w:ascii="宋体" w:hAnsi="Courier New" w:eastAsia="宋体" w:cs="Courier New"/>
      <w:szCs w:val="21"/>
    </w:rPr>
  </w:style>
  <w:style w:type="paragraph" w:styleId="714">
    <w:name w:val="toc 8"/>
    <w:basedOn w:val="694"/>
    <w:next w:val="694"/>
    <w:uiPriority w:val="39"/>
    <w:unhideWhenUsed/>
    <w:qFormat/>
    <w:pPr>
      <w:ind w:left="1984" w:right="0" w:firstLine="0"/>
      <w:spacing w:after="57"/>
    </w:pPr>
  </w:style>
  <w:style w:type="paragraph" w:styleId="715">
    <w:name w:val="endnote text"/>
    <w:basedOn w:val="694"/>
    <w:link w:val="879"/>
    <w:uiPriority w:val="99"/>
    <w:semiHidden/>
    <w:unhideWhenUsed/>
    <w:qFormat/>
    <w:pPr>
      <w:spacing w:after="0" w:line="240" w:lineRule="auto"/>
    </w:pPr>
    <w:rPr>
      <w:sz w:val="20"/>
    </w:rPr>
  </w:style>
  <w:style w:type="paragraph" w:styleId="716">
    <w:name w:val="Footer"/>
    <w:basedOn w:val="694"/>
    <w:link w:val="752"/>
    <w:uiPriority w:val="99"/>
    <w:unhideWhenUsed/>
    <w:qFormat/>
    <w:pPr>
      <w:spacing w:after="0" w:line="240" w:lineRule="auto"/>
      <w:tabs>
        <w:tab w:val="center" w:pos="7143" w:leader="none"/>
        <w:tab w:val="right" w:pos="14287" w:leader="none"/>
      </w:tabs>
    </w:pPr>
  </w:style>
  <w:style w:type="paragraph" w:styleId="717">
    <w:name w:val="Header"/>
    <w:basedOn w:val="694"/>
    <w:link w:val="750"/>
    <w:uiPriority w:val="99"/>
    <w:unhideWhenUsed/>
    <w:qFormat/>
    <w:pPr>
      <w:spacing w:after="0" w:line="240" w:lineRule="auto"/>
      <w:tabs>
        <w:tab w:val="center" w:pos="7143" w:leader="none"/>
        <w:tab w:val="right" w:pos="14287" w:leader="none"/>
      </w:tabs>
    </w:pPr>
  </w:style>
  <w:style w:type="paragraph" w:styleId="718">
    <w:name w:val="toc 1"/>
    <w:basedOn w:val="694"/>
    <w:next w:val="694"/>
    <w:uiPriority w:val="39"/>
    <w:unhideWhenUsed/>
    <w:qFormat/>
    <w:pPr>
      <w:ind w:left="0" w:right="0" w:firstLine="0"/>
      <w:spacing w:after="57"/>
    </w:pPr>
  </w:style>
  <w:style w:type="paragraph" w:styleId="719">
    <w:name w:val="toc 4"/>
    <w:basedOn w:val="694"/>
    <w:next w:val="694"/>
    <w:uiPriority w:val="39"/>
    <w:unhideWhenUsed/>
    <w:qFormat/>
    <w:pPr>
      <w:ind w:left="850" w:right="0" w:firstLine="0"/>
      <w:spacing w:after="57"/>
    </w:pPr>
  </w:style>
  <w:style w:type="paragraph" w:styleId="720">
    <w:name w:val="Subtitle"/>
    <w:basedOn w:val="694"/>
    <w:next w:val="694"/>
    <w:link w:val="745"/>
    <w:uiPriority w:val="11"/>
    <w:qFormat/>
    <w:pPr>
      <w:spacing w:before="200" w:after="200"/>
    </w:pPr>
    <w:rPr>
      <w:sz w:val="24"/>
      <w:szCs w:val="24"/>
    </w:rPr>
  </w:style>
  <w:style w:type="paragraph" w:styleId="721">
    <w:name w:val="footnote text"/>
    <w:basedOn w:val="694"/>
    <w:link w:val="878"/>
    <w:uiPriority w:val="99"/>
    <w:semiHidden/>
    <w:unhideWhenUsed/>
    <w:qFormat/>
    <w:pPr>
      <w:spacing w:after="40" w:line="240" w:lineRule="auto"/>
    </w:pPr>
    <w:rPr>
      <w:sz w:val="18"/>
    </w:rPr>
  </w:style>
  <w:style w:type="paragraph" w:styleId="722">
    <w:name w:val="toc 6"/>
    <w:basedOn w:val="694"/>
    <w:next w:val="694"/>
    <w:uiPriority w:val="39"/>
    <w:unhideWhenUsed/>
    <w:qFormat/>
    <w:pPr>
      <w:ind w:left="1417" w:right="0" w:firstLine="0"/>
      <w:spacing w:after="57"/>
    </w:pPr>
  </w:style>
  <w:style w:type="paragraph" w:styleId="723">
    <w:name w:val="table of figures"/>
    <w:basedOn w:val="694"/>
    <w:next w:val="694"/>
    <w:uiPriority w:val="99"/>
    <w:unhideWhenUsed/>
    <w:qFormat/>
    <w:pPr>
      <w:spacing w:after="0" w:afterAutospacing="0"/>
    </w:pPr>
  </w:style>
  <w:style w:type="paragraph" w:styleId="724">
    <w:name w:val="toc 2"/>
    <w:basedOn w:val="694"/>
    <w:next w:val="694"/>
    <w:uiPriority w:val="39"/>
    <w:unhideWhenUsed/>
    <w:qFormat/>
    <w:pPr>
      <w:ind w:left="283" w:right="0" w:firstLine="0"/>
      <w:spacing w:after="57"/>
    </w:pPr>
  </w:style>
  <w:style w:type="paragraph" w:styleId="725">
    <w:name w:val="toc 9"/>
    <w:basedOn w:val="694"/>
    <w:next w:val="694"/>
    <w:uiPriority w:val="39"/>
    <w:unhideWhenUsed/>
    <w:qFormat/>
    <w:pPr>
      <w:ind w:left="2268" w:right="0" w:firstLine="0"/>
      <w:spacing w:after="57"/>
    </w:pPr>
  </w:style>
  <w:style w:type="paragraph" w:styleId="726">
    <w:name w:val="Normal (Web)"/>
    <w:basedOn w:val="694"/>
    <w:uiPriority w:val="99"/>
    <w:semiHidden/>
    <w:unhideWhenUsed/>
    <w:qFormat/>
    <w:pPr>
      <w:ind w:left="0" w:right="0"/>
      <w:jc w:val="left"/>
      <w:spacing w:before="0" w:beforeAutospacing="1" w:after="0" w:afterAutospacing="1"/>
    </w:pPr>
    <w:rPr>
      <w:sz w:val="24"/>
      <w:lang w:val="en-US" w:eastAsia="zh-CN" w:bidi="ar"/>
    </w:rPr>
  </w:style>
  <w:style w:type="paragraph" w:styleId="727">
    <w:name w:val="Title"/>
    <w:basedOn w:val="694"/>
    <w:next w:val="694"/>
    <w:link w:val="744"/>
    <w:uiPriority w:val="10"/>
    <w:qFormat/>
    <w:pPr>
      <w:contextualSpacing/>
      <w:spacing w:before="300" w:after="200"/>
    </w:pPr>
    <w:rPr>
      <w:sz w:val="48"/>
      <w:szCs w:val="48"/>
    </w:rPr>
  </w:style>
  <w:style w:type="paragraph" w:styleId="728">
    <w:name w:val="Body Text First Indent 2"/>
    <w:basedOn w:val="709"/>
    <w:next w:val="694"/>
    <w:uiPriority w:val="0"/>
    <w:qFormat/>
    <w:pPr>
      <w:ind w:left="0" w:firstLine="420"/>
      <w:spacing w:after="0" w:line="360" w:lineRule="auto"/>
    </w:pPr>
    <w:rPr>
      <w:rFonts w:ascii="宋体" w:hAnsi="宋体" w:eastAsia="宋体" w:cs="Times New Roman"/>
      <w:szCs w:val="20"/>
    </w:rPr>
  </w:style>
  <w:style w:type="table" w:styleId="72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0">
    <w:name w:val="endnote reference"/>
    <w:uiPriority w:val="99"/>
    <w:semiHidden/>
    <w:unhideWhenUsed/>
    <w:qFormat/>
    <w:rPr>
      <w:vertAlign w:val="superscript"/>
    </w:rPr>
  </w:style>
  <w:style w:type="character" w:styleId="731">
    <w:name w:val="Hyperlink"/>
    <w:uiPriority w:val="99"/>
    <w:unhideWhenUsed/>
    <w:qFormat/>
    <w:rPr>
      <w:color w:val="0000ff" w:themeColor="hyperlink"/>
      <w:u w:val="single"/>
      <w14:textFill>
        <w14:solidFill>
          <w14:schemeClr w14:val="hlink"/>
        </w14:solidFill>
      </w14:textFill>
    </w:rPr>
  </w:style>
  <w:style w:type="character" w:styleId="732">
    <w:name w:val="footnote reference"/>
    <w:uiPriority w:val="99"/>
    <w:unhideWhenUsed/>
    <w:qFormat/>
    <w:rPr>
      <w:vertAlign w:val="superscript"/>
    </w:rPr>
  </w:style>
  <w:style w:type="character" w:styleId="733" w:customStyle="1">
    <w:name w:val="Heading 1 Char"/>
    <w:link w:val="695"/>
    <w:uiPriority w:val="9"/>
    <w:qFormat/>
    <w:rPr>
      <w:rFonts w:ascii="Arial" w:hAnsi="Arial" w:eastAsia="Arial" w:cs="Arial"/>
      <w:sz w:val="40"/>
      <w:szCs w:val="40"/>
    </w:rPr>
  </w:style>
  <w:style w:type="character" w:styleId="734" w:customStyle="1">
    <w:name w:val="Heading 2 Char"/>
    <w:link w:val="696"/>
    <w:uiPriority w:val="9"/>
    <w:qFormat/>
    <w:rPr>
      <w:rFonts w:ascii="Arial" w:hAnsi="Arial" w:eastAsia="Arial" w:cs="Arial"/>
      <w:sz w:val="34"/>
    </w:rPr>
  </w:style>
  <w:style w:type="character" w:styleId="735" w:customStyle="1">
    <w:name w:val="Heading 3 Char"/>
    <w:link w:val="697"/>
    <w:uiPriority w:val="9"/>
    <w:qFormat/>
    <w:rPr>
      <w:rFonts w:ascii="Arial" w:hAnsi="Arial" w:eastAsia="Arial" w:cs="Arial"/>
      <w:sz w:val="30"/>
      <w:szCs w:val="30"/>
    </w:rPr>
  </w:style>
  <w:style w:type="character" w:styleId="736" w:customStyle="1">
    <w:name w:val="Heading 4 Char"/>
    <w:link w:val="698"/>
    <w:uiPriority w:val="9"/>
    <w:qFormat/>
    <w:rPr>
      <w:rFonts w:ascii="Arial" w:hAnsi="Arial" w:eastAsia="Arial" w:cs="Arial"/>
      <w:b/>
      <w:bCs/>
      <w:sz w:val="26"/>
      <w:szCs w:val="26"/>
    </w:rPr>
  </w:style>
  <w:style w:type="character" w:styleId="737" w:customStyle="1">
    <w:name w:val="Heading 5 Char"/>
    <w:link w:val="699"/>
    <w:uiPriority w:val="9"/>
    <w:qFormat/>
    <w:rPr>
      <w:rFonts w:ascii="Arial" w:hAnsi="Arial" w:eastAsia="Arial" w:cs="Arial"/>
      <w:b/>
      <w:bCs/>
      <w:sz w:val="24"/>
      <w:szCs w:val="24"/>
    </w:rPr>
  </w:style>
  <w:style w:type="character" w:styleId="738" w:customStyle="1">
    <w:name w:val="Heading 6 Char"/>
    <w:link w:val="700"/>
    <w:uiPriority w:val="9"/>
    <w:qFormat/>
    <w:rPr>
      <w:rFonts w:ascii="Arial" w:hAnsi="Arial" w:eastAsia="Arial" w:cs="Arial"/>
      <w:b/>
      <w:bCs/>
      <w:sz w:val="22"/>
      <w:szCs w:val="22"/>
    </w:rPr>
  </w:style>
  <w:style w:type="character" w:styleId="739" w:customStyle="1">
    <w:name w:val="Heading 7 Char"/>
    <w:link w:val="701"/>
    <w:uiPriority w:val="9"/>
    <w:qFormat/>
    <w:rPr>
      <w:rFonts w:ascii="Arial" w:hAnsi="Arial" w:eastAsia="Arial" w:cs="Arial"/>
      <w:b/>
      <w:bCs/>
      <w:i/>
      <w:iCs/>
      <w:sz w:val="22"/>
      <w:szCs w:val="22"/>
    </w:rPr>
  </w:style>
  <w:style w:type="character" w:styleId="740" w:customStyle="1">
    <w:name w:val="Heading 8 Char"/>
    <w:link w:val="702"/>
    <w:uiPriority w:val="9"/>
    <w:qFormat/>
    <w:rPr>
      <w:rFonts w:ascii="Arial" w:hAnsi="Arial" w:eastAsia="Arial" w:cs="Arial"/>
      <w:i/>
      <w:iCs/>
      <w:sz w:val="22"/>
      <w:szCs w:val="22"/>
    </w:rPr>
  </w:style>
  <w:style w:type="character" w:styleId="741" w:customStyle="1">
    <w:name w:val="Heading 9 Char"/>
    <w:link w:val="703"/>
    <w:uiPriority w:val="9"/>
    <w:qFormat/>
    <w:rPr>
      <w:rFonts w:ascii="Arial" w:hAnsi="Arial" w:eastAsia="Arial" w:cs="Arial"/>
      <w:i/>
      <w:iCs/>
      <w:sz w:val="21"/>
      <w:szCs w:val="21"/>
    </w:rPr>
  </w:style>
  <w:style w:type="paragraph" w:styleId="742">
    <w:name w:val="List Paragraph"/>
    <w:basedOn w:val="694"/>
    <w:uiPriority w:val="34"/>
    <w:qFormat/>
    <w:pPr>
      <w:contextualSpacing/>
      <w:ind w:left="720"/>
    </w:pPr>
  </w:style>
  <w:style w:type="paragraph" w:styleId="743">
    <w:name w:val="No Spacing"/>
    <w:uiPriority w:val="1"/>
    <w:qFormat/>
    <w:pPr>
      <w:spacing w:before="0" w:after="0" w:line="240" w:lineRule="auto"/>
    </w:pPr>
    <w:rPr>
      <w:rFonts w:hint="default" w:ascii="Times New Roman" w:hAnsi="Times New Roman" w:eastAsia="宋体" w:cs="Times New Roman"/>
    </w:rPr>
  </w:style>
  <w:style w:type="character" w:styleId="744" w:customStyle="1">
    <w:name w:val="Title Char"/>
    <w:link w:val="727"/>
    <w:uiPriority w:val="10"/>
    <w:qFormat/>
    <w:rPr>
      <w:sz w:val="48"/>
      <w:szCs w:val="48"/>
    </w:rPr>
  </w:style>
  <w:style w:type="character" w:styleId="745" w:customStyle="1">
    <w:name w:val="Subtitle Char"/>
    <w:link w:val="720"/>
    <w:uiPriority w:val="11"/>
    <w:qFormat/>
    <w:rPr>
      <w:sz w:val="24"/>
      <w:szCs w:val="24"/>
    </w:rPr>
  </w:style>
  <w:style w:type="paragraph" w:styleId="746">
    <w:name w:val="Quote"/>
    <w:basedOn w:val="694"/>
    <w:next w:val="694"/>
    <w:link w:val="747"/>
    <w:uiPriority w:val="29"/>
    <w:qFormat/>
    <w:pPr>
      <w:ind w:left="720" w:right="720"/>
    </w:pPr>
    <w:rPr>
      <w:i/>
    </w:rPr>
  </w:style>
  <w:style w:type="character" w:styleId="747" w:customStyle="1">
    <w:name w:val="Quote Char"/>
    <w:link w:val="746"/>
    <w:uiPriority w:val="29"/>
    <w:qFormat/>
    <w:rPr>
      <w:i/>
    </w:rPr>
  </w:style>
  <w:style w:type="paragraph" w:styleId="748">
    <w:name w:val="Intense Quote"/>
    <w:basedOn w:val="694"/>
    <w:next w:val="694"/>
    <w:link w:val="74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9" w:customStyle="1">
    <w:name w:val="Intense Quote Char"/>
    <w:link w:val="748"/>
    <w:uiPriority w:val="30"/>
    <w:qFormat/>
    <w:rPr>
      <w:i/>
    </w:rPr>
  </w:style>
  <w:style w:type="character" w:styleId="750" w:customStyle="1">
    <w:name w:val="Header Char"/>
    <w:link w:val="717"/>
    <w:uiPriority w:val="99"/>
    <w:qFormat/>
  </w:style>
  <w:style w:type="character" w:styleId="751" w:customStyle="1">
    <w:name w:val="Footer Char"/>
    <w:link w:val="716"/>
    <w:uiPriority w:val="99"/>
    <w:qFormat/>
  </w:style>
  <w:style w:type="character" w:styleId="752" w:customStyle="1">
    <w:name w:val="Caption Char"/>
    <w:link w:val="716"/>
    <w:uiPriority w:val="99"/>
    <w:qFormat/>
  </w:style>
  <w:style w:type="table" w:styleId="75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9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8" w:customStyle="1">
    <w:name w:val="Footnote Text Char"/>
    <w:link w:val="721"/>
    <w:uiPriority w:val="99"/>
    <w:qFormat/>
    <w:rPr>
      <w:sz w:val="18"/>
    </w:rPr>
  </w:style>
  <w:style w:type="character" w:styleId="879" w:customStyle="1">
    <w:name w:val="Endnote Text Char"/>
    <w:link w:val="715"/>
    <w:uiPriority w:val="99"/>
    <w:qFormat/>
    <w:rPr>
      <w:sz w:val="20"/>
    </w:rPr>
  </w:style>
  <w:style w:type="paragraph" w:styleId="880" w:customStyle="1">
    <w:name w:val="TOC Heading"/>
    <w:uiPriority w:val="39"/>
    <w:unhideWhenUsed/>
    <w:qFormat/>
    <w:rPr>
      <w:rFonts w:hint="default" w:ascii="Times New Roman" w:hAnsi="Times New Roman" w:eastAsia="宋体" w:cs="Times New Roman"/>
    </w:rPr>
  </w:style>
  <w:style w:type="paragraph" w:styleId="881" w:customStyle="1">
    <w:name w:val="标题 11"/>
    <w:basedOn w:val="694"/>
    <w:next w:val="694"/>
    <w:link w:val="897"/>
    <w:uiPriority w:val="0"/>
    <w:qFormat/>
    <w:pPr>
      <w:jc w:val="center"/>
      <w:keepNext/>
      <w:outlineLvl w:val="0"/>
    </w:pPr>
    <w:rPr>
      <w:rFonts w:ascii="楷体_GB2312" w:hAnsi="Times New Roman" w:eastAsia="楷体_GB2312" w:cs="Times New Roman"/>
      <w:sz w:val="28"/>
      <w:szCs w:val="28"/>
    </w:rPr>
  </w:style>
  <w:style w:type="paragraph" w:styleId="882" w:customStyle="1">
    <w:name w:val="标题 21"/>
    <w:basedOn w:val="694"/>
    <w:next w:val="883"/>
    <w:link w:val="898"/>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83" w:customStyle="1">
    <w:name w:val="正文缩进1"/>
    <w:basedOn w:val="694"/>
    <w:link w:val="899"/>
    <w:uiPriority w:val="0"/>
    <w:qFormat/>
    <w:pPr>
      <w:ind w:firstLine="420"/>
    </w:pPr>
    <w:rPr>
      <w:szCs w:val="21"/>
    </w:rPr>
  </w:style>
  <w:style w:type="paragraph" w:styleId="884" w:customStyle="1">
    <w:name w:val="标题 31"/>
    <w:basedOn w:val="694"/>
    <w:next w:val="883"/>
    <w:link w:val="900"/>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85" w:customStyle="1">
    <w:name w:val="标题 41"/>
    <w:basedOn w:val="694"/>
    <w:next w:val="883"/>
    <w:link w:val="901"/>
    <w:uiPriority w:val="0"/>
    <w:qFormat/>
    <w:pPr>
      <w:keepLines/>
      <w:keepNext/>
      <w:spacing w:before="280" w:after="290" w:line="376" w:lineRule="auto"/>
      <w:outlineLvl w:val="3"/>
    </w:pPr>
    <w:rPr>
      <w:rFonts w:ascii="Arial" w:hAnsi="Arial" w:eastAsia="黑体" w:cs="Arial"/>
      <w:b/>
      <w:bCs/>
      <w:sz w:val="28"/>
      <w:szCs w:val="28"/>
    </w:rPr>
  </w:style>
  <w:style w:type="paragraph" w:styleId="886" w:customStyle="1">
    <w:name w:val="标题 51"/>
    <w:basedOn w:val="694"/>
    <w:next w:val="883"/>
    <w:link w:val="902"/>
    <w:uiPriority w:val="0"/>
    <w:qFormat/>
    <w:pPr>
      <w:keepNext/>
      <w:outlineLvl w:val="4"/>
    </w:pPr>
    <w:rPr>
      <w:rFonts w:ascii="宋体" w:hAnsi="Times New Roman" w:eastAsia="宋体" w:cs="Times New Roman"/>
      <w:color w:val="000000"/>
      <w:sz w:val="28"/>
      <w:szCs w:val="28"/>
    </w:rPr>
  </w:style>
  <w:style w:type="paragraph" w:styleId="887" w:customStyle="1">
    <w:name w:val="标题 61"/>
    <w:basedOn w:val="694"/>
    <w:next w:val="694"/>
    <w:link w:val="903"/>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88" w:customStyle="1">
    <w:name w:val="标题 71"/>
    <w:basedOn w:val="694"/>
    <w:next w:val="694"/>
    <w:link w:val="904"/>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89" w:customStyle="1">
    <w:name w:val="标题 81"/>
    <w:basedOn w:val="694"/>
    <w:next w:val="694"/>
    <w:link w:val="905"/>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90" w:customStyle="1">
    <w:name w:val="标题 91"/>
    <w:basedOn w:val="694"/>
    <w:next w:val="694"/>
    <w:link w:val="906"/>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891" w:customStyle="1">
    <w:name w:val="默认段落字体1"/>
    <w:link w:val="694"/>
    <w:uiPriority w:val="1"/>
    <w:unhideWhenUsed/>
    <w:qFormat/>
  </w:style>
  <w:style w:type="table" w:styleId="892" w:customStyle="1">
    <w:name w:val="普通表格11"/>
    <w:uiPriority w:val="99"/>
    <w:unhideWhenUsed/>
    <w:qFormat/>
    <w:tblPr/>
  </w:style>
  <w:style w:type="paragraph" w:styleId="893" w:customStyle="1">
    <w:name w:val="正文文本缩进11"/>
    <w:basedOn w:val="694"/>
    <w:next w:val="894"/>
    <w:link w:val="895"/>
    <w:uiPriority w:val="0"/>
    <w:unhideWhenUsed/>
    <w:qFormat/>
    <w:pPr>
      <w:ind w:left="420"/>
      <w:spacing w:after="120"/>
    </w:pPr>
  </w:style>
  <w:style w:type="paragraph" w:styleId="894" w:customStyle="1">
    <w:name w:val="正文首行缩进 21"/>
    <w:basedOn w:val="893"/>
    <w:next w:val="694"/>
    <w:link w:val="896"/>
    <w:uiPriority w:val="0"/>
    <w:qFormat/>
    <w:pPr>
      <w:ind w:left="0" w:firstLine="420"/>
      <w:spacing w:after="0" w:line="360" w:lineRule="auto"/>
    </w:pPr>
    <w:rPr>
      <w:rFonts w:ascii="宋体" w:hAnsi="宋体" w:eastAsia="宋体" w:cs="Times New Roman"/>
      <w:szCs w:val="20"/>
    </w:rPr>
  </w:style>
  <w:style w:type="character" w:styleId="895" w:customStyle="1">
    <w:name w:val="正文文本缩进 Char"/>
    <w:basedOn w:val="891"/>
    <w:link w:val="893"/>
    <w:uiPriority w:val="99"/>
    <w:semiHidden/>
    <w:qFormat/>
  </w:style>
  <w:style w:type="character" w:styleId="896" w:customStyle="1">
    <w:name w:val="正文首行缩进 2 Char"/>
    <w:link w:val="894"/>
    <w:uiPriority w:val="0"/>
    <w:qFormat/>
    <w:rPr>
      <w:rFonts w:ascii="宋体" w:hAnsi="宋体" w:eastAsia="宋体" w:cs="Times New Roman"/>
      <w:szCs w:val="20"/>
    </w:rPr>
  </w:style>
  <w:style w:type="character" w:styleId="897" w:customStyle="1">
    <w:name w:val="标题 1 Char"/>
    <w:link w:val="881"/>
    <w:uiPriority w:val="0"/>
    <w:qFormat/>
    <w:rPr>
      <w:rFonts w:ascii="楷体_GB2312" w:hAnsi="Times New Roman" w:eastAsia="楷体_GB2312" w:cs="Times New Roman"/>
      <w:sz w:val="28"/>
      <w:szCs w:val="28"/>
    </w:rPr>
  </w:style>
  <w:style w:type="character" w:styleId="898" w:customStyle="1">
    <w:name w:val="标题 2 Char"/>
    <w:link w:val="882"/>
    <w:uiPriority w:val="0"/>
    <w:qFormat/>
    <w:rPr>
      <w:rFonts w:ascii="Arial" w:hAnsi="Arial" w:eastAsia="幼圆" w:cs="Arial"/>
      <w:b/>
      <w:bCs/>
      <w:sz w:val="44"/>
      <w:szCs w:val="44"/>
    </w:rPr>
  </w:style>
  <w:style w:type="character" w:styleId="899" w:customStyle="1">
    <w:name w:val="正文缩进 Char"/>
    <w:link w:val="883"/>
    <w:uiPriority w:val="0"/>
    <w:qFormat/>
    <w:rPr>
      <w:szCs w:val="21"/>
    </w:rPr>
  </w:style>
  <w:style w:type="character" w:styleId="900" w:customStyle="1">
    <w:name w:val="标题 3 Char"/>
    <w:link w:val="884"/>
    <w:uiPriority w:val="0"/>
    <w:qFormat/>
    <w:rPr>
      <w:rFonts w:ascii="Times New Roman" w:hAnsi="Times New Roman" w:eastAsia="宋体" w:cs="Times New Roman"/>
      <w:b/>
      <w:bCs/>
      <w:sz w:val="32"/>
      <w:szCs w:val="32"/>
    </w:rPr>
  </w:style>
  <w:style w:type="character" w:styleId="901" w:customStyle="1">
    <w:name w:val="标题 4 Char"/>
    <w:link w:val="885"/>
    <w:uiPriority w:val="0"/>
    <w:qFormat/>
    <w:rPr>
      <w:rFonts w:ascii="Arial" w:hAnsi="Arial" w:eastAsia="黑体" w:cs="Arial"/>
      <w:b/>
      <w:bCs/>
      <w:sz w:val="28"/>
      <w:szCs w:val="28"/>
    </w:rPr>
  </w:style>
  <w:style w:type="character" w:styleId="902" w:customStyle="1">
    <w:name w:val="标题 5 Char"/>
    <w:link w:val="886"/>
    <w:uiPriority w:val="0"/>
    <w:qFormat/>
    <w:rPr>
      <w:rFonts w:ascii="宋体" w:hAnsi="Times New Roman" w:eastAsia="宋体" w:cs="Times New Roman"/>
      <w:color w:val="000000"/>
      <w:sz w:val="28"/>
      <w:szCs w:val="28"/>
    </w:rPr>
  </w:style>
  <w:style w:type="character" w:styleId="903" w:customStyle="1">
    <w:name w:val="标题 6 Char"/>
    <w:link w:val="887"/>
    <w:uiPriority w:val="0"/>
    <w:qFormat/>
    <w:rPr>
      <w:rFonts w:ascii="Arial" w:hAnsi="Arial" w:eastAsia="黑体" w:cs="Times New Roman"/>
      <w:b/>
      <w:bCs/>
      <w:sz w:val="24"/>
      <w:szCs w:val="24"/>
    </w:rPr>
  </w:style>
  <w:style w:type="character" w:styleId="904" w:customStyle="1">
    <w:name w:val="标题 7 Char"/>
    <w:link w:val="888"/>
    <w:uiPriority w:val="0"/>
    <w:qFormat/>
    <w:rPr>
      <w:rFonts w:ascii="Times New Roman" w:hAnsi="Times New Roman" w:eastAsia="宋体" w:cs="Times New Roman"/>
      <w:b/>
      <w:bCs/>
      <w:sz w:val="24"/>
      <w:szCs w:val="24"/>
    </w:rPr>
  </w:style>
  <w:style w:type="character" w:styleId="905" w:customStyle="1">
    <w:name w:val="标题 8 Char"/>
    <w:link w:val="889"/>
    <w:uiPriority w:val="0"/>
    <w:qFormat/>
    <w:rPr>
      <w:rFonts w:ascii="Arial" w:hAnsi="Arial" w:eastAsia="黑体" w:cs="Times New Roman"/>
      <w:sz w:val="24"/>
      <w:szCs w:val="24"/>
    </w:rPr>
  </w:style>
  <w:style w:type="character" w:styleId="906" w:customStyle="1">
    <w:name w:val="标题 9 Char"/>
    <w:link w:val="890"/>
    <w:uiPriority w:val="0"/>
    <w:qFormat/>
    <w:rPr>
      <w:rFonts w:ascii="Arial" w:hAnsi="Arial" w:eastAsia="黑体" w:cs="Times New Roman"/>
      <w:szCs w:val="21"/>
    </w:rPr>
  </w:style>
  <w:style w:type="paragraph" w:styleId="907" w:customStyle="1">
    <w:name w:val="列表 31"/>
    <w:basedOn w:val="694"/>
    <w:uiPriority w:val="0"/>
    <w:qFormat/>
    <w:pPr>
      <w:ind w:left="100" w:hanging="200"/>
    </w:pPr>
    <w:rPr>
      <w:rFonts w:ascii="Times New Roman" w:hAnsi="Times New Roman" w:eastAsia="宋体" w:cs="Times New Roman"/>
      <w:szCs w:val="21"/>
    </w:rPr>
  </w:style>
  <w:style w:type="paragraph" w:styleId="908" w:customStyle="1">
    <w:name w:val="目录 71"/>
    <w:basedOn w:val="694"/>
    <w:next w:val="694"/>
    <w:uiPriority w:val="0"/>
    <w:semiHidden/>
    <w:qFormat/>
    <w:pPr>
      <w:ind w:left="1260"/>
      <w:jc w:val="left"/>
    </w:pPr>
    <w:rPr>
      <w:rFonts w:ascii="Times New Roman" w:hAnsi="Times New Roman" w:eastAsia="宋体" w:cs="Times New Roman"/>
      <w:szCs w:val="21"/>
    </w:rPr>
  </w:style>
  <w:style w:type="paragraph" w:styleId="909" w:customStyle="1">
    <w:name w:val="文档结构图1"/>
    <w:basedOn w:val="694"/>
    <w:link w:val="910"/>
    <w:uiPriority w:val="0"/>
    <w:semiHidden/>
    <w:qFormat/>
    <w:pPr>
      <w:shd w:val="clear" w:color="auto" w:fill="000080"/>
    </w:pPr>
    <w:rPr>
      <w:rFonts w:ascii="Times New Roman" w:hAnsi="Times New Roman" w:eastAsia="宋体" w:cs="Times New Roman"/>
      <w:szCs w:val="21"/>
    </w:rPr>
  </w:style>
  <w:style w:type="character" w:styleId="910" w:customStyle="1">
    <w:name w:val="文档结构图 Char"/>
    <w:link w:val="909"/>
    <w:uiPriority w:val="0"/>
    <w:semiHidden/>
    <w:qFormat/>
    <w:rPr>
      <w:rFonts w:ascii="Times New Roman" w:hAnsi="Times New Roman" w:eastAsia="宋体" w:cs="Times New Roman"/>
      <w:szCs w:val="21"/>
      <w:shd w:val="clear" w:color="auto" w:fill="000080"/>
    </w:rPr>
  </w:style>
  <w:style w:type="paragraph" w:styleId="911" w:customStyle="1">
    <w:name w:val="批注文字1"/>
    <w:basedOn w:val="694"/>
    <w:link w:val="912"/>
    <w:uiPriority w:val="0"/>
    <w:unhideWhenUsed/>
    <w:qFormat/>
    <w:pPr>
      <w:jc w:val="left"/>
    </w:pPr>
  </w:style>
  <w:style w:type="character" w:styleId="912" w:customStyle="1">
    <w:name w:val="批注文字 Char"/>
    <w:basedOn w:val="891"/>
    <w:link w:val="911"/>
    <w:uiPriority w:val="99"/>
    <w:semiHidden/>
    <w:qFormat/>
  </w:style>
  <w:style w:type="paragraph" w:styleId="913" w:customStyle="1">
    <w:name w:val="正文文本 31"/>
    <w:basedOn w:val="694"/>
    <w:link w:val="914"/>
    <w:uiPriority w:val="0"/>
    <w:qFormat/>
    <w:rPr>
      <w:rFonts w:ascii="仿宋_GB2312" w:hAnsi="Arial" w:eastAsia="仿宋_GB2312" w:cs="Times New Roman"/>
      <w:sz w:val="32"/>
      <w:szCs w:val="32"/>
    </w:rPr>
  </w:style>
  <w:style w:type="character" w:styleId="914" w:customStyle="1">
    <w:name w:val="正文文本 3 Char"/>
    <w:link w:val="913"/>
    <w:uiPriority w:val="0"/>
    <w:qFormat/>
    <w:rPr>
      <w:rFonts w:ascii="仿宋_GB2312" w:hAnsi="Arial" w:eastAsia="仿宋_GB2312" w:cs="Times New Roman"/>
      <w:sz w:val="32"/>
      <w:szCs w:val="32"/>
    </w:rPr>
  </w:style>
  <w:style w:type="paragraph" w:styleId="915" w:customStyle="1">
    <w:name w:val="正文文本11"/>
    <w:basedOn w:val="694"/>
    <w:link w:val="916"/>
    <w:uiPriority w:val="0"/>
    <w:qFormat/>
    <w:rPr>
      <w:rFonts w:ascii="楷体_GB2312" w:hAnsi="Arial" w:eastAsia="楷体_GB2312" w:cs="Times New Roman"/>
      <w:sz w:val="28"/>
      <w:szCs w:val="28"/>
    </w:rPr>
  </w:style>
  <w:style w:type="character" w:styleId="916" w:customStyle="1">
    <w:name w:val="正文文本 Char"/>
    <w:link w:val="915"/>
    <w:uiPriority w:val="0"/>
    <w:qFormat/>
    <w:rPr>
      <w:rFonts w:ascii="楷体_GB2312" w:hAnsi="Arial" w:eastAsia="楷体_GB2312" w:cs="Times New Roman"/>
      <w:sz w:val="28"/>
      <w:szCs w:val="28"/>
    </w:rPr>
  </w:style>
  <w:style w:type="paragraph" w:styleId="917" w:customStyle="1">
    <w:name w:val="列表 21"/>
    <w:basedOn w:val="694"/>
    <w:uiPriority w:val="0"/>
    <w:qFormat/>
    <w:pPr>
      <w:ind w:left="100" w:hanging="200"/>
    </w:pPr>
    <w:rPr>
      <w:rFonts w:ascii="Times New Roman" w:hAnsi="Times New Roman" w:eastAsia="宋体" w:cs="Times New Roman"/>
      <w:szCs w:val="21"/>
    </w:rPr>
  </w:style>
  <w:style w:type="paragraph" w:styleId="918" w:customStyle="1">
    <w:name w:val="目录 51"/>
    <w:basedOn w:val="694"/>
    <w:next w:val="694"/>
    <w:uiPriority w:val="0"/>
    <w:semiHidden/>
    <w:qFormat/>
    <w:pPr>
      <w:ind w:left="840"/>
      <w:jc w:val="left"/>
    </w:pPr>
    <w:rPr>
      <w:rFonts w:ascii="Times New Roman" w:hAnsi="Times New Roman" w:eastAsia="宋体" w:cs="Times New Roman"/>
      <w:szCs w:val="21"/>
    </w:rPr>
  </w:style>
  <w:style w:type="paragraph" w:styleId="919" w:customStyle="1">
    <w:name w:val="目录 31"/>
    <w:basedOn w:val="694"/>
    <w:next w:val="694"/>
    <w:uiPriority w:val="0"/>
    <w:semiHidden/>
    <w:qFormat/>
    <w:pPr>
      <w:ind w:left="420"/>
      <w:jc w:val="left"/>
    </w:pPr>
    <w:rPr>
      <w:rFonts w:ascii="Times New Roman" w:hAnsi="Times New Roman" w:eastAsia="宋体" w:cs="Times New Roman"/>
      <w:i/>
      <w:iCs/>
      <w:szCs w:val="24"/>
    </w:rPr>
  </w:style>
  <w:style w:type="paragraph" w:styleId="920" w:customStyle="1">
    <w:name w:val="纯文本1"/>
    <w:basedOn w:val="694"/>
    <w:link w:val="921"/>
    <w:uiPriority w:val="0"/>
    <w:qFormat/>
    <w:rPr>
      <w:rFonts w:ascii="宋体" w:hAnsi="Courier New" w:eastAsia="宋体" w:cs="Courier New"/>
      <w:szCs w:val="21"/>
    </w:rPr>
  </w:style>
  <w:style w:type="character" w:styleId="921" w:customStyle="1">
    <w:name w:val="纯文本 Char"/>
    <w:link w:val="920"/>
    <w:uiPriority w:val="0"/>
    <w:qFormat/>
    <w:rPr>
      <w:rFonts w:ascii="宋体" w:hAnsi="Courier New" w:eastAsia="宋体" w:cs="Courier New"/>
      <w:szCs w:val="21"/>
    </w:rPr>
  </w:style>
  <w:style w:type="paragraph" w:styleId="922" w:customStyle="1">
    <w:name w:val="目录 81"/>
    <w:basedOn w:val="694"/>
    <w:next w:val="694"/>
    <w:uiPriority w:val="0"/>
    <w:semiHidden/>
    <w:qFormat/>
    <w:pPr>
      <w:ind w:left="1470"/>
      <w:jc w:val="left"/>
    </w:pPr>
    <w:rPr>
      <w:rFonts w:ascii="Times New Roman" w:hAnsi="Times New Roman" w:eastAsia="宋体" w:cs="Times New Roman"/>
      <w:szCs w:val="21"/>
    </w:rPr>
  </w:style>
  <w:style w:type="paragraph" w:styleId="923" w:customStyle="1">
    <w:name w:val="日期1"/>
    <w:basedOn w:val="694"/>
    <w:next w:val="694"/>
    <w:link w:val="924"/>
    <w:uiPriority w:val="0"/>
    <w:qFormat/>
    <w:rPr>
      <w:rFonts w:ascii="Times New Roman" w:hAnsi="Times New Roman" w:eastAsia="宋体" w:cs="Times New Roman"/>
      <w:sz w:val="24"/>
      <w:szCs w:val="24"/>
    </w:rPr>
  </w:style>
  <w:style w:type="character" w:styleId="924" w:customStyle="1">
    <w:name w:val="日期 Char"/>
    <w:link w:val="923"/>
    <w:uiPriority w:val="0"/>
    <w:qFormat/>
    <w:rPr>
      <w:rFonts w:ascii="Times New Roman" w:hAnsi="Times New Roman" w:eastAsia="宋体" w:cs="Times New Roman"/>
      <w:sz w:val="24"/>
      <w:szCs w:val="24"/>
    </w:rPr>
  </w:style>
  <w:style w:type="paragraph" w:styleId="925" w:customStyle="1">
    <w:name w:val="正文文本缩进 21"/>
    <w:basedOn w:val="694"/>
    <w:link w:val="926"/>
    <w:uiPriority w:val="0"/>
    <w:qFormat/>
    <w:pPr>
      <w:ind w:left="630" w:firstLine="645"/>
    </w:pPr>
    <w:rPr>
      <w:rFonts w:ascii="Arial" w:hAnsi="Arial" w:eastAsia="仿宋_GB2312" w:cs="Arial"/>
      <w:sz w:val="32"/>
      <w:szCs w:val="32"/>
    </w:rPr>
  </w:style>
  <w:style w:type="character" w:styleId="926" w:customStyle="1">
    <w:name w:val="正文文本缩进 2 Char"/>
    <w:link w:val="925"/>
    <w:uiPriority w:val="0"/>
    <w:qFormat/>
    <w:rPr>
      <w:rFonts w:ascii="Arial" w:hAnsi="Arial" w:eastAsia="仿宋_GB2312" w:cs="Arial"/>
      <w:sz w:val="32"/>
      <w:szCs w:val="32"/>
    </w:rPr>
  </w:style>
  <w:style w:type="paragraph" w:styleId="927" w:customStyle="1">
    <w:name w:val="批注框文本1"/>
    <w:basedOn w:val="694"/>
    <w:link w:val="928"/>
    <w:uiPriority w:val="0"/>
    <w:semiHidden/>
    <w:qFormat/>
    <w:rPr>
      <w:rFonts w:ascii="Times New Roman" w:hAnsi="Times New Roman" w:eastAsia="宋体" w:cs="Times New Roman"/>
      <w:sz w:val="18"/>
      <w:szCs w:val="18"/>
    </w:rPr>
  </w:style>
  <w:style w:type="character" w:styleId="928" w:customStyle="1">
    <w:name w:val="批注框文本 Char"/>
    <w:link w:val="927"/>
    <w:uiPriority w:val="0"/>
    <w:semiHidden/>
    <w:qFormat/>
    <w:rPr>
      <w:rFonts w:ascii="Times New Roman" w:hAnsi="Times New Roman" w:eastAsia="宋体" w:cs="Times New Roman"/>
      <w:sz w:val="18"/>
      <w:szCs w:val="18"/>
    </w:rPr>
  </w:style>
  <w:style w:type="paragraph" w:styleId="929" w:customStyle="1">
    <w:name w:val="页脚1"/>
    <w:basedOn w:val="694"/>
    <w:link w:val="930"/>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930" w:customStyle="1">
    <w:name w:val="页脚 Char"/>
    <w:link w:val="929"/>
    <w:uiPriority w:val="0"/>
    <w:qFormat/>
    <w:rPr>
      <w:rFonts w:ascii="Times New Roman" w:hAnsi="Times New Roman" w:eastAsia="宋体" w:cs="Times New Roman"/>
      <w:sz w:val="18"/>
      <w:szCs w:val="18"/>
    </w:rPr>
  </w:style>
  <w:style w:type="paragraph" w:styleId="931" w:customStyle="1">
    <w:name w:val="寄信人地址1"/>
    <w:basedOn w:val="694"/>
    <w:uiPriority w:val="0"/>
    <w:qFormat/>
    <w:rPr>
      <w:rFonts w:ascii="Arial" w:hAnsi="Arial" w:eastAsia="宋体" w:cs="宋体"/>
    </w:rPr>
  </w:style>
  <w:style w:type="paragraph" w:styleId="932" w:customStyle="1">
    <w:name w:val="页眉1"/>
    <w:basedOn w:val="694"/>
    <w:link w:val="933"/>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33" w:customStyle="1">
    <w:name w:val="页眉 Char"/>
    <w:link w:val="932"/>
    <w:uiPriority w:val="0"/>
    <w:qFormat/>
    <w:rPr>
      <w:rFonts w:ascii="Times New Roman" w:hAnsi="Times New Roman" w:eastAsia="宋体" w:cs="Times New Roman"/>
      <w:sz w:val="18"/>
      <w:szCs w:val="18"/>
    </w:rPr>
  </w:style>
  <w:style w:type="paragraph" w:styleId="934" w:customStyle="1">
    <w:name w:val="目录 11"/>
    <w:basedOn w:val="694"/>
    <w:next w:val="694"/>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35" w:customStyle="1">
    <w:name w:val="目录 41"/>
    <w:basedOn w:val="694"/>
    <w:next w:val="694"/>
    <w:uiPriority w:val="0"/>
    <w:semiHidden/>
    <w:qFormat/>
    <w:pPr>
      <w:ind w:left="630"/>
      <w:jc w:val="left"/>
    </w:pPr>
    <w:rPr>
      <w:rFonts w:ascii="Times New Roman" w:hAnsi="Times New Roman" w:eastAsia="宋体" w:cs="Times New Roman"/>
      <w:szCs w:val="21"/>
    </w:rPr>
  </w:style>
  <w:style w:type="paragraph" w:styleId="936" w:customStyle="1">
    <w:name w:val="列表1"/>
    <w:basedOn w:val="694"/>
    <w:uiPriority w:val="0"/>
    <w:qFormat/>
    <w:pPr>
      <w:ind w:left="200" w:hanging="200"/>
    </w:pPr>
    <w:rPr>
      <w:rFonts w:ascii="Times New Roman" w:hAnsi="Times New Roman" w:eastAsia="宋体" w:cs="Times New Roman"/>
      <w:szCs w:val="21"/>
    </w:rPr>
  </w:style>
  <w:style w:type="paragraph" w:styleId="937" w:customStyle="1">
    <w:name w:val="目录 61"/>
    <w:basedOn w:val="694"/>
    <w:next w:val="694"/>
    <w:uiPriority w:val="0"/>
    <w:semiHidden/>
    <w:qFormat/>
    <w:pPr>
      <w:ind w:left="1050"/>
      <w:jc w:val="left"/>
    </w:pPr>
    <w:rPr>
      <w:rFonts w:ascii="Times New Roman" w:hAnsi="Times New Roman" w:eastAsia="宋体" w:cs="Times New Roman"/>
      <w:szCs w:val="21"/>
    </w:rPr>
  </w:style>
  <w:style w:type="paragraph" w:styleId="938" w:customStyle="1">
    <w:name w:val="正文文本缩进 31"/>
    <w:basedOn w:val="694"/>
    <w:link w:val="939"/>
    <w:uiPriority w:val="0"/>
    <w:qFormat/>
    <w:pPr>
      <w:ind w:left="645" w:firstLine="645"/>
    </w:pPr>
    <w:rPr>
      <w:rFonts w:ascii="Arial" w:hAnsi="Arial" w:eastAsia="仿宋_GB2312" w:cs="Arial"/>
      <w:color w:val="ffff00"/>
      <w:sz w:val="32"/>
      <w:szCs w:val="32"/>
    </w:rPr>
  </w:style>
  <w:style w:type="character" w:styleId="939" w:customStyle="1">
    <w:name w:val="正文文本缩进 3 Char"/>
    <w:link w:val="938"/>
    <w:uiPriority w:val="0"/>
    <w:qFormat/>
    <w:rPr>
      <w:rFonts w:ascii="Arial" w:hAnsi="Arial" w:eastAsia="仿宋_GB2312" w:cs="Arial"/>
      <w:color w:val="ffff00"/>
      <w:sz w:val="32"/>
      <w:szCs w:val="32"/>
    </w:rPr>
  </w:style>
  <w:style w:type="paragraph" w:styleId="940" w:customStyle="1">
    <w:name w:val="图表目录1"/>
    <w:basedOn w:val="694"/>
    <w:next w:val="694"/>
    <w:uiPriority w:val="0"/>
    <w:semiHidden/>
    <w:qFormat/>
    <w:pPr>
      <w:ind w:left="840" w:hanging="420"/>
    </w:pPr>
    <w:rPr>
      <w:rFonts w:ascii="Times New Roman" w:hAnsi="Times New Roman" w:eastAsia="宋体" w:cs="Times New Roman"/>
      <w:szCs w:val="21"/>
    </w:rPr>
  </w:style>
  <w:style w:type="paragraph" w:styleId="941" w:customStyle="1">
    <w:name w:val="目录 21"/>
    <w:basedOn w:val="694"/>
    <w:next w:val="694"/>
    <w:uiPriority w:val="0"/>
    <w:semiHidden/>
    <w:qFormat/>
    <w:pPr>
      <w:ind w:left="210"/>
      <w:jc w:val="left"/>
    </w:pPr>
    <w:rPr>
      <w:rFonts w:ascii="Times New Roman" w:hAnsi="Times New Roman" w:eastAsia="宋体" w:cs="Times New Roman"/>
      <w:smallCaps/>
      <w:szCs w:val="24"/>
    </w:rPr>
  </w:style>
  <w:style w:type="paragraph" w:styleId="942" w:customStyle="1">
    <w:name w:val="目录 91"/>
    <w:basedOn w:val="694"/>
    <w:next w:val="694"/>
    <w:uiPriority w:val="0"/>
    <w:semiHidden/>
    <w:qFormat/>
    <w:pPr>
      <w:ind w:left="1680"/>
      <w:jc w:val="left"/>
    </w:pPr>
    <w:rPr>
      <w:rFonts w:ascii="Times New Roman" w:hAnsi="Times New Roman" w:eastAsia="宋体" w:cs="Times New Roman"/>
      <w:szCs w:val="21"/>
    </w:rPr>
  </w:style>
  <w:style w:type="paragraph" w:styleId="943" w:customStyle="1">
    <w:name w:val="正文文本 21"/>
    <w:basedOn w:val="694"/>
    <w:link w:val="944"/>
    <w:uiPriority w:val="0"/>
    <w:qFormat/>
    <w:pPr>
      <w:jc w:val="center"/>
      <w:widowControl/>
    </w:pPr>
    <w:rPr>
      <w:rFonts w:ascii="楷体_GB2312" w:hAnsi="Times New Roman" w:eastAsia="楷体_GB2312" w:cs="Times New Roman"/>
      <w:sz w:val="28"/>
      <w:szCs w:val="28"/>
    </w:rPr>
  </w:style>
  <w:style w:type="character" w:styleId="944" w:customStyle="1">
    <w:name w:val="正文文本 2 Char"/>
    <w:link w:val="943"/>
    <w:uiPriority w:val="0"/>
    <w:qFormat/>
    <w:rPr>
      <w:rFonts w:ascii="楷体_GB2312" w:hAnsi="Times New Roman" w:eastAsia="楷体_GB2312" w:cs="Times New Roman"/>
      <w:sz w:val="28"/>
      <w:szCs w:val="28"/>
    </w:rPr>
  </w:style>
  <w:style w:type="paragraph" w:styleId="945" w:customStyle="1">
    <w:name w:val="普通(网站)1"/>
    <w:basedOn w:val="694"/>
    <w:uiPriority w:val="99"/>
    <w:qFormat/>
    <w:pPr>
      <w:jc w:val="left"/>
      <w:spacing w:before="100" w:beforeAutospacing="1" w:after="100" w:afterAutospacing="1"/>
      <w:widowControl/>
    </w:pPr>
    <w:rPr>
      <w:rFonts w:ascii="宋体" w:hAnsi="宋体" w:eastAsia="宋体" w:cs="宋体"/>
      <w:sz w:val="24"/>
      <w:szCs w:val="24"/>
    </w:rPr>
  </w:style>
  <w:style w:type="paragraph" w:styleId="946" w:customStyle="1">
    <w:name w:val="索引 11"/>
    <w:basedOn w:val="694"/>
    <w:next w:val="694"/>
    <w:uiPriority w:val="0"/>
    <w:semiHidden/>
    <w:qFormat/>
    <w:pPr>
      <w:spacing w:line="240" w:lineRule="atLeast"/>
    </w:pPr>
    <w:rPr>
      <w:rFonts w:ascii="Times New Roman" w:hAnsi="Times New Roman" w:eastAsia="宋体" w:cs="Times New Roman"/>
      <w:b/>
      <w:bCs/>
      <w:szCs w:val="21"/>
    </w:rPr>
  </w:style>
  <w:style w:type="paragraph" w:styleId="947" w:customStyle="1">
    <w:name w:val="批注主题1"/>
    <w:basedOn w:val="911"/>
    <w:next w:val="911"/>
    <w:link w:val="948"/>
    <w:uiPriority w:val="0"/>
    <w:semiHidden/>
    <w:qFormat/>
    <w:rPr>
      <w:rFonts w:ascii="Times New Roman" w:hAnsi="Times New Roman" w:eastAsia="宋体" w:cs="Times New Roman"/>
      <w:b/>
      <w:bCs/>
      <w:szCs w:val="21"/>
    </w:rPr>
  </w:style>
  <w:style w:type="character" w:styleId="948" w:customStyle="1">
    <w:name w:val="批注主题 Char"/>
    <w:link w:val="947"/>
    <w:uiPriority w:val="0"/>
    <w:semiHidden/>
    <w:qFormat/>
    <w:rPr>
      <w:rFonts w:ascii="Times New Roman" w:hAnsi="Times New Roman" w:eastAsia="宋体" w:cs="Times New Roman"/>
      <w:b/>
      <w:bCs/>
      <w:szCs w:val="21"/>
    </w:rPr>
  </w:style>
  <w:style w:type="paragraph" w:styleId="949" w:customStyle="1">
    <w:name w:val="正文首行缩进11"/>
    <w:basedOn w:val="694"/>
    <w:link w:val="950"/>
    <w:uiPriority w:val="0"/>
    <w:qFormat/>
    <w:pPr>
      <w:ind w:firstLine="200"/>
      <w:spacing w:line="360" w:lineRule="auto"/>
    </w:pPr>
    <w:rPr>
      <w:rFonts w:ascii="仿宋_GB2312" w:hAnsi="Times New Roman" w:eastAsia="仿宋_GB2312" w:cs="Times New Roman"/>
      <w:sz w:val="30"/>
      <w:szCs w:val="30"/>
    </w:rPr>
  </w:style>
  <w:style w:type="character" w:styleId="950" w:customStyle="1">
    <w:name w:val="正文首行缩进 Char"/>
    <w:link w:val="949"/>
    <w:uiPriority w:val="0"/>
    <w:qFormat/>
    <w:rPr>
      <w:rFonts w:ascii="仿宋_GB2312" w:hAnsi="Times New Roman" w:eastAsia="仿宋_GB2312" w:cs="Times New Roman"/>
      <w:sz w:val="30"/>
      <w:szCs w:val="30"/>
    </w:rPr>
  </w:style>
  <w:style w:type="table" w:styleId="951" w:customStyle="1">
    <w:name w:val="网格型11"/>
    <w:basedOn w:val="892"/>
    <w:uiPriority w:val="0"/>
    <w:qFormat/>
    <w:pPr>
      <w:jc w:val="both"/>
      <w:widowControl w:val="off"/>
    </w:pPr>
    <w:rPr>
      <w:rFonts w:ascii="Times New Roman" w:hAnsi="Times New Roman" w:eastAsia="宋体" w:cs="Times New Roman"/>
      <w:sz w:val="20"/>
      <w:szCs w:val="20"/>
    </w:rPr>
    <w:tblPr/>
  </w:style>
  <w:style w:type="character" w:styleId="952" w:customStyle="1">
    <w:name w:val="要点1"/>
    <w:link w:val="694"/>
    <w:uiPriority w:val="0"/>
    <w:qFormat/>
    <w:rPr>
      <w:b/>
      <w:bCs/>
    </w:rPr>
  </w:style>
  <w:style w:type="character" w:styleId="953" w:customStyle="1">
    <w:name w:val="页码1"/>
    <w:link w:val="694"/>
    <w:uiPriority w:val="0"/>
    <w:qFormat/>
  </w:style>
  <w:style w:type="character" w:styleId="954" w:customStyle="1">
    <w:name w:val="已访问的超链接1"/>
    <w:link w:val="694"/>
    <w:uiPriority w:val="0"/>
    <w:qFormat/>
    <w:rPr>
      <w:color w:val="800080"/>
      <w:u w:val="single"/>
    </w:rPr>
  </w:style>
  <w:style w:type="character" w:styleId="955" w:customStyle="1">
    <w:name w:val="超链接1"/>
    <w:link w:val="694"/>
    <w:uiPriority w:val="0"/>
    <w:qFormat/>
    <w:rPr>
      <w:color w:val="0000ff"/>
      <w:u w:val="single"/>
    </w:rPr>
  </w:style>
  <w:style w:type="character" w:styleId="956" w:customStyle="1">
    <w:name w:val="批注引用1"/>
    <w:link w:val="694"/>
    <w:uiPriority w:val="0"/>
    <w:semiHidden/>
    <w:qFormat/>
    <w:rPr>
      <w:sz w:val="21"/>
      <w:szCs w:val="21"/>
    </w:rPr>
  </w:style>
  <w:style w:type="paragraph" w:styleId="957" w:customStyle="1">
    <w:name w:val="索引 41"/>
    <w:basedOn w:val="694"/>
    <w:next w:val="694"/>
    <w:uiPriority w:val="0"/>
    <w:semiHidden/>
    <w:qFormat/>
    <w:pPr>
      <w:ind w:left="1260"/>
    </w:pPr>
    <w:rPr>
      <w:rFonts w:ascii="Calibri" w:hAnsi="Calibri" w:eastAsia="Calibri" w:cs="宋体"/>
      <w:sz w:val="20"/>
      <w:lang w:val="zh-CN"/>
    </w:rPr>
  </w:style>
  <w:style w:type="paragraph" w:styleId="958" w:customStyle="1">
    <w:name w:val="正文首行缩进1"/>
    <w:basedOn w:val="959"/>
    <w:uiPriority w:val="0"/>
    <w:qFormat/>
    <w:pPr>
      <w:ind w:firstLine="200"/>
      <w:spacing w:line="360" w:lineRule="auto"/>
    </w:pPr>
    <w:rPr>
      <w:rFonts w:ascii="仿宋_GB2312" w:hAnsi="Times New Roman" w:eastAsia="仿宋_GB2312"/>
      <w:sz w:val="30"/>
      <w:szCs w:val="30"/>
    </w:rPr>
  </w:style>
  <w:style w:type="paragraph" w:styleId="959" w:customStyle="1">
    <w:name w:val="正文文本1"/>
    <w:basedOn w:val="694"/>
    <w:next w:val="694"/>
    <w:uiPriority w:val="0"/>
    <w:semiHidden/>
    <w:qFormat/>
    <w:rPr>
      <w:rFonts w:ascii="Arial" w:hAnsi="Arial" w:eastAsia="Arial" w:cs="Arial"/>
      <w:sz w:val="21"/>
      <w:szCs w:val="21"/>
      <w:lang w:val="en-US" w:eastAsia="en-US" w:bidi="ar-SA"/>
    </w:rPr>
  </w:style>
  <w:style w:type="paragraph" w:styleId="960" w:customStyle="1">
    <w:name w:val="列出段落1"/>
    <w:basedOn w:val="694"/>
    <w:link w:val="961"/>
    <w:uiPriority w:val="0"/>
    <w:qFormat/>
    <w:pPr>
      <w:contextualSpacing/>
      <w:ind w:left="720"/>
      <w:jc w:val="left"/>
      <w:widowControl/>
    </w:pPr>
    <w:rPr>
      <w:rFonts w:ascii="Calibri" w:hAnsi="Calibri"/>
      <w:sz w:val="24"/>
      <w:szCs w:val="24"/>
      <w:lang w:eastAsia="en-US" w:bidi="en-US"/>
    </w:rPr>
  </w:style>
  <w:style w:type="character" w:styleId="961" w:customStyle="1">
    <w:name w:val="列出段落 Char"/>
    <w:link w:val="960"/>
    <w:uiPriority w:val="0"/>
    <w:qFormat/>
    <w:rPr>
      <w:rFonts w:ascii="Calibri" w:hAnsi="Calibri"/>
      <w:sz w:val="24"/>
      <w:szCs w:val="24"/>
      <w:lang w:eastAsia="en-US" w:bidi="en-US"/>
    </w:rPr>
  </w:style>
  <w:style w:type="character" w:styleId="962" w:customStyle="1">
    <w:name w:val="font5 Char"/>
    <w:link w:val="694"/>
    <w:uiPriority w:val="0"/>
    <w:qFormat/>
    <w:rPr>
      <w:rFonts w:ascii="宋体" w:hAnsi="宋体" w:eastAsia="宋体"/>
      <w:sz w:val="28"/>
      <w:szCs w:val="28"/>
      <w:lang w:val="en-US" w:eastAsia="zh-CN" w:bidi="ar-SA"/>
    </w:rPr>
  </w:style>
  <w:style w:type="character" w:styleId="963" w:customStyle="1">
    <w:name w:val="二级目录 Char"/>
    <w:link w:val="964"/>
    <w:uiPriority w:val="0"/>
    <w:qFormat/>
    <w:rPr>
      <w:b/>
      <w:sz w:val="30"/>
      <w:szCs w:val="28"/>
    </w:rPr>
  </w:style>
  <w:style w:type="paragraph" w:styleId="964" w:customStyle="1">
    <w:name w:val="二级目录"/>
    <w:next w:val="694"/>
    <w:link w:val="963"/>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paragraph" w:styleId="965" w:customStyle="1">
    <w:name w:val="Body Text(ch)"/>
    <w:basedOn w:val="694"/>
    <w:next w:val="915"/>
    <w:uiPriority w:val="0"/>
    <w:qFormat/>
    <w:pPr>
      <w:spacing w:after="120"/>
    </w:pPr>
    <w:rPr>
      <w:rFonts w:ascii="宋体" w:hAnsi="Arial" w:eastAsia="宋体" w:cs="Times New Roman"/>
      <w:bCs/>
      <w:iCs/>
      <w:szCs w:val="24"/>
    </w:rPr>
  </w:style>
  <w:style w:type="paragraph" w:styleId="966" w:customStyle="1">
    <w:name w:val="xl27"/>
    <w:basedOn w:val="69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7" w:customStyle="1">
    <w:name w:val="xl26"/>
    <w:basedOn w:val="69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8" w:customStyle="1">
    <w:name w:val="Char"/>
    <w:basedOn w:val="694"/>
    <w:uiPriority w:val="0"/>
    <w:qFormat/>
    <w:pPr>
      <w:ind w:firstLine="200"/>
      <w:tabs>
        <w:tab w:val="left" w:pos="360" w:leader="none"/>
      </w:tabs>
    </w:pPr>
    <w:rPr>
      <w:rFonts w:ascii="Times New Roman" w:hAnsi="Times New Roman" w:eastAsia="宋体" w:cs="Times New Roman"/>
      <w:sz w:val="28"/>
      <w:szCs w:val="30"/>
    </w:rPr>
  </w:style>
  <w:style w:type="paragraph" w:styleId="969" w:customStyle="1">
    <w:name w:val=" Char"/>
    <w:basedOn w:val="909"/>
    <w:uiPriority w:val="0"/>
    <w:qFormat/>
    <w:rPr>
      <w:rFonts w:ascii="Tahoma" w:hAnsi="Tahoma"/>
      <w:sz w:val="24"/>
      <w:szCs w:val="24"/>
    </w:rPr>
  </w:style>
  <w:style w:type="paragraph" w:styleId="970" w:customStyle="1">
    <w:name w:val="普通正文"/>
    <w:basedOn w:val="694"/>
    <w:uiPriority w:val="0"/>
    <w:qFormat/>
    <w:pPr>
      <w:ind w:firstLine="480"/>
      <w:jc w:val="left"/>
      <w:spacing w:before="120" w:after="120" w:line="360" w:lineRule="auto"/>
    </w:pPr>
    <w:rPr>
      <w:rFonts w:ascii="Arial" w:hAnsi="Arial" w:eastAsia="宋体" w:cs="Times New Roman"/>
      <w:sz w:val="24"/>
      <w:szCs w:val="24"/>
    </w:rPr>
  </w:style>
  <w:style w:type="paragraph" w:styleId="971" w:customStyle="1">
    <w:name w:val="table_lines"/>
    <w:basedOn w:val="694"/>
    <w:uiPriority w:val="0"/>
    <w:qFormat/>
    <w:pPr>
      <w:jc w:val="left"/>
      <w:widowControl/>
    </w:pPr>
    <w:rPr>
      <w:rFonts w:ascii="Times New Roman" w:hAnsi="Times New Roman" w:eastAsia="宋体" w:cs="Times New Roman"/>
      <w:sz w:val="20"/>
      <w:szCs w:val="20"/>
      <w:lang w:val="de-DE" w:eastAsia="de-DE"/>
    </w:rPr>
  </w:style>
  <w:style w:type="paragraph" w:styleId="972"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73" w:customStyle="1">
    <w:name w:val="font7"/>
    <w:basedOn w:val="694"/>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74" w:customStyle="1">
    <w:name w:val=" Char Char Char Char"/>
    <w:basedOn w:val="909"/>
    <w:uiPriority w:val="0"/>
    <w:qFormat/>
    <w:pPr>
      <w:spacing w:line="360" w:lineRule="auto"/>
    </w:pPr>
    <w:rPr>
      <w:rFonts w:ascii="Tahoma" w:hAnsi="Tahoma"/>
      <w:sz w:val="24"/>
      <w:szCs w:val="24"/>
    </w:rPr>
  </w:style>
  <w:style w:type="paragraph" w:styleId="975" w:customStyle="1">
    <w:name w:val="列出段落"/>
    <w:basedOn w:val="694"/>
    <w:uiPriority w:val="0"/>
    <w:qFormat/>
    <w:pPr>
      <w:contextualSpacing/>
      <w:ind w:left="720"/>
      <w:jc w:val="left"/>
      <w:widowControl/>
    </w:pPr>
    <w:rPr>
      <w:rFonts w:ascii="Calibri" w:hAnsi="Calibri" w:eastAsia="宋体" w:cs="Times New Roman"/>
      <w:sz w:val="24"/>
      <w:szCs w:val="24"/>
      <w:lang w:eastAsia="en-US" w:bidi="en-US"/>
    </w:rPr>
  </w:style>
  <w:style w:type="paragraph" w:styleId="976" w:customStyle="1">
    <w:name w:val="4"/>
    <w:basedOn w:val="694"/>
    <w:next w:val="938"/>
    <w:uiPriority w:val="0"/>
    <w:qFormat/>
    <w:pPr>
      <w:ind w:firstLine="420"/>
      <w:spacing w:line="360" w:lineRule="auto"/>
    </w:pPr>
    <w:rPr>
      <w:rFonts w:ascii="Times New Roman" w:hAnsi="Times New Roman" w:eastAsia="宋体" w:cs="Times New Roman"/>
      <w:color w:val="ff0000"/>
      <w:sz w:val="24"/>
      <w:szCs w:val="24"/>
    </w:rPr>
  </w:style>
  <w:style w:type="paragraph" w:styleId="977" w:customStyle="1">
    <w:name w:val="普通 (Web)"/>
    <w:basedOn w:val="694"/>
    <w:uiPriority w:val="0"/>
    <w:qFormat/>
    <w:pPr>
      <w:jc w:val="left"/>
      <w:spacing w:before="100" w:beforeAutospacing="1" w:after="100" w:afterAutospacing="1"/>
      <w:widowControl/>
    </w:pPr>
    <w:rPr>
      <w:rFonts w:ascii="宋体" w:hAnsi="宋体" w:eastAsia="宋体" w:cs="Times New Roman"/>
      <w:sz w:val="24"/>
      <w:szCs w:val="24"/>
    </w:rPr>
  </w:style>
  <w:style w:type="paragraph" w:styleId="978" w:customStyle="1">
    <w:name w:val=" Char Char Char Char Char Char Char Char Char Char"/>
    <w:basedOn w:val="694"/>
    <w:uiPriority w:val="0"/>
    <w:qFormat/>
    <w:pPr>
      <w:spacing w:line="360" w:lineRule="auto"/>
    </w:pPr>
    <w:rPr>
      <w:rFonts w:ascii="Times New Roman" w:hAnsi="Times New Roman" w:eastAsia="宋体" w:cs="Times New Roman"/>
      <w:sz w:val="24"/>
      <w:szCs w:val="20"/>
    </w:rPr>
  </w:style>
  <w:style w:type="paragraph" w:styleId="979" w:customStyle="1">
    <w:name w:val="样式1"/>
    <w:basedOn w:val="694"/>
    <w:uiPriority w:val="0"/>
    <w:qFormat/>
    <w:pPr>
      <w:numPr>
        <w:ilvl w:val="0"/>
        <w:numId w:val="3"/>
      </w:numPr>
    </w:pPr>
    <w:rPr>
      <w:rFonts w:ascii="宋体" w:hAnsi="宋体" w:eastAsia="宋体" w:cs="Times New Roman"/>
      <w:szCs w:val="21"/>
    </w:rPr>
  </w:style>
  <w:style w:type="paragraph" w:styleId="980" w:customStyle="1">
    <w:name w:val="font6"/>
    <w:basedOn w:val="694"/>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81" w:customStyle="1">
    <w:name w:val="xl25"/>
    <w:basedOn w:val="69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2" w:customStyle="1">
    <w:name w:val="图标"/>
    <w:basedOn w:val="694"/>
    <w:next w:val="694"/>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83" w:customStyle="1">
    <w:name w:val="标题3"/>
    <w:basedOn w:val="694"/>
    <w:next w:val="694"/>
    <w:uiPriority w:val="0"/>
    <w:qFormat/>
    <w:pPr>
      <w:ind w:firstLine="624"/>
      <w:spacing w:line="590" w:lineRule="atLeast"/>
    </w:pPr>
    <w:rPr>
      <w:rFonts w:ascii="方正黑体_GBK" w:hAnsi="Times New Roman" w:eastAsia="方正黑体_GBK" w:cs="Times New Roman"/>
      <w:sz w:val="32"/>
      <w:szCs w:val="32"/>
    </w:rPr>
  </w:style>
  <w:style w:type="paragraph" w:styleId="984" w:customStyle="1">
    <w:name w:val="xl24"/>
    <w:basedOn w:val="69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5" w:customStyle="1">
    <w:name w:val="xl29"/>
    <w:basedOn w:val="694"/>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86" w:customStyle="1">
    <w:name w:val="Char Char Char Char Char Char Char Char"/>
    <w:basedOn w:val="694"/>
    <w:uiPriority w:val="0"/>
    <w:qFormat/>
    <w:pPr>
      <w:jc w:val="left"/>
      <w:spacing w:after="160" w:line="240" w:lineRule="exact"/>
      <w:widowControl/>
    </w:pPr>
    <w:rPr>
      <w:rFonts w:ascii="Verdana" w:hAnsi="Verdana" w:eastAsia="宋体" w:cs="Times New Roman"/>
      <w:sz w:val="20"/>
      <w:szCs w:val="20"/>
      <w:lang w:eastAsia="en-US"/>
    </w:rPr>
  </w:style>
  <w:style w:type="paragraph" w:styleId="987" w:customStyle="1">
    <w:name w:val="xl28"/>
    <w:basedOn w:val="69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88" w:customStyle="1">
    <w:name w:val=" Char Char Char Char Char Char Char Char"/>
    <w:basedOn w:val="694"/>
    <w:uiPriority w:val="0"/>
    <w:qFormat/>
    <w:pPr>
      <w:jc w:val="left"/>
      <w:spacing w:after="160" w:line="240" w:lineRule="exact"/>
      <w:widowControl/>
    </w:pPr>
    <w:rPr>
      <w:rFonts w:ascii="Verdana" w:hAnsi="Verdana" w:eastAsia="宋体" w:cs="Times New Roman"/>
      <w:sz w:val="20"/>
      <w:szCs w:val="20"/>
      <w:lang w:eastAsia="en-US"/>
    </w:rPr>
  </w:style>
  <w:style w:type="paragraph" w:styleId="989" w:customStyle="1">
    <w:name w:val="xl30"/>
    <w:basedOn w:val="694"/>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90" w:customStyle="1">
    <w:name w:val="Char Char Char Char"/>
    <w:basedOn w:val="909"/>
    <w:uiPriority w:val="0"/>
    <w:qFormat/>
    <w:pPr>
      <w:spacing w:line="360" w:lineRule="auto"/>
    </w:pPr>
    <w:rPr>
      <w:rFonts w:ascii="Tahoma" w:hAnsi="Tahoma"/>
      <w:sz w:val="24"/>
      <w:szCs w:val="24"/>
    </w:rPr>
  </w:style>
  <w:style w:type="paragraph" w:styleId="991" w:customStyle="1">
    <w:name w:val="table_1stline"/>
    <w:basedOn w:val="694"/>
    <w:uiPriority w:val="0"/>
    <w:qFormat/>
    <w:pPr>
      <w:jc w:val="left"/>
      <w:spacing w:before="120"/>
      <w:widowControl/>
    </w:pPr>
    <w:rPr>
      <w:rFonts w:ascii="Times New Roman" w:hAnsi="Times New Roman" w:eastAsia="宋体" w:cs="Times New Roman"/>
      <w:bCs/>
      <w:sz w:val="20"/>
      <w:szCs w:val="20"/>
      <w:lang w:val="de-DE" w:eastAsia="de-DE"/>
    </w:rPr>
  </w:style>
  <w:style w:type="paragraph" w:styleId="992" w:customStyle="1">
    <w:name w:val="font5"/>
    <w:basedOn w:val="694"/>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93" w:customStyle="1">
    <w:name w:val="标题1"/>
    <w:basedOn w:val="694"/>
    <w:next w:val="694"/>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94"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95"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996" w:customStyle="1">
    <w:name w:val="Table Normal"/>
    <w:uiPriority w:val="0"/>
    <w:qFormat/>
    <w:tblPr/>
  </w:style>
  <w:style w:type="paragraph" w:styleId="997" w:customStyle="1">
    <w:name w:val="正文文本12"/>
    <w:basedOn w:val="694"/>
    <w:uiPriority w:val="1"/>
    <w:qFormat/>
    <w:pPr>
      <w:ind w:left="120"/>
    </w:pPr>
    <w:rPr>
      <w:rFonts w:ascii="宋体" w:hAnsi="宋体" w:eastAsia="宋体" w:cs="宋体"/>
      <w:sz w:val="21"/>
      <w:szCs w:val="21"/>
      <w:lang w:val="zh-CN" w:eastAsia="zh-CN" w:bidi="zh-CN"/>
    </w:rPr>
  </w:style>
  <w:style w:type="paragraph" w:styleId="998" w:customStyle="1">
    <w:name w:val="正文文本 211"/>
    <w:basedOn w:val="694"/>
    <w:uiPriority w:val="99"/>
    <w:qFormat/>
    <w:pPr>
      <w:jc w:val="center"/>
    </w:pPr>
    <w:rPr>
      <w:b/>
      <w:bCs/>
      <w:sz w:val="20"/>
      <w:szCs w:val="20"/>
    </w:rPr>
  </w:style>
  <w:style w:type="paragraph" w:styleId="999" w:customStyle="1">
    <w:name w:val="Table Paragraph"/>
    <w:basedOn w:val="694"/>
    <w:uiPriority w:val="1"/>
    <w:qFormat/>
    <w:pPr>
      <w:jc w:val="left"/>
    </w:pPr>
    <w:rPr>
      <w:rFonts w:ascii="宋体" w:hAnsi="宋体" w:eastAsia="宋体" w:cs="宋体"/>
      <w:sz w:val="22"/>
      <w:szCs w:val="22"/>
      <w:lang w:val="zh-CN" w:bidi="zh-CN"/>
    </w:rPr>
  </w:style>
  <w:style w:type="table" w:styleId="1000" w:customStyle="1">
    <w:name w:val="网格型1"/>
    <w:basedOn w:val="1001"/>
    <w:uiPriority w:val="0"/>
    <w:qFormat/>
    <w:pPr>
      <w:jc w:val="both"/>
      <w:widowControl w:val="off"/>
    </w:pPr>
    <w:tblPr/>
  </w:style>
  <w:style w:type="table" w:styleId="1001" w:customStyle="1">
    <w:name w:val="普通表格1"/>
    <w:uiPriority w:val="99"/>
    <w:unhideWhenUsed/>
    <w:qFormat/>
    <w:tblPr/>
  </w:style>
  <w:style w:type="paragraph" w:styleId="1002" w:customStyle="1">
    <w:name w:val="正文文本缩进1"/>
    <w:basedOn w:val="694"/>
    <w:next w:val="1003"/>
    <w:uiPriority w:val="0"/>
    <w:unhideWhenUsed/>
    <w:qFormat/>
    <w:pPr>
      <w:ind w:left="420"/>
      <w:spacing w:after="120"/>
    </w:pPr>
  </w:style>
  <w:style w:type="paragraph" w:styleId="1003" w:customStyle="1">
    <w:name w:val="正文文本首行缩进 2"/>
    <w:basedOn w:val="1002"/>
    <w:uiPriority w:val="0"/>
    <w:qFormat/>
    <w:pPr>
      <w:ind w:left="0" w:firstLine="420"/>
      <w:spacing w:after="0" w:line="360" w:lineRule="auto"/>
    </w:pPr>
    <w:rPr>
      <w:rFonts w:ascii="宋体" w:hAnsi="宋体"/>
      <w:sz w:val="20"/>
      <w:szCs w:val="20"/>
      <w:lang w:val="en-US" w:eastAsia="en-US"/>
    </w:rPr>
  </w:style>
  <w:style w:type="numbering" w:styleId="100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37" Type="http://schemas.openxmlformats.org/officeDocument/2006/relationships/image" Target="media/image26.png"/><Relationship Id="rId38" Type="http://schemas.openxmlformats.org/officeDocument/2006/relationships/image" Target="media/image27.png"/><Relationship Id="rId39" Type="http://schemas.openxmlformats.org/officeDocument/2006/relationships/image" Target="media/image28.png"/><Relationship Id="rId40" Type="http://schemas.openxmlformats.org/officeDocument/2006/relationships/image" Target="media/image29.png"/><Relationship Id="rId41"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png"/><Relationship Id="rId95" Type="http://schemas.openxmlformats.org/officeDocument/2006/relationships/image" Target="media/image84.png"/><Relationship Id="rId96" Type="http://schemas.openxmlformats.org/officeDocument/2006/relationships/image" Target="media/image85.png"/><Relationship Id="rId97" Type="http://schemas.openxmlformats.org/officeDocument/2006/relationships/image" Target="media/image86.png"/><Relationship Id="rId98" Type="http://schemas.openxmlformats.org/officeDocument/2006/relationships/image" Target="media/image87.png"/><Relationship Id="rId99" Type="http://schemas.openxmlformats.org/officeDocument/2006/relationships/image" Target="media/image88.png"/><Relationship Id="rId100" Type="http://schemas.openxmlformats.org/officeDocument/2006/relationships/image" Target="media/image89.png"/><Relationship Id="rId101" Type="http://schemas.openxmlformats.org/officeDocument/2006/relationships/image" Target="media/image90.png"/><Relationship Id="rId102" Type="http://schemas.openxmlformats.org/officeDocument/2006/relationships/image" Target="media/image91.png"/><Relationship Id="rId103" Type="http://schemas.openxmlformats.org/officeDocument/2006/relationships/image" Target="media/image92.png"/><Relationship Id="rId104" Type="http://schemas.openxmlformats.org/officeDocument/2006/relationships/image" Target="media/image93.png"/><Relationship Id="rId105" Type="http://schemas.openxmlformats.org/officeDocument/2006/relationships/image" Target="media/image94.png"/><Relationship Id="rId106" Type="http://schemas.openxmlformats.org/officeDocument/2006/relationships/image" Target="media/image95.png"/><Relationship Id="rId107" Type="http://schemas.openxmlformats.org/officeDocument/2006/relationships/image" Target="media/image96.png"/><Relationship Id="rId108" Type="http://schemas.openxmlformats.org/officeDocument/2006/relationships/image" Target="media/image97.png"/><Relationship Id="rId109" Type="http://schemas.openxmlformats.org/officeDocument/2006/relationships/image" Target="media/image98.png"/><Relationship Id="rId110" Type="http://schemas.openxmlformats.org/officeDocument/2006/relationships/image" Target="media/image99.png"/><Relationship Id="rId111" Type="http://schemas.openxmlformats.org/officeDocument/2006/relationships/image" Target="media/image100.png"/><Relationship Id="rId112" Type="http://schemas.openxmlformats.org/officeDocument/2006/relationships/image" Target="media/image101.png"/><Relationship Id="rId113" Type="http://schemas.openxmlformats.org/officeDocument/2006/relationships/image" Target="media/image102.png"/><Relationship Id="rId114" Type="http://schemas.openxmlformats.org/officeDocument/2006/relationships/image" Target="media/image103.png"/><Relationship Id="rId115" Type="http://schemas.openxmlformats.org/officeDocument/2006/relationships/image" Target="media/image104.png"/><Relationship Id="rId116" Type="http://schemas.openxmlformats.org/officeDocument/2006/relationships/image" Target="media/image105.png"/><Relationship Id="rId117" Type="http://schemas.openxmlformats.org/officeDocument/2006/relationships/image" Target="media/image106.png"/><Relationship Id="rId118" Type="http://schemas.openxmlformats.org/officeDocument/2006/relationships/image" Target="media/image107.png"/><Relationship Id="rId119" Type="http://schemas.openxmlformats.org/officeDocument/2006/relationships/image" Target="media/image108.png"/><Relationship Id="rId120" Type="http://schemas.openxmlformats.org/officeDocument/2006/relationships/image" Target="media/image109.png"/><Relationship Id="rId121" Type="http://schemas.openxmlformats.org/officeDocument/2006/relationships/image" Target="media/image110.png"/><Relationship Id="rId122" Type="http://schemas.openxmlformats.org/officeDocument/2006/relationships/image" Target="media/image111.png"/><Relationship Id="rId123" Type="http://schemas.openxmlformats.org/officeDocument/2006/relationships/image" Target="media/image112.png"/><Relationship Id="rId124" Type="http://schemas.openxmlformats.org/officeDocument/2006/relationships/image" Target="media/image113.png"/><Relationship Id="rId125" Type="http://schemas.openxmlformats.org/officeDocument/2006/relationships/image" Target="media/image114.png"/><Relationship Id="rId126" Type="http://schemas.openxmlformats.org/officeDocument/2006/relationships/image" Target="media/image115.png"/><Relationship Id="rId127" Type="http://schemas.openxmlformats.org/officeDocument/2006/relationships/image" Target="media/image116.png"/><Relationship Id="rId128" Type="http://schemas.openxmlformats.org/officeDocument/2006/relationships/image" Target="media/image117.png"/><Relationship Id="rId129" Type="http://schemas.openxmlformats.org/officeDocument/2006/relationships/image" Target="media/image118.png"/><Relationship Id="rId130" Type="http://schemas.openxmlformats.org/officeDocument/2006/relationships/image" Target="media/image119.png"/><Relationship Id="rId131" Type="http://schemas.openxmlformats.org/officeDocument/2006/relationships/image" Target="media/image120.png"/><Relationship Id="rId132" Type="http://schemas.openxmlformats.org/officeDocument/2006/relationships/image" Target="media/image121.png"/><Relationship Id="rId133" Type="http://schemas.openxmlformats.org/officeDocument/2006/relationships/image" Target="media/image122.png"/><Relationship Id="rId134" Type="http://schemas.openxmlformats.org/officeDocument/2006/relationships/image" Target="media/image123.png"/><Relationship Id="rId135" Type="http://schemas.openxmlformats.org/officeDocument/2006/relationships/image" Target="media/image124.png"/><Relationship Id="rId136" Type="http://schemas.openxmlformats.org/officeDocument/2006/relationships/image" Target="media/image125.png"/><Relationship Id="rId137" Type="http://schemas.openxmlformats.org/officeDocument/2006/relationships/image" Target="media/image126.png"/><Relationship Id="rId138" Type="http://schemas.openxmlformats.org/officeDocument/2006/relationships/image" Target="media/image127.png"/><Relationship Id="rId139" Type="http://schemas.openxmlformats.org/officeDocument/2006/relationships/image" Target="media/image128.png"/><Relationship Id="rId140" Type="http://schemas.openxmlformats.org/officeDocument/2006/relationships/image" Target="media/image129.png"/><Relationship Id="rId141" Type="http://schemas.openxmlformats.org/officeDocument/2006/relationships/image" Target="media/image130.png"/><Relationship Id="rId142" Type="http://schemas.openxmlformats.org/officeDocument/2006/relationships/image" Target="media/image131.png"/><Relationship Id="rId143" Type="http://schemas.openxmlformats.org/officeDocument/2006/relationships/image" Target="media/image132.png"/><Relationship Id="rId144" Type="http://schemas.openxmlformats.org/officeDocument/2006/relationships/image" Target="media/image133.png"/><Relationship Id="rId145" Type="http://schemas.openxmlformats.org/officeDocument/2006/relationships/image" Target="media/image134.png"/><Relationship Id="rId146" Type="http://schemas.openxmlformats.org/officeDocument/2006/relationships/image" Target="media/image135.png"/><Relationship Id="rId147" Type="http://schemas.openxmlformats.org/officeDocument/2006/relationships/image" Target="media/image136.png"/><Relationship Id="rId148" Type="http://schemas.openxmlformats.org/officeDocument/2006/relationships/image" Target="media/image137.png"/><Relationship Id="rId149" Type="http://schemas.openxmlformats.org/officeDocument/2006/relationships/image" Target="media/image138.png"/><Relationship Id="rId150" Type="http://schemas.openxmlformats.org/officeDocument/2006/relationships/image" Target="media/image139.png"/><Relationship Id="rId151" Type="http://schemas.openxmlformats.org/officeDocument/2006/relationships/image" Target="media/image140.png"/><Relationship Id="rId152" Type="http://schemas.openxmlformats.org/officeDocument/2006/relationships/image" Target="media/image141.png"/><Relationship Id="rId153" Type="http://schemas.openxmlformats.org/officeDocument/2006/relationships/image" Target="media/image142.png"/><Relationship Id="rId154" Type="http://schemas.openxmlformats.org/officeDocument/2006/relationships/image" Target="media/image14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戴霜霜</cp:lastModifiedBy>
  <cp:revision>9</cp:revision>
  <dcterms:created xsi:type="dcterms:W3CDTF">2023-03-16T02:13:00Z</dcterms:created>
  <dcterms:modified xsi:type="dcterms:W3CDTF">2026-06-11T03:57:42Z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eyJoZGlkIjoiZDdjNjNjYjUzYjkyNzYyMjdmNWFiY2ZhOWY5NDcyNmUiLCJ1c2VySWQiOiIxMzY3NDkyNDIzIn0=</vt:lpwstr>
  </property>
  <property fmtid="{D5CDD505-2E9C-101B-9397-08002B2CF9AE}" pid="3" name="KSOProductBuildVer">
    <vt:lpwstr>2052-12.1.0.26375</vt:lpwstr>
  </property>
  <property fmtid="{D5CDD505-2E9C-101B-9397-08002B2CF9AE}" pid="4" name="ICV">
    <vt:lpwstr>074F49A5B2B1466BB4B0A8B9427B9D6A_13</vt:lpwstr>
  </property>
</Properties>
</file>