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7"/>
        <w:ind w:firstLine="0"/>
        <w:rPr>
          <w:rFonts w:hint="eastAsia" w:ascii="宋体" w:hAnsi="宋体" w:eastAsia="宋体" w:cs="宋体"/>
          <w:b w:val="0"/>
          <w:bCs/>
          <w:color w:val="000000"/>
          <w:sz w:val="72"/>
          <w:szCs w:val="72"/>
          <w:highlight w:val="none"/>
        </w:rPr>
      </w:pPr>
      <w:r>
        <w:rPr>
          <w:rFonts w:hint="eastAsia" w:ascii="宋体" w:hAnsi="宋体" w:eastAsia="宋体" w:cs="宋体"/>
          <w:b w:val="0"/>
          <w:bCs/>
          <w:color w:val="000000"/>
          <w:sz w:val="72"/>
          <w:szCs w:val="72"/>
          <w:highlight w:val="none"/>
        </w:rPr>
      </w:r>
      <w:r/>
    </w:p>
    <w:p>
      <w:pPr>
        <w:jc w:val="center"/>
        <w:keepLines w:val="0"/>
        <w:keepNext w:val="0"/>
        <w:pageBreakBefore w:val="0"/>
        <w:spacing w:after="156" w:line="360" w:lineRule="auto"/>
        <w:widowControl w:val="off"/>
        <w:rPr>
          <w:rFonts w:hint="eastAsia" w:ascii="宋体" w:hAnsi="宋体" w:eastAsia="宋体" w:cs="宋体"/>
          <w:b/>
          <w:bCs/>
          <w:color w:val="000000"/>
          <w:sz w:val="72"/>
          <w:szCs w:val="72"/>
          <w:highlight w:val="none"/>
          <w:lang w:eastAsia="zh-CN"/>
        </w:rPr>
      </w:pPr>
      <w:r>
        <w:rPr>
          <w:rFonts w:hint="eastAsia" w:ascii="宋体" w:hAnsi="宋体" w:cs="宋体"/>
          <w:b/>
          <w:bCs/>
          <w:color w:val="000000"/>
          <w:sz w:val="72"/>
          <w:szCs w:val="72"/>
          <w:highlight w:val="none"/>
          <w:lang w:eastAsia="zh-CN"/>
        </w:rPr>
        <w:t xml:space="preserve"> 南京市玄武区新街口社区卫生服务中心</w:t>
      </w:r>
      <w:r>
        <w:rPr>
          <w:rFonts w:hint="eastAsia" w:ascii="宋体" w:hAnsi="宋体" w:eastAsia="宋体" w:cs="宋体"/>
          <w:b/>
          <w:bCs/>
          <w:color w:val="000000"/>
          <w:sz w:val="72"/>
          <w:szCs w:val="72"/>
          <w:highlight w:val="none"/>
          <w:lang w:eastAsia="zh-CN"/>
        </w:rPr>
        <w:t xml:space="preserve"> </w:t>
      </w:r>
      <w:r/>
    </w:p>
    <w:p>
      <w:pPr>
        <w:jc w:val="center"/>
        <w:keepLines w:val="0"/>
        <w:keepNext w:val="0"/>
        <w:pageBreakBefore w:val="0"/>
        <w:spacing w:after="156" w:line="360" w:lineRule="auto"/>
        <w:widowControl w:val="off"/>
        <w:rPr>
          <w:rFonts w:hint="eastAsia" w:ascii="宋体" w:hAnsi="宋体" w:cs="宋体"/>
          <w:b/>
          <w:bCs/>
          <w:color w:val="000000"/>
          <w:sz w:val="72"/>
          <w:szCs w:val="72"/>
          <w:highlight w:val="none"/>
          <w:lang w:val="en-US" w:eastAsia="zh-CN"/>
        </w:rPr>
      </w:pPr>
      <w:r>
        <w:rPr>
          <w:rFonts w:hint="eastAsia" w:ascii="宋体" w:hAnsi="宋体" w:cs="宋体"/>
          <w:b/>
          <w:bCs/>
          <w:color w:val="000000"/>
          <w:sz w:val="72"/>
          <w:szCs w:val="72"/>
          <w:highlight w:val="none"/>
          <w:lang w:eastAsia="zh-CN"/>
        </w:rPr>
        <w:t xml:space="preserve">放射科CT维保服务项目</w:t>
      </w:r>
      <w:r/>
    </w:p>
    <w:p>
      <w:pPr>
        <w:pStyle w:val="888"/>
        <w:rPr>
          <w:rFonts w:hint="eastAsia" w:ascii="宋体" w:hAnsi="宋体" w:cs="宋体"/>
          <w:b/>
          <w:bCs/>
          <w:color w:val="000000"/>
          <w:sz w:val="72"/>
          <w:szCs w:val="72"/>
          <w:highlight w:val="none"/>
          <w:lang w:val="en-US" w:eastAsia="zh-CN"/>
        </w:rPr>
      </w:pPr>
      <w:r>
        <w:rPr>
          <w:rFonts w:hint="eastAsia" w:ascii="宋体" w:hAnsi="宋体" w:cs="宋体"/>
          <w:b/>
          <w:bCs/>
          <w:color w:val="000000"/>
          <w:sz w:val="72"/>
          <w:szCs w:val="72"/>
          <w:highlight w:val="none"/>
          <w:lang w:val="en-US" w:eastAsia="zh-CN"/>
        </w:rPr>
      </w:r>
      <w:r/>
    </w:p>
    <w:p>
      <w:pPr>
        <w:rPr>
          <w:rFonts w:hint="eastAsia" w:ascii="宋体" w:hAnsi="宋体" w:cs="宋体"/>
          <w:b/>
          <w:bCs/>
          <w:color w:val="000000"/>
          <w:sz w:val="72"/>
          <w:szCs w:val="72"/>
          <w:highlight w:val="none"/>
          <w:lang w:val="en-US" w:eastAsia="zh-CN"/>
        </w:rPr>
      </w:pPr>
      <w:r>
        <w:rPr>
          <w:rFonts w:hint="eastAsia" w:ascii="宋体" w:hAnsi="宋体" w:cs="宋体"/>
          <w:b/>
          <w:bCs/>
          <w:color w:val="000000"/>
          <w:sz w:val="72"/>
          <w:szCs w:val="72"/>
          <w:highlight w:val="none"/>
          <w:lang w:val="en-US" w:eastAsia="zh-CN"/>
        </w:rPr>
      </w:r>
      <w:r/>
    </w:p>
    <w:p>
      <w:pPr>
        <w:pStyle w:val="888"/>
        <w:rPr>
          <w:rFonts w:hint="default"/>
          <w:lang w:val="en-US" w:eastAsia="zh-CN"/>
        </w:rPr>
      </w:pPr>
      <w:r>
        <w:rPr>
          <w:rFonts w:hint="default"/>
          <w:lang w:val="en-US" w:eastAsia="zh-CN"/>
        </w:rPr>
      </w:r>
      <w:r/>
    </w:p>
    <w:p>
      <w:pPr>
        <w:jc w:val="center"/>
        <w:spacing w:line="360" w:lineRule="auto"/>
        <w:rPr>
          <w:rFonts w:hint="eastAsia" w:ascii="宋体" w:hAnsi="宋体" w:eastAsia="宋体" w:cs="宋体"/>
          <w:b/>
          <w:bCs/>
          <w:color w:val="000000"/>
          <w:sz w:val="96"/>
          <w:szCs w:val="96"/>
          <w:highlight w:val="none"/>
        </w:rPr>
      </w:pPr>
      <w:r>
        <w:rPr>
          <w:rFonts w:hint="eastAsia" w:ascii="宋体" w:hAnsi="宋体" w:eastAsia="宋体" w:cs="宋体"/>
          <w:b/>
          <w:bCs/>
          <w:color w:val="000000"/>
          <w:sz w:val="96"/>
          <w:szCs w:val="96"/>
          <w:highlight w:val="none"/>
        </w:rPr>
        <w:t xml:space="preserve">招 标 文 件</w:t>
      </w:r>
      <w:r/>
    </w:p>
    <w:p>
      <w:pPr>
        <w:jc w:val="center"/>
        <w:spacing w:line="360" w:lineRule="auto"/>
        <w:rPr>
          <w:rFonts w:hint="eastAsia" w:ascii="宋体" w:hAnsi="宋体" w:eastAsia="宋体" w:cs="宋体"/>
          <w:b/>
          <w:bCs/>
          <w:color w:val="000000"/>
          <w:sz w:val="36"/>
          <w:szCs w:val="22"/>
          <w:highlight w:val="none"/>
        </w:rPr>
      </w:pPr>
      <w:r>
        <w:rPr>
          <w:rFonts w:hint="eastAsia" w:ascii="宋体" w:hAnsi="宋体" w:eastAsia="宋体" w:cs="宋体"/>
          <w:b/>
          <w:bCs/>
          <w:color w:val="000000"/>
          <w:sz w:val="36"/>
          <w:highlight w:val="none"/>
        </w:rPr>
        <w:t xml:space="preserve">招标编号</w:t>
      </w:r>
      <w:r>
        <w:rPr>
          <w:rFonts w:hint="eastAsia" w:ascii="宋体" w:hAnsi="宋体" w:eastAsia="宋体" w:cs="宋体"/>
          <w:b/>
          <w:bCs/>
          <w:color w:val="000000"/>
          <w:sz w:val="36"/>
          <w:szCs w:val="22"/>
          <w:highlight w:val="none"/>
        </w:rPr>
        <w:t xml:space="preserve">：JSZC-320102-SMDG-G2026-0023</w:t>
      </w:r>
      <w:r>
        <w:rPr>
          <w:rFonts w:hint="eastAsia" w:ascii="宋体" w:hAnsi="宋体" w:cs="宋体"/>
          <w:b/>
          <w:bCs/>
          <w:color w:val="000000"/>
          <w:sz w:val="36"/>
          <w:szCs w:val="22"/>
          <w:highlight w:val="none"/>
          <w:lang w:eastAsia="zh-CN"/>
        </w:rPr>
        <w:t xml:space="preserve"> </w:t>
      </w:r>
      <w:r/>
    </w:p>
    <w:p>
      <w:pPr>
        <w:jc w:val="center"/>
        <w:spacing w:line="440" w:lineRule="exact"/>
        <w:rPr>
          <w:rFonts w:hint="eastAsia" w:ascii="宋体" w:hAnsi="宋体" w:eastAsia="宋体" w:cs="宋体"/>
          <w:b/>
          <w:color w:val="000000"/>
          <w:sz w:val="52"/>
          <w:highlight w:val="none"/>
        </w:rPr>
      </w:pPr>
      <w:r>
        <w:rPr>
          <w:rFonts w:hint="eastAsia" w:ascii="宋体" w:hAnsi="宋体" w:eastAsia="宋体" w:cs="宋体"/>
          <w:b/>
          <w:color w:val="000000"/>
          <w:sz w:val="52"/>
          <w:highlight w:val="none"/>
        </w:rPr>
      </w:r>
      <w:r/>
    </w:p>
    <w:p>
      <w:pPr>
        <w:spacing w:line="440" w:lineRule="exac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jc w:val="center"/>
        <w:spacing w:line="440" w:lineRule="exac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jc w:val="center"/>
        <w:spacing w:line="360" w:lineRule="auto"/>
        <w:rPr>
          <w:rFonts w:hint="eastAsia" w:ascii="宋体" w:hAnsi="宋体" w:eastAsia="宋体" w:cs="宋体"/>
          <w:b/>
          <w:color w:val="000000"/>
          <w:sz w:val="32"/>
          <w:highlight w:val="none"/>
        </w:rPr>
      </w:pPr>
      <w:r>
        <w:rPr>
          <w:rFonts w:hint="eastAsia" w:ascii="宋体" w:hAnsi="宋体" w:eastAsia="宋体" w:cs="宋体"/>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21" o:title=""/>
          </v:shape>
          <o:OLEObject DrawAspect="Content" r:id="rId22" ObjectID="_1525042" ProgID="PBrush" ShapeID="_x0000_i2" Type="Embed"/>
        </w:object>
      </w:r>
      <w:r/>
    </w:p>
    <w:p>
      <w:pPr>
        <w:jc w:val="center"/>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采购代理机构：苏美达国际技术贸易有限公司</w:t>
      </w:r>
      <w:r/>
    </w:p>
    <w:p>
      <w:pPr>
        <w:jc w:val="center"/>
        <w:spacing w:line="360" w:lineRule="auto"/>
        <w:rPr>
          <w:rFonts w:hint="eastAsia" w:ascii="宋体" w:hAnsi="宋体" w:eastAsia="宋体" w:cs="宋体"/>
          <w:b/>
          <w:color w:val="000000"/>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color w:val="000000"/>
          <w:sz w:val="32"/>
          <w:szCs w:val="22"/>
          <w:highlight w:val="none"/>
          <w:lang w:val="en-US" w:eastAsia="zh-CN"/>
        </w:rPr>
        <w:t xml:space="preserve">202</w:t>
      </w:r>
      <w:r>
        <w:rPr>
          <w:rFonts w:hint="eastAsia" w:ascii="宋体" w:hAnsi="宋体" w:cs="宋体"/>
          <w:b/>
          <w:color w:val="000000"/>
          <w:sz w:val="32"/>
          <w:szCs w:val="22"/>
          <w:highlight w:val="none"/>
          <w:lang w:val="en-US" w:eastAsia="zh-CN"/>
        </w:rPr>
        <w:t xml:space="preserve">6</w:t>
      </w:r>
      <w:r>
        <w:rPr>
          <w:rFonts w:hint="eastAsia" w:ascii="宋体" w:hAnsi="宋体" w:eastAsia="宋体" w:cs="宋体"/>
          <w:b/>
          <w:color w:val="000000"/>
          <w:sz w:val="32"/>
          <w:szCs w:val="22"/>
          <w:highlight w:val="none"/>
        </w:rPr>
        <w:t xml:space="preserve">年</w:t>
      </w:r>
      <w:r>
        <w:rPr>
          <w:rFonts w:hint="eastAsia" w:ascii="宋体" w:hAnsi="宋体" w:cs="宋体"/>
          <w:b/>
          <w:color w:val="000000"/>
          <w:sz w:val="32"/>
          <w:szCs w:val="22"/>
          <w:highlight w:val="none"/>
          <w:lang w:val="en-US" w:eastAsia="zh-CN"/>
        </w:rPr>
        <w:t xml:space="preserve">3</w:t>
      </w:r>
      <w:r>
        <w:rPr>
          <w:rFonts w:hint="eastAsia" w:ascii="宋体" w:hAnsi="宋体" w:eastAsia="宋体" w:cs="宋体"/>
          <w:b/>
          <w:color w:val="000000"/>
          <w:sz w:val="32"/>
          <w:szCs w:val="22"/>
          <w:highlight w:val="none"/>
        </w:rPr>
        <w:t xml:space="preserve">月</w:t>
      </w:r>
      <w:r/>
    </w:p>
    <w:p>
      <w:pPr>
        <w:jc w:val="center"/>
        <w:spacing w:line="440" w:lineRule="exac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目   录</w:t>
      </w:r>
      <w:r/>
    </w:p>
    <w:p>
      <w:pPr>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TOC \o "1-3" \h \u </w:instrText>
      </w:r>
      <w:r>
        <w:rPr>
          <w:rFonts w:hint="eastAsia" w:ascii="宋体" w:hAnsi="宋体" w:eastAsia="宋体" w:cs="宋体"/>
          <w:bCs/>
          <w:color w:val="000000"/>
          <w:sz w:val="24"/>
          <w:highlight w:val="none"/>
        </w:rPr>
        <w:fldChar w:fldCharType="separate"/>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  招标邀请</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  投标人须知</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  评标方法、评分标准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  采购需求</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  合同</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w:t>
      </w:r>
      <w:r>
        <w:rPr>
          <w:rFonts w:hint="eastAsia" w:ascii="宋体" w:hAnsi="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投标文件格式及附件</w:t>
      </w:r>
      <w:r/>
    </w:p>
    <w:p>
      <w:pPr>
        <w:pStyle w:val="888"/>
        <w:ind w:left="0" w:firstLine="0"/>
        <w:rPr>
          <w:rFonts w:hint="eastAsia"/>
          <w:highlight w:val="none"/>
        </w:rPr>
      </w:pPr>
      <w:r>
        <w:rPr>
          <w:rFonts w:hint="eastAsia"/>
          <w:highlight w:val="none"/>
        </w:rPr>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18"/>
        <w:spacing w:line="480" w:lineRule="auto"/>
        <w:tabs>
          <w:tab w:val="right" w:pos="9638"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9"/>
        <w:tabs>
          <w:tab w:val="right" w:pos="9638" w:leader="dot"/>
        </w:tabs>
        <w:rPr>
          <w:rFonts w:hint="eastAsia" w:ascii="宋体" w:hAnsi="宋体" w:eastAsia="宋体" w:cs="宋体"/>
          <w:highlight w:val="none"/>
        </w:rPr>
      </w:pPr>
      <w:r>
        <w:rPr>
          <w:rFonts w:hint="eastAsia" w:ascii="宋体" w:hAnsi="宋体" w:eastAsia="宋体" w:cs="宋体"/>
          <w:highlight w:val="none"/>
        </w:rPr>
      </w:r>
      <w:r/>
    </w:p>
    <w:p>
      <w:pPr>
        <w:spacing w:line="440" w:lineRule="exact"/>
        <w:rPr>
          <w:rFonts w:hint="eastAsia" w:ascii="宋体" w:hAnsi="宋体" w:eastAsia="宋体" w:cs="宋体"/>
          <w:color w:val="000000"/>
          <w:szCs w:val="21"/>
          <w:highlight w:val="none"/>
        </w:rPr>
      </w:pPr>
      <w:r>
        <w:rPr>
          <w:rFonts w:hint="eastAsia" w:ascii="宋体" w:hAnsi="宋体" w:eastAsia="宋体" w:cs="宋体"/>
          <w:bCs/>
          <w:color w:val="000000"/>
          <w:highlight w:val="none"/>
        </w:rPr>
        <w:fldChar w:fldCharType="end"/>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TOC \o "1-3" \h \u </w:instrText>
      </w:r>
      <w:r>
        <w:rPr>
          <w:rFonts w:hint="eastAsia" w:ascii="宋体" w:hAnsi="宋体" w:eastAsia="宋体" w:cs="宋体"/>
          <w:bCs/>
          <w:color w:val="000000"/>
          <w:sz w:val="24"/>
          <w:highlight w:val="none"/>
        </w:rPr>
        <w:fldChar w:fldCharType="separate"/>
      </w:r>
      <w:r/>
    </w:p>
    <w:p>
      <w:pPr>
        <w:pStyle w:val="1118"/>
        <w:spacing w:line="480" w:lineRule="auto"/>
        <w:tabs>
          <w:tab w:val="right" w:pos="9638"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9"/>
        <w:jc w:val="left"/>
        <w:tabs>
          <w:tab w:val="right" w:pos="9638" w:leader="dot"/>
        </w:tabs>
        <w:rPr>
          <w:rFonts w:hint="eastAsia" w:ascii="宋体" w:hAnsi="宋体" w:eastAsia="宋体" w:cs="宋体"/>
          <w:highlight w:val="none"/>
        </w:rPr>
      </w:pPr>
      <w:r>
        <w:rPr>
          <w:rFonts w:hint="eastAsia" w:ascii="宋体" w:hAnsi="宋体" w:eastAsia="宋体" w:cs="宋体"/>
          <w:highlight w:val="none"/>
        </w:rPr>
      </w:r>
      <w:r/>
    </w:p>
    <w:p>
      <w:pPr>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highlight w:val="none"/>
        </w:rPr>
        <w:fldChar w:fldCharType="end"/>
      </w:r>
      <w:r/>
    </w:p>
    <w:p>
      <w:pPr>
        <w:jc w:val="center"/>
        <w:spacing w:line="44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sz w:val="28"/>
          <w:szCs w:val="28"/>
          <w:highlight w:val="none"/>
        </w:rPr>
      </w:r>
      <w:r/>
    </w:p>
    <w:p>
      <w:pPr>
        <w:pStyle w:val="1120"/>
        <w:ind w:right="420" w:firstLine="321"/>
        <w:jc w:val="center"/>
        <w:spacing w:line="360" w:lineRule="auto"/>
        <w:rPr>
          <w:rFonts w:hint="eastAsia" w:ascii="宋体" w:hAnsi="宋体" w:eastAsia="宋体" w:cs="宋体"/>
          <w:szCs w:val="24"/>
          <w:highlight w:val="none"/>
        </w:rPr>
      </w:pPr>
      <w:r>
        <w:rPr>
          <w:rFonts w:hint="eastAsia" w:ascii="宋体" w:hAnsi="宋体" w:eastAsia="宋体" w:cs="宋体"/>
          <w:sz w:val="32"/>
          <w:szCs w:val="32"/>
          <w:highlight w:val="none"/>
        </w:rPr>
        <w:t xml:space="preserve">第一章   投标邀请</w:t>
      </w:r>
      <w:r/>
    </w:p>
    <w:p>
      <w:pPr>
        <w:ind w:right="-159"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21"/>
        <w:ind w:firstLine="420"/>
        <w:keepLines w:val="0"/>
        <w:keepNext w:val="0"/>
        <w:pageBreakBefore w:val="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苏美达国际技术贸易有限公司受</w:t>
      </w:r>
      <w:r>
        <w:rPr>
          <w:rFonts w:hint="eastAsia" w:ascii="宋体" w:hAnsi="宋体" w:eastAsia="宋体" w:cs="宋体"/>
          <w:sz w:val="21"/>
          <w:szCs w:val="21"/>
          <w:highlight w:val="none"/>
          <w:lang w:eastAsia="zh-CN"/>
        </w:rPr>
        <w:t xml:space="preserve">南京市玄武区新街口社区卫生服务中心</w:t>
      </w:r>
      <w:r>
        <w:rPr>
          <w:rFonts w:hint="eastAsia" w:ascii="宋体" w:hAnsi="宋体" w:eastAsia="宋体" w:cs="宋体"/>
          <w:sz w:val="21"/>
          <w:szCs w:val="21"/>
          <w:highlight w:val="none"/>
        </w:rPr>
        <w:t xml:space="preserve">委托，就</w:t>
      </w:r>
      <w:r>
        <w:rPr>
          <w:rFonts w:hint="eastAsia" w:ascii="宋体" w:hAnsi="宋体" w:eastAsia="宋体" w:cs="宋体"/>
          <w:sz w:val="21"/>
          <w:szCs w:val="21"/>
          <w:highlight w:val="none"/>
          <w:lang w:eastAsia="zh-CN"/>
        </w:rPr>
        <w:t xml:space="preserve">南京市玄武区新街口社区卫生服务中心</w:t>
      </w:r>
      <w:r>
        <w:rPr>
          <w:rFonts w:hint="eastAsia" w:ascii="宋体" w:hAnsi="宋体" w:eastAsia="宋体" w:cs="宋体"/>
          <w:sz w:val="21"/>
          <w:szCs w:val="21"/>
          <w:highlight w:val="none"/>
          <w:lang w:val="en-US" w:eastAsia="zh-CN"/>
        </w:rPr>
        <w:t xml:space="preserve">放射科CT维保服务项目</w:t>
      </w:r>
      <w:r>
        <w:rPr>
          <w:rFonts w:hint="eastAsia" w:ascii="宋体" w:hAnsi="宋体" w:eastAsia="宋体" w:cs="宋体"/>
          <w:sz w:val="21"/>
          <w:szCs w:val="21"/>
          <w:highlight w:val="none"/>
        </w:rPr>
        <w:t xml:space="preserve">进行公开招标，现欢迎符合相关条件的供应商参加投标。</w:t>
      </w:r>
      <w:r/>
    </w:p>
    <w:p>
      <w:pPr>
        <w:keepLines w:val="0"/>
        <w:keepNext w:val="0"/>
        <w:pageBreakBefore w:val="0"/>
        <w:spacing w:line="360" w:lineRule="auto"/>
        <w:rPr>
          <w:rFonts w:hint="eastAsia" w:ascii="宋体" w:hAnsi="宋体" w:eastAsia="宋体" w:cs="宋体"/>
          <w:b/>
          <w:bCs/>
          <w:highlight w:val="none"/>
        </w:rPr>
      </w:pPr>
      <w:r/>
      <w:bookmarkStart w:id="0" w:name="_Toc35393790"/>
      <w:r/>
      <w:bookmarkStart w:id="1" w:name="_Toc28359079"/>
      <w:r/>
      <w:bookmarkStart w:id="2" w:name="_Toc35393621"/>
      <w:r/>
      <w:bookmarkStart w:id="3" w:name="_Toc28359002"/>
      <w:r>
        <w:rPr>
          <w:rFonts w:hint="eastAsia" w:ascii="宋体" w:hAnsi="宋体" w:eastAsia="宋体" w:cs="宋体"/>
          <w:b/>
          <w:bCs/>
          <w:highlight w:val="none"/>
        </w:rPr>
        <w:t xml:space="preserve">一、项目基本情况</w:t>
      </w:r>
      <w:bookmarkEnd w:id="0"/>
      <w:r/>
      <w:bookmarkEnd w:id="1"/>
      <w:r/>
      <w:bookmarkEnd w:id="2"/>
      <w:r/>
      <w:bookmarkEnd w:id="3"/>
      <w:r>
        <w:rPr>
          <w:rFonts w:hint="eastAsia" w:ascii="宋体" w:hAnsi="宋体" w:eastAsia="宋体" w:cs="宋体"/>
          <w:b/>
          <w:bCs/>
          <w:highlight w:val="none"/>
        </w:rPr>
        <w:t xml:space="preserve">及采购需求</w:t>
      </w:r>
      <w:r/>
    </w:p>
    <w:p>
      <w:pPr>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项目编号：JSZC-320102-SMDG-G2026-0023</w:t>
      </w:r>
      <w:r>
        <w:rPr>
          <w:rFonts w:hint="eastAsia" w:ascii="宋体" w:hAnsi="宋体" w:cs="宋体"/>
          <w:color w:val="000000"/>
          <w:szCs w:val="21"/>
          <w:highlight w:val="none"/>
          <w:lang w:eastAsia="zh-CN"/>
        </w:rPr>
        <w:t xml:space="preserve"> </w:t>
      </w:r>
      <w:r/>
    </w:p>
    <w:p>
      <w:pPr>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cs="宋体"/>
          <w:sz w:val="21"/>
          <w:szCs w:val="21"/>
          <w:highlight w:val="none"/>
          <w:lang w:val="en-US" w:eastAsia="zh-CN"/>
        </w:rPr>
        <w:t xml:space="preserve">放射科CT维保服务项目</w:t>
      </w:r>
      <w:r/>
    </w:p>
    <w:p>
      <w:pPr>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采购</w:t>
      </w:r>
      <w:r>
        <w:rPr>
          <w:rFonts w:hint="eastAsia" w:ascii="宋体" w:hAnsi="宋体" w:cs="宋体"/>
          <w:color w:val="000000"/>
          <w:szCs w:val="21"/>
          <w:highlight w:val="none"/>
          <w:lang w:val="en-US" w:eastAsia="zh-CN"/>
        </w:rPr>
        <w:t xml:space="preserve">总</w:t>
      </w:r>
      <w:r>
        <w:rPr>
          <w:rFonts w:hint="eastAsia" w:ascii="宋体" w:hAnsi="宋体" w:eastAsia="宋体" w:cs="宋体"/>
          <w:color w:val="000000"/>
          <w:szCs w:val="21"/>
          <w:highlight w:val="none"/>
          <w:lang w:val="en-US" w:eastAsia="zh-CN"/>
        </w:rPr>
        <w:t xml:space="preserve">预算：</w:t>
      </w:r>
      <w:r>
        <w:rPr>
          <w:rFonts w:hint="eastAsia" w:ascii="宋体" w:hAnsi="宋体" w:cs="宋体"/>
          <w:color w:val="000000"/>
          <w:szCs w:val="21"/>
          <w:highlight w:val="none"/>
          <w:lang w:val="en-US" w:eastAsia="zh-CN"/>
        </w:rPr>
        <w:t xml:space="preserve">144.00万元/3年。</w:t>
      </w:r>
      <w:r/>
    </w:p>
    <w:p>
      <w:pPr>
        <w:keepLines w:val="0"/>
        <w:keepNext w:val="0"/>
        <w:pageBreakBefore w:val="0"/>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最高限价：144.00万元/3年。</w:t>
      </w:r>
      <w:bookmarkStart w:id="133" w:name="_GoBack"/>
      <w:r/>
      <w:bookmarkEnd w:id="133"/>
      <w:r/>
      <w:r/>
    </w:p>
    <w:p>
      <w:pPr>
        <w:keepLines w:val="0"/>
        <w:keepNext w:val="0"/>
        <w:pageBreakBefore w:val="0"/>
        <w:spacing w:line="360" w:lineRule="auto"/>
        <w:rPr>
          <w:rFonts w:hint="default" w:ascii="宋体" w:hAnsi="宋体" w:eastAsia="宋体" w:cs="宋体"/>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采购需求</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SOMATOM go.Up CT维保服</w:t>
      </w:r>
      <w:r>
        <w:rPr>
          <w:rFonts w:hint="eastAsia" w:ascii="宋体" w:hAnsi="宋体" w:cs="宋体"/>
          <w:sz w:val="21"/>
          <w:szCs w:val="21"/>
          <w:highlight w:val="none"/>
          <w:lang w:val="en-US" w:eastAsia="zh-CN"/>
        </w:rPr>
        <w:t xml:space="preserve">务（1台）</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保修年限：三年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其他详见第四章采购需求。</w:t>
      </w:r>
      <w:r/>
    </w:p>
    <w:p>
      <w:pPr>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本项目标的所属行业：其他未列明行业</w:t>
      </w:r>
      <w:r/>
    </w:p>
    <w:p>
      <w:pPr>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本项目不接受联合体投标</w:t>
      </w:r>
      <w:r/>
    </w:p>
    <w:p>
      <w:pPr>
        <w:numPr>
          <w:ilvl w:val="0"/>
          <w:numId w:val="2"/>
        </w:numPr>
        <w:keepLines w:val="0"/>
        <w:keepNext w:val="0"/>
        <w:pageBreakBefore w:val="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申请人的资格要求：</w:t>
      </w:r>
      <w:r/>
    </w:p>
    <w:p>
      <w:pPr>
        <w:numPr>
          <w:ilvl w:val="0"/>
          <w:numId w:val="0"/>
        </w:numPr>
        <w:keepLines w:val="0"/>
        <w:keepNext w:val="0"/>
        <w:pageBreakBefore w:val="0"/>
        <w:spacing w:line="360" w:lineRule="auto"/>
        <w:rPr>
          <w:rFonts w:hint="eastAsia" w:ascii="宋体" w:hAnsi="宋体" w:eastAsia="宋体" w:cs="宋体"/>
          <w:b/>
          <w:bCs/>
          <w:highlight w:val="none"/>
        </w:rPr>
      </w:pPr>
      <w:r/>
      <w:bookmarkStart w:id="4" w:name="_Toc28359007"/>
      <w:r/>
      <w:bookmarkStart w:id="5" w:name="_Toc35393794"/>
      <w:r/>
      <w:bookmarkStart w:id="6" w:name="_Toc35393625"/>
      <w:r/>
      <w:bookmarkStart w:id="7" w:name="_Toc28359084"/>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rPr>
        <w:t xml:space="preserve">满足《中华人民共和国政府采购法》第二十二条规定:</w:t>
      </w:r>
      <w:r/>
    </w:p>
    <w:p>
      <w:pPr>
        <w:keepLines w:val="0"/>
        <w:keepNext w:val="0"/>
        <w:pageBreakBefore w:val="0"/>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1.1</w:t>
      </w:r>
      <w:r>
        <w:rPr>
          <w:rFonts w:hint="eastAsia" w:ascii="宋体" w:hAnsi="宋体" w:eastAsia="宋体" w:cs="宋体"/>
          <w:highlight w:val="none"/>
        </w:rPr>
        <w:t xml:space="preserve">根据《中华人民共和国政府采购法》第二十二条规定，投标人</w:t>
      </w:r>
      <w:r>
        <w:rPr>
          <w:rFonts w:hint="eastAsia" w:ascii="宋体" w:hAnsi="宋体" w:eastAsia="宋体" w:cs="宋体"/>
          <w:highlight w:val="none"/>
          <w:lang w:val="en-US" w:eastAsia="zh-CN"/>
        </w:rPr>
        <w:t xml:space="preserve">可</w:t>
      </w:r>
      <w:r>
        <w:rPr>
          <w:rFonts w:hint="eastAsia" w:ascii="宋体" w:hAnsi="宋体" w:eastAsia="宋体" w:cs="宋体"/>
          <w:highlight w:val="none"/>
        </w:rPr>
        <w:t xml:space="preserve">提供《南京市政府采购供应商信用记录表暨信用承诺书》</w:t>
      </w:r>
      <w:r>
        <w:rPr>
          <w:rFonts w:hint="eastAsia" w:ascii="宋体" w:hAnsi="宋体" w:eastAsia="宋体" w:cs="宋体"/>
          <w:highlight w:val="none"/>
          <w:lang w:eastAsia="zh-CN"/>
        </w:rPr>
        <w:t xml:space="preserve">。</w:t>
      </w:r>
      <w:r/>
    </w:p>
    <w:p>
      <w:pPr>
        <w:keepLines w:val="0"/>
        <w:keepNext w:val="0"/>
        <w:pageBreakBefore w:val="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其中不适用信用承诺的情形:</w:t>
      </w:r>
      <w:r/>
    </w:p>
    <w:p>
      <w:pPr>
        <w:keepLines w:val="0"/>
        <w:keepNext w:val="0"/>
        <w:pageBreakBefore w:val="0"/>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供应商被列入严重失信主体名单；</w:t>
      </w:r>
      <w:r/>
    </w:p>
    <w:p>
      <w:pPr>
        <w:numPr>
          <w:ilvl w:val="0"/>
          <w:numId w:val="0"/>
        </w:numPr>
        <w:keepLines w:val="0"/>
        <w:keepNext w:val="0"/>
        <w:pageBreakBefore w:val="0"/>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被相关监督部门作出行政处罚且尚处在处罚有效期内；</w:t>
      </w:r>
      <w:r/>
    </w:p>
    <w:p>
      <w:pPr>
        <w:numPr>
          <w:ilvl w:val="0"/>
          <w:numId w:val="0"/>
        </w:numPr>
        <w:keepLines w:val="0"/>
        <w:keepNext w:val="0"/>
        <w:pageBreakBefore w:val="0"/>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其他法律、行政法规规定的不适用信用承诺的情形。</w:t>
      </w:r>
      <w:r/>
    </w:p>
    <w:p>
      <w:pPr>
        <w:keepLines w:val="0"/>
        <w:keepNext w:val="0"/>
        <w:pageBreakBefore w:val="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1.2投标人提供在有效经营期内的营业执照。</w:t>
      </w:r>
      <w:r/>
    </w:p>
    <w:p>
      <w:pPr>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b/>
          <w:bCs/>
          <w:highlight w:val="none"/>
        </w:rPr>
        <w:t xml:space="preserve">2、落实政府采购政策需满足的资格要求：</w:t>
      </w:r>
      <w:r>
        <w:rPr>
          <w:rFonts w:hint="eastAsia" w:ascii="宋体" w:hAnsi="宋体" w:eastAsia="宋体" w:cs="宋体"/>
          <w:highlight w:val="none"/>
        </w:rPr>
        <w:t xml:space="preserve">本项目不专门面向中小微企业或监狱企业或残疾人福利性单位</w:t>
      </w:r>
      <w:r>
        <w:rPr>
          <w:rFonts w:hint="eastAsia" w:ascii="宋体" w:hAnsi="宋体" w:eastAsia="宋体" w:cs="宋体"/>
          <w:highlight w:val="none"/>
          <w:lang w:val="en-US" w:eastAsia="zh-CN"/>
        </w:rPr>
        <w:t xml:space="preserve">采</w:t>
      </w:r>
      <w:r>
        <w:rPr>
          <w:rFonts w:hint="eastAsia" w:ascii="宋体" w:hAnsi="宋体" w:eastAsia="宋体" w:cs="宋体"/>
          <w:highlight w:val="none"/>
        </w:rPr>
        <w:t xml:space="preserve">购。</w:t>
      </w:r>
      <w:r/>
    </w:p>
    <w:p>
      <w:pPr>
        <w:keepLines w:val="0"/>
        <w:keepNext w:val="0"/>
        <w:pageBreakBefore w:val="0"/>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rPr>
        <w:t xml:space="preserve">3、本项目的特定资格要求：</w:t>
      </w:r>
      <w:bookmarkStart w:id="8" w:name="_Toc35393623"/>
      <w:r/>
      <w:bookmarkStart w:id="9" w:name="_Toc35393792"/>
      <w:r>
        <w:rPr>
          <w:rFonts w:hint="eastAsia" w:ascii="宋体" w:hAnsi="宋体" w:cs="宋体"/>
          <w:b w:val="0"/>
          <w:bCs w:val="0"/>
          <w:highlight w:val="none"/>
          <w:lang w:val="en-US" w:eastAsia="zh-CN"/>
        </w:rPr>
        <w:t xml:space="preserve">无。</w:t>
      </w:r>
      <w:r/>
    </w:p>
    <w:p>
      <w:pPr>
        <w:keepLines w:val="0"/>
        <w:keepNext w:val="0"/>
        <w:pageBreakBefore w:val="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4、拒绝下述供应商参加本次采购活动的情形：</w:t>
      </w:r>
      <w:r/>
    </w:p>
    <w:p>
      <w:pPr>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1）供应商单位负责人为同一人或者存在直接控股、管理关系的不同供应商，不得参加同一合同项下的政府采购活动；</w:t>
      </w:r>
      <w:r/>
    </w:p>
    <w:p>
      <w:pPr>
        <w:keepLines w:val="0"/>
        <w:keepNext w:val="0"/>
        <w:pageBreakBefore w:val="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2）凡为采购项目提供整体设计、规范编制或者项目管理、监理、检测等服务的供应商，不得再参加本项目的采购活动</w:t>
      </w:r>
      <w:r>
        <w:rPr>
          <w:rFonts w:hint="eastAsia" w:ascii="宋体" w:hAnsi="宋体" w:eastAsia="宋体" w:cs="宋体"/>
          <w:highlight w:val="none"/>
          <w:lang w:eastAsia="zh-CN"/>
        </w:rPr>
        <w:t xml:space="preserve">；</w:t>
      </w:r>
      <w:bookmarkEnd w:id="8"/>
      <w:r/>
      <w:bookmarkEnd w:id="9"/>
      <w:r/>
      <w:r/>
    </w:p>
    <w:p>
      <w:pPr>
        <w:pStyle w:val="1117"/>
        <w:ind w:firstLine="0"/>
        <w:keepLines w:val="0"/>
        <w:keepNext w:val="0"/>
        <w:pageBreakBefore w:val="0"/>
        <w:spacing w:line="360" w:lineRule="auto"/>
        <w:rPr>
          <w:rFonts w:hint="eastAsia" w:ascii="宋体" w:hAnsi="宋体" w:eastAsia="宋体" w:cs="宋体"/>
          <w:b w:val="0"/>
          <w:sz w:val="21"/>
          <w:highlight w:val="none"/>
          <w:lang w:val="en-US" w:eastAsia="zh-CN" w:bidi="ar-SA"/>
        </w:rPr>
      </w:pPr>
      <w:r>
        <w:rPr>
          <w:rFonts w:hint="eastAsia" w:ascii="宋体" w:hAnsi="宋体" w:eastAsia="宋体" w:cs="宋体"/>
          <w:b w:val="0"/>
          <w:sz w:val="21"/>
          <w:highlight w:val="none"/>
          <w:lang w:val="en-US" w:eastAsia="zh-CN" w:bidi="ar-SA"/>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p>
    <w:p>
      <w:pPr>
        <w:pStyle w:val="1117"/>
        <w:ind w:firstLine="0"/>
        <w:keepLines w:val="0"/>
        <w:keepNext w:val="0"/>
        <w:pageBreakBefore w:val="0"/>
        <w:spacing w:line="360" w:lineRule="auto"/>
        <w:rPr>
          <w:rFonts w:hint="eastAsia" w:ascii="宋体" w:hAnsi="宋体" w:eastAsia="宋体" w:cs="宋体"/>
          <w:bCs/>
          <w:sz w:val="21"/>
          <w:highlight w:val="none"/>
        </w:rPr>
      </w:pPr>
      <w:r>
        <w:rPr>
          <w:rFonts w:hint="eastAsia" w:ascii="宋体" w:hAnsi="宋体" w:eastAsia="宋体" w:cs="宋体"/>
          <w:bCs/>
          <w:sz w:val="21"/>
          <w:highlight w:val="none"/>
        </w:rPr>
        <w:t xml:space="preserve">三、获取招标文件</w:t>
      </w:r>
      <w:r/>
    </w:p>
    <w:p>
      <w:pPr>
        <w:pStyle w:val="1117"/>
        <w:ind w:firstLine="0"/>
        <w:keepLines w:val="0"/>
        <w:keepNext w:val="0"/>
        <w:pageBreakBefore w:val="0"/>
        <w:spacing w:line="360" w:lineRule="auto"/>
        <w:rPr>
          <w:rFonts w:hint="eastAsia" w:ascii="宋体" w:hAnsi="宋体" w:eastAsia="宋体" w:cs="宋体"/>
          <w:b w:val="0"/>
          <w:sz w:val="21"/>
          <w:highlight w:val="none"/>
          <w:lang w:val="en-US" w:eastAsia="zh-CN" w:bidi="ar-SA"/>
        </w:rPr>
      </w:pPr>
      <w:r>
        <w:rPr>
          <w:rFonts w:hint="eastAsia" w:ascii="宋体" w:hAnsi="宋体" w:eastAsia="宋体" w:cs="宋体"/>
          <w:b w:val="0"/>
          <w:sz w:val="21"/>
          <w:highlight w:val="none"/>
          <w:lang w:val="en-US" w:eastAsia="zh-CN" w:bidi="ar-SA"/>
        </w:rPr>
        <w:t xml:space="preserve">1、时间：自招标文件公告发布之日起5个工作日。</w:t>
      </w:r>
      <w:r/>
    </w:p>
    <w:p>
      <w:pPr>
        <w:pStyle w:val="1117"/>
        <w:ind w:firstLine="0"/>
        <w:keepLines w:val="0"/>
        <w:keepNext w:val="0"/>
        <w:pageBreakBefore w:val="0"/>
        <w:spacing w:line="360" w:lineRule="auto"/>
        <w:rPr>
          <w:rFonts w:hint="eastAsia" w:ascii="宋体" w:hAnsi="宋体" w:eastAsia="宋体" w:cs="宋体"/>
          <w:b w:val="0"/>
          <w:sz w:val="21"/>
          <w:highlight w:val="none"/>
          <w:lang w:val="en-US" w:eastAsia="zh-CN" w:bidi="ar-SA"/>
        </w:rPr>
      </w:pPr>
      <w:r>
        <w:rPr>
          <w:rFonts w:hint="eastAsia" w:ascii="宋体" w:hAnsi="宋体" w:eastAsia="宋体" w:cs="宋体"/>
          <w:b w:val="0"/>
          <w:sz w:val="21"/>
          <w:highlight w:val="none"/>
          <w:lang w:val="en-US" w:eastAsia="zh-CN" w:bidi="ar-SA"/>
        </w:rPr>
        <w:t xml:space="preserve">2、方式：在“苏采云”系统自行免费下载招标文件。</w:t>
      </w:r>
      <w:r/>
    </w:p>
    <w:p>
      <w:pPr>
        <w:keepLines w:val="0"/>
        <w:keepNext w:val="0"/>
        <w:pageBreakBefore w:val="0"/>
        <w:spacing w:line="360" w:lineRule="auto"/>
        <w:rPr>
          <w:rFonts w:hint="eastAsia" w:ascii="宋体" w:hAnsi="宋体" w:eastAsia="宋体" w:cs="宋体"/>
          <w:b/>
          <w:bCs/>
          <w:highlight w:val="none"/>
        </w:rPr>
      </w:pPr>
      <w:r/>
      <w:bookmarkStart w:id="10" w:name="_Toc28359082"/>
      <w:r/>
      <w:bookmarkStart w:id="11" w:name="_Toc28359005"/>
      <w:r/>
      <w:bookmarkStart w:id="12" w:name="_Toc35393624"/>
      <w:r/>
      <w:bookmarkStart w:id="13" w:name="_Toc35393793"/>
      <w:r>
        <w:rPr>
          <w:rFonts w:hint="eastAsia" w:ascii="宋体" w:hAnsi="宋体" w:eastAsia="宋体" w:cs="宋体"/>
          <w:b/>
          <w:bCs/>
          <w:highlight w:val="none"/>
        </w:rPr>
        <w:t xml:space="preserve">四、投标</w:t>
      </w:r>
      <w:bookmarkEnd w:id="10"/>
      <w:r/>
      <w:bookmarkEnd w:id="11"/>
      <w:r>
        <w:rPr>
          <w:rFonts w:hint="eastAsia" w:ascii="宋体" w:hAnsi="宋体" w:eastAsia="宋体" w:cs="宋体"/>
          <w:b/>
          <w:bCs/>
          <w:highlight w:val="none"/>
        </w:rPr>
        <w:t xml:space="preserve">截止时间、开标时间和地点</w:t>
      </w:r>
      <w:bookmarkEnd w:id="12"/>
      <w:r/>
      <w:bookmarkEnd w:id="13"/>
      <w:r/>
      <w:r/>
    </w:p>
    <w:p>
      <w:pPr>
        <w:pStyle w:val="1122"/>
        <w:ind w:firstLine="0"/>
        <w:keepLines w:val="0"/>
        <w:keepNext w:val="0"/>
        <w:pageBreakBefore w:val="0"/>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rPr>
        <w:t xml:space="preserve">1、投标截止时间：</w:t>
      </w:r>
      <w:r>
        <w:rPr>
          <w:rFonts w:hint="eastAsia" w:ascii="宋体" w:hAnsi="宋体" w:eastAsia="宋体" w:cs="宋体"/>
          <w:sz w:val="21"/>
          <w:szCs w:val="20"/>
          <w:highlight w:val="none"/>
          <w:lang w:val="en-US" w:eastAsia="zh-CN" w:bidi="ar-SA"/>
        </w:rPr>
        <w:t xml:space="preserve">202</w:t>
      </w:r>
      <w:r>
        <w:rPr>
          <w:rFonts w:hint="eastAsia" w:ascii="宋体" w:hAnsi="宋体" w:cs="宋体"/>
          <w:sz w:val="21"/>
          <w:szCs w:val="20"/>
          <w:highlight w:val="none"/>
          <w:lang w:val="en-US" w:eastAsia="zh-CN" w:bidi="ar-SA"/>
        </w:rPr>
        <w:t xml:space="preserve">6</w:t>
      </w:r>
      <w:r>
        <w:rPr>
          <w:rFonts w:hint="eastAsia" w:ascii="宋体" w:hAnsi="宋体" w:eastAsia="宋体" w:cs="宋体"/>
          <w:sz w:val="21"/>
          <w:szCs w:val="20"/>
          <w:highlight w:val="none"/>
          <w:lang w:val="en-US" w:eastAsia="zh-CN" w:bidi="ar-SA"/>
        </w:rPr>
        <w:t xml:space="preserve">年</w:t>
      </w:r>
      <w:r>
        <w:rPr>
          <w:rFonts w:hint="eastAsia" w:ascii="宋体" w:hAnsi="宋体" w:cs="宋体"/>
          <w:sz w:val="21"/>
          <w:szCs w:val="20"/>
          <w:highlight w:val="none"/>
          <w:lang w:val="en-US" w:eastAsia="zh-CN" w:bidi="ar-SA"/>
        </w:rPr>
        <w:t xml:space="preserve">4</w:t>
      </w:r>
      <w:r>
        <w:rPr>
          <w:rFonts w:hint="eastAsia" w:ascii="宋体" w:hAnsi="宋体" w:eastAsia="宋体" w:cs="宋体"/>
          <w:sz w:val="21"/>
          <w:szCs w:val="20"/>
          <w:highlight w:val="none"/>
          <w:lang w:val="en-US" w:eastAsia="zh-CN" w:bidi="ar-SA"/>
        </w:rPr>
        <w:t xml:space="preserve">月</w:t>
      </w:r>
      <w:r>
        <w:rPr>
          <w:rFonts w:hint="eastAsia" w:ascii="宋体" w:hAnsi="宋体" w:cs="宋体"/>
          <w:sz w:val="21"/>
          <w:szCs w:val="20"/>
          <w:highlight w:val="none"/>
          <w:lang w:val="en-US" w:eastAsia="zh-CN" w:bidi="ar-SA"/>
        </w:rPr>
        <w:t xml:space="preserve">15</w:t>
      </w:r>
      <w:r>
        <w:rPr>
          <w:rFonts w:hint="eastAsia" w:ascii="宋体" w:hAnsi="宋体" w:eastAsia="宋体" w:cs="宋体"/>
          <w:sz w:val="21"/>
          <w:szCs w:val="20"/>
          <w:highlight w:val="none"/>
          <w:lang w:val="en-US" w:eastAsia="zh-CN" w:bidi="ar-SA"/>
        </w:rPr>
        <w:t xml:space="preserve">日</w:t>
      </w:r>
      <w:r>
        <w:rPr>
          <w:rFonts w:hint="eastAsia" w:ascii="宋体" w:hAnsi="宋体" w:cs="宋体"/>
          <w:sz w:val="21"/>
          <w:szCs w:val="20"/>
          <w:highlight w:val="none"/>
          <w:lang w:val="en-US" w:eastAsia="zh-CN"/>
        </w:rPr>
        <w:t xml:space="preserve">14:00</w:t>
      </w:r>
      <w:r>
        <w:rPr>
          <w:rFonts w:hint="eastAsia" w:ascii="宋体" w:hAnsi="宋体" w:eastAsia="宋体" w:cs="宋体"/>
          <w:sz w:val="21"/>
          <w:szCs w:val="20"/>
          <w:highlight w:val="none"/>
        </w:rPr>
        <w:t xml:space="preserve">（北京时间）</w:t>
      </w:r>
      <w:r>
        <w:rPr>
          <w:rFonts w:hint="eastAsia" w:ascii="宋体" w:hAnsi="宋体" w:eastAsia="宋体" w:cs="宋体"/>
          <w:sz w:val="21"/>
          <w:szCs w:val="20"/>
          <w:highlight w:val="none"/>
          <w:lang w:val="en-US" w:eastAsia="zh-CN"/>
        </w:rPr>
        <w:t xml:space="preserve"> </w:t>
      </w:r>
      <w:r/>
    </w:p>
    <w:p>
      <w:pPr>
        <w:pStyle w:val="1122"/>
        <w:ind w:firstLine="0"/>
        <w:keepLines w:val="0"/>
        <w:keepNext w:val="0"/>
        <w:pageBreakBefore w:val="0"/>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rPr>
        <w:t xml:space="preserve">2、开标时间：</w:t>
      </w:r>
      <w:r>
        <w:rPr>
          <w:rFonts w:hint="eastAsia" w:ascii="宋体" w:hAnsi="宋体" w:eastAsia="宋体" w:cs="宋体"/>
          <w:sz w:val="21"/>
          <w:szCs w:val="20"/>
          <w:highlight w:val="none"/>
          <w:lang w:val="en-US" w:eastAsia="zh-CN" w:bidi="ar-SA"/>
        </w:rPr>
        <w:t xml:space="preserve">202</w:t>
      </w:r>
      <w:r>
        <w:rPr>
          <w:rFonts w:hint="eastAsia" w:ascii="宋体" w:hAnsi="宋体" w:cs="宋体"/>
          <w:sz w:val="21"/>
          <w:szCs w:val="20"/>
          <w:highlight w:val="none"/>
          <w:lang w:val="en-US" w:eastAsia="zh-CN" w:bidi="ar-SA"/>
        </w:rPr>
        <w:t xml:space="preserve">6</w:t>
      </w:r>
      <w:r>
        <w:rPr>
          <w:rFonts w:hint="eastAsia" w:ascii="宋体" w:hAnsi="宋体" w:eastAsia="宋体" w:cs="宋体"/>
          <w:sz w:val="21"/>
          <w:szCs w:val="20"/>
          <w:highlight w:val="none"/>
          <w:lang w:val="en-US" w:eastAsia="zh-CN" w:bidi="ar-SA"/>
        </w:rPr>
        <w:t xml:space="preserve">年</w:t>
      </w:r>
      <w:r>
        <w:rPr>
          <w:rFonts w:hint="eastAsia" w:ascii="宋体" w:hAnsi="宋体" w:cs="宋体"/>
          <w:sz w:val="21"/>
          <w:szCs w:val="20"/>
          <w:highlight w:val="none"/>
          <w:lang w:val="en-US" w:eastAsia="zh-CN" w:bidi="ar-SA"/>
        </w:rPr>
        <w:t xml:space="preserve">4</w:t>
      </w:r>
      <w:r>
        <w:rPr>
          <w:rFonts w:hint="eastAsia" w:ascii="宋体" w:hAnsi="宋体" w:eastAsia="宋体" w:cs="宋体"/>
          <w:sz w:val="21"/>
          <w:szCs w:val="20"/>
          <w:highlight w:val="none"/>
          <w:lang w:val="en-US" w:eastAsia="zh-CN" w:bidi="ar-SA"/>
        </w:rPr>
        <w:t xml:space="preserve">月</w:t>
      </w:r>
      <w:r>
        <w:rPr>
          <w:rFonts w:hint="eastAsia" w:ascii="宋体" w:hAnsi="宋体" w:cs="宋体"/>
          <w:sz w:val="21"/>
          <w:szCs w:val="20"/>
          <w:highlight w:val="none"/>
          <w:lang w:val="en-US" w:eastAsia="zh-CN" w:bidi="ar-SA"/>
        </w:rPr>
        <w:t xml:space="preserve">15</w:t>
      </w:r>
      <w:r>
        <w:rPr>
          <w:rFonts w:hint="eastAsia" w:ascii="宋体" w:hAnsi="宋体" w:eastAsia="宋体" w:cs="宋体"/>
          <w:sz w:val="21"/>
          <w:szCs w:val="20"/>
          <w:highlight w:val="none"/>
          <w:lang w:val="en-US" w:eastAsia="zh-CN" w:bidi="ar-SA"/>
        </w:rPr>
        <w:t xml:space="preserve">日</w:t>
      </w:r>
      <w:r>
        <w:rPr>
          <w:rFonts w:hint="eastAsia" w:ascii="宋体" w:hAnsi="宋体" w:cs="宋体"/>
          <w:sz w:val="21"/>
          <w:szCs w:val="20"/>
          <w:highlight w:val="none"/>
          <w:lang w:val="en-US" w:eastAsia="zh-CN"/>
        </w:rPr>
        <w:t xml:space="preserve">14:00</w:t>
      </w:r>
      <w:r>
        <w:rPr>
          <w:rFonts w:hint="eastAsia" w:ascii="宋体" w:hAnsi="宋体" w:eastAsia="宋体" w:cs="宋体"/>
          <w:sz w:val="21"/>
          <w:szCs w:val="20"/>
          <w:highlight w:val="none"/>
        </w:rPr>
        <w:t xml:space="preserve">（北京时间）</w:t>
      </w:r>
      <w:r>
        <w:rPr>
          <w:rFonts w:hint="eastAsia" w:ascii="宋体" w:hAnsi="宋体" w:eastAsia="宋体" w:cs="宋体"/>
          <w:sz w:val="21"/>
          <w:szCs w:val="20"/>
          <w:highlight w:val="none"/>
          <w:lang w:val="en-US" w:eastAsia="zh-CN"/>
        </w:rPr>
        <w:t xml:space="preserve">  </w:t>
      </w:r>
      <w:r/>
    </w:p>
    <w:p>
      <w:pPr>
        <w:pStyle w:val="1122"/>
        <w:ind w:firstLine="0"/>
        <w:keepLines w:val="0"/>
        <w:keepNext w:val="0"/>
        <w:pageBreakBefore w:val="0"/>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3、开标地点：“苏采云”系统（网址： http://jszfcg.jsczt.cn/）“开标大厅”，点击“苏采云”进入系统“开标大厅”。</w:t>
      </w:r>
      <w:r/>
    </w:p>
    <w:p>
      <w:pPr>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注：各供应商请关注开标大厅交流区，在开标结束后，请勿离开开标大厅。</w:t>
      </w:r>
      <w:r/>
    </w:p>
    <w:p>
      <w:pPr>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4、投标文件的解密：开标当天各供应商及时登录不见面开标大厅，响应文件递交截止时间后，采购人将在系统内公布投标</w:t>
      </w:r>
      <w:r>
        <w:rPr>
          <w:rFonts w:hint="eastAsia" w:ascii="宋体" w:hAnsi="宋体" w:eastAsia="宋体" w:cs="宋体"/>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keepLines w:val="0"/>
        <w:keepNext w:val="0"/>
        <w:pageBreakBefore w:val="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五、公告期限</w:t>
      </w:r>
      <w:bookmarkEnd w:id="4"/>
      <w:r/>
      <w:bookmarkEnd w:id="5"/>
      <w:r/>
      <w:bookmarkEnd w:id="6"/>
      <w:r/>
      <w:bookmarkEnd w:id="7"/>
      <w:r/>
      <w:r/>
    </w:p>
    <w:p>
      <w:pPr>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自本公告发布之日起5个工作日。</w:t>
      </w:r>
      <w:r/>
    </w:p>
    <w:p>
      <w:pPr>
        <w:numPr>
          <w:ilvl w:val="0"/>
          <w:numId w:val="3"/>
        </w:numPr>
        <w:keepLines w:val="0"/>
        <w:keepNext w:val="0"/>
        <w:pageBreakBefore w:val="0"/>
        <w:spacing w:line="360" w:lineRule="auto"/>
        <w:widowControl w:val="off"/>
        <w:rPr>
          <w:rFonts w:hint="eastAsia" w:ascii="宋体" w:hAnsi="宋体" w:eastAsia="宋体" w:cs="宋体"/>
          <w:b/>
          <w:bCs/>
          <w:highlight w:val="none"/>
        </w:rPr>
      </w:pPr>
      <w:r/>
      <w:bookmarkStart w:id="14" w:name="_Toc35393795"/>
      <w:r/>
      <w:bookmarkStart w:id="15" w:name="_Toc35393626"/>
      <w:r>
        <w:rPr>
          <w:rFonts w:hint="eastAsia" w:ascii="宋体" w:hAnsi="宋体" w:eastAsia="宋体" w:cs="宋体"/>
          <w:b/>
          <w:bCs/>
          <w:highlight w:val="none"/>
        </w:rPr>
        <w:t xml:space="preserve">其他补充事宜</w:t>
      </w:r>
      <w:bookmarkEnd w:id="14"/>
      <w:r/>
      <w:bookmarkEnd w:id="15"/>
      <w:r/>
      <w:r/>
    </w:p>
    <w:p>
      <w:pPr>
        <w:pStyle w:val="1117"/>
        <w:numPr>
          <w:ilvl w:val="0"/>
          <w:numId w:val="4"/>
        </w:numPr>
        <w:ind w:firstLine="0"/>
        <w:keepLines w:val="0"/>
        <w:keepNext w:val="0"/>
        <w:pageBreakBefore w:val="0"/>
        <w:spacing w:line="360" w:lineRule="auto"/>
        <w:widowControl w:val="off"/>
        <w:rPr>
          <w:rFonts w:hint="eastAsia" w:ascii="宋体" w:hAnsi="宋体" w:eastAsia="宋体" w:cs="宋体"/>
          <w:b w:val="0"/>
          <w:sz w:val="21"/>
          <w:highlight w:val="none"/>
        </w:rPr>
      </w:pPr>
      <w:r>
        <w:rPr>
          <w:rFonts w:hint="eastAsia" w:ascii="宋体" w:hAnsi="宋体" w:eastAsia="宋体" w:cs="宋体"/>
          <w:b w:val="0"/>
          <w:sz w:val="21"/>
          <w:highlight w:val="none"/>
        </w:rPr>
        <w:t xml:space="preserve">本项目公告媒体：</w:t>
      </w:r>
      <w:r>
        <w:rPr>
          <w:rFonts w:hint="eastAsia" w:ascii="宋体" w:hAnsi="宋体" w:eastAsia="宋体" w:cs="宋体"/>
          <w:b w:val="0"/>
          <w:sz w:val="21"/>
          <w:highlight w:val="none"/>
          <w:lang w:eastAsia="zh-CN"/>
        </w:rPr>
        <w:t xml:space="preserve">江苏政府采购网</w:t>
      </w:r>
      <w:r>
        <w:rPr>
          <w:rFonts w:hint="eastAsia" w:ascii="宋体" w:hAnsi="宋体" w:eastAsia="宋体" w:cs="宋体"/>
          <w:b w:val="0"/>
          <w:sz w:val="21"/>
          <w:highlight w:val="none"/>
        </w:rPr>
        <w:t xml:space="preserve">（http://www.ccgp-jiangsu.gov.cn/）</w:t>
      </w:r>
      <w:r/>
    </w:p>
    <w:p>
      <w:pPr>
        <w:numPr>
          <w:ilvl w:val="0"/>
          <w:numId w:val="4"/>
        </w:numPr>
        <w:ind w:left="0" w:firstLine="0"/>
        <w:keepLines w:val="0"/>
        <w:keepNext w:val="0"/>
        <w:pageBreakBefore w:val="0"/>
        <w:spacing w:line="360"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ascii="宋体" w:hAnsi="宋体" w:eastAsia="宋体" w:cs="宋体"/>
          <w:highlight w:val="none"/>
          <w:lang w:eastAsia="zh-CN"/>
        </w:rPr>
        <w:t xml:space="preserve">；</w:t>
      </w:r>
      <w:r/>
    </w:p>
    <w:p>
      <w:pPr>
        <w:keepLines w:val="0"/>
        <w:keepNext w:val="0"/>
        <w:pageBreakBefore w:val="0"/>
        <w:spacing w:line="360" w:lineRule="auto"/>
        <w:widowControl w:val="off"/>
        <w:rPr>
          <w:rFonts w:hint="default" w:ascii="Times New Roman" w:hAnsi="Times New Roman" w:cs="Times New Roman"/>
          <w:bCs/>
          <w:highlight w:val="none"/>
        </w:rPr>
      </w:pPr>
      <w:r>
        <w:rPr>
          <w:rFonts w:hint="eastAsia" w:ascii="Times New Roman" w:hAnsi="Times New Roman" w:cs="Times New Roman"/>
          <w:bCs/>
          <w:highlight w:val="none"/>
          <w:lang w:val="en-US" w:eastAsia="zh-CN"/>
        </w:rPr>
        <w:t xml:space="preserve">3</w:t>
      </w:r>
      <w:r>
        <w:rPr>
          <w:rFonts w:hint="eastAsia" w:ascii="Times New Roman" w:hAnsi="Times New Roman" w:cs="Times New Roman"/>
          <w:bCs/>
          <w:highlight w:val="none"/>
        </w:rPr>
        <w:t xml:space="preserve">、供应商诚信档案管理</w:t>
      </w:r>
      <w:r/>
    </w:p>
    <w:p>
      <w:pPr>
        <w:keepLines w:val="0"/>
        <w:keepNext w:val="0"/>
        <w:pageBreakBefore w:val="0"/>
        <w:spacing w:line="360" w:lineRule="auto"/>
        <w:widowControl w:val="off"/>
        <w:rPr>
          <w:rFonts w:hint="default" w:ascii="Times New Roman" w:hAnsi="Times New Roman" w:cs="Times New Roman"/>
          <w:highlight w:val="none"/>
        </w:rPr>
      </w:pPr>
      <w:r>
        <w:rPr>
          <w:rFonts w:hint="eastAsia" w:ascii="Times New Roman" w:hAnsi="Times New Roman" w:cs="Times New Roman"/>
          <w:highlight w:val="none"/>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p>
    <w:p>
      <w:pPr>
        <w:keepLines w:val="0"/>
        <w:keepNext w:val="0"/>
        <w:pageBreakBefore w:val="0"/>
        <w:spacing w:line="360" w:lineRule="auto"/>
        <w:widowControl w:val="off"/>
        <w:rPr>
          <w:rFonts w:hint="default" w:ascii="Times New Roman" w:hAnsi="Times New Roman" w:cs="Times New Roman"/>
          <w:highlight w:val="none"/>
        </w:rPr>
      </w:pPr>
      <w:r>
        <w:rPr>
          <w:rFonts w:hint="eastAsia" w:ascii="Times New Roman" w:hAnsi="Times New Roman" w:cs="Times New Roman"/>
          <w:highlight w:val="none"/>
        </w:rPr>
        <w:t xml:space="preserve">供应商申请网上注册的，应当按以下程序进行：</w:t>
      </w:r>
      <w:r/>
    </w:p>
    <w:p>
      <w:pPr>
        <w:keepLines w:val="0"/>
        <w:keepNext w:val="0"/>
        <w:pageBreakBefore w:val="0"/>
        <w:spacing w:line="360" w:lineRule="auto"/>
        <w:widowControl w:val="off"/>
        <w:rPr>
          <w:rFonts w:hint="default" w:ascii="Times New Roman" w:hAnsi="Times New Roman" w:cs="Times New Roman"/>
          <w:highlight w:val="none"/>
        </w:rPr>
      </w:pPr>
      <w:r>
        <w:rPr>
          <w:rFonts w:hint="eastAsia" w:ascii="Times New Roman" w:hAnsi="Times New Roman" w:cs="Times New Roman"/>
          <w:highlight w:val="none"/>
        </w:rPr>
        <w:t xml:space="preserve">（1）登陆“南京公共采购信息网”（https://njgc.jfh.com）网站，点击“政府采购供应商诚信档案”图标，在弹出的用户登录界面，点击“新用户注册”；</w:t>
      </w:r>
      <w:r/>
    </w:p>
    <w:p>
      <w:pPr>
        <w:keepLines w:val="0"/>
        <w:keepNext w:val="0"/>
        <w:pageBreakBefore w:val="0"/>
        <w:spacing w:line="360" w:lineRule="auto"/>
        <w:widowControl w:val="off"/>
        <w:rPr>
          <w:rFonts w:hint="default" w:ascii="Times New Roman" w:hAnsi="Times New Roman" w:cs="Times New Roman"/>
          <w:highlight w:val="none"/>
        </w:rPr>
      </w:pPr>
      <w:r>
        <w:rPr>
          <w:rFonts w:hint="eastAsia" w:ascii="Times New Roman" w:hAnsi="Times New Roman" w:cs="Times New Roman"/>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keepLines w:val="0"/>
        <w:keepNext w:val="0"/>
        <w:pageBreakBefore w:val="0"/>
        <w:spacing w:line="360" w:lineRule="auto"/>
        <w:widowControl w:val="off"/>
        <w:rPr>
          <w:rFonts w:hint="eastAsia" w:ascii="宋体" w:hAnsi="宋体" w:eastAsia="宋体" w:cs="宋体"/>
          <w:highlight w:val="none"/>
          <w:lang w:eastAsia="zh-CN"/>
        </w:rPr>
      </w:pPr>
      <w:r>
        <w:rPr>
          <w:rFonts w:hint="eastAsia" w:ascii="Times New Roman" w:hAnsi="Times New Roman" w:cs="Times New Roman"/>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s="Times New Roman"/>
          <w:szCs w:val="21"/>
          <w:highlight w:val="none"/>
        </w:rPr>
        <w:t xml:space="preserve">，如未提供，投标被否决。</w:t>
      </w:r>
      <w:r/>
    </w:p>
    <w:p>
      <w:pPr>
        <w:numPr>
          <w:ilvl w:val="0"/>
          <w:numId w:val="5"/>
        </w:numP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有关本次招标的事项若存在变动或修改，敬请及时关注在“江苏政府采购网”发布的更正公告。</w:t>
      </w:r>
      <w:r/>
    </w:p>
    <w:p>
      <w:pPr>
        <w:keepLines w:val="0"/>
        <w:keepNext w:val="0"/>
        <w:pageBreakBefore w:val="0"/>
        <w:spacing w:line="360" w:lineRule="auto"/>
        <w:rPr>
          <w:rFonts w:hint="eastAsia" w:ascii="宋体" w:hAnsi="宋体" w:eastAsia="宋体" w:cs="宋体"/>
          <w:b/>
          <w:bCs/>
          <w:highlight w:val="none"/>
        </w:rPr>
      </w:pPr>
      <w:r/>
      <w:bookmarkStart w:id="16" w:name="_Toc35393627"/>
      <w:r/>
      <w:bookmarkStart w:id="17" w:name="_Toc35393796"/>
      <w:r/>
      <w:bookmarkStart w:id="18" w:name="_Toc28359085"/>
      <w:r/>
      <w:bookmarkStart w:id="19" w:name="_Toc28359008"/>
      <w:r>
        <w:rPr>
          <w:rFonts w:hint="eastAsia" w:ascii="宋体" w:hAnsi="宋体" w:eastAsia="宋体" w:cs="宋体"/>
          <w:b/>
          <w:bCs/>
          <w:highlight w:val="none"/>
        </w:rPr>
        <w:t xml:space="preserve">七、对本次招标提出询问，请按以下方式联系</w:t>
      </w:r>
      <w:bookmarkEnd w:id="16"/>
      <w:r/>
      <w:bookmarkEnd w:id="17"/>
      <w:r/>
      <w:bookmarkEnd w:id="18"/>
      <w:r/>
      <w:bookmarkEnd w:id="19"/>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1.采购人信息</w:t>
      </w:r>
      <w:r/>
    </w:p>
    <w:p>
      <w:pPr>
        <w:keepLines w:val="0"/>
        <w:keepNext w:val="0"/>
        <w:pageBreakBefore w:val="0"/>
        <w:spacing w:line="360" w:lineRule="auto"/>
        <w:rPr>
          <w:rFonts w:hint="eastAsia" w:ascii="宋体" w:hAnsi="宋体" w:eastAsia="宋体" w:cs="宋体"/>
          <w:szCs w:val="21"/>
          <w:highlight w:val="none"/>
        </w:rPr>
      </w:pPr>
      <w:r/>
      <w:bookmarkStart w:id="20" w:name="_Toc28359009"/>
      <w:r/>
      <w:bookmarkStart w:id="21" w:name="_Toc28359086"/>
      <w:r>
        <w:rPr>
          <w:rFonts w:hint="eastAsia" w:ascii="宋体" w:hAnsi="宋体" w:eastAsia="宋体" w:cs="宋体"/>
          <w:szCs w:val="21"/>
          <w:highlight w:val="none"/>
        </w:rPr>
        <w:t xml:space="preserve">名 称：</w:t>
      </w:r>
      <w:r>
        <w:rPr>
          <w:rFonts w:hint="eastAsia" w:ascii="宋体" w:hAnsi="宋体" w:cs="宋体"/>
          <w:szCs w:val="21"/>
          <w:highlight w:val="none"/>
          <w:lang w:eastAsia="zh-CN"/>
        </w:rPr>
        <w:t xml:space="preserve"> 南京市玄武区新街口社区卫生服务中心</w:t>
      </w:r>
      <w:r>
        <w:rPr>
          <w:rFonts w:hint="eastAsia" w:ascii="宋体" w:hAnsi="宋体" w:eastAsia="宋体" w:cs="宋体"/>
          <w:szCs w:val="21"/>
          <w:highlight w:val="none"/>
        </w:rPr>
        <w:t xml:space="preserve">　　　　　　　　　　　</w:t>
      </w:r>
      <w:r/>
    </w:p>
    <w:p>
      <w:pP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szCs w:val="21"/>
          <w:highlight w:val="none"/>
        </w:rPr>
        <w:t xml:space="preserve">地址：</w:t>
      </w:r>
      <w:r>
        <w:rPr>
          <w:rFonts w:hint="eastAsia" w:ascii="宋体" w:hAnsi="宋体" w:eastAsia="宋体" w:cs="宋体"/>
          <w:szCs w:val="21"/>
          <w:highlight w:val="none"/>
          <w:lang w:val="en-US" w:eastAsia="zh-CN"/>
        </w:rPr>
        <w:t xml:space="preserve"> </w:t>
      </w:r>
      <w:r>
        <w:rPr>
          <w:rFonts w:hint="eastAsia" w:ascii="宋体" w:hAnsi="宋体" w:cs="宋体"/>
          <w:color w:val="auto"/>
          <w:szCs w:val="21"/>
          <w:highlight w:val="none"/>
          <w:lang w:val="en-US" w:eastAsia="zh-CN"/>
        </w:rPr>
        <w:t xml:space="preserve">南京市玄武区杨将军巷21号</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r/>
    </w:p>
    <w:p>
      <w:pP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w:t>
      </w:r>
      <w:r>
        <w:rPr>
          <w:rFonts w:hint="eastAsia" w:ascii="宋体" w:hAnsi="宋体" w:cs="宋体"/>
          <w:color w:val="auto"/>
          <w:szCs w:val="21"/>
          <w:highlight w:val="none"/>
          <w:lang w:val="en-US" w:eastAsia="zh-CN"/>
        </w:rPr>
        <w:t xml:space="preserve">李之经</w:t>
      </w:r>
      <w:r>
        <w:rPr>
          <w:rFonts w:hint="eastAsia" w:ascii="宋体" w:hAnsi="宋体" w:eastAsia="宋体" w:cs="宋体"/>
          <w:color w:val="auto"/>
          <w:szCs w:val="21"/>
          <w:highlight w:val="none"/>
          <w:lang w:val="en-US" w:eastAsia="zh-CN"/>
        </w:rPr>
        <w:t xml:space="preserve">  </w:t>
      </w:r>
      <w:r/>
    </w:p>
    <w:p>
      <w:pPr>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eastAsia="宋体" w:cs="宋体"/>
          <w:color w:val="auto"/>
          <w:szCs w:val="21"/>
          <w:highlight w:val="none"/>
          <w:lang w:val="en-US" w:eastAsia="zh-CN"/>
        </w:rPr>
        <w:t xml:space="preserve">联系方式：</w:t>
      </w:r>
      <w:r>
        <w:rPr>
          <w:rFonts w:hint="eastAsia" w:ascii="宋体" w:hAnsi="宋体" w:cs="宋体"/>
          <w:color w:val="auto"/>
          <w:szCs w:val="21"/>
          <w:highlight w:val="none"/>
          <w:lang w:val="en-US" w:eastAsia="zh-CN"/>
        </w:rPr>
        <w:t xml:space="preserve">025-86642930-168</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szCs w:val="21"/>
          <w:highlight w:val="none"/>
          <w:lang w:val="en-US" w:eastAsia="zh-CN"/>
        </w:rPr>
        <w:t xml:space="preserve">  </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2.采购代理机构信息</w:t>
      </w:r>
      <w:bookmarkEnd w:id="20"/>
      <w:r/>
      <w:bookmarkEnd w:id="21"/>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名 称：苏美达国际技术贸易有限公司</w:t>
      </w:r>
      <w:r/>
    </w:p>
    <w:p>
      <w:pPr>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地　址：南京市长江路198号苏美达大厦</w:t>
      </w:r>
      <w:r>
        <w:rPr>
          <w:rFonts w:hint="eastAsia" w:ascii="宋体" w:hAnsi="宋体" w:eastAsia="宋体" w:cs="宋体"/>
          <w:szCs w:val="21"/>
          <w:highlight w:val="none"/>
          <w:lang w:val="en-US" w:eastAsia="zh-CN"/>
        </w:rPr>
        <w:t xml:space="preserve">9楼</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w:t>
      </w:r>
      <w:bookmarkStart w:id="22" w:name="_Toc28359087"/>
      <w:r/>
      <w:bookmarkStart w:id="23" w:name="_Toc28359010"/>
      <w:r>
        <w:rPr>
          <w:rFonts w:hint="eastAsia" w:ascii="宋体" w:hAnsi="宋体" w:eastAsia="宋体" w:cs="宋体"/>
          <w:szCs w:val="21"/>
          <w:highlight w:val="none"/>
        </w:rPr>
        <w:t xml:space="preserve">人：朱志云</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联系电话：025-84531057</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3.项目联系方式</w:t>
      </w:r>
      <w:bookmarkEnd w:id="22"/>
      <w:r/>
      <w:bookmarkEnd w:id="23"/>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项目联系人：朱志云</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　话：025-84531057</w:t>
      </w:r>
      <w:r/>
    </w:p>
    <w:p>
      <w:p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邮箱：</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"mailto:zhuzhiyun@sumec.com.cn" </w:instrText>
      </w:r>
      <w:r>
        <w:rPr>
          <w:rFonts w:hint="eastAsia" w:ascii="宋体" w:hAnsi="宋体" w:eastAsia="宋体" w:cs="宋体"/>
          <w:szCs w:val="21"/>
          <w:highlight w:val="none"/>
        </w:rPr>
        <w:fldChar w:fldCharType="separate"/>
      </w:r>
      <w:r>
        <w:rPr>
          <w:rStyle w:val="1123"/>
          <w:rFonts w:hint="eastAsia" w:ascii="宋体" w:hAnsi="宋体" w:eastAsia="宋体" w:cs="宋体"/>
          <w:szCs w:val="21"/>
          <w:highlight w:val="none"/>
        </w:rPr>
        <w:t xml:space="preserve">zhuzhiyun@sumec.com.cn</w:t>
      </w:r>
      <w:r>
        <w:rPr>
          <w:rFonts w:hint="eastAsia" w:ascii="宋体" w:hAnsi="宋体" w:eastAsia="宋体" w:cs="宋体"/>
          <w:szCs w:val="21"/>
          <w:highlight w:val="none"/>
        </w:rPr>
        <w:fldChar w:fldCharType="end"/>
      </w:r>
      <w:bookmarkStart w:id="24" w:name="_Toc16975"/>
      <w:r/>
      <w:bookmarkStart w:id="25" w:name="_Toc28996"/>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888"/>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pStyle w:val="888"/>
        <w:rPr>
          <w:rFonts w:hint="eastAsia"/>
        </w:rPr>
      </w:pPr>
      <w:r>
        <w:rPr>
          <w:rFonts w:hint="eastAsia"/>
        </w:rPr>
      </w:r>
      <w:r/>
    </w:p>
    <w:p>
      <w:pPr>
        <w:jc w:val="center"/>
        <w:spacing w:line="440" w:lineRule="exact"/>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第二章 投标人须知</w:t>
      </w:r>
      <w:bookmarkEnd w:id="24"/>
      <w:r/>
      <w:bookmarkEnd w:id="25"/>
      <w:r/>
      <w:r/>
    </w:p>
    <w:p>
      <w:pPr>
        <w:spacing w:line="440" w:lineRule="exact"/>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投标人须知前附表</w:t>
      </w:r>
      <w:r/>
    </w:p>
    <w:tbl>
      <w:tblPr>
        <w:tblStyle w:val="8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8928" w:type="dxa"/>
            <w:vAlign w:val="center"/>
            <w:textDirection w:val="lrTb"/>
            <w:noWrap w:val="false"/>
          </w:tcPr>
          <w:p>
            <w:pPr>
              <w:jc w:val="center"/>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eastAsia="zh-CN"/>
              </w:rPr>
              <w:t xml:space="preserve"> 南京市玄武区新街口社区卫生服务中心</w:t>
            </w:r>
            <w:r>
              <w:rPr>
                <w:rFonts w:hint="eastAsia" w:ascii="宋体" w:hAnsi="宋体" w:eastAsia="宋体" w:cs="宋体"/>
                <w:color w:val="000000"/>
                <w:szCs w:val="21"/>
                <w:highlight w:val="none"/>
                <w:lang w:eastAsia="zh-CN"/>
              </w:rPr>
              <w:t xml:space="preserve"> </w:t>
            </w:r>
            <w:r/>
          </w:p>
          <w:p>
            <w:pPr>
              <w:spacing w:line="440" w:lineRule="exact"/>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联系人：</w:t>
            </w:r>
            <w:r>
              <w:rPr>
                <w:rFonts w:hint="eastAsia" w:ascii="宋体" w:hAnsi="宋体" w:cs="宋体"/>
                <w:color w:val="000000"/>
                <w:szCs w:val="21"/>
                <w:highlight w:val="none"/>
                <w:lang w:val="en-US" w:eastAsia="zh-CN"/>
              </w:rPr>
              <w:t xml:space="preserve">李之经</w:t>
            </w:r>
            <w:r>
              <w:rPr>
                <w:rFonts w:hint="eastAsia" w:ascii="宋体" w:hAnsi="宋体" w:eastAsia="宋体" w:cs="宋体"/>
                <w:color w:val="000000"/>
                <w:szCs w:val="21"/>
                <w:highlight w:val="none"/>
                <w:lang w:val="en-US" w:eastAsia="zh-CN"/>
              </w:rPr>
              <w:t xml:space="preserve">  </w:t>
            </w:r>
            <w:r/>
          </w:p>
          <w:p>
            <w:pPr>
              <w:spacing w:line="440" w:lineRule="exact"/>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联系方式：02552271418   </w:t>
            </w:r>
            <w:r>
              <w:rPr>
                <w:rFonts w:hint="eastAsia" w:ascii="宋体" w:hAnsi="宋体" w:eastAsia="宋体" w:cs="宋体"/>
                <w:color w:val="000000"/>
                <w:szCs w:val="21"/>
                <w:highlight w:val="none"/>
                <w:lang w:eastAsia="zh-CN"/>
              </w:rPr>
              <w:t xml:space="preserve"> </w:t>
            </w:r>
            <w:r/>
          </w:p>
          <w:p>
            <w:pPr>
              <w:spacing w:line="440" w:lineRule="exact"/>
              <w:shd w:val="clear" w:color="auto" w:fill="ffffff"/>
              <w:widowControl/>
              <w:rPr>
                <w:rFonts w:hint="eastAsia" w:ascii="宋体" w:hAnsi="宋体" w:eastAsia="宋体" w:cs="宋体"/>
                <w:b/>
                <w:color w:val="000000"/>
                <w:sz w:val="24"/>
                <w:highlight w:val="none"/>
              </w:rPr>
            </w:pPr>
            <w:r>
              <w:rPr>
                <w:rFonts w:hint="eastAsia" w:ascii="宋体" w:hAnsi="宋体" w:eastAsia="宋体" w:cs="宋体"/>
                <w:color w:val="000000"/>
                <w:szCs w:val="21"/>
                <w:highlight w:val="none"/>
              </w:rPr>
              <w:t xml:space="preserve">地址：</w:t>
            </w:r>
            <w:r>
              <w:rPr>
                <w:rFonts w:hint="eastAsia" w:ascii="宋体" w:hAnsi="宋体" w:cs="宋体"/>
                <w:color w:val="000000"/>
                <w:szCs w:val="21"/>
                <w:highlight w:val="none"/>
                <w:lang w:val="en-US" w:eastAsia="zh-CN"/>
              </w:rPr>
              <w:t xml:space="preserve">南京市玄武区杨将军巷21号</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采购代理机构：苏美达国际技术贸易有限公司</w:t>
            </w:r>
            <w:r/>
          </w:p>
          <w:p>
            <w:pPr>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 系 人：朱志云   </w:t>
            </w:r>
            <w:r/>
          </w:p>
          <w:p>
            <w:pPr>
              <w:spacing w:line="440" w:lineRule="exact"/>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联系电话：025-84531057</w:t>
            </w:r>
            <w:r>
              <w:rPr>
                <w:rFonts w:hint="eastAsia" w:ascii="宋体" w:hAnsi="宋体" w:eastAsia="宋体" w:cs="宋体"/>
                <w:color w:val="000000"/>
                <w:szCs w:val="21"/>
                <w:highlight w:val="none"/>
                <w:lang w:val="en-US" w:eastAsia="zh-CN"/>
              </w:rPr>
              <w:t xml:space="preserve"> </w:t>
            </w:r>
            <w:r/>
          </w:p>
          <w:p>
            <w:pPr>
              <w:spacing w:line="440" w:lineRule="exact"/>
              <w:shd w:val="clear" w:color="auto" w:fill="ffffff"/>
              <w:widowControl/>
              <w:rPr>
                <w:rFonts w:hint="eastAsia" w:ascii="宋体" w:hAnsi="宋体" w:eastAsia="宋体" w:cs="宋体"/>
                <w:szCs w:val="21"/>
                <w:highlight w:val="none"/>
                <w:lang w:val="en-US" w:eastAsia="zh-CN"/>
              </w:rPr>
            </w:pPr>
            <w:r>
              <w:rPr>
                <w:rFonts w:hint="eastAsia" w:ascii="宋体" w:hAnsi="宋体" w:eastAsia="宋体" w:cs="宋体"/>
                <w:color w:val="000000"/>
                <w:szCs w:val="21"/>
                <w:highlight w:val="none"/>
              </w:rPr>
              <w:t xml:space="preserve">联系地址：南京市长江路198号</w:t>
            </w:r>
            <w:r>
              <w:rPr>
                <w:rFonts w:hint="eastAsia" w:ascii="宋体" w:hAnsi="宋体" w:eastAsia="宋体" w:cs="宋体"/>
                <w:color w:val="000000"/>
                <w:szCs w:val="21"/>
                <w:highlight w:val="none"/>
                <w:lang w:val="en-US" w:eastAsia="zh-CN"/>
              </w:rPr>
              <w:t xml:space="preserve">9楼西</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cs="宋体"/>
                <w:color w:val="000000"/>
                <w:szCs w:val="21"/>
                <w:highlight w:val="none"/>
                <w:lang w:eastAsia="zh-CN"/>
              </w:rPr>
              <w:t xml:space="preserve">放射科CT维保服务项目</w:t>
            </w:r>
            <w:r>
              <w:rPr>
                <w:rFonts w:hint="eastAsia" w:ascii="宋体" w:hAnsi="宋体" w:eastAsia="宋体" w:cs="宋体"/>
                <w:color w:val="000000"/>
                <w:szCs w:val="21"/>
                <w:highlight w:val="none"/>
              </w:rPr>
              <w:t xml:space="preserve">  </w:t>
            </w:r>
            <w:r/>
          </w:p>
          <w:p>
            <w:pPr>
              <w:spacing w:line="440" w:lineRule="exact"/>
              <w:shd w:val="clear" w:color="auto" w:fill="ffffff"/>
              <w:widowControl/>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项目编号：JSZC-320102-SMDG-G2026-0023</w:t>
            </w:r>
            <w:r>
              <w:rPr>
                <w:rFonts w:hint="eastAsia" w:ascii="宋体" w:hAnsi="宋体" w:eastAsia="宋体" w:cs="宋体"/>
                <w:color w:val="000000"/>
                <w:szCs w:val="21"/>
                <w:highlight w:val="none"/>
                <w:lang w:eastAsia="zh-CN"/>
              </w:rPr>
              <w:t xml:space="preserve"> </w:t>
            </w:r>
            <w:r>
              <w:rPr>
                <w:rFonts w:hint="eastAsia" w:ascii="宋体" w:hAnsi="宋体" w:cs="宋体"/>
                <w:color w:val="000000"/>
                <w:szCs w:val="21"/>
                <w:highlight w:val="none"/>
                <w:lang w:eastAsia="zh-CN"/>
              </w:rPr>
              <w:t xml:space="preserve"> </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采购方式：</w:t>
            </w:r>
            <w:r>
              <w:rPr>
                <w:rFonts w:hint="eastAsia" w:ascii="宋体" w:hAnsi="宋体" w:eastAsia="宋体" w:cs="宋体"/>
                <w:b/>
                <w:bCs/>
                <w:color w:val="000000"/>
                <w:szCs w:val="21"/>
                <w:highlight w:val="none"/>
              </w:rPr>
              <w:t xml:space="preserve">公开招标</w:t>
            </w:r>
            <w:r>
              <w:rPr>
                <w:rFonts w:hint="eastAsia" w:ascii="宋体" w:hAnsi="宋体" w:eastAsia="宋体" w:cs="宋体"/>
                <w:b/>
                <w:bCs/>
                <w:color w:val="000000"/>
                <w:szCs w:val="21"/>
                <w:highlight w:val="none"/>
                <w:lang w:val="en-US" w:eastAsia="zh-CN"/>
              </w:rPr>
              <w:t xml:space="preserve"> </w:t>
            </w:r>
            <w:r/>
          </w:p>
        </w:tc>
      </w:tr>
      <w:tr>
        <w:trPr>
          <w:trHeight w:val="24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投标有效期</w:t>
            </w:r>
            <w:r>
              <w:rPr>
                <w:rFonts w:hint="eastAsia" w:ascii="宋体" w:hAnsi="宋体" w:eastAsia="宋体" w:cs="宋体"/>
                <w:color w:val="000000"/>
                <w:szCs w:val="21"/>
                <w:highlight w:val="none"/>
              </w:rPr>
              <w:t xml:space="preserve">：开标之日起90天</w:t>
            </w:r>
            <w:r>
              <w:rPr>
                <w:rFonts w:hint="eastAsia" w:ascii="宋体" w:hAnsi="宋体" w:eastAsia="宋体" w:cs="宋体"/>
                <w:color w:val="000000"/>
                <w:szCs w:val="21"/>
                <w:highlight w:val="none"/>
                <w:lang w:val="en-US" w:eastAsia="zh-CN"/>
              </w:rPr>
              <w:t xml:space="preserve"> </w:t>
            </w:r>
            <w:r/>
          </w:p>
        </w:tc>
      </w:tr>
      <w:tr>
        <w:trPr>
          <w:trHeight w:val="475"/>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投标保证金：本项目无需缴纳投标保证金</w:t>
            </w:r>
            <w:r/>
          </w:p>
        </w:tc>
      </w:tr>
      <w:tr>
        <w:trPr>
          <w:trHeight w:val="559"/>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7</w:t>
            </w:r>
            <w:r/>
          </w:p>
        </w:tc>
        <w:tc>
          <w:tcPr>
            <w:tcW w:w="8928" w:type="dxa"/>
            <w:vAlign w:val="center"/>
            <w:textDirection w:val="lrTb"/>
            <w:noWrap w:val="false"/>
          </w:tcPr>
          <w:p>
            <w:pPr>
              <w:jc w:val="left"/>
              <w:spacing w:line="440" w:lineRule="exact"/>
              <w:rPr>
                <w:rFonts w:hint="eastAsia" w:ascii="宋体" w:hAnsi="宋体" w:eastAsia="宋体" w:cs="宋体"/>
                <w:sz w:val="21"/>
                <w:szCs w:val="20"/>
                <w:highlight w:val="none"/>
                <w:lang w:val="en-US" w:eastAsia="zh-CN" w:bidi="ar-SA"/>
              </w:rPr>
            </w:pPr>
            <w:r>
              <w:rPr>
                <w:rFonts w:hint="eastAsia" w:ascii="宋体" w:hAnsi="宋体" w:eastAsia="宋体" w:cs="宋体"/>
                <w:sz w:val="21"/>
                <w:szCs w:val="20"/>
                <w:highlight w:val="none"/>
                <w:lang w:val="en-US" w:eastAsia="zh-CN" w:bidi="ar-SA"/>
              </w:rPr>
              <w:t xml:space="preserve">投标文件接收截止时间：202</w:t>
            </w:r>
            <w:r>
              <w:rPr>
                <w:rFonts w:hint="eastAsia" w:ascii="宋体" w:hAnsi="宋体" w:cs="宋体"/>
                <w:sz w:val="21"/>
                <w:szCs w:val="20"/>
                <w:highlight w:val="none"/>
                <w:lang w:val="en-US" w:eastAsia="zh-CN" w:bidi="ar-SA"/>
              </w:rPr>
              <w:t xml:space="preserve">6</w:t>
            </w:r>
            <w:r>
              <w:rPr>
                <w:rFonts w:hint="eastAsia" w:ascii="宋体" w:hAnsi="宋体" w:eastAsia="宋体" w:cs="宋体"/>
                <w:sz w:val="21"/>
                <w:szCs w:val="20"/>
                <w:highlight w:val="none"/>
                <w:lang w:val="en-US" w:eastAsia="zh-CN" w:bidi="ar-SA"/>
              </w:rPr>
              <w:t xml:space="preserve">年</w:t>
            </w:r>
            <w:r>
              <w:rPr>
                <w:rFonts w:hint="eastAsia" w:ascii="宋体" w:hAnsi="宋体" w:cs="宋体"/>
                <w:sz w:val="21"/>
                <w:szCs w:val="20"/>
                <w:highlight w:val="none"/>
                <w:lang w:val="en-US" w:eastAsia="zh-CN" w:bidi="ar-SA"/>
              </w:rPr>
              <w:t xml:space="preserve">4</w:t>
            </w:r>
            <w:r>
              <w:rPr>
                <w:rFonts w:hint="eastAsia" w:ascii="宋体" w:hAnsi="宋体" w:eastAsia="宋体" w:cs="宋体"/>
                <w:sz w:val="21"/>
                <w:szCs w:val="20"/>
                <w:highlight w:val="none"/>
                <w:lang w:val="en-US" w:eastAsia="zh-CN" w:bidi="ar-SA"/>
              </w:rPr>
              <w:t xml:space="preserve">月</w:t>
            </w:r>
            <w:r>
              <w:rPr>
                <w:rFonts w:hint="eastAsia" w:ascii="宋体" w:hAnsi="宋体" w:cs="宋体"/>
                <w:sz w:val="21"/>
                <w:szCs w:val="20"/>
                <w:highlight w:val="none"/>
                <w:lang w:val="en-US" w:eastAsia="zh-CN" w:bidi="ar-SA"/>
              </w:rPr>
              <w:t xml:space="preserve">15</w:t>
            </w:r>
            <w:r>
              <w:rPr>
                <w:rFonts w:hint="eastAsia" w:ascii="宋体" w:hAnsi="宋体" w:eastAsia="宋体" w:cs="宋体"/>
                <w:sz w:val="21"/>
                <w:szCs w:val="20"/>
                <w:highlight w:val="none"/>
                <w:lang w:val="en-US" w:eastAsia="zh-CN" w:bidi="ar-SA"/>
              </w:rPr>
              <w:t xml:space="preserve">日</w:t>
            </w:r>
            <w:r>
              <w:rPr>
                <w:rFonts w:hint="eastAsia" w:ascii="宋体" w:hAnsi="宋体" w:cs="宋体"/>
                <w:sz w:val="21"/>
                <w:szCs w:val="20"/>
                <w:highlight w:val="none"/>
                <w:lang w:val="en-US" w:eastAsia="zh-CN"/>
              </w:rPr>
              <w:t xml:space="preserve">14:00</w:t>
            </w:r>
            <w:r>
              <w:rPr>
                <w:rFonts w:hint="eastAsia" w:ascii="宋体" w:hAnsi="宋体" w:eastAsia="宋体" w:cs="宋体"/>
                <w:sz w:val="21"/>
                <w:szCs w:val="20"/>
                <w:highlight w:val="none"/>
                <w:lang w:val="en-US" w:eastAsia="zh-CN" w:bidi="ar-SA"/>
              </w:rPr>
              <w:t xml:space="preserve">（北京时间） </w:t>
            </w:r>
            <w:r/>
          </w:p>
          <w:p>
            <w:pPr>
              <w:jc w:val="left"/>
              <w:spacing w:line="440" w:lineRule="exact"/>
              <w:rPr>
                <w:rFonts w:hint="eastAsia" w:ascii="宋体" w:hAnsi="宋体" w:eastAsia="宋体" w:cs="宋体"/>
                <w:sz w:val="21"/>
                <w:szCs w:val="20"/>
                <w:highlight w:val="none"/>
                <w:lang w:val="en-US" w:eastAsia="zh-CN" w:bidi="ar-SA"/>
              </w:rPr>
            </w:pPr>
            <w:r>
              <w:rPr>
                <w:rFonts w:hint="eastAsia" w:ascii="宋体" w:hAnsi="宋体" w:eastAsia="宋体" w:cs="宋体"/>
                <w:sz w:val="21"/>
                <w:szCs w:val="20"/>
                <w:highlight w:val="none"/>
                <w:lang w:val="en-US" w:eastAsia="zh-CN" w:bidi="ar-SA"/>
              </w:rPr>
              <w:t xml:space="preserve">开标时间：202</w:t>
            </w:r>
            <w:r>
              <w:rPr>
                <w:rFonts w:hint="eastAsia" w:ascii="宋体" w:hAnsi="宋体" w:cs="宋体"/>
                <w:sz w:val="21"/>
                <w:szCs w:val="20"/>
                <w:highlight w:val="none"/>
                <w:lang w:val="en-US" w:eastAsia="zh-CN" w:bidi="ar-SA"/>
              </w:rPr>
              <w:t xml:space="preserve">6</w:t>
            </w:r>
            <w:r>
              <w:rPr>
                <w:rFonts w:hint="eastAsia" w:ascii="宋体" w:hAnsi="宋体" w:eastAsia="宋体" w:cs="宋体"/>
                <w:sz w:val="21"/>
                <w:szCs w:val="20"/>
                <w:highlight w:val="none"/>
                <w:lang w:val="en-US" w:eastAsia="zh-CN" w:bidi="ar-SA"/>
              </w:rPr>
              <w:t xml:space="preserve">年</w:t>
            </w:r>
            <w:r>
              <w:rPr>
                <w:rFonts w:hint="eastAsia" w:ascii="宋体" w:hAnsi="宋体" w:cs="宋体"/>
                <w:sz w:val="21"/>
                <w:szCs w:val="20"/>
                <w:highlight w:val="none"/>
                <w:lang w:val="en-US" w:eastAsia="zh-CN" w:bidi="ar-SA"/>
              </w:rPr>
              <w:t xml:space="preserve">4</w:t>
            </w:r>
            <w:r>
              <w:rPr>
                <w:rFonts w:hint="eastAsia" w:ascii="宋体" w:hAnsi="宋体" w:eastAsia="宋体" w:cs="宋体"/>
                <w:sz w:val="21"/>
                <w:szCs w:val="20"/>
                <w:highlight w:val="none"/>
                <w:lang w:val="en-US" w:eastAsia="zh-CN" w:bidi="ar-SA"/>
              </w:rPr>
              <w:t xml:space="preserve">月</w:t>
            </w:r>
            <w:r>
              <w:rPr>
                <w:rFonts w:hint="eastAsia" w:ascii="宋体" w:hAnsi="宋体" w:cs="宋体"/>
                <w:sz w:val="21"/>
                <w:szCs w:val="20"/>
                <w:highlight w:val="none"/>
                <w:lang w:val="en-US" w:eastAsia="zh-CN" w:bidi="ar-SA"/>
              </w:rPr>
              <w:t xml:space="preserve">15</w:t>
            </w:r>
            <w:r>
              <w:rPr>
                <w:rFonts w:hint="eastAsia" w:ascii="宋体" w:hAnsi="宋体" w:eastAsia="宋体" w:cs="宋体"/>
                <w:sz w:val="21"/>
                <w:szCs w:val="20"/>
                <w:highlight w:val="none"/>
                <w:lang w:val="en-US" w:eastAsia="zh-CN" w:bidi="ar-SA"/>
              </w:rPr>
              <w:t xml:space="preserve">日</w:t>
            </w:r>
            <w:r>
              <w:rPr>
                <w:rFonts w:hint="eastAsia" w:ascii="宋体" w:hAnsi="宋体" w:cs="宋体"/>
                <w:sz w:val="21"/>
                <w:szCs w:val="20"/>
                <w:highlight w:val="none"/>
                <w:lang w:val="en-US" w:eastAsia="zh-CN"/>
              </w:rPr>
              <w:t xml:space="preserve">14:00</w:t>
            </w:r>
            <w:r>
              <w:rPr>
                <w:rFonts w:hint="eastAsia" w:ascii="宋体" w:hAnsi="宋体" w:eastAsia="宋体" w:cs="宋体"/>
                <w:sz w:val="21"/>
                <w:szCs w:val="20"/>
                <w:highlight w:val="none"/>
                <w:lang w:val="en-US" w:eastAsia="zh-CN" w:bidi="ar-SA"/>
              </w:rPr>
              <w:t xml:space="preserve">（北京时间）</w:t>
            </w:r>
            <w:r/>
          </w:p>
          <w:p>
            <w:pPr>
              <w:jc w:val="left"/>
              <w:spacing w:line="440" w:lineRule="exact"/>
              <w:rPr>
                <w:rFonts w:hint="eastAsia" w:ascii="宋体" w:hAnsi="宋体" w:eastAsia="宋体" w:cs="宋体"/>
                <w:color w:val="000000"/>
                <w:szCs w:val="21"/>
                <w:highlight w:val="none"/>
              </w:rPr>
            </w:pPr>
            <w:r>
              <w:rPr>
                <w:rFonts w:hint="eastAsia" w:ascii="宋体" w:hAnsi="宋体" w:eastAsia="宋体" w:cs="宋体"/>
                <w:sz w:val="21"/>
                <w:szCs w:val="20"/>
                <w:highlight w:val="none"/>
                <w:lang w:val="en-US" w:eastAsia="zh-CN" w:bidi="ar-SA"/>
              </w:rPr>
              <w:t xml:space="preserve">地点：“苏采云”政府采购交易系统网上开标大厅</w:t>
            </w:r>
            <w:r/>
          </w:p>
        </w:tc>
      </w:tr>
      <w:tr>
        <w:trPr>
          <w:trHeight w:val="39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8</w:t>
            </w:r>
            <w:r/>
          </w:p>
        </w:tc>
        <w:tc>
          <w:tcPr>
            <w:tcW w:w="8928" w:type="dxa"/>
            <w:vAlign w:val="center"/>
            <w:textDirection w:val="lrTb"/>
            <w:noWrap w:val="false"/>
          </w:tcPr>
          <w:p>
            <w:pPr>
              <w:spacing w:line="440" w:lineRule="exact"/>
              <w:rPr>
                <w:rFonts w:hint="eastAsia" w:ascii="宋体" w:hAnsi="宋体" w:eastAsia="宋体" w:cs="宋体"/>
                <w:highlight w:val="none"/>
              </w:rPr>
            </w:pPr>
            <w:r>
              <w:rPr>
                <w:rFonts w:hint="eastAsia" w:ascii="宋体" w:hAnsi="宋体" w:eastAsia="宋体" w:cs="宋体"/>
                <w:b/>
                <w:bCs/>
                <w:color w:val="000000"/>
                <w:szCs w:val="21"/>
                <w:highlight w:val="none"/>
              </w:rPr>
              <w:t xml:space="preserve">投标报价：</w:t>
            </w:r>
            <w:r>
              <w:rPr>
                <w:rFonts w:hint="eastAsia" w:ascii="宋体" w:hAnsi="宋体" w:eastAsia="宋体" w:cs="宋体"/>
                <w:b/>
                <w:bCs/>
                <w:highlight w:val="none"/>
              </w:rPr>
              <w:t xml:space="preserve">所有投标响应均以人民币报价</w:t>
            </w:r>
            <w:r>
              <w:rPr>
                <w:rFonts w:hint="eastAsia" w:ascii="宋体" w:hAnsi="宋体" w:eastAsia="宋体" w:cs="宋体"/>
                <w:highlight w:val="none"/>
              </w:rPr>
              <w:t xml:space="preserve">。</w:t>
            </w:r>
            <w:r/>
          </w:p>
          <w:p>
            <w:pPr>
              <w:jc w:val="left"/>
              <w:spacing w:line="440" w:lineRule="exact"/>
              <w:rPr>
                <w:rFonts w:hint="eastAsia" w:ascii="宋体" w:hAnsi="宋体" w:eastAsia="宋体" w:cs="宋体"/>
                <w:sz w:val="21"/>
                <w:szCs w:val="20"/>
                <w:highlight w:val="none"/>
                <w:lang w:val="en-US" w:eastAsia="zh-CN" w:bidi="ar-SA"/>
              </w:rPr>
            </w:pPr>
            <w:r>
              <w:rPr>
                <w:rFonts w:hint="eastAsia" w:ascii="宋体" w:hAnsi="宋体" w:eastAsia="宋体" w:cs="宋体"/>
                <w:sz w:val="21"/>
                <w:szCs w:val="20"/>
                <w:highlight w:val="none"/>
                <w:lang w:val="en-US" w:eastAsia="zh-CN" w:bidi="ar-SA"/>
              </w:rPr>
              <w:t xml:space="preserve">1、投标报价</w:t>
            </w:r>
            <w:r>
              <w:rPr>
                <w:rFonts w:hint="eastAsia" w:ascii="宋体" w:hAnsi="宋体" w:cs="宋体"/>
                <w:sz w:val="21"/>
                <w:szCs w:val="20"/>
                <w:highlight w:val="none"/>
                <w:lang w:val="en-US" w:eastAsia="zh-CN" w:bidi="ar-SA"/>
              </w:rPr>
              <w:t xml:space="preserve">应包括</w:t>
            </w:r>
            <w:r>
              <w:rPr>
                <w:rFonts w:hint="eastAsia" w:ascii="宋体" w:hAnsi="宋体" w:eastAsia="宋体" w:cs="宋体"/>
                <w:sz w:val="21"/>
                <w:szCs w:val="20"/>
                <w:highlight w:val="none"/>
                <w:lang w:val="en-US" w:eastAsia="zh-CN" w:bidi="ar-SA"/>
              </w:rPr>
              <w:t xml:space="preserve">完成招标文件规定的维修保养工作所涉及到的一切相关费用。</w:t>
            </w:r>
            <w:r/>
          </w:p>
          <w:p>
            <w:pPr>
              <w:jc w:val="left"/>
              <w:spacing w:line="440" w:lineRule="exact"/>
              <w:rPr>
                <w:rFonts w:hint="eastAsia" w:ascii="宋体" w:hAnsi="宋体" w:eastAsia="宋体" w:cs="宋体"/>
                <w:highlight w:val="none"/>
              </w:rPr>
            </w:pPr>
            <w:r>
              <w:rPr>
                <w:rFonts w:hint="eastAsia" w:ascii="宋体" w:hAnsi="宋体" w:eastAsia="宋体" w:cs="宋体"/>
                <w:sz w:val="21"/>
                <w:szCs w:val="20"/>
                <w:highlight w:val="none"/>
                <w:lang w:val="en-US" w:eastAsia="zh-CN" w:bidi="ar-SA"/>
              </w:rPr>
              <w:t xml:space="preserve">2、供应商报价时应充分考虑所有可能影响到报价的价格因素，一旦投标结束最终成交，价格不予调整。如发生漏、缺、少项，都将被认为是供应商的报价让利行为，损失自负。</w:t>
            </w:r>
            <w:r/>
          </w:p>
        </w:tc>
      </w:tr>
      <w:tr>
        <w:trPr>
          <w:trHeight w:val="540"/>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9</w:t>
            </w:r>
            <w:r/>
          </w:p>
        </w:tc>
        <w:tc>
          <w:tcPr>
            <w:tcW w:w="8928" w:type="dxa"/>
            <w:vAlign w:val="center"/>
            <w:textDirection w:val="lrTb"/>
            <w:noWrap w:val="false"/>
          </w:tcPr>
          <w:p>
            <w:pPr>
              <w:ind w:firstLine="15"/>
              <w:spacing w:line="440" w:lineRule="exact"/>
              <w:rPr>
                <w:rFonts w:hint="eastAsia" w:ascii="宋体" w:hAnsi="宋体" w:eastAsia="宋体" w:cs="宋体"/>
                <w:bCs/>
                <w:color w:val="000000"/>
                <w:highlight w:val="none"/>
              </w:rPr>
            </w:pPr>
            <w:r>
              <w:rPr>
                <w:rFonts w:hint="eastAsia" w:ascii="宋体" w:hAnsi="宋体" w:eastAsia="宋体" w:cs="宋体"/>
                <w:b/>
                <w:color w:val="000000"/>
                <w:highlight w:val="none"/>
              </w:rPr>
              <w:t xml:space="preserve">现场勘查要求：本项目不组织</w:t>
            </w:r>
            <w:r>
              <w:rPr>
                <w:rFonts w:hint="eastAsia" w:ascii="宋体" w:hAnsi="宋体" w:eastAsia="宋体" w:cs="宋体"/>
                <w:highlight w:val="none"/>
              </w:rPr>
              <w:t xml:space="preserve">。</w:t>
            </w:r>
            <w:r>
              <w:rPr>
                <w:rFonts w:hint="eastAsia" w:ascii="宋体" w:hAnsi="宋体" w:eastAsia="宋体" w:cs="宋体"/>
                <w:b/>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投标报价中的投标价不得超过招标公告、招标文件规定的</w:t>
            </w:r>
            <w:r>
              <w:rPr>
                <w:rFonts w:hint="eastAsia" w:ascii="宋体" w:hAnsi="宋体" w:cs="宋体"/>
                <w:b/>
                <w:bCs/>
                <w:color w:val="000000"/>
                <w:szCs w:val="21"/>
                <w:highlight w:val="none"/>
                <w:lang w:val="en-US" w:eastAsia="zh-CN"/>
              </w:rPr>
              <w:t xml:space="preserve">最高限价</w:t>
            </w:r>
            <w:r>
              <w:rPr>
                <w:rFonts w:hint="eastAsia" w:ascii="宋体" w:hAnsi="宋体" w:eastAsia="宋体" w:cs="宋体"/>
                <w:b/>
                <w:bCs/>
                <w:color w:val="000000"/>
                <w:szCs w:val="21"/>
                <w:highlight w:val="none"/>
              </w:rPr>
              <w:t xml:space="preserve">，超过规定的</w:t>
            </w:r>
            <w:r>
              <w:rPr>
                <w:rFonts w:hint="eastAsia" w:ascii="宋体" w:hAnsi="宋体" w:cs="宋体"/>
                <w:b/>
                <w:bCs/>
                <w:color w:val="000000"/>
                <w:szCs w:val="21"/>
                <w:highlight w:val="none"/>
                <w:lang w:val="en-US" w:eastAsia="zh-CN"/>
              </w:rPr>
              <w:t xml:space="preserve">最高限价</w:t>
            </w:r>
            <w:r>
              <w:rPr>
                <w:rFonts w:hint="eastAsia" w:ascii="宋体" w:hAnsi="宋体" w:eastAsia="宋体" w:cs="宋体"/>
                <w:b/>
                <w:bCs/>
                <w:color w:val="000000"/>
                <w:szCs w:val="21"/>
                <w:highlight w:val="none"/>
              </w:rPr>
              <w:t xml:space="preserve">的投标文件，按无效投标处理。 </w:t>
            </w:r>
            <w:r/>
          </w:p>
        </w:tc>
      </w:tr>
    </w:tbl>
    <w:p>
      <w:pPr>
        <w:ind w:firstLine="420"/>
        <w:spacing w:line="360" w:lineRule="auto"/>
        <w:shd w:val="clear" w:color="auto" w:fill="ffffff"/>
        <w:widowControl/>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b/>
          <w:bCs/>
          <w:color w:val="000000"/>
          <w:sz w:val="24"/>
          <w:highlight w:val="none"/>
        </w:rPr>
        <w:t xml:space="preserve"> </w:t>
      </w:r>
      <w:bookmarkStart w:id="26" w:name="_Toc8539"/>
      <w:r/>
      <w:bookmarkStart w:id="27" w:name="_Toc19726"/>
      <w:r>
        <w:rPr>
          <w:rFonts w:hint="eastAsia" w:ascii="宋体" w:hAnsi="宋体" w:eastAsia="宋体" w:cs="宋体"/>
          <w:b/>
          <w:bCs/>
          <w:color w:val="000000"/>
          <w:szCs w:val="21"/>
          <w:highlight w:val="none"/>
        </w:rPr>
        <w:t xml:space="preserve">一、总 则</w:t>
      </w:r>
      <w:bookmarkEnd w:id="26"/>
      <w:r/>
      <w:bookmarkEnd w:id="27"/>
      <w:r/>
      <w:r/>
    </w:p>
    <w:p>
      <w:pPr>
        <w:ind w:firstLine="420"/>
        <w:spacing w:line="360" w:lineRule="auto"/>
        <w:rPr>
          <w:rFonts w:hint="eastAsia" w:ascii="宋体" w:hAnsi="宋体" w:eastAsia="宋体" w:cs="宋体"/>
          <w:b/>
          <w:szCs w:val="21"/>
          <w:highlight w:val="none"/>
          <w:lang w:val="zh-CN"/>
        </w:rPr>
        <w:outlineLvl w:val="2"/>
      </w:pPr>
      <w:r/>
      <w:bookmarkStart w:id="28" w:name="_Toc30044"/>
      <w:r/>
      <w:bookmarkStart w:id="29" w:name="_Toc3951"/>
      <w:r/>
      <w:bookmarkStart w:id="30" w:name="_Toc16938520"/>
      <w:r/>
      <w:bookmarkStart w:id="31" w:name="_Toc20823276"/>
      <w:r/>
      <w:bookmarkStart w:id="32" w:name="_Toc513029204"/>
      <w:r/>
      <w:bookmarkStart w:id="33" w:name="_Toc24947"/>
      <w:r/>
      <w:bookmarkStart w:id="34" w:name="_Toc458694821"/>
      <w:r>
        <w:rPr>
          <w:rFonts w:hint="eastAsia" w:ascii="宋体" w:hAnsi="宋体" w:eastAsia="宋体" w:cs="宋体"/>
          <w:b/>
          <w:bCs/>
          <w:color w:val="000000"/>
          <w:szCs w:val="21"/>
          <w:highlight w:val="none"/>
          <w:lang w:val="zh-CN"/>
        </w:rPr>
        <w:t xml:space="preserve">1.</w:t>
      </w:r>
      <w:r>
        <w:rPr>
          <w:rFonts w:hint="eastAsia" w:ascii="宋体" w:hAnsi="宋体" w:eastAsia="宋体" w:cs="宋体"/>
          <w:b/>
          <w:szCs w:val="21"/>
          <w:highlight w:val="none"/>
          <w:lang w:val="zh-CN"/>
        </w:rPr>
        <w:t xml:space="preserve">适用法律</w:t>
      </w:r>
      <w:bookmarkEnd w:id="28"/>
      <w:r/>
      <w:bookmarkEnd w:id="29"/>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color w:val="000000"/>
          <w:szCs w:val="21"/>
          <w:highlight w:val="none"/>
          <w:lang w:val="zh-CN"/>
        </w:rPr>
        <w:t xml:space="preserve">1.1 </w:t>
      </w:r>
      <w:r>
        <w:rPr>
          <w:rFonts w:hint="eastAsia" w:ascii="宋体" w:hAnsi="宋体" w:eastAsia="宋体" w:cs="宋体"/>
          <w:color w:val="000000"/>
          <w:szCs w:val="21"/>
          <w:highlight w:val="none"/>
        </w:rPr>
        <w:t xml:space="preserve">《中华人民共和国招标投标法》、</w:t>
      </w:r>
      <w:r>
        <w:rPr>
          <w:rFonts w:hint="eastAsia" w:ascii="宋体" w:hAnsi="宋体" w:eastAsia="宋体" w:cs="宋体"/>
          <w:color w:val="000000"/>
          <w:szCs w:val="21"/>
          <w:highlight w:val="none"/>
          <w:lang w:val="zh-CN"/>
        </w:rPr>
        <w:t xml:space="preserve">《中华人民共和国政府采购法》、《中华人民共和国政府采购法实施条</w:t>
      </w:r>
      <w:r>
        <w:rPr>
          <w:rFonts w:hint="eastAsia" w:ascii="宋体" w:hAnsi="宋体" w:eastAsia="宋体" w:cs="宋体"/>
          <w:szCs w:val="21"/>
          <w:highlight w:val="none"/>
          <w:lang w:val="zh-CN"/>
        </w:rPr>
        <w:t xml:space="preserve">例》、《政府采购货物和服务招标投标管理办法》等有关法律、规章和规定等。</w:t>
      </w:r>
      <w:bookmarkStart w:id="35" w:name="_Toc17176"/>
      <w:r/>
      <w:bookmarkStart w:id="36" w:name="_Toc10994"/>
      <w:r/>
      <w:r/>
    </w:p>
    <w:p>
      <w:pPr>
        <w:ind w:firstLine="420"/>
        <w:spacing w:line="360" w:lineRule="auto"/>
        <w:rPr>
          <w:rFonts w:hint="eastAsia" w:ascii="宋体" w:hAnsi="宋体" w:eastAsia="宋体" w:cs="宋体"/>
          <w:b/>
          <w:szCs w:val="21"/>
          <w:highlight w:val="none"/>
          <w:lang w:val="zh-CN"/>
        </w:rPr>
        <w:outlineLvl w:val="2"/>
      </w:pPr>
      <w:r>
        <w:rPr>
          <w:rFonts w:hint="eastAsia" w:ascii="宋体" w:hAnsi="宋体" w:eastAsia="宋体" w:cs="宋体"/>
          <w:b/>
          <w:bCs/>
          <w:color w:val="000000"/>
          <w:szCs w:val="21"/>
          <w:highlight w:val="none"/>
          <w:lang w:val="zh-CN"/>
        </w:rPr>
        <w:t xml:space="preserve">2.</w:t>
      </w:r>
      <w:r>
        <w:rPr>
          <w:rFonts w:hint="eastAsia" w:ascii="宋体" w:hAnsi="宋体" w:eastAsia="宋体" w:cs="宋体"/>
          <w:b/>
          <w:szCs w:val="21"/>
          <w:highlight w:val="none"/>
          <w:lang w:val="zh-CN"/>
        </w:rPr>
        <w:t xml:space="preserve">定义</w:t>
      </w:r>
      <w:bookmarkEnd w:id="35"/>
      <w:r/>
      <w:bookmarkEnd w:id="36"/>
      <w:r/>
      <w:bookmarkEnd w:id="30"/>
      <w:r/>
      <w:bookmarkEnd w:id="31"/>
      <w:r/>
      <w:bookmarkEnd w:id="32"/>
      <w:r/>
      <w:bookmarkEnd w:id="33"/>
      <w:r/>
      <w:bookmarkEnd w:id="34"/>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2.1本文件</w:t>
      </w:r>
      <w:r>
        <w:rPr>
          <w:rFonts w:hint="eastAsia" w:ascii="宋体" w:hAnsi="宋体" w:eastAsia="宋体" w:cs="宋体"/>
          <w:bCs/>
          <w:color w:val="000000"/>
          <w:szCs w:val="21"/>
          <w:highlight w:val="none"/>
        </w:rPr>
        <w:t xml:space="preserve">中采购代理机构为 </w:t>
      </w:r>
      <w:r>
        <w:rPr>
          <w:rFonts w:hint="eastAsia" w:ascii="宋体" w:hAnsi="宋体" w:eastAsia="宋体" w:cs="宋体"/>
          <w:b/>
          <w:color w:val="000000"/>
          <w:szCs w:val="21"/>
          <w:highlight w:val="none"/>
          <w:u w:val="single"/>
        </w:rPr>
        <w:t xml:space="preserve">苏美达国际技术贸易有限公司</w:t>
      </w:r>
      <w:r>
        <w:rPr>
          <w:rFonts w:hint="eastAsia" w:ascii="宋体" w:hAnsi="宋体" w:eastAsia="宋体" w:cs="宋体"/>
          <w:bCs/>
          <w:color w:val="000000"/>
          <w:szCs w:val="21"/>
          <w:highlight w:val="none"/>
        </w:rPr>
        <w:t xml:space="preserve">；采购人为</w:t>
      </w:r>
      <w:r>
        <w:rPr>
          <w:rFonts w:hint="eastAsia" w:ascii="宋体" w:hAnsi="宋体" w:cs="宋体"/>
          <w:b/>
          <w:color w:val="000000"/>
          <w:szCs w:val="21"/>
          <w:highlight w:val="none"/>
          <w:u w:val="single"/>
          <w:lang w:eastAsia="zh-CN"/>
        </w:rPr>
        <w:t xml:space="preserve"> 南京市玄武区新街口社区卫生服务中心</w:t>
      </w:r>
      <w:r>
        <w:rPr>
          <w:rFonts w:hint="eastAsia" w:ascii="宋体" w:hAnsi="宋体" w:eastAsia="宋体" w:cs="宋体"/>
          <w:b/>
          <w:color w:val="000000"/>
          <w:szCs w:val="21"/>
          <w:highlight w:val="none"/>
          <w:u w:val="single"/>
        </w:rPr>
        <w:t xml:space="preserve"> </w:t>
      </w:r>
      <w:r>
        <w:rPr>
          <w:rFonts w:hint="eastAsia" w:ascii="宋体" w:hAnsi="宋体" w:eastAsia="宋体" w:cs="宋体"/>
          <w:bCs/>
          <w:color w:val="000000"/>
          <w:szCs w:val="21"/>
          <w:highlight w:val="none"/>
        </w:rPr>
        <w:t xml:space="preserve">；投标人（亦称供应商）系指参加投标竞争并满足招标文件资格要求规定的法人、其他组织或者自然人。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2.2“货物和服务”指本文件中所述产品及相关货物和服务。</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2.3“用户或使用单位”指使用</w:t>
      </w:r>
      <w:r>
        <w:rPr>
          <w:rFonts w:hint="eastAsia" w:ascii="宋体" w:hAnsi="宋体" w:eastAsia="宋体" w:cs="宋体"/>
          <w:szCs w:val="21"/>
          <w:highlight w:val="none"/>
          <w:lang w:val="zh-CN"/>
        </w:rPr>
        <w:t xml:space="preserve">货物、服务的</w:t>
      </w:r>
      <w:r>
        <w:rPr>
          <w:rFonts w:hint="eastAsia" w:ascii="宋体" w:hAnsi="宋体" w:eastAsia="宋体" w:cs="宋体"/>
          <w:bCs/>
          <w:szCs w:val="21"/>
          <w:highlight w:val="none"/>
        </w:rPr>
        <w:t xml:space="preserve">单位。</w:t>
      </w:r>
      <w:r/>
    </w:p>
    <w:p>
      <w:pPr>
        <w:ind w:firstLine="422"/>
        <w:spacing w:line="360" w:lineRule="auto"/>
        <w:rPr>
          <w:rFonts w:hint="eastAsia" w:ascii="宋体" w:hAnsi="宋体" w:eastAsia="宋体" w:cs="宋体"/>
          <w:b/>
          <w:szCs w:val="21"/>
          <w:highlight w:val="none"/>
          <w:lang w:val="zh-CN"/>
        </w:rPr>
        <w:outlineLvl w:val="2"/>
      </w:pPr>
      <w:r/>
      <w:bookmarkStart w:id="37" w:name="_Toc18001"/>
      <w:r/>
      <w:bookmarkStart w:id="38" w:name="_Toc25880"/>
      <w:r>
        <w:rPr>
          <w:rFonts w:hint="eastAsia" w:ascii="宋体" w:hAnsi="宋体" w:eastAsia="宋体" w:cs="宋体"/>
          <w:b/>
          <w:szCs w:val="21"/>
          <w:highlight w:val="none"/>
        </w:rPr>
        <w:t xml:space="preserve">3.</w:t>
      </w:r>
      <w:r>
        <w:rPr>
          <w:rFonts w:hint="eastAsia" w:ascii="宋体" w:hAnsi="宋体" w:eastAsia="宋体" w:cs="宋体"/>
          <w:b/>
          <w:szCs w:val="21"/>
          <w:highlight w:val="none"/>
          <w:lang w:val="zh-CN"/>
        </w:rPr>
        <w:t xml:space="preserve">政策功能</w:t>
      </w:r>
      <w:bookmarkEnd w:id="37"/>
      <w:r/>
      <w:bookmarkEnd w:id="38"/>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3.1线上融资</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3.2中小企业、监狱和戒毒企业及残疾人福利性单位</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（2）在工程采购项目中，工程由中小企业承建，即工程施工单位为中小企业；</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3.3节能产品、信息安全产品、环境标志产品</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3.4进口产品政策</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3.4.2允许进口产品参加的，满足需求的国内产品可以参加。</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3.5绿色采购</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3.5.2涉及</w:t>
      </w:r>
      <w:r>
        <w:rPr>
          <w:rFonts w:hint="eastAsia" w:ascii="宋体" w:hAnsi="宋体" w:eastAsia="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3.6创新产品采购</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3.7网络产品、市场准入类产品采购</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3.7.1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w:t>
      </w:r>
      <w:r>
        <w:rPr>
          <w:rFonts w:hint="eastAsia" w:ascii="宋体" w:hAnsi="宋体" w:eastAsia="宋体" w:cs="宋体"/>
          <w:szCs w:val="21"/>
          <w:highlight w:val="none"/>
          <w:lang w:val="en-US" w:eastAsia="zh-CN"/>
        </w:rPr>
        <w:t xml:space="preserve">已</w:t>
      </w:r>
      <w:r>
        <w:rPr>
          <w:rFonts w:hint="eastAsia" w:ascii="宋体" w:hAnsi="宋体" w:eastAsia="宋体" w:cs="宋体"/>
          <w:szCs w:val="21"/>
          <w:highlight w:val="none"/>
        </w:rPr>
        <w:t xml:space="preserve">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落实政府采购领域数字人民币政策</w:t>
      </w:r>
      <w:r/>
    </w:p>
    <w:p>
      <w:pPr>
        <w:ind w:firstLine="480"/>
        <w:spacing w:line="360" w:lineRule="auto"/>
        <w:rPr>
          <w:rFonts w:hint="eastAsia" w:ascii="宋体" w:hAnsi="宋体" w:eastAsia="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p>
    <w:p>
      <w:pPr>
        <w:ind w:firstLine="482"/>
        <w:spacing w:line="360" w:lineRule="auto"/>
        <w:rPr>
          <w:rFonts w:hint="eastAsia" w:ascii="宋体" w:hAnsi="宋体" w:eastAsia="宋体" w:cs="宋体"/>
          <w:b/>
          <w:szCs w:val="21"/>
          <w:highlight w:val="none"/>
          <w:lang w:val="zh-CN"/>
        </w:rPr>
      </w:pPr>
      <w:r>
        <w:rPr>
          <w:rFonts w:hint="eastAsia" w:ascii="宋体" w:hAnsi="宋体" w:eastAsia="宋体" w:cs="宋体"/>
          <w:b/>
          <w:bCs/>
          <w:szCs w:val="21"/>
          <w:highlight w:val="none"/>
        </w:rPr>
        <w:t xml:space="preserve">注：未按要求提供相关材料的，不享受相关政策。</w:t>
      </w:r>
      <w:r/>
    </w:p>
    <w:p>
      <w:pPr>
        <w:ind w:firstLine="420"/>
        <w:spacing w:line="360" w:lineRule="auto"/>
        <w:rPr>
          <w:rFonts w:hint="eastAsia" w:ascii="宋体" w:hAnsi="宋体" w:eastAsia="宋体" w:cs="宋体"/>
          <w:b/>
          <w:szCs w:val="21"/>
          <w:highlight w:val="none"/>
          <w:lang w:val="zh-CN"/>
        </w:rPr>
        <w:outlineLvl w:val="2"/>
      </w:pPr>
      <w:r/>
      <w:bookmarkStart w:id="39" w:name="_Toc20823279"/>
      <w:r/>
      <w:bookmarkStart w:id="40" w:name="_Toc17711"/>
      <w:r/>
      <w:bookmarkStart w:id="41" w:name="_Toc462564067"/>
      <w:r/>
      <w:bookmarkStart w:id="42" w:name="_Toc4759"/>
      <w:r/>
      <w:bookmarkStart w:id="43" w:name="_Toc513029207"/>
      <w:r/>
      <w:bookmarkStart w:id="44" w:name="_Toc16938523"/>
      <w:r/>
      <w:bookmarkStart w:id="45" w:name="_Toc25651"/>
      <w:r>
        <w:rPr>
          <w:rFonts w:hint="eastAsia" w:ascii="宋体" w:hAnsi="宋体" w:eastAsia="宋体" w:cs="宋体"/>
          <w:b/>
          <w:bCs/>
          <w:color w:val="000000"/>
          <w:szCs w:val="21"/>
          <w:highlight w:val="none"/>
          <w:lang w:val="zh-CN"/>
        </w:rPr>
        <w:t xml:space="preserve">4.</w:t>
      </w:r>
      <w:r>
        <w:rPr>
          <w:rFonts w:hint="eastAsia" w:ascii="宋体" w:hAnsi="宋体" w:eastAsia="宋体" w:cs="宋体"/>
          <w:b/>
          <w:szCs w:val="21"/>
          <w:highlight w:val="none"/>
          <w:lang w:val="zh-CN"/>
        </w:rPr>
        <w:t xml:space="preserve">投标费用</w:t>
      </w:r>
      <w:bookmarkEnd w:id="39"/>
      <w:r/>
      <w:bookmarkEnd w:id="40"/>
      <w:r/>
      <w:bookmarkEnd w:id="41"/>
      <w:r/>
      <w:bookmarkEnd w:id="42"/>
      <w:r/>
      <w:bookmarkEnd w:id="43"/>
      <w:r/>
      <w:bookmarkEnd w:id="44"/>
      <w:r/>
      <w:bookmarkEnd w:id="45"/>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eastAsia="宋体" w:cs="宋体"/>
          <w:b/>
          <w:szCs w:val="21"/>
          <w:highlight w:val="none"/>
          <w:lang w:val="zh-CN"/>
        </w:rPr>
        <w:outlineLvl w:val="2"/>
      </w:pPr>
      <w:r/>
      <w:bookmarkStart w:id="46" w:name="_Toc344"/>
      <w:r/>
      <w:bookmarkStart w:id="47" w:name="_Toc25474"/>
      <w:r>
        <w:rPr>
          <w:rFonts w:hint="eastAsia" w:ascii="宋体" w:hAnsi="宋体" w:eastAsia="宋体" w:cs="宋体"/>
          <w:b/>
          <w:bCs/>
          <w:color w:val="000000"/>
          <w:szCs w:val="21"/>
          <w:highlight w:val="none"/>
          <w:lang w:val="zh-CN"/>
        </w:rPr>
        <w:t xml:space="preserve">5.</w:t>
      </w:r>
      <w:r>
        <w:rPr>
          <w:rFonts w:hint="eastAsia" w:ascii="宋体" w:hAnsi="宋体" w:eastAsia="宋体" w:cs="宋体"/>
          <w:b/>
          <w:szCs w:val="21"/>
          <w:highlight w:val="none"/>
          <w:lang w:val="zh-CN"/>
        </w:rPr>
        <w:t xml:space="preserve">招标文件的约束力</w:t>
      </w:r>
      <w:bookmarkEnd w:id="46"/>
      <w:r/>
      <w:bookmarkEnd w:id="47"/>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供应商一旦参加本项目采购活动，即被认为接受了本招标文件的规定和约束。</w:t>
      </w:r>
      <w:r/>
    </w:p>
    <w:p>
      <w:pPr>
        <w:ind w:firstLine="420"/>
        <w:spacing w:line="360" w:lineRule="auto"/>
        <w:shd w:val="clear" w:color="auto" w:fill="ffffff"/>
        <w:widowControl/>
        <w:rPr>
          <w:rFonts w:hint="eastAsia" w:ascii="宋体" w:hAnsi="宋体" w:eastAsia="宋体" w:cs="宋体"/>
          <w:b/>
          <w:bCs/>
          <w:color w:val="000000"/>
          <w:szCs w:val="21"/>
          <w:highlight w:val="none"/>
          <w:lang w:val="en-US" w:eastAsia="zh-CN"/>
        </w:rPr>
        <w:outlineLvl w:val="1"/>
      </w:pPr>
      <w:r/>
      <w:bookmarkStart w:id="48" w:name="_Toc11232"/>
      <w:r/>
      <w:bookmarkStart w:id="49" w:name="_Toc16938525"/>
      <w:r/>
      <w:bookmarkStart w:id="50" w:name="_Toc15035"/>
      <w:r/>
      <w:bookmarkStart w:id="51" w:name="_Toc20823281"/>
      <w:r/>
      <w:bookmarkStart w:id="52" w:name="_Toc513029209"/>
      <w:r/>
      <w:bookmarkStart w:id="53" w:name="_Toc120614215"/>
      <w:r>
        <w:rPr>
          <w:rFonts w:hint="eastAsia" w:ascii="宋体" w:hAnsi="宋体" w:eastAsia="宋体" w:cs="宋体"/>
          <w:b/>
          <w:bCs/>
          <w:color w:val="000000"/>
          <w:szCs w:val="21"/>
          <w:highlight w:val="none"/>
        </w:rPr>
        <w:t xml:space="preserve">二、招标文件</w:t>
      </w:r>
      <w:bookmarkEnd w:id="48"/>
      <w:r/>
      <w:bookmarkEnd w:id="49"/>
      <w:r/>
      <w:bookmarkEnd w:id="50"/>
      <w:r/>
      <w:bookmarkEnd w:id="51"/>
      <w:r/>
      <w:bookmarkEnd w:id="52"/>
      <w:r/>
      <w:bookmarkEnd w:id="53"/>
      <w:r>
        <w:rPr>
          <w:rFonts w:hint="eastAsia" w:ascii="宋体" w:hAnsi="宋体" w:eastAsia="宋体" w:cs="宋体"/>
          <w:b/>
          <w:bCs/>
          <w:color w:val="000000"/>
          <w:szCs w:val="21"/>
          <w:highlight w:val="none"/>
          <w:lang w:val="en-US" w:eastAsia="zh-CN"/>
        </w:rPr>
        <w:t xml:space="preserve"> </w:t>
      </w:r>
      <w:r/>
    </w:p>
    <w:p>
      <w:pPr>
        <w:ind w:firstLine="420"/>
        <w:spacing w:line="360" w:lineRule="auto"/>
        <w:rPr>
          <w:rFonts w:hint="eastAsia" w:ascii="宋体" w:hAnsi="宋体" w:eastAsia="宋体" w:cs="宋体"/>
          <w:b/>
          <w:szCs w:val="21"/>
          <w:highlight w:val="none"/>
          <w:lang w:val="zh-CN"/>
        </w:rPr>
        <w:outlineLvl w:val="2"/>
      </w:pPr>
      <w:r/>
      <w:bookmarkStart w:id="54" w:name="_Toc16938526"/>
      <w:r/>
      <w:bookmarkStart w:id="55" w:name="_Toc513029210"/>
      <w:r/>
      <w:bookmarkStart w:id="56" w:name="_Toc2899"/>
      <w:r/>
      <w:bookmarkStart w:id="57" w:name="_Toc31631"/>
      <w:r/>
      <w:bookmarkStart w:id="58" w:name="_Toc20823282"/>
      <w:r>
        <w:rPr>
          <w:rFonts w:hint="eastAsia" w:ascii="宋体" w:hAnsi="宋体" w:eastAsia="宋体" w:cs="宋体"/>
          <w:b/>
          <w:bCs/>
          <w:color w:val="000000"/>
          <w:szCs w:val="21"/>
          <w:highlight w:val="none"/>
          <w:lang w:val="zh-CN"/>
        </w:rPr>
        <w:t xml:space="preserve">6.</w:t>
      </w:r>
      <w:r>
        <w:rPr>
          <w:rFonts w:hint="eastAsia" w:ascii="宋体" w:hAnsi="宋体" w:eastAsia="宋体" w:cs="宋体"/>
          <w:b/>
          <w:szCs w:val="21"/>
          <w:highlight w:val="none"/>
          <w:lang w:val="zh-CN"/>
        </w:rPr>
        <w:t xml:space="preserve">招标文件构成</w:t>
      </w:r>
      <w:bookmarkEnd w:id="54"/>
      <w:r/>
      <w:bookmarkEnd w:id="55"/>
      <w:r/>
      <w:bookmarkEnd w:id="56"/>
      <w:r/>
      <w:bookmarkEnd w:id="57"/>
      <w:r/>
      <w:bookmarkEnd w:id="58"/>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招标文件由以下部分组成：</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  招标邀请</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  投标人须知</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  评标方法、评分标准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  采购需求</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  合同</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w:t>
      </w:r>
      <w:r>
        <w:rPr>
          <w:rFonts w:hint="eastAsia" w:ascii="宋体" w:hAnsi="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投标文件格式及附件</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w:t>
      </w:r>
      <w:r>
        <w:rPr>
          <w:rFonts w:hint="eastAsia" w:ascii="宋体" w:hAnsi="宋体" w:eastAsia="宋体" w:cs="宋体"/>
          <w:b/>
          <w:bCs/>
          <w:color w:val="000000"/>
          <w:szCs w:val="21"/>
          <w:highlight w:val="none"/>
        </w:rPr>
        <w:t xml:space="preserve">招标的最小单位是包。</w:t>
      </w:r>
      <w:r>
        <w:rPr>
          <w:rFonts w:hint="eastAsia" w:ascii="宋体" w:hAnsi="宋体" w:eastAsia="宋体" w:cs="宋体"/>
          <w:b/>
          <w:bCs/>
          <w:color w:val="000000"/>
          <w:szCs w:val="21"/>
          <w:highlight w:val="none"/>
          <w:lang w:eastAsia="zh-CN"/>
        </w:rPr>
        <w:t xml:space="preserve">采购需求</w:t>
      </w:r>
      <w:r>
        <w:rPr>
          <w:rFonts w:hint="eastAsia" w:ascii="宋体" w:hAnsi="宋体" w:eastAsia="宋体" w:cs="宋体"/>
          <w:b/>
          <w:bCs/>
          <w:color w:val="000000"/>
          <w:szCs w:val="21"/>
          <w:highlight w:val="none"/>
        </w:rPr>
        <w:t xml:space="preserve">中未分包的，供应商对要求提供的服务不得部分投标；</w:t>
      </w:r>
      <w:r>
        <w:rPr>
          <w:rFonts w:hint="eastAsia" w:ascii="宋体" w:hAnsi="宋体" w:eastAsia="宋体" w:cs="宋体"/>
          <w:b/>
          <w:bCs/>
          <w:color w:val="000000"/>
          <w:szCs w:val="21"/>
          <w:highlight w:val="none"/>
          <w:lang w:eastAsia="zh-CN"/>
        </w:rPr>
        <w:t xml:space="preserve">采购需求</w:t>
      </w:r>
      <w:r>
        <w:rPr>
          <w:rFonts w:hint="eastAsia" w:ascii="宋体" w:hAnsi="宋体" w:eastAsia="宋体" w:cs="宋体"/>
          <w:b/>
          <w:bCs/>
          <w:color w:val="000000"/>
          <w:szCs w:val="21"/>
          <w:highlight w:val="none"/>
        </w:rPr>
        <w:t xml:space="preserve">中已经分包的，以包为单位投标</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6.4供应商被视为充分熟悉本招标项目的各种情况以及与履行合同有关的一切其他情况。</w:t>
      </w:r>
      <w:r/>
    </w:p>
    <w:p>
      <w:pPr>
        <w:pStyle w:val="1124"/>
        <w:ind w:left="0" w:firstLine="422"/>
        <w:jc w:val="both"/>
        <w:spacing w:line="360" w:lineRule="auto"/>
        <w:rPr>
          <w:rFonts w:hint="eastAsia" w:ascii="宋体" w:hAnsi="宋体" w:eastAsia="宋体" w:cs="宋体"/>
          <w:b/>
          <w:bCs/>
          <w:color w:val="000000"/>
          <w:sz w:val="21"/>
          <w:szCs w:val="21"/>
          <w:highlight w:val="none"/>
        </w:rPr>
      </w:pPr>
      <w:r/>
      <w:bookmarkStart w:id="59" w:name="_Toc24838"/>
      <w:r/>
      <w:bookmarkStart w:id="60" w:name="_Toc14415"/>
      <w:r>
        <w:rPr>
          <w:rFonts w:hint="eastAsia" w:ascii="宋体" w:hAnsi="宋体" w:eastAsia="宋体" w:cs="宋体"/>
          <w:b/>
          <w:bCs/>
          <w:color w:val="000000"/>
          <w:sz w:val="21"/>
          <w:szCs w:val="21"/>
          <w:highlight w:val="none"/>
        </w:rPr>
        <w:t xml:space="preserve">7.招标文件的澄清、补充或修改</w:t>
      </w:r>
      <w:bookmarkEnd w:id="59"/>
      <w:r/>
      <w:bookmarkEnd w:id="60"/>
      <w:r/>
      <w:r/>
    </w:p>
    <w:p>
      <w:pPr>
        <w:ind w:firstLine="441"/>
        <w:spacing w:line="360" w:lineRule="auto"/>
        <w:rPr>
          <w:rFonts w:hint="eastAsia" w:ascii="宋体" w:hAnsi="宋体" w:eastAsia="宋体" w:cs="宋体"/>
          <w:szCs w:val="21"/>
          <w:highlight w:val="none"/>
        </w:rPr>
      </w:pPr>
      <w:r/>
      <w:bookmarkStart w:id="61" w:name="_Toc29128"/>
      <w:r>
        <w:rPr>
          <w:rFonts w:hint="eastAsia" w:ascii="宋体" w:hAnsi="宋体" w:eastAsia="宋体" w:cs="宋体"/>
          <w:color w:val="000000"/>
          <w:szCs w:val="21"/>
          <w:highlight w:val="none"/>
        </w:rPr>
        <w:t xml:space="preserve">7.1</w:t>
      </w:r>
      <w:r>
        <w:rPr>
          <w:rFonts w:hint="eastAsia" w:ascii="宋体" w:hAnsi="宋体" w:eastAsia="宋体" w:cs="宋体"/>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7.2 </w:t>
      </w:r>
      <w:r>
        <w:rPr>
          <w:rFonts w:hint="eastAsia" w:ascii="宋体" w:hAnsi="宋体" w:eastAsia="宋体" w:cs="宋体"/>
          <w:szCs w:val="21"/>
          <w:highlight w:val="none"/>
        </w:rPr>
        <w:t xml:space="preserve">采购代理机构对已发出的招标文件进行必要的澄清或者修改，将在投标截止时间15日前，在原招标公告媒体公布。不足15日的，采购人或者采购代理机构应当顺延提交投标文件的截止时间。</w:t>
      </w:r>
      <w:r/>
    </w:p>
    <w:p>
      <w:pPr>
        <w:ind w:firstLine="441"/>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7.3 </w:t>
      </w:r>
      <w:r>
        <w:rPr>
          <w:rFonts w:hint="eastAsia" w:ascii="宋体" w:hAnsi="宋体" w:eastAsia="宋体" w:cs="宋体"/>
          <w:szCs w:val="21"/>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7.4</w:t>
      </w:r>
      <w:r>
        <w:rPr>
          <w:rFonts w:hint="eastAsia" w:ascii="宋体" w:hAnsi="宋体" w:eastAsia="宋体" w:cs="宋体"/>
          <w:szCs w:val="21"/>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hint="eastAsia" w:ascii="宋体" w:hAnsi="宋体" w:eastAsia="宋体" w:cs="宋体"/>
          <w:bCs/>
          <w:szCs w:val="21"/>
          <w:highlight w:val="none"/>
        </w:rPr>
      </w:pPr>
      <w:r>
        <w:rPr>
          <w:rFonts w:hint="eastAsia" w:ascii="宋体" w:hAnsi="宋体" w:eastAsia="宋体" w:cs="宋体"/>
          <w:color w:val="000000"/>
          <w:szCs w:val="21"/>
          <w:highlight w:val="none"/>
        </w:rPr>
        <w:t xml:space="preserve">7.5 </w:t>
      </w:r>
      <w:r>
        <w:rPr>
          <w:rFonts w:hint="eastAsia" w:ascii="宋体" w:hAnsi="宋体" w:eastAsia="宋体" w:cs="宋体"/>
          <w:szCs w:val="21"/>
          <w:highlight w:val="none"/>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hint="eastAsia" w:ascii="宋体" w:hAnsi="宋体" w:eastAsia="宋体" w:cs="宋体"/>
          <w:b/>
          <w:bCs/>
          <w:szCs w:val="21"/>
          <w:highlight w:val="none"/>
        </w:rPr>
        <w:outlineLvl w:val="1"/>
      </w:pPr>
      <w:r/>
      <w:bookmarkStart w:id="62" w:name="_Toc27318"/>
      <w:r>
        <w:rPr>
          <w:rFonts w:hint="eastAsia" w:ascii="宋体" w:hAnsi="宋体" w:eastAsia="宋体" w:cs="宋体"/>
          <w:b/>
          <w:bCs/>
          <w:szCs w:val="21"/>
          <w:highlight w:val="none"/>
        </w:rPr>
        <w:t xml:space="preserve">三、投标文件的编制</w:t>
      </w:r>
      <w:bookmarkEnd w:id="61"/>
      <w:r/>
      <w:bookmarkEnd w:id="62"/>
      <w:r/>
      <w:r/>
    </w:p>
    <w:p>
      <w:pPr>
        <w:pStyle w:val="1124"/>
        <w:ind w:left="0" w:firstLine="422"/>
        <w:jc w:val="both"/>
        <w:spacing w:line="360" w:lineRule="auto"/>
        <w:rPr>
          <w:rFonts w:hint="eastAsia" w:ascii="宋体" w:hAnsi="宋体" w:eastAsia="宋体" w:cs="宋体"/>
          <w:b/>
          <w:bCs/>
          <w:sz w:val="21"/>
          <w:szCs w:val="21"/>
          <w:highlight w:val="none"/>
        </w:rPr>
      </w:pPr>
      <w:r/>
      <w:bookmarkStart w:id="63" w:name="_Toc28127"/>
      <w:r/>
      <w:bookmarkStart w:id="64" w:name="_Toc14460"/>
      <w:r>
        <w:rPr>
          <w:rFonts w:hint="eastAsia" w:ascii="宋体" w:hAnsi="宋体" w:eastAsia="宋体" w:cs="宋体"/>
          <w:b/>
          <w:bCs/>
          <w:sz w:val="21"/>
          <w:szCs w:val="21"/>
          <w:highlight w:val="none"/>
        </w:rPr>
        <w:t xml:space="preserve">8.</w:t>
      </w:r>
      <w:bookmarkEnd w:id="63"/>
      <w:r>
        <w:rPr>
          <w:rFonts w:hint="eastAsia" w:ascii="宋体" w:hAnsi="宋体" w:eastAsia="宋体" w:cs="宋体"/>
          <w:b/>
          <w:bCs/>
          <w:sz w:val="21"/>
          <w:szCs w:val="21"/>
          <w:highlight w:val="none"/>
        </w:rPr>
        <w:t xml:space="preserve">投标文件的语言、计量单位、货币</w:t>
      </w:r>
      <w:bookmarkEnd w:id="64"/>
      <w:r/>
      <w:r/>
    </w:p>
    <w:p>
      <w:pPr>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8.1 供应商提交的投标文件（包括技术文件和资料、图纸中的说明）以及</w:t>
      </w:r>
      <w:r>
        <w:rPr>
          <w:rFonts w:hint="eastAsia" w:ascii="宋体" w:hAnsi="宋体" w:eastAsia="宋体" w:cs="宋体"/>
          <w:color w:val="000000"/>
          <w:szCs w:val="21"/>
          <w:highlight w:val="none"/>
        </w:rPr>
        <w:t xml:space="preserve">供应商与采购代理机构之间</w:t>
      </w:r>
      <w:r>
        <w:rPr>
          <w:rFonts w:hint="eastAsia" w:ascii="宋体" w:hAnsi="宋体" w:eastAsia="宋体" w:cs="宋体"/>
          <w:szCs w:val="21"/>
          <w:highlight w:val="none"/>
        </w:rPr>
        <w:t xml:space="preserve">就有关投标的所有来往函电均应</w:t>
      </w:r>
      <w:r>
        <w:rPr>
          <w:rFonts w:hint="eastAsia" w:ascii="宋体" w:hAnsi="宋体" w:eastAsia="宋体" w:cs="宋体"/>
          <w:color w:val="000000"/>
          <w:szCs w:val="21"/>
          <w:highlight w:val="none"/>
        </w:rPr>
        <w:t xml:space="preserve">以简体中文书写。</w:t>
      </w:r>
      <w:r/>
    </w:p>
    <w:p>
      <w:pPr>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hint="eastAsia" w:ascii="宋体" w:hAnsi="宋体" w:eastAsia="宋体" w:cs="宋体"/>
          <w:szCs w:val="21"/>
          <w:highlight w:val="none"/>
        </w:rPr>
      </w:pPr>
      <w:r/>
      <w:bookmarkStart w:id="65" w:name="_Toc19298"/>
      <w:r>
        <w:rPr>
          <w:rFonts w:hint="eastAsia" w:ascii="宋体" w:hAnsi="宋体" w:eastAsia="宋体" w:cs="宋体"/>
          <w:szCs w:val="21"/>
          <w:highlight w:val="none"/>
        </w:rPr>
        <w:t xml:space="preserve">8.3 除招标文件中有特殊要求外，招标文件中所使用的计量单位应为国家法定计量单位。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8.4 本招标文件所表述的时间均为北京时间。</w:t>
      </w:r>
      <w:r/>
    </w:p>
    <w:p>
      <w:pPr>
        <w:pStyle w:val="1124"/>
        <w:ind w:left="0" w:firstLine="422"/>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8.5 所有投标响应报价具体详见投标人须知前附表。</w:t>
      </w:r>
      <w:r/>
    </w:p>
    <w:p>
      <w:pPr>
        <w:pStyle w:val="1124"/>
        <w:ind w:left="0" w:firstLine="422"/>
        <w:jc w:val="both"/>
        <w:spacing w:line="360" w:lineRule="auto"/>
        <w:rPr>
          <w:rFonts w:hint="eastAsia" w:ascii="宋体" w:hAnsi="宋体" w:eastAsia="宋体" w:cs="宋体"/>
          <w:sz w:val="21"/>
          <w:szCs w:val="21"/>
          <w:highlight w:val="none"/>
          <w:lang w:val="zh-CN"/>
        </w:rPr>
      </w:pPr>
      <w:r/>
      <w:bookmarkStart w:id="66" w:name="_Toc30894"/>
      <w:r/>
      <w:bookmarkStart w:id="67" w:name="_Toc11547"/>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联合体（根据采购项目是否接受联合体投标而定）</w:t>
      </w:r>
      <w:bookmarkEnd w:id="66"/>
      <w:r/>
      <w:bookmarkEnd w:id="67"/>
      <w:r/>
      <w:r/>
    </w:p>
    <w:p>
      <w:pPr>
        <w:pStyle w:val="1124"/>
        <w:ind w:left="0" w:firstLine="422"/>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9.1两个以上的自然人、法人或者其他组织可以组成一个联合体，以一个供应商的身份共同参加政府采购。</w:t>
      </w:r>
      <w:r/>
    </w:p>
    <w:p>
      <w:pPr>
        <w:pStyle w:val="1124"/>
        <w:ind w:left="0" w:firstLine="422"/>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9.2鼓励大中型企业和其他自然人、法人或者其他组织与小型、微型企业组成联合体共同参加非专门面向中小企业的政府采购活动。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9.4 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9.5 以联合体形式参加政府采购活动的，联合体各方不得再单独参加或者与其他供应商另外组成联合体参加同一合同项下的政府采购活动。</w:t>
      </w:r>
      <w:bookmarkEnd w:id="65"/>
      <w:r/>
      <w:r/>
    </w:p>
    <w:p>
      <w:pPr>
        <w:ind w:firstLine="420"/>
        <w:spacing w:line="360" w:lineRule="auto"/>
        <w:shd w:val="clear" w:color="auto" w:fill="ffffff"/>
        <w:widowControl/>
        <w:rPr>
          <w:rFonts w:hint="eastAsia" w:ascii="宋体" w:hAnsi="宋体" w:eastAsia="宋体" w:cs="宋体"/>
          <w:b/>
          <w:bCs/>
          <w:szCs w:val="21"/>
          <w:highlight w:val="none"/>
        </w:rPr>
      </w:pPr>
      <w:r/>
      <w:bookmarkStart w:id="68" w:name="_Toc22790"/>
      <w:r/>
      <w:bookmarkStart w:id="69" w:name="_Toc6681"/>
      <w:r>
        <w:rPr>
          <w:rFonts w:hint="eastAsia" w:ascii="宋体" w:hAnsi="宋体" w:eastAsia="宋体" w:cs="宋体"/>
          <w:b/>
          <w:bCs/>
          <w:szCs w:val="21"/>
          <w:highlight w:val="none"/>
        </w:rPr>
        <w:t xml:space="preserve">10.投标文件的</w:t>
      </w:r>
      <w:bookmarkEnd w:id="68"/>
      <w:r>
        <w:rPr>
          <w:rFonts w:hint="eastAsia" w:ascii="宋体" w:hAnsi="宋体" w:eastAsia="宋体" w:cs="宋体"/>
          <w:b/>
          <w:bCs/>
          <w:szCs w:val="21"/>
          <w:highlight w:val="none"/>
        </w:rPr>
        <w:t xml:space="preserve">组成</w:t>
      </w:r>
      <w:bookmarkEnd w:id="69"/>
      <w:r>
        <w:rPr>
          <w:rFonts w:hint="eastAsia" w:ascii="宋体" w:hAnsi="宋体" w:eastAsia="宋体" w:cs="宋体"/>
          <w:b/>
          <w:bCs/>
          <w:szCs w:val="21"/>
          <w:highlight w:val="none"/>
        </w:rPr>
        <w:t xml:space="preserve">（相应内容上传至投标客户端，并签电子公章）：</w:t>
      </w:r>
      <w:r/>
    </w:p>
    <w:p>
      <w:pPr>
        <w:ind w:firstLine="420"/>
        <w:spacing w:line="360" w:lineRule="auto"/>
        <w:shd w:val="clear" w:color="auto" w:fill="ffffff"/>
        <w:widowControl/>
        <w:rPr>
          <w:rFonts w:hint="eastAsia" w:ascii="宋体" w:hAnsi="宋体" w:eastAsia="宋体" w:cs="宋体"/>
          <w:szCs w:val="21"/>
          <w:highlight w:val="none"/>
        </w:rPr>
      </w:pPr>
      <w:r/>
      <w:bookmarkStart w:id="70" w:name="_Hlk6917373"/>
      <w:r/>
      <w:bookmarkStart w:id="71" w:name="_Hlk529436144"/>
      <w:r/>
      <w:bookmarkStart w:id="72" w:name="_Hlk525992732"/>
      <w:r>
        <w:rPr>
          <w:rFonts w:hint="eastAsia" w:ascii="宋体" w:hAnsi="宋体" w:eastAsia="宋体" w:cs="宋体"/>
          <w:szCs w:val="21"/>
          <w:highlight w:val="none"/>
        </w:rPr>
        <w:t xml:space="preserve">10.1.投标函（格式见附件）；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10.2.资格证明文件：</w:t>
      </w:r>
      <w:r/>
    </w:p>
    <w:p>
      <w:pPr>
        <w:ind w:firstLine="420"/>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投标人</w:t>
      </w:r>
      <w:r>
        <w:rPr>
          <w:rFonts w:hint="eastAsia" w:ascii="宋体" w:hAnsi="宋体" w:eastAsia="宋体" w:cs="宋体"/>
          <w:highlight w:val="none"/>
        </w:rPr>
        <w:t xml:space="preserve">《南京市政府采购供应商信用记录表暨信用承诺书》</w:t>
      </w:r>
      <w:r>
        <w:rPr>
          <w:rFonts w:hint="eastAsia" w:ascii="宋体" w:hAnsi="宋体" w:eastAsia="宋体" w:cs="宋体"/>
          <w:szCs w:val="21"/>
          <w:highlight w:val="none"/>
        </w:rPr>
        <w:t xml:space="preserve">扫描件</w:t>
      </w:r>
      <w:r>
        <w:rPr>
          <w:rFonts w:hint="eastAsia" w:ascii="宋体" w:hAnsi="宋体" w:eastAsia="宋体" w:cs="宋体"/>
          <w:highlight w:val="none"/>
          <w:lang w:eastAsia="zh-CN"/>
        </w:rPr>
        <w:t xml:space="preserve">；</w:t>
      </w:r>
      <w:r/>
    </w:p>
    <w:p>
      <w:pPr>
        <w:ind w:firstLine="420"/>
        <w:spacing w:line="360" w:lineRule="auto"/>
        <w:shd w:val="clear" w:color="auto" w:fill="ffffff"/>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投标人</w:t>
      </w:r>
      <w:r>
        <w:rPr>
          <w:rFonts w:hint="eastAsia" w:ascii="宋体" w:hAnsi="宋体" w:eastAsia="宋体" w:cs="宋体"/>
          <w:highlight w:val="none"/>
          <w:lang w:val="en-US" w:eastAsia="zh-CN"/>
        </w:rPr>
        <w:t xml:space="preserve">有效经营期内的营业执照</w:t>
      </w:r>
      <w:r>
        <w:rPr>
          <w:rFonts w:hint="eastAsia" w:ascii="宋体" w:hAnsi="宋体" w:eastAsia="宋体" w:cs="宋体"/>
          <w:szCs w:val="21"/>
          <w:highlight w:val="none"/>
        </w:rPr>
        <w:t xml:space="preserve">扫描件；</w:t>
      </w:r>
      <w:r>
        <w:rPr>
          <w:rFonts w:hint="eastAsia" w:ascii="宋体" w:hAnsi="宋体" w:cs="宋体"/>
          <w:szCs w:val="21"/>
          <w:highlight w:val="none"/>
          <w:lang w:val="en-US" w:eastAsia="zh-CN"/>
        </w:rPr>
        <w:t xml:space="preserve"> </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（3）投标人法定代表人授权委托书扫描件（法定代表人亲自参与投标的除外，格式见附件）；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（4）投标人法定代表人身份证（正、反面）扫描件；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（5）投标人法定代表人授权代表身份证（正、反面）扫描件（法定代表人亲自参加投标的除外）；</w:t>
      </w:r>
      <w:bookmarkStart w:id="73" w:name="_Hlk39128912"/>
      <w:r/>
      <w:bookmarkEnd w:id="73"/>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10.3.开标一览表（格式见附件）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10.4.细目报价表（格式见附件）</w:t>
      </w:r>
      <w:bookmarkEnd w:id="70"/>
      <w:r/>
      <w:bookmarkEnd w:id="71"/>
      <w:r/>
      <w:bookmarkEnd w:id="72"/>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采购需求偏离响应表</w:t>
      </w:r>
      <w:r>
        <w:rPr>
          <w:rFonts w:hint="eastAsia" w:ascii="宋体" w:hAnsi="宋体" w:eastAsia="宋体" w:cs="宋体"/>
          <w:szCs w:val="21"/>
          <w:highlight w:val="none"/>
        </w:rPr>
        <w:t xml:space="preserve">（格式见附件）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项目</w:t>
      </w:r>
      <w:r>
        <w:rPr>
          <w:rFonts w:hint="eastAsia" w:ascii="宋体" w:hAnsi="宋体" w:eastAsia="宋体" w:cs="宋体"/>
          <w:szCs w:val="21"/>
          <w:highlight w:val="none"/>
        </w:rPr>
        <w:t xml:space="preserve">方案等</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.评分标准中对应的所需证明材料（如有自行添加）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.要求采购人提供的配合（如有自拟并自行添加）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.其它（投标人认为有必要提供的声明和文件，如有自拟并自行添加）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（1）投标供应商简介和经营情况说明；（格式见附件）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（2）如是小微企业的，提供《中小企业声明函》；（格式见附件）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（3）残疾人福利性单位声明函；（供应商为残疾人福利性单位的提供，格式见附件）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（4）由省级以上监狱管理局、戒毒管理局出具的属于监狱企业的证明文件；（如适用）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上述10.1-10.</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其他部分由供应商根据编制投标文件需要提供的其他相关文件。</w:t>
      </w:r>
      <w:r/>
    </w:p>
    <w:p>
      <w:pPr>
        <w:pStyle w:val="1124"/>
        <w:ind w:left="0" w:firstLine="422"/>
        <w:jc w:val="both"/>
        <w:spacing w:line="360" w:lineRule="auto"/>
        <w:rPr>
          <w:rFonts w:hint="eastAsia" w:ascii="宋体" w:hAnsi="宋体" w:eastAsia="宋体" w:cs="宋体"/>
          <w:b/>
          <w:bCs/>
          <w:color w:val="000000"/>
          <w:sz w:val="21"/>
          <w:szCs w:val="21"/>
          <w:highlight w:val="none"/>
        </w:rPr>
      </w:pPr>
      <w:r/>
      <w:bookmarkStart w:id="74" w:name="_Toc15215"/>
      <w:r/>
      <w:bookmarkStart w:id="75" w:name="_Toc31206"/>
      <w:r>
        <w:rPr>
          <w:rFonts w:hint="eastAsia" w:ascii="宋体" w:hAnsi="宋体" w:eastAsia="宋体" w:cs="宋体"/>
          <w:b/>
          <w:bCs/>
          <w:color w:val="000000"/>
          <w:sz w:val="21"/>
          <w:szCs w:val="21"/>
          <w:highlight w:val="none"/>
        </w:rPr>
        <w:t xml:space="preserve">11.投标文件的有效期</w:t>
      </w:r>
      <w:bookmarkEnd w:id="74"/>
      <w:r/>
      <w:bookmarkEnd w:id="75"/>
      <w:r/>
      <w:r/>
    </w:p>
    <w:p>
      <w:pPr>
        <w:ind w:firstLine="420"/>
        <w:jc w:val="left"/>
        <w:spacing w:line="360" w:lineRule="auto"/>
        <w:rPr>
          <w:rFonts w:hint="eastAsia" w:ascii="宋体" w:hAnsi="宋体" w:eastAsia="宋体" w:cs="宋体"/>
          <w:bCs/>
          <w:szCs w:val="21"/>
          <w:highlight w:val="none"/>
        </w:rPr>
      </w:pPr>
      <w:r/>
      <w:bookmarkStart w:id="76" w:name="_Toc6811"/>
      <w:r>
        <w:rPr>
          <w:rFonts w:hint="eastAsia" w:ascii="宋体" w:hAnsi="宋体" w:eastAsia="宋体" w:cs="宋体"/>
          <w:bCs/>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124"/>
        <w:ind w:left="0" w:firstLine="422"/>
        <w:jc w:val="both"/>
        <w:spacing w:line="360" w:lineRule="auto"/>
        <w:rPr>
          <w:rFonts w:hint="eastAsia" w:ascii="宋体" w:hAnsi="宋体" w:eastAsia="宋体" w:cs="宋体"/>
          <w:b/>
          <w:bCs/>
          <w:color w:val="000000"/>
          <w:sz w:val="21"/>
          <w:szCs w:val="21"/>
          <w:highlight w:val="none"/>
        </w:rPr>
      </w:pPr>
      <w:r/>
      <w:bookmarkStart w:id="77" w:name="_Toc21944"/>
      <w:r>
        <w:rPr>
          <w:rFonts w:hint="eastAsia" w:ascii="宋体" w:hAnsi="宋体" w:eastAsia="宋体" w:cs="宋体"/>
          <w:b/>
          <w:bCs/>
          <w:color w:val="000000"/>
          <w:sz w:val="21"/>
          <w:szCs w:val="21"/>
          <w:highlight w:val="none"/>
        </w:rPr>
        <w:t xml:space="preserve">12.</w:t>
      </w:r>
      <w:bookmarkEnd w:id="76"/>
      <w:r/>
      <w:bookmarkEnd w:id="77"/>
      <w:r>
        <w:rPr>
          <w:rFonts w:hint="eastAsia" w:ascii="宋体" w:hAnsi="宋体" w:eastAsia="宋体" w:cs="宋体"/>
          <w:b/>
          <w:bCs/>
          <w:color w:val="000000"/>
          <w:sz w:val="21"/>
          <w:szCs w:val="21"/>
          <w:highlight w:val="none"/>
        </w:rPr>
        <w:t xml:space="preserve">投标文件的编制要求和签署要求</w:t>
      </w:r>
      <w:r/>
    </w:p>
    <w:p>
      <w:pPr>
        <w:ind w:firstLine="420"/>
        <w:spacing w:line="360" w:lineRule="auto"/>
        <w:rPr>
          <w:rFonts w:hint="eastAsia" w:ascii="宋体" w:hAnsi="宋体" w:eastAsia="宋体" w:cs="宋体"/>
          <w:bCs/>
          <w:szCs w:val="21"/>
          <w:highlight w:val="none"/>
        </w:rPr>
      </w:pPr>
      <w:r/>
      <w:bookmarkStart w:id="78" w:name="_Toc27455"/>
      <w:r>
        <w:rPr>
          <w:rFonts w:hint="eastAsia" w:ascii="宋体" w:hAnsi="宋体" w:eastAsia="宋体" w:cs="宋体"/>
          <w:bCs/>
          <w:szCs w:val="21"/>
          <w:highlight w:val="none"/>
        </w:rPr>
        <w:t xml:space="preserve">12.1投标人应由其法定代表人或法定代表人授权代表在规定的网上投标时间，凭 CA 证书</w:t>
      </w:r>
      <w:r>
        <w:rPr>
          <w:rFonts w:hint="eastAsia" w:ascii="宋体" w:hAnsi="宋体" w:eastAsia="宋体" w:cs="宋体"/>
          <w:bCs/>
          <w:szCs w:val="21"/>
          <w:highlight w:val="none"/>
          <w:lang w:val="en-US" w:eastAsia="zh-CN"/>
        </w:rPr>
        <w:t xml:space="preserve">登录</w:t>
      </w:r>
      <w:r>
        <w:rPr>
          <w:rFonts w:hint="eastAsia" w:ascii="宋体" w:hAnsi="宋体" w:eastAsia="宋体" w:cs="宋体"/>
          <w:bCs/>
          <w:szCs w:val="21"/>
          <w:highlight w:val="none"/>
        </w:rPr>
        <w:t xml:space="preserve">“苏采云”系统在线编制投标文件（电子数据），并在投标截止时间之前上传投标文件。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12.2投标人应对 CA 证书妥善保管，如被他人盗用投标，因此带来的</w:t>
      </w:r>
      <w:r>
        <w:rPr>
          <w:rFonts w:hint="eastAsia" w:ascii="宋体" w:hAnsi="宋体" w:eastAsia="宋体" w:cs="宋体"/>
          <w:bCs/>
          <w:szCs w:val="21"/>
          <w:highlight w:val="none"/>
          <w:lang w:val="en-US" w:eastAsia="zh-CN"/>
        </w:rPr>
        <w:t xml:space="preserve">后果</w:t>
      </w:r>
      <w:r>
        <w:rPr>
          <w:rFonts w:hint="eastAsia" w:ascii="宋体" w:hAnsi="宋体" w:eastAsia="宋体" w:cs="宋体"/>
          <w:bCs/>
          <w:szCs w:val="21"/>
          <w:highlight w:val="none"/>
        </w:rPr>
        <w:t xml:space="preserve">均由投标人自行承担。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12.3投标人应当对招标文件提出的要求和条件作出实质性响应，并在电子投标系统逐条应答。</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79" w:name="_Toc9506"/>
      <w:r>
        <w:rPr>
          <w:rFonts w:hint="eastAsia" w:ascii="宋体" w:hAnsi="宋体" w:eastAsia="宋体" w:cs="宋体"/>
          <w:b/>
          <w:bCs/>
          <w:color w:val="000000"/>
          <w:szCs w:val="21"/>
          <w:highlight w:val="none"/>
        </w:rPr>
        <w:t xml:space="preserve">四、投标文件的递交</w:t>
      </w:r>
      <w:bookmarkEnd w:id="78"/>
      <w:r/>
      <w:bookmarkEnd w:id="79"/>
      <w:r>
        <w:rPr>
          <w:rFonts w:hint="eastAsia" w:ascii="宋体" w:hAnsi="宋体" w:eastAsia="宋体" w:cs="宋体"/>
          <w:b/>
          <w:bCs/>
          <w:color w:val="000000"/>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0" w:name="_Toc513029225"/>
      <w:r/>
      <w:bookmarkStart w:id="81" w:name="_Toc20823297"/>
      <w:r/>
      <w:bookmarkStart w:id="82" w:name="_Toc462564084"/>
      <w:r/>
      <w:bookmarkStart w:id="83" w:name="_Toc16938541"/>
      <w:r>
        <w:rPr>
          <w:rFonts w:hint="eastAsia" w:ascii="宋体" w:hAnsi="宋体" w:eastAsia="宋体" w:cs="宋体"/>
          <w:b/>
          <w:bCs/>
          <w:color w:val="000000"/>
          <w:szCs w:val="21"/>
          <w:highlight w:val="none"/>
        </w:rPr>
        <w:t xml:space="preserve">13.电子投标文件</w:t>
      </w:r>
      <w:bookmarkEnd w:id="80"/>
      <w:r/>
      <w:bookmarkEnd w:id="81"/>
      <w:r/>
      <w:bookmarkEnd w:id="82"/>
      <w:r/>
      <w:bookmarkEnd w:id="83"/>
      <w:r>
        <w:rPr>
          <w:rFonts w:hint="eastAsia" w:ascii="宋体" w:hAnsi="宋体" w:eastAsia="宋体" w:cs="宋体"/>
          <w:b/>
          <w:bCs/>
          <w:color w:val="000000"/>
          <w:szCs w:val="21"/>
          <w:highlight w:val="none"/>
        </w:rPr>
        <w:t xml:space="preserve">的递交</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13.1投标人应当按照规定，在投标截止时间前制作并上传电子投标文件。</w:t>
      </w:r>
      <w:bookmarkStart w:id="84" w:name="_Toc20823298"/>
      <w:r/>
      <w:bookmarkEnd w:id="84"/>
      <w:r/>
      <w:bookmarkStart w:id="85" w:name="_Toc16938542"/>
      <w:r/>
      <w:bookmarkEnd w:id="85"/>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14.投标截止日期</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6" w:name="_Toc16938543"/>
      <w:r/>
      <w:bookmarkStart w:id="87" w:name="_Toc513029227"/>
      <w:r/>
      <w:bookmarkStart w:id="88" w:name="_Toc20823299"/>
      <w:r>
        <w:rPr>
          <w:rFonts w:hint="eastAsia" w:ascii="宋体" w:hAnsi="宋体" w:eastAsia="宋体" w:cs="宋体"/>
          <w:b/>
          <w:bCs/>
          <w:color w:val="000000"/>
          <w:szCs w:val="21"/>
          <w:highlight w:val="none"/>
        </w:rPr>
        <w:t xml:space="preserve">15.投标文件</w:t>
      </w:r>
      <w:bookmarkEnd w:id="86"/>
      <w:r/>
      <w:bookmarkEnd w:id="87"/>
      <w:r/>
      <w:bookmarkEnd w:id="88"/>
      <w:r>
        <w:rPr>
          <w:rFonts w:hint="eastAsia" w:ascii="宋体" w:hAnsi="宋体" w:eastAsia="宋体" w:cs="宋体"/>
          <w:b/>
          <w:bCs/>
          <w:color w:val="000000"/>
          <w:szCs w:val="21"/>
          <w:highlight w:val="none"/>
        </w:rPr>
        <w:t xml:space="preserve">的拒收</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9" w:name="_Toc513029228"/>
      <w:r/>
      <w:bookmarkStart w:id="90" w:name="_Toc16938544"/>
      <w:r/>
      <w:bookmarkStart w:id="91" w:name="_Toc20823300"/>
      <w:r>
        <w:rPr>
          <w:rFonts w:hint="eastAsia" w:ascii="宋体" w:hAnsi="宋体" w:eastAsia="宋体" w:cs="宋体"/>
          <w:b/>
          <w:bCs/>
          <w:color w:val="000000"/>
          <w:szCs w:val="21"/>
          <w:highlight w:val="none"/>
        </w:rPr>
        <w:t xml:space="preserve">16.投标文件的撤回和修改</w:t>
      </w:r>
      <w:bookmarkEnd w:id="89"/>
      <w:r/>
      <w:bookmarkEnd w:id="90"/>
      <w:r/>
      <w:bookmarkEnd w:id="91"/>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16.1 投标文件的撤回</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16.1.1 电子投标文件的撤回</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16.2 投标文件的修改</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五、开标与评标</w:t>
      </w:r>
      <w:r/>
    </w:p>
    <w:p>
      <w:pPr>
        <w:pStyle w:val="1124"/>
        <w:ind w:left="0" w:firstLine="422"/>
        <w:jc w:val="both"/>
        <w:spacing w:line="360" w:lineRule="auto"/>
        <w:rPr>
          <w:rFonts w:hint="eastAsia" w:ascii="宋体" w:hAnsi="宋体" w:eastAsia="宋体" w:cs="宋体"/>
          <w:b/>
          <w:bCs/>
          <w:color w:val="000000"/>
          <w:sz w:val="21"/>
          <w:szCs w:val="21"/>
          <w:highlight w:val="none"/>
        </w:rPr>
      </w:pPr>
      <w:r/>
      <w:bookmarkStart w:id="92" w:name="_Toc13829"/>
      <w:r/>
      <w:bookmarkStart w:id="93" w:name="_Toc20683"/>
      <w:r/>
      <w:bookmarkStart w:id="94" w:name="_Toc15345"/>
      <w:r/>
      <w:bookmarkStart w:id="95" w:name="_Toc3679"/>
      <w:r/>
      <w:bookmarkStart w:id="96" w:name="OLE_LINK7"/>
      <w:r/>
      <w:bookmarkStart w:id="97" w:name="OLE_LINK3"/>
      <w:r/>
      <w:bookmarkStart w:id="98" w:name="_Toc6944"/>
      <w:r>
        <w:rPr>
          <w:rFonts w:hint="eastAsia" w:ascii="宋体" w:hAnsi="宋体" w:eastAsia="宋体" w:cs="宋体"/>
          <w:b/>
          <w:bCs/>
          <w:color w:val="000000"/>
          <w:sz w:val="21"/>
          <w:szCs w:val="21"/>
          <w:highlight w:val="none"/>
        </w:rPr>
        <w:t xml:space="preserve">17.开标</w:t>
      </w:r>
      <w:bookmarkEnd w:id="92"/>
      <w:r/>
      <w:bookmarkEnd w:id="93"/>
      <w:r/>
      <w:bookmarkEnd w:id="94"/>
      <w:r/>
      <w:bookmarkEnd w:id="95"/>
      <w:r/>
      <w:bookmarkEnd w:id="96"/>
      <w:r/>
      <w:bookmarkEnd w:id="97"/>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17.2由电子招标投标交易平台主持，邀请投标人参加。</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18.资格性审查：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18.2信用信息查询</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18.3</w:t>
      </w:r>
      <w:bookmarkEnd w:id="98"/>
      <w:r/>
      <w:bookmarkStart w:id="99" w:name="_Toc30296"/>
      <w:r/>
      <w:bookmarkStart w:id="100" w:name="_Toc16938547"/>
      <w:r/>
      <w:bookmarkStart w:id="101" w:name="_Toc20823303"/>
      <w:r/>
      <w:bookmarkStart w:id="102" w:name="_Toc513029231"/>
      <w:r/>
      <w:bookmarkStart w:id="103" w:name="_Toc29284"/>
      <w:r>
        <w:rPr>
          <w:rFonts w:hint="eastAsia" w:ascii="宋体" w:hAnsi="宋体" w:eastAsia="宋体" w:cs="宋体"/>
          <w:bCs/>
          <w:szCs w:val="21"/>
          <w:highlight w:val="none"/>
        </w:rPr>
        <w:t xml:space="preserve">通过资格性审查合格的投标人不足3家的，不得评标。</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19.评标 </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19.1评标组织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19.1评标工作由采购代理机构负责组织，具体评标事务由依法组建的评标委员会负责，并独立履行下列职责：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（5）向采购人、采购代理机构或者有关部门报告评标中发现的违法行为。</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19.2评标委员会由采购人代表和有关技术、经济等方面的专家组成，独立开展评审工作且评标委员会人员构成符合有关规定。</w:t>
      </w:r>
      <w:r/>
    </w:p>
    <w:p>
      <w:pPr>
        <w:ind w:firstLine="422"/>
        <w:spacing w:line="360" w:lineRule="auto"/>
        <w:rPr>
          <w:rFonts w:hint="eastAsia" w:ascii="宋体" w:hAnsi="宋体" w:eastAsia="宋体" w:cs="宋体"/>
          <w:b/>
          <w:szCs w:val="21"/>
          <w:highlight w:val="none"/>
        </w:rPr>
      </w:pPr>
      <w:r/>
      <w:bookmarkStart w:id="104" w:name="_Toc16288"/>
      <w:r>
        <w:rPr>
          <w:rFonts w:hint="eastAsia" w:ascii="宋体" w:hAnsi="宋体" w:eastAsia="宋体" w:cs="宋体"/>
          <w:b/>
          <w:szCs w:val="21"/>
          <w:highlight w:val="none"/>
        </w:rPr>
        <w:t xml:space="preserve">19.3 对投标文件的符合性审查</w:t>
      </w:r>
      <w:bookmarkEnd w:id="104"/>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19.3.1符合性检查：依据招标文件的规定，从投标文件的有效性（签署情况等）、完整性和对招标文件的响应程度（是否存在重大负偏离等）进行审查，以确定是否对招标文件的实质性要求作出响应。实质性要求是指本招标文件中用带星号（“★”）的商务和技术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19.3.3评审过程中出现下列情形之一的，评审委员会应当启动异常低价投标（响应）审查程序： </w:t>
      </w:r>
      <w:r/>
    </w:p>
    <w:p>
      <w:pPr>
        <w:ind w:firstLine="420"/>
        <w:spacing w:line="360" w:lineRule="auto"/>
        <w:shd w:val="clear" w:color="auto" w:fill="ffffff"/>
        <w:widowControl/>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19.3.3.1投标（响应）报价低于全部通过符合性审查供应商投标（响应）报价平均值50%的，即投标（响应）报价&lt;全部通过符合性审查供应商投标（响应）报价平均值×50%；</w:t>
      </w:r>
      <w:r/>
    </w:p>
    <w:p>
      <w:pPr>
        <w:ind w:firstLine="420"/>
        <w:spacing w:line="360" w:lineRule="auto"/>
        <w:shd w:val="clear" w:color="auto" w:fill="ffffff"/>
        <w:widowControl/>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19.3.3.2投标（响应）报价低于通过符合性审查的次低报价供应商投标（响应）报价50%的，即投标（响应）报价&lt;通过符合性审查的次低报价供应商投标（响应）报价×50%；</w:t>
      </w:r>
      <w:r/>
    </w:p>
    <w:p>
      <w:pPr>
        <w:ind w:firstLine="420"/>
        <w:spacing w:line="360" w:lineRule="auto"/>
        <w:shd w:val="clear" w:color="auto" w:fill="ffffff"/>
        <w:widowControl/>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19.3.3.3投标（响应）报价低于采购项目最高限价45%的，即投标（响应）报价&lt;采购项目最高限价×45%；</w:t>
      </w:r>
      <w:r/>
    </w:p>
    <w:p>
      <w:pPr>
        <w:ind w:firstLine="420"/>
        <w:spacing w:line="360" w:lineRule="auto"/>
        <w:shd w:val="clear" w:color="auto" w:fill="ffffff"/>
        <w:widowControl/>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19.3.3.4评审委员会认定的供应商报价过低、有可能影响产品质量或者不能诚信履约的其他情形。 </w:t>
      </w:r>
      <w:r/>
    </w:p>
    <w:p>
      <w:pPr>
        <w:ind w:firstLine="420"/>
        <w:spacing w:line="360" w:lineRule="auto"/>
        <w:shd w:val="clear" w:color="auto" w:fill="ffffff"/>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评审时，投标文件出现不一致情形的，按下列规定执行：</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投标文件报价出现前后不一致的，按照下列规定修正：</w:t>
      </w:r>
      <w:r>
        <w:rPr>
          <w:rFonts w:hint="eastAsia" w:ascii="宋体" w:hAnsi="宋体" w:eastAsia="宋体" w:cs="宋体"/>
          <w:bCs/>
          <w:szCs w:val="21"/>
          <w:highlight w:val="none"/>
          <w:lang w:val="en-US" w:eastAsia="zh-CN"/>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99"/>
      <w:r/>
      <w:r/>
    </w:p>
    <w:p>
      <w:pPr>
        <w:pStyle w:val="1124"/>
        <w:ind w:left="0" w:firstLine="422"/>
        <w:jc w:val="both"/>
        <w:spacing w:line="360" w:lineRule="auto"/>
        <w:rPr>
          <w:rFonts w:hint="eastAsia" w:ascii="宋体" w:hAnsi="宋体" w:eastAsia="宋体" w:cs="宋体"/>
          <w:b/>
          <w:bCs/>
          <w:sz w:val="21"/>
          <w:szCs w:val="21"/>
          <w:highlight w:val="none"/>
        </w:rPr>
      </w:pPr>
      <w:r/>
      <w:bookmarkStart w:id="105" w:name="_Toc26857"/>
      <w:r/>
      <w:bookmarkStart w:id="106" w:name="_Toc13685"/>
      <w:r>
        <w:rPr>
          <w:rFonts w:hint="eastAsia" w:ascii="宋体" w:hAnsi="宋体" w:eastAsia="宋体" w:cs="宋体"/>
          <w:b/>
          <w:bCs/>
          <w:sz w:val="21"/>
          <w:szCs w:val="21"/>
          <w:highlight w:val="none"/>
        </w:rPr>
        <w:t xml:space="preserve">19.4投标文件的澄清</w:t>
      </w:r>
      <w:bookmarkEnd w:id="105"/>
      <w:r>
        <w:rPr>
          <w:rFonts w:hint="eastAsia" w:ascii="宋体" w:hAnsi="宋体" w:eastAsia="宋体" w:cs="宋体"/>
          <w:b/>
          <w:bCs/>
          <w:sz w:val="21"/>
          <w:szCs w:val="21"/>
          <w:highlight w:val="none"/>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6"/>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19.5比较与评价</w:t>
      </w:r>
      <w:r/>
    </w:p>
    <w:p>
      <w:pPr>
        <w:ind w:firstLine="420"/>
        <w:spacing w:line="360" w:lineRule="auto"/>
        <w:tabs>
          <w:tab w:val="left" w:pos="136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19.5.5评标方法和评标标准详见文件第三章。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w:t>
      </w:r>
      <w:r>
        <w:rPr>
          <w:rFonts w:hint="eastAsia" w:ascii="宋体" w:hAnsi="宋体" w:cs="宋体"/>
          <w:bCs/>
          <w:szCs w:val="21"/>
          <w:highlight w:val="none"/>
          <w:lang w:eastAsia="zh-CN"/>
        </w:rPr>
        <w:t xml:space="preserve">中标人</w:t>
      </w:r>
      <w:r>
        <w:rPr>
          <w:rFonts w:hint="eastAsia" w:ascii="宋体" w:hAnsi="宋体" w:eastAsia="宋体" w:cs="宋体"/>
          <w:bCs/>
          <w:szCs w:val="21"/>
          <w:highlight w:val="none"/>
        </w:rPr>
        <w:t xml:space="preserve">推荐资格；评审得分相同的，取技术分最高者；均相同时，由评标委员会集体决定一个供应商获得</w:t>
      </w:r>
      <w:r>
        <w:rPr>
          <w:rFonts w:hint="eastAsia" w:ascii="宋体" w:hAnsi="宋体" w:cs="宋体"/>
          <w:bCs/>
          <w:szCs w:val="21"/>
          <w:highlight w:val="none"/>
          <w:lang w:eastAsia="zh-CN"/>
        </w:rPr>
        <w:t xml:space="preserve">中标人</w:t>
      </w:r>
      <w:r>
        <w:rPr>
          <w:rFonts w:hint="eastAsia" w:ascii="宋体" w:hAnsi="宋体" w:eastAsia="宋体" w:cs="宋体"/>
          <w:bCs/>
          <w:szCs w:val="21"/>
          <w:highlight w:val="none"/>
        </w:rPr>
        <w:t xml:space="preserve">推荐资格，或采取随机抽取方式确定，其他同品牌供应商不作为中标候选人。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bCs/>
          <w:szCs w:val="21"/>
          <w:highlight w:val="none"/>
        </w:rPr>
        <w:t xml:space="preserve">（2）</w:t>
      </w:r>
      <w:r>
        <w:rPr>
          <w:rFonts w:hint="eastAsia" w:ascii="宋体" w:hAnsi="宋体" w:eastAsia="宋体" w:cs="宋体"/>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（3）供应商不具备招标文件中规定资格要求的</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（4）供应商在报价时采用选择性报价；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5</w:t>
      </w:r>
      <w:r>
        <w:rPr>
          <w:rFonts w:hint="eastAsia" w:ascii="宋体" w:hAnsi="宋体" w:eastAsia="宋体" w:cs="宋体"/>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（6）投标文件含有采购人不能接受的附加条件的；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7</w:t>
      </w:r>
      <w:r>
        <w:rPr>
          <w:rFonts w:hint="eastAsia" w:ascii="宋体" w:hAnsi="宋体" w:eastAsia="宋体" w:cs="宋体"/>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（8）不同供应商委托同一单位或者个人办理投标事宜；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（11）不同供应商的投标文件相互混装；</w:t>
      </w:r>
      <w:r>
        <w:rPr>
          <w:rFonts w:hint="eastAsia" w:ascii="宋体" w:hAnsi="宋体" w:eastAsia="宋体" w:cs="宋体"/>
          <w:szCs w:val="21"/>
          <w:highlight w:val="none"/>
          <w:lang w:val="en-US" w:eastAsia="zh-CN"/>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（12）不同供应商的法定代表人或委托代理人有夫妻、直系血亲关系的；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（13）不同供应商的负责人为同一人或者存在控股、管理关系的；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15</w:t>
      </w:r>
      <w:r>
        <w:rPr>
          <w:rFonts w:hint="eastAsia" w:ascii="宋体" w:hAnsi="宋体" w:eastAsia="宋体" w:cs="宋体"/>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（16）未通过符合性检查的；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17</w:t>
      </w:r>
      <w:r>
        <w:rPr>
          <w:rFonts w:hint="eastAsia" w:ascii="宋体" w:hAnsi="宋体" w:eastAsia="宋体" w:cs="宋体"/>
          <w:szCs w:val="21"/>
          <w:highlight w:val="none"/>
        </w:rPr>
        <w:t xml:space="preserve">）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18</w:t>
      </w:r>
      <w:r>
        <w:rPr>
          <w:rFonts w:hint="eastAsia" w:ascii="宋体" w:hAnsi="宋体" w:eastAsia="宋体" w:cs="宋体"/>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19</w:t>
      </w:r>
      <w:r>
        <w:rPr>
          <w:rFonts w:hint="eastAsia" w:ascii="宋体" w:hAnsi="宋体" w:eastAsia="宋体" w:cs="宋体"/>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19.7 </w:t>
      </w:r>
      <w:r>
        <w:rPr>
          <w:rFonts w:hint="eastAsia" w:ascii="宋体" w:hAnsi="宋体" w:eastAsia="宋体" w:cs="宋体"/>
          <w:b/>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（3）因重大变故，采购任务取消的；</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在评标期间，通过资格审查或符合性审查的投标人不足3家情形的，比照</w:t>
      </w:r>
      <w:r>
        <w:rPr>
          <w:rFonts w:hint="eastAsia" w:ascii="宋体" w:hAnsi="宋体" w:eastAsia="宋体" w:cs="宋体"/>
          <w:b/>
          <w:bCs/>
          <w:szCs w:val="21"/>
          <w:highlight w:val="none"/>
        </w:rPr>
        <w:t xml:space="preserve">19.3.5</w:t>
      </w:r>
      <w:r>
        <w:rPr>
          <w:rFonts w:hint="eastAsia" w:ascii="宋体" w:hAnsi="宋体" w:eastAsia="宋体" w:cs="宋体"/>
          <w:szCs w:val="21"/>
          <w:highlight w:val="none"/>
        </w:rPr>
        <w:t xml:space="preserve">款执行。</w:t>
      </w:r>
      <w:bookmarkEnd w:id="100"/>
      <w:r/>
      <w:bookmarkEnd w:id="101"/>
      <w:r/>
      <w:bookmarkEnd w:id="102"/>
      <w:r/>
      <w:bookmarkEnd w:id="103"/>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107" w:name="_Toc18327"/>
      <w:r/>
      <w:bookmarkStart w:id="108" w:name="_Toc12294"/>
      <w:r>
        <w:rPr>
          <w:rFonts w:hint="eastAsia" w:ascii="宋体" w:hAnsi="宋体" w:eastAsia="宋体" w:cs="宋体"/>
          <w:b/>
          <w:bCs/>
          <w:color w:val="000000"/>
          <w:szCs w:val="21"/>
          <w:highlight w:val="none"/>
        </w:rPr>
        <w:t xml:space="preserve">六、授标</w:t>
      </w:r>
      <w:bookmarkEnd w:id="107"/>
      <w:r/>
      <w:bookmarkEnd w:id="108"/>
      <w:r/>
      <w:r/>
    </w:p>
    <w:p>
      <w:pPr>
        <w:pStyle w:val="1124"/>
        <w:ind w:left="0" w:firstLine="422"/>
        <w:jc w:val="both"/>
        <w:spacing w:line="360" w:lineRule="auto"/>
        <w:rPr>
          <w:rFonts w:hint="eastAsia" w:ascii="宋体" w:hAnsi="宋体" w:eastAsia="宋体" w:cs="宋体"/>
          <w:b/>
          <w:bCs/>
          <w:color w:val="000000"/>
          <w:sz w:val="21"/>
          <w:szCs w:val="21"/>
          <w:highlight w:val="none"/>
          <w:lang w:eastAsia="zh-CN"/>
        </w:rPr>
      </w:pPr>
      <w:r/>
      <w:bookmarkStart w:id="109" w:name="_Toc27522"/>
      <w:r/>
      <w:bookmarkStart w:id="110" w:name="_Toc28693"/>
      <w:r>
        <w:rPr>
          <w:rFonts w:hint="eastAsia" w:ascii="宋体" w:hAnsi="宋体" w:eastAsia="宋体" w:cs="宋体"/>
          <w:b/>
          <w:bCs/>
          <w:color w:val="000000"/>
          <w:sz w:val="21"/>
          <w:szCs w:val="21"/>
          <w:highlight w:val="none"/>
        </w:rPr>
        <w:t xml:space="preserve">20.确定</w:t>
      </w:r>
      <w:bookmarkEnd w:id="109"/>
      <w:r/>
      <w:bookmarkEnd w:id="110"/>
      <w:r/>
      <w:bookmarkStart w:id="111" w:name="_Toc7377"/>
      <w:r>
        <w:rPr>
          <w:rFonts w:hint="eastAsia" w:ascii="宋体" w:hAnsi="宋体" w:eastAsia="宋体" w:cs="宋体"/>
          <w:b/>
          <w:bCs/>
          <w:color w:val="000000"/>
          <w:sz w:val="21"/>
          <w:szCs w:val="21"/>
          <w:highlight w:val="none"/>
          <w:lang w:eastAsia="zh-CN"/>
        </w:rPr>
        <w:t xml:space="preserve">中标人</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20.2中标人确定后，在南京公共采购信息网</w:t>
      </w:r>
      <w:r>
        <w:rPr>
          <w:rStyle w:val="979"/>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江苏政府采购网</w:t>
      </w:r>
      <w:r>
        <w:rPr>
          <w:rFonts w:hint="eastAsia" w:ascii="宋体" w:hAnsi="宋体" w:eastAsia="宋体" w:cs="宋体"/>
          <w:szCs w:val="21"/>
          <w:highlight w:val="none"/>
        </w:rPr>
        <w:t xml:space="preserve">上公告中标结果，中标公告期为1个工作日，公告的同时向</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发出中标通知书。</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20.3</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在收到中标通知书后，应郑重保证履行</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20.4中标通知书对采购人和</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具有同等法律效力。</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22.1采购人应当自中标通知书发出之日起三十日内，按照招标文件和</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投标文件的约定，与</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签订书面合同。所签订的合同不得对招标文件和</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投标文件作实质性修改。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22.2招标文件、</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22.4 </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因不可抗力或者自身原因不能履行采购合同的，采购人可以与排位在</w:t>
      </w:r>
      <w:r>
        <w:rPr>
          <w:rFonts w:hint="eastAsia" w:ascii="宋体" w:hAnsi="宋体" w:cs="宋体"/>
          <w:szCs w:val="21"/>
          <w:highlight w:val="none"/>
          <w:lang w:eastAsia="zh-CN"/>
        </w:rPr>
        <w:t xml:space="preserve">中标人</w:t>
      </w:r>
      <w:r>
        <w:rPr>
          <w:rFonts w:hint="eastAsia" w:ascii="宋体" w:hAnsi="宋体" w:eastAsia="宋体" w:cs="宋体"/>
          <w:szCs w:val="21"/>
          <w:highlight w:val="none"/>
        </w:rPr>
        <w:t xml:space="preserve">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22.6 采购人与中标人应当根据合同的约定依法履行合同义务。</w:t>
      </w:r>
      <w:bookmarkEnd w:id="111"/>
      <w:r/>
      <w:r/>
    </w:p>
    <w:p>
      <w:pPr>
        <w:ind w:firstLine="420"/>
        <w:spacing w:line="360" w:lineRule="auto"/>
        <w:shd w:val="clear" w:color="auto" w:fill="ffffff"/>
        <w:widowControl/>
        <w:rPr>
          <w:rFonts w:hint="default" w:ascii="宋体" w:hAnsi="宋体" w:eastAsia="仿宋" w:cs="宋体"/>
          <w:b/>
          <w:bCs/>
          <w:color w:val="000000"/>
          <w:szCs w:val="21"/>
          <w:highlight w:val="none"/>
          <w:lang w:val="en-US" w:eastAsia="zh-CN"/>
        </w:rPr>
      </w:pPr>
      <w:r>
        <w:rPr>
          <w:rFonts w:hint="eastAsia" w:ascii="宋体" w:hAnsi="宋体" w:eastAsia="宋体" w:cs="宋体"/>
          <w:b/>
          <w:bCs/>
          <w:szCs w:val="21"/>
          <w:highlight w:val="none"/>
        </w:rPr>
        <w:t xml:space="preserve">22.7 履约保证金：</w:t>
      </w:r>
      <w:bookmarkStart w:id="112" w:name="_Toc15509"/>
      <w:r/>
      <w:bookmarkStart w:id="113" w:name="_Toc415"/>
      <w:r>
        <w:rPr>
          <w:rFonts w:hint="eastAsia" w:ascii="宋体" w:hAnsi="宋体" w:cs="宋体"/>
          <w:szCs w:val="21"/>
          <w:highlight w:val="none"/>
          <w:lang w:val="en-US" w:eastAsia="zh-CN"/>
        </w:rPr>
        <w:t xml:space="preserve">本项目无需履约保证金</w:t>
      </w:r>
      <w:r>
        <w:rPr>
          <w:rFonts w:hint="eastAsia" w:ascii="宋体" w:hAnsi="宋体" w:eastAsia="宋体" w:cs="宋体"/>
          <w:szCs w:val="21"/>
          <w:highlight w:val="none"/>
          <w:lang w:val="en-US" w:eastAsia="zh-CN"/>
        </w:rPr>
        <w:t xml:space="preserve">。</w:t>
      </w:r>
      <w:r/>
    </w:p>
    <w:p>
      <w:pPr>
        <w:pStyle w:val="1124"/>
        <w:ind w:left="420" w:firstLine="0"/>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23.招标代理服务费</w:t>
      </w:r>
      <w:bookmarkEnd w:id="112"/>
      <w:r/>
      <w:bookmarkEnd w:id="113"/>
      <w:r/>
      <w:r/>
    </w:p>
    <w:p>
      <w:pPr>
        <w:spacing w:line="360" w:lineRule="auto"/>
        <w:rPr>
          <w:rFonts w:hint="eastAsia" w:ascii="宋体" w:hAnsi="宋体" w:eastAsia="宋体" w:cs="宋体"/>
          <w:szCs w:val="21"/>
          <w:highlight w:val="none"/>
          <w:lang w:val="zh-CN"/>
        </w:rPr>
      </w:pPr>
      <w:r>
        <w:rPr>
          <w:rFonts w:hint="eastAsia" w:ascii="宋体" w:hAnsi="宋体" w:eastAsia="宋体" w:cs="宋体"/>
          <w:bCs/>
          <w:szCs w:val="21"/>
          <w:highlight w:val="none"/>
        </w:rPr>
        <w:t xml:space="preserve">    23.1 </w:t>
      </w:r>
      <w:r>
        <w:rPr>
          <w:rFonts w:hint="eastAsia" w:ascii="宋体" w:hAnsi="宋体" w:eastAsia="宋体" w:cs="宋体"/>
          <w:szCs w:val="21"/>
          <w:highlight w:val="none"/>
          <w:lang w:val="zh-CN"/>
        </w:rPr>
        <w:t xml:space="preserve">领取中标通知时，中标人向采购代理机构一次性付清。</w:t>
      </w:r>
      <w:r/>
    </w:p>
    <w:p>
      <w:pPr>
        <w:pStyle w:val="955"/>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23.2</w:t>
      </w:r>
      <w:r>
        <w:rPr>
          <w:rFonts w:hint="eastAsia" w:ascii="宋体" w:hAnsi="宋体" w:eastAsia="宋体" w:cs="宋体"/>
          <w:szCs w:val="21"/>
          <w:highlight w:val="none"/>
        </w:rPr>
        <w:t xml:space="preserve">招标代理服务费：本次招标，中标人</w:t>
      </w:r>
      <w:r>
        <w:rPr>
          <w:rFonts w:hint="eastAsia" w:ascii="宋体" w:hAnsi="宋体" w:eastAsia="宋体" w:cs="宋体"/>
          <w:szCs w:val="21"/>
          <w:highlight w:val="none"/>
          <w:lang w:val="en-US" w:eastAsia="zh-CN"/>
        </w:rPr>
        <w:t xml:space="preserve">按原(计价格【2002】1980号)文件规定收费标准</w:t>
      </w:r>
      <w:r>
        <w:rPr>
          <w:rFonts w:hint="eastAsia" w:hAnsi="宋体" w:cs="宋体"/>
          <w:szCs w:val="21"/>
          <w:highlight w:val="none"/>
          <w:lang w:val="en-US" w:eastAsia="zh-CN"/>
        </w:rPr>
        <w:t xml:space="preserve">支付</w:t>
      </w:r>
      <w:r>
        <w:rPr>
          <w:rFonts w:hint="eastAsia" w:ascii="宋体" w:hAnsi="宋体" w:eastAsia="宋体" w:cs="宋体"/>
          <w:szCs w:val="21"/>
          <w:highlight w:val="none"/>
          <w:lang w:val="en-US" w:eastAsia="zh-CN"/>
        </w:rPr>
        <w:t xml:space="preserve">中标服务费。</w:t>
      </w:r>
      <w:r>
        <w:rPr>
          <w:rFonts w:hint="eastAsia" w:ascii="宋体" w:hAnsi="宋体" w:eastAsia="宋体" w:cs="宋体"/>
          <w:szCs w:val="21"/>
          <w:highlight w:val="none"/>
        </w:rPr>
        <w:t xml:space="preserve">各投标供应商应将招标代理服务费自行考虑包含在投标报价中，本项费用无需在投标报价表中单列。</w:t>
      </w:r>
      <w:r/>
    </w:p>
    <w:p>
      <w:pPr>
        <w:pStyle w:val="955"/>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     23.3</w:t>
      </w:r>
      <w:r>
        <w:rPr>
          <w:rFonts w:hint="eastAsia" w:ascii="宋体" w:hAnsi="宋体" w:eastAsia="宋体" w:cs="宋体"/>
          <w:szCs w:val="21"/>
          <w:highlight w:val="none"/>
        </w:rPr>
        <w:t xml:space="preserve">服务费交纳账户：苏美达国际技术贸易有限公司</w:t>
      </w:r>
      <w:r/>
    </w:p>
    <w:p>
      <w:pPr>
        <w:pStyle w:val="955"/>
        <w:ind w:firstLine="63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账号：7321010182300013675　　　</w:t>
      </w:r>
      <w:r/>
    </w:p>
    <w:p>
      <w:pPr>
        <w:pStyle w:val="1122"/>
        <w:ind w:firstLine="630"/>
        <w:rPr>
          <w:rFonts w:hint="eastAsia" w:ascii="宋体" w:hAnsi="宋体" w:eastAsia="宋体" w:cs="宋体"/>
          <w:sz w:val="21"/>
          <w:highlight w:val="none"/>
        </w:rPr>
      </w:pPr>
      <w:r>
        <w:rPr>
          <w:rFonts w:hint="eastAsia" w:ascii="宋体" w:hAnsi="宋体" w:eastAsia="宋体" w:cs="宋体"/>
          <w:sz w:val="21"/>
          <w:highlight w:val="none"/>
        </w:rPr>
        <w:t xml:space="preserve">开户银行：中信南京分行营业部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114" w:name="_Toc5784"/>
      <w:r>
        <w:rPr>
          <w:rFonts w:hint="eastAsia" w:ascii="宋体" w:hAnsi="宋体" w:eastAsia="宋体" w:cs="宋体"/>
          <w:b/>
          <w:bCs/>
          <w:color w:val="000000"/>
          <w:szCs w:val="21"/>
          <w:highlight w:val="none"/>
        </w:rPr>
        <w:t xml:space="preserve">七、质疑</w:t>
      </w:r>
      <w:bookmarkEnd w:id="114"/>
      <w:r>
        <w:rPr>
          <w:rFonts w:hint="eastAsia" w:ascii="宋体" w:hAnsi="宋体" w:eastAsia="宋体" w:cs="宋体"/>
          <w:b/>
          <w:bCs/>
          <w:color w:val="000000"/>
          <w:szCs w:val="21"/>
          <w:highlight w:val="none"/>
        </w:rPr>
        <w:t xml:space="preserve">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szCs w:val="21"/>
          <w:highlight w:val="none"/>
        </w:rPr>
        <w:t xml:space="preserve">修改理由</w:t>
      </w:r>
      <w:r>
        <w:rPr>
          <w:rFonts w:hint="eastAsia" w:ascii="宋体" w:hAnsi="宋体" w:eastAsia="宋体" w:cs="宋体"/>
          <w:szCs w:val="21"/>
          <w:highlight w:val="none"/>
        </w:rPr>
        <w:t xml:space="preserve">和</w:t>
      </w:r>
      <w:r>
        <w:rPr>
          <w:rFonts w:hint="eastAsia" w:ascii="宋体" w:hAnsi="宋体" w:eastAsia="宋体" w:cs="宋体"/>
          <w:b/>
          <w:bCs/>
          <w:szCs w:val="21"/>
          <w:highlight w:val="none"/>
        </w:rPr>
        <w:t xml:space="preserve">修改建议</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.6采购代理机构在收到投标商的书面质疑后将及时组织调查核实，在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25.投诉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szCs w:val="21"/>
          <w:highlight w:val="none"/>
        </w:rPr>
        <w:t xml:space="preserve">十五个工作日内</w:t>
      </w:r>
      <w:r>
        <w:rPr>
          <w:rFonts w:hint="eastAsia" w:ascii="宋体" w:hAnsi="宋体" w:eastAsia="宋体" w:cs="宋体"/>
          <w:szCs w:val="21"/>
          <w:highlight w:val="none"/>
        </w:rPr>
        <w:t xml:space="preserve">向采购人同级财政部门投诉。</w:t>
      </w:r>
      <w:r>
        <w:rPr>
          <w:rFonts w:hint="eastAsia" w:ascii="宋体" w:hAnsi="宋体" w:eastAsia="宋体" w:cs="宋体"/>
          <w:b/>
          <w:bCs/>
          <w:szCs w:val="21"/>
          <w:highlight w:val="none"/>
        </w:rPr>
        <w:t xml:space="preserve"> </w:t>
      </w:r>
      <w:r/>
    </w:p>
    <w:p>
      <w:pPr>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3534"/>
        <w:jc w:val="both"/>
        <w:spacing w:line="360" w:lineRule="auto"/>
        <w:rPr>
          <w:rFonts w:hint="eastAsia" w:ascii="宋体" w:hAnsi="宋体" w:eastAsia="宋体" w:cs="宋体"/>
          <w:b/>
          <w:bCs/>
          <w:sz w:val="32"/>
          <w:szCs w:val="32"/>
          <w:highlight w:val="none"/>
        </w:rPr>
      </w:pPr>
      <w:r/>
      <w:bookmarkStart w:id="115" w:name="_Toc668"/>
      <w:r>
        <w:rPr>
          <w:rFonts w:hint="eastAsia" w:ascii="宋体" w:hAnsi="宋体" w:eastAsia="宋体" w:cs="宋体"/>
          <w:b/>
          <w:bCs/>
          <w:sz w:val="32"/>
          <w:szCs w:val="32"/>
          <w:highlight w:val="none"/>
        </w:rPr>
        <w:t xml:space="preserve">第三章 </w:t>
      </w:r>
      <w:bookmarkEnd w:id="115"/>
      <w:r>
        <w:rPr>
          <w:rFonts w:hint="eastAsia" w:ascii="宋体" w:hAnsi="宋体" w:eastAsia="宋体" w:cs="宋体"/>
          <w:b/>
          <w:bCs/>
          <w:sz w:val="32"/>
          <w:szCs w:val="32"/>
          <w:highlight w:val="none"/>
        </w:rPr>
        <w:t xml:space="preserve">评标方法、评分标准</w:t>
      </w:r>
      <w:bookmarkStart w:id="116" w:name="_Toc11059"/>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一、评标办法：</w:t>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1、评标方法采用综合评分法。即在投标文件满足招标文件全部实质性要求，且按照评审因素的量化指标评审得分最高的投标人为中标人的评标方法。（保留小数点后2位）</w:t>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2、综合评分的主要因素为：价格、技术水平、履约能力、售后服务等，对采购文件的响应程度，以及相应的商务标和技术标比重或者分值等。</w:t>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二、政府采购政策执行办法：</w:t>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①对小型和微型企业</w:t>
      </w:r>
      <w:r>
        <w:rPr>
          <w:rFonts w:hint="eastAsia" w:ascii="宋体" w:hAnsi="宋体" w:eastAsia="宋体" w:cs="宋体"/>
          <w:szCs w:val="21"/>
          <w:highlight w:val="none"/>
          <w:lang w:val="en-US" w:eastAsia="zh-CN"/>
        </w:rPr>
        <w:t xml:space="preserve">服务</w:t>
      </w:r>
      <w:r>
        <w:rPr>
          <w:rFonts w:hint="eastAsia" w:ascii="宋体" w:hAnsi="宋体" w:eastAsia="宋体" w:cs="宋体"/>
          <w:szCs w:val="21"/>
          <w:highlight w:val="none"/>
        </w:rPr>
        <w:t xml:space="preserve">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②监狱企业视同小型、微型企业，对其</w:t>
      </w:r>
      <w:r>
        <w:rPr>
          <w:rFonts w:hint="eastAsia" w:ascii="宋体" w:hAnsi="宋体" w:eastAsia="宋体" w:cs="宋体"/>
          <w:szCs w:val="21"/>
          <w:highlight w:val="none"/>
          <w:lang w:val="en-US" w:eastAsia="zh-CN"/>
        </w:rPr>
        <w:t xml:space="preserve">服务</w:t>
      </w:r>
      <w:r>
        <w:rPr>
          <w:rFonts w:hint="eastAsia" w:ascii="宋体" w:hAnsi="宋体" w:eastAsia="宋体" w:cs="宋体"/>
          <w:szCs w:val="21"/>
          <w:highlight w:val="none"/>
        </w:rPr>
        <w:t xml:space="preserve">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③残疾人福利性单位视同小型、微型企业，对其</w:t>
      </w:r>
      <w:r>
        <w:rPr>
          <w:rFonts w:hint="eastAsia" w:ascii="宋体" w:hAnsi="宋体" w:eastAsia="宋体" w:cs="宋体"/>
          <w:szCs w:val="21"/>
          <w:highlight w:val="none"/>
          <w:lang w:val="en-US" w:eastAsia="zh-CN"/>
        </w:rPr>
        <w:t xml:space="preserve">服务</w:t>
      </w:r>
      <w:r>
        <w:rPr>
          <w:rFonts w:hint="eastAsia" w:ascii="宋体" w:hAnsi="宋体" w:eastAsia="宋体" w:cs="宋体"/>
          <w:szCs w:val="21"/>
          <w:highlight w:val="none"/>
        </w:rPr>
        <w:t xml:space="preserve">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同一投标人，上述三项价格扣除优惠不得重复享受。</w:t>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三、评分标准：</w:t>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本次采购的评标方法采用综合评分法，小数点后保留两位，四舍五入。</w:t>
      </w:r>
      <w:r/>
    </w:p>
    <w:tbl>
      <w:tblPr>
        <w:tblStyle w:val="905"/>
        <w:tblW w:w="970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858"/>
        <w:gridCol w:w="6227"/>
        <w:gridCol w:w="920"/>
      </w:tblGrid>
      <w:tr>
        <w:trPr>
          <w:trHeight w:val="722"/>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序号</w:t>
            </w:r>
            <w:r/>
          </w:p>
        </w:tc>
        <w:tc>
          <w:tcPr>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评分因素</w:t>
            </w:r>
            <w:r/>
          </w:p>
        </w:tc>
        <w:tc>
          <w:tcPr>
            <w:tcMar>
              <w:left w:w="108" w:type="dxa"/>
              <w:top w:w="0" w:type="dxa"/>
              <w:right w:w="108" w:type="dxa"/>
              <w:bottom w:w="0" w:type="dxa"/>
            </w:tcMar>
            <w:tcW w:w="622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评审标准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分值</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21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报价</w:t>
            </w:r>
            <w:r/>
          </w:p>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6227" w:type="dxa"/>
            <w:vAlign w:val="center"/>
            <w:textDirection w:val="lrTb"/>
            <w:noWrap w:val="false"/>
          </w:tcPr>
          <w:p>
            <w:pPr>
              <w:spacing w:after="0" w:line="360" w:lineRule="auto"/>
              <w:tabs>
                <w:tab w:val="left" w:pos="840" w:leader="none"/>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价格评审采用低价优先法计算，即满足采购文件要求且价格最低的投标报价为基准价，其价格分为满分。其他供应商的价格分按照下列公式计算。报价得分=(基准价／投标报价)×</w:t>
            </w:r>
            <w:r>
              <w:rPr>
                <w:rFonts w:hint="eastAsia" w:hAnsi="宋体" w:cs="宋体"/>
                <w:sz w:val="21"/>
                <w:szCs w:val="21"/>
                <w:highlight w:val="none"/>
                <w:lang w:val="en-US" w:eastAsia="zh-CN"/>
              </w:rPr>
              <w:t xml:space="preserve">10</w:t>
            </w:r>
            <w:r>
              <w:rPr>
                <w:rFonts w:hint="eastAsia" w:ascii="宋体" w:hAnsi="宋体" w:eastAsia="宋体" w:cs="宋体"/>
                <w:sz w:val="21"/>
                <w:szCs w:val="21"/>
                <w:highlight w:val="none"/>
              </w:rPr>
              <w:t xml:space="preserve">。</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0</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p>
        </w:tc>
        <w:tc>
          <w:tcPr>
            <w:tcMar>
              <w:left w:w="108" w:type="dxa"/>
              <w:top w:w="0" w:type="dxa"/>
              <w:right w:w="108" w:type="dxa"/>
              <w:bottom w:w="0" w:type="dxa"/>
            </w:tcMar>
            <w:tcW w:w="1858" w:type="dxa"/>
            <w:vAlign w:val="center"/>
            <w:textDirection w:val="lrTb"/>
            <w:noWrap w:val="false"/>
          </w:tcPr>
          <w:p>
            <w:pPr>
              <w:pStyle w:val="888"/>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8"/>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8"/>
              <w:ind w:left="0" w:firstLine="0"/>
              <w:jc w:val="center"/>
              <w:spacing w:after="0" w:line="240" w:lineRule="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采购需求响应</w:t>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完全满足招标文件采购需求的得满分</w:t>
            </w:r>
            <w:r>
              <w:rPr>
                <w:rFonts w:hint="eastAsia" w:ascii="宋体" w:hAnsi="宋体" w:cs="宋体"/>
                <w:sz w:val="21"/>
                <w:szCs w:val="21"/>
                <w:highlight w:val="none"/>
                <w:lang w:val="en-US" w:eastAsia="zh-CN"/>
              </w:rPr>
              <w:t xml:space="preserve">26分</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要求</w:t>
            </w:r>
            <w:r>
              <w:rPr>
                <w:rFonts w:hint="eastAsia" w:ascii="宋体" w:hAnsi="宋体" w:eastAsia="宋体" w:cs="宋体"/>
                <w:sz w:val="21"/>
                <w:szCs w:val="21"/>
                <w:highlight w:val="none"/>
              </w:rPr>
              <w:t xml:space="preserve">为实质性要求，不得负偏离</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偏离将导致投标被否决</w:t>
            </w:r>
            <w:r>
              <w:rPr>
                <w:rFonts w:hint="eastAsia" w:ascii="宋体" w:hAnsi="宋体" w:eastAsia="宋体" w:cs="宋体"/>
                <w:sz w:val="21"/>
                <w:szCs w:val="21"/>
                <w:highlight w:val="none"/>
              </w:rPr>
              <w:t xml:space="preserve">；▲参数为重点要求，每负偏离一项扣</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分，其余为一般要求，每负偏离一项扣</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分，扣完为止。</w:t>
            </w:r>
            <w:r/>
          </w:p>
          <w:p>
            <w:pPr>
              <w:spacing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注：参数明确要求提供证明材料的，须按要求在投标文件中提供证明文件等相关材料，且均需在响应偏差表详尽真实的提供偏差情况及证明材料页码，否则视为负偏离。</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eastAsia="宋体" w:cs="宋体"/>
                <w:b/>
                <w:bCs/>
                <w:color w:val="auto"/>
                <w:sz w:val="21"/>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26</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p>
        </w:tc>
        <w:tc>
          <w:tcPr>
            <w:tcMar>
              <w:left w:w="108" w:type="dxa"/>
              <w:top w:w="0" w:type="dxa"/>
              <w:right w:w="108" w:type="dxa"/>
              <w:bottom w:w="0" w:type="dxa"/>
            </w:tcMar>
            <w:tcW w:w="1858" w:type="dxa"/>
            <w:vAlign w:val="center"/>
            <w:textDirection w:val="lrTb"/>
            <w:noWrap w:val="false"/>
          </w:tcPr>
          <w:p>
            <w:pPr>
              <w:pStyle w:val="888"/>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零备件仓库</w:t>
            </w:r>
            <w:r/>
          </w:p>
        </w:tc>
        <w:tc>
          <w:tcPr>
            <w:tcMar>
              <w:left w:w="108" w:type="dxa"/>
              <w:top w:w="0" w:type="dxa"/>
              <w:right w:w="108" w:type="dxa"/>
              <w:bottom w:w="0" w:type="dxa"/>
            </w:tcMar>
            <w:tcW w:w="6227" w:type="dxa"/>
            <w:vAlign w:val="center"/>
            <w:textDirection w:val="lrTb"/>
            <w:noWrap w:val="false"/>
          </w:tcPr>
          <w:p>
            <w:pPr>
              <w:spacing w:after="0" w:line="360" w:lineRule="auto"/>
              <w:tabs>
                <w:tab w:val="left" w:pos="1260" w:leader="none"/>
              </w:tabs>
              <w:rPr>
                <w:rFonts w:hint="eastAsia" w:ascii="宋体" w:hAnsi="宋体" w:eastAsia="宋体" w:cs="宋体"/>
                <w:sz w:val="21"/>
                <w:szCs w:val="21"/>
              </w:rPr>
            </w:pPr>
            <w:r>
              <w:rPr>
                <w:rFonts w:hint="eastAsia" w:ascii="宋体" w:hAnsi="宋体" w:eastAsia="宋体" w:cs="宋体"/>
                <w:sz w:val="21"/>
                <w:szCs w:val="21"/>
              </w:rPr>
              <w:t xml:space="preserve">投标人在国内设有零备件仓库，提供零备件仓库地址及联系人、联系电话备查，提供一个得3分，最多得6分，未提供或提供的资料不全不得分。</w:t>
            </w:r>
            <w:r/>
          </w:p>
          <w:p>
            <w:pPr>
              <w:spacing w:after="0" w:line="360" w:lineRule="auto"/>
              <w:tabs>
                <w:tab w:val="left" w:pos="1260" w:leader="none"/>
              </w:tabs>
              <w:rPr>
                <w:rFonts w:hint="eastAsia" w:ascii="宋体" w:hAnsi="宋体" w:eastAsia="宋体" w:cs="宋体"/>
                <w:sz w:val="21"/>
                <w:szCs w:val="21"/>
                <w:highlight w:val="none"/>
              </w:rPr>
            </w:pPr>
            <w:r>
              <w:rPr>
                <w:rFonts w:hint="eastAsia" w:ascii="宋体" w:hAnsi="宋体" w:eastAsia="宋体" w:cs="宋体"/>
                <w:sz w:val="21"/>
                <w:szCs w:val="21"/>
              </w:rPr>
              <w:t xml:space="preserve">自有仓库须提供仓库不动产产权证（证书上须明确体现投标人名称和面积）；租赁仓库须提供不动产产权证和租赁合同（租赁合同中须明确体现投标人的名称和面积）。投标人如为具备厂家授权的代理商或者与生产厂家签署维修服务合作协议,可使用厂家零件库。</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6</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default"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p>
        </w:tc>
        <w:tc>
          <w:tcPr>
            <w:tcMar>
              <w:left w:w="108" w:type="dxa"/>
              <w:top w:w="0" w:type="dxa"/>
              <w:right w:w="108" w:type="dxa"/>
              <w:bottom w:w="0" w:type="dxa"/>
            </w:tcMar>
            <w:tcW w:w="1858" w:type="dxa"/>
            <w:vAlign w:val="center"/>
            <w:textDirection w:val="lrTb"/>
            <w:noWrap w:val="false"/>
          </w:tcPr>
          <w:p>
            <w:pPr>
              <w:pStyle w:val="888"/>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资质证书</w:t>
            </w:r>
            <w:r/>
          </w:p>
        </w:tc>
        <w:tc>
          <w:tcPr>
            <w:tcMar>
              <w:left w:w="108" w:type="dxa"/>
              <w:top w:w="0" w:type="dxa"/>
              <w:right w:w="108" w:type="dxa"/>
              <w:bottom w:w="0" w:type="dxa"/>
            </w:tcMar>
            <w:tcW w:w="6227" w:type="dxa"/>
            <w:vAlign w:val="center"/>
            <w:textDirection w:val="lrTb"/>
            <w:noWrap w:val="false"/>
          </w:tcPr>
          <w:p>
            <w:pPr>
              <w:spacing w:after="0" w:line="360" w:lineRule="auto"/>
              <w:tabs>
                <w:tab w:val="left" w:pos="1260" w:leader="none"/>
              </w:tabs>
              <w:rPr>
                <w:rFonts w:hint="eastAsia" w:ascii="宋体" w:hAnsi="宋体" w:eastAsia="宋体" w:cs="宋体"/>
                <w:sz w:val="21"/>
                <w:szCs w:val="21"/>
              </w:rPr>
            </w:pPr>
            <w:r>
              <w:rPr>
                <w:rFonts w:hint="eastAsia" w:ascii="宋体" w:hAnsi="宋体" w:cs="宋体"/>
                <w:sz w:val="21"/>
                <w:szCs w:val="21"/>
              </w:rPr>
              <w:t xml:space="preserve">投标人具备生产厂家的维修授权，或者与生产厂家签署维修服务合作协议，得5分。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投标人为本次维保产品的生产厂家</w:t>
            </w: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制造商，可视为具有对应产品维修授权，并可得分。</w:t>
            </w:r>
            <w:r>
              <w:rPr>
                <w:rFonts w:hint="eastAsia" w:ascii="宋体" w:hAnsi="宋体" w:cs="宋体"/>
                <w:sz w:val="21"/>
                <w:szCs w:val="21"/>
                <w:lang w:eastAsia="zh-CN"/>
              </w:rPr>
              <w:t xml:space="preserve">）</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5</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default"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p>
        </w:tc>
        <w:tc>
          <w:tcPr>
            <w:tcMar>
              <w:left w:w="108" w:type="dxa"/>
              <w:top w:w="0" w:type="dxa"/>
              <w:right w:w="108" w:type="dxa"/>
              <w:bottom w:w="0" w:type="dxa"/>
            </w:tcMar>
            <w:tcW w:w="1858" w:type="dxa"/>
            <w:vAlign w:val="center"/>
            <w:textDirection w:val="lrTb"/>
            <w:noWrap w:val="false"/>
          </w:tcPr>
          <w:p>
            <w:pPr>
              <w:pStyle w:val="888"/>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维保工程师</w:t>
            </w:r>
            <w:r/>
          </w:p>
        </w:tc>
        <w:tc>
          <w:tcPr>
            <w:tcMar>
              <w:left w:w="108" w:type="dxa"/>
              <w:top w:w="0" w:type="dxa"/>
              <w:right w:w="108" w:type="dxa"/>
              <w:bottom w:w="0" w:type="dxa"/>
            </w:tcMar>
            <w:tcW w:w="6227" w:type="dxa"/>
            <w:vAlign w:val="center"/>
            <w:textDirection w:val="lrTb"/>
            <w:noWrap w:val="false"/>
          </w:tcPr>
          <w:p>
            <w:pPr>
              <w:spacing w:after="0" w:line="360" w:lineRule="auto"/>
              <w:tabs>
                <w:tab w:val="left" w:pos="1260" w:leader="none"/>
              </w:tabs>
              <w:rPr>
                <w:rFonts w:hint="eastAsia" w:ascii="宋体" w:hAnsi="宋体" w:cs="宋体"/>
                <w:sz w:val="21"/>
                <w:szCs w:val="21"/>
              </w:rPr>
            </w:pPr>
            <w:r>
              <w:rPr>
                <w:rFonts w:hint="eastAsia" w:ascii="宋体" w:hAnsi="宋体" w:cs="宋体"/>
                <w:sz w:val="21"/>
                <w:szCs w:val="21"/>
                <w:lang w:val="en-US" w:eastAsia="zh-CN"/>
              </w:rPr>
              <w:t xml:space="preserve">供应商在江苏省内驻点CT维修工程师不少于5名，并持有设备制造商出具的同类型CT维修证书。</w:t>
            </w:r>
            <w:r>
              <w:rPr>
                <w:rFonts w:hint="eastAsia" w:ascii="宋体" w:hAnsi="宋体" w:cs="宋体"/>
                <w:sz w:val="21"/>
                <w:szCs w:val="21"/>
              </w:rPr>
              <w:t xml:space="preserve">每一名得2分，最高得</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rPr>
                <w:rFonts w:hint="eastAsia" w:ascii="宋体" w:hAnsi="宋体" w:cs="宋体"/>
                <w:sz w:val="21"/>
                <w:szCs w:val="21"/>
                <w:lang w:val="en-US" w:eastAsia="zh-CN"/>
              </w:rPr>
              <w:t xml:space="preserve">如供应商为具备厂家授权的代理商或者与生产厂家签订维修服务合作协议的，需提供厂家授权书或者与生产厂家签署维修服务合作协议及工程师维修培训证书复印件；如供应商为非上述情形的，需要供应商近3个月期间任意一个月为工程师缴纳的社保的证明材料及工程师维修培训证书复印件。</w:t>
            </w:r>
            <w:r>
              <w:rPr>
                <w:rFonts w:hint="eastAsia" w:ascii="宋体" w:hAnsi="宋体" w:cs="宋体"/>
                <w:sz w:val="21"/>
                <w:szCs w:val="21"/>
              </w:rPr>
              <w:t xml:space="preserve">）</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10</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w:t>
            </w:r>
            <w:r/>
          </w:p>
        </w:tc>
        <w:tc>
          <w:tcPr>
            <w:tcMar>
              <w:left w:w="108" w:type="dxa"/>
              <w:top w:w="0" w:type="dxa"/>
              <w:right w:w="108" w:type="dxa"/>
              <w:bottom w:w="0" w:type="dxa"/>
            </w:tcMar>
            <w:tcW w:w="1858" w:type="dxa"/>
            <w:vAlign w:val="center"/>
            <w:textDirection w:val="lrTb"/>
            <w:noWrap w:val="false"/>
          </w:tcPr>
          <w:p>
            <w:pPr>
              <w:pStyle w:val="888"/>
              <w:ind w:left="0" w:firstLine="0"/>
              <w:jc w:val="center"/>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888"/>
              <w:ind w:left="0" w:firstLine="0"/>
              <w:jc w:val="center"/>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888"/>
              <w:ind w:left="0" w:firstLine="0"/>
              <w:jc w:val="center"/>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888"/>
              <w:ind w:left="0" w:firstLine="0"/>
              <w:jc w:val="center"/>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888"/>
              <w:ind w:left="0" w:firstLine="0"/>
              <w:jc w:val="center"/>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888"/>
              <w:ind w:left="0" w:firstLine="0"/>
              <w:jc w:val="center"/>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888"/>
              <w:ind w:left="0" w:firstLine="0"/>
              <w:jc w:val="center"/>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888"/>
              <w:ind w:left="0" w:firstLine="0"/>
              <w:jc w:val="center"/>
              <w:spacing w:after="0" w:line="24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维保方案</w:t>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根据项目需求提供维保的项目管理、项目</w:t>
            </w:r>
            <w:r>
              <w:rPr>
                <w:rFonts w:hint="eastAsia" w:ascii="宋体" w:hAnsi="宋体" w:eastAsia="宋体" w:cs="宋体"/>
                <w:sz w:val="21"/>
                <w:szCs w:val="21"/>
                <w:highlight w:val="none"/>
              </w:rPr>
              <w:t xml:space="preserve">实施流程及进度安排、对采购单位工程师及使用科室的培训计划安排、维保措施、为项目配备合理技术支持的方案（包含但不限于），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表述完整充实、方案表述清晰细化、方案计划逻辑严谨，进度安排科学合理，方案实际操作可行有效，采购人工程师及使用科室的培训安排合理，流程严谨，维保措施全面，技术支持</w:t>
            </w:r>
            <w:r>
              <w:rPr>
                <w:rFonts w:hint="eastAsia" w:ascii="宋体" w:hAnsi="宋体" w:eastAsia="宋体" w:cs="宋体"/>
                <w:sz w:val="21"/>
                <w:szCs w:val="21"/>
                <w:highlight w:val="none"/>
              </w:rPr>
              <w:t xml:space="preserve">好，满足采购需求的得7分；表述比较完整充实、方案表述比较清晰细化、方案计划比较逻辑严谨，进度安排较科学合理，方案实际操作比较可行有效，采购人工程师及使用科室的培训安排比较合理，流程比较严谨，维保措施比较全面，技术支持较好的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1分；与本项目不符合或不提供不得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10</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7</w:t>
            </w:r>
            <w:r/>
          </w:p>
        </w:tc>
        <w:tc>
          <w:tcPr>
            <w:tcMar>
              <w:left w:w="108" w:type="dxa"/>
              <w:top w:w="0" w:type="dxa"/>
              <w:right w:w="108" w:type="dxa"/>
              <w:bottom w:w="0" w:type="dxa"/>
            </w:tcMar>
            <w:tcW w:w="1858" w:type="dxa"/>
            <w:vAlign w:val="center"/>
            <w:textDirection w:val="lrTb"/>
            <w:noWrap w:val="false"/>
          </w:tcPr>
          <w:p>
            <w:pPr>
              <w:pStyle w:val="888"/>
              <w:ind w:left="0" w:firstLine="0"/>
              <w:jc w:val="center"/>
              <w:spacing w:after="0" w:line="24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拟派人员的管理制度及安全管理方案</w:t>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Arial" w:hAnsi="Arial" w:eastAsia="宋体" w:cs="Arial"/>
                <w:sz w:val="21"/>
                <w:szCs w:val="21"/>
                <w:highlight w:val="none"/>
              </w:rPr>
            </w:pPr>
            <w:r>
              <w:rPr>
                <w:rFonts w:hint="eastAsia" w:ascii="宋体" w:hAnsi="宋体" w:cs="宋体"/>
                <w:sz w:val="21"/>
                <w:szCs w:val="21"/>
              </w:rPr>
              <w:t xml:space="preserve">根据项目需求制定拟派人员的管理制度及安全管理方案，管理制度、人员培训、人员资质、人员安排、人员服务能力、人员安全管理的方案（包含但不限于），根据其方案的内容完善具体、人员安排合理、分工明确、人员管理措施有效、人员资质强且服务经验丰富、人员培训定期有效、人员安全保障能力好，优于采购需求的得10分；方案的内容比</w:t>
            </w:r>
            <w:r>
              <w:rPr>
                <w:rFonts w:hint="eastAsia" w:ascii="宋体" w:hAnsi="宋体" w:cs="宋体"/>
                <w:sz w:val="21"/>
                <w:szCs w:val="21"/>
              </w:rPr>
              <w:t xml:space="preserve">较完善具体、人员安排比较合理、分工比较明确、人员管理措施比较有效、人员资质较强且服务经验比较丰富、人员培训规律有效、人员安全保障能力较好，基本满足采购需求或经过优化可以满足采购需求的得7分；方案的内容一般完善具体、人员安排一般合理、分工一般明确、人员管理措施一般有效、人员资质一般且服务经验一般、人员培训一般有效、人员安全保障能力一般的得4分；方案的内容不太完善、人员安排和分工不太合理、人员管理措施缺少或不太有效、人员资质低和服务经验少、人员培训少、人员安全保障能力不好的得1分；与本项目不符合或不提供不得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10</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8</w:t>
            </w:r>
            <w:r/>
          </w:p>
        </w:tc>
        <w:tc>
          <w:tcPr>
            <w:tcMar>
              <w:left w:w="108" w:type="dxa"/>
              <w:top w:w="0" w:type="dxa"/>
              <w:right w:w="108" w:type="dxa"/>
              <w:bottom w:w="0" w:type="dxa"/>
            </w:tcMar>
            <w:tcW w:w="1858" w:type="dxa"/>
            <w:vAlign w:val="center"/>
            <w:textDirection w:val="lrTb"/>
            <w:noWrap w:val="false"/>
          </w:tcPr>
          <w:p>
            <w:pPr>
              <w:pStyle w:val="888"/>
              <w:ind w:left="0" w:firstLine="0"/>
              <w:jc w:val="center"/>
              <w:spacing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售后服务方案</w:t>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Arial" w:hAnsi="Arial" w:eastAsia="宋体" w:cs="Arial"/>
                <w:sz w:val="21"/>
                <w:szCs w:val="21"/>
                <w:highlight w:val="none"/>
                <w:lang w:eastAsia="zh-CN"/>
              </w:rPr>
            </w:pPr>
            <w:r>
              <w:rPr>
                <w:rFonts w:hint="eastAsia" w:ascii="宋体" w:hAnsi="宋体" w:cs="宋体"/>
                <w:sz w:val="21"/>
                <w:szCs w:val="21"/>
              </w:rPr>
              <w:t xml:space="preserve">根据项目需求提供售后服务方案、售后人员安排、响应时间、故障预防措施、资料档案管理、日常巡检、售后措施（包含但不限于），售后服务方案合理全面且详细，响应时间迅速，服务人员齐全，技术人员专业素养高且有</w:t>
            </w:r>
            <w:r>
              <w:rPr>
                <w:rFonts w:hint="eastAsia" w:ascii="宋体" w:hAnsi="宋体" w:cs="宋体"/>
                <w:sz w:val="21"/>
                <w:szCs w:val="21"/>
              </w:rPr>
              <w:t xml:space="preserve">经验，故障预防措施全面有效、资料档案管理制度全面科学、日常巡检安排科学有效、售后措施完善有效，优于采购需求得7分；售后方案较合理，响应时间较迅速，服务人员较齐全，管理力量比较雄厚，技术人员专业素养较高且有一定经验，故障预防措施比较有效、资料档案管理制度比较科学、日常巡检安排比较科学有效、售后措施比较丰富，符合采购需求得4分；售后服务方案简单，响应时间速度较慢，服务人员较少，专业素养较低或没有经验，故障预防措施少、资料档案管理制度缺失或较少、日常巡检安排较少、售后措施较少得1分；与本项目不符合或不提供不得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7</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default"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9</w:t>
            </w:r>
            <w:r/>
          </w:p>
        </w:tc>
        <w:tc>
          <w:tcPr>
            <w:tcMar>
              <w:left w:w="108" w:type="dxa"/>
              <w:top w:w="0" w:type="dxa"/>
              <w:right w:w="108" w:type="dxa"/>
              <w:bottom w:w="0" w:type="dxa"/>
            </w:tcMar>
            <w:tcW w:w="1858" w:type="dxa"/>
            <w:vAlign w:val="center"/>
            <w:textDirection w:val="lrTb"/>
            <w:noWrap w:val="false"/>
          </w:tcPr>
          <w:p>
            <w:pPr>
              <w:pStyle w:val="888"/>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应急方案</w:t>
            </w:r>
            <w:r/>
          </w:p>
        </w:tc>
        <w:tc>
          <w:tcPr>
            <w:tcMar>
              <w:left w:w="108" w:type="dxa"/>
              <w:top w:w="0" w:type="dxa"/>
              <w:right w:w="108" w:type="dxa"/>
              <w:bottom w:w="0" w:type="dxa"/>
            </w:tcMar>
            <w:tcW w:w="6227" w:type="dxa"/>
            <w:vAlign w:val="center"/>
            <w:textDirection w:val="lrTb"/>
            <w:noWrap w:val="false"/>
          </w:tcPr>
          <w:p>
            <w:pPr>
              <w:spacing w:after="0" w:line="360" w:lineRule="auto"/>
              <w:rPr>
                <w:rFonts w:hint="eastAsia" w:ascii="宋体" w:hAnsi="宋体" w:cs="宋体"/>
                <w:sz w:val="21"/>
                <w:szCs w:val="21"/>
              </w:rPr>
            </w:pPr>
            <w:r>
              <w:rPr>
                <w:rFonts w:hint="eastAsia" w:ascii="宋体" w:hAnsi="宋体" w:cs="宋体"/>
                <w:sz w:val="21"/>
                <w:szCs w:val="21"/>
              </w:rPr>
              <w:t xml:space="preserve">根据应急方案的应急预案、应急处理、应急人员安排、时效性、与对紧急事故做出快速、正确的反应、应急处理后确保临床工作正常开展的方案（包含但不限于）。应急预案全面、应急处理迅速</w:t>
            </w:r>
            <w:r>
              <w:rPr>
                <w:rFonts w:hint="eastAsia" w:ascii="宋体" w:hAnsi="宋体" w:cs="宋体"/>
                <w:sz w:val="21"/>
                <w:szCs w:val="21"/>
              </w:rPr>
              <w:t xml:space="preserve">有效、应急人员安排充分、时效性短，对紧急事故能够做出快速、正确的反应，应急处理后完全能确保临床工作的正常开展，优于采购需求得7分；应急预案比较全面、应急处理比较迅速有效、应急人员安排比较充分、时效性较短，对紧急事故能够做出比较快速、正确的反应，应急处理后能确保临床工作的正常开展，满足采购需求得4分；应急预案简单、应急处理较慢、应急人员安排不太充分、时效性较长，对紧急事故能够做出的反应较慢，应急处理后基本能确保临床工作的正常开展，基本满足采购需求或经过优化可以满足采购需求得1分；与本项目不符合或不提供不得分。</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7</w:t>
            </w:r>
            <w:r/>
          </w:p>
        </w:tc>
      </w:tr>
      <w:tr>
        <w:trPr>
          <w:trHeight w:val="90"/>
        </w:trPr>
        <w:tc>
          <w:tcPr>
            <w:tcMar>
              <w:left w:w="108" w:type="dxa"/>
              <w:top w:w="0" w:type="dxa"/>
              <w:right w:w="108" w:type="dxa"/>
              <w:bottom w:w="0" w:type="dxa"/>
            </w:tcMar>
            <w:tcW w:w="703" w:type="dxa"/>
            <w:vAlign w:val="center"/>
            <w:textDirection w:val="lrTb"/>
            <w:noWrap w:val="false"/>
          </w:tcPr>
          <w:p>
            <w:pPr>
              <w:ind w:left="0" w:right="0" w:firstLine="0"/>
              <w:jc w:val="center"/>
              <w:spacing w:before="0" w:after="0" w:line="240" w:lineRule="auto"/>
              <w:rPr>
                <w:rFonts w:hint="default"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10</w:t>
            </w:r>
            <w:r/>
          </w:p>
        </w:tc>
        <w:tc>
          <w:tcPr>
            <w:tcMar>
              <w:left w:w="108" w:type="dxa"/>
              <w:top w:w="0" w:type="dxa"/>
              <w:right w:w="108" w:type="dxa"/>
              <w:bottom w:w="0" w:type="dxa"/>
            </w:tcMar>
            <w:tcW w:w="1858" w:type="dxa"/>
            <w:vAlign w:val="center"/>
            <w:textDirection w:val="lrTb"/>
            <w:noWrap w:val="false"/>
          </w:tcPr>
          <w:p>
            <w:pPr>
              <w:pStyle w:val="888"/>
              <w:ind w:left="0" w:firstLine="0"/>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业绩</w:t>
            </w:r>
            <w:r/>
          </w:p>
        </w:tc>
        <w:tc>
          <w:tcPr>
            <w:tcMar>
              <w:left w:w="108" w:type="dxa"/>
              <w:top w:w="0" w:type="dxa"/>
              <w:right w:w="108" w:type="dxa"/>
              <w:bottom w:w="0" w:type="dxa"/>
            </w:tcMar>
            <w:tcW w:w="6227" w:type="dxa"/>
            <w:vAlign w:val="center"/>
            <w:textDirection w:val="lrTb"/>
            <w:noWrap w:val="false"/>
          </w:tcPr>
          <w:p>
            <w:pPr>
              <w:spacing w:after="0" w:line="360" w:lineRule="auto"/>
              <w:tabs>
                <w:tab w:val="left" w:pos="1260" w:leader="none"/>
              </w:tabs>
              <w:rPr>
                <w:rFonts w:hint="default" w:ascii="宋体" w:hAnsi="宋体" w:eastAsia="宋体" w:cs="宋体"/>
                <w:sz w:val="21"/>
                <w:szCs w:val="21"/>
              </w:rPr>
            </w:pPr>
            <w:r>
              <w:rPr>
                <w:rFonts w:hint="eastAsia" w:ascii="宋体" w:hAnsi="宋体" w:eastAsia="宋体" w:cs="宋体"/>
                <w:sz w:val="21"/>
                <w:szCs w:val="21"/>
              </w:rPr>
              <w:t xml:space="preserve">投标人具备2025年1月1日以来（以合同签订时间为准）</w:t>
            </w:r>
            <w:r>
              <w:rPr>
                <w:rFonts w:hint="eastAsia" w:ascii="宋体" w:hAnsi="宋体" w:eastAsia="宋体" w:cs="宋体"/>
                <w:sz w:val="21"/>
                <w:szCs w:val="21"/>
                <w:lang w:val="en-US" w:eastAsia="zh-CN"/>
              </w:rPr>
              <w:t xml:space="preserve">同品牌</w:t>
            </w:r>
            <w:r>
              <w:rPr>
                <w:rFonts w:hint="eastAsia" w:ascii="宋体" w:hAnsi="宋体" w:eastAsia="宋体" w:cs="宋体"/>
                <w:sz w:val="21"/>
                <w:szCs w:val="21"/>
              </w:rPr>
              <w:t xml:space="preserve">CT维保服务（仅人工服务不计算）业绩的，每提供一个得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分，最高得</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分。须提供合同复印件加盖公章，合同须有双方清晰盖章及项目名称，提供不全不得分。</w:t>
            </w:r>
            <w:r/>
          </w:p>
          <w:p>
            <w:pPr>
              <w:spacing w:after="0" w:line="360" w:lineRule="auto"/>
              <w:rPr>
                <w:rFonts w:hint="eastAsia" w:ascii="宋体" w:hAnsi="宋体" w:cs="宋体"/>
                <w:sz w:val="21"/>
                <w:szCs w:val="21"/>
              </w:rPr>
            </w:pPr>
            <w:r>
              <w:rPr>
                <w:rFonts w:hint="eastAsia" w:ascii="宋体" w:hAnsi="宋体" w:eastAsia="宋体" w:cs="宋体"/>
                <w:sz w:val="21"/>
                <w:szCs w:val="21"/>
                <w:lang w:val="zh-CN"/>
              </w:rPr>
              <w:t xml:space="preserve">投标人如为具备厂家授权的代理商或者与生产厂家签署维修服务合作协议,可使用厂家业绩。</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default"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9</w:t>
            </w:r>
            <w:r/>
          </w:p>
        </w:tc>
      </w:tr>
      <w:tr>
        <w:trPr>
          <w:trHeight w:val="475"/>
        </w:trPr>
        <w:tc>
          <w:tcPr>
            <w:gridSpan w:val="3"/>
            <w:tcMar>
              <w:left w:w="108" w:type="dxa"/>
              <w:top w:w="0" w:type="dxa"/>
              <w:right w:w="108" w:type="dxa"/>
              <w:bottom w:w="0" w:type="dxa"/>
            </w:tcMar>
            <w:tcW w:w="8788"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合计</w:t>
            </w:r>
            <w:r/>
          </w:p>
        </w:tc>
        <w:tc>
          <w:tcPr>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100</w:t>
            </w:r>
            <w:r/>
          </w:p>
        </w:tc>
      </w:tr>
    </w:tbl>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r/>
    </w:p>
    <w:p>
      <w:pPr>
        <w:pStyle w:val="981"/>
        <w:rPr>
          <w:rFonts w:hint="eastAsia" w:ascii="宋体" w:hAnsi="宋体" w:eastAsia="宋体" w:cs="宋体"/>
          <w:sz w:val="22"/>
          <w:highlight w:val="none"/>
        </w:rPr>
      </w:pPr>
      <w:r>
        <w:rPr>
          <w:rFonts w:hint="eastAsia" w:ascii="宋体" w:hAnsi="宋体" w:eastAsia="宋体" w:cs="宋体"/>
          <w:sz w:val="22"/>
          <w:highlight w:val="none"/>
        </w:rPr>
      </w:r>
      <w:bookmarkEnd w:id="116"/>
      <w:r/>
      <w:r/>
    </w:p>
    <w:p>
      <w:pPr>
        <w:pStyle w:val="981"/>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r>
      <w:r/>
    </w:p>
    <w:p>
      <w:pPr>
        <w:numPr>
          <w:ilvl w:val="0"/>
          <w:numId w:val="6"/>
        </w:num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eastAsia="zh-CN"/>
        </w:rPr>
        <w:t xml:space="preserve">采购需求</w:t>
      </w:r>
      <w:r/>
    </w:p>
    <w:p>
      <w:pPr>
        <w:pStyle w:val="888"/>
        <w:rPr>
          <w:rFonts w:hint="eastAsia"/>
          <w:highlight w:val="none"/>
          <w:lang w:eastAsia="zh-CN"/>
        </w:rPr>
      </w:pPr>
      <w:r>
        <w:rPr>
          <w:rFonts w:hint="eastAsia"/>
          <w:highlight w:val="none"/>
          <w:lang w:eastAsia="zh-CN"/>
        </w:rPr>
      </w:r>
      <w:r/>
    </w:p>
    <w:p>
      <w:pPr>
        <w:spacing w:line="360" w:lineRule="auto"/>
        <w:tabs>
          <w:tab w:val="left" w:pos="1260" w:leader="none"/>
        </w:tabs>
        <w:rPr>
          <w:rFonts w:hint="default" w:ascii="宋体" w:hAnsi="宋体" w:eastAsia="宋体" w:cs="宋体"/>
          <w:b/>
          <w:bCs/>
          <w:sz w:val="24"/>
          <w:szCs w:val="24"/>
        </w:rPr>
      </w:pPr>
      <w:r>
        <w:rPr>
          <w:rFonts w:hint="eastAsia" w:ascii="宋体" w:hAnsi="宋体" w:eastAsia="宋体" w:cs="宋体"/>
          <w:b/>
          <w:bCs/>
          <w:sz w:val="24"/>
          <w:szCs w:val="24"/>
        </w:rPr>
        <w:t xml:space="preserve">一、服务要求</w:t>
      </w:r>
      <w:r/>
    </w:p>
    <w:p>
      <w:pPr>
        <w:spacing w:line="360" w:lineRule="auto"/>
        <w:tabs>
          <w:tab w:val="left" w:pos="1260" w:leader="none"/>
        </w:tabs>
        <w:rPr>
          <w:rFonts w:hint="default" w:ascii="宋体" w:hAnsi="宋体" w:eastAsia="宋体" w:cs="宋体"/>
          <w:b/>
          <w:bCs/>
          <w:sz w:val="24"/>
          <w:szCs w:val="24"/>
        </w:rPr>
      </w:pPr>
      <w:r>
        <w:rPr>
          <w:rFonts w:hint="eastAsia" w:ascii="宋体" w:hAnsi="宋体" w:eastAsia="宋体" w:cs="宋体"/>
          <w:b/>
          <w:bCs/>
          <w:sz w:val="24"/>
          <w:szCs w:val="24"/>
        </w:rPr>
        <w:t xml:space="preserve">（一）维保范围：</w:t>
      </w:r>
      <w:r/>
    </w:p>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★1.维保范围包括：</w:t>
      </w:r>
      <w:r>
        <w:rPr>
          <w:rFonts w:hint="eastAsia" w:ascii="宋体" w:hAnsi="宋体" w:eastAsia="宋体" w:cs="宋体"/>
          <w:color w:val="000000"/>
          <w:sz w:val="24"/>
          <w:szCs w:val="24"/>
        </w:rPr>
        <w:t xml:space="preserve">SOMATOM go.Up</w:t>
      </w:r>
      <w:r>
        <w:rPr>
          <w:rFonts w:hint="eastAsia" w:ascii="宋体" w:hAnsi="宋体" w:eastAsia="宋体" w:cs="宋体"/>
          <w:sz w:val="24"/>
          <w:szCs w:val="24"/>
        </w:rPr>
        <w:t xml:space="preserve">设备包含提供人工叫修、定期维护、零备件更换、球管、探测器、高压油箱、滑环等、安全检查、图像质量保证、24小时*365天热线支持、远程服务、预防性保养（含预防性保养耗材）、（不含再安装及所需备品备件、移机和第三方产品）。</w:t>
      </w:r>
      <w:r/>
    </w:p>
    <w:p>
      <w:pP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2.数量：1台</w:t>
      </w:r>
      <w:r/>
    </w:p>
    <w:p>
      <w:pPr>
        <w:spacing w:line="360" w:lineRule="auto"/>
        <w:tabs>
          <w:tab w:val="left" w:pos="1260" w:leader="none"/>
        </w:tabs>
        <w:rPr>
          <w:rFonts w:hint="default"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.预防性技术保养（每合同年度保养通</w:t>
      </w:r>
      <w:r>
        <w:rPr>
          <w:rFonts w:hint="eastAsia" w:ascii="宋体" w:hAnsi="宋体" w:eastAsia="宋体" w:cs="宋体"/>
          <w:sz w:val="24"/>
          <w:szCs w:val="24"/>
          <w:highlight w:val="none"/>
        </w:rPr>
        <w:t xml:space="preserve">过2次</w:t>
      </w:r>
      <w:r>
        <w:rPr>
          <w:rFonts w:hint="eastAsia" w:ascii="宋体" w:hAnsi="宋体" w:cs="宋体"/>
          <w:sz w:val="24"/>
          <w:szCs w:val="24"/>
          <w:highlight w:val="none"/>
          <w:lang w:val="en-US" w:eastAsia="zh-CN"/>
        </w:rPr>
        <w:t xml:space="preserve">及以上</w:t>
      </w:r>
      <w:r>
        <w:rPr>
          <w:rFonts w:hint="eastAsia" w:ascii="宋体" w:hAnsi="宋体" w:eastAsia="宋体" w:cs="宋体"/>
          <w:sz w:val="24"/>
          <w:szCs w:val="24"/>
          <w:highlight w:val="none"/>
        </w:rPr>
        <w:t xml:space="preserve">现场服务完</w:t>
      </w:r>
      <w:r>
        <w:rPr>
          <w:rFonts w:hint="eastAsia" w:ascii="宋体" w:hAnsi="宋体" w:eastAsia="宋体" w:cs="宋体"/>
          <w:sz w:val="24"/>
          <w:szCs w:val="24"/>
        </w:rPr>
        <w:t xml:space="preserve">成）。</w:t>
      </w:r>
      <w:r/>
    </w:p>
    <w:p>
      <w:pPr>
        <w:spacing w:line="360" w:lineRule="auto"/>
        <w:tabs>
          <w:tab w:val="left" w:pos="1260" w:leader="none"/>
        </w:tabs>
        <w:rPr>
          <w:rFonts w:hint="default"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.预防性技术保养耗材。</w:t>
      </w:r>
      <w:r/>
    </w:p>
    <w:p>
      <w:pPr>
        <w:spacing w:line="360" w:lineRule="auto"/>
        <w:tabs>
          <w:tab w:val="left" w:pos="1260" w:leader="none"/>
        </w:tabs>
        <w:rPr>
          <w:rFonts w:hint="default"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.安全检查、质量保证、安全升级。</w:t>
      </w:r>
      <w:r/>
    </w:p>
    <w:p>
      <w:pPr>
        <w:spacing w:line="360" w:lineRule="auto"/>
        <w:tabs>
          <w:tab w:val="left" w:pos="1260" w:leader="none"/>
        </w:tabs>
        <w:rPr>
          <w:rFonts w:hint="default"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.提供24小时维修服务热线，响应时间为全年（含节假日），提供24小时*365天技术支持，服务方式：现场、电话支持、远程服务。</w:t>
      </w:r>
      <w:r/>
    </w:p>
    <w:p>
      <w:pPr>
        <w:spacing w:line="360" w:lineRule="auto"/>
        <w:tabs>
          <w:tab w:val="left" w:pos="1260" w:leader="none"/>
        </w:tabs>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．服务期内确保设备开机率≥95%（按照365天/年计），即正常开机达到347天/年，停机不得超过18天/年。</w:t>
      </w:r>
      <w:r/>
    </w:p>
    <w:p>
      <w:pPr>
        <w:spacing w:line="360" w:lineRule="auto"/>
        <w:tabs>
          <w:tab w:val="left" w:pos="1260" w:leader="none"/>
        </w:tabs>
        <w:rPr>
          <w:rFonts w:hint="default" w:ascii="宋体" w:hAnsi="宋体" w:eastAsia="宋体" w:cs="宋体"/>
          <w:b/>
          <w:bCs/>
          <w:sz w:val="24"/>
          <w:szCs w:val="24"/>
        </w:rPr>
      </w:pPr>
      <w:r>
        <w:rPr>
          <w:rFonts w:hint="eastAsia" w:ascii="宋体" w:hAnsi="宋体" w:eastAsia="宋体" w:cs="宋体"/>
          <w:b/>
          <w:bCs/>
          <w:sz w:val="24"/>
          <w:szCs w:val="24"/>
        </w:rPr>
        <w:t xml:space="preserve">（二）维保要求</w:t>
      </w:r>
      <w:r/>
    </w:p>
    <w:tbl>
      <w:tblPr>
        <w:tblStyle w:val="882"/>
        <w:tblW w:w="944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8745"/>
      </w:tblGrid>
      <w:tr>
        <w:trPr>
          <w:trHeight w:val="300"/>
        </w:trPr>
        <w:tc>
          <w:tcPr>
            <w:tcW w:w="704" w:type="dxa"/>
            <w:vAlign w:val="center"/>
            <w:textDirection w:val="lrTb"/>
            <w:noWrap/>
          </w:tcPr>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序号</w:t>
            </w:r>
            <w:r/>
          </w:p>
        </w:tc>
        <w:tc>
          <w:tcPr>
            <w:tcW w:w="8745" w:type="dxa"/>
            <w:vAlign w:val="center"/>
            <w:textDirection w:val="lrTb"/>
            <w:noWrap w:val="false"/>
          </w:tcPr>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维保要求</w:t>
            </w:r>
            <w:r/>
          </w:p>
        </w:tc>
      </w:tr>
      <w:tr>
        <w:trPr>
          <w:trHeight w:val="377"/>
        </w:trPr>
        <w:tc>
          <w:tcPr>
            <w:tcW w:w="704" w:type="dxa"/>
            <w:vAlign w:val="center"/>
            <w:textDirection w:val="lrTb"/>
            <w:noWrap/>
          </w:tcPr>
          <w:p>
            <w:pPr>
              <w:jc w:val="center"/>
              <w:spacing w:line="360" w:lineRule="auto"/>
              <w:tabs>
                <w:tab w:val="left" w:pos="1260" w:leader="none"/>
              </w:tabs>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p>
        </w:tc>
        <w:tc>
          <w:tcPr>
            <w:tcW w:w="8745" w:type="dxa"/>
            <w:vAlign w:val="center"/>
            <w:textDirection w:val="lrTb"/>
            <w:noWrap w:val="false"/>
          </w:tcPr>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包含提供人工叫修、定期维护、零备件更换、球管、探测器、高压油箱、滑环等、安全检查、图像质量保证、24小时*365天热线支持、远程服务、预防性保养（含预防性保养耗材）、（不含再安装及所需备品备件、移机和第三方产品）。</w:t>
            </w:r>
            <w:r/>
          </w:p>
        </w:tc>
      </w:tr>
      <w:tr>
        <w:trPr>
          <w:trHeight w:val="424"/>
        </w:trPr>
        <w:tc>
          <w:tcPr>
            <w:tcW w:w="704" w:type="dxa"/>
            <w:vAlign w:val="center"/>
            <w:textDirection w:val="lrTb"/>
            <w:noWrap/>
          </w:tcPr>
          <w:p>
            <w:pPr>
              <w:jc w:val="center"/>
              <w:spacing w:line="360" w:lineRule="auto"/>
              <w:tabs>
                <w:tab w:val="left" w:pos="1260" w:leader="none"/>
              </w:tabs>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tcW w:w="8745" w:type="dxa"/>
            <w:vAlign w:val="center"/>
            <w:textDirection w:val="lrTb"/>
            <w:noWrap w:val="false"/>
          </w:tcPr>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投标人保证设备处于优良运行状态，为设备提供安全检查、质量保证。</w:t>
            </w:r>
            <w:r/>
          </w:p>
        </w:tc>
      </w:tr>
      <w:tr>
        <w:trPr>
          <w:trHeight w:val="239"/>
        </w:trPr>
        <w:tc>
          <w:tcPr>
            <w:tcW w:w="704" w:type="dxa"/>
            <w:vAlign w:val="center"/>
            <w:textDirection w:val="lrTb"/>
            <w:noWrap/>
          </w:tcPr>
          <w:p>
            <w:pPr>
              <w:jc w:val="center"/>
              <w:spacing w:line="360" w:lineRule="auto"/>
              <w:tabs>
                <w:tab w:val="left" w:pos="1260" w:leader="none"/>
              </w:tabs>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W w:w="8745" w:type="dxa"/>
            <w:vAlign w:val="center"/>
            <w:textDirection w:val="lrTb"/>
            <w:noWrap w:val="false"/>
          </w:tcPr>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投标人保证设备符合相应的机械电气标准。</w:t>
            </w:r>
            <w:r/>
          </w:p>
        </w:tc>
      </w:tr>
      <w:tr>
        <w:trPr>
          <w:trHeight w:val="418"/>
        </w:trPr>
        <w:tc>
          <w:tcPr>
            <w:tcW w:w="704" w:type="dxa"/>
            <w:vAlign w:val="center"/>
            <w:textDirection w:val="lrTb"/>
            <w:noWrap/>
          </w:tcPr>
          <w:p>
            <w:pPr>
              <w:jc w:val="center"/>
              <w:spacing w:line="360" w:lineRule="auto"/>
              <w:tabs>
                <w:tab w:val="left" w:pos="126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p>
        </w:tc>
        <w:tc>
          <w:tcPr>
            <w:tcW w:w="8745" w:type="dxa"/>
            <w:textDirection w:val="lrTb"/>
            <w:noWrap w:val="false"/>
          </w:tcPr>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所有更换的零备件为原厂备件（提供证明材料）。</w:t>
            </w:r>
            <w:r/>
          </w:p>
        </w:tc>
      </w:tr>
      <w:tr>
        <w:trPr>
          <w:trHeight w:val="412"/>
        </w:trPr>
        <w:tc>
          <w:tcPr>
            <w:tcW w:w="704" w:type="dxa"/>
            <w:vAlign w:val="center"/>
            <w:textDirection w:val="lrTb"/>
            <w:noWrap/>
          </w:tcPr>
          <w:p>
            <w:pPr>
              <w:jc w:val="center"/>
              <w:spacing w:line="360" w:lineRule="auto"/>
              <w:tabs>
                <w:tab w:val="left" w:pos="1260"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8745" w:type="dxa"/>
            <w:textDirection w:val="lrTb"/>
            <w:noWrap w:val="false"/>
          </w:tcPr>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在国内设有配件仓库（提供仓库地址），配件到达设备现场平均≤24小时。</w:t>
            </w:r>
            <w:r/>
          </w:p>
        </w:tc>
      </w:tr>
      <w:tr>
        <w:trPr>
          <w:trHeight w:val="300"/>
        </w:trPr>
        <w:tc>
          <w:tcPr>
            <w:tcW w:w="704" w:type="dxa"/>
            <w:textDirection w:val="lrTb"/>
            <w:noWrap/>
          </w:tcPr>
          <w:p>
            <w:pPr>
              <w:jc w:val="center"/>
              <w:spacing w:line="360" w:lineRule="auto"/>
              <w:tabs>
                <w:tab w:val="left" w:pos="1260" w:leader="none"/>
              </w:tabs>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8745" w:type="dxa"/>
            <w:vAlign w:val="center"/>
            <w:textDirection w:val="lrTb"/>
            <w:noWrap w:val="false"/>
          </w:tcPr>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就近设有2名驻点同型号设备维修工程师并提供姓名联系方式。</w:t>
            </w:r>
            <w:r/>
          </w:p>
        </w:tc>
      </w:tr>
      <w:tr>
        <w:trPr>
          <w:trHeight w:val="357"/>
        </w:trPr>
        <w:tc>
          <w:tcPr>
            <w:tcW w:w="704" w:type="dxa"/>
            <w:textDirection w:val="lrTb"/>
            <w:noWrap/>
          </w:tcPr>
          <w:p>
            <w:pPr>
              <w:jc w:val="center"/>
              <w:spacing w:line="360" w:lineRule="auto"/>
              <w:tabs>
                <w:tab w:val="left" w:pos="1260" w:leader="none"/>
              </w:tabs>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8745" w:type="dxa"/>
            <w:vAlign w:val="center"/>
            <w:textDirection w:val="lrTb"/>
            <w:noWrap w:val="false"/>
          </w:tcPr>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维修工程师持有设备制造商出具的同型号设备维修证书（提供维修证书</w:t>
            </w:r>
            <w:r>
              <w:rPr>
                <w:rFonts w:hint="eastAsia" w:ascii="宋体" w:hAnsi="宋体" w:cs="宋体"/>
                <w:sz w:val="24"/>
                <w:szCs w:val="24"/>
                <w:lang w:val="en-US" w:eastAsia="zh-CN"/>
              </w:rPr>
              <w:t xml:space="preserve">扫描件</w:t>
            </w:r>
            <w:r>
              <w:rPr>
                <w:rFonts w:hint="eastAsia" w:ascii="宋体" w:hAnsi="宋体" w:eastAsia="宋体" w:cs="宋体"/>
                <w:sz w:val="24"/>
                <w:szCs w:val="24"/>
              </w:rPr>
              <w:t xml:space="preserve">）。</w:t>
            </w:r>
            <w:r/>
          </w:p>
        </w:tc>
      </w:tr>
      <w:tr>
        <w:trPr>
          <w:trHeight w:val="300"/>
        </w:trPr>
        <w:tc>
          <w:tcPr>
            <w:tcW w:w="704" w:type="dxa"/>
            <w:vAlign w:val="center"/>
            <w:textDirection w:val="lrTb"/>
            <w:noWrap/>
          </w:tcPr>
          <w:p>
            <w:pPr>
              <w:jc w:val="center"/>
              <w:spacing w:line="360" w:lineRule="auto"/>
              <w:tabs>
                <w:tab w:val="left" w:pos="126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p>
        </w:tc>
        <w:tc>
          <w:tcPr>
            <w:tcW w:w="8745" w:type="dxa"/>
            <w:vAlign w:val="center"/>
            <w:textDirection w:val="lrTb"/>
            <w:noWrap w:val="false"/>
          </w:tcPr>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工具配置情况：投标人或原厂（所维保设备的制造商）配有全套维修工具，并提供适用于本项目设备型号的相关维修工具图片，所有维修和检测工具属于计量检测的需要在有效期内。</w:t>
            </w:r>
            <w:r/>
          </w:p>
        </w:tc>
      </w:tr>
      <w:tr>
        <w:trPr>
          <w:trHeight w:val="300"/>
        </w:trPr>
        <w:tc>
          <w:tcPr>
            <w:tcW w:w="704" w:type="dxa"/>
            <w:vAlign w:val="center"/>
            <w:textDirection w:val="lrTb"/>
            <w:noWrap/>
          </w:tcPr>
          <w:p>
            <w:pPr>
              <w:jc w:val="center"/>
              <w:spacing w:line="360" w:lineRule="auto"/>
              <w:tabs>
                <w:tab w:val="left" w:pos="1260" w:leader="none"/>
              </w:tabs>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p>
        </w:tc>
        <w:tc>
          <w:tcPr>
            <w:tcW w:w="8745" w:type="dxa"/>
            <w:vAlign w:val="center"/>
            <w:textDirection w:val="lrTb"/>
            <w:noWrap w:val="false"/>
          </w:tcPr>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lang w:val="en-AU"/>
              </w:rPr>
              <w:t xml:space="preserve">电话报修首次响应时间≤2小时，工程师到达现场时间平均≤24小时。</w:t>
            </w:r>
            <w:r/>
          </w:p>
        </w:tc>
      </w:tr>
      <w:tr>
        <w:trPr>
          <w:trHeight w:val="300"/>
        </w:trPr>
        <w:tc>
          <w:tcPr>
            <w:tcW w:w="704" w:type="dxa"/>
            <w:vAlign w:val="center"/>
            <w:textDirection w:val="lrTb"/>
            <w:noWrap/>
          </w:tcPr>
          <w:p>
            <w:pPr>
              <w:jc w:val="center"/>
              <w:spacing w:line="360" w:lineRule="auto"/>
              <w:tabs>
                <w:tab w:val="left" w:pos="126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0</w:t>
            </w:r>
            <w:r/>
          </w:p>
        </w:tc>
        <w:tc>
          <w:tcPr>
            <w:tcW w:w="8745" w:type="dxa"/>
            <w:vAlign w:val="center"/>
            <w:textDirection w:val="lrTb"/>
            <w:noWrap w:val="false"/>
          </w:tcPr>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lang w:val="en-AU"/>
              </w:rPr>
              <w:t xml:space="preserve">预防性巡检、</w:t>
            </w:r>
            <w:r>
              <w:rPr>
                <w:rFonts w:hint="eastAsia" w:ascii="宋体" w:hAnsi="宋体" w:eastAsia="宋体" w:cs="宋体"/>
                <w:sz w:val="24"/>
                <w:szCs w:val="24"/>
              </w:rPr>
              <w:t xml:space="preserve">保养≥2次/年，并提交维护保养报告。</w:t>
            </w:r>
            <w:r/>
          </w:p>
        </w:tc>
      </w:tr>
      <w:tr>
        <w:trPr>
          <w:trHeight w:val="300"/>
        </w:trPr>
        <w:tc>
          <w:tcPr>
            <w:tcW w:w="704" w:type="dxa"/>
            <w:vAlign w:val="center"/>
            <w:textDirection w:val="lrTb"/>
            <w:noWrap/>
          </w:tcPr>
          <w:p>
            <w:pPr>
              <w:jc w:val="center"/>
              <w:spacing w:line="360" w:lineRule="auto"/>
              <w:tabs>
                <w:tab w:val="left" w:pos="1260" w:leader="none"/>
              </w:tabs>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w:t>
            </w:r>
            <w:r/>
          </w:p>
        </w:tc>
        <w:tc>
          <w:tcPr>
            <w:tcW w:w="8745" w:type="dxa"/>
            <w:vAlign w:val="center"/>
            <w:textDirection w:val="lrTb"/>
            <w:noWrap w:val="false"/>
          </w:tcPr>
          <w:p>
            <w:pPr>
              <w:spacing w:line="360" w:lineRule="auto"/>
              <w:tabs>
                <w:tab w:val="left" w:pos="126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提供一套syngo工作站一套。</w:t>
            </w:r>
            <w:r/>
          </w:p>
        </w:tc>
      </w:tr>
    </w:tbl>
    <w:p>
      <w:pPr>
        <w:spacing w:line="360" w:lineRule="auto"/>
        <w:tabs>
          <w:tab w:val="left" w:pos="1260" w:leader="none"/>
        </w:tabs>
        <w:rPr>
          <w:rFonts w:hint="default" w:ascii="宋体" w:hAnsi="宋体" w:eastAsia="宋体" w:cs="宋体"/>
          <w:sz w:val="24"/>
          <w:szCs w:val="24"/>
        </w:rPr>
      </w:pPr>
      <w:r>
        <w:rPr>
          <w:rFonts w:hint="default" w:ascii="宋体" w:hAnsi="宋体" w:eastAsia="宋体" w:cs="宋体"/>
          <w:sz w:val="24"/>
          <w:szCs w:val="24"/>
        </w:rPr>
      </w:r>
      <w:r/>
    </w:p>
    <w:p>
      <w:pPr>
        <w:spacing w:line="360" w:lineRule="auto"/>
        <w:tabs>
          <w:tab w:val="left" w:pos="1260" w:leader="none"/>
        </w:tabs>
        <w:rPr>
          <w:rFonts w:hint="default"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维保设备技术要求</w:t>
      </w:r>
      <w:r/>
    </w:p>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▲1.配备不少于2名的专职设备服务，在项目所在地周边地区有常驻工程师，且具备同类设备维修经验，投标文件中提供拟维保设备原厂出具的培训资格证明文件。</w:t>
      </w:r>
      <w:r/>
    </w:p>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2.投标人</w:t>
      </w:r>
      <w:r>
        <w:rPr>
          <w:rFonts w:hint="eastAsia" w:ascii="宋体" w:hAnsi="宋体" w:eastAsia="宋体" w:cs="宋体"/>
          <w:sz w:val="24"/>
          <w:szCs w:val="24"/>
          <w:lang w:val="en-US" w:eastAsia="zh-CN"/>
        </w:rPr>
        <w:t xml:space="preserve">或授权厂家</w:t>
      </w:r>
      <w:r>
        <w:rPr>
          <w:rFonts w:hint="eastAsia" w:ascii="宋体" w:hAnsi="宋体" w:eastAsia="宋体" w:cs="宋体"/>
          <w:sz w:val="24"/>
          <w:szCs w:val="24"/>
        </w:rPr>
        <w:t xml:space="preserve">须具备完善的临床应用培训体系，用于提升临床及维修人工水平，投标时须提供可被验证的培训网站及相关培训证明材料。</w:t>
      </w:r>
      <w:r/>
    </w:p>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3.投标人</w:t>
      </w:r>
      <w:r>
        <w:rPr>
          <w:rFonts w:hint="eastAsia" w:ascii="宋体" w:hAnsi="宋体" w:eastAsia="宋体" w:cs="宋体"/>
          <w:sz w:val="24"/>
          <w:szCs w:val="24"/>
          <w:lang w:val="en-US" w:eastAsia="zh-CN"/>
        </w:rPr>
        <w:t xml:space="preserve">或授权厂家</w:t>
      </w:r>
      <w:r>
        <w:rPr>
          <w:rFonts w:hint="eastAsia" w:ascii="宋体" w:hAnsi="宋体" w:eastAsia="宋体" w:cs="宋体"/>
          <w:sz w:val="24"/>
          <w:szCs w:val="24"/>
        </w:rPr>
        <w:t xml:space="preserve">须具备基于设备本身的远程网络维修诊断服务系统，用于及时解决应急维修和临床使用问题，投标文件中提供安全认证的远程诊断资质证书复印件，第三方平台远程不属于此范围，能实现远程可视化中央控制、实施管理，对故障有预判性，可远程处理简单故障。</w:t>
      </w:r>
      <w:r/>
    </w:p>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4.投标人须配备有专用工具：万用表、力矩扳手、示波器等。</w:t>
      </w:r>
      <w:r/>
    </w:p>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5.投标人所提供的备件必须是拟维保设备原厂未拆封并检验合格的零配件，满足设备运行要求，不得使用非原厂备件。</w:t>
      </w:r>
      <w:r/>
    </w:p>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6.投标人需具备进行软硬件升级的能力。</w:t>
      </w:r>
      <w:r/>
    </w:p>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7.投标供应商或授权厂家应具备有效期内的质量管理体系认证证书ISO9001，证书涵盖范围应包含保养维护、维修服务、远程支持系统的设计开发。</w:t>
      </w:r>
      <w:r/>
    </w:p>
    <w:p>
      <w:pPr>
        <w:spacing w:line="360" w:lineRule="auto"/>
        <w:tabs>
          <w:tab w:val="left" w:pos="1260" w:leader="none"/>
        </w:tabs>
        <w:rPr>
          <w:rFonts w:hint="default" w:ascii="宋体" w:hAnsi="宋体" w:eastAsia="宋体" w:cs="宋体"/>
          <w:b/>
          <w:bCs/>
          <w:sz w:val="24"/>
          <w:szCs w:val="24"/>
        </w:rPr>
      </w:pPr>
      <w:r>
        <w:rPr>
          <w:rFonts w:hint="eastAsia" w:ascii="宋体" w:hAnsi="宋体" w:eastAsia="宋体" w:cs="宋体"/>
          <w:sz w:val="24"/>
          <w:szCs w:val="24"/>
        </w:rPr>
        <w:t xml:space="preserve">★</w:t>
      </w:r>
      <w:r>
        <w:rPr>
          <w:rFonts w:hint="eastAsia" w:ascii="宋体" w:hAnsi="宋体" w:eastAsia="宋体" w:cs="宋体"/>
          <w:b/>
          <w:bCs/>
          <w:sz w:val="24"/>
          <w:szCs w:val="24"/>
        </w:rPr>
        <w:t xml:space="preserve">二、商务要求</w:t>
      </w:r>
      <w:r/>
    </w:p>
    <w:p>
      <w:pP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（一）付款方式：采购人在收到发票之日起的 30工作日内付第一年维保款至成交投标人指定账户。第二年</w:t>
      </w:r>
      <w:r>
        <w:rPr>
          <w:rFonts w:hint="eastAsia" w:ascii="宋体" w:hAnsi="宋体" w:eastAsia="宋体" w:cs="宋体"/>
          <w:sz w:val="24"/>
          <w:szCs w:val="24"/>
          <w:lang w:val="en-US" w:eastAsia="zh-CN"/>
        </w:rPr>
        <w:t xml:space="preserve">第三</w:t>
      </w:r>
      <w:r>
        <w:rPr>
          <w:rFonts w:hint="eastAsia" w:ascii="宋体" w:hAnsi="宋体" w:eastAsia="宋体" w:cs="宋体"/>
          <w:sz w:val="24"/>
          <w:szCs w:val="24"/>
        </w:rPr>
        <w:t xml:space="preserve">维保款</w:t>
      </w:r>
      <w:r>
        <w:rPr>
          <w:rFonts w:hint="eastAsia" w:ascii="宋体" w:hAnsi="宋体" w:eastAsia="宋体" w:cs="宋体"/>
          <w:sz w:val="24"/>
          <w:szCs w:val="24"/>
          <w:lang w:val="en-US" w:eastAsia="zh-CN"/>
        </w:rPr>
        <w:t xml:space="preserve">安期每年支付一次</w:t>
      </w:r>
      <w:r>
        <w:rPr>
          <w:rFonts w:hint="eastAsia" w:ascii="宋体" w:hAnsi="宋体" w:eastAsia="宋体" w:cs="宋体"/>
          <w:sz w:val="24"/>
          <w:szCs w:val="24"/>
        </w:rPr>
        <w:t xml:space="preserve">。</w:t>
      </w:r>
      <w:r/>
    </w:p>
    <w:p>
      <w:pPr>
        <w:spacing w:line="360" w:lineRule="auto"/>
        <w:tabs>
          <w:tab w:val="left" w:pos="1260" w:leader="none"/>
        </w:tabs>
        <w:rPr>
          <w:rFonts w:hint="default" w:ascii="宋体" w:hAnsi="宋体" w:eastAsia="宋体" w:cs="宋体"/>
          <w:sz w:val="24"/>
          <w:szCs w:val="24"/>
        </w:rPr>
      </w:pPr>
      <w:r>
        <w:rPr>
          <w:rFonts w:hint="eastAsia" w:ascii="宋体" w:hAnsi="宋体" w:eastAsia="宋体" w:cs="宋体"/>
          <w:sz w:val="24"/>
          <w:szCs w:val="24"/>
        </w:rPr>
        <w:t xml:space="preserve">（二）服务期限：叁年</w:t>
      </w:r>
      <w:r/>
    </w:p>
    <w:p>
      <w:pPr>
        <w:spacing w:line="360" w:lineRule="auto"/>
        <w:tabs>
          <w:tab w:val="left" w:pos="1260" w:leader="none"/>
        </w:tabs>
        <w:rPr>
          <w:rFonts w:hint="default" w:ascii="宋体" w:hAnsi="宋体" w:eastAsia="宋体" w:cs="宋体"/>
          <w:b/>
          <w:bCs/>
          <w:sz w:val="24"/>
          <w:szCs w:val="24"/>
        </w:rPr>
      </w:pPr>
      <w:r>
        <w:rPr>
          <w:rFonts w:hint="eastAsia" w:ascii="宋体" w:hAnsi="宋体" w:eastAsia="宋体" w:cs="宋体"/>
          <w:b/>
          <w:bCs/>
          <w:sz w:val="24"/>
          <w:szCs w:val="24"/>
        </w:rPr>
        <w:t xml:space="preserve">（三）其他要求：</w:t>
      </w:r>
      <w:r/>
    </w:p>
    <w:p>
      <w:pP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落实商品包装、快递包装政府采购需求标准。在履约验收时按照本条款执行，违反本约定的对照合同违约条款追究违约责任。供应商一旦参与本项目投标，即完全响应本条款要求。</w:t>
      </w:r>
      <w:r/>
    </w:p>
    <w:p>
      <w:pP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26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88"/>
        <w:ind w:left="0" w:firstLine="0"/>
        <w:rPr>
          <w:rFonts w:hint="eastAsia" w:ascii="宋体" w:hAnsi="宋体" w:eastAsia="宋体" w:cs="宋体"/>
          <w:highlight w:val="none"/>
        </w:rPr>
      </w:pPr>
      <w:r>
        <w:rPr>
          <w:rFonts w:hint="eastAsia" w:ascii="宋体" w:hAnsi="宋体" w:eastAsia="宋体" w:cs="宋体"/>
          <w:highlight w:val="none"/>
        </w:rPr>
      </w:r>
      <w:r/>
    </w:p>
    <w:p>
      <w:pPr>
        <w:numPr>
          <w:ilvl w:val="0"/>
          <w:numId w:val="6"/>
        </w:numPr>
        <w:jc w:val="center"/>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合同</w:t>
      </w:r>
      <w:r>
        <w:rPr>
          <w:rFonts w:hint="eastAsia" w:ascii="宋体" w:hAnsi="宋体" w:cs="宋体"/>
          <w:b/>
          <w:color w:val="000000"/>
          <w:sz w:val="32"/>
          <w:szCs w:val="32"/>
          <w:highlight w:val="none"/>
          <w:lang w:val="en-US" w:eastAsia="zh-CN"/>
        </w:rPr>
        <w:t xml:space="preserve">(仅供参考）</w:t>
      </w:r>
      <w:r/>
    </w:p>
    <w:p>
      <w:pPr>
        <w:jc w:val="center"/>
        <w:spacing w:line="360" w:lineRule="auto"/>
        <w:rPr>
          <w:rFonts w:hint="eastAsia" w:ascii="Times New Roman" w:hAnsi="Times New Roman" w:eastAsia="宋体" w:cs="Times New Roman"/>
          <w:b/>
          <w:color w:val="000000"/>
          <w:sz w:val="32"/>
          <w:szCs w:val="32"/>
        </w:rPr>
      </w:pPr>
      <w:r>
        <w:rPr>
          <w:rFonts w:hint="eastAsia" w:cs="Times New Roman"/>
          <w:b/>
          <w:color w:val="000000"/>
          <w:sz w:val="32"/>
          <w:szCs w:val="32"/>
          <w:lang w:eastAsia="zh-CN"/>
        </w:rPr>
        <w:t xml:space="preserve"> 南京市玄武区新街口社区卫生服务中心</w:t>
      </w:r>
      <w:r>
        <w:rPr>
          <w:rFonts w:hint="eastAsia" w:ascii="Times New Roman" w:hAnsi="Times New Roman" w:eastAsia="宋体" w:cs="Times New Roman"/>
          <w:b/>
          <w:color w:val="000000"/>
          <w:sz w:val="32"/>
          <w:szCs w:val="32"/>
        </w:rPr>
        <w:t xml:space="preserve">医疗设备维保服务合同</w:t>
      </w:r>
      <w:r/>
    </w:p>
    <w:p>
      <w:pPr>
        <w:spacing w:line="360" w:lineRule="auto"/>
        <w:rPr>
          <w:rFonts w:hint="default" w:ascii="Times New Roman" w:hAnsi="Times New Roman" w:eastAsia="宋体" w:cs="Times New Roman"/>
          <w:color w:val="000000"/>
          <w:szCs w:val="24"/>
          <w:u w:val="single"/>
        </w:rPr>
      </w:pPr>
      <w:r>
        <w:rPr>
          <w:rFonts w:hint="eastAsia" w:ascii="Times New Roman" w:hAnsi="Times New Roman" w:eastAsia="宋体" w:cs="Times New Roman"/>
          <w:b/>
          <w:color w:val="000000"/>
          <w:szCs w:val="21"/>
        </w:rPr>
        <w:t xml:space="preserve">甲方</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u w:val="single"/>
          <w:lang w:val="en-US" w:eastAsia="zh-CN"/>
        </w:rPr>
        <w:t xml:space="preserve">  </w:t>
      </w:r>
      <w:r>
        <w:rPr>
          <w:rFonts w:hint="eastAsia" w:cs="Times New Roman"/>
          <w:color w:val="000000"/>
          <w:szCs w:val="21"/>
          <w:u w:val="single"/>
          <w:lang w:eastAsia="zh-CN"/>
        </w:rPr>
        <w:t xml:space="preserve"> 南京市玄武区新街口社区卫生服务中心</w:t>
      </w:r>
      <w:r>
        <w:rPr>
          <w:rFonts w:hint="eastAsia" w:cs="Times New Roman"/>
          <w:color w:val="000000"/>
          <w:szCs w:val="21"/>
          <w:u w:val="single"/>
          <w:lang w:val="en-US" w:eastAsia="zh-CN"/>
        </w:rPr>
        <w:t xml:space="preserve">     </w:t>
      </w:r>
      <w:r>
        <w:rPr>
          <w:rFonts w:hint="default" w:ascii="Times New Roman" w:hAnsi="Times New Roman" w:eastAsia="宋体" w:cs="Times New Roman"/>
          <w:color w:val="000000"/>
          <w:szCs w:val="21"/>
        </w:rPr>
        <w:t xml:space="preserve">  </w:t>
      </w:r>
      <w:r>
        <w:rPr>
          <w:rFonts w:hint="default" w:ascii="Times New Roman" w:hAnsi="Times New Roman" w:eastAsia="宋体" w:cs="Times New Roman"/>
          <w:b/>
          <w:color w:val="000000"/>
          <w:szCs w:val="21"/>
        </w:rPr>
        <w:t xml:space="preserve"> </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rPr>
        <w:t xml:space="preserve">         </w:t>
      </w:r>
      <w:r>
        <w:rPr>
          <w:rFonts w:hint="eastAsia" w:ascii="Times New Roman" w:hAnsi="Times New Roman" w:eastAsia="宋体" w:cs="Times New Roman"/>
          <w:b/>
          <w:color w:val="000000"/>
          <w:szCs w:val="21"/>
        </w:rPr>
        <w:t xml:space="preserve">乙方</w:t>
      </w:r>
      <w:r>
        <w:rPr>
          <w:rFonts w:hint="eastAsia"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4"/>
          <w:u w:val="single"/>
        </w:rPr>
        <w:t xml:space="preserve"> </w:t>
      </w:r>
      <w:r>
        <w:rPr>
          <w:rFonts w:hint="eastAsia" w:ascii="楷体_GB2312" w:hAnsi="Times New Roman" w:eastAsia="楷体_GB2312" w:cs="Times New Roman"/>
          <w:b/>
          <w:color w:val="000000"/>
          <w:szCs w:val="21"/>
          <w:u w:val="single"/>
        </w:rPr>
        <w:t xml:space="preserve"> </w:t>
      </w:r>
      <w:r>
        <w:rPr>
          <w:rFonts w:hint="default" w:ascii="楷体_GB2312" w:hAnsi="Times New Roman" w:eastAsia="楷体_GB2312" w:cs="Times New Roman"/>
          <w:b/>
          <w:color w:val="000000"/>
          <w:szCs w:val="21"/>
          <w:u w:val="single"/>
        </w:rPr>
        <w:t xml:space="preserve">                   </w:t>
      </w:r>
      <w:r>
        <w:rPr>
          <w:rFonts w:hint="eastAsia" w:ascii="楷体_GB2312" w:hAnsi="Times New Roman" w:eastAsia="楷体_GB2312" w:cs="Times New Roman"/>
          <w:b/>
          <w:color w:val="000000"/>
          <w:szCs w:val="21"/>
          <w:u w:val="single"/>
        </w:rPr>
        <w:t xml:space="preserve"> </w:t>
      </w:r>
      <w:r>
        <w:rPr>
          <w:rFonts w:hint="eastAsia" w:ascii="Times New Roman" w:hAnsi="Times New Roman" w:eastAsia="宋体" w:cs="Times New Roman"/>
          <w:color w:val="000000"/>
          <w:szCs w:val="21"/>
          <w:u w:val="single"/>
        </w:rPr>
        <w:t xml:space="preserve"> </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甲乙双方根据</w:t>
      </w:r>
      <w:r>
        <w:rPr>
          <w:rFonts w:hint="eastAsia" w:ascii="宋体" w:hAnsi="宋体" w:eastAsia="宋体" w:cs="Times New Roman"/>
          <w:color w:val="auto"/>
          <w:szCs w:val="21"/>
        </w:rPr>
        <w:t xml:space="preserve">《</w:t>
      </w:r>
      <w:r>
        <w:rPr>
          <w:rFonts w:hint="eastAsia" w:ascii="宋体" w:hAnsi="宋体" w:eastAsia="宋体" w:cs="Times New Roman"/>
          <w:color w:val="auto"/>
          <w:szCs w:val="21"/>
          <w:lang w:val="en-US" w:eastAsia="zh-CN"/>
        </w:rPr>
        <w:t xml:space="preserve">中华人民共和国</w:t>
      </w:r>
      <w:r>
        <w:rPr>
          <w:rFonts w:hint="eastAsia" w:ascii="宋体" w:hAnsi="宋体" w:eastAsia="宋体" w:cs="Times New Roman"/>
          <w:color w:val="auto"/>
          <w:szCs w:val="21"/>
        </w:rPr>
        <w:t xml:space="preserve">民法典》，在</w:t>
      </w:r>
      <w:r>
        <w:rPr>
          <w:rFonts w:hint="eastAsia" w:ascii="宋体" w:hAnsi="宋体" w:eastAsia="宋体" w:cs="Times New Roman"/>
          <w:color w:val="000000"/>
          <w:szCs w:val="21"/>
        </w:rPr>
        <w:t xml:space="preserve">平等互利、协商一致的基础上，达成以下设备维保服务合同：</w:t>
      </w:r>
      <w:r/>
    </w:p>
    <w:p>
      <w:pPr>
        <w:ind w:firstLine="0"/>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一、合同期限：</w:t>
      </w:r>
      <w:r/>
    </w:p>
    <w:p>
      <w:pPr>
        <w:ind w:left="420" w:firstLine="0"/>
        <w:jc w:val="both"/>
        <w:spacing w:line="360" w:lineRule="auto"/>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保修期自</w:t>
      </w:r>
      <w:r>
        <w:rPr>
          <w:rFonts w:hint="eastAsia" w:ascii="宋体" w:hAnsi="宋体" w:eastAsia="宋体" w:cs="Times New Roman"/>
          <w:color w:val="ff0000"/>
          <w:sz w:val="21"/>
          <w:szCs w:val="21"/>
          <w:u w:val="single"/>
          <w:lang w:val="en-US" w:eastAsia="zh-CN" w:bidi="ar-SA"/>
        </w:rPr>
        <w:t xml:space="preserve">X</w:t>
      </w:r>
      <w:r>
        <w:rPr>
          <w:rFonts w:ascii="宋体" w:hAnsi="宋体" w:eastAsia="宋体" w:cs="Times New Roman"/>
          <w:color w:val="ff0000"/>
          <w:sz w:val="21"/>
          <w:szCs w:val="21"/>
          <w:u w:val="single"/>
          <w:lang w:val="en-US" w:eastAsia="zh-CN" w:bidi="ar-SA"/>
        </w:rPr>
        <w:t xml:space="preserve">XXX</w:t>
      </w:r>
      <w:r>
        <w:rPr>
          <w:rFonts w:hint="eastAsia" w:ascii="宋体" w:hAnsi="宋体" w:eastAsia="宋体" w:cs="Times New Roman"/>
          <w:color w:val="ff0000"/>
          <w:sz w:val="21"/>
          <w:szCs w:val="21"/>
          <w:u w:val="single"/>
          <w:lang w:val="en-US" w:eastAsia="zh-CN" w:bidi="ar-SA"/>
        </w:rPr>
        <w:t xml:space="preserve">年X</w:t>
      </w:r>
      <w:r>
        <w:rPr>
          <w:rFonts w:ascii="宋体" w:hAnsi="宋体" w:eastAsia="宋体" w:cs="Times New Roman"/>
          <w:color w:val="ff0000"/>
          <w:sz w:val="21"/>
          <w:szCs w:val="21"/>
          <w:u w:val="single"/>
          <w:lang w:val="en-US" w:eastAsia="zh-CN" w:bidi="ar-SA"/>
        </w:rPr>
        <w:t xml:space="preserve">XXX</w:t>
      </w:r>
      <w:r>
        <w:rPr>
          <w:rFonts w:hint="eastAsia" w:ascii="宋体" w:hAnsi="宋体" w:eastAsia="宋体" w:cs="Times New Roman"/>
          <w:color w:val="ff0000"/>
          <w:sz w:val="21"/>
          <w:szCs w:val="21"/>
          <w:u w:val="single"/>
          <w:lang w:val="en-US" w:eastAsia="zh-CN" w:bidi="ar-SA"/>
        </w:rPr>
        <w:t xml:space="preserve">月X</w:t>
      </w:r>
      <w:r>
        <w:rPr>
          <w:rFonts w:ascii="宋体" w:hAnsi="宋体" w:eastAsia="宋体" w:cs="Times New Roman"/>
          <w:color w:val="ff0000"/>
          <w:sz w:val="21"/>
          <w:szCs w:val="21"/>
          <w:u w:val="single"/>
          <w:lang w:val="en-US" w:eastAsia="zh-CN" w:bidi="ar-SA"/>
        </w:rPr>
        <w:t xml:space="preserve">XXX</w:t>
      </w:r>
      <w:r>
        <w:rPr>
          <w:rFonts w:hint="eastAsia" w:ascii="宋体" w:hAnsi="宋体" w:eastAsia="宋体" w:cs="Times New Roman"/>
          <w:color w:val="ff0000"/>
          <w:sz w:val="21"/>
          <w:szCs w:val="21"/>
          <w:u w:val="single"/>
          <w:lang w:val="en-US" w:eastAsia="zh-CN" w:bidi="ar-SA"/>
        </w:rPr>
        <w:t xml:space="preserve">日</w:t>
      </w:r>
      <w:r>
        <w:rPr>
          <w:rFonts w:hint="eastAsia" w:ascii="宋体" w:hAnsi="宋体" w:eastAsia="宋体" w:cs="Times New Roman"/>
          <w:sz w:val="21"/>
          <w:szCs w:val="21"/>
          <w:lang w:val="en-US" w:eastAsia="zh-CN" w:bidi="ar-SA"/>
        </w:rPr>
        <w:t xml:space="preserve">至</w:t>
      </w:r>
      <w:r>
        <w:rPr>
          <w:rFonts w:hint="eastAsia" w:ascii="宋体" w:hAnsi="宋体" w:eastAsia="宋体" w:cs="Times New Roman"/>
          <w:color w:val="ff0000"/>
          <w:sz w:val="21"/>
          <w:szCs w:val="21"/>
          <w:u w:val="single"/>
          <w:lang w:val="en-US" w:eastAsia="zh-CN" w:bidi="ar-SA"/>
        </w:rPr>
        <w:t xml:space="preserve">X</w:t>
      </w:r>
      <w:r>
        <w:rPr>
          <w:rFonts w:ascii="宋体" w:hAnsi="宋体" w:eastAsia="宋体" w:cs="Times New Roman"/>
          <w:color w:val="ff0000"/>
          <w:sz w:val="21"/>
          <w:szCs w:val="21"/>
          <w:u w:val="single"/>
          <w:lang w:val="en-US" w:eastAsia="zh-CN" w:bidi="ar-SA"/>
        </w:rPr>
        <w:t xml:space="preserve">XXX</w:t>
      </w:r>
      <w:r>
        <w:rPr>
          <w:rFonts w:hint="eastAsia" w:ascii="宋体" w:hAnsi="宋体" w:eastAsia="宋体" w:cs="Times New Roman"/>
          <w:color w:val="ff0000"/>
          <w:sz w:val="21"/>
          <w:szCs w:val="21"/>
          <w:u w:val="single"/>
          <w:lang w:val="en-US" w:eastAsia="zh-CN" w:bidi="ar-SA"/>
        </w:rPr>
        <w:t xml:space="preserve">年X</w:t>
      </w:r>
      <w:r>
        <w:rPr>
          <w:rFonts w:ascii="宋体" w:hAnsi="宋体" w:eastAsia="宋体" w:cs="Times New Roman"/>
          <w:color w:val="ff0000"/>
          <w:sz w:val="21"/>
          <w:szCs w:val="21"/>
          <w:u w:val="single"/>
          <w:lang w:val="en-US" w:eastAsia="zh-CN" w:bidi="ar-SA"/>
        </w:rPr>
        <w:t xml:space="preserve">XXX</w:t>
      </w:r>
      <w:r>
        <w:rPr>
          <w:rFonts w:hint="eastAsia" w:ascii="宋体" w:hAnsi="宋体" w:eastAsia="宋体" w:cs="Times New Roman"/>
          <w:color w:val="ff0000"/>
          <w:sz w:val="21"/>
          <w:szCs w:val="21"/>
          <w:u w:val="single"/>
          <w:lang w:val="en-US" w:eastAsia="zh-CN" w:bidi="ar-SA"/>
        </w:rPr>
        <w:t xml:space="preserve">月X</w:t>
      </w:r>
      <w:r>
        <w:rPr>
          <w:rFonts w:ascii="宋体" w:hAnsi="宋体" w:eastAsia="宋体" w:cs="Times New Roman"/>
          <w:color w:val="ff0000"/>
          <w:sz w:val="21"/>
          <w:szCs w:val="21"/>
          <w:u w:val="single"/>
          <w:lang w:val="en-US" w:eastAsia="zh-CN" w:bidi="ar-SA"/>
        </w:rPr>
        <w:t xml:space="preserve">XXX</w:t>
      </w:r>
      <w:r>
        <w:rPr>
          <w:rFonts w:hint="eastAsia" w:ascii="宋体" w:hAnsi="宋体" w:eastAsia="宋体" w:cs="Times New Roman"/>
          <w:color w:val="ff0000"/>
          <w:sz w:val="21"/>
          <w:szCs w:val="21"/>
          <w:u w:val="single"/>
          <w:lang w:val="en-US" w:eastAsia="zh-CN" w:bidi="ar-SA"/>
        </w:rPr>
        <w:t xml:space="preserve">日</w:t>
      </w:r>
      <w:r>
        <w:rPr>
          <w:rFonts w:hint="eastAsia" w:ascii="宋体" w:hAnsi="宋体" w:eastAsia="宋体" w:cs="Times New Roman"/>
          <w:sz w:val="21"/>
          <w:szCs w:val="21"/>
          <w:lang w:val="en-US" w:eastAsia="zh-CN" w:bidi="ar-SA"/>
        </w:rPr>
        <w:t xml:space="preserve">。</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若由于该设备停止使用的原因，甲方需要解除该合同，甲方可提前3</w:t>
      </w:r>
      <w:r>
        <w:rPr>
          <w:rFonts w:hint="default" w:ascii="宋体" w:hAnsi="宋体" w:eastAsia="宋体" w:cs="Times New Roman"/>
          <w:szCs w:val="21"/>
        </w:rPr>
        <w:t xml:space="preserve">0</w:t>
      </w:r>
      <w:r>
        <w:rPr>
          <w:rFonts w:hint="eastAsia" w:ascii="宋体" w:hAnsi="宋体" w:eastAsia="宋体" w:cs="Times New Roman"/>
          <w:szCs w:val="21"/>
        </w:rPr>
        <w:t xml:space="preserve">日以书面形式通知乙方，确认设备停用时间，在合同有效期内提前解除合同，费用结算至确认的设备停用时间，当期合同价款按天计算。</w:t>
      </w:r>
      <w:r/>
    </w:p>
    <w:p>
      <w:pPr>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二、维保服务设备：</w:t>
      </w:r>
      <w:r/>
    </w:p>
    <w:tbl>
      <w:tblPr>
        <w:tblStyle w:val="882"/>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984"/>
        <w:gridCol w:w="992"/>
        <w:gridCol w:w="993"/>
        <w:gridCol w:w="1701"/>
        <w:gridCol w:w="1134"/>
        <w:gridCol w:w="1842"/>
      </w:tblGrid>
      <w:tr>
        <w:trPr>
          <w:trHeight w:val="454"/>
        </w:trPr>
        <w:tc>
          <w:tcPr>
            <w:tcW w:w="1277" w:type="dxa"/>
            <w:vAlign w:val="center"/>
            <w:textDirection w:val="lrTb"/>
            <w:noWrap w:val="false"/>
          </w:tcPr>
          <w:p>
            <w:pPr>
              <w:jc w:val="center"/>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设备名称</w:t>
            </w:r>
            <w:r/>
          </w:p>
        </w:tc>
        <w:tc>
          <w:tcPr>
            <w:tcW w:w="1984" w:type="dxa"/>
            <w:vAlign w:val="center"/>
            <w:textDirection w:val="lrTb"/>
            <w:noWrap w:val="false"/>
          </w:tcPr>
          <w:p>
            <w:pPr>
              <w:jc w:val="center"/>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品牌、规格型号</w:t>
            </w:r>
            <w:r/>
          </w:p>
        </w:tc>
        <w:tc>
          <w:tcPr>
            <w:tcW w:w="992" w:type="dxa"/>
            <w:vAlign w:val="center"/>
            <w:textDirection w:val="lrTb"/>
            <w:noWrap w:val="false"/>
          </w:tcPr>
          <w:p>
            <w:pPr>
              <w:jc w:val="center"/>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数量</w:t>
            </w:r>
            <w:r/>
          </w:p>
        </w:tc>
        <w:tc>
          <w:tcPr>
            <w:tcW w:w="993" w:type="dxa"/>
            <w:vAlign w:val="center"/>
            <w:textDirection w:val="lrTb"/>
            <w:noWrap w:val="false"/>
          </w:tcPr>
          <w:p>
            <w:pPr>
              <w:jc w:val="center"/>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单位</w:t>
            </w:r>
            <w:r/>
          </w:p>
        </w:tc>
        <w:tc>
          <w:tcPr>
            <w:tcW w:w="1701" w:type="dxa"/>
            <w:vAlign w:val="center"/>
            <w:textDirection w:val="lrTb"/>
            <w:noWrap w:val="false"/>
          </w:tcPr>
          <w:p>
            <w:pPr>
              <w:jc w:val="center"/>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维保单价（元</w:t>
            </w:r>
            <w:r>
              <w:rPr>
                <w:rFonts w:hint="eastAsia" w:ascii="Times New Roman" w:hAnsi="Times New Roman" w:eastAsia="宋体" w:cs="Times New Roman"/>
                <w:color w:val="000000"/>
                <w:szCs w:val="21"/>
              </w:rPr>
              <w:t xml:space="preserve">）</w:t>
            </w:r>
            <w:r/>
          </w:p>
        </w:tc>
        <w:tc>
          <w:tcPr>
            <w:tcW w:w="1134" w:type="dxa"/>
            <w:vAlign w:val="center"/>
            <w:textDirection w:val="lrTb"/>
            <w:noWrap w:val="false"/>
          </w:tcPr>
          <w:p>
            <w:pPr>
              <w:jc w:val="center"/>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维保年限</w:t>
            </w:r>
            <w:r/>
          </w:p>
        </w:tc>
        <w:tc>
          <w:tcPr>
            <w:tcW w:w="1842" w:type="dxa"/>
            <w:vAlign w:val="center"/>
            <w:textDirection w:val="lrTb"/>
            <w:noWrap w:val="false"/>
          </w:tcPr>
          <w:p>
            <w:pPr>
              <w:jc w:val="center"/>
              <w:spacing w:line="360" w:lineRule="auto"/>
              <w:rPr>
                <w:rFonts w:hint="eastAsia"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维保总金额（元</w:t>
            </w:r>
            <w:r>
              <w:rPr>
                <w:rFonts w:hint="eastAsia" w:ascii="Times New Roman" w:hAnsi="Times New Roman" w:eastAsia="宋体" w:cs="Times New Roman"/>
                <w:color w:val="000000"/>
                <w:szCs w:val="21"/>
              </w:rPr>
              <w:t xml:space="preserve">）</w:t>
            </w:r>
            <w:r/>
          </w:p>
        </w:tc>
      </w:tr>
      <w:tr>
        <w:trPr>
          <w:trHeight w:val="450"/>
        </w:trPr>
        <w:tc>
          <w:tcPr>
            <w:tcW w:w="1277" w:type="dxa"/>
            <w:vAlign w:val="top"/>
            <w:textDirection w:val="lrTb"/>
            <w:noWrap w:val="false"/>
          </w:tcPr>
          <w:p>
            <w:pPr>
              <w:jc w:val="center"/>
              <w:spacing w:line="36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tcW w:w="1984" w:type="dxa"/>
            <w:vAlign w:val="top"/>
            <w:textDirection w:val="lrTb"/>
            <w:noWrap w:val="false"/>
          </w:tcPr>
          <w:p>
            <w:pPr>
              <w:jc w:val="center"/>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见附表</w:t>
            </w:r>
            <w:r/>
          </w:p>
        </w:tc>
        <w:tc>
          <w:tcPr>
            <w:tcW w:w="992" w:type="dxa"/>
            <w:vAlign w:val="top"/>
            <w:textDirection w:val="lrTb"/>
            <w:noWrap w:val="false"/>
          </w:tcPr>
          <w:p>
            <w:pPr>
              <w:ind w:firstLine="210"/>
              <w:spacing w:line="360" w:lineRule="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tc>
        <w:tc>
          <w:tcPr>
            <w:tcW w:w="993" w:type="dxa"/>
            <w:vAlign w:val="top"/>
            <w:textDirection w:val="lrTb"/>
            <w:noWrap w:val="false"/>
          </w:tcPr>
          <w:p>
            <w:pPr>
              <w:jc w:val="center"/>
              <w:spacing w:line="360" w:lineRule="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tc>
        <w:tc>
          <w:tcPr>
            <w:tcW w:w="1701" w:type="dxa"/>
            <w:vAlign w:val="top"/>
            <w:textDirection w:val="lrTb"/>
            <w:noWrap w:val="false"/>
          </w:tcPr>
          <w:p>
            <w:pPr>
              <w:jc w:val="center"/>
              <w:spacing w:line="36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tcW w:w="1134" w:type="dxa"/>
            <w:vAlign w:val="top"/>
            <w:textDirection w:val="lrTb"/>
            <w:noWrap w:val="false"/>
          </w:tcPr>
          <w:p>
            <w:pPr>
              <w:jc w:val="center"/>
              <w:spacing w:line="360" w:lineRule="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tc>
        <w:tc>
          <w:tcPr>
            <w:tcW w:w="1842" w:type="dxa"/>
            <w:vAlign w:val="top"/>
            <w:textDirection w:val="lrTb"/>
            <w:noWrap w:val="false"/>
          </w:tcPr>
          <w:p>
            <w:pPr>
              <w:jc w:val="center"/>
              <w:spacing w:line="36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trHeight w:val="470"/>
        </w:trPr>
        <w:tc>
          <w:tcPr>
            <w:gridSpan w:val="7"/>
            <w:tcW w:w="9923" w:type="dxa"/>
            <w:vAlign w:val="center"/>
            <w:textDirection w:val="lrTb"/>
            <w:noWrap w:val="false"/>
          </w:tcPr>
          <w:p>
            <w:pPr>
              <w:ind w:firstLine="422"/>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合计（大写）：（人民币） </w:t>
            </w:r>
            <w:r>
              <w:rPr>
                <w:rFonts w:hint="default" w:ascii="Times New Roman" w:hAnsi="Times New Roman" w:eastAsia="宋体" w:cs="Times New Roman"/>
                <w:b/>
                <w:color w:val="000000"/>
                <w:szCs w:val="21"/>
              </w:rPr>
              <w:t xml:space="preserve">              </w:t>
            </w:r>
            <w:r>
              <w:rPr>
                <w:rFonts w:hint="eastAsia" w:ascii="Times New Roman" w:hAnsi="Times New Roman" w:eastAsia="宋体" w:cs="Times New Roman"/>
                <w:b/>
                <w:color w:val="000000"/>
                <w:szCs w:val="21"/>
              </w:rPr>
              <w:t xml:space="preserve">元整</w:t>
            </w:r>
            <w:r>
              <w:rPr>
                <w:rFonts w:hint="default" w:ascii="Times New Roman" w:hAnsi="Times New Roman" w:eastAsia="宋体" w:cs="Times New Roman"/>
                <w:b/>
                <w:color w:val="000000"/>
                <w:szCs w:val="21"/>
              </w:rPr>
              <w:t xml:space="preserve">              </w:t>
            </w:r>
            <w:r>
              <w:rPr>
                <w:rFonts w:hint="eastAsia" w:ascii="Times New Roman" w:hAnsi="Times New Roman" w:eastAsia="宋体" w:cs="Times New Roman"/>
                <w:b/>
                <w:color w:val="000000"/>
                <w:szCs w:val="21"/>
              </w:rPr>
              <w:t xml:space="preserve">小写：￥ </w:t>
            </w:r>
            <w:r>
              <w:rPr>
                <w:rFonts w:hint="default" w:ascii="Times New Roman" w:hAnsi="Times New Roman" w:eastAsia="宋体" w:cs="Times New Roman"/>
                <w:b/>
                <w:color w:val="000000"/>
                <w:szCs w:val="21"/>
              </w:rPr>
              <w:t xml:space="preserve">      </w:t>
            </w:r>
            <w:r>
              <w:rPr>
                <w:rFonts w:hint="eastAsia" w:ascii="Times New Roman" w:hAnsi="Times New Roman" w:eastAsia="宋体" w:cs="Times New Roman"/>
                <w:b/>
                <w:color w:val="000000"/>
                <w:szCs w:val="21"/>
              </w:rPr>
              <w:t xml:space="preserve">元</w:t>
            </w:r>
            <w:r/>
          </w:p>
          <w:p>
            <w:pPr>
              <w:ind w:firstLine="422"/>
              <w:spacing w:line="360" w:lineRule="auto"/>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本价格包含运输、包装、安装、人工以及税费等全部费用，甲方无须支付其他任何费用。 </w:t>
            </w:r>
            <w:r/>
          </w:p>
        </w:tc>
      </w:tr>
      <w:tr>
        <w:trPr>
          <w:trHeight w:val="470"/>
        </w:trPr>
        <w:tc>
          <w:tcPr>
            <w:tcW w:w="1277" w:type="dxa"/>
            <w:vAlign w:val="center"/>
            <w:textDirection w:val="lrTb"/>
            <w:noWrap w:val="false"/>
          </w:tcPr>
          <w:p>
            <w:pPr>
              <w:jc w:val="center"/>
              <w:spacing w:line="360" w:lineRule="auto"/>
              <w:rPr>
                <w:rFonts w:hint="eastAsia"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使用科室</w:t>
            </w:r>
            <w:r/>
          </w:p>
        </w:tc>
        <w:tc>
          <w:tcPr>
            <w:gridSpan w:val="6"/>
            <w:tcW w:w="8646" w:type="dxa"/>
            <w:vAlign w:val="center"/>
            <w:textDirection w:val="lrTb"/>
            <w:noWrap w:val="false"/>
          </w:tcPr>
          <w:p>
            <w:pPr>
              <w:spacing w:line="360" w:lineRule="auto"/>
              <w:rPr>
                <w:rFonts w:hint="eastAsia" w:ascii="Times New Roman" w:hAnsi="Times New Roman" w:eastAsia="宋体" w:cs="Times New Roman"/>
                <w:b/>
                <w:color w:val="000000"/>
                <w:szCs w:val="21"/>
              </w:rPr>
            </w:pPr>
            <w:r>
              <w:rPr>
                <w:rFonts w:hint="eastAsia" w:ascii="Times New Roman" w:hAnsi="Times New Roman" w:eastAsia="宋体" w:cs="Times New Roman"/>
                <w:b/>
                <w:color w:val="000000"/>
                <w:szCs w:val="21"/>
              </w:rPr>
            </w:r>
            <w:r/>
          </w:p>
        </w:tc>
      </w:tr>
    </w:tbl>
    <w:p>
      <w:pPr>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三、付款方式</w:t>
      </w:r>
      <w:r/>
    </w:p>
    <w:p>
      <w:pPr>
        <w:ind w:firstLine="420"/>
        <w:spacing w:line="360" w:lineRule="auto"/>
        <w:rPr>
          <w:rFonts w:hint="default" w:ascii="Times New Roman" w:hAnsi="宋体" w:eastAsia="宋体" w:cs="Times New Roman"/>
          <w:szCs w:val="24"/>
        </w:rPr>
      </w:pPr>
      <w:r/>
      <w:bookmarkStart w:id="117" w:name="_Hlk184061930"/>
      <w:r/>
      <w:bookmarkStart w:id="118" w:name="OLE_LINK1"/>
      <w:r>
        <w:rPr>
          <w:rFonts w:hint="eastAsia" w:ascii="Times New Roman" w:hAnsi="Times New Roman" w:eastAsia="宋体" w:cs="Times New Roman"/>
          <w:color w:val="000000"/>
          <w:szCs w:val="21"/>
        </w:rPr>
        <w:t xml:space="preserve">1、</w:t>
      </w:r>
      <w:r>
        <w:rPr>
          <w:rFonts w:hint="eastAsia" w:ascii="Times New Roman" w:hAnsi="宋体" w:eastAsia="宋体" w:cs="Times New Roman"/>
          <w:szCs w:val="24"/>
        </w:rPr>
        <w:t xml:space="preserve">按约定时间付款，乙方须在约定时间前一个月开具合法有效的发票并经由甲方临床医学工程处工程师和使用科室签字确认，如果乙方未提供合法有效的发票，则甲方有权拒绝支付该部分费用，因此产生的一切损失由乙方自行承担。</w:t>
      </w:r>
      <w:bookmarkEnd w:id="117"/>
      <w:r/>
      <w:bookmarkEnd w:id="118"/>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2、付款时间表：</w:t>
      </w:r>
      <w:r/>
    </w:p>
    <w:p>
      <w:pPr>
        <w:pStyle w:val="904"/>
        <w:rPr>
          <w:rFonts w:hint="eastAsia" w:eastAsia="宋体" w:cs="Times New Roman"/>
        </w:rPr>
      </w:pPr>
      <w:r>
        <w:rPr>
          <w:rFonts w:hint="eastAsia" w:hAnsi="宋体" w:eastAsia="宋体" w:cs="Times New Roman"/>
        </w:rPr>
        <w:t xml:space="preserve">合同为固定单价合同，合同价款不因国家税率变更而更改。</w:t>
      </w:r>
      <w:r/>
    </w:p>
    <w:p>
      <w:pPr>
        <w:ind w:firstLine="420"/>
        <w:jc w:val="left"/>
        <w:spacing w:line="360" w:lineRule="auto"/>
        <w:widowControl/>
        <w:rPr>
          <w:rFonts w:hint="default" w:ascii="Times New Roman" w:hAnsi="Times New Roman" w:eastAsia="宋体" w:cs="Times New Roman"/>
          <w:color w:val="000000"/>
          <w:szCs w:val="21"/>
          <w:u w:val="single"/>
        </w:rPr>
      </w:pPr>
      <w:r>
        <w:rPr>
          <w:rFonts w:hint="eastAsia" w:ascii="Times New Roman" w:hAnsi="Times New Roman" w:eastAsia="宋体" w:cs="Times New Roman"/>
          <w:color w:val="000000"/>
          <w:szCs w:val="21"/>
        </w:rPr>
        <w:t xml:space="preserve">合同总价</w:t>
      </w:r>
      <w:bookmarkStart w:id="119" w:name="_Hlk184062102"/>
      <w:r>
        <w:rPr>
          <w:rFonts w:hint="eastAsia" w:ascii="Times New Roman" w:hAnsi="Times New Roman" w:eastAsia="宋体" w:cs="Times New Roman"/>
          <w:color w:val="000000"/>
          <w:szCs w:val="21"/>
        </w:rPr>
        <w:t xml:space="preserve">（人民币）</w:t>
      </w:r>
      <w:r>
        <w:rPr>
          <w:rFonts w:hint="default" w:ascii="Times New Roman" w:hAnsi="Times New Roman" w:eastAsia="宋体" w:cs="Times New Roman"/>
          <w:color w:val="000000"/>
          <w:szCs w:val="21"/>
          <w:u w:val="single"/>
        </w:rPr>
        <w:t xml:space="preserve">            </w:t>
      </w:r>
      <w:r>
        <w:rPr>
          <w:rFonts w:hint="eastAsia" w:ascii="Times New Roman" w:hAnsi="Times New Roman" w:eastAsia="宋体" w:cs="Times New Roman"/>
          <w:color w:val="000000"/>
          <w:szCs w:val="21"/>
          <w:u w:val="single"/>
        </w:rPr>
        <w:t xml:space="preserve">（大写： </w:t>
      </w:r>
      <w:r>
        <w:rPr>
          <w:rFonts w:hint="default" w:ascii="Times New Roman" w:hAnsi="Times New Roman" w:eastAsia="宋体" w:cs="Times New Roman"/>
          <w:color w:val="000000"/>
          <w:szCs w:val="21"/>
          <w:u w:val="single"/>
        </w:rPr>
        <w:t xml:space="preserve">   </w:t>
      </w:r>
      <w:r>
        <w:rPr>
          <w:rFonts w:hint="eastAsia" w:ascii="Times New Roman" w:hAnsi="Times New Roman" w:eastAsia="宋体" w:cs="Times New Roman"/>
          <w:color w:val="000000"/>
          <w:szCs w:val="21"/>
          <w:u w:val="single"/>
        </w:rPr>
        <w:t xml:space="preserve"> </w:t>
      </w:r>
      <w:r>
        <w:rPr>
          <w:rFonts w:hint="default" w:ascii="Times New Roman" w:hAnsi="Times New Roman" w:eastAsia="宋体" w:cs="Times New Roman"/>
          <w:color w:val="000000"/>
          <w:szCs w:val="21"/>
          <w:u w:val="single"/>
        </w:rPr>
        <w:t xml:space="preserve"> </w:t>
      </w:r>
      <w:r>
        <w:rPr>
          <w:rFonts w:hint="eastAsia" w:ascii="Times New Roman" w:hAnsi="Times New Roman" w:eastAsia="宋体" w:cs="Times New Roman"/>
          <w:color w:val="000000"/>
          <w:szCs w:val="21"/>
          <w:u w:val="single"/>
        </w:rPr>
        <w:t xml:space="preserve">元整）</w:t>
      </w:r>
      <w:bookmarkEnd w:id="119"/>
      <w:r/>
      <w:r/>
    </w:p>
    <w:p>
      <w:pPr>
        <w:pStyle w:val="904"/>
        <w:rPr>
          <w:rFonts w:hint="default" w:eastAsia="宋体" w:cs="Times New Roman"/>
          <w:color w:val="000000"/>
        </w:rPr>
      </w:pPr>
      <w:r>
        <w:rPr>
          <w:rFonts w:hint="eastAsia" w:eastAsia="宋体" w:cs="Times New Roman"/>
          <w:color w:val="000000"/>
        </w:rPr>
        <w:t xml:space="preserve">第壹</w:t>
      </w:r>
      <w:bookmarkStart w:id="120" w:name="_Hlk184059117"/>
      <w:r>
        <w:rPr>
          <w:rFonts w:hint="eastAsia" w:eastAsia="宋体" w:cs="Times New Roman"/>
          <w:color w:val="000000"/>
        </w:rPr>
        <w:t xml:space="preserve">期</w:t>
      </w:r>
      <w:bookmarkEnd w:id="120"/>
      <w:r>
        <w:rPr>
          <w:rFonts w:hint="eastAsia" w:eastAsia="宋体" w:cs="Times New Roman"/>
          <w:color w:val="000000"/>
        </w:rPr>
        <w:t xml:space="preserve">付款时间节点：2</w:t>
      </w:r>
      <w:r>
        <w:rPr>
          <w:rFonts w:hint="default" w:eastAsia="宋体" w:cs="Times New Roman"/>
          <w:color w:val="000000"/>
        </w:rPr>
        <w:t xml:space="preserve">02   </w:t>
      </w:r>
      <w:r>
        <w:rPr>
          <w:rFonts w:hint="eastAsia" w:eastAsia="宋体" w:cs="Times New Roman"/>
          <w:color w:val="000000"/>
        </w:rPr>
        <w:t xml:space="preserve">年</w:t>
      </w:r>
      <w:r>
        <w:rPr>
          <w:rFonts w:hint="default" w:eastAsia="宋体" w:cs="Times New Roman"/>
          <w:color w:val="000000"/>
        </w:rPr>
        <w:t xml:space="preserve">   </w:t>
      </w:r>
      <w:r>
        <w:rPr>
          <w:rFonts w:hint="eastAsia" w:eastAsia="宋体" w:cs="Times New Roman"/>
          <w:color w:val="000000"/>
        </w:rPr>
        <w:t xml:space="preserve">月</w:t>
      </w:r>
      <w:r>
        <w:rPr>
          <w:rFonts w:hint="default" w:eastAsia="宋体" w:cs="Times New Roman"/>
          <w:color w:val="000000"/>
        </w:rPr>
        <w:t xml:space="preserve">  </w:t>
      </w:r>
      <w:r>
        <w:rPr>
          <w:rFonts w:hint="eastAsia" w:eastAsia="宋体" w:cs="Times New Roman"/>
          <w:color w:val="000000"/>
        </w:rPr>
        <w:t xml:space="preserve">日付清人民币</w:t>
      </w:r>
      <w:r>
        <w:rPr>
          <w:rFonts w:hint="default" w:eastAsia="宋体" w:cs="Times New Roman"/>
          <w:color w:val="000000"/>
        </w:rPr>
        <w:t xml:space="preserve">          </w:t>
      </w:r>
      <w:r>
        <w:rPr>
          <w:rFonts w:hint="eastAsia" w:eastAsia="宋体" w:cs="Times New Roman"/>
          <w:color w:val="000000"/>
        </w:rPr>
        <w:t xml:space="preserve">元（ </w:t>
      </w:r>
      <w:r>
        <w:rPr>
          <w:rFonts w:hint="default" w:eastAsia="宋体" w:cs="Times New Roman"/>
          <w:color w:val="000000"/>
        </w:rPr>
        <w:t xml:space="preserve">  </w:t>
      </w:r>
      <w:r>
        <w:rPr>
          <w:rFonts w:hint="eastAsia" w:eastAsia="宋体" w:cs="Times New Roman"/>
          <w:color w:val="000000"/>
        </w:rPr>
        <w:t xml:space="preserve">元整）</w:t>
      </w:r>
      <w:r/>
    </w:p>
    <w:p>
      <w:pPr>
        <w:pStyle w:val="904"/>
        <w:rPr>
          <w:rFonts w:hint="default" w:eastAsia="宋体" w:cs="Times New Roman"/>
          <w:color w:val="000000"/>
        </w:rPr>
      </w:pPr>
      <w:r>
        <w:rPr>
          <w:rFonts w:hint="eastAsia" w:eastAsia="宋体" w:cs="Times New Roman"/>
          <w:color w:val="000000"/>
        </w:rPr>
        <w:t xml:space="preserve">第贰期付款时间节点：2</w:t>
      </w:r>
      <w:r>
        <w:rPr>
          <w:rFonts w:hint="default" w:eastAsia="宋体" w:cs="Times New Roman"/>
          <w:color w:val="000000"/>
        </w:rPr>
        <w:t xml:space="preserve">02   </w:t>
      </w:r>
      <w:r>
        <w:rPr>
          <w:rFonts w:hint="eastAsia" w:eastAsia="宋体" w:cs="Times New Roman"/>
          <w:color w:val="000000"/>
        </w:rPr>
        <w:t xml:space="preserve">年</w:t>
      </w:r>
      <w:r>
        <w:rPr>
          <w:rFonts w:hint="default" w:eastAsia="宋体" w:cs="Times New Roman"/>
          <w:color w:val="000000"/>
        </w:rPr>
        <w:t xml:space="preserve">   </w:t>
      </w:r>
      <w:r>
        <w:rPr>
          <w:rFonts w:hint="eastAsia" w:eastAsia="宋体" w:cs="Times New Roman"/>
          <w:color w:val="000000"/>
        </w:rPr>
        <w:t xml:space="preserve">月 </w:t>
      </w:r>
      <w:r>
        <w:rPr>
          <w:rFonts w:hint="default" w:eastAsia="宋体" w:cs="Times New Roman"/>
          <w:color w:val="000000"/>
        </w:rPr>
        <w:t xml:space="preserve"> </w:t>
      </w:r>
      <w:r>
        <w:rPr>
          <w:rFonts w:hint="eastAsia" w:eastAsia="宋体" w:cs="Times New Roman"/>
          <w:color w:val="000000"/>
        </w:rPr>
        <w:t xml:space="preserve">日付清人民币</w:t>
      </w:r>
      <w:r>
        <w:rPr>
          <w:rFonts w:hint="default" w:eastAsia="宋体" w:cs="Times New Roman"/>
          <w:color w:val="000000"/>
        </w:rPr>
        <w:t xml:space="preserve">          </w:t>
      </w:r>
      <w:r>
        <w:rPr>
          <w:rFonts w:hint="eastAsia" w:eastAsia="宋体" w:cs="Times New Roman"/>
          <w:color w:val="000000"/>
        </w:rPr>
        <w:t xml:space="preserve">元（ </w:t>
      </w:r>
      <w:r>
        <w:rPr>
          <w:rFonts w:hint="default" w:eastAsia="宋体" w:cs="Times New Roman"/>
          <w:color w:val="000000"/>
        </w:rPr>
        <w:t xml:space="preserve">  </w:t>
      </w:r>
      <w:r>
        <w:rPr>
          <w:rFonts w:hint="eastAsia" w:eastAsia="宋体" w:cs="Times New Roman"/>
          <w:color w:val="000000"/>
        </w:rPr>
        <w:t xml:space="preserve">元整）</w:t>
      </w:r>
      <w:r/>
    </w:p>
    <w:p>
      <w:pPr>
        <w:pStyle w:val="904"/>
        <w:rPr>
          <w:rFonts w:hint="default" w:eastAsia="宋体" w:cs="Times New Roman"/>
          <w:color w:val="000000"/>
        </w:rPr>
      </w:pPr>
      <w:r>
        <w:rPr>
          <w:rFonts w:hint="eastAsia" w:eastAsia="宋体" w:cs="Times New Roman"/>
          <w:color w:val="000000"/>
        </w:rPr>
        <w:t xml:space="preserve">第叁期付款时间节点：2</w:t>
      </w:r>
      <w:r>
        <w:rPr>
          <w:rFonts w:hint="default" w:eastAsia="宋体" w:cs="Times New Roman"/>
          <w:color w:val="000000"/>
        </w:rPr>
        <w:t xml:space="preserve">02   </w:t>
      </w:r>
      <w:r>
        <w:rPr>
          <w:rFonts w:hint="eastAsia" w:eastAsia="宋体" w:cs="Times New Roman"/>
          <w:color w:val="000000"/>
        </w:rPr>
        <w:t xml:space="preserve">年 </w:t>
      </w:r>
      <w:r>
        <w:rPr>
          <w:rFonts w:hint="default" w:eastAsia="宋体" w:cs="Times New Roman"/>
          <w:color w:val="000000"/>
        </w:rPr>
        <w:t xml:space="preserve">  </w:t>
      </w:r>
      <w:r>
        <w:rPr>
          <w:rFonts w:hint="eastAsia" w:eastAsia="宋体" w:cs="Times New Roman"/>
          <w:color w:val="000000"/>
        </w:rPr>
        <w:t xml:space="preserve">月 </w:t>
      </w:r>
      <w:r>
        <w:rPr>
          <w:rFonts w:hint="default" w:eastAsia="宋体" w:cs="Times New Roman"/>
          <w:color w:val="000000"/>
        </w:rPr>
        <w:t xml:space="preserve"> </w:t>
      </w:r>
      <w:r>
        <w:rPr>
          <w:rFonts w:hint="eastAsia" w:eastAsia="宋体" w:cs="Times New Roman"/>
          <w:color w:val="000000"/>
        </w:rPr>
        <w:t xml:space="preserve">日付清人民币</w:t>
      </w:r>
      <w:r>
        <w:rPr>
          <w:rFonts w:hint="default" w:eastAsia="宋体" w:cs="Times New Roman"/>
          <w:color w:val="000000"/>
        </w:rPr>
        <w:t xml:space="preserve">          </w:t>
      </w:r>
      <w:r>
        <w:rPr>
          <w:rFonts w:hint="eastAsia" w:eastAsia="宋体" w:cs="Times New Roman"/>
          <w:color w:val="000000"/>
        </w:rPr>
        <w:t xml:space="preserve">元（ </w:t>
      </w:r>
      <w:r>
        <w:rPr>
          <w:rFonts w:hint="default" w:eastAsia="宋体" w:cs="Times New Roman"/>
          <w:color w:val="000000"/>
        </w:rPr>
        <w:t xml:space="preserve">  </w:t>
      </w:r>
      <w:r>
        <w:rPr>
          <w:rFonts w:hint="eastAsia" w:eastAsia="宋体" w:cs="Times New Roman"/>
          <w:color w:val="000000"/>
        </w:rPr>
        <w:t xml:space="preserve">元整）</w:t>
      </w:r>
      <w:r/>
    </w:p>
    <w:p>
      <w:pPr>
        <w:pStyle w:val="904"/>
        <w:rPr>
          <w:rFonts w:hint="default" w:eastAsia="宋体" w:cs="Times New Roman"/>
          <w:color w:val="auto"/>
          <w:lang w:val="en-US" w:eastAsia="zh-CN"/>
        </w:rPr>
      </w:pPr>
      <w:r/>
      <w:bookmarkStart w:id="121" w:name="_Hlk184062969"/>
      <w:r>
        <w:rPr>
          <w:rFonts w:hint="eastAsia" w:eastAsia="宋体" w:cs="Times New Roman"/>
          <w:color w:val="auto"/>
          <w:lang w:val="en-US" w:eastAsia="zh-CN"/>
        </w:rPr>
        <w:t xml:space="preserve">乙方户名：</w:t>
      </w:r>
      <w:r>
        <w:rPr>
          <w:rFonts w:hint="eastAsia" w:eastAsia="宋体" w:cs="Times New Roman"/>
          <w:color w:val="auto"/>
          <w:u w:val="single"/>
        </w:rPr>
        <w:t xml:space="preserve"> </w:t>
      </w:r>
      <w:r>
        <w:rPr>
          <w:rFonts w:hint="default" w:eastAsia="宋体" w:cs="Times New Roman"/>
          <w:color w:val="auto"/>
          <w:u w:val="single"/>
        </w:rPr>
        <w:t xml:space="preserve">                                  </w:t>
      </w:r>
      <w:r/>
    </w:p>
    <w:p>
      <w:pPr>
        <w:pStyle w:val="904"/>
        <w:rPr>
          <w:rFonts w:hint="default" w:eastAsia="宋体" w:cs="Times New Roman"/>
          <w:color w:val="auto"/>
        </w:rPr>
      </w:pPr>
      <w:r>
        <w:rPr>
          <w:rFonts w:hint="eastAsia" w:eastAsia="宋体" w:cs="Times New Roman"/>
          <w:color w:val="auto"/>
        </w:rPr>
        <w:t xml:space="preserve">乙方</w:t>
      </w:r>
      <w:r>
        <w:rPr>
          <w:rFonts w:hint="eastAsia" w:eastAsia="宋体" w:cs="Times New Roman"/>
          <w:color w:val="auto"/>
          <w:lang w:val="en-US" w:eastAsia="zh-CN"/>
        </w:rPr>
        <w:t xml:space="preserve">开户行</w:t>
      </w:r>
      <w:r>
        <w:rPr>
          <w:rFonts w:hint="eastAsia" w:eastAsia="宋体" w:cs="Times New Roman"/>
          <w:color w:val="auto"/>
        </w:rPr>
        <w:t xml:space="preserve">：</w:t>
      </w:r>
      <w:r>
        <w:rPr>
          <w:rFonts w:hint="eastAsia" w:eastAsia="宋体" w:cs="Times New Roman"/>
          <w:color w:val="auto"/>
          <w:u w:val="single"/>
        </w:rPr>
        <w:t xml:space="preserve"> </w:t>
      </w:r>
      <w:r>
        <w:rPr>
          <w:rFonts w:hint="default" w:eastAsia="宋体" w:cs="Times New Roman"/>
          <w:color w:val="auto"/>
          <w:u w:val="single"/>
        </w:rPr>
        <w:t xml:space="preserve">                                </w:t>
      </w:r>
      <w:r>
        <w:rPr>
          <w:rFonts w:hint="default" w:eastAsia="宋体" w:cs="Times New Roman"/>
          <w:color w:val="auto"/>
        </w:rPr>
        <w:t xml:space="preserve">    </w:t>
      </w:r>
      <w:r/>
    </w:p>
    <w:p>
      <w:pPr>
        <w:pStyle w:val="904"/>
        <w:rPr>
          <w:rFonts w:hint="eastAsia" w:eastAsia="宋体" w:cs="Times New Roman"/>
          <w:color w:val="000000"/>
        </w:rPr>
      </w:pPr>
      <w:r>
        <w:rPr>
          <w:rFonts w:hint="eastAsia" w:eastAsia="宋体" w:cs="Times New Roman"/>
          <w:color w:val="auto"/>
        </w:rPr>
        <w:t xml:space="preserve">乙方账号：</w:t>
      </w:r>
      <w:r>
        <w:rPr>
          <w:rFonts w:hint="eastAsia" w:eastAsia="宋体" w:cs="Times New Roman"/>
          <w:color w:val="auto"/>
          <w:u w:val="single"/>
        </w:rPr>
        <w:t xml:space="preserve"> </w:t>
      </w:r>
      <w:r>
        <w:rPr>
          <w:rFonts w:hint="default" w:eastAsia="宋体" w:cs="Times New Roman"/>
          <w:color w:val="auto"/>
          <w:u w:val="single"/>
        </w:rPr>
        <w:t xml:space="preserve">                                  </w:t>
      </w:r>
      <w:r>
        <w:rPr>
          <w:rFonts w:hint="default" w:eastAsia="宋体" w:cs="Times New Roman"/>
          <w:color w:val="auto"/>
        </w:rPr>
        <w:t xml:space="preserve">  </w:t>
      </w:r>
      <w:r>
        <w:rPr>
          <w:rFonts w:hint="default" w:eastAsia="宋体" w:cs="Times New Roman"/>
          <w:color w:val="000000"/>
        </w:rPr>
        <w:t xml:space="preserve"> </w:t>
      </w:r>
      <w:bookmarkEnd w:id="121"/>
      <w:r>
        <w:rPr>
          <w:rFonts w:hint="default" w:eastAsia="宋体" w:cs="Times New Roman"/>
          <w:color w:val="000000"/>
        </w:rPr>
        <w:t xml:space="preserve"> </w:t>
      </w:r>
      <w:r/>
    </w:p>
    <w:p>
      <w:pPr>
        <w:spacing w:line="360" w:lineRule="auto"/>
        <w:rPr>
          <w:rFonts w:hint="default" w:ascii="Times New Roman" w:hAnsi="宋体" w:eastAsia="宋体" w:cs="Times New Roman"/>
          <w:szCs w:val="24"/>
        </w:rPr>
      </w:pPr>
      <w:r/>
      <w:bookmarkStart w:id="122" w:name="_Hlk184061519"/>
      <w:r>
        <w:rPr>
          <w:rFonts w:hint="eastAsia" w:ascii="Times New Roman" w:hAnsi="宋体" w:eastAsia="宋体" w:cs="Times New Roman"/>
          <w:szCs w:val="24"/>
        </w:rPr>
        <w:t xml:space="preserve">四、甲方权利义务</w:t>
      </w:r>
      <w:r/>
    </w:p>
    <w:p>
      <w:pPr>
        <w:ind w:firstLine="420"/>
        <w:spacing w:line="360" w:lineRule="auto"/>
        <w:rPr>
          <w:rFonts w:hint="default" w:ascii="Times New Roman" w:hAnsi="宋体" w:eastAsia="宋体" w:cs="Times New Roman"/>
          <w:szCs w:val="24"/>
        </w:rPr>
      </w:pPr>
      <w:r>
        <w:rPr>
          <w:rFonts w:hint="eastAsia" w:ascii="Times New Roman" w:hAnsi="Times New Roman" w:eastAsia="宋体" w:cs="Times New Roman"/>
          <w:color w:val="000000"/>
          <w:szCs w:val="21"/>
        </w:rPr>
        <w:t xml:space="preserve">1、</w:t>
      </w:r>
      <w:r>
        <w:rPr>
          <w:rFonts w:hint="eastAsia" w:ascii="Times New Roman" w:hAnsi="宋体" w:eastAsia="宋体" w:cs="Times New Roman"/>
          <w:szCs w:val="24"/>
        </w:rPr>
        <w:t xml:space="preserve">甲方应保证电源质量稳定可靠，并对设备进行日常清洁保养和基本维护工作，做好故障记录。</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2、甲方应按设备使用手册的要求正确操作设备，保证设备的电、气和水的正常供应，同时保证设备开启关闭时的环境处于正常状态。</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3、甲方应按合同约定的方式和时间向乙方支付维保服务费用。</w:t>
      </w:r>
      <w:bookmarkEnd w:id="122"/>
      <w:r/>
      <w:r/>
    </w:p>
    <w:p>
      <w:pPr>
        <w:spacing w:line="360" w:lineRule="auto"/>
        <w:rPr>
          <w:rFonts w:hint="default" w:ascii="Times New Roman" w:hAnsi="宋体" w:eastAsia="宋体" w:cs="Times New Roman"/>
          <w:szCs w:val="24"/>
        </w:rPr>
      </w:pPr>
      <w:r/>
      <w:bookmarkStart w:id="123" w:name="_Hlk184061548"/>
      <w:r>
        <w:rPr>
          <w:rFonts w:hint="eastAsia" w:ascii="Times New Roman" w:hAnsi="宋体" w:eastAsia="宋体" w:cs="Times New Roman"/>
          <w:szCs w:val="24"/>
        </w:rPr>
        <w:t xml:space="preserve">五、乙方权利义务</w:t>
      </w:r>
      <w:bookmarkEnd w:id="123"/>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1、服务时间：7×24小时。</w:t>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2、为保证甲方设备的正常运行，乙方根据设备运行情况提供每年</w:t>
      </w: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rPr>
        <w:t xml:space="preserve">次定期预防性保养，由原厂工程师或原厂认证合格的工程师根据标准操作流程和测试程序完成。</w:t>
      </w:r>
      <w:bookmarkStart w:id="124" w:name="_Hlk100650363"/>
      <w:r>
        <w:rPr>
          <w:rFonts w:hint="eastAsia" w:ascii="Times New Roman" w:hAnsi="Times New Roman" w:eastAsia="宋体" w:cs="Times New Roman"/>
          <w:color w:val="000000"/>
          <w:szCs w:val="21"/>
        </w:rPr>
        <w:t xml:space="preserve">保修期结束前一个月内，乙方通知甲方并安排最后一次预防性保养。</w:t>
      </w:r>
      <w:bookmarkEnd w:id="124"/>
      <w:r>
        <w:rPr>
          <w:rFonts w:hint="eastAsia" w:ascii="Times New Roman" w:hAnsi="Times New Roman" w:eastAsia="宋体" w:cs="Times New Roman"/>
          <w:color w:val="000000"/>
          <w:szCs w:val="21"/>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3、如设备发生故障，乙方在接到甲方报修电话后</w:t>
      </w:r>
      <w:r>
        <w:rPr>
          <w:rFonts w:hint="eastAsia" w:cs="Times New Roman"/>
          <w:color w:val="000000"/>
          <w:szCs w:val="21"/>
          <w:lang w:val="en-US" w:eastAsia="zh-CN"/>
        </w:rPr>
        <w:t xml:space="preserve">2</w:t>
      </w:r>
      <w:r>
        <w:rPr>
          <w:rFonts w:hint="eastAsia" w:ascii="Times New Roman" w:hAnsi="Times New Roman" w:eastAsia="宋体" w:cs="Times New Roman"/>
          <w:color w:val="000000"/>
          <w:szCs w:val="21"/>
        </w:rPr>
        <w:t xml:space="preserve">小时之内响应，</w:t>
      </w:r>
      <w:r>
        <w:rPr>
          <w:rFonts w:hint="default" w:ascii="Times New Roman" w:hAnsi="Times New Roman" w:eastAsia="宋体" w:cs="Times New Roman"/>
          <w:color w:val="000000"/>
          <w:szCs w:val="21"/>
        </w:rPr>
        <w:t xml:space="preserve">3</w:t>
      </w:r>
      <w:r>
        <w:rPr>
          <w:rFonts w:hint="eastAsia" w:ascii="Times New Roman" w:hAnsi="Times New Roman" w:eastAsia="宋体" w:cs="Times New Roman"/>
          <w:color w:val="000000"/>
          <w:szCs w:val="21"/>
        </w:rPr>
        <w:t xml:space="preserve">小时内到达甲方现场（若本地无维修站点，2</w:t>
      </w:r>
      <w:r>
        <w:rPr>
          <w:rFonts w:hint="default" w:ascii="Times New Roman" w:hAnsi="Times New Roman" w:eastAsia="宋体" w:cs="Times New Roman"/>
          <w:color w:val="000000"/>
          <w:szCs w:val="21"/>
        </w:rPr>
        <w:t xml:space="preserve">4</w:t>
      </w:r>
      <w:r>
        <w:rPr>
          <w:rFonts w:hint="eastAsia" w:ascii="Times New Roman" w:hAnsi="Times New Roman" w:eastAsia="宋体" w:cs="Times New Roman"/>
          <w:color w:val="000000"/>
          <w:szCs w:val="21"/>
        </w:rPr>
        <w:t xml:space="preserve">小时内到达现场）。如若乙方在4</w:t>
      </w:r>
      <w:r>
        <w:rPr>
          <w:rFonts w:hint="default" w:ascii="Times New Roman" w:hAnsi="Times New Roman" w:eastAsia="宋体" w:cs="Times New Roman"/>
          <w:color w:val="000000"/>
          <w:szCs w:val="21"/>
        </w:rPr>
        <w:t xml:space="preserve">8</w:t>
      </w:r>
      <w:r>
        <w:rPr>
          <w:rFonts w:hint="eastAsia" w:ascii="Times New Roman" w:hAnsi="Times New Roman" w:eastAsia="宋体" w:cs="Times New Roman"/>
          <w:color w:val="000000"/>
          <w:szCs w:val="21"/>
        </w:rPr>
        <w:t xml:space="preserve">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pPr>
        <w:ind w:firstLine="420"/>
        <w:spacing w:line="360" w:lineRule="auto"/>
        <w:rPr>
          <w:rFonts w:hint="eastAsia"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4</w:t>
      </w:r>
      <w:r>
        <w:rPr>
          <w:rFonts w:hint="eastAsia" w:ascii="Times New Roman" w:hAnsi="Times New Roman" w:eastAsia="宋体" w:cs="Times New Roman"/>
          <w:color w:val="000000"/>
          <w:szCs w:val="21"/>
        </w:rPr>
        <w:t xml:space="preserve">、乙方在设备故障维修中，必须免费更换保修范围内的设备备件，并承担维修期间的往返费、人工费、维修所需备件的搬运费、安装调试费以及系统软件升级等一切费用。</w:t>
      </w:r>
      <w:r>
        <w:rPr>
          <w:rFonts w:hint="eastAsia" w:ascii="Times New Roman" w:hAnsi="Times New Roman" w:eastAsia="宋体" w:cs="Times New Roman"/>
          <w:color w:val="000000"/>
          <w:szCs w:val="21"/>
          <w:lang w:val="en-US" w:eastAsia="zh-CN"/>
        </w:rPr>
        <w:t xml:space="preserve">更换的设备备件</w:t>
      </w:r>
      <w:r>
        <w:rPr>
          <w:rFonts w:hint="eastAsia"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lang w:val="en-US" w:eastAsia="zh-CN"/>
        </w:rPr>
        <w:t xml:space="preserve">应</w:t>
      </w:r>
      <w:r>
        <w:rPr>
          <w:rFonts w:hint="eastAsia" w:ascii="Times New Roman" w:hAnsi="Times New Roman" w:eastAsia="宋体" w:cs="Times New Roman"/>
          <w:color w:val="000000"/>
          <w:szCs w:val="21"/>
        </w:rPr>
        <w:t xml:space="preserve">提供原设备制造商认可</w:t>
      </w:r>
      <w:r>
        <w:rPr>
          <w:rFonts w:hint="eastAsia" w:ascii="Times New Roman" w:hAnsi="Times New Roman" w:eastAsia="宋体" w:cs="Times New Roman"/>
          <w:color w:val="000000"/>
          <w:szCs w:val="21"/>
          <w:lang w:val="en-US" w:eastAsia="zh-CN"/>
        </w:rPr>
        <w:t xml:space="preserve">并能用于原设备的相关证件</w:t>
      </w:r>
      <w:r>
        <w:rPr>
          <w:rFonts w:hint="eastAsia" w:ascii="Times New Roman" w:hAnsi="Times New Roman" w:eastAsia="宋体" w:cs="Times New Roman"/>
          <w:color w:val="000000"/>
          <w:szCs w:val="21"/>
        </w:rPr>
        <w:t xml:space="preserve">（进口产品需提供报关单）</w:t>
      </w:r>
      <w:r>
        <w:rPr>
          <w:rFonts w:hint="eastAsia" w:ascii="Times New Roman" w:hAnsi="Times New Roman" w:eastAsia="宋体" w:cs="Times New Roman"/>
          <w:color w:val="000000"/>
          <w:szCs w:val="21"/>
          <w:lang w:eastAsia="zh-CN"/>
        </w:rPr>
        <w:t xml:space="preserve">，</w:t>
      </w:r>
      <w:r>
        <w:rPr>
          <w:rFonts w:hint="eastAsia" w:ascii="Times New Roman" w:hAnsi="Times New Roman" w:eastAsia="宋体" w:cs="Times New Roman"/>
          <w:color w:val="000000"/>
          <w:szCs w:val="21"/>
        </w:rPr>
        <w:t xml:space="preserve">如乙方无法提供原装</w:t>
      </w:r>
      <w:r>
        <w:rPr>
          <w:rFonts w:hint="eastAsia" w:ascii="Times New Roman" w:hAnsi="Times New Roman" w:eastAsia="宋体" w:cs="Times New Roman"/>
          <w:color w:val="000000"/>
          <w:szCs w:val="21"/>
          <w:lang w:val="en-US" w:eastAsia="zh-CN"/>
        </w:rPr>
        <w:t xml:space="preserve">备件</w:t>
      </w:r>
      <w:r>
        <w:rPr>
          <w:rFonts w:hint="eastAsia" w:ascii="Times New Roman" w:hAnsi="Times New Roman" w:eastAsia="宋体" w:cs="Times New Roman"/>
          <w:color w:val="000000"/>
          <w:szCs w:val="21"/>
        </w:rPr>
        <w:t xml:space="preserve">的，经甲方认可后可换用与原装</w:t>
      </w:r>
      <w:r>
        <w:rPr>
          <w:rFonts w:hint="eastAsia" w:ascii="Times New Roman" w:hAnsi="Times New Roman" w:eastAsia="宋体" w:cs="Times New Roman"/>
          <w:color w:val="000000"/>
          <w:szCs w:val="21"/>
          <w:lang w:val="en-US" w:eastAsia="zh-CN"/>
        </w:rPr>
        <w:t xml:space="preserve">备件</w:t>
      </w:r>
      <w:r>
        <w:rPr>
          <w:rFonts w:hint="eastAsia" w:ascii="Times New Roman" w:hAnsi="Times New Roman" w:eastAsia="宋体" w:cs="Times New Roman"/>
          <w:color w:val="000000"/>
          <w:szCs w:val="21"/>
        </w:rPr>
        <w:t xml:space="preserve">质量性能相当的替代</w:t>
      </w:r>
      <w:r>
        <w:rPr>
          <w:rFonts w:hint="eastAsia" w:ascii="Times New Roman" w:hAnsi="Times New Roman" w:eastAsia="宋体" w:cs="Times New Roman"/>
          <w:color w:val="000000"/>
          <w:szCs w:val="21"/>
          <w:lang w:val="en-US" w:eastAsia="zh-CN"/>
        </w:rPr>
        <w:t xml:space="preserve">备件</w:t>
      </w:r>
      <w:r>
        <w:rPr>
          <w:rFonts w:hint="eastAsia" w:ascii="Times New Roman" w:hAnsi="Times New Roman" w:eastAsia="宋体" w:cs="Times New Roman"/>
          <w:color w:val="000000"/>
          <w:szCs w:val="21"/>
        </w:rPr>
        <w:t xml:space="preserve">。</w:t>
      </w:r>
      <w:r/>
    </w:p>
    <w:p>
      <w:pPr>
        <w:ind w:firstLine="420"/>
        <w:spacing w:line="360" w:lineRule="auto"/>
        <w:rPr>
          <w:rFonts w:hint="default" w:ascii="Times New Roman" w:hAnsi="Times New Roman" w:eastAsia="宋体" w:cs="Times New Roman"/>
          <w:color w:val="000000"/>
          <w:szCs w:val="21"/>
          <w:lang w:val="en-US"/>
        </w:rPr>
      </w:pP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rPr>
        <w:t xml:space="preserve">、乙方承诺：一年内开机率保证在</w:t>
      </w:r>
      <w:r>
        <w:rPr>
          <w:rFonts w:hint="default" w:ascii="Times New Roman" w:hAnsi="Times New Roman" w:eastAsia="宋体" w:cs="Times New Roman"/>
          <w:color w:val="000000"/>
          <w:szCs w:val="21"/>
        </w:rPr>
        <w:t xml:space="preserve">95</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 </w:t>
      </w:r>
      <w:r>
        <w:rPr>
          <w:rFonts w:hint="eastAsia" w:ascii="Times New Roman" w:hAnsi="Times New Roman" w:eastAsia="宋体" w:cs="Times New Roman"/>
          <w:color w:val="000000"/>
          <w:szCs w:val="21"/>
        </w:rPr>
        <w:t xml:space="preserve">以上</w:t>
      </w:r>
      <w:r>
        <w:rPr>
          <w:rFonts w:hint="eastAsia" w:cs="Times New Roman"/>
          <w:color w:val="000000"/>
          <w:szCs w:val="21"/>
          <w:lang w:eastAsia="zh-CN"/>
        </w:rPr>
        <w:t xml:space="preserve">，(按照365天/年计)</w:t>
      </w:r>
      <w:r>
        <w:rPr>
          <w:rFonts w:hint="eastAsia" w:ascii="Times New Roman" w:hAnsi="Times New Roman" w:eastAsia="宋体" w:cs="Times New Roman"/>
          <w:color w:val="000000"/>
          <w:szCs w:val="21"/>
        </w:rPr>
        <w:t xml:space="preserve">，即正常开机达到347天/年，停机时间不超过</w:t>
      </w:r>
      <w:r>
        <w:rPr>
          <w:rFonts w:hint="default" w:ascii="Times New Roman" w:hAnsi="Times New Roman" w:eastAsia="宋体" w:cs="Times New Roman"/>
          <w:color w:val="000000"/>
          <w:szCs w:val="21"/>
        </w:rPr>
        <w:t xml:space="preserve">18</w:t>
      </w:r>
      <w:r>
        <w:rPr>
          <w:rFonts w:hint="eastAsia" w:ascii="Times New Roman" w:hAnsi="Times New Roman" w:eastAsia="宋体" w:cs="Times New Roman"/>
          <w:color w:val="000000"/>
          <w:szCs w:val="21"/>
        </w:rPr>
        <w:t xml:space="preserve">天</w:t>
      </w:r>
      <w:r>
        <w:rPr>
          <w:rFonts w:hint="eastAsia" w:cs="Times New Roman"/>
          <w:color w:val="000000"/>
          <w:szCs w:val="21"/>
          <w:lang w:val="en-US" w:eastAsia="zh-CN"/>
        </w:rPr>
        <w:t xml:space="preserve">/年</w:t>
      </w:r>
      <w:r>
        <w:rPr>
          <w:rFonts w:hint="eastAsia" w:ascii="Times New Roman" w:hAnsi="Times New Roman" w:eastAsia="宋体" w:cs="Times New Roman"/>
          <w:color w:val="000000"/>
          <w:szCs w:val="21"/>
        </w:rPr>
        <w:t xml:space="preserve">，停机每超过1天，维保合同期顺延</w:t>
      </w:r>
      <w:r>
        <w:rPr>
          <w:rFonts w:hint="default" w:ascii="Times New Roman" w:hAnsi="Times New Roman" w:eastAsia="宋体" w:cs="Times New Roman"/>
          <w:color w:val="000000"/>
          <w:szCs w:val="21"/>
        </w:rPr>
        <w:t xml:space="preserve">5</w:t>
      </w:r>
      <w:r>
        <w:rPr>
          <w:rFonts w:hint="eastAsia" w:ascii="Times New Roman" w:hAnsi="Times New Roman" w:eastAsia="宋体" w:cs="Times New Roman"/>
          <w:color w:val="000000"/>
          <w:szCs w:val="21"/>
        </w:rPr>
        <w:t xml:space="preserve">天。乙方</w:t>
      </w:r>
      <w:r>
        <w:rPr>
          <w:rFonts w:hint="eastAsia" w:ascii="Times New Roman" w:hAnsi="Times New Roman" w:eastAsia="宋体" w:cs="Times New Roman"/>
          <w:color w:val="000000"/>
          <w:szCs w:val="21"/>
          <w:lang w:val="en-US" w:eastAsia="zh-CN"/>
        </w:rPr>
        <w:t xml:space="preserve">如短期内无法修复该设备，需为甲方免费提供完好备用机，直到设备修复。</w:t>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 xml:space="preserve">6</w:t>
      </w:r>
      <w:r>
        <w:rPr>
          <w:rFonts w:hint="eastAsia" w:ascii="Times New Roman" w:hAnsi="Times New Roman" w:eastAsia="宋体" w:cs="Times New Roman"/>
          <w:color w:val="000000"/>
          <w:szCs w:val="21"/>
        </w:rPr>
        <w:t xml:space="preserve">、保修期内，每次故障维修及保养结束后一周内乙方必须提供维修、保养记录、质量检测记录并交甲方临床医学工程处备案登记。</w:t>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 xml:space="preserve">7</w:t>
      </w:r>
      <w:r>
        <w:rPr>
          <w:rFonts w:hint="eastAsia" w:ascii="Times New Roman" w:hAnsi="Times New Roman" w:eastAsia="宋体" w:cs="Times New Roman"/>
          <w:color w:val="000000"/>
          <w:szCs w:val="21"/>
        </w:rPr>
        <w:t xml:space="preserve">、乙方工程师至甲方维修设备，必须事先与甲方临床医学工程处取得联系，并与甲方工程师共同完成维修工作。否则引起的一切责任由乙方负责。</w:t>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 xml:space="preserve">8</w:t>
      </w:r>
      <w:r>
        <w:rPr>
          <w:rFonts w:hint="eastAsia" w:ascii="Times New Roman" w:hAnsi="Times New Roman" w:eastAsia="宋体" w:cs="Times New Roman"/>
          <w:color w:val="000000"/>
          <w:szCs w:val="21"/>
        </w:rPr>
        <w:t xml:space="preserve">、乙方维修人员在维修期间必须遵守院方在安全、防盗、停车、周围环境卫生及排放污物的有关规定，否则引起的一切责任由乙方负责。</w:t>
      </w:r>
      <w:r/>
    </w:p>
    <w:p>
      <w:pPr>
        <w:ind w:firstLine="420"/>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六、违约责任</w:t>
      </w:r>
      <w:r/>
    </w:p>
    <w:p>
      <w:pPr>
        <w:ind w:firstLine="420"/>
        <w:spacing w:line="360" w:lineRule="auto"/>
        <w:rPr>
          <w:rFonts w:hint="default" w:ascii="Times New Roman" w:hAnsi="宋体" w:eastAsia="宋体" w:cs="Times New Roman"/>
          <w:color w:val="auto"/>
          <w:szCs w:val="24"/>
        </w:rPr>
      </w:pPr>
      <w:r>
        <w:rPr>
          <w:rFonts w:hint="default" w:ascii="Times New Roman" w:hAnsi="宋体" w:eastAsia="宋体" w:cs="Times New Roman"/>
          <w:color w:val="auto"/>
          <w:szCs w:val="24"/>
        </w:rPr>
        <w:t xml:space="preserve">1</w:t>
      </w:r>
      <w:r>
        <w:rPr>
          <w:rFonts w:hint="eastAsia" w:ascii="Times New Roman" w:hAnsi="宋体" w:eastAsia="宋体" w:cs="Times New Roman"/>
          <w:color w:val="auto"/>
          <w:szCs w:val="24"/>
        </w:rPr>
        <w:t xml:space="preserve">、自本协议生效之日起，双方应严格依约履行。一方违约，应赔偿由此给其他方造成的损失。</w:t>
      </w:r>
      <w:r/>
    </w:p>
    <w:p>
      <w:pPr>
        <w:ind w:firstLine="420"/>
        <w:spacing w:line="360" w:lineRule="auto"/>
        <w:rPr>
          <w:rFonts w:hint="default" w:ascii="Times New Roman" w:hAnsi="宋体" w:eastAsia="宋体" w:cs="Times New Roman"/>
          <w:color w:val="auto"/>
          <w:szCs w:val="24"/>
        </w:rPr>
      </w:pPr>
      <w:r>
        <w:rPr>
          <w:rFonts w:hint="eastAsia" w:ascii="Times New Roman" w:hAnsi="宋体" w:eastAsia="宋体" w:cs="Times New Roman"/>
          <w:color w:val="auto"/>
          <w:szCs w:val="24"/>
        </w:rPr>
        <w:t xml:space="preserve">2、如果乙方没有按照合同规定进行维保服务，每逾期一日，乙方应按合同金额的1%计算，但该违约金总额不超过合同总金额的30%。乙方</w:t>
      </w:r>
      <w:bookmarkStart w:id="125" w:name="_Hlk100650392"/>
      <w:r>
        <w:rPr>
          <w:rFonts w:hint="eastAsia" w:ascii="Times New Roman" w:hAnsi="宋体" w:eastAsia="宋体" w:cs="Times New Roman"/>
          <w:color w:val="auto"/>
          <w:szCs w:val="24"/>
        </w:rPr>
        <w:t xml:space="preserve">逾期不进行维保服</w:t>
      </w:r>
      <w:bookmarkEnd w:id="125"/>
      <w:r>
        <w:rPr>
          <w:rFonts w:hint="eastAsia" w:ascii="Times New Roman" w:hAnsi="宋体" w:eastAsia="宋体" w:cs="Times New Roman"/>
          <w:color w:val="auto"/>
          <w:szCs w:val="24"/>
          <w:lang w:val="en-US" w:eastAsia="zh-CN"/>
        </w:rPr>
        <w:t xml:space="preserve">务10</w:t>
      </w:r>
      <w:r>
        <w:rPr>
          <w:rFonts w:hint="eastAsia" w:ascii="Times New Roman" w:hAnsi="宋体" w:eastAsia="宋体" w:cs="Times New Roman"/>
          <w:color w:val="auto"/>
          <w:szCs w:val="24"/>
        </w:rPr>
        <w:t xml:space="preserve">日以上的，则视乙方不能提供正常维保，甲方有权因此解除本合同</w:t>
      </w:r>
      <w:r>
        <w:rPr>
          <w:rFonts w:hint="eastAsia" w:ascii="宋体" w:hAnsi="宋体" w:eastAsia="宋体" w:cs="Times New Roman"/>
          <w:color w:val="auto"/>
          <w:szCs w:val="21"/>
          <w:lang w:eastAsia="zh-CN"/>
        </w:rPr>
        <w:t xml:space="preserve">，</w:t>
      </w:r>
      <w:r>
        <w:rPr>
          <w:rFonts w:hint="eastAsia" w:ascii="宋体" w:hAnsi="宋体" w:eastAsia="宋体" w:cs="Times New Roman"/>
          <w:color w:val="auto"/>
          <w:szCs w:val="21"/>
          <w:lang w:val="en-US" w:eastAsia="zh-CN"/>
        </w:rPr>
        <w:t xml:space="preserve">同时乙方应承担</w:t>
      </w:r>
      <w:r>
        <w:rPr>
          <w:rFonts w:hint="eastAsia" w:ascii="宋体" w:hAnsi="宋体" w:eastAsia="宋体" w:cs="Times New Roman"/>
          <w:color w:val="auto"/>
          <w:szCs w:val="21"/>
        </w:rPr>
        <w:t xml:space="preserve">3</w:t>
      </w:r>
      <w:r>
        <w:rPr>
          <w:rFonts w:hint="default" w:ascii="宋体" w:hAnsi="宋体" w:eastAsia="宋体" w:cs="Times New Roman"/>
          <w:color w:val="auto"/>
          <w:szCs w:val="21"/>
        </w:rPr>
        <w:t xml:space="preserve">0</w:t>
      </w:r>
      <w:r>
        <w:rPr>
          <w:rFonts w:hint="eastAsia" w:ascii="宋体" w:hAnsi="宋体" w:eastAsia="宋体" w:cs="Times New Roman"/>
          <w:color w:val="auto"/>
          <w:szCs w:val="21"/>
        </w:rPr>
        <w:t xml:space="preserve">%</w:t>
      </w:r>
      <w:r>
        <w:rPr>
          <w:rFonts w:hint="eastAsia" w:ascii="宋体" w:hAnsi="宋体" w:eastAsia="宋体" w:cs="Times New Roman"/>
          <w:color w:val="auto"/>
          <w:szCs w:val="21"/>
          <w:lang w:val="en-US" w:eastAsia="zh-CN"/>
        </w:rPr>
        <w:t xml:space="preserve">的违约金</w:t>
      </w:r>
      <w:r>
        <w:rPr>
          <w:rFonts w:hint="eastAsia" w:ascii="宋体" w:hAnsi="宋体" w:eastAsia="宋体" w:cs="Times New Roman"/>
          <w:color w:val="auto"/>
          <w:szCs w:val="21"/>
        </w:rPr>
        <w:t xml:space="preserve">。</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color w:val="auto"/>
          <w:szCs w:val="24"/>
        </w:rPr>
        <w:t xml:space="preserve">3、乙方若违反本合同</w:t>
      </w:r>
      <w:bookmarkStart w:id="126" w:name="_Hlk100650478"/>
      <w:r>
        <w:rPr>
          <w:rFonts w:hint="eastAsia" w:ascii="Times New Roman" w:hAnsi="宋体" w:eastAsia="宋体" w:cs="Times New Roman"/>
          <w:color w:val="auto"/>
          <w:szCs w:val="24"/>
        </w:rPr>
        <w:t xml:space="preserve">第</w:t>
      </w:r>
      <w:r>
        <w:rPr>
          <w:rFonts w:hint="eastAsia" w:ascii="Times New Roman" w:hAnsi="宋体" w:eastAsia="宋体" w:cs="Times New Roman"/>
          <w:color w:val="auto"/>
          <w:szCs w:val="24"/>
          <w:lang w:val="en-US" w:eastAsia="zh-CN"/>
        </w:rPr>
        <w:t xml:space="preserve">六</w:t>
      </w:r>
      <w:r>
        <w:rPr>
          <w:rFonts w:hint="eastAsia" w:ascii="Times New Roman" w:hAnsi="宋体" w:eastAsia="宋体" w:cs="Times New Roman"/>
          <w:color w:val="auto"/>
          <w:szCs w:val="24"/>
        </w:rPr>
        <w:t xml:space="preserve">条下相关款项、</w:t>
      </w:r>
      <w:bookmarkEnd w:id="126"/>
      <w:r>
        <w:rPr>
          <w:rFonts w:hint="eastAsia" w:ascii="Times New Roman" w:hAnsi="宋体" w:eastAsia="宋体" w:cs="Times New Roman"/>
          <w:color w:val="auto"/>
          <w:szCs w:val="24"/>
        </w:rPr>
        <w:t xml:space="preserve">第</w:t>
      </w:r>
      <w:r>
        <w:rPr>
          <w:rFonts w:hint="eastAsia" w:ascii="Times New Roman" w:hAnsi="宋体" w:eastAsia="宋体" w:cs="Times New Roman"/>
          <w:color w:val="auto"/>
          <w:szCs w:val="24"/>
          <w:lang w:val="en-US" w:eastAsia="zh-CN"/>
        </w:rPr>
        <w:t xml:space="preserve">八</w:t>
      </w:r>
      <w:r>
        <w:rPr>
          <w:rFonts w:hint="eastAsia" w:ascii="Times New Roman" w:hAnsi="宋体" w:eastAsia="宋体" w:cs="Times New Roman"/>
          <w:color w:val="auto"/>
          <w:szCs w:val="24"/>
        </w:rPr>
        <w:t xml:space="preserve">条与第</w:t>
      </w:r>
      <w:r>
        <w:rPr>
          <w:rFonts w:hint="eastAsia" w:ascii="Times New Roman" w:hAnsi="宋体" w:eastAsia="宋体" w:cs="Times New Roman"/>
          <w:color w:val="auto"/>
          <w:szCs w:val="24"/>
          <w:lang w:val="en-US" w:eastAsia="zh-CN"/>
        </w:rPr>
        <w:t xml:space="preserve">九</w:t>
      </w:r>
      <w:r>
        <w:rPr>
          <w:rFonts w:hint="eastAsia" w:ascii="Times New Roman" w:hAnsi="宋体" w:eastAsia="宋体" w:cs="Times New Roman"/>
          <w:color w:val="auto"/>
          <w:szCs w:val="24"/>
        </w:rPr>
        <w:t xml:space="preserve">条视为对本合同的重大违约</w:t>
      </w:r>
      <w:r>
        <w:rPr>
          <w:rFonts w:hint="eastAsia" w:ascii="Times New Roman" w:hAnsi="宋体" w:eastAsia="宋体" w:cs="Times New Roman"/>
          <w:szCs w:val="24"/>
        </w:rPr>
        <w:t xml:space="preserve">，甲方随时有权书面通知乙方立即解除本合同。</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4、因乙方的违约行为给甲方造成损失的（包括所有直接或间接损失），如果违约金不足以补偿该损失的，甲方有权继续要求乙方赔偿甲方所有实际损失，并保留申诉的权利。</w:t>
      </w:r>
      <w:r/>
    </w:p>
    <w:p>
      <w:pPr>
        <w:spacing w:line="360" w:lineRule="auto"/>
        <w:rPr>
          <w:rFonts w:hint="default" w:ascii="Times New Roman" w:hAnsi="宋体" w:eastAsia="宋体" w:cs="Times New Roman"/>
          <w:szCs w:val="24"/>
        </w:rPr>
      </w:pPr>
      <w:r/>
      <w:bookmarkStart w:id="127" w:name="_Hlk100650496"/>
      <w:r>
        <w:rPr>
          <w:rFonts w:hint="eastAsia" w:ascii="Times New Roman" w:hAnsi="宋体" w:eastAsia="宋体" w:cs="Times New Roman"/>
          <w:szCs w:val="24"/>
        </w:rPr>
        <w:t xml:space="preserve">七、不可抗力条款</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int="default" w:ascii="Times New Roman" w:hAnsi="宋体" w:eastAsia="宋体" w:cs="Times New Roman"/>
          <w:szCs w:val="24"/>
        </w:rPr>
        <w:t xml:space="preserve">5</w:t>
      </w:r>
      <w:r>
        <w:rPr>
          <w:rFonts w:hint="eastAsia" w:ascii="Times New Roman" w:hAnsi="宋体" w:eastAsia="宋体" w:cs="Times New Roman"/>
          <w:szCs w:val="24"/>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127"/>
      <w:r/>
      <w:r/>
    </w:p>
    <w:p>
      <w:pPr>
        <w:spacing w:line="360" w:lineRule="auto"/>
        <w:tabs>
          <w:tab w:val="left" w:pos="420" w:leader="none"/>
        </w:tabs>
        <w:rPr>
          <w:rFonts w:hint="default" w:ascii="Times New Roman" w:hAnsi="宋体" w:eastAsia="宋体" w:cs="Times New Roman"/>
          <w:szCs w:val="24"/>
        </w:rPr>
      </w:pPr>
      <w:r>
        <w:rPr>
          <w:rFonts w:hint="eastAsia" w:ascii="Times New Roman" w:hAnsi="宋体" w:eastAsia="宋体" w:cs="Times New Roman"/>
          <w:szCs w:val="24"/>
        </w:rPr>
        <w:t xml:space="preserve">八、保密条款</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2、双方应确保己方人员遵守本条约定保密义务，否则由此产生的一切后果由违约方承担责任。</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3、本条约定在本协议解除、终止或被认为无效后仍然有效。</w:t>
      </w:r>
      <w:r/>
    </w:p>
    <w:p>
      <w:pPr>
        <w:spacing w:line="360" w:lineRule="auto"/>
        <w:rPr>
          <w:rFonts w:hint="default" w:ascii="Times New Roman" w:hAnsi="宋体" w:eastAsia="宋体" w:cs="Times New Roman"/>
          <w:szCs w:val="24"/>
        </w:rPr>
      </w:pPr>
      <w:r/>
      <w:bookmarkStart w:id="128" w:name="_Hlk184062533"/>
      <w:r>
        <w:rPr>
          <w:rFonts w:hint="eastAsia" w:ascii="宋体" w:hAnsi="宋体" w:eastAsia="宋体" w:cs="Times New Roman"/>
          <w:szCs w:val="21"/>
        </w:rPr>
        <w:t xml:space="preserve">九、</w:t>
      </w:r>
      <w:r>
        <w:rPr>
          <w:rFonts w:hint="eastAsia" w:ascii="Times New Roman" w:hAnsi="宋体" w:eastAsia="宋体" w:cs="Times New Roman"/>
          <w:szCs w:val="24"/>
        </w:rPr>
        <w:t xml:space="preserve">廉洁条款</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甲乙双方须遵守《</w:t>
      </w:r>
      <w:r>
        <w:rPr>
          <w:rFonts w:hint="eastAsia" w:hAnsi="宋体" w:cs="Times New Roman"/>
          <w:szCs w:val="24"/>
          <w:lang w:eastAsia="zh-CN"/>
        </w:rPr>
        <w:t xml:space="preserve"> 南京市玄武区新街口社区卫生服务中心</w:t>
      </w:r>
      <w:r>
        <w:rPr>
          <w:rFonts w:hint="eastAsia" w:ascii="Times New Roman" w:hAnsi="宋体" w:eastAsia="宋体" w:cs="Times New Roman"/>
          <w:szCs w:val="24"/>
        </w:rPr>
        <w:t xml:space="preserve">医药产品购销廉洁合约》，合约内容如下：</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为进一步加强医疗卫生行风建设，规范医疗卫生机构医药购销行为，有效防范商业贿赂行为，营造公平交易、诚实守信的购销环境，经甲、乙双方协商，同意签订本合约，并共同遵守：</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1、甲乙双方按照《民法典》及医药产品购销合同约定购销药品、医用设备、医用耗材等医药产品。</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2、甲乙双方应当严格执行医药产品购销合同验收、入库制度，对采购医药产品及发票进行查验，不得违反有关规定合同外采购供应、违价采购供应或从非规定渠道采购供应。 </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4、严禁甲方工作人员利用任何途径和方式，为乙方统计医师个人及临床科室有关医药产品用量信息，或为乙方统计提供便利。</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5、乙方不得以回扣、宴请等方式影响甲方工作人员采购或使用医药产品的选择权，乙方不得组织甲方参加旅游、娱乐、宴请等非公务活动。</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6、乙方指定销售代表必须在工作时间到甲方指定地点联系商谈，不得到住院部、门诊部、医技科室等推销医药产品，不得借故到甲方相关领导、部门负责人及相关工作人员家中访谈并提供任何好处费。</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7、乙方如违反本合约，一经发现，甲方有权终止购销合同，并向有关上级主管部门报告。如乙方被列入商业贿赂不良记录，则严格按照国家相关规定处理。</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8、本合约作为医药产品购销合同的重要组成部分，与购销合同一并执行，具有同等的法律效力。</w:t>
      </w:r>
      <w:r/>
    </w:p>
    <w:p>
      <w:pPr>
        <w:ind w:firstLine="420"/>
        <w:spacing w:line="360" w:lineRule="auto"/>
        <w:rPr>
          <w:rFonts w:hint="eastAsia" w:ascii="Times New Roman" w:hAnsi="宋体" w:eastAsia="宋体" w:cs="Times New Roman"/>
          <w:szCs w:val="24"/>
        </w:rPr>
      </w:pPr>
      <w:r>
        <w:rPr>
          <w:rFonts w:hint="eastAsia" w:ascii="Times New Roman" w:hAnsi="宋体" w:eastAsia="宋体" w:cs="Times New Roman"/>
          <w:szCs w:val="24"/>
        </w:rPr>
        <w:t xml:space="preserve">9、本条例</w:t>
      </w:r>
      <w:r>
        <w:rPr>
          <w:rFonts w:hint="eastAsia" w:ascii="Times New Roman" w:hAnsi="宋体" w:eastAsia="宋体" w:cs="Times New Roman"/>
          <w:szCs w:val="24"/>
          <w:lang w:val="en-US" w:eastAsia="zh-CN"/>
        </w:rPr>
        <w:t xml:space="preserve">由</w:t>
      </w:r>
      <w:r>
        <w:rPr>
          <w:rFonts w:hint="eastAsia" w:hAnsi="宋体" w:cs="Times New Roman"/>
          <w:szCs w:val="24"/>
          <w:lang w:eastAsia="zh-CN"/>
        </w:rPr>
        <w:t xml:space="preserve"> 南京市玄武区新街口社区卫生服务中心</w:t>
      </w:r>
      <w:r>
        <w:rPr>
          <w:rFonts w:hint="eastAsia" w:ascii="Times New Roman" w:hAnsi="宋体" w:eastAsia="宋体" w:cs="Times New Roman"/>
          <w:szCs w:val="24"/>
        </w:rPr>
        <w:t xml:space="preserve">负责解释。</w:t>
      </w:r>
      <w:bookmarkEnd w:id="128"/>
      <w:r/>
      <w:r/>
    </w:p>
    <w:p>
      <w:pPr>
        <w:spacing w:line="360" w:lineRule="auto"/>
        <w:rPr>
          <w:rFonts w:hint="default" w:ascii="Times New Roman" w:hAnsi="Times New Roman" w:eastAsia="宋体" w:cs="Times New Roman"/>
          <w:color w:val="000000"/>
          <w:szCs w:val="21"/>
        </w:rPr>
      </w:pPr>
      <w:r/>
      <w:bookmarkStart w:id="129" w:name="_Hlk184062763"/>
      <w:r>
        <w:rPr>
          <w:rFonts w:hint="eastAsia" w:ascii="Times New Roman" w:hAnsi="Times New Roman" w:eastAsia="宋体" w:cs="Times New Roman"/>
          <w:color w:val="000000"/>
          <w:szCs w:val="21"/>
        </w:rPr>
        <w:t xml:space="preserve">十、争议解决：因本合同签订以及履行过程所产生的任何纠纷，双方友好协商解决，未能协商一致的，可至甲方所在地有管辖权的法院起诉。</w:t>
      </w:r>
      <w:bookmarkEnd w:id="129"/>
      <w:r/>
      <w:r/>
    </w:p>
    <w:p>
      <w:pPr>
        <w:spacing w:line="360" w:lineRule="auto"/>
        <w:rPr>
          <w:rFonts w:hint="default" w:ascii="Times New Roman" w:hAnsi="宋体" w:eastAsia="宋体" w:cs="Times New Roman"/>
          <w:szCs w:val="24"/>
        </w:rPr>
      </w:pPr>
      <w:r/>
      <w:bookmarkStart w:id="130" w:name="_Hlk100650549"/>
      <w:r>
        <w:rPr>
          <w:rFonts w:hint="eastAsia" w:ascii="Times New Roman" w:hAnsi="宋体" w:eastAsia="宋体" w:cs="Times New Roman"/>
          <w:szCs w:val="24"/>
        </w:rPr>
        <w:t xml:space="preserve">十一、合同的解除条款</w:t>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本合同第九条下解约事由与法定解约事由出现后，解约方有权提前三个工作日书面通知对方解约，自通知送达之日起，本合同解除。</w:t>
      </w:r>
      <w:bookmarkEnd w:id="130"/>
      <w:r/>
      <w:r/>
    </w:p>
    <w:p>
      <w:pPr>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十二、其他条款</w:t>
      </w:r>
      <w:r/>
    </w:p>
    <w:p>
      <w:pPr>
        <w:ind w:firstLine="420"/>
        <w:spacing w:line="360" w:lineRule="auto"/>
        <w:rPr>
          <w:rFonts w:hint="default" w:ascii="Times New Roman" w:hAnsi="宋体" w:eastAsia="宋体" w:cs="Times New Roman"/>
          <w:szCs w:val="24"/>
        </w:rPr>
      </w:pPr>
      <w:r/>
      <w:bookmarkStart w:id="131" w:name="_Hlk100650600"/>
      <w:r>
        <w:rPr>
          <w:rFonts w:hint="eastAsia" w:ascii="Times New Roman" w:hAnsi="宋体" w:eastAsia="宋体" w:cs="Times New Roman"/>
          <w:szCs w:val="24"/>
        </w:rPr>
        <w:t xml:space="preserve">1、本项目招标文件、投标文件、合同及其附件、其他承诺为本项目不可分割的组成部分，具有同等法律效力。</w:t>
      </w:r>
      <w:bookmarkEnd w:id="131"/>
      <w:r/>
      <w:r/>
    </w:p>
    <w:p>
      <w:pPr>
        <w:ind w:firstLine="420"/>
        <w:spacing w:line="360" w:lineRule="auto"/>
        <w:rPr>
          <w:rFonts w:hint="default" w:ascii="Times New Roman" w:hAnsi="宋体" w:eastAsia="宋体" w:cs="Times New Roman"/>
          <w:szCs w:val="24"/>
        </w:rPr>
      </w:pPr>
      <w:r>
        <w:rPr>
          <w:rFonts w:hint="eastAsia" w:ascii="Times New Roman" w:hAnsi="宋体" w:eastAsia="宋体" w:cs="Times New Roman"/>
          <w:szCs w:val="24"/>
        </w:rPr>
        <w:t xml:space="preserve">2、本合同一式肆份，甲方执叁份，乙方执壹份，经双方签字盖章并加盖骑缝章后生效，未经事宜双方协商解决。</w:t>
      </w:r>
      <w:r/>
    </w:p>
    <w:p>
      <w:pPr>
        <w:ind w:firstLine="420"/>
        <w:spacing w:line="380" w:lineRule="exact"/>
        <w:rPr>
          <w:rFonts w:hint="default" w:ascii="Times New Roman" w:hAnsi="宋体" w:eastAsia="宋体" w:cs="Times New Roman"/>
          <w:szCs w:val="24"/>
        </w:rPr>
      </w:pPr>
      <w:r/>
      <w:bookmarkStart w:id="132" w:name="_Hlk100650618"/>
      <w:r>
        <w:rPr>
          <w:rFonts w:hint="eastAsia" w:ascii="Times New Roman" w:hAnsi="宋体" w:eastAsia="宋体" w:cs="Times New Roman"/>
          <w:szCs w:val="24"/>
        </w:rPr>
        <w:t xml:space="preserve">3、本合同适用的语言文字为汉语文字，本合同适用法律法规为中华人民共和国及其区域内相关法律法规，本合同条款解释语言以中文为准。</w:t>
      </w:r>
      <w:bookmarkEnd w:id="132"/>
      <w:r/>
      <w:r/>
    </w:p>
    <w:p>
      <w:pPr>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u w:val="single"/>
        </w:rPr>
        <w:t xml:space="preserve">     </w:t>
      </w:r>
      <w:r>
        <w:rPr>
          <w:rFonts w:hint="eastAsia" w:ascii="Times New Roman" w:hAnsi="宋体" w:eastAsia="宋体" w:cs="Times New Roman"/>
          <w:szCs w:val="24"/>
          <w:u w:val="single"/>
        </w:rPr>
        <w:t xml:space="preserve"> </w:t>
      </w:r>
      <w:r>
        <w:rPr>
          <w:rFonts w:hint="eastAsia" w:hAnsi="宋体" w:cs="Times New Roman"/>
          <w:szCs w:val="24"/>
          <w:u w:val="single"/>
          <w:lang w:eastAsia="zh-CN"/>
        </w:rPr>
        <w:t xml:space="preserve"> 南京市玄武区新街口社区卫生服务中心</w:t>
      </w:r>
      <w:r>
        <w:rPr>
          <w:rFonts w:hint="eastAsia" w:ascii="Times New Roman" w:hAnsi="Times New Roman" w:eastAsia="宋体" w:cs="Times New Roman"/>
          <w:color w:val="000000"/>
          <w:szCs w:val="21"/>
          <w:u w:val="single"/>
        </w:rPr>
        <w:t xml:space="preserve">     </w:t>
      </w:r>
      <w:r>
        <w:rPr>
          <w:rFonts w:hint="eastAsia" w:ascii="Times New Roman" w:hAnsi="Times New Roman" w:eastAsia="宋体" w:cs="Times New Roman"/>
          <w:color w:val="000000"/>
          <w:szCs w:val="21"/>
        </w:rPr>
        <w:t xml:space="preserve">（盖章）</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lang w:val="en-US" w:eastAsia="zh-CN"/>
        </w:rPr>
        <w:t xml:space="preserve"> 乙方</w:t>
      </w:r>
      <w:r>
        <w:rPr>
          <w:rFonts w:hint="eastAsia" w:ascii="Times New Roman" w:hAnsi="Times New Roman" w:eastAsia="宋体" w:cs="Times New Roman"/>
          <w:color w:val="000000"/>
          <w:szCs w:val="21"/>
        </w:rPr>
        <w:t xml:space="preserve">：</w:t>
      </w:r>
      <w:r>
        <w:rPr>
          <w:rFonts w:hint="eastAsia" w:ascii="楷体_GB2312" w:hAnsi="Times New Roman" w:eastAsia="楷体_GB2312" w:cs="Times New Roman"/>
          <w:color w:val="000000"/>
          <w:szCs w:val="21"/>
          <w:u w:val="single"/>
        </w:rPr>
        <w:t xml:space="preserve"> </w:t>
      </w:r>
      <w:r>
        <w:rPr>
          <w:rFonts w:hint="default" w:ascii="楷体_GB2312" w:hAnsi="Times New Roman" w:eastAsia="楷体_GB2312" w:cs="Times New Roman"/>
          <w:color w:val="000000"/>
          <w:szCs w:val="21"/>
          <w:u w:val="single"/>
        </w:rPr>
        <w:t xml:space="preserve">            </w:t>
      </w:r>
      <w:r>
        <w:rPr>
          <w:rFonts w:hint="eastAsia" w:ascii="Times New Roman" w:hAnsi="Times New Roman" w:eastAsia="宋体" w:cs="Times New Roman"/>
          <w:color w:val="000000"/>
          <w:szCs w:val="24"/>
          <w:u w:val="single"/>
        </w:rPr>
        <w:t xml:space="preserve"> </w:t>
      </w:r>
      <w:r>
        <w:rPr>
          <w:rFonts w:hint="eastAsia" w:ascii="Times New Roman" w:hAnsi="Times New Roman" w:eastAsia="宋体" w:cs="Times New Roman"/>
          <w:color w:val="000000"/>
          <w:szCs w:val="21"/>
        </w:rPr>
        <w:t xml:space="preserve">（盖章）</w:t>
      </w:r>
      <w:r/>
    </w:p>
    <w:p>
      <w:pPr>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地址：</w:t>
      </w:r>
      <w:r>
        <w:rPr>
          <w:rFonts w:hint="eastAsia" w:ascii="楷体_GB2312" w:hAnsi="Times New Roman" w:eastAsia="楷体_GB2312" w:cs="Times New Roman"/>
          <w:color w:val="000000"/>
          <w:szCs w:val="21"/>
          <w:u w:val="single"/>
        </w:rPr>
        <w:t xml:space="preserve"> </w:t>
      </w:r>
      <w:r>
        <w:rPr>
          <w:rFonts w:hint="eastAsia" w:ascii="楷体_GB2312" w:eastAsia="楷体_GB2312" w:cs="Times New Roman"/>
          <w:color w:val="000000"/>
          <w:szCs w:val="21"/>
          <w:u w:val="single"/>
          <w:lang w:val="en-US" w:eastAsia="zh-CN"/>
        </w:rPr>
        <w:t xml:space="preserve"> </w:t>
      </w:r>
      <w:r>
        <w:rPr>
          <w:rFonts w:hint="eastAsia" w:hAnsi="宋体" w:cs="Times New Roman"/>
          <w:szCs w:val="24"/>
          <w:u w:val="single"/>
          <w:lang w:val="en-US" w:eastAsia="zh-CN"/>
        </w:rPr>
        <w:t xml:space="preserve">南京市玄武区杨将军巷21号</w:t>
      </w:r>
      <w:r>
        <w:rPr>
          <w:rFonts w:hint="eastAsia" w:ascii="楷体_GB2312" w:eastAsia="楷体_GB2312" w:cs="Times New Roman"/>
          <w:color w:val="000000"/>
          <w:szCs w:val="21"/>
          <w:u w:val="single"/>
          <w:lang w:val="en-US" w:eastAsia="zh-CN"/>
        </w:rPr>
        <w:t xml:space="preserve">   </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rPr>
        <w:t xml:space="preserve">         </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lang w:val="en-US" w:eastAsia="zh-CN"/>
        </w:rPr>
        <w:t xml:space="preserve">地址</w:t>
      </w:r>
      <w:r>
        <w:rPr>
          <w:rFonts w:hint="eastAsia" w:ascii="Times New Roman" w:hAnsi="Times New Roman" w:eastAsia="宋体" w:cs="Times New Roman"/>
          <w:color w:val="000000"/>
          <w:szCs w:val="21"/>
        </w:rPr>
        <w:t xml:space="preserve">：</w:t>
      </w:r>
      <w:r>
        <w:rPr>
          <w:rFonts w:hint="eastAsia" w:ascii="楷体_GB2312" w:hAnsi="Times New Roman" w:eastAsia="楷体_GB2312" w:cs="Times New Roman"/>
          <w:color w:val="000000"/>
          <w:szCs w:val="21"/>
          <w:u w:val="single"/>
        </w:rPr>
        <w:t xml:space="preserve"> </w:t>
      </w:r>
      <w:r>
        <w:rPr>
          <w:rFonts w:hint="default" w:ascii="楷体_GB2312" w:hAnsi="Times New Roman" w:eastAsia="楷体_GB2312" w:cs="Times New Roman"/>
          <w:color w:val="000000"/>
          <w:szCs w:val="21"/>
          <w:u w:val="single"/>
        </w:rPr>
        <w:t xml:space="preserve">                   </w:t>
      </w:r>
      <w:r>
        <w:rPr>
          <w:rFonts w:hint="eastAsia" w:ascii="楷体_GB2312" w:hAnsi="Times New Roman" w:eastAsia="楷体_GB2312" w:cs="Times New Roman"/>
          <w:color w:val="000000"/>
          <w:szCs w:val="21"/>
          <w:u w:val="single"/>
        </w:rPr>
        <w:t xml:space="preserve"> </w:t>
      </w:r>
      <w:r>
        <w:rPr>
          <w:rFonts w:hint="eastAsia" w:ascii="Times New Roman" w:hAnsi="Times New Roman" w:eastAsia="宋体" w:cs="Times New Roman"/>
          <w:color w:val="000000"/>
          <w:sz w:val="18"/>
          <w:szCs w:val="18"/>
          <w:u w:val="single"/>
        </w:rPr>
        <w:t xml:space="preserve"> </w:t>
      </w:r>
      <w:r/>
    </w:p>
    <w:p>
      <w:pPr>
        <w:spacing w:line="360" w:lineRule="auto"/>
        <w:rPr>
          <w:rFonts w:hint="eastAsia" w:ascii="宋体" w:hAnsi="宋体" w:eastAsia="宋体" w:cs="Times New Roman"/>
          <w:bCs/>
          <w:iCs/>
          <w:color w:val="000000"/>
          <w:sz w:val="22"/>
          <w:szCs w:val="24"/>
          <w:u w:val="single"/>
        </w:rPr>
      </w:pPr>
      <w:r>
        <w:rPr>
          <w:rFonts w:hint="eastAsia" w:ascii="Times New Roman" w:hAnsi="Times New Roman" w:eastAsia="宋体" w:cs="Times New Roman"/>
          <w:color w:val="000000"/>
          <w:szCs w:val="21"/>
        </w:rPr>
        <w:t xml:space="preserve">联系方式：</w:t>
      </w:r>
      <w:r>
        <w:rPr>
          <w:rFonts w:hint="eastAsia" w:cs="Times New Roman"/>
          <w:color w:val="000000"/>
          <w:szCs w:val="21"/>
          <w:u w:val="single"/>
          <w:lang w:val="en-US" w:eastAsia="zh-CN"/>
        </w:rPr>
        <w:t xml:space="preserve">       </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rPr>
        <w:t xml:space="preserve"> </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lang w:val="en-US" w:eastAsia="zh-CN"/>
        </w:rPr>
        <w:t xml:space="preserve">  </w:t>
      </w:r>
      <w:r>
        <w:rPr>
          <w:rFonts w:hint="eastAsia" w:cs="Times New Roman"/>
          <w:color w:val="000000"/>
          <w:szCs w:val="21"/>
          <w:lang w:val="en-US" w:eastAsia="zh-CN"/>
        </w:rPr>
        <w:t xml:space="preserve">      </w:t>
      </w:r>
      <w:r>
        <w:rPr>
          <w:rFonts w:hint="eastAsia" w:ascii="Times New Roman" w:hAnsi="Times New Roman" w:eastAsia="宋体" w:cs="Times New Roman"/>
          <w:color w:val="000000"/>
          <w:szCs w:val="21"/>
          <w:lang w:val="en-US" w:eastAsia="zh-CN"/>
        </w:rPr>
        <w:t xml:space="preserve">联系方式</w:t>
      </w:r>
      <w:r>
        <w:rPr>
          <w:rFonts w:hint="eastAsia" w:ascii="楷体_GB2312" w:hAnsi="Times New Roman" w:eastAsia="楷体_GB2312" w:cs="Times New Roman"/>
          <w:color w:val="000000"/>
          <w:szCs w:val="21"/>
          <w:u w:val="single"/>
        </w:rPr>
        <w:t xml:space="preserve">：</w:t>
      </w:r>
      <w:r>
        <w:rPr>
          <w:rFonts w:hint="default" w:ascii="楷体_GB2312" w:hAnsi="Times New Roman" w:eastAsia="楷体_GB2312" w:cs="Times New Roman"/>
          <w:color w:val="000000"/>
          <w:szCs w:val="21"/>
          <w:u w:val="single"/>
        </w:rPr>
        <w:t xml:space="preserve">             </w:t>
      </w:r>
      <w:r/>
    </w:p>
    <w:p>
      <w:pPr>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甲方法定代表人</w:t>
      </w:r>
      <w:r>
        <w:rPr>
          <w:rFonts w:hint="eastAsia" w:ascii="Times New Roman" w:hAnsi="Times New Roman" w:eastAsia="宋体" w:cs="Times New Roman"/>
          <w:color w:val="000000"/>
          <w:szCs w:val="21"/>
          <w:lang w:eastAsia="zh-CN"/>
        </w:rPr>
        <w:t xml:space="preserve">：</w:t>
      </w:r>
      <w:r>
        <w:rPr>
          <w:rFonts w:hint="default"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rPr>
        <w:t xml:space="preserve">乙方法定代表人</w:t>
      </w:r>
      <w:r>
        <w:rPr>
          <w:rFonts w:hint="eastAsia" w:ascii="Times New Roman" w:hAnsi="Times New Roman" w:eastAsia="宋体" w:cs="Times New Roman"/>
          <w:color w:val="000000"/>
          <w:szCs w:val="21"/>
          <w:lang w:eastAsia="zh-CN"/>
        </w:rPr>
        <w:t xml:space="preserve">：</w:t>
      </w:r>
      <w:r>
        <w:rPr>
          <w:rFonts w:hint="default" w:ascii="Times New Roman" w:hAnsi="Times New Roman" w:eastAsia="宋体" w:cs="Times New Roman"/>
          <w:color w:val="000000"/>
          <w:szCs w:val="21"/>
        </w:rPr>
        <w:t xml:space="preserve"> </w:t>
      </w:r>
      <w:r/>
    </w:p>
    <w:p>
      <w:pPr>
        <w:spacing w:line="360" w:lineRule="auto"/>
        <w:rPr>
          <w:rFonts w:hint="default"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或授权委托人：</w:t>
      </w:r>
      <w:r>
        <w:rPr>
          <w:rFonts w:hint="default" w:ascii="Times New Roman" w:hAnsi="Times New Roman" w:eastAsia="宋体" w:cs="Times New Roman"/>
          <w:color w:val="000000"/>
          <w:szCs w:val="21"/>
        </w:rPr>
        <w:t xml:space="preserve">______________________           </w:t>
      </w:r>
      <w:r>
        <w:rPr>
          <w:rFonts w:hint="eastAsia" w:ascii="Times New Roman" w:hAnsi="Times New Roman" w:eastAsia="宋体" w:cs="Times New Roman"/>
          <w:color w:val="000000"/>
          <w:szCs w:val="21"/>
        </w:rPr>
        <w:t xml:space="preserve">或授权委托人：</w:t>
      </w:r>
      <w:r>
        <w:rPr>
          <w:rFonts w:hint="default" w:ascii="Times New Roman" w:hAnsi="Times New Roman" w:eastAsia="宋体" w:cs="Times New Roman"/>
          <w:color w:val="000000"/>
          <w:szCs w:val="21"/>
        </w:rPr>
        <w:t xml:space="preserve">_____________________                                                  </w:t>
      </w:r>
      <w:r/>
    </w:p>
    <w:p>
      <w:pPr>
        <w:spacing w:line="360" w:lineRule="auto"/>
        <w:rPr>
          <w:rFonts w:hint="eastAsia" w:ascii="Times New Roman" w:hAnsi="Times New Roman" w:eastAsia="宋体" w:cs="Times New Roman"/>
          <w:color w:val="000000"/>
          <w:szCs w:val="21"/>
          <w:u w:val="single"/>
        </w:rPr>
      </w:pPr>
      <w:r>
        <w:rPr>
          <w:rFonts w:hint="eastAsia" w:ascii="Times New Roman" w:hAnsi="Times New Roman" w:eastAsia="宋体" w:cs="Times New Roman"/>
          <w:color w:val="000000"/>
          <w:szCs w:val="21"/>
        </w:rPr>
        <w:t xml:space="preserve">日期：</w:t>
      </w:r>
      <w:r>
        <w:rPr>
          <w:rFonts w:hint="default" w:ascii="Times New Roman" w:hAnsi="Times New Roman" w:eastAsia="宋体" w:cs="Times New Roman"/>
          <w:color w:val="000000"/>
          <w:szCs w:val="21"/>
        </w:rPr>
        <w:t xml:space="preserve">______________________________           </w:t>
      </w:r>
      <w:r>
        <w:rPr>
          <w:rFonts w:hint="eastAsia" w:ascii="Times New Roman" w:hAnsi="Times New Roman" w:eastAsia="宋体" w:cs="Times New Roman"/>
          <w:color w:val="000000"/>
          <w:szCs w:val="21"/>
        </w:rPr>
        <w:t xml:space="preserve">日期：</w:t>
      </w:r>
      <w:r>
        <w:rPr>
          <w:rFonts w:hint="default" w:ascii="Times New Roman" w:hAnsi="Times New Roman" w:eastAsia="宋体" w:cs="Times New Roman"/>
          <w:color w:val="000000"/>
          <w:szCs w:val="21"/>
          <w:u w:val="single"/>
        </w:rPr>
        <w:t xml:space="preserve">_                           </w:t>
      </w:r>
      <w:r/>
    </w:p>
    <w:p>
      <w:pPr>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pStyle w:val="971"/>
        <w:jc w:val="both"/>
        <w:spacing w:beforeAutospacing="0" w:afterAutospacing="0"/>
        <w:widowControl/>
        <w:rPr>
          <w:rFonts w:hint="eastAsia" w:ascii="宋体" w:hAnsi="宋体" w:eastAsia="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r>
      <w:r/>
    </w:p>
    <w:p>
      <w:pPr>
        <w:pStyle w:val="971"/>
        <w:jc w:val="both"/>
        <w:spacing w:beforeAutospacing="0" w:afterAutospacing="0"/>
        <w:widowControl/>
        <w:rPr>
          <w:rFonts w:hint="eastAsia" w:ascii="宋体" w:hAnsi="宋体" w:eastAsia="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r>
      <w:r/>
    </w:p>
    <w:p>
      <w:pPr>
        <w:pStyle w:val="971"/>
        <w:jc w:val="both"/>
        <w:spacing w:beforeAutospacing="0" w:afterAutospacing="0"/>
        <w:widowControl/>
        <w:rPr>
          <w:rFonts w:hint="eastAsia" w:ascii="宋体" w:hAnsi="宋体" w:eastAsia="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r>
      <w:r/>
    </w:p>
    <w:p>
      <w:pPr>
        <w:pStyle w:val="971"/>
        <w:jc w:val="both"/>
        <w:spacing w:beforeAutospacing="0" w:afterAutospacing="0"/>
        <w:widowControl/>
        <w:rPr>
          <w:rFonts w:hint="eastAsia" w:ascii="宋体" w:hAnsi="宋体" w:eastAsia="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r>
      <w:r/>
    </w:p>
    <w:p>
      <w:pPr>
        <w:pStyle w:val="971"/>
        <w:jc w:val="center"/>
        <w:spacing w:beforeAutospacing="0" w:afterAutospacing="0"/>
        <w:widowControl/>
        <w:rPr>
          <w:rFonts w:hint="eastAsia" w:ascii="宋体" w:hAnsi="宋体" w:eastAsia="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r>
      <w:r/>
    </w:p>
    <w:p>
      <w:pPr>
        <w:pStyle w:val="971"/>
        <w:jc w:val="center"/>
        <w:spacing w:beforeAutospacing="0" w:afterAutospacing="0"/>
        <w:widowControl/>
        <w:rPr>
          <w:rFonts w:hint="eastAsia" w:ascii="宋体" w:hAnsi="宋体" w:eastAsia="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r>
      <w:r/>
    </w:p>
    <w:p>
      <w:pPr>
        <w:pStyle w:val="971"/>
        <w:jc w:val="center"/>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t xml:space="preserve">投标文件</w:t>
      </w:r>
      <w:r/>
    </w:p>
    <w:p>
      <w:pPr>
        <w:pStyle w:val="971"/>
        <w:jc w:val="center"/>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t xml:space="preserve"> </w:t>
      </w:r>
      <w:r/>
    </w:p>
    <w:p>
      <w:pPr>
        <w:pStyle w:val="971"/>
        <w:jc w:val="center"/>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72"/>
          <w:szCs w:val="72"/>
          <w:highlight w:val="none"/>
        </w:rPr>
        <w:t xml:space="preserve"> </w:t>
      </w:r>
      <w:r/>
    </w:p>
    <w:p>
      <w:pPr>
        <w:pStyle w:val="971"/>
        <w:jc w:val="center"/>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 </w:t>
      </w:r>
      <w:r/>
    </w:p>
    <w:p>
      <w:pPr>
        <w:pStyle w:val="971"/>
        <w:jc w:val="center"/>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 </w:t>
      </w:r>
      <w:r/>
    </w:p>
    <w:p>
      <w:pPr>
        <w:pStyle w:val="971"/>
        <w:jc w:val="center"/>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 </w:t>
      </w:r>
      <w:r/>
    </w:p>
    <w:p>
      <w:pPr>
        <w:pStyle w:val="971"/>
        <w:ind w:firstLine="1081"/>
        <w:jc w:val="both"/>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项 目 名 称：</w:t>
      </w:r>
      <w:r>
        <w:rPr>
          <w:rFonts w:hint="eastAsia" w:ascii="宋体" w:hAnsi="宋体" w:eastAsia="宋体" w:cs="宋体"/>
          <w:b/>
          <w:bCs/>
          <w:color w:val="000000"/>
          <w:sz w:val="36"/>
          <w:szCs w:val="36"/>
          <w:highlight w:val="none"/>
          <w:u w:val="single"/>
        </w:rPr>
        <w:t xml:space="preserve">          </w:t>
      </w:r>
      <w:r/>
    </w:p>
    <w:p>
      <w:pPr>
        <w:pStyle w:val="971"/>
        <w:ind w:firstLine="1081"/>
        <w:jc w:val="both"/>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招 标 编 号：</w:t>
      </w:r>
      <w:r>
        <w:rPr>
          <w:rFonts w:hint="eastAsia" w:ascii="宋体" w:hAnsi="宋体" w:eastAsia="宋体" w:cs="宋体"/>
          <w:b/>
          <w:bCs/>
          <w:color w:val="000000"/>
          <w:sz w:val="36"/>
          <w:szCs w:val="36"/>
          <w:highlight w:val="none"/>
          <w:u w:val="single"/>
        </w:rPr>
        <w:t xml:space="preserve">          </w:t>
      </w:r>
      <w:r/>
    </w:p>
    <w:p>
      <w:pPr>
        <w:pStyle w:val="971"/>
        <w:jc w:val="both"/>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   投标人名称 ：</w:t>
      </w:r>
      <w:r>
        <w:rPr>
          <w:rFonts w:hint="eastAsia" w:ascii="宋体" w:hAnsi="宋体" w:eastAsia="宋体" w:cs="宋体"/>
          <w:b/>
          <w:bCs/>
          <w:color w:val="000000"/>
          <w:sz w:val="36"/>
          <w:szCs w:val="36"/>
          <w:highlight w:val="none"/>
          <w:u w:val="single"/>
        </w:rPr>
        <w:t xml:space="preserve">（加盖CA电子公章）</w:t>
      </w:r>
      <w:r/>
    </w:p>
    <w:p>
      <w:pPr>
        <w:pStyle w:val="971"/>
        <w:jc w:val="both"/>
        <w:spacing w:beforeAutospacing="0" w:afterAutospacing="0"/>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rPr>
        <w:t xml:space="preserve">   日     期 ：</w:t>
      </w:r>
      <w:r>
        <w:rPr>
          <w:rFonts w:hint="eastAsia" w:ascii="宋体" w:hAnsi="宋体" w:eastAsia="宋体" w:cs="宋体"/>
          <w:b/>
          <w:bCs/>
          <w:color w:val="000000"/>
          <w:sz w:val="36"/>
          <w:szCs w:val="36"/>
          <w:highlight w:val="none"/>
          <w:u w:val="single"/>
        </w:rPr>
        <w:t xml:space="preserve">          </w:t>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（一）投标函(格式)：</w:t>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投  标  函</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致苏美达国际技术贸易有限公司：</w:t>
      </w:r>
      <w:r/>
    </w:p>
    <w:p>
      <w:pPr>
        <w:ind w:firstLine="420"/>
        <w:jc w:val="left"/>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我方收到贵方编号</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八、如果我方被确定为</w:t>
      </w:r>
      <w:r>
        <w:rPr>
          <w:rFonts w:hint="eastAsia" w:ascii="宋体" w:hAnsi="宋体" w:cs="宋体"/>
          <w:bCs/>
          <w:szCs w:val="21"/>
          <w:highlight w:val="none"/>
          <w:lang w:eastAsia="zh-CN"/>
        </w:rPr>
        <w:t xml:space="preserve">中标人</w:t>
      </w:r>
      <w:r>
        <w:rPr>
          <w:rFonts w:hint="eastAsia" w:ascii="宋体" w:hAnsi="宋体" w:eastAsia="宋体" w:cs="宋体"/>
          <w:bCs/>
          <w:szCs w:val="21"/>
          <w:highlight w:val="none"/>
        </w:rPr>
        <w:t xml:space="preserve">，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投标人(盖章)：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法定代表人或法定代表人授权代表签字或盖章：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电话：                              传真：</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通讯地址：                          邮编：</w:t>
      </w:r>
      <w:r/>
    </w:p>
    <w:p>
      <w:pPr>
        <w:spacing w:line="360" w:lineRule="auto"/>
        <w:rPr>
          <w:rFonts w:hint="eastAsia" w:ascii="宋体" w:hAnsi="宋体" w:eastAsia="宋体" w:cs="宋体"/>
          <w:bCs/>
          <w:sz w:val="24"/>
          <w:szCs w:val="24"/>
          <w:highlight w:val="none"/>
        </w:rPr>
        <w:sectPr>
          <w:headerReference w:type="default" r:id="rId11"/>
          <w:footerReference w:type="default" r:id="rId17"/>
          <w:footnotePr/>
          <w:endnotePr/>
          <w:type w:val="nextPage"/>
          <w:pgSz w:w="11907" w:h="16840" w:orient="portrait"/>
          <w:pgMar w:top="1134" w:right="1134" w:bottom="1134" w:left="1134" w:header="851" w:footer="992" w:gutter="0"/>
          <w:cols w:num="1" w:sep="0" w:space="1701" w:equalWidth="1"/>
          <w:docGrid w:linePitch="360"/>
        </w:sectPr>
        <w:outlineLvl w:val="0"/>
      </w:pPr>
      <w:r>
        <w:rPr>
          <w:rFonts w:hint="eastAsia" w:ascii="宋体" w:hAnsi="宋体" w:eastAsia="宋体" w:cs="宋体"/>
          <w:bCs/>
          <w:sz w:val="24"/>
          <w:szCs w:val="24"/>
          <w:highlight w:val="none"/>
        </w:rPr>
      </w:r>
      <w:r/>
    </w:p>
    <w:p>
      <w:pPr>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二</w:t>
      </w:r>
      <w:r>
        <w:rPr>
          <w:rFonts w:hint="eastAsia" w:ascii="宋体" w:hAnsi="宋体" w:eastAsia="宋体" w:cs="宋体"/>
          <w:b/>
          <w:sz w:val="24"/>
          <w:szCs w:val="24"/>
          <w:highlight w:val="none"/>
        </w:rPr>
        <w:t xml:space="preserve">）法定代表人授权委托书(格式)：</w:t>
      </w:r>
      <w:r/>
    </w:p>
    <w:p>
      <w:pP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法定代表人授权委托书</w:t>
      </w:r>
      <w:r/>
    </w:p>
    <w:p>
      <w:pPr>
        <w:jc w:val="center"/>
        <w:spacing w:line="360" w:lineRule="auto"/>
        <w:rPr>
          <w:rFonts w:hint="eastAsia" w:ascii="宋体" w:hAnsi="宋体" w:eastAsia="宋体" w:cs="宋体"/>
          <w:bCs/>
          <w:sz w:val="28"/>
          <w:szCs w:val="28"/>
          <w:highlight w:val="none"/>
        </w:rPr>
        <w:outlineLvl w:val="0"/>
      </w:pPr>
      <w:r>
        <w:rPr>
          <w:rFonts w:hint="eastAsia" w:ascii="宋体" w:hAnsi="宋体" w:eastAsia="宋体" w:cs="宋体"/>
          <w:bCs/>
          <w:sz w:val="28"/>
          <w:szCs w:val="28"/>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 w:val="30"/>
          <w:highlight w:val="none"/>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Cs w:val="21"/>
          <w:highlight w:val="none"/>
        </w:rPr>
        <w:t xml:space="preserve">           招标编号：</w:t>
      </w:r>
      <w:r/>
    </w:p>
    <w:p>
      <w:pPr>
        <w:ind w:firstLine="46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日期：</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苏美达国际技术贸易有限公司：</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系中华人民共和国合法企业，特授权</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代表我公司(单位)全权办理针对本项目</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的投标、参与开标、评标、签约等具体工作，并签署全部有关的文件、协议及合同。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我公司(单位)对被授权人的签名负全部责任。</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被授权人情况：</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姓名：         性别：             电话：</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投标人(盖章)：</w:t>
      </w:r>
      <w:r/>
    </w:p>
    <w:p>
      <w:pPr>
        <w:ind w:firstLine="357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357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法定代表人(签字或盖章)：</w:t>
      </w:r>
      <w:r/>
    </w:p>
    <w:p>
      <w:pPr>
        <w:ind w:firstLine="40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0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0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0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0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951"/>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投标人法定代表人身份证：</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mc:AlternateContent>
          <mc:Choice Requires="wpg">
            <w:drawing>
              <wp:inline xmlns:wp="http://schemas.openxmlformats.org/drawingml/2006/wordprocessingDrawing" distT="0" distB="0" distL="0" distR="0">
                <wp:extent cx="2418080" cy="1584960"/>
                <wp:effectExtent l="0" t="0" r="0" b="0"/>
                <wp:docPr id="4" name="文本框 4"/>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sz w:val="32"/>
          <w:szCs w:val="32"/>
          <w:highlight w:val="none"/>
        </w:rPr>
        <w:t xml:space="preserve"> </w:t>
      </w:r>
      <w:r>
        <w:rPr>
          <w:rFonts w:hint="eastAsia" w:ascii="宋体" w:hAnsi="宋体" w:eastAsia="宋体" w:cs="宋体"/>
          <w:bCs/>
          <w:sz w:val="24"/>
          <w:szCs w:val="24"/>
          <w:highlight w:val="none"/>
        </w:rPr>
        <mc:AlternateContent>
          <mc:Choice Requires="wpg">
            <w:drawing>
              <wp:inline xmlns:wp="http://schemas.openxmlformats.org/drawingml/2006/wordprocessingDrawing" distT="0" distB="0" distL="0" distR="0">
                <wp:extent cx="2395855" cy="1584960"/>
                <wp:effectExtent l="0" t="0" r="0" b="0"/>
                <wp:docPr id="5" name="文本框 5"/>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sz w:val="24"/>
          <w:szCs w:val="24"/>
          <w:highlight w:val="none"/>
        </w:rPr>
        <w:t xml:space="preserve">       </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法定代表人授权代表身份证：（</w:t>
      </w:r>
      <w:r>
        <w:rPr>
          <w:rFonts w:hint="eastAsia" w:ascii="宋体" w:hAnsi="宋体" w:eastAsia="宋体" w:cs="宋体"/>
          <w:b/>
          <w:bCs/>
          <w:sz w:val="24"/>
          <w:szCs w:val="24"/>
          <w:highlight w:val="none"/>
        </w:rPr>
        <w:t xml:space="preserve">法定代表人亲自参与投标的除外）</w:t>
      </w:r>
      <w:r/>
    </w:p>
    <w:p>
      <w:pPr>
        <w:pStyle w:val="951"/>
        <w:rPr>
          <w:rFonts w:hint="eastAsia" w:ascii="宋体" w:hAnsi="宋体" w:eastAsia="宋体" w:cs="宋体"/>
          <w:highlight w:val="none"/>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414270" cy="1584960"/>
                <wp:effectExtent l="0" t="0" r="0" b="0"/>
                <wp:docPr id="6" name="文本框 6"/>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397125" cy="1584960"/>
                <wp:effectExtent l="0" t="0" r="0" b="0"/>
                <wp:docPr id="7" name="文本框 7"/>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）开标一览表(</w:t>
      </w:r>
      <w:r>
        <w:rPr>
          <w:rFonts w:hint="eastAsia" w:ascii="宋体" w:hAnsi="宋体" w:eastAsia="宋体" w:cs="宋体"/>
          <w:b/>
          <w:sz w:val="24"/>
          <w:szCs w:val="24"/>
          <w:highlight w:val="none"/>
          <w:lang w:val="en-US" w:eastAsia="zh-CN"/>
        </w:rPr>
        <w:t xml:space="preserve">系统生成</w:t>
      </w:r>
      <w:r>
        <w:rPr>
          <w:rFonts w:hint="eastAsia" w:ascii="宋体" w:hAnsi="宋体" w:eastAsia="宋体" w:cs="宋体"/>
          <w:b/>
          <w:sz w:val="24"/>
          <w:szCs w:val="24"/>
          <w:highlight w:val="none"/>
        </w:rPr>
        <w:t xml:space="preserve">)：</w:t>
      </w:r>
      <w:r/>
    </w:p>
    <w:p>
      <w:pPr>
        <w:rPr>
          <w:rFonts w:hint="eastAsia" w:ascii="宋体" w:hAnsi="宋体" w:eastAsia="宋体" w:cs="宋体"/>
          <w:bCs/>
          <w:sz w:val="28"/>
          <w:szCs w:val="28"/>
          <w:highlight w:val="none"/>
        </w:rPr>
        <w:outlineLvl w:val="0"/>
      </w:pPr>
      <w:r>
        <w:rPr>
          <w:rFonts w:hint="eastAsia" w:ascii="宋体" w:hAnsi="宋体" w:eastAsia="宋体" w:cs="宋体"/>
          <w:bCs/>
          <w:sz w:val="28"/>
          <w:szCs w:val="28"/>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开标一览表</w:t>
      </w:r>
      <w:r/>
    </w:p>
    <w:p>
      <w:pPr>
        <w:spacing w:line="400" w:lineRule="exact"/>
        <w:rPr>
          <w:rFonts w:hint="eastAsia" w:ascii="宋体" w:hAnsi="宋体" w:eastAsia="宋体" w:cs="宋体"/>
          <w:b/>
          <w:sz w:val="36"/>
          <w:szCs w:val="28"/>
          <w:lang w:val="en-US" w:eastAsia="zh-CN"/>
        </w:rPr>
      </w:pPr>
      <w:r>
        <w:rPr>
          <w:rFonts w:hint="eastAsia" w:ascii="宋体" w:hAnsi="宋体" w:eastAsia="宋体" w:cs="宋体"/>
          <w:szCs w:val="21"/>
          <w:highlight w:val="none"/>
        </w:rPr>
        <w:t xml:space="preserve">投标人名称（盖章）                              招标编号：</w:t>
      </w:r>
      <w:r/>
    </w:p>
    <w:p>
      <w:pPr>
        <w:spacing w:line="400" w:lineRule="exact"/>
        <w:rPr>
          <w:rFonts w:hint="eastAsia" w:ascii="宋体" w:hAnsi="宋体" w:eastAsia="宋体" w:cs="宋体"/>
          <w:b/>
          <w:bCs w:val="0"/>
          <w:sz w:val="24"/>
          <w:szCs w:val="24"/>
        </w:rPr>
      </w:pPr>
      <w:r>
        <w:rPr>
          <w:rFonts w:hint="eastAsia" w:ascii="宋体" w:hAnsi="宋体" w:eastAsia="宋体" w:cs="宋体"/>
          <w:b/>
          <w:bCs w:val="0"/>
          <w:sz w:val="24"/>
          <w:szCs w:val="24"/>
        </w:rPr>
      </w:r>
      <w:r/>
    </w:p>
    <w:tbl>
      <w:tblPr>
        <w:tblStyle w:val="882"/>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项目总报价</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r>
        <w:trPr>
          <w:jc w:val="center"/>
          <w:trHeight w:val="672"/>
        </w:trPr>
        <w:tc>
          <w:tcPr>
            <w:tcW w:w="2076" w:type="dxa"/>
            <w:vAlign w:val="center"/>
            <w:textDirection w:val="lrTb"/>
            <w:noWrap w:val="false"/>
          </w:tcPr>
          <w:p>
            <w:pPr>
              <w:jc w:val="cente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服务期限 </w:t>
            </w:r>
            <w:r/>
          </w:p>
        </w:tc>
        <w:tc>
          <w:tcPr>
            <w:tcW w:w="7560" w:type="dxa"/>
            <w:vAlign w:val="center"/>
            <w:textDirection w:val="lrTb"/>
            <w:noWrap w:val="false"/>
          </w:tcPr>
          <w:p>
            <w:pPr>
              <w:ind w:firstLine="240"/>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3年</w:t>
            </w:r>
            <w:r/>
          </w:p>
        </w:tc>
      </w:tr>
    </w:tbl>
    <w:p>
      <w:pPr>
        <w:numPr>
          <w:ilvl w:val="0"/>
          <w:numId w:val="0"/>
        </w:num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r>
      <w:r/>
    </w:p>
    <w:p>
      <w:pPr>
        <w:pStyle w:val="909"/>
        <w:ind w:left="126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09"/>
        <w:ind w:left="126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09"/>
        <w:ind w:left="1260"/>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szCs w:val="21"/>
          <w:highlight w:val="none"/>
        </w:rPr>
        <w:outlineLvl w:val="0"/>
      </w:pPr>
      <w:r>
        <w:rPr>
          <w:rFonts w:hint="eastAsia" w:ascii="宋体" w:hAnsi="宋体" w:eastAsia="宋体" w:cs="宋体"/>
          <w:szCs w:val="21"/>
          <w:highlight w:val="none"/>
        </w:rPr>
        <w:t xml:space="preserve">法定代表人或法定代表人授权代表签字或盖章：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）细目报价表 (格式)：</w:t>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细目报价表</w:t>
      </w:r>
      <w:r/>
    </w:p>
    <w:p>
      <w:pPr>
        <w:pStyle w:val="951"/>
        <w:rPr>
          <w:rFonts w:hint="eastAsia" w:ascii="宋体" w:hAnsi="宋体" w:eastAsia="宋体" w:cs="宋体"/>
          <w:highlight w:val="none"/>
        </w:rPr>
      </w:pPr>
      <w:r>
        <w:rPr>
          <w:rFonts w:hint="eastAsia" w:ascii="宋体" w:hAnsi="宋体" w:eastAsia="宋体" w:cs="宋体"/>
          <w:highlight w:val="none"/>
        </w:rPr>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投标人名称（盖章）                              招标编号：</w:t>
      </w:r>
      <w:r/>
    </w:p>
    <w:p>
      <w:pPr>
        <w:spacing w:line="240" w:lineRule="exact"/>
        <w:rPr>
          <w:rFonts w:hint="eastAsia" w:ascii="宋体" w:hAnsi="宋体" w:eastAsia="宋体" w:cs="宋体"/>
          <w:b/>
          <w:bCs/>
          <w:szCs w:val="21"/>
          <w:highlight w:val="none"/>
        </w:rPr>
        <w:outlineLvl w:val="0"/>
      </w:pPr>
      <w:r>
        <w:rPr>
          <w:rFonts w:hint="eastAsia" w:ascii="宋体" w:hAnsi="宋体" w:eastAsia="宋体" w:cs="宋体"/>
          <w:b/>
          <w:bCs/>
          <w:szCs w:val="21"/>
          <w:highlight w:val="none"/>
        </w:rPr>
      </w:r>
      <w:r/>
    </w:p>
    <w:tbl>
      <w:tblPr>
        <w:tblStyle w:val="882"/>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190"/>
        <w:gridCol w:w="1123"/>
        <w:gridCol w:w="1570"/>
        <w:gridCol w:w="970"/>
        <w:gridCol w:w="720"/>
        <w:gridCol w:w="1145"/>
        <w:gridCol w:w="900"/>
        <w:gridCol w:w="1321"/>
      </w:tblGrid>
      <w:tr>
        <w:trPr>
          <w:jc w:val="center"/>
        </w:trPr>
        <w:tc>
          <w:tcPr>
            <w:tcW w:w="761"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序号</w:t>
            </w:r>
            <w:r/>
          </w:p>
        </w:tc>
        <w:tc>
          <w:tcPr>
            <w:tcW w:w="1190"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维保设备名称</w:t>
            </w:r>
            <w:r/>
          </w:p>
        </w:tc>
        <w:tc>
          <w:tcPr>
            <w:tcW w:w="1123"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品牌、型号、规格</w:t>
            </w:r>
            <w:r/>
          </w:p>
        </w:tc>
        <w:tc>
          <w:tcPr>
            <w:tcW w:w="1570"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维保内容</w:t>
            </w:r>
            <w:r/>
          </w:p>
        </w:tc>
        <w:tc>
          <w:tcPr>
            <w:tcW w:w="970"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单位</w:t>
            </w:r>
            <w:r/>
          </w:p>
        </w:tc>
        <w:tc>
          <w:tcPr>
            <w:tcW w:w="720"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数量</w:t>
            </w:r>
            <w:r/>
          </w:p>
        </w:tc>
        <w:tc>
          <w:tcPr>
            <w:tcW w:w="1145"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维保单价（元）</w:t>
            </w:r>
            <w:r/>
          </w:p>
        </w:tc>
        <w:tc>
          <w:tcPr>
            <w:tcW w:w="900"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维保期</w:t>
            </w:r>
            <w:r/>
          </w:p>
        </w:tc>
        <w:tc>
          <w:tcPr>
            <w:tcW w:w="1321" w:type="dxa"/>
            <w:textDirection w:val="lrTb"/>
            <w:noWrap w:val="false"/>
          </w:tcPr>
          <w:p>
            <w:pPr>
              <w:jc w:val="both"/>
              <w:spacing w:line="400" w:lineRule="exact"/>
              <w:rPr>
                <w:rFonts w:hint="default" w:ascii="宋体" w:hAnsi="宋体" w:eastAsia="宋体" w:cs="Times New Roman"/>
                <w:szCs w:val="21"/>
              </w:rPr>
            </w:pPr>
            <w:r>
              <w:rPr>
                <w:rFonts w:hint="eastAsia" w:ascii="宋体" w:hAnsi="宋体" w:eastAsia="宋体" w:cs="Times New Roman"/>
                <w:szCs w:val="21"/>
              </w:rPr>
              <w:t xml:space="preserve">维保总价（元）</w:t>
            </w:r>
            <w:r/>
          </w:p>
        </w:tc>
      </w:tr>
      <w:tr>
        <w:trPr>
          <w:jc w:val="center"/>
        </w:trPr>
        <w:tc>
          <w:tcPr>
            <w:tcW w:w="761"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jc w:val="center"/>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jc w:val="center"/>
        </w:trPr>
        <w:tc>
          <w:tcPr>
            <w:tcW w:w="76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9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23"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5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7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72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145"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900"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c>
          <w:tcPr>
            <w:tcW w:w="1321" w:type="dxa"/>
            <w:textDirection w:val="lrTb"/>
            <w:noWrap w:val="false"/>
          </w:tcPr>
          <w:p>
            <w:pPr>
              <w:ind w:firstLine="480"/>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cantSplit/>
          <w:jc w:val="center"/>
        </w:trPr>
        <w:tc>
          <w:tcPr>
            <w:gridSpan w:val="9"/>
            <w:tcW w:w="9700" w:type="dxa"/>
            <w:textDirection w:val="lrTb"/>
            <w:noWrap w:val="false"/>
          </w:tcPr>
          <w:p>
            <w:pPr>
              <w:ind w:firstLine="480"/>
              <w:spacing w:line="400" w:lineRule="exact"/>
              <w:rPr>
                <w:rFonts w:hint="default" w:ascii="宋体" w:hAnsi="宋体" w:eastAsia="宋体" w:cs="Times New Roman"/>
                <w:szCs w:val="21"/>
              </w:rPr>
            </w:pPr>
            <w:r>
              <w:rPr>
                <w:rFonts w:hint="eastAsia" w:ascii="宋体" w:hAnsi="宋体" w:eastAsia="宋体" w:cs="Times New Roman"/>
                <w:szCs w:val="21"/>
              </w:rPr>
              <w:t xml:space="preserve">投标总价：</w:t>
            </w:r>
            <w:r/>
          </w:p>
          <w:p>
            <w:pPr>
              <w:ind w:firstLine="480"/>
              <w:spacing w:line="400" w:lineRule="exact"/>
              <w:rPr>
                <w:rFonts w:hint="default" w:ascii="宋体" w:hAnsi="宋体" w:eastAsia="宋体" w:cs="Times New Roman"/>
                <w:szCs w:val="21"/>
              </w:rPr>
            </w:pPr>
            <w:r>
              <w:rPr>
                <w:rFonts w:hint="eastAsia" w:ascii="宋体" w:hAnsi="宋体" w:eastAsia="宋体" w:cs="Times New Roman"/>
                <w:szCs w:val="21"/>
              </w:rPr>
              <w:t xml:space="preserve">金额大写                            元</w:t>
            </w:r>
            <w:r/>
          </w:p>
        </w:tc>
      </w:tr>
    </w:tbl>
    <w:p>
      <w:pPr>
        <w:pStyle w:val="888"/>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888"/>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888"/>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240" w:lineRule="exact"/>
        <w:rPr>
          <w:rFonts w:hint="eastAsia" w:ascii="宋体" w:hAnsi="宋体" w:eastAsia="宋体" w:cs="宋体"/>
          <w:b/>
          <w:bCs/>
          <w:szCs w:val="21"/>
          <w:highlight w:val="none"/>
        </w:rPr>
        <w:outlineLvl w:val="0"/>
      </w:pPr>
      <w:r>
        <w:rPr>
          <w:rFonts w:hint="eastAsia" w:ascii="宋体" w:hAnsi="宋体" w:eastAsia="宋体" w:cs="宋体"/>
          <w:b/>
          <w:bCs/>
          <w:szCs w:val="21"/>
          <w:highlight w:val="none"/>
        </w:rPr>
      </w:r>
      <w:r/>
    </w:p>
    <w:p>
      <w:pPr>
        <w:spacing w:line="360" w:lineRule="auto"/>
        <w:rPr>
          <w:rFonts w:hint="eastAsia" w:ascii="宋体" w:hAnsi="宋体" w:eastAsia="宋体" w:cs="宋体"/>
          <w:szCs w:val="21"/>
          <w:highlight w:val="none"/>
        </w:rPr>
        <w:outlineLvl w:val="0"/>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outlineLvl w:val="0"/>
      </w:pPr>
      <w:r>
        <w:rPr>
          <w:rFonts w:hint="eastAsia" w:ascii="宋体" w:hAnsi="宋体" w:eastAsia="宋体" w:cs="宋体"/>
          <w:szCs w:val="21"/>
          <w:highlight w:val="none"/>
        </w:rPr>
        <w:t xml:space="preserve">法定代表人或法定代表人授权代表签字或盖章：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w:t>
      </w:r>
      <w:r/>
    </w:p>
    <w:p>
      <w:pPr>
        <w:pStyle w:val="909"/>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pStyle w:val="1125"/>
        <w:ind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bidi="ar-SA"/>
        </w:rPr>
        <w:t xml:space="preserve">采购需求偏离响应表（格式）：</w:t>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jc w:val="center"/>
        <w:spacing w:line="360" w:lineRule="auto"/>
        <w:rPr>
          <w:rFonts w:hint="eastAsia" w:ascii="宋体" w:hAnsi="宋体" w:eastAsia="宋体" w:cs="宋体"/>
          <w:b/>
          <w:sz w:val="36"/>
          <w:szCs w:val="28"/>
          <w:highlight w:val="none"/>
          <w:lang w:eastAsia="zh-CN"/>
        </w:rPr>
      </w:pPr>
      <w:r>
        <w:rPr>
          <w:rFonts w:hint="eastAsia" w:ascii="宋体" w:hAnsi="宋体" w:eastAsia="宋体" w:cs="宋体"/>
          <w:b/>
          <w:sz w:val="36"/>
          <w:szCs w:val="28"/>
          <w:highlight w:val="none"/>
          <w:lang w:eastAsia="zh-CN"/>
        </w:rPr>
        <w:t xml:space="preserve">采购需求偏离响应表</w:t>
      </w:r>
      <w:r/>
    </w:p>
    <w:p>
      <w:pPr>
        <w:spacing w:line="400" w:lineRule="exact"/>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招标编号：</w:t>
      </w:r>
      <w:r/>
    </w:p>
    <w:tbl>
      <w:tblPr>
        <w:tblStyle w:val="882"/>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t xml:space="preserve">序号</w:t>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t xml:space="preserve">招标文件条目号</w:t>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t xml:space="preserve">招标文件要求的条款</w:t>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t xml:space="preserve">投标文件响应情况</w:t>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r>
        <w:trPr>
          <w:jc w:val="center"/>
          <w:trHeight w:val="495"/>
        </w:trPr>
        <w:tc>
          <w:tcPr>
            <w:tcW w:w="934"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r>
            <w:r/>
          </w:p>
        </w:tc>
      </w:tr>
    </w:tbl>
    <w:p>
      <w:pPr>
        <w:pStyle w:val="1126"/>
        <w:ind w:firstLine="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投标人名称（盖章）：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法定代表人或法定代表人授权代表签字或盖章：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w:t>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szCs w:val="21"/>
          <w:highlight w:val="none"/>
        </w:rPr>
        <w:t xml:space="preserve">投标人应对招标文件</w:t>
      </w:r>
      <w:r>
        <w:rPr>
          <w:rFonts w:hint="eastAsia" w:ascii="宋体" w:hAnsi="宋体" w:cs="宋体"/>
          <w:szCs w:val="21"/>
          <w:highlight w:val="none"/>
          <w:lang w:val="en-US" w:eastAsia="zh-CN"/>
        </w:rPr>
        <w:t xml:space="preserve">第四章</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采购需求</w:t>
      </w:r>
      <w:r>
        <w:rPr>
          <w:rFonts w:hint="eastAsia" w:ascii="宋体" w:hAnsi="宋体" w:eastAsia="宋体" w:cs="宋体"/>
          <w:szCs w:val="21"/>
          <w:highlight w:val="none"/>
        </w:rPr>
        <w:t xml:space="preserve">》要求的内容给予逐条响应</w:t>
      </w:r>
      <w:r>
        <w:rPr>
          <w:rFonts w:hint="eastAsia" w:ascii="宋体" w:hAnsi="宋体" w:eastAsia="宋体" w:cs="宋体"/>
          <w:color w:val="000000"/>
          <w:szCs w:val="21"/>
          <w:highlight w:val="none"/>
        </w:rPr>
        <w:t xml:space="preserve">。</w:t>
      </w:r>
      <w:r/>
    </w:p>
    <w:p>
      <w:pPr>
        <w:numPr>
          <w:ilvl w:val="0"/>
          <w:numId w:val="7"/>
        </w:numPr>
        <w:ind w:firstLine="420"/>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“偏离/响应”</w:t>
      </w:r>
      <w:r>
        <w:rPr>
          <w:rFonts w:hint="eastAsia" w:ascii="宋体" w:hAnsi="宋体" w:eastAsia="宋体" w:cs="宋体"/>
          <w:color w:val="000000"/>
          <w:szCs w:val="21"/>
          <w:highlight w:val="none"/>
        </w:rPr>
        <w:t xml:space="preserve">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3、如果行数不够，请自行增加。</w:t>
      </w:r>
      <w:r/>
    </w:p>
    <w:p>
      <w:pPr>
        <w:pStyle w:val="951"/>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eastAsia="宋体" w:cs="宋体"/>
          <w:b/>
          <w:sz w:val="24"/>
          <w:szCs w:val="24"/>
          <w:highlight w:val="none"/>
        </w:rPr>
        <w:t xml:space="preserve">）中小企业声明函（格式）：</w:t>
      </w:r>
      <w:r/>
    </w:p>
    <w:p>
      <w:pPr>
        <w:ind w:firstLine="560"/>
        <w:jc w:val="center"/>
        <w:spacing w:beforeAutospacing="0" w:afterAutospacing="0"/>
        <w:widowControl w:val="off"/>
        <w:rPr>
          <w:rFonts w:ascii="黑体" w:hAnsi="宋体" w:eastAsia="黑体" w:cs="黑体"/>
          <w:color w:val="000000"/>
          <w:sz w:val="28"/>
          <w:szCs w:val="28"/>
          <w:highlight w:val="none"/>
          <w:lang w:val="en-US" w:eastAsia="zh-CN" w:bidi="ar-SA"/>
        </w:rPr>
      </w:pPr>
      <w:r>
        <w:rPr>
          <w:rFonts w:ascii="黑体" w:hAnsi="宋体" w:eastAsia="黑体" w:cs="黑体"/>
          <w:color w:val="000000"/>
          <w:sz w:val="28"/>
          <w:szCs w:val="28"/>
          <w:highlight w:val="none"/>
          <w:lang w:val="en-US" w:eastAsia="zh-CN" w:bidi="ar-SA"/>
        </w:rPr>
      </w:r>
      <w:r/>
    </w:p>
    <w:p>
      <w:pPr>
        <w:ind w:firstLine="560"/>
        <w:jc w:val="center"/>
        <w:spacing w:beforeAutospacing="0" w:afterAutospacing="0"/>
        <w:widowControl w:val="off"/>
        <w:rPr>
          <w:rFonts w:ascii="Times New Roman" w:hAnsi="Times New Roman" w:eastAsia="宋体" w:cs="Times New Roman"/>
          <w:sz w:val="24"/>
          <w:highlight w:val="none"/>
          <w:lang w:val="en-US" w:eastAsia="zh-CN" w:bidi="ar-SA"/>
        </w:rPr>
      </w:pPr>
      <w:r>
        <w:rPr>
          <w:rFonts w:ascii="黑体" w:hAnsi="宋体" w:eastAsia="黑体" w:cs="黑体"/>
          <w:color w:val="000000"/>
          <w:sz w:val="28"/>
          <w:szCs w:val="28"/>
          <w:highlight w:val="none"/>
          <w:lang w:val="en-US" w:eastAsia="zh-CN" w:bidi="ar-SA"/>
        </w:rPr>
        <w:t xml:space="preserve">中小企业声明函（工程、服务）</w:t>
      </w:r>
      <w:r/>
    </w:p>
    <w:p>
      <w:pPr>
        <w:ind w:firstLine="480"/>
        <w:jc w:val="left"/>
        <w:spacing w:beforeAutospacing="0" w:afterAutospacing="0" w:line="360" w:lineRule="auto"/>
        <w:widowControl/>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t xml:space="preserve"> </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lang w:val="en-US" w:eastAsia="zh-CN" w:bidi="ar-SA"/>
        </w:rPr>
        <w:t xml:space="preserve">（单位名称）</w:t>
      </w:r>
      <w:r>
        <w:rPr>
          <w:rFonts w:hint="eastAsia" w:ascii="宋体" w:hAnsi="宋体" w:eastAsia="宋体" w:cs="宋体"/>
          <w:color w:val="000000"/>
          <w:sz w:val="21"/>
          <w:szCs w:val="21"/>
          <w:highlight w:val="none"/>
          <w:lang w:val="en-US" w:eastAsia="zh-CN" w:bidi="ar-SA"/>
        </w:rPr>
        <w:t xml:space="preserve">的</w:t>
      </w:r>
      <w:r>
        <w:rPr>
          <w:rFonts w:hint="eastAsia" w:ascii="宋体" w:hAnsi="宋体" w:eastAsia="宋体" w:cs="宋体"/>
          <w:color w:val="000000"/>
          <w:sz w:val="21"/>
          <w:szCs w:val="21"/>
          <w:highlight w:val="none"/>
          <w:u w:val="single"/>
          <w:lang w:val="en-US" w:eastAsia="zh-CN" w:bidi="ar-SA"/>
        </w:rPr>
        <w:t xml:space="preserve">（项目名称）</w:t>
      </w:r>
      <w:r>
        <w:rPr>
          <w:rFonts w:hint="eastAsia" w:ascii="宋体" w:hAnsi="宋体" w:eastAsia="宋体" w:cs="宋体"/>
          <w:color w:val="000000"/>
          <w:sz w:val="21"/>
          <w:szCs w:val="21"/>
          <w:highlight w:val="none"/>
          <w:lang w:val="en-US" w:eastAsia="zh-CN" w:bidi="ar-S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 </w:t>
      </w:r>
      <w:r>
        <w:rPr>
          <w:rFonts w:hint="eastAsia" w:ascii="宋体" w:hAnsi="宋体" w:eastAsia="宋体" w:cs="宋体"/>
          <w:color w:val="000000"/>
          <w:sz w:val="21"/>
          <w:szCs w:val="21"/>
          <w:highlight w:val="none"/>
          <w:u w:val="single"/>
          <w:lang w:val="en-US" w:eastAsia="zh-CN" w:bidi="ar-SA"/>
        </w:rPr>
        <w:t xml:space="preserve">（标的名称）</w:t>
      </w:r>
      <w:r>
        <w:rPr>
          <w:rFonts w:hint="eastAsia" w:ascii="宋体" w:hAnsi="宋体" w:eastAsia="宋体" w:cs="宋体"/>
          <w:color w:val="000000"/>
          <w:sz w:val="21"/>
          <w:szCs w:val="21"/>
          <w:highlight w:val="none"/>
          <w:lang w:val="en-US" w:eastAsia="zh-CN" w:bidi="ar-SA"/>
        </w:rPr>
        <w:t xml:space="preserve"> ，属于</w:t>
      </w:r>
      <w:r>
        <w:rPr>
          <w:rFonts w:hint="eastAsia" w:ascii="宋体" w:hAnsi="宋体" w:eastAsia="宋体" w:cs="宋体"/>
          <w:color w:val="000000"/>
          <w:sz w:val="21"/>
          <w:szCs w:val="21"/>
          <w:highlight w:val="none"/>
          <w:u w:val="single"/>
          <w:lang w:val="en-US" w:eastAsia="zh-CN" w:bidi="ar-SA"/>
        </w:rPr>
        <w:t xml:space="preserve">（招标文件中明确的所属行业）</w:t>
      </w:r>
      <w:r>
        <w:rPr>
          <w:rFonts w:hint="eastAsia" w:ascii="宋体" w:hAnsi="宋体" w:eastAsia="宋体" w:cs="宋体"/>
          <w:color w:val="000000"/>
          <w:sz w:val="21"/>
          <w:szCs w:val="21"/>
          <w:highlight w:val="none"/>
          <w:lang w:val="en-US" w:eastAsia="zh-CN" w:bidi="ar-SA"/>
        </w:rPr>
        <w:t xml:space="preserve">；承建（承接）企业为</w:t>
      </w:r>
      <w:r>
        <w:rPr>
          <w:rFonts w:hint="eastAsia" w:ascii="宋体" w:hAnsi="宋体" w:eastAsia="宋体" w:cs="宋体"/>
          <w:color w:val="000000"/>
          <w:sz w:val="21"/>
          <w:szCs w:val="21"/>
          <w:highlight w:val="none"/>
          <w:u w:val="single"/>
          <w:lang w:val="en-US" w:eastAsia="zh-CN" w:bidi="ar-SA"/>
        </w:rPr>
        <w:t xml:space="preserve">（企业名称）</w:t>
      </w:r>
      <w:r>
        <w:rPr>
          <w:rFonts w:hint="eastAsia" w:ascii="宋体" w:hAnsi="宋体" w:eastAsia="宋体" w:cs="宋体"/>
          <w:color w:val="000000"/>
          <w:sz w:val="21"/>
          <w:szCs w:val="21"/>
          <w:highlight w:val="none"/>
          <w:lang w:val="en-US" w:eastAsia="zh-CN" w:bidi="ar-SA"/>
        </w:rPr>
        <w:t xml:space="preserve">，从业人员</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人，营业收入为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万元，资产总额为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vertAlign w:val="superscript"/>
          <w:lang w:val="en-US" w:eastAsia="zh-CN" w:bidi="ar-SA"/>
        </w:rPr>
        <w:t xml:space="preserve">1</w:t>
      </w:r>
      <w:r>
        <w:rPr>
          <w:rFonts w:hint="eastAsia" w:ascii="宋体" w:hAnsi="宋体" w:eastAsia="宋体" w:cs="宋体"/>
          <w:color w:val="000000"/>
          <w:sz w:val="21"/>
          <w:szCs w:val="21"/>
          <w:highlight w:val="none"/>
          <w:lang w:val="en-US" w:eastAsia="zh-CN" w:bidi="ar-SA"/>
        </w:rPr>
        <w:t xml:space="preserve">，属于</w:t>
      </w:r>
      <w:r>
        <w:rPr>
          <w:rFonts w:hint="eastAsia" w:ascii="宋体" w:hAnsi="宋体" w:eastAsia="宋体" w:cs="宋体"/>
          <w:color w:val="000000"/>
          <w:sz w:val="21"/>
          <w:szCs w:val="21"/>
          <w:highlight w:val="none"/>
          <w:u w:val="single"/>
          <w:lang w:val="en-US" w:eastAsia="zh-CN" w:bidi="ar-SA"/>
        </w:rPr>
        <w:t xml:space="preserve">（中型企业、小型企业、微型企业）</w:t>
      </w:r>
      <w:r>
        <w:rPr>
          <w:rFonts w:hint="eastAsia" w:ascii="宋体" w:hAnsi="宋体" w:eastAsia="宋体" w:cs="宋体"/>
          <w:color w:val="000000"/>
          <w:sz w:val="21"/>
          <w:szCs w:val="21"/>
          <w:highlight w:val="none"/>
          <w:lang w:val="en-US" w:eastAsia="zh-CN" w:bidi="ar-SA"/>
        </w:rPr>
        <w:t xml:space="preserve">；</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 </w:t>
      </w:r>
      <w:r>
        <w:rPr>
          <w:rFonts w:hint="eastAsia" w:ascii="宋体" w:hAnsi="宋体" w:eastAsia="宋体" w:cs="宋体"/>
          <w:color w:val="000000"/>
          <w:sz w:val="21"/>
          <w:szCs w:val="21"/>
          <w:highlight w:val="none"/>
          <w:u w:val="single"/>
          <w:lang w:val="en-US" w:eastAsia="zh-CN" w:bidi="ar-SA"/>
        </w:rPr>
        <w:t xml:space="preserve">（标的名称）</w:t>
      </w:r>
      <w:r>
        <w:rPr>
          <w:rFonts w:hint="eastAsia" w:ascii="宋体" w:hAnsi="宋体" w:eastAsia="宋体" w:cs="宋体"/>
          <w:color w:val="000000"/>
          <w:sz w:val="21"/>
          <w:szCs w:val="21"/>
          <w:highlight w:val="none"/>
          <w:lang w:val="en-US" w:eastAsia="zh-CN" w:bidi="ar-SA"/>
        </w:rPr>
        <w:t xml:space="preserve"> ，属于</w:t>
      </w:r>
      <w:r>
        <w:rPr>
          <w:rFonts w:hint="eastAsia" w:ascii="宋体" w:hAnsi="宋体" w:eastAsia="宋体" w:cs="宋体"/>
          <w:color w:val="000000"/>
          <w:sz w:val="21"/>
          <w:szCs w:val="21"/>
          <w:highlight w:val="none"/>
          <w:u w:val="single"/>
          <w:lang w:val="en-US" w:eastAsia="zh-CN" w:bidi="ar-SA"/>
        </w:rPr>
        <w:t xml:space="preserve">（招标文件中明确的所属行业）</w:t>
      </w:r>
      <w:r>
        <w:rPr>
          <w:rFonts w:hint="eastAsia" w:ascii="宋体" w:hAnsi="宋体" w:eastAsia="宋体" w:cs="宋体"/>
          <w:color w:val="000000"/>
          <w:sz w:val="21"/>
          <w:szCs w:val="21"/>
          <w:highlight w:val="none"/>
          <w:lang w:val="en-US" w:eastAsia="zh-CN" w:bidi="ar-SA"/>
        </w:rPr>
        <w:t xml:space="preserve">；承建（承接）企业为</w:t>
      </w:r>
      <w:r>
        <w:rPr>
          <w:rFonts w:hint="eastAsia" w:ascii="宋体" w:hAnsi="宋体" w:eastAsia="宋体" w:cs="宋体"/>
          <w:color w:val="000000"/>
          <w:sz w:val="21"/>
          <w:szCs w:val="21"/>
          <w:highlight w:val="none"/>
          <w:u w:val="single"/>
          <w:lang w:val="en-US" w:eastAsia="zh-CN" w:bidi="ar-SA"/>
        </w:rPr>
        <w:t xml:space="preserve">（企业名称）</w:t>
      </w:r>
      <w:r>
        <w:rPr>
          <w:rFonts w:hint="eastAsia" w:ascii="宋体" w:hAnsi="宋体" w:eastAsia="宋体" w:cs="宋体"/>
          <w:color w:val="000000"/>
          <w:sz w:val="21"/>
          <w:szCs w:val="21"/>
          <w:highlight w:val="none"/>
          <w:lang w:val="en-US" w:eastAsia="zh-CN" w:bidi="ar-SA"/>
        </w:rPr>
        <w:t xml:space="preserve">，从业人员</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人，营业收入为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万元，资产总额为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万元，属于</w:t>
      </w:r>
      <w:r>
        <w:rPr>
          <w:rFonts w:hint="eastAsia" w:ascii="宋体" w:hAnsi="宋体" w:eastAsia="宋体" w:cs="宋体"/>
          <w:color w:val="000000"/>
          <w:sz w:val="21"/>
          <w:szCs w:val="21"/>
          <w:highlight w:val="none"/>
          <w:u w:val="single"/>
          <w:lang w:val="en-US" w:eastAsia="zh-CN" w:bidi="ar-SA"/>
        </w:rPr>
        <w:t xml:space="preserve">（中型企业、小型企业、微型企业）</w:t>
      </w:r>
      <w:r>
        <w:rPr>
          <w:rFonts w:hint="eastAsia" w:ascii="宋体" w:hAnsi="宋体" w:eastAsia="宋体" w:cs="宋体"/>
          <w:color w:val="000000"/>
          <w:sz w:val="21"/>
          <w:szCs w:val="21"/>
          <w:highlight w:val="none"/>
          <w:lang w:val="en-US" w:eastAsia="zh-CN" w:bidi="ar-SA"/>
        </w:rPr>
        <w:t xml:space="preserve">；</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本企业对上述声明内容的真实性负责。如有虚假，将依法承担相应责任。</w:t>
      </w:r>
      <w:r/>
    </w:p>
    <w:p>
      <w:pPr>
        <w:ind w:firstLine="480"/>
        <w:jc w:val="lef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 </w:t>
      </w:r>
      <w:r/>
    </w:p>
    <w:p>
      <w:pPr>
        <w:ind w:firstLine="480"/>
        <w:jc w:val="right"/>
        <w:spacing w:beforeAutospacing="0" w:afterAutospacing="0" w:line="360" w:lineRule="auto"/>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企业名称（盖章）：    </w:t>
      </w:r>
      <w:r/>
    </w:p>
    <w:p>
      <w:pPr>
        <w:ind w:firstLine="480"/>
        <w:jc w:val="center"/>
        <w:spacing w:beforeAutospacing="0" w:afterAutospacing="0" w:line="360" w:lineRule="auto"/>
        <w:widowControl/>
        <w:rPr>
          <w:rFonts w:ascii="Times New Roman" w:hAnsi="Times New Roman" w:eastAsia="宋体" w:cs="Times New Roman"/>
          <w:sz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                                                日期：</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t xml:space="preserve">     </w:t>
      </w:r>
      <w:r/>
    </w:p>
    <w:p>
      <w:pPr>
        <w:ind w:firstLine="480"/>
        <w:jc w:val="both"/>
        <w:spacing w:beforeAutospacing="0" w:afterAutospacing="0"/>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t xml:space="preserve"> </w:t>
      </w:r>
      <w:r/>
    </w:p>
    <w:p>
      <w:pPr>
        <w:ind w:firstLine="480"/>
        <w:jc w:val="both"/>
        <w:spacing w:beforeAutospacing="0" w:afterAutospacing="0" w:line="300" w:lineRule="auto"/>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p>
      <w:pPr>
        <w:ind w:firstLine="480"/>
        <w:jc w:val="both"/>
        <w:spacing w:beforeAutospacing="0" w:afterAutospacing="0" w:line="300" w:lineRule="auto"/>
        <w:widowControl w:val="off"/>
        <w:rPr>
          <w:rFonts w:ascii="Times New Roman" w:hAnsi="Times New Roman" w:eastAsia="宋体" w:cs="Times New Roman"/>
          <w:sz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注：1.从业人员、营业收入、资产总额填报上一年度数据，无上一年度数据的新成立企业可不填报。</w:t>
      </w:r>
      <w:r/>
    </w:p>
    <w:p>
      <w:pPr>
        <w:numPr>
          <w:ilvl w:val="0"/>
          <w:numId w:val="7"/>
        </w:numPr>
        <w:ind w:firstLine="420"/>
        <w:jc w:val="both"/>
        <w:spacing w:beforeAutospacing="0" w:afterAutospacing="0" w:line="30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both"/>
        <w:spacing w:beforeAutospacing="0" w:afterAutospacing="0" w:line="30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br w:type="page" w:clear="all"/>
      </w:r>
      <w:r>
        <w:rPr>
          <w:rFonts w:hint="eastAsia" w:ascii="宋体" w:hAnsi="宋体" w:eastAsia="宋体" w:cs="宋体"/>
          <w:b/>
          <w:szCs w:val="21"/>
          <w:highlight w:val="none"/>
        </w:rPr>
        <w:t xml:space="preserve">（</w:t>
      </w:r>
      <w:r>
        <w:rPr>
          <w:rFonts w:hint="eastAsia" w:ascii="宋体" w:hAnsi="宋体" w:cs="宋体"/>
          <w:b/>
          <w:szCs w:val="21"/>
          <w:highlight w:val="none"/>
          <w:lang w:val="en-US" w:eastAsia="zh-CN"/>
        </w:rPr>
        <w:t xml:space="preserve">七</w:t>
      </w:r>
      <w:r>
        <w:rPr>
          <w:rFonts w:hint="eastAsia" w:ascii="宋体" w:hAnsi="宋体" w:eastAsia="宋体" w:cs="宋体"/>
          <w:b/>
          <w:szCs w:val="21"/>
          <w:highlight w:val="none"/>
        </w:rPr>
        <w:t xml:space="preserve">）残疾人福利性单位声明函（格式）：</w:t>
      </w:r>
      <w:r/>
    </w:p>
    <w:p>
      <w:pPr>
        <w:spacing w:line="588" w:lineRule="exact"/>
        <w:rPr>
          <w:rFonts w:hint="eastAsia" w:ascii="宋体" w:hAnsi="宋体" w:eastAsia="宋体" w:cs="宋体"/>
          <w:b/>
          <w:spacing w:val="6"/>
          <w:sz w:val="30"/>
          <w:szCs w:val="30"/>
          <w:highlight w:val="none"/>
        </w:rPr>
      </w:pPr>
      <w:r>
        <w:rPr>
          <w:rFonts w:hint="eastAsia" w:ascii="宋体" w:hAnsi="宋体" w:eastAsia="宋体" w:cs="宋体"/>
          <w:b/>
          <w:spacing w:val="6"/>
          <w:sz w:val="30"/>
          <w:szCs w:val="30"/>
          <w:highlight w:val="none"/>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残疾人福利性单位声明函</w:t>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Cs w:val="21"/>
          <w:highlight w:val="none"/>
          <w:u w:val="single"/>
        </w:rPr>
        <w:t xml:space="preserve">             项目</w:t>
      </w:r>
      <w:r>
        <w:rPr>
          <w:rFonts w:hint="eastAsia" w:ascii="宋体" w:hAnsi="宋体" w:eastAsia="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本单位对上述声明的真实性负责。如有虚假，将依法承担相应责任。</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399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单位名称（盖章）：</w:t>
      </w:r>
      <w:r/>
    </w:p>
    <w:p>
      <w:pPr>
        <w:ind w:firstLine="399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日  期：</w:t>
      </w:r>
      <w:r/>
    </w:p>
    <w:p>
      <w:pPr>
        <w:pStyle w:val="1125"/>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rPr>
          <w:rFonts w:hint="eastAsia" w:ascii="宋体" w:hAnsi="宋体" w:eastAsia="宋体" w:cs="宋体"/>
          <w:highlight w:val="none"/>
        </w:rPr>
      </w:pPr>
      <w:r>
        <w:rPr>
          <w:rFonts w:hint="eastAsia" w:ascii="宋体" w:hAnsi="宋体" w:eastAsia="宋体" w:cs="宋体"/>
          <w:highlight w:val="none"/>
        </w:rPr>
      </w:r>
      <w:r/>
    </w:p>
    <w:p>
      <w:pPr>
        <w:pStyle w:val="1125"/>
        <w:ind w:left="0" w:firstLine="0"/>
        <w:rPr>
          <w:rFonts w:hint="eastAsia" w:ascii="宋体" w:hAnsi="宋体" w:eastAsia="宋体" w:cs="宋体"/>
          <w:highlight w:val="none"/>
        </w:rPr>
      </w:pPr>
      <w:r>
        <w:rPr>
          <w:rFonts w:hint="eastAsia" w:ascii="宋体" w:hAnsi="宋体" w:eastAsia="宋体" w:cs="宋体"/>
          <w:highlight w:val="none"/>
        </w:rPr>
      </w:r>
      <w:r/>
    </w:p>
    <w:p>
      <w:pPr>
        <w:pStyle w:val="971"/>
        <w:numPr>
          <w:ilvl w:val="0"/>
          <w:numId w:val="0"/>
        </w:numPr>
        <w:ind w:right="0"/>
        <w:jc w:val="both"/>
        <w:keepLines w:val="0"/>
        <w:keepNext w:val="0"/>
        <w:spacing w:before="100" w:beforeAutospacing="1" w:after="100" w:afterAutospacing="1" w:line="500" w:lineRule="atLeast"/>
        <w:widowControl/>
        <w:rPr>
          <w:rFonts w:hint="eastAsia" w:ascii="宋体" w:hAnsi="宋体" w:eastAsia="宋体" w:cs="宋体"/>
          <w:b/>
          <w:szCs w:val="21"/>
          <w:highlight w:val="none"/>
        </w:rPr>
        <w:suppressLineNumbers w:val="0"/>
      </w:pP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八</w:t>
      </w:r>
      <w:r>
        <w:rPr>
          <w:rFonts w:hint="eastAsia" w:ascii="宋体" w:hAnsi="宋体" w:cs="宋体"/>
          <w:b/>
          <w:szCs w:val="21"/>
          <w:highlight w:val="none"/>
          <w:lang w:eastAsia="zh-CN"/>
        </w:rPr>
        <w:t xml:space="preserve">）</w:t>
      </w:r>
      <w:r>
        <w:rPr>
          <w:rFonts w:hint="eastAsia" w:ascii="宋体" w:hAnsi="宋体" w:eastAsia="宋体" w:cs="宋体"/>
          <w:b/>
          <w:szCs w:val="21"/>
          <w:highlight w:val="none"/>
        </w:rPr>
        <w:t xml:space="preserve">南京市政府采购供应商信用记录表暨信用承诺书（格式）：</w:t>
      </w:r>
      <w:r/>
    </w:p>
    <w:p>
      <w:pPr>
        <w:pStyle w:val="971"/>
        <w:numPr>
          <w:ilvl w:val="0"/>
          <w:numId w:val="0"/>
        </w:numPr>
        <w:ind w:right="0"/>
        <w:jc w:val="center"/>
        <w:keepLines w:val="0"/>
        <w:keepNext w:val="0"/>
        <w:spacing w:before="100" w:beforeAutospacing="1" w:after="100" w:afterAutospacing="1" w:line="500" w:lineRule="atLeast"/>
        <w:widowControl/>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南京市政府采购供应商信用记录表暨信用承诺书</w:t>
      </w:r>
      <w:r/>
    </w:p>
    <w:p>
      <w:pPr>
        <w:pStyle w:val="971"/>
        <w:ind w:left="0" w:right="0"/>
        <w:jc w:val="right"/>
        <w:keepLines w:val="0"/>
        <w:keepNext w:val="0"/>
        <w:spacing w:before="0" w:beforeAutospacing="0" w:after="0" w:afterAutospacing="0" w:line="240" w:lineRule="auto"/>
        <w:widowControl/>
        <w:rPr>
          <w:rFonts w:hint="eastAsia" w:ascii="宋体" w:hAnsi="宋体" w:eastAsia="宋体" w:cs="宋体"/>
          <w:highlight w:val="none"/>
        </w:rPr>
        <w:suppressLineNumbers w:val="0"/>
      </w:pPr>
      <w:r>
        <w:rPr>
          <w:rFonts w:hint="eastAsia" w:ascii="宋体" w:hAnsi="宋体" w:eastAsia="宋体" w:cs="宋体"/>
          <w:b w:val="0"/>
          <w:bCs w:val="0"/>
          <w:sz w:val="21"/>
          <w:szCs w:val="21"/>
          <w:highlight w:val="none"/>
        </w:rPr>
        <w:t xml:space="preserve">年月日</w:t>
      </w:r>
      <w:r>
        <w:rPr>
          <w:rFonts w:hint="eastAsia" w:ascii="宋体" w:hAnsi="宋体" w:eastAsia="宋体" w:cs="宋体"/>
          <w:highlight w:val="none"/>
        </w:rPr>
        <w:t xml:space="preserve"> </w:t>
      </w:r>
      <w:r/>
    </w:p>
    <w:tbl>
      <w:tblPr>
        <w:tblStyle w:val="882"/>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02"/>
        <w:gridCol w:w="1037"/>
        <w:gridCol w:w="6889"/>
        <w:gridCol w:w="363"/>
      </w:tblGrid>
      <w:tr>
        <w:trPr>
          <w:tblCellSpacing w:w="15" w:type="dxa"/>
          <w:trHeight w:val="20"/>
        </w:trPr>
        <w:tc>
          <w:tcPr>
            <w:tcW w:w="65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单位名称</w:t>
            </w:r>
            <w:r>
              <w:rPr>
                <w:rFonts w:hint="eastAsia" w:ascii="宋体" w:hAnsi="宋体" w:eastAsia="宋体" w:cs="宋体"/>
                <w:sz w:val="24"/>
                <w:highlight w:val="none"/>
                <w:lang w:val="en-US" w:eastAsia="zh-CN" w:bidi="ar-SA"/>
              </w:rPr>
              <w:t xml:space="preserve"> </w:t>
            </w:r>
            <w:r/>
          </w:p>
        </w:tc>
        <w:tc>
          <w:tcPr>
            <w:tcW w:w="100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sz w:val="24"/>
                <w:highlight w:val="none"/>
                <w:lang w:val="en-US" w:eastAsia="zh-CN" w:bidi="ar-SA"/>
              </w:rPr>
            </w:r>
            <w:r/>
          </w:p>
        </w:tc>
        <w:tc>
          <w:tcPr>
            <w:tcW w:w="6859"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统一社会信用代码</w:t>
            </w:r>
            <w:r>
              <w:rPr>
                <w:rFonts w:hint="eastAsia" w:ascii="宋体" w:hAnsi="宋体" w:eastAsia="宋体" w:cs="宋体"/>
                <w:sz w:val="24"/>
                <w:highlight w:val="none"/>
                <w:lang w:val="en-US" w:eastAsia="zh-CN" w:bidi="ar-SA"/>
              </w:rPr>
              <w:t xml:space="preserve"> </w:t>
            </w:r>
            <w:r/>
          </w:p>
        </w:tc>
        <w:tc>
          <w:tcPr>
            <w:tcW w:w="318"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sz w:val="24"/>
                <w:highlight w:val="none"/>
                <w:lang w:val="en-US" w:eastAsia="zh-CN" w:bidi="ar-SA"/>
              </w:rPr>
            </w:r>
            <w:r/>
          </w:p>
        </w:tc>
      </w:tr>
      <w:tr>
        <w:trPr>
          <w:tblCellSpacing w:w="15" w:type="dxa"/>
          <w:trHeight w:val="20"/>
        </w:trPr>
        <w:tc>
          <w:tcPr>
            <w:tcW w:w="65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法定代表人</w:t>
            </w:r>
            <w:r>
              <w:rPr>
                <w:rFonts w:hint="eastAsia" w:ascii="宋体" w:hAnsi="宋体" w:eastAsia="宋体" w:cs="宋体"/>
                <w:sz w:val="24"/>
                <w:highlight w:val="none"/>
                <w:lang w:val="en-US" w:eastAsia="zh-CN" w:bidi="ar-SA"/>
              </w:rPr>
              <w:t xml:space="preserve"> </w:t>
            </w:r>
            <w:r/>
          </w:p>
        </w:tc>
        <w:tc>
          <w:tcPr>
            <w:tcW w:w="100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sz w:val="24"/>
                <w:highlight w:val="none"/>
                <w:lang w:val="en-US" w:eastAsia="zh-CN" w:bidi="ar-SA"/>
              </w:rPr>
            </w:r>
            <w:r/>
          </w:p>
        </w:tc>
        <w:tc>
          <w:tcPr>
            <w:tcW w:w="6859"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联系人</w:t>
            </w:r>
            <w:r>
              <w:rPr>
                <w:rFonts w:hint="eastAsia" w:ascii="宋体" w:hAnsi="宋体" w:eastAsia="宋体" w:cs="宋体"/>
                <w:sz w:val="24"/>
                <w:highlight w:val="none"/>
                <w:lang w:val="en-US" w:eastAsia="zh-CN" w:bidi="ar-SA"/>
              </w:rPr>
              <w:t xml:space="preserve"> </w:t>
            </w:r>
            <w:r/>
          </w:p>
        </w:tc>
        <w:tc>
          <w:tcPr>
            <w:tcW w:w="318"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sz w:val="24"/>
                <w:highlight w:val="none"/>
                <w:lang w:val="en-US" w:eastAsia="zh-CN" w:bidi="ar-SA"/>
              </w:rPr>
            </w:r>
            <w:r/>
          </w:p>
        </w:tc>
      </w:tr>
      <w:tr>
        <w:trPr>
          <w:tblCellSpacing w:w="15" w:type="dxa"/>
          <w:trHeight w:val="20"/>
        </w:trPr>
        <w:tc>
          <w:tcPr>
            <w:tcW w:w="65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联系地址</w:t>
            </w:r>
            <w:r>
              <w:rPr>
                <w:rFonts w:hint="eastAsia" w:ascii="宋体" w:hAnsi="宋体" w:eastAsia="宋体" w:cs="宋体"/>
                <w:sz w:val="24"/>
                <w:highlight w:val="none"/>
                <w:lang w:val="en-US" w:eastAsia="zh-CN" w:bidi="ar-SA"/>
              </w:rPr>
              <w:t xml:space="preserve"> </w:t>
            </w:r>
            <w:r/>
          </w:p>
        </w:tc>
        <w:tc>
          <w:tcPr>
            <w:tcW w:w="100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sz w:val="24"/>
                <w:highlight w:val="none"/>
                <w:lang w:val="en-US" w:eastAsia="zh-CN" w:bidi="ar-SA"/>
              </w:rPr>
            </w:r>
            <w:r/>
          </w:p>
        </w:tc>
        <w:tc>
          <w:tcPr>
            <w:tcW w:w="6859"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联系电话</w:t>
            </w:r>
            <w:r>
              <w:rPr>
                <w:rFonts w:hint="eastAsia" w:ascii="宋体" w:hAnsi="宋体" w:eastAsia="宋体" w:cs="宋体"/>
                <w:sz w:val="24"/>
                <w:highlight w:val="none"/>
                <w:lang w:val="en-US" w:eastAsia="zh-CN" w:bidi="ar-SA"/>
              </w:rPr>
              <w:t xml:space="preserve"> </w:t>
            </w:r>
            <w:r/>
          </w:p>
        </w:tc>
        <w:tc>
          <w:tcPr>
            <w:tcW w:w="318"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sz w:val="24"/>
                <w:highlight w:val="none"/>
                <w:lang w:val="en-US" w:eastAsia="zh-CN" w:bidi="ar-SA"/>
              </w:rPr>
            </w:r>
            <w:r/>
          </w:p>
        </w:tc>
      </w:tr>
      <w:tr>
        <w:trPr>
          <w:tblCellSpacing w:w="15" w:type="dxa"/>
          <w:trHeight w:val="1024"/>
        </w:trPr>
        <w:tc>
          <w:tcPr>
            <w:tcW w:w="65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诚信档案记录情况</w:t>
            </w:r>
            <w:r>
              <w:rPr>
                <w:rFonts w:hint="eastAsia" w:ascii="宋体" w:hAnsi="宋体" w:eastAsia="宋体" w:cs="宋体"/>
                <w:sz w:val="24"/>
                <w:highlight w:val="none"/>
                <w:lang w:val="en-US" w:eastAsia="zh-CN" w:bidi="ar-SA"/>
              </w:rPr>
              <w:t xml:space="preserve"> </w:t>
            </w:r>
            <w:r/>
          </w:p>
        </w:tc>
        <w:tc>
          <w:tcPr>
            <w:gridSpan w:val="3"/>
            <w:tcW w:w="8244"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sz w:val="24"/>
                <w:highlight w:val="none"/>
                <w:lang w:val="en-US" w:eastAsia="zh-CN" w:bidi="ar-SA"/>
              </w:rPr>
            </w:r>
            <w:r/>
          </w:p>
        </w:tc>
      </w:tr>
      <w:tr>
        <w:trPr>
          <w:tblCellSpacing w:w="15" w:type="dxa"/>
          <w:trHeight w:val="5318"/>
        </w:trPr>
        <w:tc>
          <w:tcPr>
            <w:tcW w:w="657" w:type="dxa"/>
            <w:vAlign w:val="center"/>
            <w:textDirection w:val="lrTb"/>
            <w:noWrap w:val="false"/>
          </w:tcPr>
          <w:p>
            <w:pPr>
              <w:ind w:left="0" w:right="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信用承诺</w:t>
            </w:r>
            <w:r>
              <w:rPr>
                <w:rFonts w:hint="eastAsia" w:ascii="宋体" w:hAnsi="宋体" w:eastAsia="宋体" w:cs="宋体"/>
                <w:sz w:val="24"/>
                <w:highlight w:val="none"/>
                <w:lang w:val="en-US" w:eastAsia="zh-CN" w:bidi="ar-SA"/>
              </w:rPr>
              <w:t xml:space="preserve"> </w:t>
            </w:r>
            <w:r/>
          </w:p>
        </w:tc>
        <w:tc>
          <w:tcPr>
            <w:gridSpan w:val="3"/>
            <w:tcW w:w="8244" w:type="dxa"/>
            <w:vAlign w:val="center"/>
            <w:textDirection w:val="lrTb"/>
            <w:noWrap w:val="false"/>
          </w:tcPr>
          <w:p>
            <w:pPr>
              <w:ind w:left="0" w:right="0" w:firstLine="42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我公司自愿参加苏美达国际技术贸易有限公司组织的本次采购活动，严格遵守《中华人民共和国政府采购法》及相关法律法规，坚守公开、公平、公正、诚实信用的原则，依法诚信经营，无条件遵守本次政府采购活动的各项规定。</w:t>
            </w:r>
            <w:r>
              <w:rPr>
                <w:rFonts w:hint="eastAsia" w:ascii="宋体" w:hAnsi="宋体" w:eastAsia="宋体" w:cs="宋体"/>
                <w:sz w:val="24"/>
                <w:highlight w:val="none"/>
                <w:lang w:val="en-US" w:eastAsia="zh-CN" w:bidi="ar-SA"/>
              </w:rPr>
              <w:t xml:space="preserve"> </w:t>
            </w:r>
            <w:r/>
          </w:p>
          <w:p>
            <w:pPr>
              <w:ind w:left="0" w:right="0" w:firstLine="420"/>
              <w:jc w:val="lef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我</w:t>
            </w:r>
            <w:r>
              <w:rPr>
                <w:rFonts w:hint="eastAsia" w:ascii="宋体" w:hAnsi="宋体" w:eastAsia="宋体" w:cs="宋体"/>
                <w:b w:val="0"/>
                <w:bCs w:val="0"/>
                <w:sz w:val="21"/>
                <w:szCs w:val="21"/>
                <w:highlight w:val="none"/>
                <w:lang w:val="en-US" w:eastAsia="zh-CN" w:bidi="ar-SA"/>
              </w:rPr>
              <w:t xml:space="preserve">们郑重承诺，本公司符合《中华人民共和国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审查和处罚。</w:t>
            </w:r>
            <w:r>
              <w:rPr>
                <w:rFonts w:hint="eastAsia" w:ascii="宋体" w:hAnsi="宋体" w:eastAsia="宋体" w:cs="宋体"/>
                <w:sz w:val="24"/>
                <w:highlight w:val="none"/>
                <w:lang w:val="en-US" w:eastAsia="zh-CN" w:bidi="ar-SA"/>
              </w:rPr>
              <w:t xml:space="preserve"> </w:t>
            </w:r>
            <w:r/>
          </w:p>
          <w:p>
            <w:pPr>
              <w:ind w:left="0" w:right="0"/>
              <w:jc w:val="righ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供应商名称（盖章）：</w:t>
            </w:r>
            <w:r>
              <w:rPr>
                <w:rFonts w:hint="eastAsia" w:ascii="宋体" w:hAnsi="宋体" w:eastAsia="宋体" w:cs="宋体"/>
                <w:sz w:val="24"/>
                <w:highlight w:val="none"/>
                <w:lang w:val="en-US" w:eastAsia="zh-CN" w:bidi="ar-SA"/>
              </w:rPr>
              <w:t xml:space="preserve"> </w:t>
            </w:r>
            <w:r/>
          </w:p>
          <w:p>
            <w:pPr>
              <w:ind w:left="0" w:right="0"/>
              <w:jc w:val="righ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法定代表人（签字）：</w:t>
            </w:r>
            <w:r>
              <w:rPr>
                <w:rFonts w:hint="eastAsia" w:ascii="宋体" w:hAnsi="宋体" w:eastAsia="宋体" w:cs="宋体"/>
                <w:sz w:val="24"/>
                <w:highlight w:val="none"/>
                <w:lang w:val="en-US" w:eastAsia="zh-CN" w:bidi="ar-SA"/>
              </w:rPr>
              <w:t xml:space="preserve"> </w:t>
            </w:r>
            <w:r/>
          </w:p>
          <w:p>
            <w:pPr>
              <w:ind w:left="0" w:right="0"/>
              <w:jc w:val="right"/>
              <w:keepLines w:val="0"/>
              <w:keepNext w:val="0"/>
              <w:spacing w:before="100" w:beforeAutospacing="1" w:after="100" w:afterAutospacing="1" w:line="22" w:lineRule="atLeast"/>
              <w:widowControl/>
              <w:rPr>
                <w:rFonts w:hint="eastAsia" w:ascii="宋体" w:hAnsi="宋体" w:eastAsia="宋体" w:cs="宋体"/>
                <w:sz w:val="24"/>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t xml:space="preserve">年月日</w:t>
            </w:r>
            <w:r>
              <w:rPr>
                <w:rFonts w:hint="eastAsia" w:ascii="宋体" w:hAnsi="宋体" w:eastAsia="宋体" w:cs="宋体"/>
                <w:sz w:val="24"/>
                <w:highlight w:val="none"/>
                <w:lang w:val="en-US" w:eastAsia="zh-CN" w:bidi="ar-SA"/>
              </w:rPr>
              <w:t xml:space="preserve"> </w:t>
            </w:r>
            <w:r/>
          </w:p>
        </w:tc>
      </w:tr>
    </w:tbl>
    <w:p>
      <w:pPr>
        <w:ind w:right="-5"/>
        <w:jc w:val="left"/>
        <w:keepLines w:val="0"/>
        <w:keepNext w:val="0"/>
        <w:spacing w:before="100" w:beforeAutospacing="1" w:after="100" w:afterAutospacing="1"/>
        <w:widowControl/>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bCs/>
          <w:sz w:val="18"/>
          <w:szCs w:val="18"/>
          <w:highlight w:val="none"/>
          <w:lang w:val="en-US" w:eastAsia="zh-CN" w:bidi="ar-SA"/>
        </w:rPr>
        <w:t xml:space="preserve">点击‘南京公共采购信息网</w:t>
      </w:r>
      <w:r>
        <w:rPr>
          <w:rFonts w:hint="eastAsia" w:ascii="宋体" w:hAnsi="宋体" w:eastAsia="宋体" w:cs="宋体"/>
          <w:bCs/>
          <w:sz w:val="18"/>
          <w:szCs w:val="18"/>
          <w:highlight w:val="none"/>
          <w:lang w:val="en-US" w:eastAsia="zh-CN" w:bidi="ar-SA"/>
        </w:rPr>
        <w:t xml:space="preserve">’首页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pStyle w:val="1122"/>
        <w:ind w:firstLine="240"/>
        <w:rPr>
          <w:rFonts w:hint="eastAsia" w:ascii="宋体" w:hAnsi="宋体" w:eastAsia="宋体" w:cs="宋体"/>
          <w:sz w:val="24"/>
          <w:highlight w:val="none"/>
        </w:rPr>
      </w:pPr>
      <w:r>
        <w:rPr>
          <w:rFonts w:hint="eastAsia" w:ascii="宋体" w:hAnsi="宋体" w:eastAsia="宋体" w:cs="宋体"/>
          <w:sz w:val="24"/>
          <w:highlight w:val="none"/>
        </w:rPr>
      </w:r>
      <w:r/>
    </w:p>
    <w:sectPr>
      <w:headerReference w:type="default" r:id="rId12"/>
      <w:headerReference w:type="first" r:id="rId13"/>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Symbol">
    <w:panose1 w:val="05050102010706020507"/>
  </w:font>
  <w:font w:name="Wingdings">
    <w:panose1 w:val="05000000000000000000"/>
  </w:font>
  <w:font w:name="Tahoma">
    <w:panose1 w:val="020B0604030504040204"/>
  </w:font>
  <w:font w:name="华文新魏">
    <w:panose1 w:val="02010800040101010101"/>
  </w:font>
  <w:font w:name="等线">
    <w:panose1 w:val="02010600030101010101"/>
  </w:font>
  <w:font w:name="仿宋">
    <w:panose1 w:val="02010609060101010101"/>
  </w:font>
  <w:font w:name="Courier New">
    <w:panose1 w:val="02070309020205020404"/>
  </w:font>
  <w:font w:name="Calibri">
    <w:panose1 w:val="020F0502020204030204"/>
  </w:font>
  <w:font w:name="微软雅黑">
    <w:panose1 w:val="020B0503020204020204"/>
  </w:font>
  <w:font w:name="仿宋_GB2312">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rPr>
        <w:rStyle w:val="980"/>
        <w:rFonts w:hint="eastAsia"/>
      </w:rPr>
    </w:pPr>
    <w:r>
      <w:rPr>
        <w:rStyle w:val="980"/>
        <w:rFonts w:hint="eastAsia"/>
      </w:rPr>
      <w:t xml:space="preserve">            </w:t>
    </w:r>
    <w:r/>
  </w:p>
  <w:p>
    <w:pPr>
      <w:pStyle w:val="1128"/>
      <w:rPr>
        <w:rStyle w:val="980"/>
        <w:rFonts w:hint="eastAsia"/>
      </w:rPr>
      <w:framePr w:wrap="around" w:vAnchor="text" w:hAnchor="page" w:x="6104" w:y="52"/>
    </w:pPr>
    <w:r>
      <w:rPr>
        <w:rStyle w:val="980"/>
        <w:rFonts w:hint="eastAsia"/>
      </w:rPr>
      <w:t xml:space="preserve">                   </w:t>
    </w:r>
    <w:r/>
  </w:p>
  <w:p>
    <w:pPr>
      <w:pStyle w:val="1128"/>
      <w:jc w:val="center"/>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w:fldChar w:fldCharType="begin"/>
    </w:r>
    <w:r>
      <w:instrText xml:space="preserve">PAGE   \* MERGEFORMAT</w:instrText>
    </w:r>
    <w:r>
      <w:fldChar w:fldCharType="separate"/>
    </w:r>
    <w:r>
      <w:rPr>
        <w:lang w:val="zh-CN"/>
      </w:rPr>
      <w:t xml:space="preserve">90</w:t>
    </w:r>
    <w:r>
      <w:fldChar w:fldCharType="end"/>
    </w:r>
    <w:r/>
  </w:p>
  <w:p>
    <w:pPr>
      <w:pStyle w:val="112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lang w:val="zh-CN"/>
      </w:rPr>
      <w:t xml:space="preserve"> </w:t>
    </w:r>
    <w:r/>
  </w:p>
  <w:p>
    <w:pPr>
      <w:pStyle w:val="1128"/>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w:rPr>
        <w:rFonts w:hint="eastAsia"/>
      </w:rPr>
      <w:t xml:space="preserve">第</w:t>
    </w:r>
    <w:r>
      <w:fldChar w:fldCharType="begin"/>
    </w:r>
    <w:r>
      <w:rPr>
        <w:rStyle w:val="980"/>
      </w:rPr>
      <w:instrText xml:space="preserve"> PAGE </w:instrText>
    </w:r>
    <w:r>
      <w:fldChar w:fldCharType="separate"/>
    </w:r>
    <w:r>
      <w:rPr>
        <w:rStyle w:val="980"/>
      </w:rPr>
      <w:t xml:space="preserve">1</w:t>
    </w:r>
    <w:r>
      <w:fldChar w:fldCharType="end"/>
    </w:r>
    <w:r>
      <w:rPr>
        <w:rStyle w:val="980"/>
        <w:rFonts w:hint="eastAsia"/>
      </w:rPr>
      <w:t xml:space="preserve">页，共</w:t>
    </w:r>
    <w:r>
      <w:fldChar w:fldCharType="begin"/>
    </w:r>
    <w:r>
      <w:rPr>
        <w:rStyle w:val="980"/>
      </w:rPr>
      <w:instrText xml:space="preserve"> NUMPAGES </w:instrText>
    </w:r>
    <w:r>
      <w:fldChar w:fldCharType="separate"/>
    </w:r>
    <w:r>
      <w:rPr>
        <w:rStyle w:val="980"/>
      </w:rPr>
      <w:t xml:space="preserve">8</w:t>
    </w:r>
    <w:r>
      <w:fldChar w:fldCharType="end"/>
    </w:r>
    <w:r>
      <w:rPr>
        <w:rStyle w:val="980"/>
        <w:rFonts w:hint="eastAsi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w:fldChar w:fldCharType="begin"/>
    </w:r>
    <w:r>
      <w:instrText xml:space="preserve">PAGE   \* MERGEFORMAT</w:instrText>
    </w:r>
    <w:r>
      <w:fldChar w:fldCharType="separate"/>
    </w:r>
    <w:r>
      <w:rPr>
        <w:lang w:val="zh-CN"/>
      </w:rPr>
      <w:t xml:space="preserve">90</w:t>
    </w:r>
    <w:r>
      <w:fldChar w:fldCharType="end"/>
    </w:r>
    <w:r/>
  </w:p>
  <w:p>
    <w:pPr>
      <w:pStyle w:val="1128"/>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hint="eastAsia"/>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hint="eastAsia"/>
        <w:sz w:val="21"/>
      </w:rPr>
    </w:pPr>
    <w:r>
      <w:rPr>
        <w:rFonts w:hint="eastAsia"/>
        <w:sz w:val="21"/>
      </w:rPr>
      <w:t xml:space="preserve">苏美达国际技术贸易有限公司                                           SUMEC       </w:t>
    </w:r>
    <w:r/>
  </w:p>
  <w:p>
    <w:pPr>
      <w:pStyle w:val="960"/>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hint="eastAsia"/>
        <w:sz w:val="21"/>
      </w:rPr>
    </w:pPr>
    <w:r>
      <w:rPr>
        <w:rFonts w:hint="eastAsia"/>
        <w:sz w:val="21"/>
      </w:rPr>
      <w:t xml:space="preserve">苏美达国际技术贸易有限公司                                           SUMEC       </w:t>
    </w:r>
    <w:r/>
  </w:p>
  <w:p>
    <w:pPr>
      <w:pStyle w:val="1127"/>
      <w:jc w:val="right"/>
      <w:spacing w:line="40" w:lineRule="exac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hint="eastAsia"/>
        <w:sz w:val="21"/>
      </w:rPr>
    </w:pPr>
    <w:r>
      <w:rPr>
        <w:rFonts w:hint="eastAsia"/>
        <w:sz w:val="21"/>
      </w:rPr>
      <w:t xml:space="preserve">苏美达国际技术贸易有限公司                                           SUMEC       </w:t>
    </w:r>
    <w:r/>
  </w:p>
  <w:p>
    <w:pPr>
      <w:pStyle w:val="1127"/>
      <w:jc w:val="right"/>
      <w:spacing w:line="4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hint="eastAsia"/>
        <w:sz w:val="21"/>
      </w:rPr>
    </w:pPr>
    <w:r>
      <w:rPr>
        <w:rFonts w:hint="eastAsia"/>
        <w:sz w:val="21"/>
      </w:rPr>
      <w:t xml:space="preserve">苏美达国际技术贸易有限公司                                           SUMEC       </w:t>
    </w:r>
    <w:r/>
  </w:p>
  <w:p>
    <w:pPr>
      <w:pStyle w:val="9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31"/>
      <w:isLgl w:val="false"/>
      <w:suff w:val="space"/>
      <w:lvlText w:val="%1."/>
      <w:lvlJc w:val="left"/>
      <w:pPr>
        <w:ind w:left="1486" w:hanging="1486"/>
      </w:pPr>
      <w:rPr>
        <w:color w:val="000000"/>
        <w:sz w:val="24"/>
        <w:szCs w:val="24"/>
      </w:rPr>
    </w:lvl>
    <w:lvl w:ilvl="1">
      <w:start w:val="1"/>
      <w:numFmt w:val="decimal"/>
      <w:pStyle w:val="1130"/>
      <w:isLgl w:val="false"/>
      <w:suff w:val="space"/>
      <w:lvlText w:val="%1.%2."/>
      <w:lvlJc w:val="left"/>
      <w:pPr>
        <w:ind w:left="1486" w:hanging="1486"/>
      </w:pPr>
      <w:rPr>
        <w:rFonts w:ascii="Arial Narrow" w:hAnsi="Arial Narrow" w:eastAsia="仿宋_GB2312"/>
        <w:b w:val="0"/>
        <w:i w:val="0"/>
        <w:color w:val="000000"/>
        <w:sz w:val="24"/>
      </w:rPr>
    </w:lvl>
    <w:lvl w:ilvl="2">
      <w:start w:val="1"/>
      <w:numFmt w:val="decimal"/>
      <w:pStyle w:val="1129"/>
      <w:isLgl w:val="false"/>
      <w:suff w:val="space"/>
      <w:lvlText w:val="%1.%2.%3."/>
      <w:lvlJc w:val="left"/>
      <w:pPr>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ind w:left="1486" w:hanging="1486"/>
      </w:pPr>
      <w:rPr>
        <w:rFonts w:ascii="Arial Narrow" w:hAnsi="Arial Narrow" w:eastAsia="仿宋_GB2312"/>
        <w:b w:val="0"/>
        <w:i w:val="0"/>
        <w:sz w:val="24"/>
      </w:rPr>
    </w:lvl>
    <w:lvl w:ilvl="5">
      <w:start w:val="1"/>
      <w:numFmt w:val="decimal"/>
      <w:isLgl w:val="false"/>
      <w:suff w:val="space"/>
      <w:lvlText w:val="%1.%2.%3.%4.%5.%6."/>
      <w:lvlJc w:val="left"/>
      <w:pPr>
        <w:ind w:left="1486" w:hanging="1486"/>
      </w:pPr>
    </w:lvl>
    <w:lvl w:ilvl="6">
      <w:start w:val="1"/>
      <w:numFmt w:val="decimal"/>
      <w:isLgl w:val="false"/>
      <w:suff w:val="space"/>
      <w:lvlText w:val="%1.%2.%3.%4.%5.%6.%7."/>
      <w:lvlJc w:val="left"/>
      <w:pPr>
        <w:ind w:left="1486" w:hanging="1486"/>
      </w:pPr>
    </w:lvl>
    <w:lvl w:ilvl="7">
      <w:start w:val="1"/>
      <w:numFmt w:val="decimal"/>
      <w:isLgl w:val="false"/>
      <w:suff w:val="space"/>
      <w:lvlText w:val="%1.%2.%3.%4.%5.%6.%7.%8."/>
      <w:lvlJc w:val="left"/>
      <w:pPr>
        <w:ind w:left="1486" w:hanging="1486"/>
      </w:pPr>
    </w:lvl>
    <w:lvl w:ilvl="8">
      <w:start w:val="1"/>
      <w:numFmt w:val="decimal"/>
      <w:isLgl w:val="false"/>
      <w:suff w:val="space"/>
      <w:lvlText w:val="%1.%2.%3.%4.%5.%6.%7.%8.%9."/>
      <w:lvlJc w:val="left"/>
      <w:pPr>
        <w:ind w:left="1486" w:hanging="1486"/>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tab"/>
      <w:lvlText w:val="第%1章"/>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6"/>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default="1">
    <w:name w:val="Normal"/>
    <w:link w:val="1123"/>
    <w:uiPriority w:val="0"/>
    <w:qFormat/>
    <w:pPr>
      <w:jc w:val="both"/>
      <w:widowControl w:val="off"/>
    </w:pPr>
    <w:rPr>
      <w:rFonts w:hint="default" w:ascii="Times New Roman" w:hAnsi="Times New Roman" w:eastAsia="宋体" w:cs="Times New Roman"/>
      <w:sz w:val="21"/>
      <w:lang w:val="en-US" w:eastAsia="zh-CN" w:bidi="ar-SA"/>
    </w:rPr>
  </w:style>
  <w:style w:type="paragraph" w:styleId="872">
    <w:name w:val="Heading 1"/>
    <w:basedOn w:val="871"/>
    <w:next w:val="871"/>
    <w:link w:val="910"/>
    <w:uiPriority w:val="9"/>
    <w:qFormat/>
    <w:pPr>
      <w:keepLines/>
      <w:keepNext/>
      <w:spacing w:before="480" w:after="200"/>
      <w:outlineLvl w:val="0"/>
    </w:pPr>
    <w:rPr>
      <w:rFonts w:ascii="Arial" w:hAnsi="Arial" w:eastAsia="Arial" w:cs="Arial"/>
      <w:sz w:val="40"/>
      <w:szCs w:val="40"/>
    </w:rPr>
  </w:style>
  <w:style w:type="paragraph" w:styleId="873">
    <w:name w:val="Heading 2"/>
    <w:basedOn w:val="871"/>
    <w:next w:val="871"/>
    <w:link w:val="911"/>
    <w:uiPriority w:val="9"/>
    <w:unhideWhenUsed/>
    <w:qFormat/>
    <w:pPr>
      <w:keepLines/>
      <w:keepNext/>
      <w:spacing w:before="360" w:after="200"/>
      <w:outlineLvl w:val="1"/>
    </w:pPr>
    <w:rPr>
      <w:rFonts w:ascii="Arial" w:hAnsi="Arial" w:eastAsia="Arial" w:cs="Arial"/>
      <w:sz w:val="34"/>
    </w:rPr>
  </w:style>
  <w:style w:type="paragraph" w:styleId="874">
    <w:name w:val="Heading 3"/>
    <w:basedOn w:val="871"/>
    <w:next w:val="871"/>
    <w:uiPriority w:val="9"/>
    <w:unhideWhenUsed/>
    <w:qFormat/>
    <w:pPr>
      <w:keepLines/>
      <w:keepNext/>
      <w:spacing w:before="320" w:after="200"/>
      <w:outlineLvl w:val="2"/>
    </w:pPr>
    <w:rPr>
      <w:rFonts w:ascii="Arial" w:hAnsi="Arial" w:eastAsia="Arial" w:cs="Arial"/>
      <w:sz w:val="30"/>
      <w:szCs w:val="30"/>
    </w:rPr>
  </w:style>
  <w:style w:type="paragraph" w:styleId="875">
    <w:name w:val="Heading 4"/>
    <w:basedOn w:val="871"/>
    <w:next w:val="871"/>
    <w:link w:val="912"/>
    <w:uiPriority w:val="9"/>
    <w:unhideWhenUsed/>
    <w:qFormat/>
    <w:pPr>
      <w:keepLines/>
      <w:keepNext/>
      <w:spacing w:before="320" w:after="200"/>
      <w:outlineLvl w:val="3"/>
    </w:pPr>
    <w:rPr>
      <w:rFonts w:ascii="Arial" w:hAnsi="Arial" w:eastAsia="Arial" w:cs="Arial"/>
      <w:b/>
      <w:bCs/>
      <w:sz w:val="26"/>
      <w:szCs w:val="26"/>
    </w:rPr>
  </w:style>
  <w:style w:type="paragraph" w:styleId="876">
    <w:name w:val="Heading 5"/>
    <w:basedOn w:val="871"/>
    <w:next w:val="871"/>
    <w:link w:val="913"/>
    <w:uiPriority w:val="9"/>
    <w:unhideWhenUsed/>
    <w:qFormat/>
    <w:pPr>
      <w:keepLines/>
      <w:keepNext/>
      <w:spacing w:before="320" w:after="200"/>
      <w:outlineLvl w:val="4"/>
    </w:pPr>
    <w:rPr>
      <w:rFonts w:ascii="Arial" w:hAnsi="Arial" w:eastAsia="Arial" w:cs="Arial"/>
      <w:b/>
      <w:bCs/>
      <w:sz w:val="24"/>
      <w:szCs w:val="24"/>
    </w:rPr>
  </w:style>
  <w:style w:type="paragraph" w:styleId="877">
    <w:name w:val="Heading 6"/>
    <w:basedOn w:val="871"/>
    <w:next w:val="871"/>
    <w:link w:val="914"/>
    <w:uiPriority w:val="9"/>
    <w:unhideWhenUsed/>
    <w:qFormat/>
    <w:pPr>
      <w:keepLines/>
      <w:keepNext/>
      <w:spacing w:before="320" w:after="200"/>
      <w:outlineLvl w:val="5"/>
    </w:pPr>
    <w:rPr>
      <w:rFonts w:ascii="Arial" w:hAnsi="Arial" w:eastAsia="Arial" w:cs="Arial"/>
      <w:b/>
      <w:bCs/>
      <w:sz w:val="22"/>
      <w:szCs w:val="22"/>
    </w:rPr>
  </w:style>
  <w:style w:type="paragraph" w:styleId="878">
    <w:name w:val="Heading 7"/>
    <w:basedOn w:val="871"/>
    <w:next w:val="871"/>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79">
    <w:name w:val="Heading 8"/>
    <w:basedOn w:val="871"/>
    <w:next w:val="871"/>
    <w:link w:val="916"/>
    <w:uiPriority w:val="9"/>
    <w:unhideWhenUsed/>
    <w:qFormat/>
    <w:pPr>
      <w:keepLines/>
      <w:keepNext/>
      <w:spacing w:before="320" w:after="200"/>
      <w:outlineLvl w:val="7"/>
    </w:pPr>
    <w:rPr>
      <w:rFonts w:ascii="Arial" w:hAnsi="Arial" w:eastAsia="Arial" w:cs="Arial"/>
      <w:i/>
      <w:iCs/>
      <w:sz w:val="22"/>
      <w:szCs w:val="22"/>
    </w:rPr>
  </w:style>
  <w:style w:type="paragraph" w:styleId="880">
    <w:name w:val="Heading 9"/>
    <w:basedOn w:val="871"/>
    <w:next w:val="871"/>
    <w:link w:val="917"/>
    <w:uiPriority w:val="9"/>
    <w:unhideWhenUsed/>
    <w:qFormat/>
    <w:pPr>
      <w:keepLines/>
      <w:keepNext/>
      <w:spacing w:before="320" w:after="200"/>
      <w:outlineLvl w:val="8"/>
    </w:pPr>
    <w:rPr>
      <w:rFonts w:ascii="Arial" w:hAnsi="Arial" w:eastAsia="Arial" w:cs="Arial"/>
      <w:i/>
      <w:iCs/>
      <w:sz w:val="21"/>
      <w:szCs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toc 7"/>
    <w:basedOn w:val="871"/>
    <w:next w:val="871"/>
    <w:uiPriority w:val="39"/>
    <w:unhideWhenUsed/>
    <w:qFormat/>
    <w:pPr>
      <w:ind w:left="1701" w:right="0" w:firstLine="0"/>
      <w:spacing w:after="57"/>
    </w:pPr>
  </w:style>
  <w:style w:type="paragraph" w:styleId="884">
    <w:name w:val="Caption"/>
    <w:basedOn w:val="871"/>
    <w:next w:val="871"/>
    <w:uiPriority w:val="35"/>
    <w:semiHidden/>
    <w:unhideWhenUsed/>
    <w:qFormat/>
    <w:pPr>
      <w:spacing w:line="276" w:lineRule="auto"/>
    </w:pPr>
    <w:rPr>
      <w:b/>
      <w:bCs/>
      <w:color w:val="4f81bd" w:themeColor="accent1"/>
      <w:sz w:val="18"/>
      <w:szCs w:val="18"/>
    </w:rPr>
  </w:style>
  <w:style w:type="paragraph" w:styleId="885">
    <w:name w:val="annotation text"/>
    <w:basedOn w:val="871"/>
    <w:uiPriority w:val="99"/>
    <w:semiHidden/>
    <w:unhideWhenUsed/>
    <w:qFormat/>
    <w:pPr>
      <w:jc w:val="left"/>
    </w:pPr>
  </w:style>
  <w:style w:type="paragraph" w:styleId="886">
    <w:name w:val="Body Text"/>
    <w:basedOn w:val="871"/>
    <w:next w:val="871"/>
    <w:uiPriority w:val="0"/>
    <w:qFormat/>
    <w:rPr>
      <w:rFonts w:ascii="仿宋_GB2312" w:eastAsia="仿宋_GB2312"/>
      <w:sz w:val="28"/>
      <w:szCs w:val="20"/>
    </w:rPr>
  </w:style>
  <w:style w:type="paragraph" w:styleId="887">
    <w:name w:val="Block Text"/>
    <w:basedOn w:val="871"/>
    <w:uiPriority w:val="99"/>
    <w:unhideWhenUsed/>
    <w:qFormat/>
    <w:pPr>
      <w:ind w:left="1440" w:right="1440"/>
      <w:spacing w:after="120"/>
    </w:pPr>
  </w:style>
  <w:style w:type="paragraph" w:styleId="888">
    <w:name w:val="index 4"/>
    <w:basedOn w:val="871"/>
    <w:next w:val="871"/>
    <w:uiPriority w:val="0"/>
    <w:qFormat/>
    <w:pPr>
      <w:ind w:left="600"/>
    </w:pPr>
    <w:rPr>
      <w:rFonts w:ascii="Calibri" w:hAnsi="Calibri"/>
    </w:rPr>
  </w:style>
  <w:style w:type="paragraph" w:styleId="889">
    <w:name w:val="toc 5"/>
    <w:basedOn w:val="871"/>
    <w:next w:val="871"/>
    <w:uiPriority w:val="39"/>
    <w:unhideWhenUsed/>
    <w:qFormat/>
    <w:pPr>
      <w:ind w:left="1134" w:right="0" w:firstLine="0"/>
      <w:spacing w:after="57"/>
    </w:pPr>
  </w:style>
  <w:style w:type="paragraph" w:styleId="890">
    <w:name w:val="toc 3"/>
    <w:basedOn w:val="871"/>
    <w:next w:val="871"/>
    <w:uiPriority w:val="39"/>
    <w:unhideWhenUsed/>
    <w:qFormat/>
    <w:pPr>
      <w:ind w:left="567" w:right="0" w:firstLine="0"/>
      <w:spacing w:after="57"/>
    </w:pPr>
  </w:style>
  <w:style w:type="paragraph" w:styleId="891">
    <w:name w:val="toc 8"/>
    <w:basedOn w:val="871"/>
    <w:next w:val="871"/>
    <w:uiPriority w:val="39"/>
    <w:unhideWhenUsed/>
    <w:qFormat/>
    <w:pPr>
      <w:ind w:left="1984" w:right="0" w:firstLine="0"/>
      <w:spacing w:after="57"/>
    </w:pPr>
  </w:style>
  <w:style w:type="paragraph" w:styleId="892">
    <w:name w:val="endnote text"/>
    <w:basedOn w:val="871"/>
    <w:link w:val="927"/>
    <w:uiPriority w:val="99"/>
    <w:semiHidden/>
    <w:unhideWhenUsed/>
    <w:qFormat/>
    <w:pPr>
      <w:spacing w:after="0" w:line="240" w:lineRule="auto"/>
    </w:pPr>
    <w:rPr>
      <w:sz w:val="20"/>
    </w:rPr>
  </w:style>
  <w:style w:type="paragraph" w:styleId="893">
    <w:name w:val="Footer"/>
    <w:basedOn w:val="871"/>
    <w:uiPriority w:val="99"/>
    <w:unhideWhenUsed/>
    <w:qFormat/>
    <w:pPr>
      <w:spacing w:after="0" w:line="240" w:lineRule="auto"/>
      <w:tabs>
        <w:tab w:val="center" w:pos="7143" w:leader="none"/>
        <w:tab w:val="right" w:pos="14287" w:leader="none"/>
      </w:tabs>
    </w:pPr>
  </w:style>
  <w:style w:type="paragraph" w:styleId="894">
    <w:name w:val="Header"/>
    <w:basedOn w:val="871"/>
    <w:uiPriority w:val="99"/>
    <w:unhideWhenUsed/>
    <w:qFormat/>
    <w:pPr>
      <w:spacing w:after="0" w:line="240" w:lineRule="auto"/>
      <w:tabs>
        <w:tab w:val="center" w:pos="7143" w:leader="none"/>
        <w:tab w:val="right" w:pos="14287" w:leader="none"/>
      </w:tabs>
    </w:pPr>
  </w:style>
  <w:style w:type="paragraph" w:styleId="895">
    <w:name w:val="toc 1"/>
    <w:basedOn w:val="871"/>
    <w:next w:val="871"/>
    <w:uiPriority w:val="39"/>
    <w:unhideWhenUsed/>
    <w:qFormat/>
    <w:pPr>
      <w:ind w:left="0" w:right="0" w:firstLine="0"/>
      <w:spacing w:after="57"/>
    </w:pPr>
  </w:style>
  <w:style w:type="paragraph" w:styleId="896">
    <w:name w:val="toc 4"/>
    <w:basedOn w:val="871"/>
    <w:next w:val="871"/>
    <w:uiPriority w:val="39"/>
    <w:unhideWhenUsed/>
    <w:qFormat/>
    <w:pPr>
      <w:ind w:left="850" w:right="0" w:firstLine="0"/>
      <w:spacing w:after="57"/>
    </w:pPr>
  </w:style>
  <w:style w:type="paragraph" w:styleId="897">
    <w:name w:val="Subtitle"/>
    <w:basedOn w:val="871"/>
    <w:next w:val="871"/>
    <w:link w:val="921"/>
    <w:uiPriority w:val="11"/>
    <w:qFormat/>
    <w:pPr>
      <w:spacing w:before="200" w:after="200"/>
    </w:pPr>
    <w:rPr>
      <w:sz w:val="24"/>
      <w:szCs w:val="24"/>
    </w:rPr>
  </w:style>
  <w:style w:type="paragraph" w:styleId="898">
    <w:name w:val="footnote text"/>
    <w:basedOn w:val="871"/>
    <w:link w:val="926"/>
    <w:uiPriority w:val="99"/>
    <w:semiHidden/>
    <w:unhideWhenUsed/>
    <w:qFormat/>
    <w:pPr>
      <w:spacing w:after="40" w:line="240" w:lineRule="auto"/>
    </w:pPr>
    <w:rPr>
      <w:sz w:val="18"/>
    </w:rPr>
  </w:style>
  <w:style w:type="paragraph" w:styleId="899">
    <w:name w:val="toc 6"/>
    <w:basedOn w:val="871"/>
    <w:next w:val="871"/>
    <w:uiPriority w:val="39"/>
    <w:unhideWhenUsed/>
    <w:qFormat/>
    <w:pPr>
      <w:ind w:left="1417" w:right="0" w:firstLine="0"/>
      <w:spacing w:after="57"/>
    </w:pPr>
  </w:style>
  <w:style w:type="paragraph" w:styleId="900">
    <w:name w:val="table of figures"/>
    <w:basedOn w:val="871"/>
    <w:next w:val="871"/>
    <w:uiPriority w:val="99"/>
    <w:unhideWhenUsed/>
    <w:qFormat/>
    <w:pPr>
      <w:spacing w:after="0" w:afterAutospacing="0"/>
    </w:pPr>
  </w:style>
  <w:style w:type="paragraph" w:styleId="901">
    <w:name w:val="toc 2"/>
    <w:basedOn w:val="871"/>
    <w:next w:val="871"/>
    <w:uiPriority w:val="39"/>
    <w:unhideWhenUsed/>
    <w:qFormat/>
    <w:pPr>
      <w:ind w:left="283" w:right="0" w:firstLine="0"/>
      <w:spacing w:after="57"/>
    </w:pPr>
  </w:style>
  <w:style w:type="paragraph" w:styleId="902">
    <w:name w:val="toc 9"/>
    <w:basedOn w:val="871"/>
    <w:next w:val="871"/>
    <w:uiPriority w:val="39"/>
    <w:unhideWhenUsed/>
    <w:qFormat/>
    <w:pPr>
      <w:ind w:left="2268" w:right="0" w:firstLine="0"/>
      <w:spacing w:after="57"/>
    </w:pPr>
  </w:style>
  <w:style w:type="paragraph" w:styleId="903">
    <w:name w:val="Title"/>
    <w:basedOn w:val="871"/>
    <w:next w:val="871"/>
    <w:link w:val="920"/>
    <w:uiPriority w:val="10"/>
    <w:qFormat/>
    <w:pPr>
      <w:contextualSpacing/>
      <w:spacing w:before="300" w:after="200"/>
    </w:pPr>
    <w:rPr>
      <w:sz w:val="48"/>
      <w:szCs w:val="48"/>
    </w:rPr>
  </w:style>
  <w:style w:type="paragraph" w:styleId="904">
    <w:name w:val="Body Text First Indent"/>
    <w:uiPriority w:val="99"/>
    <w:unhideWhenUsed/>
    <w:qFormat/>
    <w:pPr>
      <w:ind w:firstLine="420"/>
      <w:jc w:val="both"/>
      <w:spacing w:after="120"/>
      <w:widowControl w:val="off"/>
    </w:pPr>
    <w:rPr>
      <w:rFonts w:ascii="Times New Roman" w:hAnsi="Times New Roman" w:eastAsia="宋体" w:cs="Times New Roman"/>
      <w:sz w:val="21"/>
      <w:szCs w:val="24"/>
      <w:lang w:val="en-US" w:eastAsia="zh-CN" w:bidi="ar-SA"/>
    </w:rPr>
  </w:style>
  <w:style w:type="table" w:styleId="9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endnote reference"/>
    <w:uiPriority w:val="99"/>
    <w:semiHidden/>
    <w:unhideWhenUsed/>
    <w:qFormat/>
    <w:rPr>
      <w:vertAlign w:val="superscript"/>
    </w:rPr>
  </w:style>
  <w:style w:type="character" w:styleId="907">
    <w:name w:val="Hyperlink"/>
    <w:uiPriority w:val="99"/>
    <w:unhideWhenUsed/>
    <w:qFormat/>
    <w:rPr>
      <w:color w:val="0000ff" w:themeColor="hyperlink"/>
      <w:u w:val="single"/>
    </w:rPr>
  </w:style>
  <w:style w:type="character" w:styleId="908">
    <w:name w:val="footnote reference"/>
    <w:uiPriority w:val="99"/>
    <w:unhideWhenUsed/>
    <w:qFormat/>
    <w:rPr>
      <w:vertAlign w:val="superscript"/>
    </w:rPr>
  </w:style>
  <w:style w:type="paragraph" w:styleId="909" w:customStyle="1">
    <w:name w:val="索引 41"/>
    <w:basedOn w:val="871"/>
    <w:next w:val="871"/>
    <w:uiPriority w:val="99"/>
    <w:qFormat/>
    <w:pPr>
      <w:ind w:left="600"/>
    </w:pPr>
    <w:rPr>
      <w:szCs w:val="24"/>
    </w:rPr>
  </w:style>
  <w:style w:type="character" w:styleId="910" w:customStyle="1">
    <w:name w:val="Heading 1 Char"/>
    <w:link w:val="872"/>
    <w:uiPriority w:val="9"/>
    <w:qFormat/>
    <w:rPr>
      <w:rFonts w:ascii="Arial" w:hAnsi="Arial" w:eastAsia="Arial" w:cs="Arial"/>
      <w:sz w:val="40"/>
      <w:szCs w:val="40"/>
    </w:rPr>
  </w:style>
  <w:style w:type="character" w:styleId="911" w:customStyle="1">
    <w:name w:val="Heading 2 Char"/>
    <w:link w:val="873"/>
    <w:uiPriority w:val="9"/>
    <w:qFormat/>
    <w:rPr>
      <w:rFonts w:ascii="Arial" w:hAnsi="Arial" w:eastAsia="Arial" w:cs="Arial"/>
      <w:sz w:val="34"/>
    </w:rPr>
  </w:style>
  <w:style w:type="character" w:styleId="912" w:customStyle="1">
    <w:name w:val="Heading 4 Char"/>
    <w:link w:val="875"/>
    <w:uiPriority w:val="9"/>
    <w:qFormat/>
    <w:rPr>
      <w:rFonts w:ascii="Arial" w:hAnsi="Arial" w:eastAsia="Arial" w:cs="Arial"/>
      <w:b/>
      <w:bCs/>
      <w:sz w:val="26"/>
      <w:szCs w:val="26"/>
    </w:rPr>
  </w:style>
  <w:style w:type="character" w:styleId="913" w:customStyle="1">
    <w:name w:val="Heading 5 Char"/>
    <w:link w:val="876"/>
    <w:uiPriority w:val="9"/>
    <w:qFormat/>
    <w:rPr>
      <w:rFonts w:ascii="Arial" w:hAnsi="Arial" w:eastAsia="Arial" w:cs="Arial"/>
      <w:b/>
      <w:bCs/>
      <w:sz w:val="24"/>
      <w:szCs w:val="24"/>
    </w:rPr>
  </w:style>
  <w:style w:type="character" w:styleId="914" w:customStyle="1">
    <w:name w:val="Heading 6 Char"/>
    <w:link w:val="877"/>
    <w:uiPriority w:val="9"/>
    <w:qFormat/>
    <w:rPr>
      <w:rFonts w:ascii="Arial" w:hAnsi="Arial" w:eastAsia="Arial" w:cs="Arial"/>
      <w:b/>
      <w:bCs/>
      <w:sz w:val="22"/>
      <w:szCs w:val="22"/>
    </w:rPr>
  </w:style>
  <w:style w:type="character" w:styleId="915" w:customStyle="1">
    <w:name w:val="Heading 7 Char"/>
    <w:link w:val="878"/>
    <w:uiPriority w:val="9"/>
    <w:qFormat/>
    <w:rPr>
      <w:rFonts w:ascii="Arial" w:hAnsi="Arial" w:eastAsia="Arial" w:cs="Arial"/>
      <w:b/>
      <w:bCs/>
      <w:i/>
      <w:iCs/>
      <w:sz w:val="22"/>
      <w:szCs w:val="22"/>
    </w:rPr>
  </w:style>
  <w:style w:type="character" w:styleId="916" w:customStyle="1">
    <w:name w:val="Heading 8 Char"/>
    <w:link w:val="879"/>
    <w:uiPriority w:val="9"/>
    <w:qFormat/>
    <w:rPr>
      <w:rFonts w:ascii="Arial" w:hAnsi="Arial" w:eastAsia="Arial" w:cs="Arial"/>
      <w:i/>
      <w:iCs/>
      <w:sz w:val="22"/>
      <w:szCs w:val="22"/>
    </w:rPr>
  </w:style>
  <w:style w:type="character" w:styleId="917" w:customStyle="1">
    <w:name w:val="Heading 9 Char"/>
    <w:link w:val="880"/>
    <w:uiPriority w:val="9"/>
    <w:qFormat/>
    <w:rPr>
      <w:rFonts w:ascii="Arial" w:hAnsi="Arial" w:eastAsia="Arial" w:cs="Arial"/>
      <w:i/>
      <w:iCs/>
      <w:sz w:val="21"/>
      <w:szCs w:val="21"/>
    </w:rPr>
  </w:style>
  <w:style w:type="paragraph" w:styleId="918">
    <w:name w:val="List Paragraph"/>
    <w:basedOn w:val="871"/>
    <w:uiPriority w:val="34"/>
    <w:qFormat/>
    <w:pPr>
      <w:contextualSpacing/>
      <w:ind w:left="720"/>
    </w:pPr>
  </w:style>
  <w:style w:type="paragraph" w:styleId="919">
    <w:name w:val="No Spacing"/>
    <w:uiPriority w:val="1"/>
    <w:qFormat/>
    <w:pPr>
      <w:spacing w:before="0" w:after="0" w:line="240" w:lineRule="auto"/>
    </w:pPr>
    <w:rPr>
      <w:rFonts w:hint="default" w:ascii="Times New Roman" w:hAnsi="Times New Roman" w:eastAsia="宋体" w:cs="Times New Roman"/>
    </w:rPr>
  </w:style>
  <w:style w:type="character" w:styleId="920" w:customStyle="1">
    <w:name w:val="Title Char"/>
    <w:link w:val="903"/>
    <w:uiPriority w:val="10"/>
    <w:qFormat/>
    <w:rPr>
      <w:sz w:val="48"/>
      <w:szCs w:val="48"/>
    </w:rPr>
  </w:style>
  <w:style w:type="character" w:styleId="921" w:customStyle="1">
    <w:name w:val="Subtitle Char"/>
    <w:link w:val="897"/>
    <w:uiPriority w:val="11"/>
    <w:qFormat/>
    <w:rPr>
      <w:sz w:val="24"/>
      <w:szCs w:val="24"/>
    </w:rPr>
  </w:style>
  <w:style w:type="paragraph" w:styleId="922">
    <w:name w:val="Quote"/>
    <w:basedOn w:val="871"/>
    <w:next w:val="871"/>
    <w:link w:val="923"/>
    <w:uiPriority w:val="29"/>
    <w:qFormat/>
    <w:pPr>
      <w:ind w:left="720" w:right="720"/>
    </w:pPr>
    <w:rPr>
      <w:i/>
    </w:rPr>
  </w:style>
  <w:style w:type="character" w:styleId="923" w:customStyle="1">
    <w:name w:val="Quote Char"/>
    <w:link w:val="922"/>
    <w:uiPriority w:val="29"/>
    <w:qFormat/>
    <w:rPr>
      <w:i/>
    </w:rPr>
  </w:style>
  <w:style w:type="paragraph" w:styleId="924">
    <w:name w:val="Intense Quote"/>
    <w:basedOn w:val="871"/>
    <w:next w:val="871"/>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Intense Quote Char"/>
    <w:link w:val="924"/>
    <w:uiPriority w:val="30"/>
    <w:qFormat/>
    <w:rPr>
      <w:i/>
    </w:rPr>
  </w:style>
  <w:style w:type="character" w:styleId="926" w:customStyle="1">
    <w:name w:val="Footnote Text Char"/>
    <w:link w:val="898"/>
    <w:uiPriority w:val="99"/>
    <w:qFormat/>
    <w:rPr>
      <w:sz w:val="18"/>
    </w:rPr>
  </w:style>
  <w:style w:type="character" w:styleId="927" w:customStyle="1">
    <w:name w:val="Endnote Text Char"/>
    <w:link w:val="892"/>
    <w:uiPriority w:val="99"/>
    <w:qFormat/>
    <w:rPr>
      <w:sz w:val="20"/>
    </w:rPr>
  </w:style>
  <w:style w:type="paragraph" w:styleId="928" w:customStyle="1">
    <w:name w:val="标题 11"/>
    <w:basedOn w:val="871"/>
    <w:next w:val="871"/>
    <w:link w:val="939"/>
    <w:uiPriority w:val="9"/>
    <w:qFormat/>
    <w:pPr>
      <w:keepLines/>
      <w:keepNext/>
      <w:spacing w:before="480" w:after="200"/>
      <w:outlineLvl w:val="0"/>
    </w:pPr>
    <w:rPr>
      <w:rFonts w:ascii="Arial" w:hAnsi="Arial" w:eastAsia="Arial" w:cs="Arial"/>
      <w:sz w:val="40"/>
      <w:szCs w:val="40"/>
    </w:rPr>
  </w:style>
  <w:style w:type="paragraph" w:styleId="929" w:customStyle="1">
    <w:name w:val="标题 21"/>
    <w:basedOn w:val="871"/>
    <w:next w:val="871"/>
    <w:link w:val="940"/>
    <w:uiPriority w:val="9"/>
    <w:qFormat/>
    <w:pPr>
      <w:keepLines/>
      <w:keepNext/>
      <w:spacing w:before="360" w:after="200"/>
      <w:outlineLvl w:val="1"/>
    </w:pPr>
    <w:rPr>
      <w:rFonts w:ascii="Arial" w:hAnsi="Arial" w:eastAsia="Arial" w:cs="Arial"/>
      <w:sz w:val="34"/>
    </w:rPr>
  </w:style>
  <w:style w:type="paragraph" w:styleId="930" w:customStyle="1">
    <w:name w:val="标题 311"/>
    <w:basedOn w:val="871"/>
    <w:next w:val="871"/>
    <w:uiPriority w:val="9"/>
    <w:qFormat/>
    <w:pPr>
      <w:keepLines/>
      <w:keepNext/>
      <w:spacing w:before="320" w:after="200"/>
      <w:outlineLvl w:val="2"/>
    </w:pPr>
    <w:rPr>
      <w:rFonts w:ascii="Arial" w:hAnsi="Arial" w:eastAsia="Arial" w:cs="Arial"/>
      <w:sz w:val="30"/>
      <w:szCs w:val="30"/>
    </w:rPr>
  </w:style>
  <w:style w:type="paragraph" w:styleId="931" w:customStyle="1">
    <w:name w:val="标题 41"/>
    <w:basedOn w:val="871"/>
    <w:next w:val="871"/>
    <w:link w:val="941"/>
    <w:uiPriority w:val="9"/>
    <w:qFormat/>
    <w:pPr>
      <w:keepLines/>
      <w:keepNext/>
      <w:spacing w:before="320" w:after="200"/>
      <w:outlineLvl w:val="3"/>
    </w:pPr>
    <w:rPr>
      <w:rFonts w:ascii="Arial" w:hAnsi="Arial" w:eastAsia="Arial" w:cs="Arial"/>
      <w:b/>
      <w:bCs/>
      <w:sz w:val="26"/>
      <w:szCs w:val="26"/>
    </w:rPr>
  </w:style>
  <w:style w:type="paragraph" w:styleId="932" w:customStyle="1">
    <w:name w:val="标题 51"/>
    <w:basedOn w:val="871"/>
    <w:next w:val="871"/>
    <w:link w:val="942"/>
    <w:uiPriority w:val="9"/>
    <w:qFormat/>
    <w:pPr>
      <w:keepLines/>
      <w:keepNext/>
      <w:spacing w:before="320" w:after="200"/>
      <w:outlineLvl w:val="4"/>
    </w:pPr>
    <w:rPr>
      <w:rFonts w:ascii="Arial" w:hAnsi="Arial" w:eastAsia="Arial" w:cs="Arial"/>
      <w:b/>
      <w:bCs/>
      <w:sz w:val="24"/>
      <w:szCs w:val="24"/>
    </w:rPr>
  </w:style>
  <w:style w:type="paragraph" w:styleId="933" w:customStyle="1">
    <w:name w:val="标题 61"/>
    <w:basedOn w:val="871"/>
    <w:next w:val="871"/>
    <w:link w:val="943"/>
    <w:uiPriority w:val="9"/>
    <w:qFormat/>
    <w:pPr>
      <w:keepLines/>
      <w:keepNext/>
      <w:spacing w:before="320" w:after="200"/>
      <w:outlineLvl w:val="5"/>
    </w:pPr>
    <w:rPr>
      <w:rFonts w:ascii="Arial" w:hAnsi="Arial" w:eastAsia="Arial" w:cs="Arial"/>
      <w:b/>
      <w:bCs/>
      <w:sz w:val="22"/>
      <w:szCs w:val="22"/>
    </w:rPr>
  </w:style>
  <w:style w:type="paragraph" w:styleId="934" w:customStyle="1">
    <w:name w:val="标题 71"/>
    <w:basedOn w:val="871"/>
    <w:next w:val="871"/>
    <w:link w:val="944"/>
    <w:uiPriority w:val="9"/>
    <w:qFormat/>
    <w:pPr>
      <w:keepLines/>
      <w:keepNext/>
      <w:spacing w:before="320" w:after="200"/>
      <w:outlineLvl w:val="6"/>
    </w:pPr>
    <w:rPr>
      <w:rFonts w:ascii="Arial" w:hAnsi="Arial" w:eastAsia="Arial" w:cs="Arial"/>
      <w:b/>
      <w:bCs/>
      <w:i/>
      <w:iCs/>
      <w:sz w:val="22"/>
      <w:szCs w:val="22"/>
    </w:rPr>
  </w:style>
  <w:style w:type="paragraph" w:styleId="935" w:customStyle="1">
    <w:name w:val="标题 81"/>
    <w:basedOn w:val="871"/>
    <w:next w:val="871"/>
    <w:link w:val="945"/>
    <w:uiPriority w:val="9"/>
    <w:qFormat/>
    <w:pPr>
      <w:keepLines/>
      <w:keepNext/>
      <w:spacing w:before="320" w:after="200"/>
      <w:outlineLvl w:val="7"/>
    </w:pPr>
    <w:rPr>
      <w:rFonts w:ascii="Arial" w:hAnsi="Arial" w:eastAsia="Arial" w:cs="Arial"/>
      <w:i/>
      <w:iCs/>
      <w:sz w:val="22"/>
      <w:szCs w:val="22"/>
    </w:rPr>
  </w:style>
  <w:style w:type="paragraph" w:styleId="936" w:customStyle="1">
    <w:name w:val="标题 91"/>
    <w:basedOn w:val="871"/>
    <w:next w:val="871"/>
    <w:link w:val="946"/>
    <w:uiPriority w:val="9"/>
    <w:qFormat/>
    <w:pPr>
      <w:keepLines/>
      <w:keepNext/>
      <w:spacing w:before="320" w:after="200"/>
      <w:outlineLvl w:val="8"/>
    </w:pPr>
    <w:rPr>
      <w:rFonts w:ascii="Arial" w:hAnsi="Arial" w:eastAsia="Arial" w:cs="Arial"/>
      <w:i/>
      <w:iCs/>
      <w:sz w:val="21"/>
      <w:szCs w:val="21"/>
    </w:rPr>
  </w:style>
  <w:style w:type="character" w:styleId="937" w:customStyle="1">
    <w:name w:val="默认段落字体1"/>
    <w:link w:val="871"/>
    <w:uiPriority w:val="0"/>
    <w:semiHidden/>
    <w:qFormat/>
  </w:style>
  <w:style w:type="table" w:styleId="938" w:customStyle="1">
    <w:name w:val="普通表格1"/>
    <w:uiPriority w:val="0"/>
    <w:semiHidden/>
    <w:qFormat/>
    <w:tblPr/>
  </w:style>
  <w:style w:type="character" w:styleId="939" w:customStyle="1">
    <w:name w:val="标题 1 字符"/>
    <w:link w:val="928"/>
    <w:uiPriority w:val="9"/>
    <w:qFormat/>
    <w:rPr>
      <w:rFonts w:ascii="Arial" w:hAnsi="Arial" w:eastAsia="Arial" w:cs="Arial"/>
      <w:sz w:val="40"/>
      <w:szCs w:val="40"/>
    </w:rPr>
  </w:style>
  <w:style w:type="character" w:styleId="940" w:customStyle="1">
    <w:name w:val="标题 2 字符"/>
    <w:link w:val="929"/>
    <w:uiPriority w:val="9"/>
    <w:qFormat/>
    <w:rPr>
      <w:rFonts w:ascii="Arial" w:hAnsi="Arial" w:eastAsia="Arial" w:cs="Arial"/>
      <w:sz w:val="34"/>
    </w:rPr>
  </w:style>
  <w:style w:type="character" w:styleId="941" w:customStyle="1">
    <w:name w:val="标题 4 字符"/>
    <w:link w:val="931"/>
    <w:uiPriority w:val="9"/>
    <w:qFormat/>
    <w:rPr>
      <w:rFonts w:ascii="Arial" w:hAnsi="Arial" w:eastAsia="Arial" w:cs="Arial"/>
      <w:b/>
      <w:bCs/>
      <w:sz w:val="26"/>
      <w:szCs w:val="26"/>
    </w:rPr>
  </w:style>
  <w:style w:type="character" w:styleId="942" w:customStyle="1">
    <w:name w:val="标题 5 字符"/>
    <w:link w:val="932"/>
    <w:uiPriority w:val="9"/>
    <w:qFormat/>
    <w:rPr>
      <w:rFonts w:ascii="Arial" w:hAnsi="Arial" w:eastAsia="Arial" w:cs="Arial"/>
      <w:b/>
      <w:bCs/>
      <w:sz w:val="24"/>
      <w:szCs w:val="24"/>
    </w:rPr>
  </w:style>
  <w:style w:type="character" w:styleId="943" w:customStyle="1">
    <w:name w:val="标题 6 字符"/>
    <w:link w:val="933"/>
    <w:uiPriority w:val="9"/>
    <w:qFormat/>
    <w:rPr>
      <w:rFonts w:ascii="Arial" w:hAnsi="Arial" w:eastAsia="Arial" w:cs="Arial"/>
      <w:b/>
      <w:bCs/>
      <w:sz w:val="22"/>
      <w:szCs w:val="22"/>
    </w:rPr>
  </w:style>
  <w:style w:type="character" w:styleId="944" w:customStyle="1">
    <w:name w:val="标题 7 字符"/>
    <w:link w:val="934"/>
    <w:uiPriority w:val="9"/>
    <w:qFormat/>
    <w:rPr>
      <w:rFonts w:ascii="Arial" w:hAnsi="Arial" w:eastAsia="Arial" w:cs="Arial"/>
      <w:b/>
      <w:bCs/>
      <w:i/>
      <w:iCs/>
      <w:sz w:val="22"/>
      <w:szCs w:val="22"/>
    </w:rPr>
  </w:style>
  <w:style w:type="character" w:styleId="945" w:customStyle="1">
    <w:name w:val="标题 8 字符"/>
    <w:link w:val="935"/>
    <w:uiPriority w:val="9"/>
    <w:qFormat/>
    <w:rPr>
      <w:rFonts w:ascii="Arial" w:hAnsi="Arial" w:eastAsia="Arial" w:cs="Arial"/>
      <w:i/>
      <w:iCs/>
      <w:sz w:val="22"/>
      <w:szCs w:val="22"/>
    </w:rPr>
  </w:style>
  <w:style w:type="character" w:styleId="946" w:customStyle="1">
    <w:name w:val="标题 9 字符"/>
    <w:link w:val="936"/>
    <w:uiPriority w:val="9"/>
    <w:qFormat/>
    <w:rPr>
      <w:rFonts w:ascii="Arial" w:hAnsi="Arial" w:eastAsia="Arial" w:cs="Arial"/>
      <w:i/>
      <w:iCs/>
      <w:sz w:val="21"/>
      <w:szCs w:val="21"/>
    </w:rPr>
  </w:style>
  <w:style w:type="paragraph" w:styleId="947" w:customStyle="1">
    <w:name w:val="目录 71"/>
    <w:basedOn w:val="871"/>
    <w:next w:val="871"/>
    <w:uiPriority w:val="39"/>
    <w:unhideWhenUsed/>
    <w:qFormat/>
    <w:pPr>
      <w:ind w:left="1701" w:right="0" w:firstLine="0"/>
      <w:spacing w:after="57"/>
    </w:pPr>
  </w:style>
  <w:style w:type="paragraph" w:styleId="948" w:customStyle="1">
    <w:name w:val="正文缩进11"/>
    <w:basedOn w:val="871"/>
    <w:uiPriority w:val="0"/>
    <w:qFormat/>
    <w:pPr>
      <w:ind w:firstLine="420"/>
    </w:pPr>
  </w:style>
  <w:style w:type="paragraph" w:styleId="949" w:customStyle="1">
    <w:name w:val="题注1"/>
    <w:basedOn w:val="871"/>
    <w:next w:val="871"/>
    <w:uiPriority w:val="35"/>
    <w:qFormat/>
    <w:pPr>
      <w:spacing w:line="276" w:lineRule="auto"/>
    </w:pPr>
    <w:rPr>
      <w:b/>
      <w:bCs/>
      <w:color w:val="4874cb"/>
      <w:sz w:val="18"/>
      <w:szCs w:val="18"/>
    </w:rPr>
  </w:style>
  <w:style w:type="paragraph" w:styleId="950" w:customStyle="1">
    <w:name w:val="批注文字1"/>
    <w:basedOn w:val="871"/>
    <w:uiPriority w:val="99"/>
    <w:unhideWhenUsed/>
    <w:qFormat/>
    <w:pPr>
      <w:jc w:val="left"/>
    </w:pPr>
  </w:style>
  <w:style w:type="paragraph" w:styleId="951" w:customStyle="1">
    <w:name w:val="正文文本11"/>
    <w:basedOn w:val="871"/>
    <w:next w:val="871"/>
    <w:uiPriority w:val="99"/>
    <w:qFormat/>
    <w:rPr>
      <w:rFonts w:ascii="华文中宋" w:eastAsia="华文中宋"/>
      <w:bCs/>
      <w:sz w:val="28"/>
    </w:rPr>
  </w:style>
  <w:style w:type="paragraph" w:styleId="952" w:customStyle="1">
    <w:name w:val="正文文本缩进1"/>
    <w:basedOn w:val="871"/>
    <w:uiPriority w:val="0"/>
    <w:qFormat/>
    <w:pPr>
      <w:ind w:firstLine="560"/>
    </w:pPr>
    <w:rPr>
      <w:rFonts w:ascii="仿宋_GB2312" w:eastAsia="仿宋_GB2312"/>
      <w:sz w:val="28"/>
    </w:rPr>
  </w:style>
  <w:style w:type="paragraph" w:styleId="953" w:customStyle="1">
    <w:name w:val="目录 51"/>
    <w:basedOn w:val="871"/>
    <w:next w:val="871"/>
    <w:uiPriority w:val="39"/>
    <w:unhideWhenUsed/>
    <w:qFormat/>
    <w:pPr>
      <w:ind w:left="1134" w:right="0" w:firstLine="0"/>
      <w:spacing w:after="57"/>
    </w:pPr>
  </w:style>
  <w:style w:type="paragraph" w:styleId="954" w:customStyle="1">
    <w:name w:val="目录 311"/>
    <w:basedOn w:val="871"/>
    <w:next w:val="871"/>
    <w:uiPriority w:val="39"/>
    <w:unhideWhenUsed/>
    <w:qFormat/>
    <w:pPr>
      <w:ind w:left="567" w:right="0" w:firstLine="0"/>
      <w:spacing w:after="57"/>
    </w:pPr>
  </w:style>
  <w:style w:type="paragraph" w:styleId="955" w:customStyle="1">
    <w:name w:val="纯文本1"/>
    <w:basedOn w:val="871"/>
    <w:uiPriority w:val="0"/>
    <w:qFormat/>
    <w:pPr>
      <w:jc w:val="left"/>
      <w:widowControl/>
    </w:pPr>
    <w:rPr>
      <w:rFonts w:ascii="宋体" w:hAnsi="Courier New"/>
    </w:rPr>
  </w:style>
  <w:style w:type="paragraph" w:styleId="956" w:customStyle="1">
    <w:name w:val="目录 81"/>
    <w:basedOn w:val="871"/>
    <w:next w:val="871"/>
    <w:uiPriority w:val="39"/>
    <w:unhideWhenUsed/>
    <w:qFormat/>
    <w:pPr>
      <w:ind w:left="1984" w:right="0" w:firstLine="0"/>
      <w:spacing w:after="57"/>
    </w:pPr>
  </w:style>
  <w:style w:type="paragraph" w:styleId="957" w:customStyle="1">
    <w:name w:val="尾注文本1"/>
    <w:basedOn w:val="871"/>
    <w:link w:val="958"/>
    <w:uiPriority w:val="99"/>
    <w:unhideWhenUsed/>
    <w:qFormat/>
    <w:pPr>
      <w:spacing w:after="0" w:line="240" w:lineRule="auto"/>
    </w:pPr>
    <w:rPr>
      <w:sz w:val="20"/>
    </w:rPr>
  </w:style>
  <w:style w:type="character" w:styleId="958" w:customStyle="1">
    <w:name w:val="尾注文本 字符"/>
    <w:link w:val="957"/>
    <w:uiPriority w:val="99"/>
    <w:qFormat/>
    <w:rPr>
      <w:sz w:val="20"/>
    </w:rPr>
  </w:style>
  <w:style w:type="paragraph" w:styleId="959" w:customStyle="1">
    <w:name w:val="页脚11"/>
    <w:basedOn w:val="871"/>
    <w:uiPriority w:val="99"/>
    <w:unhideWhenUsed/>
    <w:qFormat/>
    <w:pPr>
      <w:spacing w:after="0" w:line="240" w:lineRule="auto"/>
      <w:tabs>
        <w:tab w:val="center" w:pos="7143" w:leader="none"/>
        <w:tab w:val="right" w:pos="14287" w:leader="none"/>
      </w:tabs>
    </w:pPr>
  </w:style>
  <w:style w:type="paragraph" w:styleId="960" w:customStyle="1">
    <w:name w:val="页眉11"/>
    <w:basedOn w:val="871"/>
    <w:uiPriority w:val="99"/>
    <w:unhideWhenUsed/>
    <w:qFormat/>
    <w:pPr>
      <w:spacing w:after="0" w:line="240" w:lineRule="auto"/>
      <w:tabs>
        <w:tab w:val="center" w:pos="7143" w:leader="none"/>
        <w:tab w:val="right" w:pos="14287" w:leader="none"/>
      </w:tabs>
    </w:pPr>
  </w:style>
  <w:style w:type="paragraph" w:styleId="961" w:customStyle="1">
    <w:name w:val="目录 111"/>
    <w:basedOn w:val="871"/>
    <w:next w:val="871"/>
    <w:uiPriority w:val="39"/>
    <w:unhideWhenUsed/>
    <w:qFormat/>
    <w:pPr>
      <w:ind w:left="0" w:right="0" w:firstLine="0"/>
      <w:spacing w:after="57"/>
    </w:pPr>
  </w:style>
  <w:style w:type="paragraph" w:styleId="962" w:customStyle="1">
    <w:name w:val="目录 41"/>
    <w:basedOn w:val="871"/>
    <w:next w:val="871"/>
    <w:uiPriority w:val="39"/>
    <w:unhideWhenUsed/>
    <w:qFormat/>
    <w:pPr>
      <w:ind w:left="850" w:right="0" w:firstLine="0"/>
      <w:spacing w:after="57"/>
    </w:pPr>
  </w:style>
  <w:style w:type="paragraph" w:styleId="963" w:customStyle="1">
    <w:name w:val="副标题1"/>
    <w:basedOn w:val="871"/>
    <w:next w:val="871"/>
    <w:link w:val="964"/>
    <w:uiPriority w:val="11"/>
    <w:qFormat/>
    <w:pPr>
      <w:spacing w:before="200" w:after="200"/>
    </w:pPr>
    <w:rPr>
      <w:sz w:val="24"/>
      <w:szCs w:val="24"/>
    </w:rPr>
  </w:style>
  <w:style w:type="character" w:styleId="964" w:customStyle="1">
    <w:name w:val="副标题 字符"/>
    <w:link w:val="963"/>
    <w:uiPriority w:val="11"/>
    <w:qFormat/>
    <w:rPr>
      <w:sz w:val="24"/>
      <w:szCs w:val="24"/>
    </w:rPr>
  </w:style>
  <w:style w:type="paragraph" w:styleId="965" w:customStyle="1">
    <w:name w:val="脚注文本1"/>
    <w:basedOn w:val="871"/>
    <w:link w:val="966"/>
    <w:uiPriority w:val="99"/>
    <w:unhideWhenUsed/>
    <w:qFormat/>
    <w:pPr>
      <w:spacing w:after="40" w:line="240" w:lineRule="auto"/>
    </w:pPr>
    <w:rPr>
      <w:sz w:val="18"/>
    </w:rPr>
  </w:style>
  <w:style w:type="character" w:styleId="966" w:customStyle="1">
    <w:name w:val="脚注文本 字符"/>
    <w:link w:val="965"/>
    <w:uiPriority w:val="99"/>
    <w:qFormat/>
    <w:rPr>
      <w:sz w:val="18"/>
    </w:rPr>
  </w:style>
  <w:style w:type="paragraph" w:styleId="967" w:customStyle="1">
    <w:name w:val="目录 61"/>
    <w:basedOn w:val="871"/>
    <w:next w:val="871"/>
    <w:uiPriority w:val="39"/>
    <w:unhideWhenUsed/>
    <w:qFormat/>
    <w:pPr>
      <w:ind w:left="1417" w:right="0" w:firstLine="0"/>
      <w:spacing w:after="57"/>
    </w:pPr>
  </w:style>
  <w:style w:type="paragraph" w:styleId="968" w:customStyle="1">
    <w:name w:val="图表目录1"/>
    <w:basedOn w:val="871"/>
    <w:next w:val="871"/>
    <w:uiPriority w:val="99"/>
    <w:unhideWhenUsed/>
    <w:qFormat/>
    <w:pPr>
      <w:spacing w:after="0" w:afterAutospacing="0"/>
    </w:pPr>
  </w:style>
  <w:style w:type="paragraph" w:styleId="969" w:customStyle="1">
    <w:name w:val="目录 21"/>
    <w:basedOn w:val="871"/>
    <w:next w:val="871"/>
    <w:uiPriority w:val="39"/>
    <w:unhideWhenUsed/>
    <w:qFormat/>
    <w:pPr>
      <w:ind w:left="283" w:right="0" w:firstLine="0"/>
      <w:spacing w:after="57"/>
    </w:pPr>
  </w:style>
  <w:style w:type="paragraph" w:styleId="970" w:customStyle="1">
    <w:name w:val="目录 91"/>
    <w:basedOn w:val="871"/>
    <w:next w:val="871"/>
    <w:uiPriority w:val="39"/>
    <w:unhideWhenUsed/>
    <w:qFormat/>
    <w:pPr>
      <w:ind w:left="2268" w:right="0" w:firstLine="0"/>
      <w:spacing w:after="57"/>
    </w:pPr>
  </w:style>
  <w:style w:type="paragraph" w:styleId="971" w:customStyle="1">
    <w:name w:val="普通(网站)11"/>
    <w:basedOn w:val="871"/>
    <w:uiPriority w:val="0"/>
    <w:qFormat/>
    <w:pPr>
      <w:jc w:val="left"/>
      <w:spacing w:beforeAutospacing="1" w:afterAutospacing="1"/>
    </w:pPr>
    <w:rPr>
      <w:rFonts w:cs="Times New Roman"/>
      <w:sz w:val="24"/>
    </w:rPr>
  </w:style>
  <w:style w:type="paragraph" w:styleId="972" w:customStyle="1">
    <w:name w:val="标题1"/>
    <w:basedOn w:val="871"/>
    <w:next w:val="871"/>
    <w:link w:val="973"/>
    <w:uiPriority w:val="10"/>
    <w:qFormat/>
    <w:pPr>
      <w:contextualSpacing/>
      <w:spacing w:before="300" w:after="200"/>
    </w:pPr>
    <w:rPr>
      <w:sz w:val="48"/>
      <w:szCs w:val="48"/>
    </w:rPr>
  </w:style>
  <w:style w:type="character" w:styleId="973" w:customStyle="1">
    <w:name w:val="标题 字符"/>
    <w:link w:val="972"/>
    <w:uiPriority w:val="10"/>
    <w:qFormat/>
    <w:rPr>
      <w:sz w:val="48"/>
      <w:szCs w:val="48"/>
    </w:rPr>
  </w:style>
  <w:style w:type="table" w:styleId="974" w:customStyle="1">
    <w:name w:val="网格型1"/>
    <w:uiPriority w:val="59"/>
    <w:qFormat/>
    <w:rPr>
      <w:lang w:val="en-US" w:eastAsia="zh-CN" w:bidi="ar-SA"/>
    </w:rPr>
    <w:tblPr/>
  </w:style>
  <w:style w:type="character" w:styleId="975" w:customStyle="1">
    <w:name w:val="尾注引用1"/>
    <w:link w:val="871"/>
    <w:uiPriority w:val="99"/>
    <w:unhideWhenUsed/>
    <w:qFormat/>
    <w:rPr>
      <w:vertAlign w:val="superscript"/>
    </w:rPr>
  </w:style>
  <w:style w:type="character" w:styleId="976" w:customStyle="1">
    <w:name w:val="页码11"/>
    <w:link w:val="871"/>
    <w:uiPriority w:val="0"/>
    <w:qFormat/>
  </w:style>
  <w:style w:type="character" w:styleId="977" w:customStyle="1">
    <w:name w:val="超链接11"/>
    <w:link w:val="871"/>
    <w:uiPriority w:val="99"/>
    <w:unhideWhenUsed/>
    <w:qFormat/>
    <w:rPr>
      <w:color w:val="0026e5"/>
      <w:u w:val="single"/>
    </w:rPr>
  </w:style>
  <w:style w:type="character" w:styleId="978" w:customStyle="1">
    <w:name w:val="脚注引用1"/>
    <w:link w:val="871"/>
    <w:uiPriority w:val="99"/>
    <w:unhideWhenUsed/>
    <w:qFormat/>
    <w:rPr>
      <w:vertAlign w:val="superscript"/>
    </w:rPr>
  </w:style>
  <w:style w:type="character" w:styleId="979" w:customStyle="1">
    <w:name w:val="要点1"/>
    <w:link w:val="871"/>
    <w:uiPriority w:val="0"/>
    <w:qFormat/>
    <w:rPr>
      <w:rFonts w:ascii="Times New Roman" w:hAnsi="Times New Roman" w:eastAsia="宋体" w:cs="Times New Roman"/>
      <w:sz w:val="21"/>
      <w:lang w:val="en-US" w:eastAsia="zh-CN" w:bidi="ar-SA"/>
    </w:rPr>
  </w:style>
  <w:style w:type="character" w:styleId="980" w:customStyle="1">
    <w:name w:val="页码1"/>
    <w:link w:val="871"/>
    <w:uiPriority w:val="99"/>
    <w:qFormat/>
  </w:style>
  <w:style w:type="paragraph" w:styleId="981" w:customStyle="1">
    <w:name w:val="正文文本1"/>
    <w:basedOn w:val="871"/>
    <w:uiPriority w:val="0"/>
    <w:qFormat/>
    <w:rPr>
      <w:rFonts w:ascii="宋体"/>
      <w:sz w:val="28"/>
    </w:rPr>
  </w:style>
  <w:style w:type="character" w:styleId="982" w:customStyle="1">
    <w:name w:val="Heading 3 Char"/>
    <w:link w:val="871"/>
    <w:uiPriority w:val="9"/>
    <w:qFormat/>
    <w:rPr>
      <w:rFonts w:ascii="Arial" w:hAnsi="Arial" w:eastAsia="Arial" w:cs="Arial"/>
      <w:sz w:val="30"/>
      <w:szCs w:val="30"/>
    </w:rPr>
  </w:style>
  <w:style w:type="paragraph" w:styleId="983" w:customStyle="1">
    <w:name w:val="无间隔"/>
    <w:uiPriority w:val="1"/>
    <w:qFormat/>
    <w:rPr>
      <w:rFonts w:hint="default" w:ascii="等线" w:hAnsi="等线" w:eastAsia="等线" w:cs="Times New Roman"/>
      <w:lang w:val="en-US" w:eastAsia="zh-CN" w:bidi="ar-SA"/>
    </w:rPr>
  </w:style>
  <w:style w:type="paragraph" w:styleId="984" w:customStyle="1">
    <w:name w:val="引用"/>
    <w:basedOn w:val="871"/>
    <w:next w:val="871"/>
    <w:link w:val="985"/>
    <w:uiPriority w:val="29"/>
    <w:qFormat/>
    <w:pPr>
      <w:ind w:left="720" w:right="720"/>
    </w:pPr>
    <w:rPr>
      <w:i/>
    </w:rPr>
  </w:style>
  <w:style w:type="character" w:styleId="985" w:customStyle="1">
    <w:name w:val="引用 字符"/>
    <w:link w:val="984"/>
    <w:uiPriority w:val="29"/>
    <w:qFormat/>
    <w:rPr>
      <w:i/>
    </w:rPr>
  </w:style>
  <w:style w:type="paragraph" w:styleId="986" w:customStyle="1">
    <w:name w:val="明显引用"/>
    <w:basedOn w:val="871"/>
    <w:next w:val="871"/>
    <w:link w:val="9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明显引用 字符"/>
    <w:link w:val="986"/>
    <w:uiPriority w:val="30"/>
    <w:qFormat/>
    <w:rPr>
      <w:i/>
    </w:rPr>
  </w:style>
  <w:style w:type="character" w:styleId="988" w:customStyle="1">
    <w:name w:val="Header Char"/>
    <w:link w:val="871"/>
    <w:uiPriority w:val="99"/>
    <w:qFormat/>
  </w:style>
  <w:style w:type="character" w:styleId="989" w:customStyle="1">
    <w:name w:val="Footer Char"/>
    <w:link w:val="871"/>
    <w:uiPriority w:val="99"/>
    <w:qFormat/>
  </w:style>
  <w:style w:type="character" w:styleId="990" w:customStyle="1">
    <w:name w:val="Caption Char"/>
    <w:link w:val="871"/>
    <w:uiPriority w:val="99"/>
    <w:qFormat/>
  </w:style>
  <w:style w:type="table" w:styleId="991" w:customStyle="1">
    <w:name w:val="Table Grid Light"/>
    <w:basedOn w:val="938"/>
    <w:uiPriority w:val="59"/>
    <w:qFormat/>
    <w:pPr>
      <w:spacing w:after="0" w:line="240" w:lineRule="auto"/>
    </w:pPr>
    <w:tblPr/>
  </w:style>
  <w:style w:type="table" w:styleId="992" w:customStyle="1">
    <w:name w:val="Plain Table 1"/>
    <w:basedOn w:val="938"/>
    <w:uiPriority w:val="59"/>
    <w:qFormat/>
    <w:pPr>
      <w:spacing w:after="0" w:line="240" w:lineRule="auto"/>
    </w:pPr>
    <w:tblPr/>
  </w:style>
  <w:style w:type="table" w:styleId="993" w:customStyle="1">
    <w:name w:val="Plain Table 2"/>
    <w:basedOn w:val="938"/>
    <w:uiPriority w:val="59"/>
    <w:qFormat/>
    <w:pPr>
      <w:spacing w:after="0" w:line="240" w:lineRule="auto"/>
    </w:pPr>
    <w:tblPr/>
  </w:style>
  <w:style w:type="table" w:styleId="994" w:customStyle="1">
    <w:name w:val="Plain Table 3"/>
    <w:basedOn w:val="938"/>
    <w:uiPriority w:val="99"/>
    <w:qFormat/>
    <w:pPr>
      <w:spacing w:after="0" w:line="240" w:lineRule="auto"/>
    </w:pPr>
    <w:tblPr/>
  </w:style>
  <w:style w:type="table" w:styleId="995" w:customStyle="1">
    <w:name w:val="Plain Table 4"/>
    <w:basedOn w:val="938"/>
    <w:uiPriority w:val="99"/>
    <w:qFormat/>
    <w:pPr>
      <w:spacing w:after="0" w:line="240" w:lineRule="auto"/>
    </w:pPr>
    <w:tblPr/>
  </w:style>
  <w:style w:type="table" w:styleId="996" w:customStyle="1">
    <w:name w:val="Plain Table 5"/>
    <w:basedOn w:val="938"/>
    <w:uiPriority w:val="99"/>
    <w:qFormat/>
    <w:pPr>
      <w:spacing w:after="0" w:line="240" w:lineRule="auto"/>
    </w:pPr>
    <w:tblPr/>
  </w:style>
  <w:style w:type="table" w:styleId="997" w:customStyle="1">
    <w:name w:val="Grid Table 1 Light"/>
    <w:basedOn w:val="938"/>
    <w:uiPriority w:val="99"/>
    <w:qFormat/>
    <w:pPr>
      <w:spacing w:after="0" w:line="240" w:lineRule="auto"/>
    </w:pPr>
    <w:tblPr/>
  </w:style>
  <w:style w:type="table" w:styleId="998" w:customStyle="1">
    <w:name w:val="Grid Table 1 Light - Accent 1"/>
    <w:basedOn w:val="938"/>
    <w:uiPriority w:val="99"/>
    <w:qFormat/>
    <w:pPr>
      <w:spacing w:after="0" w:line="240" w:lineRule="auto"/>
    </w:pPr>
    <w:tblPr/>
  </w:style>
  <w:style w:type="table" w:styleId="999" w:customStyle="1">
    <w:name w:val="Grid Table 1 Light - Accent 2"/>
    <w:basedOn w:val="938"/>
    <w:uiPriority w:val="99"/>
    <w:qFormat/>
    <w:pPr>
      <w:spacing w:after="0" w:line="240" w:lineRule="auto"/>
    </w:pPr>
    <w:tblPr/>
  </w:style>
  <w:style w:type="table" w:styleId="1000" w:customStyle="1">
    <w:name w:val="Grid Table 1 Light - Accent 3"/>
    <w:basedOn w:val="938"/>
    <w:uiPriority w:val="99"/>
    <w:qFormat/>
    <w:pPr>
      <w:spacing w:after="0" w:line="240" w:lineRule="auto"/>
    </w:pPr>
    <w:tblPr/>
  </w:style>
  <w:style w:type="table" w:styleId="1001" w:customStyle="1">
    <w:name w:val="Grid Table 1 Light - Accent 4"/>
    <w:basedOn w:val="938"/>
    <w:uiPriority w:val="99"/>
    <w:qFormat/>
    <w:pPr>
      <w:spacing w:after="0" w:line="240" w:lineRule="auto"/>
    </w:pPr>
    <w:tblPr/>
  </w:style>
  <w:style w:type="table" w:styleId="1002" w:customStyle="1">
    <w:name w:val="Grid Table 1 Light - Accent 5"/>
    <w:basedOn w:val="938"/>
    <w:uiPriority w:val="99"/>
    <w:qFormat/>
    <w:pPr>
      <w:spacing w:after="0" w:line="240" w:lineRule="auto"/>
    </w:pPr>
    <w:tblPr/>
  </w:style>
  <w:style w:type="table" w:styleId="1003" w:customStyle="1">
    <w:name w:val="Grid Table 1 Light - Accent 6"/>
    <w:basedOn w:val="938"/>
    <w:uiPriority w:val="99"/>
    <w:qFormat/>
    <w:pPr>
      <w:spacing w:after="0" w:line="240" w:lineRule="auto"/>
    </w:pPr>
    <w:tblPr/>
  </w:style>
  <w:style w:type="table" w:styleId="1004" w:customStyle="1">
    <w:name w:val="Grid Table 2"/>
    <w:basedOn w:val="938"/>
    <w:uiPriority w:val="99"/>
    <w:qFormat/>
    <w:pPr>
      <w:spacing w:after="0" w:line="240" w:lineRule="auto"/>
    </w:pPr>
    <w:tblPr/>
  </w:style>
  <w:style w:type="table" w:styleId="1005" w:customStyle="1">
    <w:name w:val="Grid Table 2 - Accent 1"/>
    <w:basedOn w:val="938"/>
    <w:uiPriority w:val="99"/>
    <w:qFormat/>
    <w:pPr>
      <w:spacing w:after="0" w:line="240" w:lineRule="auto"/>
    </w:pPr>
    <w:tblPr/>
  </w:style>
  <w:style w:type="table" w:styleId="1006" w:customStyle="1">
    <w:name w:val="Grid Table 2 - Accent 2"/>
    <w:basedOn w:val="938"/>
    <w:uiPriority w:val="99"/>
    <w:qFormat/>
    <w:pPr>
      <w:spacing w:after="0" w:line="240" w:lineRule="auto"/>
    </w:pPr>
    <w:tblPr/>
  </w:style>
  <w:style w:type="table" w:styleId="1007" w:customStyle="1">
    <w:name w:val="Grid Table 2 - Accent 3"/>
    <w:basedOn w:val="938"/>
    <w:uiPriority w:val="99"/>
    <w:qFormat/>
    <w:pPr>
      <w:spacing w:after="0" w:line="240" w:lineRule="auto"/>
    </w:pPr>
    <w:tblPr/>
  </w:style>
  <w:style w:type="table" w:styleId="1008" w:customStyle="1">
    <w:name w:val="Grid Table 2 - Accent 4"/>
    <w:basedOn w:val="938"/>
    <w:uiPriority w:val="99"/>
    <w:qFormat/>
    <w:pPr>
      <w:spacing w:after="0" w:line="240" w:lineRule="auto"/>
    </w:pPr>
    <w:tblPr/>
  </w:style>
  <w:style w:type="table" w:styleId="1009" w:customStyle="1">
    <w:name w:val="Grid Table 2 - Accent 5"/>
    <w:basedOn w:val="938"/>
    <w:uiPriority w:val="99"/>
    <w:qFormat/>
    <w:pPr>
      <w:spacing w:after="0" w:line="240" w:lineRule="auto"/>
    </w:pPr>
    <w:tblPr/>
  </w:style>
  <w:style w:type="table" w:styleId="1010" w:customStyle="1">
    <w:name w:val="Grid Table 2 - Accent 6"/>
    <w:basedOn w:val="938"/>
    <w:uiPriority w:val="99"/>
    <w:qFormat/>
    <w:pPr>
      <w:spacing w:after="0" w:line="240" w:lineRule="auto"/>
    </w:pPr>
    <w:tblPr/>
  </w:style>
  <w:style w:type="table" w:styleId="1011" w:customStyle="1">
    <w:name w:val="Grid Table 3"/>
    <w:basedOn w:val="938"/>
    <w:uiPriority w:val="99"/>
    <w:qFormat/>
    <w:pPr>
      <w:spacing w:after="0" w:line="240" w:lineRule="auto"/>
    </w:pPr>
    <w:tblPr/>
  </w:style>
  <w:style w:type="table" w:styleId="1012" w:customStyle="1">
    <w:name w:val="Grid Table 3 - Accent 1"/>
    <w:basedOn w:val="938"/>
    <w:uiPriority w:val="99"/>
    <w:qFormat/>
    <w:pPr>
      <w:spacing w:after="0" w:line="240" w:lineRule="auto"/>
    </w:pPr>
    <w:tblPr/>
  </w:style>
  <w:style w:type="table" w:styleId="1013" w:customStyle="1">
    <w:name w:val="Grid Table 3 - Accent 2"/>
    <w:basedOn w:val="938"/>
    <w:uiPriority w:val="99"/>
    <w:qFormat/>
    <w:pPr>
      <w:spacing w:after="0" w:line="240" w:lineRule="auto"/>
    </w:pPr>
    <w:tblPr/>
  </w:style>
  <w:style w:type="table" w:styleId="1014" w:customStyle="1">
    <w:name w:val="Grid Table 3 - Accent 3"/>
    <w:basedOn w:val="938"/>
    <w:uiPriority w:val="99"/>
    <w:qFormat/>
    <w:pPr>
      <w:spacing w:after="0" w:line="240" w:lineRule="auto"/>
    </w:pPr>
    <w:tblPr/>
  </w:style>
  <w:style w:type="table" w:styleId="1015" w:customStyle="1">
    <w:name w:val="Grid Table 3 - Accent 4"/>
    <w:basedOn w:val="938"/>
    <w:uiPriority w:val="99"/>
    <w:qFormat/>
    <w:pPr>
      <w:spacing w:after="0" w:line="240" w:lineRule="auto"/>
    </w:pPr>
    <w:tblPr/>
  </w:style>
  <w:style w:type="table" w:styleId="1016" w:customStyle="1">
    <w:name w:val="Grid Table 3 - Accent 5"/>
    <w:basedOn w:val="938"/>
    <w:uiPriority w:val="99"/>
    <w:qFormat/>
    <w:pPr>
      <w:spacing w:after="0" w:line="240" w:lineRule="auto"/>
    </w:pPr>
    <w:tblPr/>
  </w:style>
  <w:style w:type="table" w:styleId="1017" w:customStyle="1">
    <w:name w:val="Grid Table 3 - Accent 6"/>
    <w:basedOn w:val="938"/>
    <w:uiPriority w:val="99"/>
    <w:qFormat/>
    <w:pPr>
      <w:spacing w:after="0" w:line="240" w:lineRule="auto"/>
    </w:pPr>
    <w:tblPr/>
  </w:style>
  <w:style w:type="table" w:styleId="1018" w:customStyle="1">
    <w:name w:val="Grid Table 4"/>
    <w:basedOn w:val="938"/>
    <w:uiPriority w:val="59"/>
    <w:qFormat/>
    <w:pPr>
      <w:spacing w:after="0" w:line="240" w:lineRule="auto"/>
    </w:pPr>
    <w:tblPr/>
  </w:style>
  <w:style w:type="table" w:styleId="1019" w:customStyle="1">
    <w:name w:val="Grid Table 4 - Accent 1"/>
    <w:basedOn w:val="938"/>
    <w:uiPriority w:val="59"/>
    <w:qFormat/>
    <w:pPr>
      <w:spacing w:after="0" w:line="240" w:lineRule="auto"/>
    </w:pPr>
    <w:tblPr/>
  </w:style>
  <w:style w:type="table" w:styleId="1020" w:customStyle="1">
    <w:name w:val="Grid Table 4 - Accent 2"/>
    <w:basedOn w:val="938"/>
    <w:uiPriority w:val="59"/>
    <w:qFormat/>
    <w:pPr>
      <w:spacing w:after="0" w:line="240" w:lineRule="auto"/>
    </w:pPr>
    <w:tblPr/>
  </w:style>
  <w:style w:type="table" w:styleId="1021" w:customStyle="1">
    <w:name w:val="Grid Table 4 - Accent 3"/>
    <w:basedOn w:val="938"/>
    <w:uiPriority w:val="59"/>
    <w:qFormat/>
    <w:pPr>
      <w:spacing w:after="0" w:line="240" w:lineRule="auto"/>
    </w:pPr>
    <w:tblPr/>
  </w:style>
  <w:style w:type="table" w:styleId="1022" w:customStyle="1">
    <w:name w:val="Grid Table 4 - Accent 4"/>
    <w:basedOn w:val="938"/>
    <w:uiPriority w:val="59"/>
    <w:qFormat/>
    <w:pPr>
      <w:spacing w:after="0" w:line="240" w:lineRule="auto"/>
    </w:pPr>
    <w:tblPr/>
  </w:style>
  <w:style w:type="table" w:styleId="1023" w:customStyle="1">
    <w:name w:val="Grid Table 4 - Accent 5"/>
    <w:basedOn w:val="938"/>
    <w:uiPriority w:val="59"/>
    <w:qFormat/>
    <w:pPr>
      <w:spacing w:after="0" w:line="240" w:lineRule="auto"/>
    </w:pPr>
    <w:tblPr/>
  </w:style>
  <w:style w:type="table" w:styleId="1024" w:customStyle="1">
    <w:name w:val="Grid Table 4 - Accent 6"/>
    <w:basedOn w:val="938"/>
    <w:uiPriority w:val="59"/>
    <w:qFormat/>
    <w:pPr>
      <w:spacing w:after="0" w:line="240" w:lineRule="auto"/>
    </w:pPr>
    <w:tblPr/>
  </w:style>
  <w:style w:type="table" w:styleId="1025" w:customStyle="1">
    <w:name w:val="Grid Table 5 Dark"/>
    <w:basedOn w:val="938"/>
    <w:uiPriority w:val="99"/>
    <w:qFormat/>
    <w:pPr>
      <w:spacing w:after="0" w:line="240" w:lineRule="auto"/>
    </w:pPr>
    <w:tblPr/>
  </w:style>
  <w:style w:type="table" w:styleId="1026" w:customStyle="1">
    <w:name w:val="Grid Table 5 Dark- Accent 1"/>
    <w:basedOn w:val="938"/>
    <w:uiPriority w:val="99"/>
    <w:qFormat/>
    <w:pPr>
      <w:spacing w:after="0" w:line="240" w:lineRule="auto"/>
    </w:pPr>
    <w:tblPr/>
  </w:style>
  <w:style w:type="table" w:styleId="1027" w:customStyle="1">
    <w:name w:val="Grid Table 5 Dark - Accent 2"/>
    <w:basedOn w:val="938"/>
    <w:uiPriority w:val="99"/>
    <w:qFormat/>
    <w:pPr>
      <w:spacing w:after="0" w:line="240" w:lineRule="auto"/>
    </w:pPr>
    <w:tblPr/>
  </w:style>
  <w:style w:type="table" w:styleId="1028" w:customStyle="1">
    <w:name w:val="Grid Table 5 Dark - Accent 3"/>
    <w:basedOn w:val="938"/>
    <w:uiPriority w:val="99"/>
    <w:qFormat/>
    <w:pPr>
      <w:spacing w:after="0" w:line="240" w:lineRule="auto"/>
    </w:pPr>
    <w:tblPr/>
  </w:style>
  <w:style w:type="table" w:styleId="1029" w:customStyle="1">
    <w:name w:val="Grid Table 5 Dark- Accent 4"/>
    <w:basedOn w:val="938"/>
    <w:uiPriority w:val="99"/>
    <w:qFormat/>
    <w:pPr>
      <w:spacing w:after="0" w:line="240" w:lineRule="auto"/>
    </w:pPr>
    <w:tblPr/>
  </w:style>
  <w:style w:type="table" w:styleId="1030" w:customStyle="1">
    <w:name w:val="Grid Table 5 Dark - Accent 5"/>
    <w:basedOn w:val="938"/>
    <w:uiPriority w:val="99"/>
    <w:qFormat/>
    <w:pPr>
      <w:spacing w:after="0" w:line="240" w:lineRule="auto"/>
    </w:pPr>
    <w:tblPr/>
  </w:style>
  <w:style w:type="table" w:styleId="1031" w:customStyle="1">
    <w:name w:val="Grid Table 5 Dark - Accent 6"/>
    <w:basedOn w:val="938"/>
    <w:uiPriority w:val="99"/>
    <w:qFormat/>
    <w:pPr>
      <w:spacing w:after="0" w:line="240" w:lineRule="auto"/>
    </w:pPr>
    <w:tblPr/>
  </w:style>
  <w:style w:type="table" w:styleId="1032" w:customStyle="1">
    <w:name w:val="Grid Table 6 Colorful"/>
    <w:basedOn w:val="938"/>
    <w:uiPriority w:val="99"/>
    <w:qFormat/>
    <w:pPr>
      <w:spacing w:after="0" w:line="240" w:lineRule="auto"/>
    </w:pPr>
    <w:tblPr/>
  </w:style>
  <w:style w:type="table" w:styleId="1033" w:customStyle="1">
    <w:name w:val="Grid Table 6 Colorful - Accent 1"/>
    <w:basedOn w:val="938"/>
    <w:uiPriority w:val="99"/>
    <w:qFormat/>
    <w:pPr>
      <w:spacing w:after="0" w:line="240" w:lineRule="auto"/>
    </w:pPr>
    <w:tblPr/>
  </w:style>
  <w:style w:type="table" w:styleId="1034" w:customStyle="1">
    <w:name w:val="Grid Table 6 Colorful - Accent 2"/>
    <w:basedOn w:val="938"/>
    <w:uiPriority w:val="99"/>
    <w:qFormat/>
    <w:pPr>
      <w:spacing w:after="0" w:line="240" w:lineRule="auto"/>
    </w:pPr>
    <w:tblPr/>
  </w:style>
  <w:style w:type="table" w:styleId="1035" w:customStyle="1">
    <w:name w:val="Grid Table 6 Colorful - Accent 3"/>
    <w:basedOn w:val="938"/>
    <w:uiPriority w:val="99"/>
    <w:qFormat/>
    <w:pPr>
      <w:spacing w:after="0" w:line="240" w:lineRule="auto"/>
    </w:pPr>
    <w:tblPr/>
  </w:style>
  <w:style w:type="table" w:styleId="1036" w:customStyle="1">
    <w:name w:val="Grid Table 6 Colorful - Accent 4"/>
    <w:basedOn w:val="938"/>
    <w:uiPriority w:val="99"/>
    <w:qFormat/>
    <w:pPr>
      <w:spacing w:after="0" w:line="240" w:lineRule="auto"/>
    </w:pPr>
    <w:tblPr/>
  </w:style>
  <w:style w:type="table" w:styleId="1037" w:customStyle="1">
    <w:name w:val="Grid Table 6 Colorful - Accent 5"/>
    <w:basedOn w:val="938"/>
    <w:uiPriority w:val="99"/>
    <w:qFormat/>
    <w:pPr>
      <w:spacing w:after="0" w:line="240" w:lineRule="auto"/>
    </w:pPr>
    <w:tblPr/>
  </w:style>
  <w:style w:type="table" w:styleId="1038" w:customStyle="1">
    <w:name w:val="Grid Table 6 Colorful - Accent 6"/>
    <w:basedOn w:val="938"/>
    <w:uiPriority w:val="99"/>
    <w:qFormat/>
    <w:pPr>
      <w:spacing w:after="0" w:line="240" w:lineRule="auto"/>
    </w:pPr>
    <w:tblPr/>
  </w:style>
  <w:style w:type="table" w:styleId="1039" w:customStyle="1">
    <w:name w:val="Grid Table 7 Colorful"/>
    <w:basedOn w:val="938"/>
    <w:uiPriority w:val="99"/>
    <w:qFormat/>
    <w:pPr>
      <w:spacing w:after="0" w:line="240" w:lineRule="auto"/>
    </w:pPr>
    <w:tblPr/>
  </w:style>
  <w:style w:type="table" w:styleId="1040" w:customStyle="1">
    <w:name w:val="Grid Table 7 Colorful - Accent 1"/>
    <w:basedOn w:val="938"/>
    <w:uiPriority w:val="99"/>
    <w:qFormat/>
    <w:pPr>
      <w:spacing w:after="0" w:line="240" w:lineRule="auto"/>
    </w:pPr>
    <w:tblPr/>
  </w:style>
  <w:style w:type="table" w:styleId="1041" w:customStyle="1">
    <w:name w:val="Grid Table 7 Colorful - Accent 2"/>
    <w:basedOn w:val="938"/>
    <w:uiPriority w:val="99"/>
    <w:qFormat/>
    <w:pPr>
      <w:spacing w:after="0" w:line="240" w:lineRule="auto"/>
    </w:pPr>
    <w:tblPr/>
  </w:style>
  <w:style w:type="table" w:styleId="1042" w:customStyle="1">
    <w:name w:val="Grid Table 7 Colorful - Accent 3"/>
    <w:basedOn w:val="938"/>
    <w:uiPriority w:val="99"/>
    <w:qFormat/>
    <w:pPr>
      <w:spacing w:after="0" w:line="240" w:lineRule="auto"/>
    </w:pPr>
    <w:tblPr/>
  </w:style>
  <w:style w:type="table" w:styleId="1043" w:customStyle="1">
    <w:name w:val="Grid Table 7 Colorful - Accent 4"/>
    <w:basedOn w:val="938"/>
    <w:uiPriority w:val="99"/>
    <w:qFormat/>
    <w:pPr>
      <w:spacing w:after="0" w:line="240" w:lineRule="auto"/>
    </w:pPr>
    <w:tblPr/>
  </w:style>
  <w:style w:type="table" w:styleId="1044" w:customStyle="1">
    <w:name w:val="Grid Table 7 Colorful - Accent 5"/>
    <w:basedOn w:val="938"/>
    <w:uiPriority w:val="99"/>
    <w:qFormat/>
    <w:pPr>
      <w:spacing w:after="0" w:line="240" w:lineRule="auto"/>
    </w:pPr>
    <w:tblPr/>
  </w:style>
  <w:style w:type="table" w:styleId="1045" w:customStyle="1">
    <w:name w:val="Grid Table 7 Colorful - Accent 6"/>
    <w:basedOn w:val="938"/>
    <w:uiPriority w:val="99"/>
    <w:qFormat/>
    <w:pPr>
      <w:spacing w:after="0" w:line="240" w:lineRule="auto"/>
    </w:pPr>
    <w:tblPr/>
  </w:style>
  <w:style w:type="table" w:styleId="1046" w:customStyle="1">
    <w:name w:val="List Table 1 Light"/>
    <w:basedOn w:val="938"/>
    <w:uiPriority w:val="99"/>
    <w:qFormat/>
    <w:pPr>
      <w:spacing w:after="0" w:line="240" w:lineRule="auto"/>
    </w:pPr>
    <w:tblPr/>
  </w:style>
  <w:style w:type="table" w:styleId="1047" w:customStyle="1">
    <w:name w:val="List Table 1 Light - Accent 1"/>
    <w:basedOn w:val="938"/>
    <w:uiPriority w:val="99"/>
    <w:qFormat/>
    <w:pPr>
      <w:spacing w:after="0" w:line="240" w:lineRule="auto"/>
    </w:pPr>
    <w:tblPr/>
  </w:style>
  <w:style w:type="table" w:styleId="1048" w:customStyle="1">
    <w:name w:val="List Table 1 Light - Accent 2"/>
    <w:basedOn w:val="938"/>
    <w:uiPriority w:val="99"/>
    <w:qFormat/>
    <w:pPr>
      <w:spacing w:after="0" w:line="240" w:lineRule="auto"/>
    </w:pPr>
    <w:tblPr/>
  </w:style>
  <w:style w:type="table" w:styleId="1049" w:customStyle="1">
    <w:name w:val="List Table 1 Light - Accent 3"/>
    <w:basedOn w:val="938"/>
    <w:uiPriority w:val="99"/>
    <w:qFormat/>
    <w:pPr>
      <w:spacing w:after="0" w:line="240" w:lineRule="auto"/>
    </w:pPr>
    <w:tblPr/>
  </w:style>
  <w:style w:type="table" w:styleId="1050" w:customStyle="1">
    <w:name w:val="List Table 1 Light - Accent 4"/>
    <w:basedOn w:val="938"/>
    <w:uiPriority w:val="99"/>
    <w:qFormat/>
    <w:pPr>
      <w:spacing w:after="0" w:line="240" w:lineRule="auto"/>
    </w:pPr>
    <w:tblPr/>
  </w:style>
  <w:style w:type="table" w:styleId="1051" w:customStyle="1">
    <w:name w:val="List Table 1 Light - Accent 5"/>
    <w:basedOn w:val="938"/>
    <w:uiPriority w:val="99"/>
    <w:qFormat/>
    <w:pPr>
      <w:spacing w:after="0" w:line="240" w:lineRule="auto"/>
    </w:pPr>
    <w:tblPr/>
  </w:style>
  <w:style w:type="table" w:styleId="1052" w:customStyle="1">
    <w:name w:val="List Table 1 Light - Accent 6"/>
    <w:basedOn w:val="938"/>
    <w:uiPriority w:val="99"/>
    <w:qFormat/>
    <w:pPr>
      <w:spacing w:after="0" w:line="240" w:lineRule="auto"/>
    </w:pPr>
    <w:tblPr/>
  </w:style>
  <w:style w:type="table" w:styleId="1053" w:customStyle="1">
    <w:name w:val="List Table 2"/>
    <w:basedOn w:val="938"/>
    <w:uiPriority w:val="99"/>
    <w:qFormat/>
    <w:pPr>
      <w:spacing w:after="0" w:line="240" w:lineRule="auto"/>
    </w:pPr>
    <w:tblPr/>
  </w:style>
  <w:style w:type="table" w:styleId="1054" w:customStyle="1">
    <w:name w:val="List Table 2 - Accent 1"/>
    <w:basedOn w:val="938"/>
    <w:uiPriority w:val="99"/>
    <w:qFormat/>
    <w:pPr>
      <w:spacing w:after="0" w:line="240" w:lineRule="auto"/>
    </w:pPr>
    <w:tblPr/>
  </w:style>
  <w:style w:type="table" w:styleId="1055" w:customStyle="1">
    <w:name w:val="List Table 2 - Accent 2"/>
    <w:basedOn w:val="938"/>
    <w:uiPriority w:val="99"/>
    <w:qFormat/>
    <w:pPr>
      <w:spacing w:after="0" w:line="240" w:lineRule="auto"/>
    </w:pPr>
    <w:tblPr/>
  </w:style>
  <w:style w:type="table" w:styleId="1056" w:customStyle="1">
    <w:name w:val="List Table 2 - Accent 3"/>
    <w:basedOn w:val="938"/>
    <w:uiPriority w:val="99"/>
    <w:qFormat/>
    <w:pPr>
      <w:spacing w:after="0" w:line="240" w:lineRule="auto"/>
    </w:pPr>
    <w:tblPr/>
  </w:style>
  <w:style w:type="table" w:styleId="1057" w:customStyle="1">
    <w:name w:val="List Table 2 - Accent 4"/>
    <w:basedOn w:val="938"/>
    <w:uiPriority w:val="99"/>
    <w:qFormat/>
    <w:pPr>
      <w:spacing w:after="0" w:line="240" w:lineRule="auto"/>
    </w:pPr>
    <w:tblPr/>
  </w:style>
  <w:style w:type="table" w:styleId="1058" w:customStyle="1">
    <w:name w:val="List Table 2 - Accent 5"/>
    <w:basedOn w:val="938"/>
    <w:uiPriority w:val="99"/>
    <w:qFormat/>
    <w:pPr>
      <w:spacing w:after="0" w:line="240" w:lineRule="auto"/>
    </w:pPr>
    <w:tblPr/>
  </w:style>
  <w:style w:type="table" w:styleId="1059" w:customStyle="1">
    <w:name w:val="List Table 2 - Accent 6"/>
    <w:basedOn w:val="938"/>
    <w:uiPriority w:val="99"/>
    <w:qFormat/>
    <w:pPr>
      <w:spacing w:after="0" w:line="240" w:lineRule="auto"/>
    </w:pPr>
    <w:tblPr/>
  </w:style>
  <w:style w:type="table" w:styleId="1060" w:customStyle="1">
    <w:name w:val="List Table 3"/>
    <w:basedOn w:val="938"/>
    <w:uiPriority w:val="99"/>
    <w:qFormat/>
    <w:pPr>
      <w:spacing w:after="0" w:line="240" w:lineRule="auto"/>
    </w:pPr>
    <w:tblPr/>
  </w:style>
  <w:style w:type="table" w:styleId="1061" w:customStyle="1">
    <w:name w:val="List Table 3 - Accent 1"/>
    <w:basedOn w:val="938"/>
    <w:uiPriority w:val="99"/>
    <w:qFormat/>
    <w:pPr>
      <w:spacing w:after="0" w:line="240" w:lineRule="auto"/>
    </w:pPr>
    <w:tblPr/>
  </w:style>
  <w:style w:type="table" w:styleId="1062" w:customStyle="1">
    <w:name w:val="List Table 3 - Accent 2"/>
    <w:basedOn w:val="938"/>
    <w:uiPriority w:val="99"/>
    <w:qFormat/>
    <w:pPr>
      <w:spacing w:after="0" w:line="240" w:lineRule="auto"/>
    </w:pPr>
    <w:tblPr/>
  </w:style>
  <w:style w:type="table" w:styleId="1063" w:customStyle="1">
    <w:name w:val="List Table 3 - Accent 3"/>
    <w:basedOn w:val="938"/>
    <w:uiPriority w:val="99"/>
    <w:qFormat/>
    <w:pPr>
      <w:spacing w:after="0" w:line="240" w:lineRule="auto"/>
    </w:pPr>
    <w:tblPr/>
  </w:style>
  <w:style w:type="table" w:styleId="1064" w:customStyle="1">
    <w:name w:val="List Table 3 - Accent 4"/>
    <w:basedOn w:val="938"/>
    <w:uiPriority w:val="99"/>
    <w:qFormat/>
    <w:pPr>
      <w:spacing w:after="0" w:line="240" w:lineRule="auto"/>
    </w:pPr>
    <w:tblPr/>
  </w:style>
  <w:style w:type="table" w:styleId="1065" w:customStyle="1">
    <w:name w:val="List Table 3 - Accent 5"/>
    <w:basedOn w:val="938"/>
    <w:uiPriority w:val="99"/>
    <w:qFormat/>
    <w:pPr>
      <w:spacing w:after="0" w:line="240" w:lineRule="auto"/>
    </w:pPr>
    <w:tblPr/>
  </w:style>
  <w:style w:type="table" w:styleId="1066" w:customStyle="1">
    <w:name w:val="List Table 3 - Accent 6"/>
    <w:basedOn w:val="938"/>
    <w:uiPriority w:val="99"/>
    <w:qFormat/>
    <w:pPr>
      <w:spacing w:after="0" w:line="240" w:lineRule="auto"/>
    </w:pPr>
    <w:tblPr/>
  </w:style>
  <w:style w:type="table" w:styleId="1067" w:customStyle="1">
    <w:name w:val="List Table 4"/>
    <w:basedOn w:val="938"/>
    <w:uiPriority w:val="99"/>
    <w:qFormat/>
    <w:pPr>
      <w:spacing w:after="0" w:line="240" w:lineRule="auto"/>
    </w:pPr>
    <w:tblPr/>
  </w:style>
  <w:style w:type="table" w:styleId="1068" w:customStyle="1">
    <w:name w:val="List Table 4 - Accent 1"/>
    <w:basedOn w:val="938"/>
    <w:uiPriority w:val="99"/>
    <w:qFormat/>
    <w:pPr>
      <w:spacing w:after="0" w:line="240" w:lineRule="auto"/>
    </w:pPr>
    <w:tblPr/>
  </w:style>
  <w:style w:type="table" w:styleId="1069" w:customStyle="1">
    <w:name w:val="List Table 4 - Accent 2"/>
    <w:basedOn w:val="938"/>
    <w:uiPriority w:val="99"/>
    <w:qFormat/>
    <w:pPr>
      <w:spacing w:after="0" w:line="240" w:lineRule="auto"/>
    </w:pPr>
    <w:tblPr/>
  </w:style>
  <w:style w:type="table" w:styleId="1070" w:customStyle="1">
    <w:name w:val="List Table 4 - Accent 3"/>
    <w:basedOn w:val="938"/>
    <w:uiPriority w:val="99"/>
    <w:qFormat/>
    <w:pPr>
      <w:spacing w:after="0" w:line="240" w:lineRule="auto"/>
    </w:pPr>
    <w:tblPr/>
  </w:style>
  <w:style w:type="table" w:styleId="1071" w:customStyle="1">
    <w:name w:val="List Table 4 - Accent 4"/>
    <w:basedOn w:val="938"/>
    <w:uiPriority w:val="99"/>
    <w:qFormat/>
    <w:pPr>
      <w:spacing w:after="0" w:line="240" w:lineRule="auto"/>
    </w:pPr>
    <w:tblPr/>
  </w:style>
  <w:style w:type="table" w:styleId="1072" w:customStyle="1">
    <w:name w:val="List Table 4 - Accent 5"/>
    <w:basedOn w:val="938"/>
    <w:uiPriority w:val="99"/>
    <w:qFormat/>
    <w:pPr>
      <w:spacing w:after="0" w:line="240" w:lineRule="auto"/>
    </w:pPr>
    <w:tblPr/>
  </w:style>
  <w:style w:type="table" w:styleId="1073" w:customStyle="1">
    <w:name w:val="List Table 4 - Accent 6"/>
    <w:basedOn w:val="938"/>
    <w:uiPriority w:val="99"/>
    <w:qFormat/>
    <w:pPr>
      <w:spacing w:after="0" w:line="240" w:lineRule="auto"/>
    </w:pPr>
    <w:tblPr/>
  </w:style>
  <w:style w:type="table" w:styleId="1074" w:customStyle="1">
    <w:name w:val="List Table 5 Dark"/>
    <w:basedOn w:val="938"/>
    <w:uiPriority w:val="99"/>
    <w:qFormat/>
    <w:pPr>
      <w:spacing w:after="0" w:line="240" w:lineRule="auto"/>
    </w:pPr>
    <w:tblPr/>
  </w:style>
  <w:style w:type="table" w:styleId="1075" w:customStyle="1">
    <w:name w:val="List Table 5 Dark - Accent 1"/>
    <w:basedOn w:val="938"/>
    <w:uiPriority w:val="99"/>
    <w:qFormat/>
    <w:pPr>
      <w:spacing w:after="0" w:line="240" w:lineRule="auto"/>
    </w:pPr>
    <w:tblPr/>
  </w:style>
  <w:style w:type="table" w:styleId="1076" w:customStyle="1">
    <w:name w:val="List Table 5 Dark - Accent 2"/>
    <w:basedOn w:val="938"/>
    <w:uiPriority w:val="99"/>
    <w:qFormat/>
    <w:pPr>
      <w:spacing w:after="0" w:line="240" w:lineRule="auto"/>
    </w:pPr>
    <w:tblPr/>
  </w:style>
  <w:style w:type="table" w:styleId="1077" w:customStyle="1">
    <w:name w:val="List Table 5 Dark - Accent 3"/>
    <w:basedOn w:val="938"/>
    <w:uiPriority w:val="99"/>
    <w:qFormat/>
    <w:pPr>
      <w:spacing w:after="0" w:line="240" w:lineRule="auto"/>
    </w:pPr>
    <w:tblPr/>
  </w:style>
  <w:style w:type="table" w:styleId="1078" w:customStyle="1">
    <w:name w:val="List Table 5 Dark - Accent 4"/>
    <w:basedOn w:val="938"/>
    <w:uiPriority w:val="99"/>
    <w:qFormat/>
    <w:pPr>
      <w:spacing w:after="0" w:line="240" w:lineRule="auto"/>
    </w:pPr>
    <w:tblPr/>
  </w:style>
  <w:style w:type="table" w:styleId="1079" w:customStyle="1">
    <w:name w:val="List Table 5 Dark - Accent 5"/>
    <w:basedOn w:val="938"/>
    <w:uiPriority w:val="99"/>
    <w:qFormat/>
    <w:pPr>
      <w:spacing w:after="0" w:line="240" w:lineRule="auto"/>
    </w:pPr>
    <w:tblPr/>
  </w:style>
  <w:style w:type="table" w:styleId="1080" w:customStyle="1">
    <w:name w:val="List Table 5 Dark - Accent 6"/>
    <w:basedOn w:val="938"/>
    <w:uiPriority w:val="99"/>
    <w:qFormat/>
    <w:pPr>
      <w:spacing w:after="0" w:line="240" w:lineRule="auto"/>
    </w:pPr>
    <w:tblPr/>
  </w:style>
  <w:style w:type="table" w:styleId="1081" w:customStyle="1">
    <w:name w:val="List Table 6 Colorful"/>
    <w:basedOn w:val="938"/>
    <w:uiPriority w:val="99"/>
    <w:qFormat/>
    <w:pPr>
      <w:spacing w:after="0" w:line="240" w:lineRule="auto"/>
    </w:pPr>
    <w:tblPr/>
  </w:style>
  <w:style w:type="table" w:styleId="1082" w:customStyle="1">
    <w:name w:val="List Table 6 Colorful - Accent 1"/>
    <w:basedOn w:val="938"/>
    <w:uiPriority w:val="99"/>
    <w:qFormat/>
    <w:pPr>
      <w:spacing w:after="0" w:line="240" w:lineRule="auto"/>
    </w:pPr>
    <w:tblPr/>
  </w:style>
  <w:style w:type="table" w:styleId="1083" w:customStyle="1">
    <w:name w:val="List Table 6 Colorful - Accent 2"/>
    <w:basedOn w:val="938"/>
    <w:uiPriority w:val="99"/>
    <w:qFormat/>
    <w:pPr>
      <w:spacing w:after="0" w:line="240" w:lineRule="auto"/>
    </w:pPr>
    <w:tblPr/>
  </w:style>
  <w:style w:type="table" w:styleId="1084" w:customStyle="1">
    <w:name w:val="List Table 6 Colorful - Accent 3"/>
    <w:basedOn w:val="938"/>
    <w:uiPriority w:val="99"/>
    <w:qFormat/>
    <w:pPr>
      <w:spacing w:after="0" w:line="240" w:lineRule="auto"/>
    </w:pPr>
    <w:tblPr/>
  </w:style>
  <w:style w:type="table" w:styleId="1085" w:customStyle="1">
    <w:name w:val="List Table 6 Colorful - Accent 4"/>
    <w:basedOn w:val="938"/>
    <w:uiPriority w:val="99"/>
    <w:qFormat/>
    <w:pPr>
      <w:spacing w:after="0" w:line="240" w:lineRule="auto"/>
    </w:pPr>
    <w:tblPr/>
  </w:style>
  <w:style w:type="table" w:styleId="1086" w:customStyle="1">
    <w:name w:val="List Table 6 Colorful - Accent 5"/>
    <w:basedOn w:val="938"/>
    <w:uiPriority w:val="99"/>
    <w:qFormat/>
    <w:pPr>
      <w:spacing w:after="0" w:line="240" w:lineRule="auto"/>
    </w:pPr>
    <w:tblPr/>
  </w:style>
  <w:style w:type="table" w:styleId="1087" w:customStyle="1">
    <w:name w:val="List Table 6 Colorful - Accent 6"/>
    <w:basedOn w:val="938"/>
    <w:uiPriority w:val="99"/>
    <w:qFormat/>
    <w:pPr>
      <w:spacing w:after="0" w:line="240" w:lineRule="auto"/>
    </w:pPr>
    <w:tblPr/>
  </w:style>
  <w:style w:type="table" w:styleId="1088" w:customStyle="1">
    <w:name w:val="List Table 7 Colorful"/>
    <w:basedOn w:val="938"/>
    <w:uiPriority w:val="99"/>
    <w:qFormat/>
    <w:pPr>
      <w:spacing w:after="0" w:line="240" w:lineRule="auto"/>
    </w:pPr>
    <w:tblPr/>
  </w:style>
  <w:style w:type="table" w:styleId="1089" w:customStyle="1">
    <w:name w:val="List Table 7 Colorful - Accent 1"/>
    <w:basedOn w:val="938"/>
    <w:uiPriority w:val="99"/>
    <w:qFormat/>
    <w:pPr>
      <w:spacing w:after="0" w:line="240" w:lineRule="auto"/>
    </w:pPr>
    <w:tblPr/>
  </w:style>
  <w:style w:type="table" w:styleId="1090" w:customStyle="1">
    <w:name w:val="List Table 7 Colorful - Accent 2"/>
    <w:basedOn w:val="938"/>
    <w:uiPriority w:val="99"/>
    <w:qFormat/>
    <w:pPr>
      <w:spacing w:after="0" w:line="240" w:lineRule="auto"/>
    </w:pPr>
    <w:tblPr/>
  </w:style>
  <w:style w:type="table" w:styleId="1091" w:customStyle="1">
    <w:name w:val="List Table 7 Colorful - Accent 3"/>
    <w:basedOn w:val="938"/>
    <w:uiPriority w:val="99"/>
    <w:qFormat/>
    <w:pPr>
      <w:spacing w:after="0" w:line="240" w:lineRule="auto"/>
    </w:pPr>
    <w:tblPr/>
  </w:style>
  <w:style w:type="table" w:styleId="1092" w:customStyle="1">
    <w:name w:val="List Table 7 Colorful - Accent 4"/>
    <w:basedOn w:val="938"/>
    <w:uiPriority w:val="99"/>
    <w:qFormat/>
    <w:pPr>
      <w:spacing w:after="0" w:line="240" w:lineRule="auto"/>
    </w:pPr>
    <w:tblPr/>
  </w:style>
  <w:style w:type="table" w:styleId="1093" w:customStyle="1">
    <w:name w:val="List Table 7 Colorful - Accent 5"/>
    <w:basedOn w:val="938"/>
    <w:uiPriority w:val="99"/>
    <w:qFormat/>
    <w:pPr>
      <w:spacing w:after="0" w:line="240" w:lineRule="auto"/>
    </w:pPr>
    <w:tblPr/>
  </w:style>
  <w:style w:type="table" w:styleId="1094" w:customStyle="1">
    <w:name w:val="List Table 7 Colorful - Accent 6"/>
    <w:basedOn w:val="938"/>
    <w:uiPriority w:val="99"/>
    <w:qFormat/>
    <w:pPr>
      <w:spacing w:after="0" w:line="240" w:lineRule="auto"/>
    </w:pPr>
    <w:tblPr/>
  </w:style>
  <w:style w:type="table" w:styleId="1095" w:customStyle="1">
    <w:name w:val="Lined - Accent"/>
    <w:basedOn w:val="938"/>
    <w:uiPriority w:val="99"/>
    <w:qFormat/>
    <w:pPr>
      <w:spacing w:after="0" w:line="240" w:lineRule="auto"/>
    </w:pPr>
    <w:rPr>
      <w:color w:val="404040"/>
    </w:rPr>
    <w:tblPr/>
  </w:style>
  <w:style w:type="table" w:styleId="1096" w:customStyle="1">
    <w:name w:val="Lined - Accent 1"/>
    <w:basedOn w:val="938"/>
    <w:uiPriority w:val="99"/>
    <w:qFormat/>
    <w:pPr>
      <w:spacing w:after="0" w:line="240" w:lineRule="auto"/>
    </w:pPr>
    <w:rPr>
      <w:color w:val="404040"/>
    </w:rPr>
    <w:tblPr/>
  </w:style>
  <w:style w:type="table" w:styleId="1097" w:customStyle="1">
    <w:name w:val="Lined - Accent 2"/>
    <w:basedOn w:val="938"/>
    <w:uiPriority w:val="99"/>
    <w:qFormat/>
    <w:pPr>
      <w:spacing w:after="0" w:line="240" w:lineRule="auto"/>
    </w:pPr>
    <w:rPr>
      <w:color w:val="404040"/>
    </w:rPr>
    <w:tblPr/>
  </w:style>
  <w:style w:type="table" w:styleId="1098" w:customStyle="1">
    <w:name w:val="Lined - Accent 3"/>
    <w:basedOn w:val="938"/>
    <w:uiPriority w:val="99"/>
    <w:qFormat/>
    <w:pPr>
      <w:spacing w:after="0" w:line="240" w:lineRule="auto"/>
    </w:pPr>
    <w:rPr>
      <w:color w:val="404040"/>
    </w:rPr>
    <w:tblPr/>
  </w:style>
  <w:style w:type="table" w:styleId="1099" w:customStyle="1">
    <w:name w:val="Lined - Accent 4"/>
    <w:basedOn w:val="938"/>
    <w:uiPriority w:val="99"/>
    <w:qFormat/>
    <w:pPr>
      <w:spacing w:after="0" w:line="240" w:lineRule="auto"/>
    </w:pPr>
    <w:rPr>
      <w:color w:val="404040"/>
    </w:rPr>
    <w:tblPr/>
  </w:style>
  <w:style w:type="table" w:styleId="1100" w:customStyle="1">
    <w:name w:val="Lined - Accent 5"/>
    <w:basedOn w:val="938"/>
    <w:uiPriority w:val="99"/>
    <w:qFormat/>
    <w:pPr>
      <w:spacing w:after="0" w:line="240" w:lineRule="auto"/>
    </w:pPr>
    <w:rPr>
      <w:color w:val="404040"/>
    </w:rPr>
    <w:tblPr/>
  </w:style>
  <w:style w:type="table" w:styleId="1101" w:customStyle="1">
    <w:name w:val="Lined - Accent 6"/>
    <w:basedOn w:val="938"/>
    <w:uiPriority w:val="99"/>
    <w:qFormat/>
    <w:pPr>
      <w:spacing w:after="0" w:line="240" w:lineRule="auto"/>
    </w:pPr>
    <w:rPr>
      <w:color w:val="404040"/>
    </w:rPr>
    <w:tblPr/>
  </w:style>
  <w:style w:type="table" w:styleId="1102" w:customStyle="1">
    <w:name w:val="Bordered &amp; Lined - Accent"/>
    <w:basedOn w:val="938"/>
    <w:uiPriority w:val="99"/>
    <w:qFormat/>
    <w:pPr>
      <w:spacing w:after="0" w:line="240" w:lineRule="auto"/>
    </w:pPr>
    <w:rPr>
      <w:color w:val="404040"/>
    </w:rPr>
    <w:tblPr/>
  </w:style>
  <w:style w:type="table" w:styleId="1103" w:customStyle="1">
    <w:name w:val="Bordered &amp; Lined - Accent 1"/>
    <w:basedOn w:val="938"/>
    <w:uiPriority w:val="99"/>
    <w:qFormat/>
    <w:pPr>
      <w:spacing w:after="0" w:line="240" w:lineRule="auto"/>
    </w:pPr>
    <w:rPr>
      <w:color w:val="404040"/>
    </w:rPr>
    <w:tblPr/>
  </w:style>
  <w:style w:type="table" w:styleId="1104" w:customStyle="1">
    <w:name w:val="Bordered &amp; Lined - Accent 2"/>
    <w:basedOn w:val="938"/>
    <w:uiPriority w:val="99"/>
    <w:qFormat/>
    <w:pPr>
      <w:spacing w:after="0" w:line="240" w:lineRule="auto"/>
    </w:pPr>
    <w:rPr>
      <w:color w:val="404040"/>
    </w:rPr>
    <w:tblPr/>
  </w:style>
  <w:style w:type="table" w:styleId="1105" w:customStyle="1">
    <w:name w:val="Bordered &amp; Lined - Accent 3"/>
    <w:basedOn w:val="938"/>
    <w:uiPriority w:val="99"/>
    <w:qFormat/>
    <w:pPr>
      <w:spacing w:after="0" w:line="240" w:lineRule="auto"/>
    </w:pPr>
    <w:rPr>
      <w:color w:val="404040"/>
    </w:rPr>
    <w:tblPr/>
  </w:style>
  <w:style w:type="table" w:styleId="1106" w:customStyle="1">
    <w:name w:val="Bordered &amp; Lined - Accent 4"/>
    <w:basedOn w:val="938"/>
    <w:uiPriority w:val="99"/>
    <w:qFormat/>
    <w:pPr>
      <w:spacing w:after="0" w:line="240" w:lineRule="auto"/>
    </w:pPr>
    <w:rPr>
      <w:color w:val="404040"/>
    </w:rPr>
    <w:tblPr/>
  </w:style>
  <w:style w:type="table" w:styleId="1107" w:customStyle="1">
    <w:name w:val="Bordered &amp; Lined - Accent 5"/>
    <w:basedOn w:val="938"/>
    <w:uiPriority w:val="99"/>
    <w:qFormat/>
    <w:pPr>
      <w:spacing w:after="0" w:line="240" w:lineRule="auto"/>
    </w:pPr>
    <w:rPr>
      <w:color w:val="404040"/>
    </w:rPr>
    <w:tblPr/>
  </w:style>
  <w:style w:type="table" w:styleId="1108" w:customStyle="1">
    <w:name w:val="Bordered &amp; Lined - Accent 6"/>
    <w:basedOn w:val="938"/>
    <w:uiPriority w:val="99"/>
    <w:qFormat/>
    <w:pPr>
      <w:spacing w:after="0" w:line="240" w:lineRule="auto"/>
    </w:pPr>
    <w:rPr>
      <w:color w:val="404040"/>
    </w:rPr>
    <w:tblPr/>
  </w:style>
  <w:style w:type="table" w:styleId="1109" w:customStyle="1">
    <w:name w:val="Bordered"/>
    <w:basedOn w:val="938"/>
    <w:uiPriority w:val="99"/>
    <w:qFormat/>
    <w:pPr>
      <w:spacing w:after="0" w:line="240" w:lineRule="auto"/>
    </w:pPr>
    <w:tblPr/>
  </w:style>
  <w:style w:type="table" w:styleId="1110" w:customStyle="1">
    <w:name w:val="Bordered - Accent 1"/>
    <w:basedOn w:val="938"/>
    <w:uiPriority w:val="99"/>
    <w:qFormat/>
    <w:pPr>
      <w:spacing w:after="0" w:line="240" w:lineRule="auto"/>
    </w:pPr>
    <w:tblPr/>
  </w:style>
  <w:style w:type="table" w:styleId="1111" w:customStyle="1">
    <w:name w:val="Bordered - Accent 2"/>
    <w:basedOn w:val="938"/>
    <w:uiPriority w:val="99"/>
    <w:qFormat/>
    <w:pPr>
      <w:spacing w:after="0" w:line="240" w:lineRule="auto"/>
    </w:pPr>
    <w:tblPr/>
  </w:style>
  <w:style w:type="table" w:styleId="1112" w:customStyle="1">
    <w:name w:val="Bordered - Accent 3"/>
    <w:basedOn w:val="938"/>
    <w:uiPriority w:val="99"/>
    <w:qFormat/>
    <w:pPr>
      <w:spacing w:after="0" w:line="240" w:lineRule="auto"/>
    </w:pPr>
    <w:tblPr/>
  </w:style>
  <w:style w:type="table" w:styleId="1113" w:customStyle="1">
    <w:name w:val="Bordered - Accent 4"/>
    <w:basedOn w:val="938"/>
    <w:uiPriority w:val="99"/>
    <w:qFormat/>
    <w:pPr>
      <w:spacing w:after="0" w:line="240" w:lineRule="auto"/>
    </w:pPr>
    <w:tblPr/>
  </w:style>
  <w:style w:type="table" w:styleId="1114" w:customStyle="1">
    <w:name w:val="Bordered - Accent 5"/>
    <w:basedOn w:val="938"/>
    <w:uiPriority w:val="99"/>
    <w:qFormat/>
    <w:pPr>
      <w:spacing w:after="0" w:line="240" w:lineRule="auto"/>
    </w:pPr>
    <w:tblPr/>
  </w:style>
  <w:style w:type="table" w:styleId="1115" w:customStyle="1">
    <w:name w:val="Bordered - Accent 6"/>
    <w:basedOn w:val="938"/>
    <w:uiPriority w:val="99"/>
    <w:qFormat/>
    <w:pPr>
      <w:spacing w:after="0" w:line="240" w:lineRule="auto"/>
    </w:pPr>
    <w:tblPr/>
  </w:style>
  <w:style w:type="paragraph" w:styleId="1116" w:customStyle="1">
    <w:name w:val="TOC Heading"/>
    <w:uiPriority w:val="39"/>
    <w:unhideWhenUsed/>
    <w:qFormat/>
    <w:rPr>
      <w:rFonts w:hint="default" w:ascii="等线" w:hAnsi="等线" w:eastAsia="等线" w:cs="Times New Roman"/>
      <w:lang w:val="en-US" w:eastAsia="zh-CN" w:bidi="ar-SA"/>
    </w:rPr>
  </w:style>
  <w:style w:type="paragraph" w:styleId="1117" w:customStyle="1">
    <w:name w:val="正文缩进1"/>
    <w:basedOn w:val="871"/>
    <w:uiPriority w:val="99"/>
    <w:qFormat/>
    <w:pPr>
      <w:ind w:firstLine="420"/>
    </w:pPr>
    <w:rPr>
      <w:b/>
      <w:sz w:val="24"/>
    </w:rPr>
  </w:style>
  <w:style w:type="paragraph" w:styleId="1118" w:customStyle="1">
    <w:name w:val="目录 11"/>
    <w:basedOn w:val="871"/>
    <w:next w:val="871"/>
    <w:uiPriority w:val="39"/>
    <w:qFormat/>
  </w:style>
  <w:style w:type="paragraph" w:styleId="1119" w:customStyle="1">
    <w:name w:val="目录 31"/>
    <w:basedOn w:val="871"/>
    <w:next w:val="871"/>
    <w:uiPriority w:val="39"/>
    <w:qFormat/>
    <w:pPr>
      <w:ind w:left="840"/>
    </w:pPr>
  </w:style>
  <w:style w:type="paragraph" w:styleId="1120" w:customStyle="1">
    <w:name w:val="正文文本缩进 31"/>
    <w:basedOn w:val="871"/>
    <w:uiPriority w:val="0"/>
    <w:qFormat/>
    <w:pPr>
      <w:ind w:firstLine="841"/>
    </w:pPr>
    <w:rPr>
      <w:rFonts w:eastAsia="华文新魏"/>
      <w:b/>
      <w:bCs/>
      <w:sz w:val="84"/>
    </w:rPr>
  </w:style>
  <w:style w:type="paragraph" w:styleId="1121" w:customStyle="1">
    <w:name w:val="普通(网站)1"/>
    <w:basedOn w:val="871"/>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2" w:customStyle="1">
    <w:name w:val="正文首行缩进1"/>
    <w:basedOn w:val="981"/>
    <w:uiPriority w:val="0"/>
    <w:qFormat/>
    <w:pPr>
      <w:ind w:firstLine="420"/>
      <w:spacing w:line="360" w:lineRule="auto"/>
    </w:pPr>
    <w:rPr>
      <w:rFonts w:ascii="Times New Roman" w:hAnsi="Times New Roman" w:cs="Times New Roman"/>
      <w:szCs w:val="21"/>
    </w:rPr>
  </w:style>
  <w:style w:type="character" w:styleId="1123" w:customStyle="1">
    <w:name w:val="超链接1"/>
    <w:link w:val="871"/>
    <w:uiPriority w:val="99"/>
    <w:qFormat/>
    <w:rPr>
      <w:rFonts w:ascii="Times New Roman" w:hAnsi="Times New Roman" w:eastAsia="宋体" w:cs="Times New Roman"/>
      <w:sz w:val="21"/>
      <w:lang w:val="en-US" w:eastAsia="zh-CN" w:bidi="ar-SA"/>
    </w:rPr>
  </w:style>
  <w:style w:type="paragraph" w:styleId="1124" w:customStyle="1">
    <w:name w:val="标题 31"/>
    <w:basedOn w:val="871"/>
    <w:next w:val="1117"/>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25" w:customStyle="1">
    <w:name w:val="列表段落"/>
    <w:basedOn w:val="871"/>
    <w:uiPriority w:val="0"/>
    <w:qFormat/>
    <w:pPr>
      <w:ind w:firstLine="420"/>
      <w:jc w:val="left"/>
      <w:spacing w:after="200"/>
      <w:widowControl/>
    </w:pPr>
    <w:rPr>
      <w:rFonts w:ascii="Tahoma" w:hAnsi="Tahoma" w:eastAsia="微软雅黑"/>
      <w:sz w:val="22"/>
      <w:szCs w:val="22"/>
    </w:rPr>
  </w:style>
  <w:style w:type="paragraph" w:styleId="1126" w:customStyle="1">
    <w:name w:val="_Style 6"/>
    <w:basedOn w:val="871"/>
    <w:uiPriority w:val="34"/>
    <w:qFormat/>
    <w:pPr>
      <w:ind w:firstLine="420"/>
    </w:pPr>
    <w:rPr>
      <w:szCs w:val="24"/>
    </w:rPr>
  </w:style>
  <w:style w:type="paragraph" w:styleId="1127" w:customStyle="1">
    <w:name w:val="页眉1"/>
    <w:basedOn w:val="871"/>
    <w:uiPriority w:val="99"/>
    <w:qFormat/>
    <w:pPr>
      <w:jc w:val="center"/>
      <w:tabs>
        <w:tab w:val="center" w:pos="4153" w:leader="none"/>
        <w:tab w:val="right" w:pos="8306" w:leader="none"/>
      </w:tabs>
      <w:pBdr>
        <w:bottom w:val="single" w:color="000000" w:sz="6" w:space="1"/>
      </w:pBdr>
    </w:pPr>
    <w:rPr>
      <w:sz w:val="18"/>
    </w:rPr>
  </w:style>
  <w:style w:type="paragraph" w:styleId="1128" w:customStyle="1">
    <w:name w:val="页脚1"/>
    <w:basedOn w:val="871"/>
    <w:uiPriority w:val="99"/>
    <w:qFormat/>
    <w:pPr>
      <w:jc w:val="left"/>
      <w:tabs>
        <w:tab w:val="center" w:pos="4153" w:leader="none"/>
        <w:tab w:val="right" w:pos="8306" w:leader="none"/>
      </w:tabs>
    </w:pPr>
    <w:rPr>
      <w:sz w:val="18"/>
    </w:rPr>
  </w:style>
  <w:style w:type="paragraph" w:styleId="1129" w:customStyle="1">
    <w:name w:val="A3"/>
    <w:basedOn w:val="1130"/>
    <w:uiPriority w:val="0"/>
    <w:qFormat/>
    <w:pPr>
      <w:numPr>
        <w:ilvl w:val="2"/>
      </w:numPr>
      <w:ind w:firstLine="0"/>
      <w:spacing w:before="120"/>
      <w:tabs>
        <w:tab w:val="left" w:pos="1418" w:leader="none"/>
      </w:tabs>
    </w:pPr>
    <w:rPr>
      <w:lang w:val="zh-CN"/>
    </w:rPr>
  </w:style>
  <w:style w:type="paragraph" w:styleId="1130" w:customStyle="1">
    <w:name w:val="A2"/>
    <w:basedOn w:val="1131"/>
    <w:uiPriority w:val="0"/>
    <w:qFormat/>
    <w:pPr>
      <w:numPr>
        <w:ilvl w:val="1"/>
      </w:numPr>
      <w:ind w:firstLine="0"/>
      <w:tabs>
        <w:tab w:val="left" w:pos="1418" w:leader="none"/>
      </w:tabs>
    </w:pPr>
    <w:rPr>
      <w:rFonts w:hAnsi="宋体"/>
      <w:b w:val="0"/>
      <w:szCs w:val="21"/>
    </w:rPr>
  </w:style>
  <w:style w:type="paragraph" w:styleId="1131" w:customStyle="1">
    <w:name w:val="A1"/>
    <w:uiPriority w:val="0"/>
    <w:qFormat/>
    <w:pPr>
      <w:numPr>
        <w:ilvl w:val="0"/>
        <w:numId w:val="1"/>
      </w:numPr>
      <w:ind w:left="4390" w:hanging="1418"/>
      <w:spacing w:before="240"/>
      <w:tabs>
        <w:tab w:val="left" w:pos="1418" w:leader="none"/>
      </w:tabs>
      <w:outlineLvl w:val="0"/>
    </w:pPr>
    <w:rPr>
      <w:rFonts w:hint="default" w:ascii="Arial Narrow" w:hAnsi="Arial Narrow" w:eastAsia="仿宋" w:cs="Times New Roman"/>
      <w:b/>
      <w:sz w:val="24"/>
      <w:szCs w:val="24"/>
      <w:lang w:val="en-US" w:eastAsia="zh-CN" w:bidi="ar-SA"/>
    </w:rPr>
  </w:style>
  <w:style w:type="table" w:styleId="1132" w:customStyle="1">
    <w:name w:val="无格式表格 21"/>
    <w:uiPriority w:val="42"/>
    <w:qFormat/>
    <w:tblPr/>
  </w:style>
  <w:style w:type="paragraph" w:styleId="1133" w:customStyle="1">
    <w:name w:val="_Style 13"/>
    <w:uiPriority w:val="0"/>
    <w:qFormat/>
    <w:pPr>
      <w:ind w:left="0"/>
      <w:jc w:val="left"/>
      <w:spacing w:before="120" w:after="120" w:line="288" w:lineRule="auto"/>
    </w:pPr>
    <w:rPr>
      <w:rFonts w:ascii="Arial" w:hAnsi="Arial" w:eastAsia="等线" w:cs="Arial"/>
      <w:sz w:val="22"/>
      <w:szCs w:val="22"/>
    </w:rPr>
  </w:style>
  <w:style w:type="paragraph" w:styleId="1134" w:customStyle="1">
    <w:name w:val="正文首行缩进 21"/>
    <w:basedOn w:val="1135"/>
    <w:uiPriority w:val="0"/>
    <w:qFormat/>
    <w:pPr>
      <w:ind w:left="420" w:firstLine="420"/>
      <w:spacing w:after="120" w:line="480" w:lineRule="exact"/>
    </w:pPr>
    <w:rPr>
      <w:szCs w:val="20"/>
    </w:rPr>
  </w:style>
  <w:style w:type="paragraph" w:styleId="1135" w:customStyle="1">
    <w:name w:val="正文文本缩进11"/>
    <w:basedOn w:val="871"/>
    <w:next w:val="871"/>
    <w:uiPriority w:val="0"/>
    <w:qFormat/>
    <w:pPr>
      <w:ind w:firstLine="570"/>
      <w:spacing w:line="360" w:lineRule="auto"/>
    </w:pPr>
    <w:rPr>
      <w:sz w:val="24"/>
    </w:rPr>
  </w:style>
  <w:style w:type="numbering" w:styleId="1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南京鼓楼医院招标</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朱志云</cp:lastModifiedBy>
  <cp:revision>9</cp:revision>
  <dcterms:created xsi:type="dcterms:W3CDTF">2024-12-21T12:30:00Z</dcterms:created>
  <dcterms:modified xsi:type="dcterms:W3CDTF">2026-03-24T02:09:47Z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eyJoZGlkIjoiMDgzM2JjOTYzZjVkZjI3NDFmYmZmZDgxMjU4NThiNzEiLCJ1c2VySWQiOiIzMDYyODI0MDcifQ==</vt:lpwstr>
  </property>
  <property fmtid="{D5CDD505-2E9C-101B-9397-08002B2CF9AE}" pid="3" name="KSOProductBuildVer">
    <vt:lpwstr>2052-12.1.0.25225</vt:lpwstr>
  </property>
  <property fmtid="{D5CDD505-2E9C-101B-9397-08002B2CF9AE}" pid="4" name="ICV">
    <vt:lpwstr>856DBF63661F48DA8FBD9180CEE29DD1_12</vt:lpwstr>
  </property>
</Properties>
</file>