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center"/>
        <w:spacing w:line="360" w:lineRule="auto"/>
        <w:tabs>
          <w:tab w:val="left" w:pos="390" w:leader="none"/>
          <w:tab w:val="center" w:pos="4404" w:leader="none"/>
        </w:tabs>
        <w:rPr>
          <w:rFonts w:hint="eastAsia" w:ascii="宋体" w:hAnsi="宋体" w:cs="宋体"/>
          <w:color w:val="000000"/>
          <w:sz w:val="76"/>
          <w:szCs w:val="76"/>
        </w:rPr>
      </w:pPr>
      <w:r>
        <w:rPr>
          <w:rFonts w:hint="eastAsia" w:ascii="宋体" w:hAnsi="宋体" w:cs="宋体"/>
          <w:color w:val="000000"/>
          <w:sz w:val="76"/>
          <w:szCs w:val="76"/>
        </w:rPr>
      </w:r>
      <w:r/>
    </w:p>
    <w:p>
      <w:pPr>
        <w:pStyle w:val="736"/>
        <w:jc w:val="center"/>
        <w:spacing w:line="360" w:lineRule="auto"/>
        <w:tabs>
          <w:tab w:val="left" w:pos="390" w:leader="none"/>
          <w:tab w:val="center" w:pos="4404" w:leader="none"/>
        </w:tabs>
        <w:rPr>
          <w:rFonts w:hint="eastAsia" w:ascii="宋体" w:hAnsi="宋体" w:cs="宋体"/>
          <w:b/>
          <w:bCs/>
          <w:color w:val="000000"/>
          <w:sz w:val="76"/>
          <w:szCs w:val="76"/>
        </w:rPr>
      </w:pPr>
      <w:r>
        <w:rPr>
          <w:rFonts w:hint="eastAsia" w:ascii="宋体" w:hAnsi="宋体" w:cs="宋体"/>
          <w:b/>
          <w:bCs/>
          <w:color w:val="000000"/>
          <w:sz w:val="76"/>
          <w:szCs w:val="76"/>
        </w:rPr>
        <w:t xml:space="preserve">公开招标文件</w:t>
      </w:r>
      <w:r>
        <w:rPr>
          <w:rFonts w:hint="eastAsia" w:ascii="宋体" w:hAnsi="宋体" w:cs="宋体"/>
          <w:b/>
          <w:bCs/>
          <w:color w:val="000000"/>
          <w:sz w:val="76"/>
          <w:szCs w:val="76"/>
        </w:rPr>
      </w:r>
      <w:r/>
    </w:p>
    <w:p>
      <w:pPr>
        <w:pStyle w:val="736"/>
        <w:jc w:val="right"/>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736"/>
        <w:spacing w:line="360" w:lineRule="auto"/>
        <w:rPr>
          <w:rFonts w:hint="eastAsia" w:ascii="宋体" w:hAnsi="宋体" w:cs="宋体"/>
          <w:b/>
          <w:bCs/>
          <w:color w:val="000000"/>
          <w:sz w:val="44"/>
        </w:rPr>
      </w:pPr>
      <w:r>
        <w:rPr>
          <w:rFonts w:hint="eastAsia" w:ascii="宋体" w:hAnsi="宋体" w:cs="宋体"/>
          <w:b/>
          <w:bCs/>
          <w:color w:val="000000"/>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36"/>
              <w:ind w:firstLine="883"/>
              <w:spacing w:line="360" w:lineRule="auto"/>
              <w:rPr>
                <w:rFonts w:hint="eastAsia" w:ascii="宋体" w:hAnsi="宋体" w:cs="宋体"/>
                <w:b/>
                <w:bCs/>
                <w:color w:val="000000"/>
                <w:sz w:val="44"/>
              </w:rPr>
            </w:pPr>
            <w:r>
              <w:rPr>
                <w:rFonts w:hint="eastAsia" w:ascii="宋体" w:hAnsi="宋体" w:cs="宋体"/>
                <w:b/>
                <w:bCs/>
                <w:color w:val="000000"/>
                <w:sz w:val="44"/>
              </w:rPr>
              <w:t xml:space="preserve">项目编号：JSZC-320192-JYXJ-G2026-0004 </w:t>
            </w:r>
            <w:r>
              <w:rPr>
                <w:rFonts w:hint="eastAsia" w:ascii="宋体" w:hAnsi="宋体" w:cs="宋体"/>
                <w:b/>
                <w:bCs/>
                <w:color w:val="000000"/>
                <w:sz w:val="44"/>
              </w:rPr>
            </w:r>
            <w:r/>
          </w:p>
          <w:p>
            <w:pPr>
              <w:pStyle w:val="736"/>
              <w:ind w:left="3087" w:hanging="2209"/>
              <w:spacing w:line="288" w:lineRule="auto"/>
              <w:widowControl/>
              <w:rPr>
                <w:rFonts w:hint="eastAsia" w:ascii="宋体" w:hAnsi="宋体" w:cs="宋体"/>
                <w:b/>
                <w:bCs/>
                <w:color w:val="000000"/>
                <w:sz w:val="44"/>
                <w:lang w:val="zh-CN"/>
              </w:rPr>
            </w:pPr>
            <w:r>
              <w:rPr>
                <w:rFonts w:hint="eastAsia" w:ascii="宋体" w:hAnsi="宋体" w:cs="宋体"/>
                <w:b/>
                <w:bCs/>
                <w:color w:val="000000"/>
                <w:sz w:val="44"/>
              </w:rPr>
              <w:t xml:space="preserve">项目名称：</w:t>
            </w:r>
            <w:r>
              <w:rPr>
                <w:rFonts w:hint="eastAsia" w:ascii="宋体" w:hAnsi="宋体" w:cs="宋体"/>
                <w:b/>
                <w:bCs/>
                <w:color w:val="000000"/>
                <w:sz w:val="44"/>
                <w:lang w:val="zh-CN"/>
              </w:rPr>
              <w:t xml:space="preserve">江北新区滨江实验学校工程项目实验室装备采购</w:t>
            </w:r>
            <w:r>
              <w:rPr>
                <w:rFonts w:hint="eastAsia" w:ascii="宋体" w:hAnsi="宋体" w:cs="宋体"/>
                <w:b/>
                <w:bCs/>
                <w:color w:val="000000"/>
                <w:sz w:val="44"/>
                <w:lang w:val="zh-CN"/>
              </w:rPr>
            </w:r>
            <w:r/>
          </w:p>
          <w:p>
            <w:pPr>
              <w:pStyle w:val="826"/>
              <w:ind w:firstLine="640"/>
              <w:rPr>
                <w:rFonts w:hint="eastAsia" w:ascii="宋体" w:hAnsi="宋体" w:eastAsia="宋体" w:cs="宋体"/>
                <w:color w:val="000000"/>
              </w:rPr>
            </w:pPr>
            <w:r>
              <w:rPr>
                <w:rFonts w:hint="eastAsia" w:ascii="宋体" w:hAnsi="宋体" w:eastAsia="宋体" w:cs="宋体"/>
                <w:color w:val="000000"/>
              </w:rPr>
            </w:r>
            <w:r/>
          </w:p>
          <w:p>
            <w:pPr>
              <w:pStyle w:val="736"/>
              <w:ind w:left="3087" w:hanging="2209"/>
              <w:spacing w:line="360" w:lineRule="auto"/>
              <w:rPr>
                <w:rFonts w:hint="eastAsia" w:ascii="宋体" w:hAnsi="宋体" w:cs="宋体"/>
                <w:b/>
                <w:bCs/>
                <w:color w:val="000000"/>
                <w:sz w:val="44"/>
                <w:szCs w:val="44"/>
                <w:lang w:val="zh-CN"/>
              </w:rPr>
            </w:pPr>
            <w:r>
              <w:rPr>
                <w:rFonts w:hint="eastAsia" w:ascii="宋体" w:hAnsi="宋体" w:cs="宋体"/>
                <w:b/>
                <w:bCs/>
                <w:color w:val="000000"/>
                <w:sz w:val="44"/>
                <w:szCs w:val="44"/>
                <w:lang w:val="zh-CN"/>
              </w:rPr>
            </w:r>
            <w:r/>
          </w:p>
        </w:tc>
      </w:tr>
    </w:tbl>
    <w:p>
      <w:pPr>
        <w:pStyle w:val="736"/>
        <w:spacing w:line="360" w:lineRule="auto"/>
        <w:rPr>
          <w:rFonts w:hint="eastAsia" w:ascii="宋体" w:hAnsi="宋体" w:cs="宋体"/>
          <w:b/>
          <w:bCs/>
          <w:color w:val="000000"/>
          <w:sz w:val="44"/>
        </w:rPr>
      </w:pPr>
      <w:r>
        <w:rPr>
          <w:rFonts w:hint="eastAsia" w:ascii="宋体" w:hAnsi="宋体" w:cs="宋体"/>
          <w:b/>
          <w:bCs/>
          <w:color w:val="000000"/>
          <w:sz w:val="44"/>
        </w:rPr>
      </w:r>
      <w:r/>
    </w:p>
    <w:p>
      <w:pPr>
        <w:pStyle w:val="826"/>
        <w:rPr>
          <w:rFonts w:hint="eastAsia" w:ascii="宋体" w:hAnsi="宋体" w:eastAsia="宋体" w:cs="宋体"/>
          <w:b/>
          <w:bCs/>
          <w:color w:val="000000"/>
          <w:sz w:val="44"/>
        </w:rPr>
      </w:pPr>
      <w:r>
        <w:rPr>
          <w:rFonts w:hint="eastAsia" w:ascii="宋体" w:hAnsi="宋体" w:eastAsia="宋体" w:cs="宋体"/>
          <w:b/>
          <w:bCs/>
          <w:color w:val="000000"/>
          <w:sz w:val="44"/>
        </w:rPr>
      </w:r>
      <w:r/>
    </w:p>
    <w:p>
      <w:pPr>
        <w:pStyle w:val="736"/>
        <w:rPr>
          <w:rFonts w:hint="eastAsia" w:ascii="宋体" w:hAnsi="宋体" w:cs="宋体"/>
          <w:b/>
          <w:bCs/>
          <w:color w:val="000000"/>
          <w:sz w:val="44"/>
        </w:rPr>
      </w:pPr>
      <w:r>
        <w:rPr>
          <w:rFonts w:hint="eastAsia" w:ascii="宋体" w:hAnsi="宋体" w:cs="宋体"/>
          <w:b/>
          <w:bCs/>
          <w:color w:val="000000"/>
          <w:sz w:val="44"/>
        </w:rPr>
      </w:r>
      <w:r/>
    </w:p>
    <w:p>
      <w:pPr>
        <w:pStyle w:val="826"/>
        <w:rPr>
          <w:rFonts w:hint="eastAsia" w:ascii="宋体" w:hAnsi="宋体" w:eastAsia="宋体" w:cs="宋体"/>
          <w:b/>
          <w:bCs/>
          <w:color w:val="000000"/>
          <w:sz w:val="44"/>
        </w:rPr>
      </w:pPr>
      <w:r>
        <w:rPr>
          <w:rFonts w:hint="eastAsia" w:ascii="宋体" w:hAnsi="宋体" w:eastAsia="宋体" w:cs="宋体"/>
          <w:b/>
          <w:bCs/>
          <w:color w:val="000000"/>
          <w:sz w:val="44"/>
        </w:rPr>
      </w:r>
      <w:r/>
    </w:p>
    <w:p>
      <w:pPr>
        <w:pStyle w:val="736"/>
        <w:rPr>
          <w:rFonts w:hint="eastAsia" w:ascii="宋体" w:hAnsi="宋体" w:cs="宋体"/>
          <w:b/>
          <w:bCs/>
          <w:color w:val="000000"/>
          <w:sz w:val="44"/>
        </w:rPr>
      </w:pPr>
      <w:r>
        <w:rPr>
          <w:rFonts w:hint="eastAsia" w:ascii="宋体" w:hAnsi="宋体" w:cs="宋体"/>
          <w:b/>
          <w:bCs/>
          <w:color w:val="000000"/>
          <w:sz w:val="44"/>
        </w:rPr>
      </w:r>
      <w:r/>
    </w:p>
    <w:p>
      <w:pPr>
        <w:pStyle w:val="826"/>
        <w:rPr>
          <w:rFonts w:hint="eastAsia"/>
          <w:color w:val="000000"/>
        </w:rPr>
      </w:pPr>
      <w:r>
        <w:rPr>
          <w:rFonts w:hint="eastAsia"/>
          <w:color w:val="000000"/>
        </w:rPr>
      </w:r>
      <w:r/>
    </w:p>
    <w:p>
      <w:pPr>
        <w:pStyle w:val="736"/>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736"/>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采购人：</w:t>
      </w:r>
      <w:bookmarkStart w:id="0" w:name="OLE_LINK29"/>
      <w:r/>
      <w:bookmarkStart w:id="1" w:name="OLE_LINK28"/>
      <w:r>
        <w:rPr>
          <w:rFonts w:hint="eastAsia" w:ascii="宋体" w:hAnsi="宋体" w:cs="宋体"/>
          <w:b/>
          <w:bCs/>
          <w:color w:val="000000"/>
          <w:sz w:val="36"/>
          <w:szCs w:val="16"/>
          <w:lang w:val="zh-CN"/>
        </w:rPr>
        <w:t xml:space="preserve">南京江北新区管理委员会教育局</w:t>
      </w:r>
      <w:bookmarkEnd w:id="0"/>
      <w:r/>
      <w:bookmarkEnd w:id="1"/>
      <w:r>
        <w:rPr>
          <w:rFonts w:hint="eastAsia" w:ascii="宋体" w:hAnsi="宋体" w:cs="宋体"/>
          <w:b/>
          <w:bCs/>
          <w:color w:val="000000"/>
          <w:sz w:val="36"/>
          <w:szCs w:val="16"/>
          <w:lang w:val="zh-CN"/>
        </w:rPr>
      </w:r>
      <w:r/>
    </w:p>
    <w:p>
      <w:pPr>
        <w:pStyle w:val="736"/>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采购代理机构：益嘉新建设咨询（南京）有限公司</w:t>
      </w:r>
      <w:r>
        <w:rPr>
          <w:rFonts w:hint="eastAsia" w:ascii="宋体" w:hAnsi="宋体" w:cs="宋体"/>
          <w:b/>
          <w:bCs/>
          <w:color w:val="000000"/>
          <w:sz w:val="36"/>
          <w:szCs w:val="16"/>
          <w:lang w:val="zh-CN"/>
        </w:rPr>
      </w:r>
      <w:r/>
    </w:p>
    <w:p>
      <w:pPr>
        <w:pStyle w:val="736"/>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日期：二〇二六年</w:t>
      </w:r>
      <w:r>
        <w:rPr>
          <w:rFonts w:hint="eastAsia" w:ascii="宋体" w:hAnsi="宋体" w:cs="宋体"/>
          <w:b/>
          <w:bCs/>
          <w:color w:val="000000"/>
          <w:sz w:val="36"/>
          <w:szCs w:val="16"/>
          <w:lang w:val="en-US" w:eastAsia="zh-CN"/>
        </w:rPr>
        <w:t xml:space="preserve">六</w:t>
      </w:r>
      <w:r>
        <w:rPr>
          <w:rFonts w:hint="eastAsia" w:ascii="宋体" w:hAnsi="宋体" w:cs="宋体"/>
          <w:b/>
          <w:bCs/>
          <w:color w:val="000000"/>
          <w:sz w:val="36"/>
          <w:szCs w:val="16"/>
          <w:lang w:val="zh-CN"/>
        </w:rPr>
        <w:t xml:space="preserve">月</w:t>
      </w:r>
      <w:r>
        <w:rPr>
          <w:rFonts w:hint="eastAsia" w:ascii="宋体" w:hAnsi="宋体" w:cs="宋体"/>
          <w:b/>
          <w:bCs/>
          <w:color w:val="000000"/>
          <w:sz w:val="36"/>
          <w:szCs w:val="16"/>
          <w:lang w:val="zh-CN"/>
        </w:rPr>
      </w:r>
      <w:r/>
    </w:p>
    <w:p>
      <w:pPr>
        <w:pStyle w:val="736"/>
        <w:jc w:val="center"/>
        <w:rPr>
          <w:b/>
          <w:bCs/>
          <w:color w:val="000000"/>
          <w:sz w:val="48"/>
          <w:szCs w:val="48"/>
        </w:rPr>
      </w:pPr>
      <w:r>
        <w:rPr>
          <w:rFonts w:ascii="宋体" w:hAnsi="宋体"/>
          <w:color w:val="000000"/>
        </w:rPr>
        <w:br w:type="page" w:clear="all"/>
      </w:r>
      <w:r>
        <w:rPr>
          <w:rFonts w:ascii="宋体" w:hAnsi="宋体"/>
          <w:b/>
          <w:bCs/>
          <w:color w:val="000000"/>
          <w:sz w:val="48"/>
          <w:szCs w:val="48"/>
        </w:rPr>
        <w:t xml:space="preserve">目录</w:t>
      </w:r>
      <w:r>
        <w:rPr>
          <w:b/>
          <w:bCs/>
          <w:color w:val="000000"/>
          <w:sz w:val="48"/>
          <w:szCs w:val="48"/>
        </w:rPr>
      </w:r>
      <w:r/>
    </w:p>
    <w:p>
      <w:pPr>
        <w:pStyle w:val="813"/>
        <w:tabs>
          <w:tab w:val="right" w:pos="9524" w:leader="dot"/>
        </w:tabs>
      </w:pPr>
      <w:r>
        <w:rPr>
          <w:rFonts w:hint="eastAsia" w:ascii="宋体" w:hAnsi="宋体" w:cs="宋体"/>
          <w:b/>
          <w:bCs/>
          <w:color w:val="000000"/>
          <w:spacing w:val="-10"/>
          <w:sz w:val="24"/>
          <w:szCs w:val="24"/>
        </w:rPr>
        <w:fldChar w:fldCharType="begin"/>
      </w:r>
      <w:r>
        <w:rPr>
          <w:rFonts w:hint="eastAsia" w:ascii="宋体" w:hAnsi="宋体" w:cs="宋体"/>
          <w:b/>
          <w:bCs/>
          <w:color w:val="000000"/>
          <w:spacing w:val="-10"/>
          <w:sz w:val="24"/>
          <w:szCs w:val="24"/>
        </w:rPr>
        <w:instrText xml:space="preserve">TOC \o "1-3" \h \u </w:instrText>
      </w:r>
      <w:r>
        <w:rPr>
          <w:rFonts w:hint="eastAsia" w:ascii="宋体" w:hAnsi="宋体" w:cs="宋体"/>
          <w:b/>
          <w:bCs/>
          <w:color w:val="000000"/>
          <w:spacing w:val="-10"/>
          <w:sz w:val="24"/>
          <w:szCs w:val="24"/>
        </w:rPr>
        <w:fldChar w:fldCharType="separate"/>
      </w: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_Toc16712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一、项目基本情况：</w:t>
      </w:r>
      <w:r>
        <w:tab/>
      </w:r>
      <w:r>
        <w:fldChar w:fldCharType="begin"/>
      </w:r>
      <w:r>
        <w:instrText xml:space="preserve"> PAGEREF _Toc16712 \h </w:instrText>
      </w:r>
      <w:r>
        <w:fldChar w:fldCharType="separate"/>
      </w:r>
      <w:r>
        <w:t xml:space="preserve">3</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_Toc8925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二、申请人的资格要求：</w:t>
      </w:r>
      <w:r>
        <w:tab/>
      </w:r>
      <w:r>
        <w:fldChar w:fldCharType="begin"/>
      </w:r>
      <w:r>
        <w:instrText xml:space="preserve"> PAGEREF _Toc8925 \h </w:instrText>
      </w:r>
      <w:r>
        <w:fldChar w:fldCharType="separate"/>
      </w:r>
      <w:r>
        <w:t xml:space="preserve">3</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_Toc25024 </w:instrText>
      </w:r>
      <w:r>
        <w:rPr>
          <w:rFonts w:hint="eastAsia" w:ascii="宋体" w:hAnsi="宋体" w:cs="宋体"/>
          <w:bCs/>
          <w:spacing w:val="-10"/>
          <w:szCs w:val="24"/>
        </w:rPr>
        <w:fldChar w:fldCharType="separate"/>
      </w:r>
      <w:r>
        <w:rPr>
          <w:rFonts w:hint="eastAsia" w:ascii="宋体" w:hAnsi="宋体" w:eastAsia="宋体" w:cs="宋体"/>
          <w:bCs/>
          <w:szCs w:val="24"/>
        </w:rPr>
        <w:t xml:space="preserve">三、获取招标文件</w:t>
      </w:r>
      <w:r>
        <w:tab/>
      </w:r>
      <w:r>
        <w:fldChar w:fldCharType="begin"/>
      </w:r>
      <w:r>
        <w:instrText xml:space="preserve"> PAGEREF _Toc25024 \h </w:instrText>
      </w:r>
      <w:r>
        <w:fldChar w:fldCharType="separate"/>
      </w:r>
      <w:r>
        <w:t xml:space="preserve">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_Toc9893 </w:instrText>
      </w:r>
      <w:r>
        <w:rPr>
          <w:rFonts w:hint="eastAsia" w:ascii="宋体" w:hAnsi="宋体" w:cs="宋体"/>
          <w:bCs/>
          <w:spacing w:val="-10"/>
          <w:szCs w:val="24"/>
        </w:rPr>
        <w:fldChar w:fldCharType="separate"/>
      </w:r>
      <w:r>
        <w:rPr>
          <w:rFonts w:hint="eastAsia" w:ascii="宋体" w:hAnsi="宋体" w:eastAsia="宋体" w:cs="宋体"/>
          <w:bCs/>
          <w:szCs w:val="24"/>
        </w:rPr>
        <w:t xml:space="preserve">四、提交投标文件开始时间、开标时间</w:t>
      </w:r>
      <w:r>
        <w:tab/>
      </w:r>
      <w:r>
        <w:fldChar w:fldCharType="begin"/>
      </w:r>
      <w:r>
        <w:instrText xml:space="preserve"> PAGEREF _Toc9893 \h </w:instrText>
      </w:r>
      <w:r>
        <w:fldChar w:fldCharType="separate"/>
      </w:r>
      <w:r>
        <w:t xml:space="preserve">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_Toc3578 </w:instrText>
      </w:r>
      <w:r>
        <w:rPr>
          <w:rFonts w:hint="eastAsia" w:ascii="宋体" w:hAnsi="宋体" w:cs="宋体"/>
          <w:bCs/>
          <w:spacing w:val="-10"/>
          <w:szCs w:val="24"/>
        </w:rPr>
        <w:fldChar w:fldCharType="separate"/>
      </w:r>
      <w:r>
        <w:rPr>
          <w:rFonts w:hint="eastAsia" w:ascii="宋体" w:hAnsi="宋体" w:eastAsia="宋体" w:cs="宋体"/>
          <w:bCs/>
          <w:szCs w:val="24"/>
        </w:rPr>
        <w:t xml:space="preserve">五、开启</w:t>
      </w:r>
      <w:r>
        <w:tab/>
      </w:r>
      <w:r>
        <w:fldChar w:fldCharType="begin"/>
      </w:r>
      <w:r>
        <w:instrText xml:space="preserve"> PAGEREF _Toc3578 \h </w:instrText>
      </w:r>
      <w:r>
        <w:fldChar w:fldCharType="separate"/>
      </w:r>
      <w:r>
        <w:t xml:space="preserve">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_Toc17890 </w:instrText>
      </w:r>
      <w:r>
        <w:rPr>
          <w:rFonts w:hint="eastAsia" w:ascii="宋体" w:hAnsi="宋体" w:cs="宋体"/>
          <w:bCs/>
          <w:spacing w:val="-10"/>
          <w:szCs w:val="24"/>
        </w:rPr>
        <w:fldChar w:fldCharType="separate"/>
      </w:r>
      <w:r>
        <w:rPr>
          <w:rFonts w:hint="eastAsia" w:ascii="宋体" w:hAnsi="宋体" w:eastAsia="宋体" w:cs="宋体"/>
          <w:bCs/>
          <w:szCs w:val="24"/>
        </w:rPr>
        <w:t xml:space="preserve">六、公告期限</w:t>
      </w:r>
      <w:r>
        <w:tab/>
      </w:r>
      <w:r>
        <w:fldChar w:fldCharType="begin"/>
      </w:r>
      <w:r>
        <w:instrText xml:space="preserve"> PAGEREF _Toc17890 \h </w:instrText>
      </w:r>
      <w:r>
        <w:fldChar w:fldCharType="separate"/>
      </w:r>
      <w:r>
        <w:t xml:space="preserve">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_Toc25767 </w:instrText>
      </w:r>
      <w:r>
        <w:rPr>
          <w:rFonts w:hint="eastAsia" w:ascii="宋体" w:hAnsi="宋体" w:cs="宋体"/>
          <w:bCs/>
          <w:spacing w:val="-10"/>
          <w:szCs w:val="24"/>
        </w:rPr>
        <w:fldChar w:fldCharType="separate"/>
      </w:r>
      <w:r>
        <w:rPr>
          <w:rFonts w:hint="eastAsia" w:ascii="宋体" w:hAnsi="宋体" w:eastAsia="宋体" w:cs="宋体"/>
          <w:bCs/>
          <w:szCs w:val="24"/>
        </w:rPr>
        <w:t xml:space="preserve">七、其他补充事宜</w:t>
      </w:r>
      <w:r>
        <w:tab/>
      </w:r>
      <w:r>
        <w:fldChar w:fldCharType="begin"/>
      </w:r>
      <w:r>
        <w:instrText xml:space="preserve"> PAGEREF _Toc25767 \h </w:instrText>
      </w:r>
      <w:r>
        <w:fldChar w:fldCharType="separate"/>
      </w:r>
      <w:r>
        <w:t xml:space="preserve">5</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_Toc17487 </w:instrText>
      </w:r>
      <w:r>
        <w:rPr>
          <w:rFonts w:hint="eastAsia" w:ascii="宋体" w:hAnsi="宋体" w:cs="宋体"/>
          <w:bCs/>
          <w:spacing w:val="-10"/>
          <w:szCs w:val="24"/>
        </w:rPr>
        <w:fldChar w:fldCharType="separate"/>
      </w:r>
      <w:r>
        <w:rPr>
          <w:rFonts w:hint="eastAsia" w:ascii="宋体" w:hAnsi="宋体" w:eastAsia="宋体" w:cs="宋体"/>
          <w:bCs/>
          <w:szCs w:val="24"/>
        </w:rPr>
        <w:t xml:space="preserve">八、对本次招标提出询问，请按以下方式联系</w:t>
      </w:r>
      <w:r>
        <w:tab/>
      </w:r>
      <w:r>
        <w:fldChar w:fldCharType="begin"/>
      </w:r>
      <w:r>
        <w:instrText xml:space="preserve"> PAGEREF _Toc17487 \h </w:instrText>
      </w:r>
      <w:r>
        <w:fldChar w:fldCharType="separate"/>
      </w:r>
      <w:r>
        <w:t xml:space="preserve">6</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_Toc796 </w:instrText>
      </w:r>
      <w:r>
        <w:rPr>
          <w:rFonts w:hint="eastAsia" w:ascii="宋体" w:hAnsi="宋体" w:cs="宋体"/>
          <w:bCs/>
          <w:spacing w:val="-10"/>
          <w:szCs w:val="24"/>
        </w:rPr>
        <w:fldChar w:fldCharType="separate"/>
      </w:r>
      <w:r>
        <w:rPr>
          <w:rFonts w:hint="eastAsia" w:ascii="宋体" w:hAnsi="宋体" w:eastAsia="宋体" w:cs="宋体"/>
          <w:bCs/>
          <w:spacing w:val="-10"/>
          <w:szCs w:val="36"/>
          <w:lang w:val="zh-CN"/>
        </w:rPr>
        <w:t xml:space="preserve">第二章  供应商须知</w:t>
      </w:r>
      <w:r>
        <w:tab/>
      </w:r>
      <w:r>
        <w:fldChar w:fldCharType="begin"/>
      </w:r>
      <w:r>
        <w:instrText xml:space="preserve"> PAGEREF _Toc796 \h </w:instrText>
      </w:r>
      <w:r>
        <w:fldChar w:fldCharType="separate"/>
      </w:r>
      <w:r>
        <w:t xml:space="preserve">7</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_Toc14420 </w:instrText>
      </w:r>
      <w:r>
        <w:rPr>
          <w:rFonts w:hint="eastAsia" w:ascii="宋体" w:hAnsi="宋体" w:cs="宋体"/>
          <w:bCs/>
          <w:spacing w:val="-10"/>
          <w:szCs w:val="24"/>
        </w:rPr>
        <w:fldChar w:fldCharType="separate"/>
      </w:r>
      <w:r>
        <w:rPr>
          <w:rFonts w:hint="eastAsia" w:ascii="宋体" w:hAnsi="宋体" w:eastAsia="宋体" w:cs="宋体"/>
          <w:bCs/>
          <w:szCs w:val="24"/>
        </w:rPr>
        <w:t xml:space="preserve">一、总则</w:t>
      </w:r>
      <w:r>
        <w:tab/>
      </w:r>
      <w:r>
        <w:fldChar w:fldCharType="begin"/>
      </w:r>
      <w:r>
        <w:instrText xml:space="preserve"> PAGEREF _Toc14420 \h </w:instrText>
      </w:r>
      <w:r>
        <w:fldChar w:fldCharType="separate"/>
      </w:r>
      <w:r>
        <w:t xml:space="preserve">7</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_Toc25347 </w:instrText>
      </w:r>
      <w:r>
        <w:rPr>
          <w:rFonts w:hint="eastAsia" w:ascii="宋体" w:hAnsi="宋体" w:cs="宋体"/>
          <w:bCs/>
          <w:spacing w:val="-10"/>
          <w:szCs w:val="24"/>
        </w:rPr>
        <w:fldChar w:fldCharType="separate"/>
      </w:r>
      <w:r>
        <w:rPr>
          <w:rFonts w:hint="eastAsia" w:ascii="宋体" w:hAnsi="宋体" w:eastAsia="宋体" w:cs="宋体"/>
          <w:bCs/>
          <w:szCs w:val="24"/>
        </w:rPr>
        <w:t xml:space="preserve">二、招标文件</w:t>
      </w:r>
      <w:r>
        <w:tab/>
      </w:r>
      <w:r>
        <w:fldChar w:fldCharType="begin"/>
      </w:r>
      <w:r>
        <w:instrText xml:space="preserve"> PAGEREF _Toc25347 \h </w:instrText>
      </w:r>
      <w:r>
        <w:fldChar w:fldCharType="separate"/>
      </w:r>
      <w:r>
        <w:t xml:space="preserve">10</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_Toc26212 </w:instrText>
      </w:r>
      <w:r>
        <w:rPr>
          <w:rFonts w:hint="eastAsia" w:ascii="宋体" w:hAnsi="宋体" w:cs="宋体"/>
          <w:bCs/>
          <w:spacing w:val="-10"/>
          <w:szCs w:val="24"/>
        </w:rPr>
        <w:fldChar w:fldCharType="separate"/>
      </w:r>
      <w:r>
        <w:rPr>
          <w:rFonts w:hint="eastAsia" w:ascii="宋体" w:hAnsi="宋体" w:eastAsia="宋体" w:cs="宋体"/>
          <w:bCs/>
          <w:szCs w:val="24"/>
        </w:rPr>
        <w:t xml:space="preserve">三、投标</w:t>
      </w:r>
      <w:r>
        <w:tab/>
      </w:r>
      <w:r>
        <w:fldChar w:fldCharType="begin"/>
      </w:r>
      <w:r>
        <w:instrText xml:space="preserve"> PAGEREF _Toc26212 \h </w:instrText>
      </w:r>
      <w:r>
        <w:fldChar w:fldCharType="separate"/>
      </w:r>
      <w:r>
        <w:t xml:space="preserve">10</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_Toc27303 </w:instrText>
      </w:r>
      <w:r>
        <w:rPr>
          <w:rFonts w:hint="eastAsia" w:ascii="宋体" w:hAnsi="宋体" w:cs="宋体"/>
          <w:bCs/>
          <w:spacing w:val="-10"/>
          <w:szCs w:val="24"/>
        </w:rPr>
        <w:fldChar w:fldCharType="separate"/>
      </w:r>
      <w:r>
        <w:rPr>
          <w:rFonts w:hint="eastAsia" w:ascii="宋体" w:hAnsi="宋体" w:eastAsia="宋体" w:cs="宋体"/>
          <w:bCs/>
          <w:szCs w:val="24"/>
          <w:lang w:bidi="ar"/>
        </w:rPr>
        <w:t xml:space="preserve">四、开标、评标与确定中标供应商</w:t>
      </w:r>
      <w:r>
        <w:tab/>
      </w:r>
      <w:r>
        <w:fldChar w:fldCharType="begin"/>
      </w:r>
      <w:r>
        <w:instrText xml:space="preserve"> PAGEREF _Toc27303 \h </w:instrText>
      </w:r>
      <w:r>
        <w:fldChar w:fldCharType="separate"/>
      </w:r>
      <w:r>
        <w:t xml:space="preserve">14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_Toc10399 </w:instrText>
      </w:r>
      <w:r>
        <w:rPr>
          <w:rFonts w:hint="eastAsia" w:ascii="宋体" w:hAnsi="宋体" w:cs="宋体"/>
          <w:bCs/>
          <w:spacing w:val="-10"/>
          <w:szCs w:val="24"/>
        </w:rPr>
        <w:fldChar w:fldCharType="separate"/>
      </w:r>
      <w:r>
        <w:rPr>
          <w:rFonts w:hint="eastAsia" w:ascii="宋体" w:hAnsi="宋体" w:eastAsia="宋体" w:cs="宋体"/>
          <w:bCs/>
          <w:szCs w:val="24"/>
        </w:rPr>
        <w:t xml:space="preserve">五、签订合同</w:t>
      </w:r>
      <w:r>
        <w:tab/>
      </w:r>
      <w:r>
        <w:fldChar w:fldCharType="begin"/>
      </w:r>
      <w:r>
        <w:instrText xml:space="preserve"> PAGEREF _Toc10399 \h </w:instrText>
      </w:r>
      <w:r>
        <w:fldChar w:fldCharType="separate"/>
      </w:r>
      <w:r>
        <w:t xml:space="preserve">19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_Toc27810 </w:instrText>
      </w:r>
      <w:r>
        <w:rPr>
          <w:rFonts w:hint="eastAsia" w:ascii="宋体" w:hAnsi="宋体" w:cs="宋体"/>
          <w:bCs/>
          <w:spacing w:val="-10"/>
          <w:szCs w:val="24"/>
        </w:rPr>
        <w:fldChar w:fldCharType="separate"/>
      </w:r>
      <w:r>
        <w:rPr>
          <w:rFonts w:hint="eastAsia" w:ascii="宋体" w:hAnsi="宋体" w:eastAsia="宋体" w:cs="宋体"/>
          <w:bCs/>
          <w:szCs w:val="24"/>
        </w:rPr>
        <w:t xml:space="preserve">六、质疑和投诉</w:t>
      </w:r>
      <w:r>
        <w:tab/>
      </w:r>
      <w:r>
        <w:fldChar w:fldCharType="begin"/>
      </w:r>
      <w:r>
        <w:instrText xml:space="preserve"> PAGEREF _Toc27810 \h </w:instrText>
      </w:r>
      <w:r>
        <w:fldChar w:fldCharType="separate"/>
      </w:r>
      <w:r>
        <w:t xml:space="preserve">19</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_Toc19529 </w:instrText>
      </w:r>
      <w:r>
        <w:rPr>
          <w:rFonts w:hint="eastAsia" w:ascii="宋体" w:hAnsi="宋体" w:cs="宋体"/>
          <w:bCs/>
          <w:spacing w:val="-10"/>
          <w:szCs w:val="24"/>
        </w:rPr>
        <w:fldChar w:fldCharType="separate"/>
      </w:r>
      <w:r>
        <w:rPr>
          <w:rFonts w:hint="eastAsia" w:ascii="宋体" w:hAnsi="宋体" w:cs="宋体"/>
          <w:bCs/>
          <w:spacing w:val="-10"/>
          <w:szCs w:val="36"/>
          <w:lang w:val="zh-CN"/>
        </w:rPr>
        <w:t xml:space="preserve">第三章</w:t>
      </w:r>
      <w:r>
        <w:rPr>
          <w:rFonts w:hint="eastAsia" w:ascii="宋体" w:hAnsi="宋体" w:cs="宋体"/>
          <w:bCs/>
          <w:spacing w:val="-10"/>
          <w:szCs w:val="36"/>
        </w:rPr>
        <w:t xml:space="preserve">  </w:t>
      </w:r>
      <w:r>
        <w:rPr>
          <w:rFonts w:hint="eastAsia" w:ascii="宋体" w:hAnsi="宋体" w:cs="宋体"/>
          <w:bCs/>
          <w:spacing w:val="-10"/>
          <w:szCs w:val="36"/>
          <w:lang w:val="zh-CN"/>
        </w:rPr>
        <w:t xml:space="preserve">评标方法和标准</w:t>
      </w:r>
      <w:r>
        <w:tab/>
      </w:r>
      <w:r>
        <w:fldChar w:fldCharType="begin"/>
      </w:r>
      <w:r>
        <w:instrText xml:space="preserve"> PAGEREF _Toc19529 \h </w:instrText>
      </w:r>
      <w:r>
        <w:fldChar w:fldCharType="separate"/>
      </w:r>
      <w:r>
        <w:t xml:space="preserve">22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_Toc31219 </w:instrText>
      </w:r>
      <w:r>
        <w:rPr>
          <w:rFonts w:hint="eastAsia" w:ascii="宋体" w:hAnsi="宋体" w:cs="宋体"/>
          <w:bCs/>
          <w:spacing w:val="-10"/>
          <w:szCs w:val="24"/>
        </w:rPr>
        <w:fldChar w:fldCharType="separate"/>
      </w:r>
      <w:r>
        <w:rPr>
          <w:rFonts w:hint="eastAsia" w:ascii="宋体" w:hAnsi="宋体" w:cs="宋体"/>
          <w:bCs/>
          <w:szCs w:val="24"/>
          <w:lang w:val="zh-CN"/>
        </w:rPr>
        <w:t xml:space="preserve">一、采用综合评分法</w:t>
      </w:r>
      <w:r>
        <w:tab/>
      </w:r>
      <w:r>
        <w:fldChar w:fldCharType="begin"/>
      </w:r>
      <w:r>
        <w:instrText xml:space="preserve"> PAGEREF _Toc31219 \h </w:instrText>
      </w:r>
      <w:r>
        <w:fldChar w:fldCharType="separate"/>
      </w:r>
      <w:r>
        <w:t xml:space="preserve">22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_Toc23559 </w:instrText>
      </w:r>
      <w:r>
        <w:rPr>
          <w:rFonts w:hint="eastAsia" w:ascii="宋体" w:hAnsi="宋体" w:cs="宋体"/>
          <w:bCs/>
          <w:spacing w:val="-10"/>
          <w:szCs w:val="24"/>
        </w:rPr>
        <w:fldChar w:fldCharType="separate"/>
      </w:r>
      <w:r>
        <w:rPr>
          <w:rFonts w:hint="eastAsia" w:ascii="宋体" w:hAnsi="宋体" w:cs="宋体"/>
          <w:bCs/>
          <w:szCs w:val="24"/>
          <w:lang w:val="zh-CN"/>
        </w:rPr>
        <w:t xml:space="preserve">二、综合评分法评审评分细则</w:t>
      </w:r>
      <w:r>
        <w:tab/>
      </w:r>
      <w:r>
        <w:fldChar w:fldCharType="begin"/>
      </w:r>
      <w:r>
        <w:instrText xml:space="preserve"> PAGEREF _Toc23559 \h </w:instrText>
      </w:r>
      <w:r>
        <w:fldChar w:fldCharType="separate"/>
      </w:r>
      <w:r>
        <w:t xml:space="preserve">22</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_Toc16837 </w:instrText>
      </w:r>
      <w:r>
        <w:rPr>
          <w:rFonts w:hint="eastAsia" w:ascii="宋体" w:hAnsi="宋体" w:cs="宋体"/>
          <w:bCs/>
          <w:spacing w:val="-10"/>
          <w:szCs w:val="24"/>
        </w:rPr>
        <w:fldChar w:fldCharType="separate"/>
      </w:r>
      <w:r>
        <w:rPr>
          <w:rFonts w:hint="eastAsia" w:ascii="宋体" w:hAnsi="宋体" w:cs="宋体"/>
          <w:bCs/>
          <w:spacing w:val="-10"/>
          <w:szCs w:val="36"/>
          <w:lang w:val="zh-CN"/>
        </w:rPr>
        <w:t xml:space="preserve">第四章  采购需求</w:t>
      </w:r>
      <w:r>
        <w:tab/>
      </w:r>
      <w:r>
        <w:fldChar w:fldCharType="begin"/>
      </w:r>
      <w:r>
        <w:instrText xml:space="preserve"> PAGEREF _Toc16837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_Toc17675 </w:instrText>
      </w:r>
      <w:r>
        <w:rPr>
          <w:rFonts w:hint="eastAsia" w:ascii="宋体" w:hAnsi="宋体" w:cs="宋体"/>
          <w:bCs/>
          <w:spacing w:val="-10"/>
          <w:szCs w:val="24"/>
        </w:rPr>
        <w:fldChar w:fldCharType="separate"/>
      </w:r>
      <w:r>
        <w:rPr>
          <w:rFonts w:hint="eastAsia" w:ascii="黑体" w:hAnsi="黑体" w:eastAsia="黑体" w:cs="黑体"/>
          <w:szCs w:val="24"/>
        </w:rPr>
        <w:t xml:space="preserve">一、项目属性：</w:t>
      </w:r>
      <w:r>
        <w:rPr>
          <w:rFonts w:hint="eastAsia" w:ascii="宋体" w:hAnsi="宋体" w:cs="宋体"/>
          <w:szCs w:val="24"/>
        </w:rPr>
        <w:t xml:space="preserve">货物类项目。</w:t>
      </w:r>
      <w:r>
        <w:tab/>
      </w:r>
      <w:r>
        <w:fldChar w:fldCharType="begin"/>
      </w:r>
      <w:r>
        <w:instrText xml:space="preserve"> PAGEREF _Toc17675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_Toc21615 </w:instrText>
      </w:r>
      <w:r>
        <w:rPr>
          <w:rFonts w:hint="eastAsia" w:ascii="宋体" w:hAnsi="宋体" w:cs="宋体"/>
          <w:bCs/>
          <w:spacing w:val="-10"/>
          <w:szCs w:val="24"/>
        </w:rPr>
        <w:fldChar w:fldCharType="separate"/>
      </w:r>
      <w:r>
        <w:rPr>
          <w:rFonts w:hint="eastAsia" w:ascii="黑体" w:hAnsi="黑体" w:eastAsia="黑体" w:cs="黑体"/>
          <w:szCs w:val="24"/>
        </w:rPr>
        <w:t xml:space="preserve">二、项目概况</w:t>
      </w:r>
      <w:r>
        <w:tab/>
      </w:r>
      <w:r>
        <w:fldChar w:fldCharType="begin"/>
      </w:r>
      <w:r>
        <w:instrText xml:space="preserve"> PAGEREF _Toc21615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_Toc30351 </w:instrText>
      </w:r>
      <w:r>
        <w:rPr>
          <w:rFonts w:hint="eastAsia" w:ascii="宋体" w:hAnsi="宋体" w:cs="宋体"/>
          <w:bCs/>
          <w:spacing w:val="-10"/>
          <w:szCs w:val="24"/>
        </w:rPr>
        <w:fldChar w:fldCharType="separate"/>
      </w:r>
      <w:r>
        <w:rPr>
          <w:rFonts w:hint="eastAsia" w:ascii="黑体" w:hAnsi="黑体" w:eastAsia="黑体" w:cs="黑体"/>
          <w:szCs w:val="24"/>
          <w:highlight w:val="none"/>
          <w:lang w:val="en-US" w:eastAsia="zh-CN"/>
        </w:rPr>
        <w:t xml:space="preserve">三、</w:t>
      </w:r>
      <w:r>
        <w:rPr>
          <w:rFonts w:hint="eastAsia" w:ascii="黑体" w:hAnsi="黑体" w:eastAsia="黑体" w:cs="黑体"/>
          <w:szCs w:val="24"/>
          <w:highlight w:val="none"/>
        </w:rPr>
        <w:t xml:space="preserve">项目清单</w:t>
      </w:r>
      <w:r>
        <w:tab/>
      </w:r>
      <w:r>
        <w:fldChar w:fldCharType="begin"/>
      </w:r>
      <w:r>
        <w:instrText xml:space="preserve"> PAGEREF _Toc30351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_Toc2934 </w:instrText>
      </w:r>
      <w:r>
        <w:rPr>
          <w:rFonts w:hint="eastAsia" w:ascii="宋体" w:hAnsi="宋体" w:cs="宋体"/>
          <w:bCs/>
          <w:spacing w:val="-10"/>
          <w:szCs w:val="24"/>
        </w:rPr>
        <w:fldChar w:fldCharType="separate"/>
      </w:r>
      <w:r>
        <w:rPr>
          <w:rFonts w:hint="eastAsia" w:ascii="黑体" w:hAnsi="黑体" w:eastAsia="黑体" w:cs="黑体"/>
          <w:szCs w:val="24"/>
          <w:highlight w:val="none"/>
        </w:rPr>
        <w:t xml:space="preserve">四、拟采购标的需要满足的技术、商务要求</w:t>
      </w:r>
      <w:r>
        <w:tab/>
      </w:r>
      <w:r>
        <w:fldChar w:fldCharType="begin"/>
      </w:r>
      <w:r>
        <w:instrText xml:space="preserve"> PAGEREF _Toc2934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_Toc22106 </w:instrText>
      </w:r>
      <w:r>
        <w:rPr>
          <w:rFonts w:hint="eastAsia" w:ascii="宋体" w:hAnsi="宋体" w:cs="宋体"/>
          <w:bCs/>
          <w:spacing w:val="-10"/>
          <w:szCs w:val="24"/>
        </w:rPr>
        <w:fldChar w:fldCharType="separate"/>
      </w:r>
      <w:r>
        <w:rPr>
          <w:rFonts w:hint="eastAsia" w:ascii="黑体" w:hAnsi="黑体" w:eastAsia="黑体" w:cs="黑体"/>
          <w:szCs w:val="24"/>
          <w:highlight w:val="none"/>
          <w:lang w:val="en-US" w:eastAsia="zh-CN"/>
        </w:rPr>
        <w:t xml:space="preserve">项目清单</w:t>
      </w:r>
      <w:r>
        <w:tab/>
      </w:r>
      <w:r>
        <w:fldChar w:fldCharType="begin"/>
      </w:r>
      <w:r>
        <w:instrText xml:space="preserve"> PAGEREF _Toc22106 \h </w:instrText>
      </w:r>
      <w:r>
        <w:fldChar w:fldCharType="separate"/>
      </w:r>
      <w:r>
        <w:t xml:space="preserve">31</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_Toc9877 </w:instrText>
      </w:r>
      <w:r>
        <w:rPr>
          <w:rFonts w:hint="eastAsia" w:ascii="宋体" w:hAnsi="宋体" w:cs="宋体"/>
          <w:bCs/>
          <w:spacing w:val="-10"/>
          <w:szCs w:val="24"/>
        </w:rPr>
        <w:fldChar w:fldCharType="separate"/>
      </w:r>
      <w:r>
        <w:rPr>
          <w:rFonts w:hint="eastAsia" w:ascii="宋体" w:hAnsi="宋体" w:eastAsia="宋体" w:cs="宋体"/>
          <w:bCs/>
          <w:spacing w:val="-10"/>
          <w:szCs w:val="36"/>
          <w:lang w:val="zh-CN"/>
        </w:rPr>
        <w:t xml:space="preserve">第五章  合同主要条款及格式</w:t>
      </w:r>
      <w:r>
        <w:tab/>
      </w:r>
      <w:r>
        <w:fldChar w:fldCharType="begin"/>
      </w:r>
      <w:r>
        <w:instrText xml:space="preserve"> PAGEREF _Toc9877 \h </w:instrText>
      </w:r>
      <w:r>
        <w:fldChar w:fldCharType="separate"/>
      </w:r>
      <w:r>
        <w:t xml:space="preserve">232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_Toc31258 </w:instrText>
      </w:r>
      <w:r>
        <w:rPr>
          <w:rFonts w:hint="eastAsia" w:ascii="宋体" w:hAnsi="宋体" w:cs="宋体"/>
          <w:bCs/>
          <w:spacing w:val="-10"/>
          <w:szCs w:val="24"/>
        </w:rPr>
        <w:fldChar w:fldCharType="separate"/>
      </w:r>
      <w:r>
        <w:rPr>
          <w:rFonts w:hint="eastAsia" w:ascii="Calibri" w:hAnsi="Calibri" w:cs="方正小标宋简体"/>
          <w:bCs/>
          <w:szCs w:val="32"/>
        </w:rPr>
        <w:t xml:space="preserve">政府采购合同（货物）</w:t>
      </w:r>
      <w:r>
        <w:tab/>
      </w:r>
      <w:r>
        <w:fldChar w:fldCharType="begin"/>
      </w:r>
      <w:r>
        <w:instrText xml:space="preserve"> PAGEREF _Toc31258 \h </w:instrText>
      </w:r>
      <w:r>
        <w:fldChar w:fldCharType="separate"/>
      </w:r>
      <w:r>
        <w:t xml:space="preserve">232</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_Toc28187 </w:instrText>
      </w:r>
      <w:r>
        <w:rPr>
          <w:rFonts w:hint="eastAsia" w:ascii="宋体" w:hAnsi="宋体" w:cs="宋体"/>
          <w:bCs/>
          <w:spacing w:val="-10"/>
          <w:szCs w:val="24"/>
        </w:rPr>
        <w:fldChar w:fldCharType="separate"/>
      </w:r>
      <w:r>
        <w:rPr>
          <w:rFonts w:hint="eastAsia" w:ascii="宋体" w:hAnsi="宋体" w:cs="宋体"/>
          <w:bCs/>
          <w:szCs w:val="36"/>
          <w:lang w:val="zh-CN"/>
        </w:rPr>
        <w:t xml:space="preserve">第六章  </w:t>
      </w:r>
      <w:r>
        <w:rPr>
          <w:rFonts w:hint="eastAsia" w:ascii="宋体" w:hAnsi="宋体" w:cs="宋体"/>
          <w:bCs/>
          <w:szCs w:val="36"/>
        </w:rPr>
        <w:t xml:space="preserve">投标文件</w:t>
      </w:r>
      <w:r>
        <w:rPr>
          <w:rFonts w:hint="eastAsia" w:ascii="宋体" w:hAnsi="宋体" w:cs="宋体"/>
          <w:bCs/>
          <w:szCs w:val="36"/>
          <w:lang w:val="zh-CN"/>
        </w:rPr>
        <w:t xml:space="preserve">格式及附件</w:t>
      </w:r>
      <w:r>
        <w:tab/>
      </w:r>
      <w:r>
        <w:fldChar w:fldCharType="begin"/>
      </w:r>
      <w:r>
        <w:instrText xml:space="preserve"> PAGEREF _Toc28187 \h </w:instrText>
      </w:r>
      <w:r>
        <w:fldChar w:fldCharType="separate"/>
      </w:r>
      <w:r>
        <w:t xml:space="preserve">243</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_Toc21718 </w:instrText>
      </w:r>
      <w:r>
        <w:rPr>
          <w:rFonts w:hint="eastAsia" w:ascii="宋体" w:hAnsi="宋体" w:cs="宋体"/>
          <w:bCs/>
          <w:spacing w:val="-10"/>
          <w:szCs w:val="24"/>
        </w:rPr>
        <w:fldChar w:fldCharType="separate"/>
      </w:r>
      <w:r>
        <w:rPr>
          <w:rFonts w:hint="eastAsia" w:ascii="宋体" w:hAnsi="宋体" w:cs="宋体"/>
          <w:szCs w:val="24"/>
          <w:lang w:val="zh-CN"/>
        </w:rPr>
        <w:t xml:space="preserve">附件一、投标申请及声明格式</w:t>
      </w:r>
      <w:r>
        <w:tab/>
      </w:r>
      <w:r>
        <w:fldChar w:fldCharType="begin"/>
      </w:r>
      <w:r>
        <w:instrText xml:space="preserve"> PAGEREF _Toc21718 \h </w:instrText>
      </w:r>
      <w:r>
        <w:fldChar w:fldCharType="separate"/>
      </w:r>
      <w:r>
        <w:t xml:space="preserve">244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_Toc27933 </w:instrText>
      </w:r>
      <w:r>
        <w:rPr>
          <w:rFonts w:hint="eastAsia" w:ascii="宋体" w:hAnsi="宋体" w:cs="宋体"/>
          <w:bCs/>
          <w:spacing w:val="-10"/>
          <w:szCs w:val="24"/>
        </w:rPr>
        <w:fldChar w:fldCharType="separate"/>
      </w:r>
      <w:r>
        <w:rPr>
          <w:rFonts w:hint="eastAsia" w:ascii="宋体" w:hAnsi="宋体" w:cs="宋体"/>
          <w:szCs w:val="24"/>
          <w:lang w:val="zh-CN"/>
        </w:rPr>
        <w:t xml:space="preserve">附件二、法定代表人授权书格式</w:t>
      </w:r>
      <w:r>
        <w:tab/>
      </w:r>
      <w:r>
        <w:fldChar w:fldCharType="begin"/>
      </w:r>
      <w:r>
        <w:instrText xml:space="preserve"> PAGEREF _Toc27933 \h </w:instrText>
      </w:r>
      <w:r>
        <w:fldChar w:fldCharType="separate"/>
      </w:r>
      <w:r>
        <w:t xml:space="preserve">246</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_Toc16593 </w:instrText>
      </w:r>
      <w:r>
        <w:rPr>
          <w:rFonts w:hint="eastAsia" w:ascii="宋体" w:hAnsi="宋体" w:cs="宋体"/>
          <w:bCs/>
          <w:spacing w:val="-10"/>
          <w:szCs w:val="24"/>
        </w:rPr>
        <w:fldChar w:fldCharType="separate"/>
      </w:r>
      <w:r>
        <w:rPr>
          <w:rFonts w:hint="eastAsia" w:ascii="宋体" w:hAnsi="宋体" w:cs="宋体"/>
          <w:szCs w:val="24"/>
          <w:lang w:val="zh-CN"/>
        </w:rPr>
        <w:t xml:space="preserve">附件三、开标一览表格式</w:t>
      </w:r>
      <w:r>
        <w:tab/>
      </w:r>
      <w:r>
        <w:fldChar w:fldCharType="begin"/>
      </w:r>
      <w:r>
        <w:instrText xml:space="preserve"> PAGEREF _Toc16593 \h </w:instrText>
      </w:r>
      <w:r>
        <w:fldChar w:fldCharType="separate"/>
      </w:r>
      <w:r>
        <w:t xml:space="preserve">247</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_Toc10828 </w:instrText>
      </w:r>
      <w:r>
        <w:rPr>
          <w:rFonts w:hint="eastAsia" w:ascii="宋体" w:hAnsi="宋体" w:cs="宋体"/>
          <w:bCs/>
          <w:spacing w:val="-10"/>
          <w:szCs w:val="24"/>
        </w:rPr>
        <w:fldChar w:fldCharType="separate"/>
      </w:r>
      <w:r>
        <w:rPr>
          <w:rFonts w:hint="eastAsia" w:ascii="宋体" w:hAnsi="宋体" w:cs="宋体"/>
          <w:bCs/>
          <w:szCs w:val="28"/>
          <w:lang w:val="zh-CN"/>
        </w:rPr>
        <w:t xml:space="preserve">分项报价表</w:t>
      </w:r>
      <w:r>
        <w:tab/>
      </w:r>
      <w:r>
        <w:fldChar w:fldCharType="begin"/>
      </w:r>
      <w:r>
        <w:instrText xml:space="preserve"> PAGEREF _Toc10828 \h </w:instrText>
      </w:r>
      <w:r>
        <w:fldChar w:fldCharType="separate"/>
      </w:r>
      <w:r>
        <w:t xml:space="preserve">248</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_Toc20874 </w:instrText>
      </w:r>
      <w:r>
        <w:rPr>
          <w:rFonts w:hint="eastAsia" w:ascii="宋体" w:hAnsi="宋体" w:cs="宋体"/>
          <w:bCs/>
          <w:spacing w:val="-10"/>
          <w:szCs w:val="24"/>
        </w:rPr>
        <w:fldChar w:fldCharType="separate"/>
      </w:r>
      <w:r>
        <w:rPr>
          <w:rFonts w:hint="eastAsia" w:ascii="宋体" w:hAnsi="宋体" w:cs="宋体"/>
          <w:szCs w:val="24"/>
          <w:lang w:val="zh-CN"/>
        </w:rPr>
        <w:t xml:space="preserve">附件四、供货一览表格式</w:t>
      </w:r>
      <w:r>
        <w:tab/>
      </w:r>
      <w:r>
        <w:fldChar w:fldCharType="begin"/>
      </w:r>
      <w:r>
        <w:instrText xml:space="preserve"> PAGEREF _Toc20874 \h </w:instrText>
      </w:r>
      <w:r>
        <w:fldChar w:fldCharType="separate"/>
      </w:r>
      <w:r>
        <w:t xml:space="preserve">249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_Toc15473 </w:instrText>
      </w:r>
      <w:r>
        <w:rPr>
          <w:rFonts w:hint="eastAsia" w:ascii="宋体" w:hAnsi="宋体" w:cs="宋体"/>
          <w:bCs/>
          <w:spacing w:val="-10"/>
          <w:szCs w:val="24"/>
        </w:rPr>
        <w:fldChar w:fldCharType="separate"/>
      </w:r>
      <w:r>
        <w:rPr>
          <w:rFonts w:hint="eastAsia" w:ascii="宋体" w:hAnsi="宋体" w:cs="宋体"/>
          <w:szCs w:val="24"/>
          <w:lang w:val="zh-CN"/>
        </w:rPr>
        <w:t xml:space="preserve">附件五、技术条款偏离表格式</w:t>
      </w:r>
      <w:r>
        <w:tab/>
      </w:r>
      <w:r>
        <w:fldChar w:fldCharType="begin"/>
      </w:r>
      <w:r>
        <w:instrText xml:space="preserve"> PAGEREF _Toc15473 \h </w:instrText>
      </w:r>
      <w:r>
        <w:fldChar w:fldCharType="separate"/>
      </w:r>
      <w:r>
        <w:t xml:space="preserve">250</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_Toc30404 </w:instrText>
      </w:r>
      <w:r>
        <w:rPr>
          <w:rFonts w:hint="eastAsia" w:ascii="宋体" w:hAnsi="宋体" w:cs="宋体"/>
          <w:bCs/>
          <w:spacing w:val="-10"/>
          <w:szCs w:val="24"/>
        </w:rPr>
        <w:fldChar w:fldCharType="separate"/>
      </w:r>
      <w:r>
        <w:rPr>
          <w:rFonts w:hint="eastAsia" w:ascii="宋体" w:hAnsi="宋体" w:cs="宋体"/>
          <w:szCs w:val="24"/>
          <w:lang w:val="zh-CN"/>
        </w:rPr>
        <w:t xml:space="preserve">附件六、商务条款偏离表格式</w:t>
      </w:r>
      <w:r>
        <w:tab/>
      </w:r>
      <w:r>
        <w:fldChar w:fldCharType="begin"/>
      </w:r>
      <w:r>
        <w:instrText xml:space="preserve"> PAGEREF _Toc30404 \h </w:instrText>
      </w:r>
      <w:r>
        <w:fldChar w:fldCharType="separate"/>
      </w:r>
      <w:r>
        <w:t xml:space="preserve">251</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_Toc16354 </w:instrText>
      </w:r>
      <w:r>
        <w:rPr>
          <w:rFonts w:hint="eastAsia" w:ascii="宋体" w:hAnsi="宋体" w:cs="宋体"/>
          <w:bCs/>
          <w:spacing w:val="-10"/>
          <w:szCs w:val="24"/>
        </w:rPr>
        <w:fldChar w:fldCharType="separate"/>
      </w:r>
      <w:r>
        <w:rPr>
          <w:rFonts w:hint="eastAsia" w:ascii="宋体" w:hAnsi="宋体" w:cs="宋体"/>
          <w:szCs w:val="24"/>
          <w:lang w:val="zh-CN"/>
        </w:rPr>
        <w:t xml:space="preserve">附件七、核心产品品牌一览表（实质性格式）</w:t>
      </w:r>
      <w:r>
        <w:tab/>
      </w:r>
      <w:r>
        <w:fldChar w:fldCharType="begin"/>
      </w:r>
      <w:r>
        <w:instrText xml:space="preserve"> PAGEREF _Toc16354 \h </w:instrText>
      </w:r>
      <w:r>
        <w:fldChar w:fldCharType="separate"/>
      </w:r>
      <w:r>
        <w:t xml:space="preserve">252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_Toc182 </w:instrText>
      </w:r>
      <w:r>
        <w:rPr>
          <w:rFonts w:hint="eastAsia" w:ascii="宋体" w:hAnsi="宋体" w:cs="宋体"/>
          <w:bCs/>
          <w:spacing w:val="-10"/>
          <w:szCs w:val="24"/>
        </w:rPr>
        <w:fldChar w:fldCharType="separate"/>
      </w:r>
      <w:r>
        <w:rPr>
          <w:rFonts w:hint="eastAsia" w:ascii="宋体" w:hAnsi="宋体" w:cs="宋体"/>
          <w:szCs w:val="24"/>
          <w:lang w:val="zh-CN"/>
        </w:rPr>
        <w:t xml:space="preserve">附件八、供应商类似业绩表</w:t>
      </w:r>
      <w:r>
        <w:tab/>
      </w:r>
      <w:r>
        <w:fldChar w:fldCharType="begin"/>
      </w:r>
      <w:r>
        <w:instrText xml:space="preserve"> PAGEREF _Toc182 \h </w:instrText>
      </w:r>
      <w:r>
        <w:fldChar w:fldCharType="separate"/>
      </w:r>
      <w:r>
        <w:t xml:space="preserve">253</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_Toc7266 </w:instrText>
      </w:r>
      <w:r>
        <w:rPr>
          <w:rFonts w:hint="eastAsia" w:ascii="宋体" w:hAnsi="宋体" w:cs="宋体"/>
          <w:bCs/>
          <w:spacing w:val="-10"/>
          <w:szCs w:val="24"/>
        </w:rPr>
        <w:fldChar w:fldCharType="separate"/>
      </w:r>
      <w:r>
        <w:rPr>
          <w:rFonts w:hint="eastAsia" w:ascii="宋体" w:hAnsi="宋体" w:cs="宋体"/>
          <w:szCs w:val="24"/>
          <w:lang w:val="zh-CN"/>
        </w:rPr>
        <w:t xml:space="preserve">附件九、服务方案</w:t>
      </w:r>
      <w:r>
        <w:tab/>
      </w:r>
      <w:r>
        <w:fldChar w:fldCharType="begin"/>
      </w:r>
      <w:r>
        <w:instrText xml:space="preserve"> PAGEREF _Toc7266 \h </w:instrText>
      </w:r>
      <w:r>
        <w:fldChar w:fldCharType="separate"/>
      </w:r>
      <w:r>
        <w:t xml:space="preserve">254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_Toc22228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附件十、资格证明文件</w:t>
      </w:r>
      <w:r>
        <w:tab/>
      </w:r>
      <w:r>
        <w:fldChar w:fldCharType="begin"/>
      </w:r>
      <w:r>
        <w:instrText xml:space="preserve"> PAGEREF _Toc22228 \h </w:instrText>
      </w:r>
      <w:r>
        <w:fldChar w:fldCharType="separate"/>
      </w:r>
      <w:r>
        <w:t xml:space="preserve">255</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_Toc18256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附件十一、政府采购政策</w:t>
      </w:r>
      <w:r>
        <w:tab/>
      </w:r>
      <w:r>
        <w:fldChar w:fldCharType="begin"/>
      </w:r>
      <w:r>
        <w:instrText xml:space="preserve"> PAGEREF _Toc18256 \h </w:instrText>
      </w:r>
      <w:r>
        <w:fldChar w:fldCharType="separate"/>
      </w:r>
      <w:r>
        <w:t xml:space="preserve">257</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_Toc32210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附件十二、南京市政府采购供应商信用记录表暨信用承诺书</w:t>
      </w:r>
      <w:r>
        <w:tab/>
      </w:r>
      <w:r>
        <w:fldChar w:fldCharType="begin"/>
      </w:r>
      <w:r>
        <w:instrText xml:space="preserve"> PAGEREF _Toc32210 \h </w:instrText>
      </w:r>
      <w:r>
        <w:fldChar w:fldCharType="separate"/>
      </w:r>
      <w:r>
        <w:t xml:space="preserve">260</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_Toc19481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附件十三、货物质量保证承诺书</w:t>
      </w:r>
      <w:r>
        <w:tab/>
      </w:r>
      <w:r>
        <w:fldChar w:fldCharType="begin"/>
      </w:r>
      <w:r>
        <w:instrText xml:space="preserve"> PAGEREF _Toc19481 \h </w:instrText>
      </w:r>
      <w:r>
        <w:fldChar w:fldCharType="separate"/>
      </w:r>
      <w:r>
        <w:t xml:space="preserve">261</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_Toc11984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附件十四、供应商资格承诺声明函</w:t>
      </w:r>
      <w:r>
        <w:tab/>
      </w:r>
      <w:r>
        <w:fldChar w:fldCharType="begin"/>
      </w:r>
      <w:r>
        <w:instrText xml:space="preserve"> PAGEREF _Toc11984 \h </w:instrText>
      </w:r>
      <w:r>
        <w:fldChar w:fldCharType="separate"/>
      </w:r>
      <w:r>
        <w:t xml:space="preserve">262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_Toc30007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附件十五、联合体协议</w:t>
      </w:r>
      <w:r>
        <w:tab/>
      </w:r>
      <w:r>
        <w:fldChar w:fldCharType="begin"/>
      </w:r>
      <w:r>
        <w:instrText xml:space="preserve"> PAGEREF _Toc30007 \h </w:instrText>
      </w:r>
      <w:r>
        <w:fldChar w:fldCharType="separate"/>
      </w:r>
      <w:r>
        <w:t xml:space="preserve">264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_Toc4303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附件十六、关于符合本国产品标准的声明函</w:t>
      </w:r>
      <w:r>
        <w:tab/>
      </w:r>
      <w:r>
        <w:fldChar w:fldCharType="begin"/>
      </w:r>
      <w:r>
        <w:instrText xml:space="preserve"> PAGEREF _Toc4303 \h </w:instrText>
      </w:r>
      <w:r>
        <w:fldChar w:fldCharType="separate"/>
      </w:r>
      <w:r>
        <w:t xml:space="preserve">265</w:t>
      </w:r>
      <w:r>
        <w:fldChar w:fldCharType="end"/>
      </w:r>
      <w:r>
        <w:rPr>
          <w:rFonts w:hint="eastAsia" w:ascii="宋体" w:hAnsi="宋体" w:cs="宋体"/>
          <w:bCs/>
          <w:color w:val="000000"/>
          <w:spacing w:val="-10"/>
          <w:szCs w:val="24"/>
        </w:rPr>
        <w:fldChar w:fldCharType="end"/>
      </w:r>
      <w:r/>
    </w:p>
    <w:p>
      <w:pPr>
        <w:pStyle w:val="736"/>
        <w:jc w:val="center"/>
        <w:spacing w:line="360" w:lineRule="auto"/>
        <w:rPr>
          <w:rFonts w:hint="eastAsia" w:ascii="宋体" w:hAnsi="宋体" w:cs="宋体"/>
          <w:bCs/>
          <w:color w:val="000000"/>
          <w:spacing w:val="-10"/>
          <w:szCs w:val="24"/>
        </w:rPr>
      </w:pPr>
      <w:r>
        <w:rPr>
          <w:rFonts w:hint="eastAsia" w:ascii="宋体" w:hAnsi="宋体" w:cs="宋体"/>
          <w:bCs/>
          <w:color w:val="000000"/>
          <w:spacing w:val="-10"/>
          <w:szCs w:val="24"/>
        </w:rPr>
        <w:fldChar w:fldCharType="end"/>
      </w:r>
      <w:r>
        <w:rPr>
          <w:rFonts w:hint="eastAsia" w:ascii="宋体" w:hAnsi="宋体" w:cs="宋体"/>
          <w:bCs/>
          <w:color w:val="000000"/>
          <w:spacing w:val="-10"/>
          <w:szCs w:val="24"/>
        </w:rPr>
      </w:r>
      <w:r/>
    </w:p>
    <w:p>
      <w:pPr>
        <w:pStyle w:val="736"/>
        <w:jc w:val="center"/>
        <w:spacing w:line="360" w:lineRule="auto"/>
        <w:rPr>
          <w:rFonts w:hint="eastAsia" w:ascii="宋体" w:hAnsi="宋体" w:cs="宋体"/>
          <w:b/>
          <w:bCs/>
          <w:color w:val="000000"/>
          <w:sz w:val="36"/>
          <w:szCs w:val="36"/>
          <w:lang w:val="zh-CN"/>
        </w:rPr>
      </w:pPr>
      <w:r>
        <w:rPr>
          <w:rFonts w:hint="eastAsia" w:ascii="宋体" w:hAnsi="宋体" w:cs="宋体"/>
          <w:b/>
          <w:bCs/>
          <w:color w:val="000000"/>
          <w:spacing w:val="-10"/>
          <w:sz w:val="36"/>
          <w:szCs w:val="36"/>
        </w:rPr>
        <w:t xml:space="preserve">第一章  投标邀请</w:t>
      </w:r>
      <w:r>
        <w:rPr>
          <w:rFonts w:hint="eastAsia" w:ascii="宋体" w:hAnsi="宋体" w:cs="宋体"/>
          <w:b/>
          <w:bCs/>
          <w:color w:val="000000"/>
          <w:sz w:val="36"/>
          <w:szCs w:val="36"/>
          <w:lang w:val="zh-CN"/>
        </w:rPr>
      </w:r>
      <w:r/>
    </w:p>
    <w:p>
      <w:pPr>
        <w:pStyle w:val="736"/>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lang w:eastAsia="zh-CN"/>
        </w:rPr>
        <w:t xml:space="preserve">益嘉新建设咨询（南京）有限公司</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代理机构名称，</w:t>
      </w:r>
      <w:r>
        <w:rPr>
          <w:rFonts w:hint="eastAsia" w:ascii="宋体" w:hAnsi="宋体" w:cs="宋体"/>
          <w:bCs/>
          <w:color w:val="000000"/>
          <w:sz w:val="24"/>
          <w:szCs w:val="24"/>
          <w:lang w:val="zh-CN"/>
        </w:rPr>
        <w:t xml:space="preserve">以下简称“代理机构”）受</w:t>
      </w:r>
      <w:r>
        <w:rPr>
          <w:rFonts w:hint="eastAsia" w:ascii="宋体" w:hAnsi="宋体" w:cs="宋体"/>
          <w:b/>
          <w:color w:val="000000"/>
          <w:sz w:val="24"/>
          <w:szCs w:val="24"/>
        </w:rPr>
        <w:t xml:space="preserve">南京江北新区管理委员会教育局</w:t>
      </w:r>
      <w:r>
        <w:rPr>
          <w:rFonts w:hint="eastAsia" w:ascii="宋体" w:hAnsi="宋体" w:cs="宋体"/>
          <w:bCs/>
          <w:color w:val="000000"/>
          <w:sz w:val="24"/>
          <w:szCs w:val="24"/>
          <w:lang w:val="zh-CN"/>
        </w:rPr>
        <w:t xml:space="preserve">（采购单位名称，以下简称“采购人”）委托，就</w:t>
      </w:r>
      <w:r>
        <w:rPr>
          <w:rFonts w:hint="eastAsia" w:ascii="宋体" w:hAnsi="宋体" w:cs="宋体"/>
          <w:b/>
          <w:color w:val="000000"/>
          <w:sz w:val="24"/>
          <w:szCs w:val="24"/>
          <w:lang w:eastAsia="zh-CN"/>
        </w:rPr>
        <w:t xml:space="preserve">江北新区滨江实验学校工程项目</w:t>
      </w:r>
      <w:r>
        <w:rPr>
          <w:rFonts w:hint="eastAsia" w:ascii="宋体" w:hAnsi="宋体" w:cs="宋体"/>
          <w:b/>
          <w:color w:val="000000"/>
          <w:sz w:val="24"/>
          <w:szCs w:val="24"/>
        </w:rPr>
        <w:t xml:space="preserve">实验室装备采购</w:t>
      </w:r>
      <w:r>
        <w:rPr>
          <w:rFonts w:hint="eastAsia" w:ascii="宋体" w:hAnsi="宋体" w:cs="宋体"/>
          <w:bCs/>
          <w:color w:val="000000"/>
          <w:sz w:val="24"/>
          <w:szCs w:val="24"/>
        </w:rPr>
        <w:t xml:space="preserve">（项目名称）进行公开招标，</w:t>
      </w:r>
      <w:r>
        <w:rPr>
          <w:rFonts w:hint="eastAsia" w:ascii="宋体" w:hAnsi="宋体" w:cs="宋体"/>
          <w:bCs/>
          <w:color w:val="000000"/>
          <w:sz w:val="24"/>
          <w:szCs w:val="24"/>
          <w:lang w:val="zh-CN"/>
        </w:rPr>
        <w:t xml:space="preserve">兹邀请符合资格条件的供应商投标。</w:t>
      </w:r>
      <w:r>
        <w:rPr>
          <w:rFonts w:hint="eastAsia" w:ascii="宋体" w:hAnsi="宋体" w:cs="宋体"/>
          <w:bCs/>
          <w:color w:val="000000"/>
          <w:sz w:val="24"/>
          <w:szCs w:val="24"/>
        </w:rPr>
      </w:r>
      <w:r/>
    </w:p>
    <w:p>
      <w:pPr>
        <w:pStyle w:val="736"/>
        <w:ind w:firstLine="482"/>
        <w:spacing w:line="360" w:lineRule="auto"/>
        <w:rPr>
          <w:rFonts w:hint="eastAsia" w:ascii="宋体" w:hAnsi="宋体" w:eastAsia="宋体" w:cs="宋体"/>
          <w:b/>
          <w:bCs w:val="0"/>
          <w:color w:val="000000"/>
          <w:sz w:val="24"/>
          <w:szCs w:val="24"/>
          <w:lang w:val="zh-CN"/>
        </w:rPr>
        <w:outlineLvl w:val="1"/>
      </w:pPr>
      <w:r/>
      <w:bookmarkStart w:id="2" w:name="_Toc16712"/>
      <w:r>
        <w:rPr>
          <w:rFonts w:hint="eastAsia" w:ascii="宋体" w:hAnsi="宋体" w:eastAsia="宋体" w:cs="宋体"/>
          <w:b/>
          <w:bCs w:val="0"/>
          <w:color w:val="000000"/>
          <w:sz w:val="24"/>
          <w:szCs w:val="24"/>
          <w:lang w:val="zh-CN"/>
        </w:rPr>
        <w:t xml:space="preserve">一、项目基本情况：</w:t>
      </w:r>
      <w:bookmarkEnd w:id="2"/>
      <w:r>
        <w:rPr>
          <w:rFonts w:hint="eastAsia" w:ascii="宋体" w:hAnsi="宋体" w:eastAsia="宋体" w:cs="宋体"/>
          <w:b/>
          <w:bCs w:val="0"/>
          <w:color w:val="000000"/>
          <w:sz w:val="24"/>
          <w:szCs w:val="24"/>
          <w:lang w:val="zh-CN"/>
        </w:rPr>
      </w:r>
      <w:r/>
    </w:p>
    <w:p>
      <w:pPr>
        <w:pStyle w:val="736"/>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1、项目编号：JSZC-320192-JYXJ-G2026-0004</w:t>
      </w:r>
      <w:r>
        <w:rPr>
          <w:rFonts w:hint="eastAsia" w:ascii="宋体" w:hAnsi="宋体" w:eastAsia="宋体" w:cs="宋体"/>
          <w:bCs/>
          <w:color w:val="000000"/>
          <w:sz w:val="24"/>
          <w:szCs w:val="24"/>
          <w:lang w:val="zh-CN"/>
        </w:rPr>
      </w:r>
      <w:r/>
    </w:p>
    <w:p>
      <w:pPr>
        <w:pStyle w:val="736"/>
        <w:ind w:firstLine="480"/>
        <w:spacing w:line="360" w:lineRule="auto"/>
        <w:rPr>
          <w:rFonts w:hint="eastAsia" w:ascii="宋体" w:hAnsi="宋体" w:cs="宋体"/>
          <w:bCs/>
          <w:color w:val="000000"/>
          <w:sz w:val="24"/>
          <w:szCs w:val="24"/>
          <w:lang w:val="zh-CN"/>
        </w:rPr>
      </w:pPr>
      <w:r>
        <w:rPr>
          <w:rFonts w:hint="eastAsia" w:ascii="宋体" w:hAnsi="宋体" w:eastAsia="宋体" w:cs="宋体"/>
          <w:bCs/>
          <w:color w:val="000000"/>
          <w:sz w:val="24"/>
          <w:szCs w:val="24"/>
          <w:lang w:val="zh-CN"/>
        </w:rPr>
        <w:t xml:space="preserve">2、项目名称：江北新区滨江实验学校工程</w:t>
      </w:r>
      <w:r>
        <w:rPr>
          <w:rFonts w:hint="eastAsia" w:ascii="宋体" w:hAnsi="宋体" w:cs="宋体"/>
          <w:bCs/>
          <w:color w:val="000000"/>
          <w:sz w:val="24"/>
          <w:szCs w:val="24"/>
          <w:lang w:val="zh-CN"/>
        </w:rPr>
        <w:t xml:space="preserve">项目实验室装备采购</w:t>
      </w:r>
      <w:r>
        <w:rPr>
          <w:rFonts w:hint="eastAsia" w:ascii="宋体" w:hAnsi="宋体" w:cs="宋体"/>
          <w:bCs/>
          <w:color w:val="000000"/>
          <w:sz w:val="24"/>
          <w:szCs w:val="24"/>
          <w:lang w:val="zh-CN"/>
        </w:rPr>
      </w:r>
      <w:r/>
    </w:p>
    <w:p>
      <w:pPr>
        <w:pStyle w:val="73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zh-CN"/>
        </w:rPr>
        <w:t xml:space="preserve">3、采购需求：</w:t>
      </w:r>
      <w:r>
        <w:rPr>
          <w:rFonts w:hint="eastAsia" w:ascii="宋体" w:hAnsi="宋体" w:cs="宋体"/>
          <w:bCs/>
          <w:color w:val="000000"/>
          <w:sz w:val="24"/>
          <w:szCs w:val="24"/>
          <w:lang w:eastAsia="zh-CN"/>
        </w:rPr>
        <w:t xml:space="preserve">江北新区滨江实验学校工程项目</w:t>
      </w:r>
      <w:r>
        <w:rPr>
          <w:rFonts w:hint="eastAsia" w:ascii="宋体" w:hAnsi="宋体" w:cs="宋体"/>
          <w:bCs/>
          <w:color w:val="000000"/>
          <w:sz w:val="24"/>
          <w:szCs w:val="24"/>
        </w:rPr>
        <w:t xml:space="preserve">实验室装备采购采购</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详见采购文件。</w:t>
      </w:r>
      <w:r>
        <w:rPr>
          <w:rFonts w:hint="eastAsia" w:ascii="宋体" w:hAnsi="宋体" w:cs="宋体"/>
          <w:bCs/>
          <w:color w:val="000000"/>
          <w:sz w:val="24"/>
          <w:szCs w:val="24"/>
        </w:rPr>
      </w:r>
      <w:r/>
    </w:p>
    <w:p>
      <w:pPr>
        <w:pStyle w:val="73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736"/>
        <w:ind w:firstLine="480"/>
        <w:spacing w:line="360" w:lineRule="auto"/>
        <w:rPr>
          <w:rFonts w:hint="eastAsia" w:ascii="宋体" w:hAnsi="宋体" w:cs="宋体"/>
          <w:b w:val="0"/>
          <w:bCs/>
          <w:color w:val="000000"/>
          <w:sz w:val="24"/>
          <w:szCs w:val="24"/>
          <w:highlight w:val="none"/>
          <w:lang w:val="zh-CN"/>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采</w:t>
      </w:r>
      <w:r>
        <w:rPr>
          <w:rFonts w:hint="eastAsia" w:ascii="宋体" w:hAnsi="宋体" w:cs="宋体"/>
          <w:b w:val="0"/>
          <w:bCs/>
          <w:color w:val="000000"/>
          <w:sz w:val="24"/>
          <w:szCs w:val="24"/>
          <w:highlight w:val="none"/>
          <w:lang w:val="zh-CN"/>
        </w:rPr>
        <w:t xml:space="preserve">购预算：</w:t>
      </w:r>
      <w:r>
        <w:rPr>
          <w:rFonts w:hint="eastAsia" w:ascii="宋体" w:hAnsi="宋体" w:cs="宋体"/>
          <w:b w:val="0"/>
          <w:bCs/>
          <w:color w:val="000000"/>
          <w:sz w:val="24"/>
          <w:szCs w:val="24"/>
          <w:highlight w:val="none"/>
          <w:lang w:val="en-US" w:eastAsia="zh-CN"/>
        </w:rPr>
        <w:t xml:space="preserve">445.1994</w:t>
      </w:r>
      <w:r>
        <w:rPr>
          <w:rFonts w:hint="eastAsia" w:ascii="宋体" w:hAnsi="宋体" w:cs="宋体"/>
          <w:b w:val="0"/>
          <w:bCs/>
          <w:color w:val="000000"/>
          <w:sz w:val="24"/>
          <w:szCs w:val="24"/>
          <w:highlight w:val="none"/>
        </w:rPr>
        <w:t xml:space="preserve">万元</w:t>
      </w:r>
      <w:r>
        <w:rPr>
          <w:rFonts w:hint="eastAsia" w:ascii="宋体" w:hAnsi="宋体" w:cs="宋体"/>
          <w:b w:val="0"/>
          <w:bCs/>
          <w:color w:val="000000"/>
          <w:sz w:val="24"/>
          <w:szCs w:val="24"/>
          <w:highlight w:val="none"/>
          <w:lang w:val="zh-CN"/>
        </w:rPr>
      </w:r>
      <w:r/>
    </w:p>
    <w:p>
      <w:pPr>
        <w:pStyle w:val="736"/>
        <w:ind w:firstLine="480"/>
        <w:spacing w:line="360" w:lineRule="auto"/>
        <w:rPr>
          <w:rFonts w:hint="eastAsia" w:ascii="宋体" w:hAnsi="宋体" w:cs="宋体"/>
          <w:bCs/>
          <w:color w:val="000000"/>
          <w:sz w:val="24"/>
          <w:szCs w:val="24"/>
          <w:highlight w:val="none"/>
        </w:rPr>
      </w:pPr>
      <w:r>
        <w:rPr>
          <w:rFonts w:hint="eastAsia" w:ascii="宋体" w:hAnsi="宋体" w:cs="宋体"/>
          <w:b w:val="0"/>
          <w:bCs/>
          <w:color w:val="000000"/>
          <w:sz w:val="24"/>
          <w:szCs w:val="24"/>
          <w:highlight w:val="none"/>
        </w:rPr>
        <w:t xml:space="preserve">6、最高限价：</w:t>
      </w:r>
      <w:r>
        <w:rPr>
          <w:rFonts w:hint="eastAsia" w:ascii="宋体" w:hAnsi="宋体" w:cs="宋体"/>
          <w:b w:val="0"/>
          <w:bCs/>
          <w:color w:val="000000"/>
          <w:sz w:val="24"/>
          <w:szCs w:val="24"/>
          <w:highlight w:val="none"/>
          <w:lang w:val="en-US" w:eastAsia="zh-CN"/>
        </w:rPr>
        <w:t xml:space="preserve">445.1994</w:t>
      </w:r>
      <w:r>
        <w:rPr>
          <w:rFonts w:hint="eastAsia" w:ascii="宋体" w:hAnsi="宋体" w:cs="宋体"/>
          <w:b w:val="0"/>
          <w:bCs/>
          <w:color w:val="000000"/>
          <w:sz w:val="24"/>
          <w:szCs w:val="24"/>
          <w:highlight w:val="none"/>
        </w:rPr>
        <w:t xml:space="preserve">万元（</w:t>
      </w:r>
      <w:r>
        <w:rPr>
          <w:rFonts w:hint="eastAsia" w:ascii="宋体" w:hAnsi="宋体" w:cs="宋体"/>
          <w:color w:val="000000"/>
          <w:sz w:val="24"/>
          <w:szCs w:val="24"/>
          <w:highlight w:val="none"/>
        </w:rPr>
        <w:t xml:space="preserve">超过最高限价的投标报价将被作为无效标处理）</w:t>
      </w:r>
      <w:r>
        <w:rPr>
          <w:rFonts w:hint="eastAsia" w:ascii="宋体" w:hAnsi="宋体" w:cs="宋体"/>
          <w:bCs/>
          <w:color w:val="000000"/>
          <w:sz w:val="24"/>
          <w:szCs w:val="24"/>
          <w:highlight w:val="none"/>
        </w:rPr>
      </w:r>
      <w:r/>
    </w:p>
    <w:p>
      <w:pPr>
        <w:pStyle w:val="736"/>
        <w:ind w:firstLine="480"/>
        <w:spacing w:line="360" w:lineRule="auto"/>
        <w:rPr>
          <w:rFonts w:hint="eastAsia"/>
          <w:color w:val="000000"/>
          <w:highlight w:val="none"/>
        </w:rPr>
      </w:pPr>
      <w:r>
        <w:rPr>
          <w:rFonts w:hint="eastAsia" w:ascii="宋体" w:hAnsi="宋体" w:cs="宋体"/>
          <w:bCs/>
          <w:color w:val="000000"/>
          <w:sz w:val="24"/>
          <w:szCs w:val="24"/>
          <w:highlight w:val="none"/>
          <w:lang w:val="zh-CN"/>
        </w:rPr>
        <w:t xml:space="preserve">7、合同履行期限：</w:t>
      </w:r>
      <w:r>
        <w:rPr>
          <w:rFonts w:hint="eastAsia" w:ascii="宋体" w:hAnsi="宋体" w:cs="宋体"/>
          <w:bCs/>
          <w:color w:val="000000"/>
          <w:sz w:val="24"/>
          <w:szCs w:val="24"/>
          <w:highlight w:val="none"/>
        </w:rPr>
        <w:t xml:space="preserve">收到采购人指令后30个日历天内安装调试完毕，并投入正常使用。</w:t>
      </w:r>
      <w:r>
        <w:rPr>
          <w:rFonts w:hint="eastAsia"/>
          <w:color w:val="000000"/>
          <w:highlight w:val="none"/>
        </w:rPr>
      </w:r>
      <w:r/>
    </w:p>
    <w:p>
      <w:pPr>
        <w:pStyle w:val="736"/>
        <w:ind w:firstLine="480"/>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rPr>
        <w:t xml:space="preserve">8、</w:t>
      </w:r>
      <w:r>
        <w:rPr>
          <w:rFonts w:hint="eastAsia" w:ascii="宋体" w:hAnsi="宋体" w:cs="宋体"/>
          <w:bCs/>
          <w:color w:val="000000"/>
          <w:sz w:val="24"/>
          <w:szCs w:val="24"/>
          <w:lang w:val="zh-CN"/>
        </w:rPr>
        <w:t xml:space="preserve">本项目不接受联合体。</w:t>
      </w:r>
      <w:r>
        <w:rPr>
          <w:rFonts w:hint="eastAsia" w:ascii="宋体" w:hAnsi="宋体" w:cs="宋体"/>
          <w:bCs/>
          <w:color w:val="000000"/>
          <w:sz w:val="24"/>
          <w:szCs w:val="24"/>
          <w:lang w:val="zh-CN"/>
        </w:rPr>
      </w:r>
      <w:r/>
    </w:p>
    <w:p>
      <w:pPr>
        <w:pStyle w:val="736"/>
        <w:ind w:firstLine="482"/>
        <w:spacing w:line="360" w:lineRule="auto"/>
        <w:rPr>
          <w:rFonts w:hint="eastAsia" w:ascii="宋体" w:hAnsi="宋体" w:eastAsia="宋体" w:cs="宋体"/>
          <w:b/>
          <w:bCs w:val="0"/>
          <w:color w:val="000000"/>
          <w:sz w:val="24"/>
          <w:szCs w:val="24"/>
          <w:lang w:val="zh-CN"/>
        </w:rPr>
        <w:outlineLvl w:val="1"/>
      </w:pPr>
      <w:r/>
      <w:bookmarkStart w:id="3" w:name="_Toc28359013"/>
      <w:r/>
      <w:bookmarkStart w:id="4" w:name="_Toc28359090"/>
      <w:r/>
      <w:bookmarkStart w:id="5" w:name="_Toc35393630"/>
      <w:r/>
      <w:bookmarkStart w:id="6" w:name="_Toc35393799"/>
      <w:r/>
      <w:bookmarkStart w:id="7" w:name="_Toc8925"/>
      <w:r>
        <w:rPr>
          <w:rFonts w:hint="eastAsia" w:ascii="宋体" w:hAnsi="宋体" w:eastAsia="宋体" w:cs="宋体"/>
          <w:b/>
          <w:bCs w:val="0"/>
          <w:color w:val="000000"/>
          <w:sz w:val="24"/>
          <w:szCs w:val="24"/>
          <w:lang w:val="zh-CN"/>
        </w:rPr>
        <w:t xml:space="preserve">二、申请人的资格要求：</w:t>
      </w:r>
      <w:bookmarkEnd w:id="3"/>
      <w:r/>
      <w:bookmarkEnd w:id="4"/>
      <w:r/>
      <w:bookmarkEnd w:id="5"/>
      <w:r/>
      <w:bookmarkEnd w:id="6"/>
      <w:r/>
      <w:bookmarkEnd w:id="7"/>
      <w:r>
        <w:rPr>
          <w:rFonts w:hint="eastAsia" w:ascii="宋体" w:hAnsi="宋体" w:eastAsia="宋体" w:cs="宋体"/>
          <w:b/>
          <w:bCs w:val="0"/>
          <w:color w:val="000000"/>
          <w:sz w:val="24"/>
          <w:szCs w:val="24"/>
          <w:lang w:val="zh-CN"/>
        </w:rPr>
      </w:r>
      <w:r/>
    </w:p>
    <w:p>
      <w:pPr>
        <w:pStyle w:val="736"/>
        <w:ind w:firstLine="482"/>
        <w:spacing w:line="360" w:lineRule="auto"/>
        <w:rPr>
          <w:rFonts w:hint="eastAsia" w:ascii="宋体" w:hAnsi="宋体" w:cs="宋体"/>
          <w:b/>
          <w:color w:val="000000"/>
          <w:sz w:val="24"/>
          <w:szCs w:val="24"/>
          <w:lang w:val="zh-CN"/>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、满足《中华人民共和国政府采购法》第二十二条规定。</w:t>
      </w:r>
      <w:r>
        <w:rPr>
          <w:rFonts w:hint="eastAsia" w:ascii="宋体" w:hAnsi="宋体" w:cs="宋体"/>
          <w:b/>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lang w:val="zh-CN"/>
        </w:rPr>
      </w:r>
      <w:r/>
    </w:p>
    <w:p>
      <w:pPr>
        <w:pStyle w:val="736"/>
        <w:ind w:firstLine="482"/>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2、落实政府采购政策需满足的资格要求：</w:t>
      </w:r>
      <w:bookmarkStart w:id="8" w:name="OLE_LINK2"/>
      <w:r>
        <w:rPr>
          <w:rFonts w:hint="eastAsia" w:ascii="宋体" w:hAnsi="宋体" w:cs="宋体"/>
          <w:bCs/>
          <w:color w:val="000000"/>
          <w:spacing w:val="8"/>
          <w:sz w:val="24"/>
          <w:szCs w:val="24"/>
        </w:rPr>
        <w:t xml:space="preserve">本项目为非预留份额的采购项目或采购包，执行价格扣除优惠政策，具体详见招标文件第三章评标标准。</w:t>
      </w:r>
      <w:bookmarkEnd w:id="8"/>
      <w:r>
        <w:rPr>
          <w:rFonts w:hint="eastAsia" w:ascii="宋体" w:hAnsi="宋体" w:cs="宋体"/>
          <w:color w:val="000000"/>
          <w:sz w:val="24"/>
          <w:szCs w:val="24"/>
        </w:rPr>
      </w:r>
      <w:r/>
    </w:p>
    <w:p>
      <w:pPr>
        <w:pStyle w:val="1142"/>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736"/>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4、拒绝下述供应商参加本次采购活动：</w:t>
      </w:r>
      <w:r>
        <w:rPr>
          <w:rFonts w:hint="eastAsia" w:ascii="宋体" w:hAnsi="宋体" w:cs="宋体"/>
          <w:b/>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rPr>
      </w:r>
      <w:r/>
    </w:p>
    <w:p>
      <w:pPr>
        <w:pStyle w:val="736"/>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5、是否接受进口产品：否。</w:t>
      </w:r>
      <w:r>
        <w:rPr>
          <w:rFonts w:hint="eastAsia" w:ascii="宋体" w:hAnsi="宋体" w:cs="宋体"/>
          <w:b/>
          <w:bCs/>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9" w:name="_Toc25024"/>
      <w:r>
        <w:rPr>
          <w:rFonts w:hint="eastAsia" w:ascii="宋体" w:hAnsi="宋体" w:eastAsia="宋体" w:cs="宋体"/>
          <w:b/>
          <w:bCs/>
          <w:color w:val="000000"/>
          <w:sz w:val="24"/>
          <w:szCs w:val="24"/>
        </w:rPr>
        <w:t xml:space="preserve">三、获取招标文件</w:t>
      </w:r>
      <w:bookmarkEnd w:id="9"/>
      <w:r>
        <w:rPr>
          <w:rFonts w:hint="eastAsia" w:ascii="宋体" w:hAnsi="宋体" w:eastAsia="宋体" w:cs="宋体"/>
          <w:b/>
          <w:bCs/>
          <w:color w:val="000000"/>
          <w:sz w:val="24"/>
          <w:szCs w:val="24"/>
        </w:rPr>
      </w:r>
      <w:r/>
    </w:p>
    <w:p>
      <w:pPr>
        <w:pStyle w:val="736"/>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时间：自</w:t>
      </w:r>
      <w:r>
        <w:rPr>
          <w:rFonts w:hint="eastAsia" w:ascii="宋体" w:hAnsi="宋体" w:cs="宋体"/>
          <w:color w:val="000000"/>
          <w:sz w:val="24"/>
          <w:szCs w:val="24"/>
        </w:rPr>
        <w:t xml:space="preserve">招标文件</w:t>
      </w:r>
      <w:r>
        <w:rPr>
          <w:rFonts w:hint="eastAsia" w:ascii="宋体" w:hAnsi="宋体" w:cs="宋体"/>
          <w:color w:val="000000"/>
          <w:sz w:val="24"/>
          <w:szCs w:val="24"/>
          <w:lang w:val="zh-CN"/>
        </w:rPr>
        <w:t xml:space="preserve">公告发布之日起5个工作日。</w:t>
      </w:r>
      <w:r>
        <w:rPr>
          <w:rFonts w:hint="eastAsia" w:ascii="宋体" w:hAnsi="宋体" w:cs="宋体"/>
          <w:color w:val="000000"/>
          <w:sz w:val="24"/>
          <w:szCs w:val="24"/>
        </w:rPr>
      </w:r>
      <w:r/>
    </w:p>
    <w:p>
      <w:pPr>
        <w:pStyle w:val="736"/>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地点：江苏政府采购网</w:t>
      </w:r>
      <w:r>
        <w:rPr>
          <w:rFonts w:hint="eastAsia" w:ascii="宋体" w:hAnsi="宋体" w:cs="宋体"/>
          <w:color w:val="000000"/>
          <w:sz w:val="24"/>
          <w:szCs w:val="24"/>
        </w:rPr>
      </w:r>
      <w:r/>
    </w:p>
    <w:p>
      <w:pPr>
        <w:pStyle w:val="736"/>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获取方式：网上下载</w:t>
      </w:r>
      <w:r>
        <w:rPr>
          <w:rFonts w:hint="eastAsia" w:ascii="宋体" w:hAnsi="宋体" w:cs="宋体"/>
          <w:color w:val="000000"/>
          <w:sz w:val="24"/>
          <w:szCs w:val="24"/>
        </w:rPr>
      </w:r>
      <w:r/>
    </w:p>
    <w:p>
      <w:pPr>
        <w:pStyle w:val="736"/>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售价：0.00元</w:t>
      </w:r>
      <w:r>
        <w:rPr>
          <w:rFonts w:hint="eastAsia" w:ascii="宋体" w:hAnsi="宋体" w:cs="宋体"/>
          <w:color w:val="000000"/>
          <w:sz w:val="24"/>
          <w:szCs w:val="24"/>
          <w:lang w:val="zh-CN"/>
        </w:rPr>
      </w:r>
      <w:r/>
    </w:p>
    <w:p>
      <w:pPr>
        <w:pStyle w:val="736"/>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lang w:val="zh-CN"/>
        </w:rPr>
      </w:r>
      <w:r/>
    </w:p>
    <w:p>
      <w:pPr>
        <w:pStyle w:val="736"/>
        <w:ind w:firstLine="482"/>
        <w:spacing w:line="360" w:lineRule="auto"/>
        <w:rPr>
          <w:rFonts w:hint="eastAsia" w:ascii="宋体" w:hAnsi="宋体" w:cs="宋体"/>
          <w:bCs/>
          <w:color w:val="000000"/>
          <w:sz w:val="24"/>
          <w:szCs w:val="24"/>
        </w:rPr>
        <w:outlineLvl w:val="1"/>
      </w:pPr>
      <w:r/>
      <w:bookmarkStart w:id="10" w:name="_Toc9893"/>
      <w:r>
        <w:rPr>
          <w:rFonts w:hint="eastAsia" w:ascii="宋体" w:hAnsi="宋体" w:eastAsia="宋体" w:cs="宋体"/>
          <w:b/>
          <w:bCs/>
          <w:color w:val="000000"/>
          <w:sz w:val="24"/>
          <w:szCs w:val="24"/>
        </w:rPr>
        <w:t xml:space="preserve">四、提交投标文件开始时间、开标时间</w:t>
      </w:r>
      <w:bookmarkEnd w:id="10"/>
      <w:r>
        <w:rPr>
          <w:rFonts w:hint="eastAsia" w:ascii="宋体" w:hAnsi="宋体" w:cs="宋体"/>
          <w:bCs/>
          <w:color w:val="000000"/>
          <w:sz w:val="24"/>
          <w:szCs w:val="24"/>
        </w:rPr>
      </w:r>
      <w:r/>
    </w:p>
    <w:p>
      <w:pPr>
        <w:pStyle w:val="736"/>
        <w:ind w:firstLine="480"/>
        <w:spacing w:line="360" w:lineRule="auto"/>
        <w:rPr>
          <w:rFonts w:hint="eastAsia" w:ascii="宋体" w:hAnsi="宋体" w:eastAsia="宋体" w:cs="宋体"/>
          <w:b/>
          <w:bCs/>
          <w:color w:val="0000ff"/>
          <w:sz w:val="24"/>
          <w:szCs w:val="24"/>
        </w:rPr>
      </w:pPr>
      <w:r>
        <w:rPr>
          <w:rFonts w:hint="eastAsia" w:ascii="宋体" w:hAnsi="宋体" w:cs="宋体"/>
          <w:bCs/>
          <w:color w:val="000000"/>
          <w:sz w:val="24"/>
          <w:szCs w:val="24"/>
        </w:rPr>
        <w:t xml:space="preserve">提交投标文件截止时间及开标时间：</w:t>
      </w:r>
      <w:r>
        <w:rPr>
          <w:rFonts w:hint="eastAsia" w:ascii="宋体" w:hAnsi="宋体" w:eastAsia="宋体" w:cs="宋体"/>
          <w:b/>
          <w:bCs/>
          <w:color w:val="0000ff"/>
          <w:sz w:val="24"/>
          <w:szCs w:val="24"/>
        </w:rPr>
        <w:t xml:space="preserve">2026年</w:t>
      </w:r>
      <w:r>
        <w:rPr>
          <w:rFonts w:hint="eastAsia" w:ascii="宋体" w:hAnsi="宋体" w:eastAsia="宋体" w:cs="宋体"/>
          <w:b/>
          <w:bCs/>
          <w:color w:val="0000ff"/>
          <w:sz w:val="24"/>
          <w:szCs w:val="24"/>
          <w:lang w:val="en-US" w:eastAsia="zh-CN"/>
        </w:rPr>
        <w:t xml:space="preserve">7</w:t>
      </w:r>
      <w:r>
        <w:rPr>
          <w:rFonts w:hint="eastAsia" w:ascii="宋体" w:hAnsi="宋体" w:eastAsia="宋体" w:cs="宋体"/>
          <w:b/>
          <w:bCs/>
          <w:color w:val="0000ff"/>
          <w:sz w:val="24"/>
          <w:szCs w:val="24"/>
        </w:rPr>
        <w:t xml:space="preserve">月</w:t>
      </w:r>
      <w:r>
        <w:rPr>
          <w:rFonts w:hint="eastAsia" w:ascii="宋体" w:hAnsi="宋体" w:eastAsia="宋体" w:cs="宋体"/>
          <w:b/>
          <w:bCs/>
          <w:color w:val="0000ff"/>
          <w:sz w:val="24"/>
          <w:szCs w:val="24"/>
          <w:lang w:val="en-US" w:eastAsia="zh-CN"/>
        </w:rPr>
        <w:t xml:space="preserve">21</w:t>
      </w:r>
      <w:r>
        <w:rPr>
          <w:rFonts w:hint="eastAsia" w:ascii="宋体" w:hAnsi="宋体" w:eastAsia="宋体" w:cs="宋体"/>
          <w:b/>
          <w:bCs/>
          <w:color w:val="0000ff"/>
          <w:sz w:val="24"/>
          <w:szCs w:val="24"/>
        </w:rPr>
        <w:t xml:space="preserve">日</w:t>
      </w:r>
      <w:r>
        <w:rPr>
          <w:rFonts w:hint="eastAsia" w:ascii="宋体" w:hAnsi="宋体" w:eastAsia="宋体" w:cs="宋体"/>
          <w:b/>
          <w:bCs/>
          <w:color w:val="0000ff"/>
          <w:sz w:val="24"/>
          <w:szCs w:val="24"/>
          <w:lang w:val="en-US" w:eastAsia="zh-CN"/>
        </w:rPr>
        <w:t xml:space="preserve">9</w:t>
      </w:r>
      <w:r>
        <w:rPr>
          <w:rFonts w:hint="eastAsia" w:ascii="宋体" w:hAnsi="宋体" w:eastAsia="宋体" w:cs="宋体"/>
          <w:b/>
          <w:bCs/>
          <w:color w:val="0000ff"/>
          <w:sz w:val="24"/>
          <w:szCs w:val="24"/>
        </w:rPr>
        <w:t xml:space="preserve">时</w:t>
      </w:r>
      <w:r>
        <w:rPr>
          <w:rFonts w:hint="eastAsia" w:ascii="宋体" w:hAnsi="宋体" w:eastAsia="宋体" w:cs="宋体"/>
          <w:b/>
          <w:bCs/>
          <w:color w:val="0000ff"/>
          <w:sz w:val="24"/>
          <w:szCs w:val="24"/>
          <w:lang w:val="en-US" w:eastAsia="zh-CN"/>
        </w:rPr>
        <w:t xml:space="preserve">30</w:t>
      </w:r>
      <w:r>
        <w:rPr>
          <w:rFonts w:hint="eastAsia" w:ascii="宋体" w:hAnsi="宋体" w:eastAsia="宋体" w:cs="宋体"/>
          <w:b/>
          <w:bCs/>
          <w:color w:val="0000ff"/>
          <w:sz w:val="24"/>
          <w:szCs w:val="24"/>
        </w:rPr>
        <w:t xml:space="preserve">分（北京时间）</w:t>
      </w:r>
      <w:r>
        <w:rPr>
          <w:rFonts w:hint="eastAsia" w:ascii="宋体" w:hAnsi="宋体" w:eastAsia="宋体" w:cs="宋体"/>
          <w:b/>
          <w:bCs/>
          <w:color w:val="0000ff"/>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递交</w:t>
      </w:r>
      <w:r>
        <w:rPr>
          <w:rFonts w:hint="eastAsia" w:ascii="宋体" w:hAnsi="宋体" w:cs="宋体"/>
          <w:bCs/>
          <w:color w:val="000000"/>
          <w:sz w:val="24"/>
          <w:szCs w:val="24"/>
        </w:rPr>
        <w:t xml:space="preserve">投标文件</w:t>
      </w:r>
      <w:r>
        <w:rPr>
          <w:rFonts w:hint="eastAsia" w:ascii="宋体" w:hAnsi="宋体" w:cs="宋体"/>
          <w:bCs/>
          <w:color w:val="000000"/>
          <w:sz w:val="24"/>
          <w:szCs w:val="24"/>
          <w:lang w:val="zh-CN"/>
        </w:rPr>
        <w:t xml:space="preserve">、开标地点：</w:t>
      </w:r>
      <w:r>
        <w:rPr>
          <w:rFonts w:hint="eastAsia" w:ascii="宋体" w:hAnsi="宋体" w:cs="宋体"/>
          <w:color w:val="000000"/>
          <w:sz w:val="24"/>
          <w:szCs w:val="24"/>
        </w:rPr>
        <w:t xml:space="preserve">江苏省政府采购管理交易系统（苏采云）</w:t>
      </w:r>
      <w:r>
        <w:rPr>
          <w:rFonts w:hint="eastAsia" w:ascii="宋体" w:hAnsi="宋体" w:cs="宋体"/>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11" w:name="_Toc3578"/>
      <w:r>
        <w:rPr>
          <w:rFonts w:hint="eastAsia" w:ascii="宋体" w:hAnsi="宋体" w:eastAsia="宋体" w:cs="宋体"/>
          <w:b/>
          <w:bCs/>
          <w:color w:val="000000"/>
          <w:sz w:val="24"/>
          <w:szCs w:val="24"/>
        </w:rPr>
        <w:t xml:space="preserve">五、开启</w:t>
      </w:r>
      <w:bookmarkEnd w:id="11"/>
      <w:r>
        <w:rPr>
          <w:rFonts w:hint="eastAsia" w:ascii="宋体" w:hAnsi="宋体" w:eastAsia="宋体" w:cs="宋体"/>
          <w:b/>
          <w:bCs/>
          <w:color w:val="000000"/>
          <w:sz w:val="24"/>
          <w:szCs w:val="24"/>
        </w:rPr>
      </w:r>
      <w:r/>
    </w:p>
    <w:p>
      <w:pPr>
        <w:pStyle w:val="736"/>
        <w:ind w:firstLine="420"/>
        <w:spacing w:line="360" w:lineRule="auto"/>
        <w:rPr>
          <w:rFonts w:hint="eastAsia" w:ascii="宋体" w:hAnsi="宋体" w:cs="宋体"/>
          <w:color w:val="000000"/>
          <w:spacing w:val="8"/>
          <w:sz w:val="24"/>
          <w:szCs w:val="24"/>
        </w:rPr>
      </w:pPr>
      <w:r>
        <w:rPr>
          <w:rFonts w:hint="eastAsia" w:ascii="宋体" w:hAnsi="宋体" w:cs="宋体"/>
          <w:color w:val="000000"/>
          <w:sz w:val="24"/>
          <w:szCs w:val="24"/>
        </w:rPr>
        <w:t xml:space="preserve">时间：</w:t>
      </w:r>
      <w:r>
        <w:rPr>
          <w:rFonts w:hint="eastAsia" w:ascii="宋体" w:hAnsi="宋体" w:eastAsia="宋体" w:cs="宋体"/>
          <w:b/>
          <w:bCs/>
          <w:color w:val="0000ff"/>
          <w:sz w:val="24"/>
          <w:szCs w:val="24"/>
        </w:rPr>
        <w:t xml:space="preserve">2026年</w:t>
      </w:r>
      <w:r>
        <w:rPr>
          <w:rFonts w:hint="eastAsia" w:ascii="宋体" w:hAnsi="宋体" w:eastAsia="宋体" w:cs="宋体"/>
          <w:b/>
          <w:bCs/>
          <w:color w:val="0000ff"/>
          <w:sz w:val="24"/>
          <w:szCs w:val="24"/>
          <w:lang w:val="en-US" w:eastAsia="zh-CN"/>
        </w:rPr>
        <w:t xml:space="preserve">7</w:t>
      </w:r>
      <w:r>
        <w:rPr>
          <w:rFonts w:hint="eastAsia" w:ascii="宋体" w:hAnsi="宋体" w:eastAsia="宋体" w:cs="宋体"/>
          <w:b/>
          <w:bCs/>
          <w:color w:val="0000ff"/>
          <w:sz w:val="24"/>
          <w:szCs w:val="24"/>
        </w:rPr>
        <w:t xml:space="preserve">月</w:t>
      </w:r>
      <w:r>
        <w:rPr>
          <w:rFonts w:hint="eastAsia" w:ascii="宋体" w:hAnsi="宋体" w:eastAsia="宋体" w:cs="宋体"/>
          <w:b/>
          <w:bCs/>
          <w:color w:val="0000ff"/>
          <w:sz w:val="24"/>
          <w:szCs w:val="24"/>
          <w:lang w:val="en-US" w:eastAsia="zh-CN"/>
        </w:rPr>
        <w:t xml:space="preserve">21</w:t>
      </w:r>
      <w:r>
        <w:rPr>
          <w:rFonts w:hint="eastAsia" w:ascii="宋体" w:hAnsi="宋体" w:eastAsia="宋体" w:cs="宋体"/>
          <w:b/>
          <w:bCs/>
          <w:color w:val="0000ff"/>
          <w:sz w:val="24"/>
          <w:szCs w:val="24"/>
        </w:rPr>
        <w:t xml:space="preserve">日</w:t>
      </w:r>
      <w:r>
        <w:rPr>
          <w:rFonts w:hint="eastAsia" w:ascii="宋体" w:hAnsi="宋体" w:eastAsia="宋体" w:cs="宋体"/>
          <w:b/>
          <w:bCs/>
          <w:color w:val="0000ff"/>
          <w:sz w:val="24"/>
          <w:szCs w:val="24"/>
          <w:lang w:val="en-US" w:eastAsia="zh-CN"/>
        </w:rPr>
        <w:t xml:space="preserve">9</w:t>
      </w:r>
      <w:r>
        <w:rPr>
          <w:rFonts w:hint="eastAsia" w:ascii="宋体" w:hAnsi="宋体" w:eastAsia="宋体" w:cs="宋体"/>
          <w:b/>
          <w:bCs/>
          <w:color w:val="0000ff"/>
          <w:sz w:val="24"/>
          <w:szCs w:val="24"/>
        </w:rPr>
        <w:t xml:space="preserve">时</w:t>
      </w:r>
      <w:r>
        <w:rPr>
          <w:rFonts w:hint="eastAsia" w:ascii="宋体" w:hAnsi="宋体" w:eastAsia="宋体" w:cs="宋体"/>
          <w:b/>
          <w:bCs/>
          <w:color w:val="0000ff"/>
          <w:sz w:val="24"/>
          <w:szCs w:val="24"/>
          <w:lang w:val="en-US" w:eastAsia="zh-CN"/>
        </w:rPr>
        <w:t xml:space="preserve">30</w:t>
      </w:r>
      <w:r>
        <w:rPr>
          <w:rFonts w:hint="eastAsia" w:ascii="宋体" w:hAnsi="宋体" w:eastAsia="宋体" w:cs="宋体"/>
          <w:b/>
          <w:bCs/>
          <w:color w:val="0000ff"/>
          <w:sz w:val="24"/>
          <w:szCs w:val="24"/>
        </w:rPr>
        <w:t xml:space="preserve">分（北京时间）</w:t>
      </w:r>
      <w:r>
        <w:rPr>
          <w:rFonts w:hint="eastAsia" w:ascii="宋体" w:hAnsi="宋体" w:cs="宋体"/>
          <w:color w:val="000000"/>
          <w:spacing w:val="8"/>
          <w:sz w:val="24"/>
          <w:szCs w:val="24"/>
        </w:rPr>
      </w:r>
      <w:r/>
    </w:p>
    <w:p>
      <w:pPr>
        <w:pStyle w:val="736"/>
        <w:ind w:firstLine="420"/>
        <w:spacing w:line="360" w:lineRule="auto"/>
        <w:rPr>
          <w:rFonts w:hint="eastAsia" w:ascii="宋体" w:hAnsi="宋体" w:cs="宋体"/>
          <w:color w:val="000000"/>
          <w:spacing w:val="8"/>
          <w:sz w:val="24"/>
          <w:szCs w:val="24"/>
        </w:rPr>
      </w:pPr>
      <w:r>
        <w:rPr>
          <w:rFonts w:hint="eastAsia" w:ascii="宋体" w:hAnsi="宋体" w:cs="宋体"/>
          <w:color w:val="000000"/>
          <w:spacing w:val="8"/>
          <w:sz w:val="24"/>
          <w:szCs w:val="24"/>
        </w:rPr>
        <w:t xml:space="preserve">地点：</w:t>
      </w:r>
      <w:r>
        <w:rPr>
          <w:rFonts w:hint="eastAsia" w:ascii="宋体" w:hAnsi="宋体" w:cs="宋体"/>
          <w:color w:val="000000"/>
          <w:sz w:val="24"/>
          <w:szCs w:val="24"/>
        </w:rPr>
        <w:t xml:space="preserve">“苏采云”网上开标大厅</w:t>
      </w:r>
      <w:r>
        <w:rPr>
          <w:rFonts w:hint="eastAsia" w:ascii="宋体" w:hAnsi="宋体" w:cs="宋体"/>
          <w:color w:val="000000"/>
          <w:spacing w:val="8"/>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12" w:name="_Toc17890"/>
      <w:r>
        <w:rPr>
          <w:rFonts w:hint="eastAsia" w:ascii="宋体" w:hAnsi="宋体" w:eastAsia="宋体" w:cs="宋体"/>
          <w:b/>
          <w:bCs/>
          <w:color w:val="000000"/>
          <w:sz w:val="24"/>
          <w:szCs w:val="24"/>
        </w:rPr>
        <w:t xml:space="preserve">六、公告期限</w:t>
      </w:r>
      <w:bookmarkEnd w:id="12"/>
      <w:r>
        <w:rPr>
          <w:rFonts w:hint="eastAsia" w:ascii="宋体" w:hAnsi="宋体" w:eastAsia="宋体" w:cs="宋体"/>
          <w:b/>
          <w:bCs/>
          <w:color w:val="000000"/>
          <w:sz w:val="24"/>
          <w:szCs w:val="24"/>
        </w:rPr>
      </w:r>
      <w:r/>
    </w:p>
    <w:p>
      <w:pPr>
        <w:pStyle w:val="736"/>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自本公告在法定媒体发布之日起五个工作日</w:t>
      </w:r>
      <w:r>
        <w:rPr>
          <w:rFonts w:hint="eastAsia" w:ascii="宋体" w:hAnsi="宋体" w:cs="宋体"/>
          <w:b/>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13" w:name="_Toc25767"/>
      <w:r>
        <w:rPr>
          <w:rFonts w:hint="eastAsia" w:ascii="宋体" w:hAnsi="宋体" w:eastAsia="宋体" w:cs="宋体"/>
          <w:b/>
          <w:bCs/>
          <w:color w:val="000000"/>
          <w:sz w:val="24"/>
          <w:szCs w:val="24"/>
        </w:rPr>
        <w:t xml:space="preserve">七、其他补充事宜</w:t>
      </w:r>
      <w:bookmarkEnd w:id="13"/>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1．是否接受进口产品：不接受。</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2．集中考察现场及答疑时间、地点：采购人不统一组织现场踏勘。</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3．政府采购信用承诺</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bCs/>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（1）符合国家相关规定的财务状况报告；</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（2）依法缴纳税收的证明材料；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（3）依法缴纳社会保障资金的证明材料；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（4）具备履行政府采购合同所必需的设备和专业技术能力的证明材料；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（5）参加政府采购活动前三年内在经营活动中没有重大违法记录的证明材料；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（6）未被列入失信被执行人、重大税收违法失信主体、政府采购严重违法失信行为记录名单的证明材料。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供应商涉及以下情形的，不适用信用承诺：</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（1）供应商被列入严重失信主体名单；</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（2）被相关监管部门作出行政处罚且尚在处罚有效期内；</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（3）其他法律、行政法规规定的不适用信用承诺的情形。</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eastAsia="宋体" w:cs="宋体"/>
          <w:bCs/>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14" w:name="_Toc17487"/>
      <w:r>
        <w:rPr>
          <w:rFonts w:hint="eastAsia" w:ascii="宋体" w:hAnsi="宋体" w:eastAsia="宋体" w:cs="宋体"/>
          <w:b/>
          <w:bCs/>
          <w:color w:val="000000"/>
          <w:sz w:val="24"/>
          <w:szCs w:val="24"/>
        </w:rPr>
        <w:t xml:space="preserve">八、对本次招标提出询问，请按以下方式联系</w:t>
      </w:r>
      <w:bookmarkEnd w:id="14"/>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1.采购人信息</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名称：南京江北新区管理委员会教育局</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地址：南京市浦口区行知路8号</w:t>
      </w:r>
      <w:r>
        <w:rPr>
          <w:rFonts w:hint="eastAsia" w:ascii="宋体" w:hAnsi="宋体" w:eastAsia="宋体" w:cs="宋体"/>
          <w:bCs/>
          <w:color w:val="000000"/>
          <w:sz w:val="24"/>
          <w:szCs w:val="24"/>
        </w:rPr>
      </w:r>
      <w:r/>
    </w:p>
    <w:p>
      <w:pPr>
        <w:pStyle w:val="736"/>
        <w:ind w:firstLine="480"/>
        <w:jc w:val="left"/>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联系人：</w:t>
      </w:r>
      <w:r>
        <w:rPr>
          <w:rFonts w:hint="eastAsia" w:ascii="宋体" w:hAnsi="宋体" w:eastAsia="宋体" w:cs="宋体"/>
          <w:bCs/>
          <w:color w:val="000000"/>
          <w:sz w:val="24"/>
          <w:szCs w:val="24"/>
          <w:lang w:val="en-US" w:eastAsia="zh-CN"/>
        </w:rPr>
        <w:t xml:space="preserve">奚老师</w:t>
      </w:r>
      <w:r>
        <w:rPr>
          <w:rFonts w:ascii="宋体" w:hAnsi="宋体" w:eastAsia="宋体" w:cs="宋体"/>
          <w:bCs/>
          <w:color w:val="000000"/>
          <w:sz w:val="24"/>
          <w:szCs w:val="24"/>
          <w:lang w:val="en-US" w:eastAsia="zh-CN"/>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bCs/>
          <w:color w:val="000000"/>
          <w:sz w:val="24"/>
          <w:szCs w:val="24"/>
        </w:rPr>
        <w:t xml:space="preserve">联系电话：</w:t>
      </w:r>
      <w:r>
        <w:rPr>
          <w:rFonts w:hint="eastAsia" w:ascii="宋体" w:hAnsi="宋体" w:eastAsia="宋体" w:cs="宋体"/>
          <w:color w:val="000000"/>
          <w:sz w:val="24"/>
          <w:szCs w:val="24"/>
          <w:lang w:bidi="ar"/>
        </w:rPr>
        <w:t xml:space="preserve">025-58882126</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2.采购代理机构信息</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名称：益嘉新建设咨询（南京）有限公司</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bookmarkStart w:id="15" w:name="OLE_LINK20"/>
      <w:r>
        <w:rPr>
          <w:rFonts w:hint="eastAsia" w:ascii="宋体" w:hAnsi="宋体" w:eastAsia="宋体" w:cs="宋体"/>
          <w:color w:val="000000"/>
          <w:sz w:val="24"/>
          <w:szCs w:val="24"/>
          <w:lang w:bidi="ar"/>
        </w:rPr>
        <w:t xml:space="preserve">地址：南京市建邺区乐山路190号江苏华坤大厦16楼</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联系人：孟工</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联系方式：</w:t>
      </w:r>
      <w:bookmarkEnd w:id="15"/>
      <w:r>
        <w:rPr>
          <w:rFonts w:hint="eastAsia" w:ascii="宋体" w:hAnsi="宋体" w:eastAsia="宋体" w:cs="宋体"/>
          <w:color w:val="000000"/>
          <w:sz w:val="24"/>
          <w:szCs w:val="24"/>
          <w:lang w:bidi="ar"/>
        </w:rPr>
        <w:t xml:space="preserve">15996312499</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3.项目联系方式</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项目联系人：孟工</w:t>
      </w:r>
      <w:r>
        <w:rPr>
          <w:rFonts w:hint="eastAsia" w:ascii="宋体" w:hAnsi="宋体" w:eastAsia="宋体" w:cs="宋体"/>
          <w:color w:val="000000"/>
          <w:sz w:val="24"/>
          <w:szCs w:val="24"/>
          <w:lang w:bidi="ar"/>
        </w:rPr>
      </w:r>
      <w:r/>
    </w:p>
    <w:p>
      <w:pPr>
        <w:pStyle w:val="736"/>
        <w:ind w:firstLine="480"/>
        <w:jc w:val="left"/>
        <w:spacing w:line="360" w:lineRule="auto"/>
        <w:rPr>
          <w:rFonts w:hint="eastAsia" w:ascii="宋体" w:hAnsi="宋体" w:cs="宋体"/>
          <w:b/>
          <w:bCs/>
          <w:color w:val="000000"/>
          <w:spacing w:val="-10"/>
          <w:sz w:val="10"/>
          <w:szCs w:val="10"/>
        </w:rPr>
      </w:pPr>
      <w:r>
        <w:rPr>
          <w:rFonts w:hint="eastAsia" w:ascii="宋体" w:hAnsi="宋体" w:eastAsia="宋体" w:cs="宋体"/>
          <w:color w:val="000000"/>
          <w:sz w:val="24"/>
          <w:szCs w:val="24"/>
          <w:lang w:bidi="ar"/>
        </w:rPr>
        <w:t xml:space="preserve">电话：15996312499</w:t>
      </w:r>
      <w:r>
        <w:rPr>
          <w:rFonts w:hint="eastAsia" w:ascii="宋体" w:hAnsi="宋体" w:eastAsia="宋体" w:cs="宋体"/>
          <w:bCs/>
          <w:color w:val="000000"/>
          <w:sz w:val="24"/>
          <w:szCs w:val="24"/>
        </w:rPr>
        <w:br w:type="page" w:clear="all"/>
      </w:r>
      <w:r>
        <w:rPr>
          <w:rFonts w:hint="eastAsia" w:ascii="宋体" w:hAnsi="宋体" w:cs="宋体"/>
          <w:b/>
          <w:bCs/>
          <w:color w:val="000000"/>
          <w:spacing w:val="-10"/>
          <w:sz w:val="10"/>
          <w:szCs w:val="10"/>
        </w:rPr>
      </w:r>
      <w:r/>
    </w:p>
    <w:p>
      <w:pPr>
        <w:pStyle w:val="736"/>
        <w:ind w:firstLine="683"/>
        <w:jc w:val="center"/>
        <w:spacing w:line="360" w:lineRule="auto"/>
        <w:rPr>
          <w:rFonts w:hint="eastAsia" w:ascii="宋体" w:hAnsi="宋体" w:eastAsia="宋体" w:cs="宋体"/>
          <w:b/>
          <w:bCs/>
          <w:color w:val="000000"/>
          <w:spacing w:val="-10"/>
          <w:sz w:val="36"/>
          <w:szCs w:val="36"/>
          <w:lang w:val="zh-CN"/>
        </w:rPr>
        <w:outlineLvl w:val="0"/>
      </w:pPr>
      <w:r/>
      <w:bookmarkStart w:id="16" w:name="_Toc796"/>
      <w:r>
        <w:rPr>
          <w:rFonts w:hint="eastAsia" w:ascii="宋体" w:hAnsi="宋体" w:eastAsia="宋体" w:cs="宋体"/>
          <w:b/>
          <w:bCs/>
          <w:color w:val="000000"/>
          <w:spacing w:val="-10"/>
          <w:sz w:val="36"/>
          <w:szCs w:val="36"/>
          <w:lang w:val="zh-CN"/>
        </w:rPr>
        <w:t xml:space="preserve">第二章  供应商须知</w:t>
      </w:r>
      <w:bookmarkEnd w:id="16"/>
      <w:r>
        <w:rPr>
          <w:rFonts w:hint="eastAsia" w:ascii="宋体" w:hAnsi="宋体" w:eastAsia="宋体" w:cs="宋体"/>
          <w:b/>
          <w:bCs/>
          <w:color w:val="000000"/>
          <w:spacing w:val="-10"/>
          <w:sz w:val="36"/>
          <w:szCs w:val="36"/>
          <w:lang w:val="zh-CN"/>
        </w:rPr>
      </w:r>
      <w:r/>
    </w:p>
    <w:p>
      <w:pPr>
        <w:pStyle w:val="736"/>
        <w:ind w:firstLine="482"/>
        <w:spacing w:line="360" w:lineRule="auto"/>
        <w:rPr>
          <w:rFonts w:hint="eastAsia" w:ascii="宋体" w:hAnsi="宋体" w:eastAsia="宋体" w:cs="宋体"/>
          <w:b/>
          <w:bCs/>
          <w:color w:val="000000"/>
          <w:sz w:val="24"/>
          <w:szCs w:val="24"/>
        </w:rPr>
        <w:outlineLvl w:val="1"/>
      </w:pPr>
      <w:r/>
      <w:bookmarkStart w:id="17" w:name="_Toc14420"/>
      <w:r/>
      <w:bookmarkStart w:id="18" w:name="_Hlk156125564"/>
      <w:r>
        <w:rPr>
          <w:rFonts w:hint="eastAsia" w:ascii="宋体" w:hAnsi="宋体" w:eastAsia="宋体" w:cs="宋体"/>
          <w:b/>
          <w:bCs/>
          <w:color w:val="000000"/>
          <w:sz w:val="24"/>
          <w:szCs w:val="24"/>
        </w:rPr>
        <w:t xml:space="preserve">一、总则</w:t>
      </w:r>
      <w:bookmarkEnd w:id="17"/>
      <w:r>
        <w:rPr>
          <w:rFonts w:hint="eastAsia" w:ascii="宋体" w:hAnsi="宋体" w:eastAsia="宋体" w:cs="宋体"/>
          <w:b/>
          <w:bCs/>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1.适用法律</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2.定义</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“供应商”“投标人”是指参加投标竞争，并符合招标文件规定资格条件的法人、其他组织或者自然人。</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3.政策功能</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3.1促进中小企业发展。在政府采购活动中，供应商提供的货物、工程或者服务符合下列情形的，享受中小企业扶持政策：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（1）在货物采购项目中，货物由中小企业制造，即货物由中小企业生产且使用该中小企业商号或者注册商标；</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（2）在工程采购项目中，工程由中小企业承建，即工程施工单位为中小企业；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rPr>
      </w:r>
      <w:r/>
    </w:p>
    <w:p>
      <w:pPr>
        <w:pStyle w:val="736"/>
        <w:ind w:firstLine="482"/>
        <w:jc w:val="left"/>
        <w:spacing w:line="360" w:lineRule="auto"/>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特别说明：</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中小企业供应商参加政府采购活动，应当出具《中小企业声明函》，否则不享受相关中小企业扶持政策。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3.7绿色包装规定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3.8实施本国产品标准及相关政策</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3.8.2本国产品应当符合以下条件：</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（1）在中国境内生产</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（2）在中国境内生产的组件成本占比达到规定比例</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（3）特定产品的关键组件、关键工序符合相关要求</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3.8.3本国产品标准的适用范围</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3.8.4对本国产品的支持政策</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3.8.5政策执行要求</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lang w:bidi="ar"/>
        </w:rPr>
      </w:r>
      <w:r/>
    </w:p>
    <w:p>
      <w:pPr>
        <w:pStyle w:val="736"/>
        <w:ind w:firstLine="480"/>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sz w:val="24"/>
          <w:szCs w:val="24"/>
          <w:lang w:bidi="ar"/>
        </w:rPr>
      </w:r>
      <w:r/>
    </w:p>
    <w:p>
      <w:pPr>
        <w:pStyle w:val="736"/>
        <w:ind w:firstLine="482"/>
        <w:spacing w:line="360" w:lineRule="auto"/>
        <w:rPr>
          <w:rFonts w:hint="eastAsia" w:ascii="宋体" w:hAnsi="宋体" w:eastAsia="宋体" w:cs="宋体"/>
          <w:b/>
          <w:bCs/>
          <w:color w:val="000000"/>
          <w:sz w:val="24"/>
          <w:szCs w:val="24"/>
        </w:rPr>
        <w:outlineLvl w:val="1"/>
      </w:pPr>
      <w:r/>
      <w:bookmarkStart w:id="19" w:name="_Toc25347"/>
      <w:r>
        <w:rPr>
          <w:rFonts w:hint="eastAsia" w:ascii="宋体" w:hAnsi="宋体" w:eastAsia="宋体" w:cs="宋体"/>
          <w:b/>
          <w:bCs/>
          <w:color w:val="000000"/>
          <w:sz w:val="24"/>
          <w:szCs w:val="24"/>
        </w:rPr>
        <w:t xml:space="preserve">二、招标文件</w:t>
      </w:r>
      <w:bookmarkEnd w:id="19"/>
      <w:r>
        <w:rPr>
          <w:rFonts w:hint="eastAsia" w:ascii="宋体" w:hAnsi="宋体" w:eastAsia="宋体" w:cs="宋体"/>
          <w:b/>
          <w:bCs/>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4.招标文件组成</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4.1招标文件由投标邀请、供应商须知、评标办法、采购需求、合同条款、附件等组成。</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5.招标文件的澄清修改</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5.3供应商应在投标截止时间前关注原采购信息发布媒体有关本招标项目有无变更公告。</w:t>
      </w:r>
      <w:r>
        <w:rPr>
          <w:rFonts w:hint="eastAsia" w:ascii="宋体" w:hAnsi="宋体" w:cs="宋体"/>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20" w:name="_Toc26212"/>
      <w:r>
        <w:rPr>
          <w:rFonts w:hint="eastAsia" w:ascii="宋体" w:hAnsi="宋体" w:eastAsia="宋体" w:cs="宋体"/>
          <w:b/>
          <w:bCs/>
          <w:color w:val="000000"/>
          <w:sz w:val="24"/>
          <w:szCs w:val="24"/>
        </w:rPr>
        <w:t xml:space="preserve">三、投标</w:t>
      </w:r>
      <w:bookmarkEnd w:id="20"/>
      <w:r>
        <w:rPr>
          <w:rFonts w:hint="eastAsia" w:ascii="宋体" w:hAnsi="宋体" w:eastAsia="宋体" w:cs="宋体"/>
          <w:b/>
          <w:bCs/>
          <w:color w:val="000000"/>
          <w:sz w:val="24"/>
          <w:szCs w:val="24"/>
        </w:rPr>
      </w:r>
      <w:r/>
    </w:p>
    <w:p>
      <w:pPr>
        <w:pStyle w:val="736"/>
        <w:ind w:firstLine="482"/>
        <w:jc w:val="left"/>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6</w:t>
      </w:r>
      <w:r>
        <w:rPr>
          <w:rFonts w:hint="eastAsia" w:ascii="宋体" w:hAnsi="宋体" w:cs="宋体"/>
          <w:b/>
          <w:bCs/>
          <w:color w:val="000000"/>
          <w:sz w:val="24"/>
          <w:szCs w:val="24"/>
          <w:lang w:val="zh-CN"/>
        </w:rPr>
        <w:t xml:space="preserve">.</w:t>
      </w:r>
      <w:r>
        <w:rPr>
          <w:rFonts w:hint="eastAsia" w:ascii="宋体" w:hAnsi="宋体" w:cs="宋体"/>
          <w:b/>
          <w:color w:val="000000"/>
          <w:sz w:val="24"/>
          <w:szCs w:val="24"/>
          <w:lang w:val="zh-CN"/>
        </w:rPr>
        <w:t xml:space="preserve">投标</w:t>
      </w:r>
      <w:r>
        <w:rPr>
          <w:rFonts w:hint="eastAsia" w:ascii="宋体" w:hAnsi="宋体" w:cs="宋体"/>
          <w:b/>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6.1供应商应由其法定代表人或法定代表人授权委托人在规定的投标时间内，按时递交投标文件。</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2</w:t>
      </w:r>
      <w:r>
        <w:rPr>
          <w:rFonts w:hint="eastAsia" w:ascii="宋体" w:hAnsi="宋体" w:cs="宋体"/>
          <w:bCs/>
          <w:color w:val="000000"/>
          <w:sz w:val="24"/>
          <w:szCs w:val="24"/>
          <w:lang w:val="zh-CN"/>
        </w:rPr>
        <w:t xml:space="preserve">供应商应当对招标文件提出的要求和条件作出实质性响应，</w:t>
      </w:r>
      <w:r>
        <w:rPr>
          <w:rFonts w:hint="eastAsia" w:ascii="宋体" w:hAnsi="宋体" w:cs="宋体"/>
          <w:bCs/>
          <w:color w:val="000000"/>
          <w:sz w:val="24"/>
          <w:szCs w:val="24"/>
        </w:rPr>
        <w:t xml:space="preserve">并在投标文件中逐条应答。</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3</w:t>
      </w:r>
      <w:r>
        <w:rPr>
          <w:rFonts w:hint="eastAsia" w:ascii="宋体" w:hAnsi="宋体" w:cs="宋体"/>
          <w:bCs/>
          <w:color w:val="000000"/>
          <w:sz w:val="24"/>
          <w:szCs w:val="24"/>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4</w:t>
      </w:r>
      <w:r>
        <w:rPr>
          <w:rFonts w:hint="eastAsia" w:ascii="宋体" w:hAnsi="宋体" w:cs="宋体"/>
          <w:bCs/>
          <w:color w:val="000000"/>
          <w:sz w:val="24"/>
          <w:szCs w:val="24"/>
          <w:lang w:val="zh-CN"/>
        </w:rPr>
        <w:t xml:space="preserve">供应商应逐一说明投标产品品牌、型号、产地、性能参数。</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投标产品属于国家认定的节能产品、环保产品、信息安全产品，应附认证证书扫描件。</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7</w:t>
      </w:r>
      <w:r>
        <w:rPr>
          <w:rFonts w:hint="eastAsia" w:ascii="宋体" w:hAnsi="宋体" w:cs="宋体"/>
          <w:bCs/>
          <w:color w:val="000000"/>
          <w:sz w:val="24"/>
          <w:szCs w:val="24"/>
          <w:lang w:val="zh-CN"/>
        </w:rPr>
        <w:t xml:space="preserve">供应商拟在中标后将中标项目的非主体、非关键性工作交由他人完成的，应当在投标文件中载明。</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7.投标文件的语言、计量单位、货币、技术标准和编制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7.2供应商所使用的计量单位应为国家法定计量单位。</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7.3供应商应用人民币报价。</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7.4供应商所使用的技术标准应遵循国家最新标准及规范。</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8.联合投标和分包</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9.投标费用</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rPr>
      </w:r>
      <w:r/>
    </w:p>
    <w:p>
      <w:pPr>
        <w:pStyle w:val="736"/>
        <w:ind w:firstLine="482"/>
        <w:jc w:val="left"/>
        <w:spacing w:line="360" w:lineRule="auto"/>
        <w:rPr>
          <w:rFonts w:hint="eastAsia" w:ascii="宋体" w:hAnsi="宋体" w:cs="宋体"/>
          <w:b/>
          <w:color w:val="000000"/>
          <w:sz w:val="24"/>
          <w:szCs w:val="24"/>
          <w:lang w:val="zh-CN"/>
        </w:rPr>
      </w:pPr>
      <w:r>
        <w:rPr>
          <w:rFonts w:hint="eastAsia" w:ascii="宋体" w:hAnsi="宋体" w:cs="宋体"/>
          <w:b/>
          <w:color w:val="000000"/>
          <w:sz w:val="24"/>
          <w:szCs w:val="24"/>
        </w:rPr>
        <w:t xml:space="preserve">9.2</w:t>
      </w:r>
      <w:r>
        <w:rPr>
          <w:rFonts w:hint="eastAsia" w:ascii="宋体" w:hAnsi="宋体" w:cs="宋体"/>
          <w:b/>
          <w:bCs/>
          <w:color w:val="000000"/>
          <w:sz w:val="24"/>
          <w:szCs w:val="24"/>
        </w:rPr>
        <w:t xml:space="preserve">本项目</w:t>
      </w:r>
      <w:r>
        <w:rPr>
          <w:rFonts w:hint="eastAsia" w:ascii="宋体" w:hAnsi="宋体" w:cs="宋体"/>
          <w:b/>
          <w:color w:val="000000"/>
          <w:sz w:val="24"/>
          <w:szCs w:val="24"/>
        </w:rPr>
        <w:t xml:space="preserve">招标代理费</w:t>
      </w:r>
      <w:r>
        <w:rPr>
          <w:rFonts w:hint="eastAsia" w:ascii="宋体" w:hAnsi="宋体" w:cs="宋体"/>
          <w:b/>
          <w:bCs/>
          <w:color w:val="000000"/>
          <w:sz w:val="24"/>
          <w:szCs w:val="24"/>
          <w:lang w:val="zh-CN"/>
        </w:rPr>
        <w:t xml:space="preserve">及</w:t>
      </w:r>
      <w:r>
        <w:rPr>
          <w:rFonts w:hint="eastAsia" w:ascii="宋体" w:hAnsi="宋体" w:cs="宋体"/>
          <w:b/>
          <w:bCs/>
          <w:color w:val="000000"/>
          <w:sz w:val="24"/>
          <w:szCs w:val="24"/>
        </w:rPr>
        <w:t xml:space="preserve">其</w:t>
      </w:r>
      <w:r>
        <w:rPr>
          <w:rFonts w:hint="eastAsia" w:ascii="宋体" w:hAnsi="宋体" w:cs="宋体"/>
          <w:b/>
          <w:bCs/>
          <w:color w:val="000000"/>
          <w:sz w:val="24"/>
          <w:szCs w:val="24"/>
          <w:lang w:val="zh-CN"/>
        </w:rPr>
        <w:t xml:space="preserve">相关</w:t>
      </w:r>
      <w:r>
        <w:rPr>
          <w:rFonts w:hint="eastAsia" w:ascii="宋体" w:hAnsi="宋体" w:cs="宋体"/>
          <w:b/>
          <w:bCs/>
          <w:color w:val="000000"/>
          <w:sz w:val="24"/>
          <w:szCs w:val="24"/>
        </w:rPr>
        <w:t xml:space="preserve">费用由中标供应商在领取中标通知书时支付，请充分考虑在投标报价中。上述费用均由成交供应商一次性支付。无论是否将该费用在报价中列明，均视为已含在总价中。</w:t>
      </w:r>
      <w:r>
        <w:rPr>
          <w:rFonts w:hint="eastAsia" w:ascii="宋体" w:hAnsi="宋体" w:cs="宋体"/>
          <w:b/>
          <w:color w:val="000000"/>
          <w:sz w:val="24"/>
          <w:szCs w:val="24"/>
          <w:lang w:val="zh-CN"/>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10.投标文件组成</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投标文件由商务部分、技术部分、价格部分，以及其他部分组成。</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11.投标文件的商务部分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商务部分是证明供应商有资格参加投标和中标后有能力履行合同的文件，这些文件应能满足招标的要求，包括但不限于下列文件，其中加“</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”项目不得有缺失或无效：</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（1）★投标函（投标申请及声明，格式见附件）；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（2）★法定代表人授权委托书（格式见附件）及委托代理人的身份证扫描件；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（3）★第一章投标邀请规定的资格证明材料；</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（4）★《南京市政府采购供应商信用记录表暨信用承诺书》；</w:t>
      </w:r>
      <w:r>
        <w:rPr>
          <w:rFonts w:hint="eastAsia" w:ascii="宋体" w:hAnsi="宋体" w:cs="宋体"/>
          <w:color w:val="000000"/>
          <w:sz w:val="24"/>
          <w:szCs w:val="24"/>
          <w:lang w:bidi="ar"/>
        </w:rPr>
      </w:r>
      <w:r/>
    </w:p>
    <w:p>
      <w:pPr>
        <w:pStyle w:val="736"/>
        <w:ind w:firstLine="480"/>
        <w:jc w:val="left"/>
        <w:spacing w:line="360" w:lineRule="auto"/>
        <w:widowControl/>
        <w:rPr>
          <w:rFonts w:hint="eastAsia"/>
          <w:color w:val="000000"/>
        </w:rPr>
      </w:pPr>
      <w:r>
        <w:rPr>
          <w:rFonts w:hint="eastAsia" w:ascii="宋体" w:hAnsi="宋体" w:cs="宋体"/>
          <w:color w:val="000000"/>
          <w:sz w:val="24"/>
          <w:szCs w:val="24"/>
          <w:lang w:bidi="ar"/>
        </w:rPr>
        <w:t xml:space="preserve">（5）《关于符合本国产品标准的声明函》</w:t>
      </w:r>
      <w:r>
        <w:rPr>
          <w:rFonts w:hint="eastAsia"/>
          <w:color w:val="000000"/>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（6）供应商认为需要提供的其他资格证明文件和商务资料。</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12.投标文件的技术部分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12.2若技术性能无特殊说明，则按国家有关部门最新颁布的标准及规范为准。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12.3提供的技术如与招标文件要求有不符之处，应说明其差别之所在并逐条说明。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color w:val="000000"/>
          <w:sz w:val="24"/>
          <w:szCs w:val="24"/>
          <w:lang w:bidi="ar"/>
        </w:rPr>
        <w:t xml:space="preserve">12.4</w:t>
      </w:r>
      <w:r>
        <w:rPr>
          <w:rFonts w:hint="eastAsia" w:ascii="宋体" w:hAnsi="宋体" w:cs="宋体"/>
          <w:bCs/>
          <w:color w:val="000000"/>
          <w:sz w:val="24"/>
          <w:szCs w:val="24"/>
          <w:lang w:val="zh-CN"/>
        </w:rPr>
        <w:t xml:space="preserve">投标文件应按照招标文件要求技术资料、文件和有关证明，</w:t>
      </w:r>
      <w:r>
        <w:rPr>
          <w:rFonts w:hint="eastAsia" w:ascii="宋体" w:hAnsi="宋体" w:cs="宋体"/>
          <w:color w:val="000000"/>
          <w:sz w:val="24"/>
          <w:szCs w:val="24"/>
          <w:lang w:val="zh-CN"/>
        </w:rPr>
        <w:t xml:space="preserve">包括但不限于下列文件，其中加</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项目不得有缺失或无效：</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（1）★服务方案（格式自拟）；</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（2）★《技术条款偏离表》；</w:t>
      </w:r>
      <w:r>
        <w:rPr>
          <w:rFonts w:hint="eastAsia" w:ascii="宋体" w:hAnsi="宋体" w:cs="宋体"/>
          <w:color w:val="000000"/>
          <w:sz w:val="24"/>
          <w:szCs w:val="24"/>
          <w:lang w:val="zh-CN"/>
        </w:rPr>
      </w:r>
      <w:r/>
    </w:p>
    <w:p>
      <w:pPr>
        <w:pStyle w:val="825"/>
        <w:ind w:firstLine="480"/>
        <w:jc w:val="left"/>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）★《供货一览表》；</w:t>
      </w:r>
      <w:r>
        <w:rPr>
          <w:rFonts w:hint="eastAsia" w:ascii="宋体" w:hAnsi="宋体" w:cs="宋体"/>
          <w:color w:val="000000"/>
          <w:sz w:val="24"/>
          <w:lang w:val="zh-CN"/>
        </w:rPr>
      </w:r>
      <w:r/>
    </w:p>
    <w:p>
      <w:pPr>
        <w:pStyle w:val="825"/>
        <w:ind w:firstLine="480"/>
        <w:jc w:val="left"/>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）★货物质量保证承诺书；</w:t>
      </w:r>
      <w:r>
        <w:rPr>
          <w:rFonts w:hint="eastAsia" w:ascii="宋体" w:hAnsi="宋体" w:cs="宋体"/>
          <w:color w:val="000000"/>
          <w:sz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）验收标准；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b/>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）供应商认为需要提供的其他技术资料。</w:t>
      </w:r>
      <w:r>
        <w:rPr>
          <w:rFonts w:hint="eastAsia" w:ascii="宋体" w:hAnsi="宋体" w:cs="宋体"/>
          <w:b/>
          <w:color w:val="000000"/>
          <w:sz w:val="24"/>
          <w:szCs w:val="24"/>
          <w:lang w:val="zh-CN"/>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13.投标文件的价格部分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13.1供应商应对清单中的产品和服务分别报价，每一项产品和服务仅接受一个价格。</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13.3供应商的任何错漏、优惠、竞争性报价不得作为减轻责任、减少服务、增加收费、降低质量的理由。</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14.投标文件的其他部分</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供应商编制投标文件需要提供的其他相关文件。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15.投标保证金</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本项目不收取保证金。</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16.投标有效期</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16.1自开标之日起九十日内投标有效。</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lang w:val="zh-CN"/>
        </w:rPr>
      </w:r>
      <w:r/>
    </w:p>
    <w:p>
      <w:pPr>
        <w:pStyle w:val="736"/>
        <w:ind w:firstLine="482"/>
        <w:jc w:val="left"/>
        <w:spacing w:line="360" w:lineRule="auto"/>
        <w:rPr>
          <w:rFonts w:hint="eastAsia" w:ascii="宋体" w:hAnsi="宋体" w:cs="宋体"/>
          <w:b/>
          <w:bCs/>
          <w:color w:val="000000"/>
          <w:sz w:val="24"/>
          <w:szCs w:val="24"/>
        </w:rPr>
      </w:pPr>
      <w:r>
        <w:rPr>
          <w:rFonts w:hint="eastAsia" w:ascii="宋体" w:hAnsi="宋体" w:cs="宋体"/>
          <w:b/>
          <w:bCs/>
          <w:color w:val="0000ff"/>
          <w:sz w:val="24"/>
          <w:szCs w:val="24"/>
          <w:lang w:val="zh-CN"/>
        </w:rPr>
        <w:t xml:space="preserve">1</w:t>
      </w:r>
      <w:r>
        <w:rPr>
          <w:rFonts w:hint="eastAsia" w:ascii="宋体" w:hAnsi="宋体" w:cs="宋体"/>
          <w:b/>
          <w:bCs/>
          <w:color w:val="0000ff"/>
          <w:sz w:val="24"/>
          <w:szCs w:val="24"/>
        </w:rPr>
        <w:t xml:space="preserve">7</w:t>
      </w:r>
      <w:r>
        <w:rPr>
          <w:rFonts w:hint="eastAsia" w:ascii="宋体" w:hAnsi="宋体" w:cs="宋体"/>
          <w:b/>
          <w:bCs/>
          <w:color w:val="0000ff"/>
          <w:sz w:val="24"/>
          <w:szCs w:val="24"/>
          <w:lang w:val="zh-CN"/>
        </w:rPr>
        <w:t xml:space="preserve">、</w:t>
      </w:r>
      <w:r>
        <w:rPr>
          <w:rFonts w:hint="eastAsia" w:ascii="宋体" w:hAnsi="宋体" w:cs="宋体"/>
          <w:b/>
          <w:bCs/>
          <w:color w:val="000000"/>
          <w:sz w:val="24"/>
          <w:szCs w:val="24"/>
          <w:lang w:val="zh-CN"/>
        </w:rPr>
        <w:t xml:space="preserve">投标文件的递交</w:t>
      </w:r>
      <w:r>
        <w:rPr>
          <w:rFonts w:hint="eastAsia" w:ascii="宋体" w:hAnsi="宋体" w:cs="宋体"/>
          <w:b/>
          <w:bCs/>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.1供应商应当按照《操作手册》规定，在</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公告规定的提交</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文件截止时间前制作并上传电子</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应充分考虑网络环境、网络带宽等因素可能对投标产生的影响，如因供应商自身原因造成的电子投标文件上传不成功的，按照本招标文件第二章第21.2.2.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val="zh-CN"/>
        </w:rPr>
        <w:t xml:space="preserve">条规定做无效响应处理。</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.3采购代理机构可以按照规定，通过修改</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文件酌情延长提交</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文件截止日期，在此情况下，</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的所有权利和义务均以延长后新的截止日期为准。</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.4</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文件应加盖投标供应商公章。</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文件中注明须签字的地方应由</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的法定代表人或委托代理人签字，如为委托代理人签字的应附“法定代表人授权委托书”。</w:t>
      </w:r>
      <w:r>
        <w:rPr>
          <w:rFonts w:hint="eastAsia" w:ascii="宋体" w:hAnsi="宋体" w:cs="宋体"/>
          <w:color w:val="000000"/>
          <w:sz w:val="24"/>
          <w:szCs w:val="24"/>
        </w:rPr>
      </w:r>
      <w:r/>
    </w:p>
    <w:p>
      <w:pPr>
        <w:pStyle w:val="736"/>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投标</w:t>
      </w:r>
      <w:r>
        <w:rPr>
          <w:rFonts w:hint="eastAsia" w:ascii="宋体" w:hAnsi="宋体" w:cs="宋体"/>
          <w:b/>
          <w:bCs/>
          <w:color w:val="000000"/>
          <w:sz w:val="24"/>
          <w:szCs w:val="24"/>
          <w:lang w:val="zh-CN"/>
        </w:rPr>
        <w:t xml:space="preserve">文件的拒收</w:t>
      </w:r>
      <w:r>
        <w:rPr>
          <w:rFonts w:hint="eastAsia" w:ascii="宋体" w:hAnsi="宋体" w:cs="宋体"/>
          <w:b/>
          <w:bCs/>
          <w:color w:val="000000"/>
          <w:sz w:val="24"/>
          <w:szCs w:val="24"/>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18.1</w:t>
      </w:r>
      <w:r>
        <w:rPr>
          <w:rFonts w:hint="eastAsia" w:ascii="宋体" w:hAnsi="宋体" w:cs="宋体"/>
          <w:color w:val="000000"/>
          <w:sz w:val="24"/>
          <w:szCs w:val="24"/>
          <w:lang w:val="zh-CN"/>
        </w:rPr>
        <w:t xml:space="preserve">采购代理机构拒绝接收提交投标文件截止时间后上传的任何电子投标文件。</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.投标文件的修改和撤回</w:t>
      </w:r>
      <w:r>
        <w:rPr>
          <w:rFonts w:hint="eastAsia" w:ascii="宋体" w:hAnsi="宋体" w:cs="宋体"/>
          <w:b/>
          <w:bCs/>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.1投标文件的撤回</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（1）投标人可在提交投标文件截止时间前撤回其电子投标文件，具体操作方法见《操作手册》。</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（2）投标人撤回电子投标文件，则认为其不再参与本项目投标活动。</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.2投标文件的修改</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（1）投标人可在提交投标文件截止时间前对其电子投标文件进行修改，具体操作方法见《操作手册》。</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（2）提交投标文件截止时间之后，投标人不得对其电子投标文件作任何修改。</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lang w:val="zh-CN"/>
        </w:rPr>
      </w:r>
      <w:r/>
    </w:p>
    <w:p>
      <w:pPr>
        <w:pStyle w:val="736"/>
        <w:ind w:firstLine="482"/>
        <w:jc w:val="left"/>
        <w:spacing w:line="360" w:lineRule="auto"/>
        <w:widowControl/>
        <w:rPr>
          <w:rFonts w:hint="eastAsia" w:ascii="宋体" w:hAnsi="宋体" w:eastAsia="宋体" w:cs="宋体"/>
          <w:b/>
          <w:bCs/>
          <w:color w:val="000000"/>
          <w:sz w:val="24"/>
          <w:szCs w:val="24"/>
          <w:lang w:bidi="ar"/>
        </w:rPr>
        <w:outlineLvl w:val="1"/>
      </w:pPr>
      <w:r/>
      <w:bookmarkStart w:id="21" w:name="_Toc27303"/>
      <w:r>
        <w:rPr>
          <w:rFonts w:hint="eastAsia" w:ascii="宋体" w:hAnsi="宋体" w:eastAsia="宋体" w:cs="宋体"/>
          <w:b/>
          <w:bCs/>
          <w:color w:val="000000"/>
          <w:sz w:val="24"/>
          <w:szCs w:val="24"/>
          <w:lang w:bidi="ar"/>
        </w:rPr>
        <w:t xml:space="preserve">四、开标、评标与确定中标供应商</w:t>
      </w:r>
      <w:bookmarkEnd w:id="21"/>
      <w:r>
        <w:rPr>
          <w:rFonts w:hint="eastAsia" w:ascii="宋体" w:hAnsi="宋体" w:eastAsia="宋体" w:cs="宋体"/>
          <w:b/>
          <w:bCs/>
          <w:color w:val="000000"/>
          <w:sz w:val="24"/>
          <w:szCs w:val="24"/>
          <w:lang w:bidi="ar"/>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20</w:t>
      </w:r>
      <w:r>
        <w:rPr>
          <w:rFonts w:hint="eastAsia" w:ascii="宋体" w:hAnsi="宋体" w:cs="宋体"/>
          <w:b/>
          <w:bCs/>
          <w:color w:val="000000"/>
          <w:sz w:val="24"/>
          <w:szCs w:val="24"/>
          <w:lang w:val="zh-CN"/>
        </w:rPr>
        <w:t xml:space="preserve">.开标</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.2投标人在开标过程中涉及到的投标文件解密、开标结果确认等工作，应按照《操作手册》规定执行。</w:t>
      </w:r>
      <w:r>
        <w:rPr>
          <w:rFonts w:hint="eastAsia" w:ascii="宋体" w:hAnsi="宋体" w:cs="宋体"/>
          <w:color w:val="000000"/>
          <w:sz w:val="24"/>
          <w:szCs w:val="24"/>
          <w:lang w:val="zh-CN"/>
        </w:rPr>
      </w:r>
      <w:r/>
    </w:p>
    <w:p>
      <w:pPr>
        <w:pStyle w:val="736"/>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21.评标</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21.1评标组织</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21.1.1评标工作由代理机构组织，具体评标事务由依法组建的评标委员会负责，并独立履行下列职责：</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审查、评价投标文件是否符合招标文件的商务、技术等实质性要求；</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要求投标人对投标文件有关事项作出澄清或者说明；</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对投标文件进行比较和评价；</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推荐中标候选人或根据采购人委托直接确定中标供应商；</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向采购人、财政部门报告评标中发现的违法行为。</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21.2评标程序</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21.2.1投标文件的资格审查</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21.2.1.1采购人代表依法对投标人的资格进行审查。</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21.2.1.4投标文件有下列情况之一的，在资格性审查时按照无效投标处理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（1）不具备招标文件规定资格条件的；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21.2.2投标文件的符合性审查</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21.2.2.2实质性要求是指本招标文件中带“★”的商务和技术要求。</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color w:val="000000"/>
          <w:sz w:val="24"/>
          <w:szCs w:val="24"/>
          <w:lang w:val="zh-CN"/>
        </w:rPr>
      </w:pPr>
      <w:r>
        <w:rPr>
          <w:rFonts w:hint="eastAsia" w:ascii="宋体" w:hAnsi="宋体" w:cs="宋体"/>
          <w:b/>
          <w:bCs/>
          <w:color w:val="0000ff"/>
          <w:sz w:val="24"/>
          <w:szCs w:val="24"/>
          <w:lang w:val="zh-CN"/>
        </w:rPr>
        <w:t xml:space="preserve">21.2.2.4</w:t>
      </w:r>
      <w:r>
        <w:rPr>
          <w:rFonts w:hint="eastAsia" w:ascii="宋体" w:hAnsi="宋体" w:cs="宋体"/>
          <w:b/>
          <w:bCs/>
          <w:color w:val="000000"/>
          <w:sz w:val="24"/>
          <w:szCs w:val="24"/>
          <w:lang w:val="zh-CN"/>
        </w:rPr>
        <w:t xml:space="preserve">投标文件有下列情况之一的，在符合性审查时按照无效投标处理：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（1）没有按照招标文件要求盖章或签字的；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（2）投标总价超出采购项目预算或者最高限价的；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（3）不同供应商的投标文件由同一单位或者个人编制；</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（4）不同供应商委托同一单位或者个人办理投标事宜；</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（5）不同供应商的投标文件载明的项目管理成员为同一人；</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（6）不同供应商的投标文件异常一致或者投标报价呈规律性差异；</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val="zh-CN"/>
        </w:rPr>
        <w:t xml:space="preserve">）不同供应商的负责人为同一人或者存在控股、管理关系的；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属于投标邀请中拒绝参加本次采购活动供应商的</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val="zh-CN"/>
        </w:rPr>
        <w:t xml:space="preserve">）没有逐一说明投标产品品牌、型号、产地、性能参数，而是直接拷贝招标文件技术要求的；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lang w:val="en-US" w:eastAsia="zh-CN"/>
        </w:rPr>
        <w:t xml:space="preserve">0</w:t>
      </w:r>
      <w:r>
        <w:rPr>
          <w:rFonts w:hint="eastAsia" w:ascii="宋体" w:hAnsi="宋体" w:cs="宋体"/>
          <w:color w:val="000000"/>
          <w:sz w:val="24"/>
          <w:szCs w:val="24"/>
          <w:lang w:val="zh-CN"/>
        </w:rPr>
        <w:t xml:space="preserve">）投标文件含有采购人不能接受的附加条件的；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21.2.2.5有下列情形之一的予以废标：</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（1）符合资格条件的供应商或者对招标文件作实质性响应的供应商不足三家的；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（2）出现影响采购公正的违法、违规行为的；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（3）供应商的报价均超过了采购预算或最高限价，采购人不能支付的；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（4）因重大变故，采购任务取消的；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（5）招标文件存在歧义、重大缺陷，或者招标文件内容违反国家有关强制性规定的。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）因苏采云系统故障造成开标不成功。</w:t>
      </w:r>
      <w:r>
        <w:rPr>
          <w:rFonts w:hint="eastAsia" w:ascii="宋体" w:hAnsi="宋体" w:cs="宋体"/>
          <w:color w:val="000000"/>
          <w:sz w:val="24"/>
          <w:szCs w:val="24"/>
          <w:lang w:val="zh-CN"/>
        </w:rPr>
      </w:r>
      <w:r/>
    </w:p>
    <w:p>
      <w:pPr>
        <w:pStyle w:val="736"/>
        <w:ind w:firstLine="480"/>
        <w:spacing w:line="360" w:lineRule="auto"/>
        <w:rPr>
          <w:rFonts w:hint="eastAsia" w:ascii="宋体" w:hAnsi="宋体" w:cs="宋体"/>
          <w:color w:val="000000"/>
          <w:sz w:val="24"/>
          <w:szCs w:val="24"/>
        </w:rPr>
      </w:pPr>
      <w:r/>
      <w:bookmarkStart w:id="22" w:name="OLE_LINK44"/>
      <w:r>
        <w:rPr>
          <w:rFonts w:hint="eastAsia" w:ascii="宋体" w:hAnsi="宋体" w:cs="宋体"/>
          <w:color w:val="000000"/>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（3）投标(响应)报价低于采购项目最高限价45%的，即投标(响应)报价＜采购项目最高限价×45%；</w:t>
      </w:r>
      <w:r>
        <w:rPr>
          <w:rFonts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具体要求按《关于推动解决政府采购异常低价问题的通知》(财库【2026】2号)执行。</w:t>
      </w:r>
      <w:bookmarkEnd w:id="22"/>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澄清有关问题。</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投标人的澄清、说明或者补正不得超出投标文件的范围或者改变投标文件的实质性内容。</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评标委员会并非对每个投标人都做澄清要求。</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21.2.</w:t>
      </w:r>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投标文件报价出现前后不一致的，除招标文件另有规定外，按照下列规定修正：</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（1）投标文件中开标一览表内容与投标文件中相应内容不一致的，以开标一览表为准；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（2）大写金额和小写金额不一致的，以大写金额为准；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（3）单价金额小数点或者百分比有明显错位的，以开标一览表的总价为准，并修改单价；</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（4）总价金额与按单价汇总金额不一致的，以单价金额计算结果为准。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同时出现两种以上不一致的，按照前款规定的顺序修正。</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21.2.5比较与评价。</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w:t>
      </w:r>
      <w:r>
        <w:rPr>
          <w:rFonts w:hint="eastAsia" w:ascii="宋体" w:hAnsi="宋体" w:cs="宋体"/>
          <w:b/>
          <w:bCs/>
          <w:color w:val="000000"/>
          <w:sz w:val="24"/>
          <w:szCs w:val="24"/>
        </w:rPr>
        <w:t xml:space="preserve">1.2.6</w:t>
      </w:r>
      <w:r>
        <w:rPr>
          <w:rFonts w:hint="eastAsia" w:ascii="宋体" w:hAnsi="宋体" w:cs="宋体"/>
          <w:b/>
          <w:bCs/>
          <w:color w:val="000000"/>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21.3评标方法和标准</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color w:val="000000"/>
          <w:sz w:val="24"/>
          <w:szCs w:val="24"/>
          <w:lang w:val="zh-CN"/>
        </w:rPr>
      </w:pPr>
      <w:r>
        <w:rPr>
          <w:rFonts w:hint="eastAsia" w:ascii="宋体" w:hAnsi="宋体" w:cs="宋体"/>
          <w:b/>
          <w:bCs/>
          <w:color w:val="000000"/>
          <w:sz w:val="24"/>
          <w:szCs w:val="24"/>
          <w:lang w:val="zh-CN"/>
        </w:rPr>
        <w:t xml:space="preserve">21.3.2</w:t>
      </w:r>
      <w:r>
        <w:rPr>
          <w:rFonts w:hint="eastAsia" w:ascii="宋体" w:hAnsi="宋体" w:cs="宋体"/>
          <w:b/>
          <w:bCs/>
          <w:color w:val="000000"/>
          <w:sz w:val="24"/>
          <w:szCs w:val="24"/>
        </w:rPr>
        <w:t xml:space="preserve">本次采购采用综合评分法，评标方法和标准，详见本招标文件第三章。</w:t>
      </w:r>
      <w:r>
        <w:rPr>
          <w:rFonts w:hint="eastAsia" w:ascii="宋体" w:hAnsi="宋体" w:cs="宋体"/>
          <w:color w:val="000000"/>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22.确定中标供应商</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22.1采用综合评分法的，评标结果按评审后得分由高到低顺序排列。得分相同的，按投标报价由低到高顺序排列。得分且投标报价相同的并列，按技术指标优劣顺序排列。</w:t>
      </w:r>
      <w:bookmarkStart w:id="23" w:name="_Hlk44576646"/>
      <w:r>
        <w:rPr>
          <w:rFonts w:hint="eastAsia" w:ascii="宋体" w:hAnsi="宋体" w:eastAsia="宋体" w:cs="宋体"/>
          <w:color w:val="000000"/>
          <w:sz w:val="24"/>
          <w:szCs w:val="24"/>
        </w:rPr>
        <w:t xml:space="preserve">投标文件满足招标文件全部实质性要求，</w:t>
      </w:r>
      <w:bookmarkEnd w:id="23"/>
      <w:r/>
      <w:bookmarkStart w:id="24" w:name="_Hlk128053036"/>
      <w:r>
        <w:rPr>
          <w:rFonts w:hint="eastAsia" w:ascii="宋体" w:hAnsi="宋体" w:eastAsia="宋体" w:cs="宋体"/>
          <w:color w:val="000000"/>
          <w:sz w:val="24"/>
          <w:szCs w:val="24"/>
        </w:rPr>
        <w:t xml:space="preserve">且按照评审因素的量化指标评审得分，经采购人授权，评标委员会确定中标人。</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22.2中标人确定后，采购代理机构在</w:t>
      </w:r>
      <w:r>
        <w:rPr>
          <w:rFonts w:hint="eastAsia" w:ascii="宋体" w:hAnsi="宋体" w:eastAsia="宋体" w:cs="宋体"/>
          <w:color w:val="000000"/>
          <w:sz w:val="24"/>
          <w:szCs w:val="24"/>
          <w:lang w:val="zh-CN"/>
        </w:rPr>
        <w:t xml:space="preserve">“江苏政府采购网”发布</w:t>
      </w:r>
      <w:r>
        <w:rPr>
          <w:rFonts w:hint="eastAsia" w:ascii="宋体" w:hAnsi="宋体" w:eastAsia="宋体" w:cs="宋体"/>
          <w:color w:val="000000"/>
          <w:sz w:val="24"/>
          <w:szCs w:val="24"/>
        </w:rPr>
        <w:t xml:space="preserve">中标公告，公告期限为1个工作日。</w:t>
      </w:r>
      <w:bookmarkEnd w:id="24"/>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23.中标通知书</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23.l中标结果确定后，采购代理机构将向中标人发出中标通知书。中标人可在中标结果公告届满之日起三十日内,登录苏采云系统下载。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24.评标过程的保密性</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24.1采购人和采购代理机构将采取必要措施，保证评标在严格保密的情况下进行。</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24.2任何单位和个人不得非法干预、影响评标办法的确定，以及评标过程和结果。</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24.3凡是与审查、澄清、评价和比较投标的有关资料等，均不向投标人及与评标无关的其他人员透露。</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outlineLvl w:val="1"/>
      </w:pPr>
      <w:r/>
      <w:bookmarkStart w:id="25" w:name="_Toc10399"/>
      <w:r/>
      <w:bookmarkStart w:id="26" w:name="_Hlk176188663"/>
      <w:r>
        <w:rPr>
          <w:rFonts w:hint="eastAsia" w:ascii="宋体" w:hAnsi="宋体" w:eastAsia="宋体" w:cs="宋体"/>
          <w:b/>
          <w:bCs/>
          <w:color w:val="000000"/>
          <w:sz w:val="24"/>
          <w:szCs w:val="24"/>
        </w:rPr>
        <w:t xml:space="preserve">五、签订合同</w:t>
      </w:r>
      <w:bookmarkEnd w:id="25"/>
      <w:r/>
      <w:bookmarkEnd w:id="26"/>
      <w:r>
        <w:rPr>
          <w:rFonts w:hint="eastAsia" w:ascii="宋体" w:hAnsi="宋体" w:eastAsia="宋体" w:cs="宋体"/>
          <w:b/>
          <w:bCs/>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25.签订合同</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25.2采购人不得向中标人提出任何不合理的要求作为签订合同的条件。</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bookmarkStart w:id="27" w:name="_Hlk128053131"/>
      <w:r>
        <w:rPr>
          <w:rFonts w:hint="eastAsia" w:ascii="宋体" w:hAnsi="宋体" w:eastAsia="宋体" w:cs="宋体"/>
          <w:color w:val="000000"/>
          <w:sz w:val="24"/>
          <w:szCs w:val="24"/>
        </w:rPr>
        <w:t xml:space="preserve">25.3</w:t>
      </w:r>
      <w:bookmarkStart w:id="28" w:name="_Hlk134712780"/>
      <w:r>
        <w:rPr>
          <w:rFonts w:hint="eastAsia" w:ascii="宋体" w:hAnsi="宋体" w:eastAsia="宋体" w:cs="宋体"/>
          <w:color w:val="000000"/>
          <w:sz w:val="24"/>
          <w:szCs w:val="24"/>
        </w:rPr>
        <w:t xml:space="preserve">中标人拒绝与采购人签订合同的，采购人可以按照评标报告推荐的中标候选人名单排序，确定下一候选人为中标人，也可以重新开展政府采购活动。</w:t>
      </w:r>
      <w:bookmarkEnd w:id="27"/>
      <w:r/>
      <w:bookmarkEnd w:id="28"/>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25.4政府采购合同履行中，采购人需追加与合同标的相同的</w:t>
      </w:r>
      <w:bookmarkStart w:id="29" w:name="_Hlk176352307"/>
      <w:r>
        <w:rPr>
          <w:rFonts w:hint="eastAsia" w:ascii="宋体" w:hAnsi="宋体" w:eastAsia="宋体" w:cs="宋体"/>
          <w:color w:val="000000"/>
          <w:sz w:val="24"/>
          <w:szCs w:val="24"/>
        </w:rPr>
        <w:t xml:space="preserve">服务（包含与服务相关的货物）</w:t>
      </w:r>
      <w:bookmarkEnd w:id="29"/>
      <w:r>
        <w:rPr>
          <w:rFonts w:hint="eastAsia" w:ascii="宋体" w:hAnsi="宋体" w:eastAsia="宋体" w:cs="宋体"/>
          <w:color w:val="000000"/>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25.5招标文件、中标人的投标文件及招标过程中有关澄清、承诺文件均作为合同附件。</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25.6采购人与中标人应当根据合同的约定依法履行合同义务。</w:t>
      </w:r>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outlineLvl w:val="1"/>
      </w:pPr>
      <w:r/>
      <w:bookmarkStart w:id="30" w:name="_Toc27810"/>
      <w:r>
        <w:rPr>
          <w:rFonts w:hint="eastAsia" w:ascii="宋体" w:hAnsi="宋体" w:eastAsia="宋体" w:cs="宋体"/>
          <w:b/>
          <w:bCs/>
          <w:color w:val="000000"/>
          <w:sz w:val="24"/>
          <w:szCs w:val="24"/>
        </w:rPr>
        <w:t xml:space="preserve">六、质疑和投诉</w:t>
      </w:r>
      <w:bookmarkEnd w:id="30"/>
      <w:r>
        <w:rPr>
          <w:rFonts w:hint="eastAsia" w:ascii="宋体" w:hAnsi="宋体" w:eastAsia="宋体" w:cs="宋体"/>
          <w:b/>
          <w:bCs/>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26.质疑</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bookmarkStart w:id="31" w:name="_Hlk135041925"/>
      <w:r>
        <w:rPr>
          <w:rFonts w:hint="eastAsia" w:ascii="宋体" w:hAnsi="宋体" w:eastAsia="宋体" w:cs="宋体"/>
          <w:color w:val="000000"/>
          <w:sz w:val="24"/>
          <w:szCs w:val="24"/>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投标人必须在法定质疑期内一次性提出针对同一采购程序环节的质疑。</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26.4投标人提出质疑应当按照《政府采购质疑和投诉办法》的规定提交质疑函和必要的证明材料。质疑函应当包括下列内容：</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（1）投标人的姓名或者名称、地址、邮编、联系人及联系电话；</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（2）质疑项目的名称、编号；</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（3）具体、明确的质疑事项和与质疑事项相关的请求（具体条款）；</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（4）事实依据（具体条款）；</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（5）必要的法律依据（具体条款）；</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（6）提出质疑的日期。</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26.5质疑函应当现场提交至采购代理机构联系人处，提交时应出示有效身份证明。未按上述要求提交质疑函的，质疑不予受理。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26.7采购代理机构在收到投标人的书面质疑后将及时组织调查核实，在七个工作日内作出答复，并以书面或在网站公告形式通知质疑投标人和其他有关投标人，答复的内容不涉及商业秘密。</w:t>
      </w:r>
      <w:bookmarkEnd w:id="31"/>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27.投诉</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27.2投标人投诉应当有明确的请求和必要的证明材料。投标人投诉的事项不得超出已质疑事项的范围。</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27.4投诉人在全国范围12个月内3次以上投诉查无实据的，由财政部门列入不良行为记录名单。</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（1）捏造事实；</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（2）提供虚假材料；</w:t>
      </w:r>
      <w:r>
        <w:rPr>
          <w:rFonts w:hint="eastAsia" w:ascii="宋体" w:hAnsi="宋体" w:cs="宋体"/>
          <w:color w:val="000000"/>
          <w:sz w:val="24"/>
          <w:szCs w:val="24"/>
        </w:rPr>
      </w:r>
      <w:r/>
    </w:p>
    <w:p>
      <w:pPr>
        <w:pStyle w:val="736"/>
        <w:ind w:firstLine="480"/>
        <w:jc w:val="center"/>
        <w:spacing w:line="360" w:lineRule="auto"/>
        <w:rPr>
          <w:rFonts w:hint="eastAsia" w:ascii="宋体" w:hAnsi="宋体" w:cs="宋体"/>
          <w:color w:val="000000"/>
          <w:sz w:val="24"/>
          <w:szCs w:val="24"/>
        </w:rPr>
        <w:outlineLvl w:val="9"/>
      </w:pPr>
      <w:r>
        <w:rPr>
          <w:rFonts w:hint="eastAsia" w:ascii="宋体" w:hAnsi="宋体" w:cs="宋体"/>
          <w:color w:val="000000"/>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rPr>
      </w:r>
      <w:r/>
    </w:p>
    <w:p>
      <w:pPr>
        <w:pStyle w:val="736"/>
        <w:ind w:firstLine="480"/>
        <w:jc w:val="center"/>
        <w:spacing w:line="360" w:lineRule="auto"/>
        <w:rPr>
          <w:rFonts w:hint="eastAsia" w:ascii="宋体" w:hAnsi="宋体" w:cs="宋体"/>
          <w:color w:val="000000"/>
          <w:sz w:val="24"/>
          <w:szCs w:val="24"/>
        </w:rPr>
        <w:outlineLvl w:val="9"/>
      </w:pPr>
      <w:r>
        <w:rPr>
          <w:rFonts w:hint="eastAsia" w:ascii="宋体" w:hAnsi="宋体" w:cs="宋体"/>
          <w:color w:val="000000"/>
          <w:sz w:val="24"/>
          <w:szCs w:val="24"/>
        </w:rPr>
      </w:r>
      <w:r/>
    </w:p>
    <w:p>
      <w:pPr>
        <w:pStyle w:val="736"/>
        <w:ind w:firstLine="683"/>
        <w:jc w:val="center"/>
        <w:spacing w:line="360" w:lineRule="auto"/>
        <w:rPr>
          <w:rFonts w:hint="eastAsia" w:ascii="宋体" w:hAnsi="宋体" w:cs="宋体"/>
          <w:b/>
          <w:bCs/>
          <w:color w:val="000000"/>
          <w:spacing w:val="-10"/>
          <w:sz w:val="36"/>
          <w:szCs w:val="36"/>
          <w:lang w:val="zh-CN"/>
        </w:rPr>
        <w:outlineLvl w:val="0"/>
      </w:pPr>
      <w:r>
        <w:rPr>
          <w:rFonts w:hint="eastAsia" w:ascii="宋体" w:hAnsi="宋体" w:cs="宋体"/>
          <w:b/>
          <w:bCs/>
          <w:color w:val="000000"/>
          <w:spacing w:val="-10"/>
          <w:sz w:val="36"/>
          <w:szCs w:val="36"/>
          <w:highlight w:val="yellow"/>
          <w:lang w:val="zh-CN"/>
        </w:rPr>
        <w:br w:type="page" w:clear="all"/>
      </w:r>
      <w:bookmarkStart w:id="32" w:name="_Toc19529"/>
      <w:r>
        <w:rPr>
          <w:rFonts w:hint="eastAsia" w:ascii="宋体" w:hAnsi="宋体" w:cs="宋体"/>
          <w:b/>
          <w:bCs/>
          <w:color w:val="000000"/>
          <w:spacing w:val="-10"/>
          <w:sz w:val="36"/>
          <w:szCs w:val="36"/>
          <w:lang w:val="zh-CN"/>
        </w:rPr>
        <w:t xml:space="preserve">第三章</w:t>
      </w:r>
      <w:r>
        <w:rPr>
          <w:rFonts w:hint="eastAsia" w:ascii="宋体" w:hAnsi="宋体" w:cs="宋体"/>
          <w:b/>
          <w:bCs/>
          <w:color w:val="000000"/>
          <w:spacing w:val="-10"/>
          <w:sz w:val="36"/>
          <w:szCs w:val="36"/>
        </w:rPr>
        <w:t xml:space="preserve">  </w:t>
      </w:r>
      <w:r>
        <w:rPr>
          <w:rFonts w:hint="eastAsia" w:ascii="宋体" w:hAnsi="宋体" w:cs="宋体"/>
          <w:b/>
          <w:bCs/>
          <w:color w:val="000000"/>
          <w:spacing w:val="-10"/>
          <w:sz w:val="36"/>
          <w:szCs w:val="36"/>
          <w:lang w:val="zh-CN"/>
        </w:rPr>
        <w:t xml:space="preserve">评标方法和标准</w:t>
      </w:r>
      <w:bookmarkEnd w:id="32"/>
      <w:r>
        <w:rPr>
          <w:rFonts w:hint="eastAsia" w:ascii="宋体" w:hAnsi="宋体" w:cs="宋体"/>
          <w:b/>
          <w:bCs/>
          <w:color w:val="000000"/>
          <w:spacing w:val="-10"/>
          <w:sz w:val="36"/>
          <w:szCs w:val="36"/>
          <w:lang w:val="zh-CN"/>
        </w:rPr>
      </w:r>
      <w:r/>
    </w:p>
    <w:p>
      <w:pPr>
        <w:pStyle w:val="736"/>
        <w:jc w:val="left"/>
        <w:spacing w:line="360" w:lineRule="auto"/>
        <w:rPr>
          <w:rFonts w:hint="eastAsia" w:ascii="宋体" w:hAnsi="宋体" w:cs="宋体"/>
          <w:b/>
          <w:bCs/>
          <w:color w:val="000000"/>
          <w:sz w:val="24"/>
          <w:szCs w:val="24"/>
          <w:lang w:val="zh-CN"/>
        </w:rPr>
        <w:outlineLvl w:val="1"/>
      </w:pPr>
      <w:r/>
      <w:bookmarkStart w:id="33" w:name="_Toc31219"/>
      <w:r>
        <w:rPr>
          <w:rFonts w:hint="eastAsia" w:ascii="宋体" w:hAnsi="宋体" w:cs="宋体"/>
          <w:b/>
          <w:bCs/>
          <w:color w:val="000000"/>
          <w:sz w:val="24"/>
          <w:szCs w:val="24"/>
          <w:lang w:val="zh-CN"/>
        </w:rPr>
        <w:t xml:space="preserve">一、采用综合评分法</w:t>
      </w:r>
      <w:bookmarkEnd w:id="33"/>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lang w:val="zh-CN"/>
        </w:rPr>
      </w:r>
      <w:r/>
    </w:p>
    <w:p>
      <w:pPr>
        <w:pStyle w:val="736"/>
        <w:jc w:val="left"/>
        <w:spacing w:line="360" w:lineRule="auto"/>
        <w:rPr>
          <w:rFonts w:hint="eastAsia" w:ascii="宋体" w:hAnsi="宋体" w:cs="宋体"/>
          <w:b/>
          <w:bCs/>
          <w:color w:val="000000"/>
          <w:sz w:val="24"/>
          <w:szCs w:val="24"/>
          <w:lang w:val="zh-CN"/>
        </w:rPr>
        <w:outlineLvl w:val="1"/>
      </w:pPr>
      <w:r/>
      <w:bookmarkStart w:id="34" w:name="_Toc23559"/>
      <w:r>
        <w:rPr>
          <w:rFonts w:hint="eastAsia" w:ascii="宋体" w:hAnsi="宋体" w:cs="宋体"/>
          <w:b/>
          <w:bCs/>
          <w:color w:val="000000"/>
          <w:sz w:val="24"/>
          <w:szCs w:val="24"/>
          <w:lang w:val="zh-CN"/>
        </w:rPr>
        <w:t xml:space="preserve">二、综合评分法评审评分细则</w:t>
      </w:r>
      <w:bookmarkEnd w:id="34"/>
      <w:r>
        <w:rPr>
          <w:rFonts w:hint="eastAsia" w:ascii="宋体" w:hAnsi="宋体" w:cs="宋体"/>
          <w:b/>
          <w:bCs/>
          <w:color w:val="000000"/>
          <w:sz w:val="24"/>
          <w:szCs w:val="24"/>
          <w:lang w:val="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序号</w:t>
            </w:r>
            <w:r>
              <w:rPr>
                <w:rFonts w:hint="eastAsia" w:ascii="宋体" w:hAnsi="宋体" w:eastAsia="宋体" w:cs="宋体"/>
                <w:b/>
                <w:bCs/>
                <w:color w:val="000000"/>
                <w:spacing w:val="-3"/>
              </w:rPr>
            </w:r>
            <w:r/>
          </w:p>
        </w:tc>
        <w:tc>
          <w:tcPr>
            <w:tcW w:w="117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评审因素</w:t>
            </w:r>
            <w:r>
              <w:rPr>
                <w:rFonts w:hint="eastAsia" w:ascii="宋体" w:hAnsi="宋体" w:eastAsia="宋体" w:cs="宋体"/>
                <w:b/>
                <w:bCs/>
                <w:color w:val="000000"/>
                <w:spacing w:val="-3"/>
              </w:rPr>
            </w:r>
            <w:r/>
          </w:p>
        </w:tc>
        <w:tc>
          <w:tcPr>
            <w:tcW w:w="633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评审细则</w:t>
            </w:r>
            <w:r>
              <w:rPr>
                <w:rFonts w:hint="eastAsia" w:ascii="宋体" w:hAnsi="宋体" w:eastAsia="宋体" w:cs="宋体"/>
                <w:b/>
                <w:bCs/>
                <w:color w:val="000000"/>
                <w:spacing w:val="-3"/>
              </w:rPr>
            </w:r>
            <w:r/>
          </w:p>
        </w:tc>
        <w:tc>
          <w:tcPr>
            <w:tcW w:w="647"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分值</w:t>
            </w:r>
            <w:r>
              <w:rPr>
                <w:rFonts w:hint="eastAsia" w:ascii="宋体" w:hAnsi="宋体" w:eastAsia="宋体" w:cs="宋体"/>
                <w:b/>
                <w:bCs/>
                <w:color w:val="000000"/>
                <w:spacing w:val="-3"/>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类型</w:t>
            </w:r>
            <w:r>
              <w:rPr>
                <w:rFonts w:hint="eastAsia" w:ascii="宋体" w:hAnsi="宋体" w:eastAsia="宋体" w:cs="宋体"/>
                <w:b/>
                <w:bCs/>
                <w:color w:val="000000"/>
                <w:spacing w:val="-3"/>
              </w:rPr>
            </w:r>
            <w:r/>
          </w:p>
        </w:tc>
      </w:tr>
      <w:tr>
        <w:trPr>
          <w:trHeight w:val="460"/>
        </w:trPr>
        <w:tc>
          <w:tcPr>
            <w:gridSpan w:val="5"/>
            <w:tcW w:w="9575" w:type="dxa"/>
            <w:vAlign w:val="top"/>
            <w:textDirection w:val="lrTb"/>
            <w:noWrap/>
          </w:tcPr>
          <w:p>
            <w:pPr>
              <w:pStyle w:val="736"/>
              <w:ind w:left="114"/>
              <w:keepLines w:val="0"/>
              <w:keepNext w:val="0"/>
              <w:pageBreakBefore w:val="0"/>
              <w:spacing w:before="122" w:line="320" w:lineRule="atLeast"/>
              <w:rPr>
                <w:rFonts w:hint="eastAsia" w:ascii="宋体" w:hAnsi="宋体" w:eastAsia="宋体" w:cs="宋体"/>
                <w:color w:val="000000"/>
              </w:rPr>
            </w:pPr>
            <w:r>
              <w:rPr>
                <w:rFonts w:hint="eastAsia" w:ascii="宋体" w:hAnsi="宋体" w:eastAsia="宋体" w:cs="宋体"/>
                <w:b/>
                <w:bCs/>
                <w:color w:val="000000"/>
                <w:spacing w:val="-3"/>
              </w:rPr>
              <w:t xml:space="preserve">1.价</w:t>
            </w:r>
            <w:r>
              <w:rPr>
                <w:rFonts w:hint="eastAsia" w:ascii="宋体" w:hAnsi="宋体" w:eastAsia="宋体" w:cs="宋体"/>
                <w:b/>
                <w:bCs/>
                <w:color w:val="000000"/>
                <w:spacing w:val="-2"/>
              </w:rPr>
              <w:t xml:space="preserve">格</w:t>
            </w:r>
            <w:r>
              <w:rPr>
                <w:rFonts w:hint="eastAsia" w:ascii="宋体" w:hAnsi="宋体" w:eastAsia="宋体" w:cs="宋体"/>
                <w:color w:val="000000"/>
              </w:rPr>
            </w:r>
            <w:r/>
          </w:p>
        </w:tc>
      </w:tr>
      <w:tr>
        <w:trPr>
          <w:trHeight w:val="1030"/>
        </w:trPr>
        <w:tc>
          <w:tcPr>
            <w:tcW w:w="51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6"/>
              </w:rPr>
              <w:t xml:space="preserve">1</w:t>
            </w:r>
            <w:r>
              <w:rPr>
                <w:rFonts w:hint="eastAsia" w:ascii="宋体" w:hAnsi="宋体" w:eastAsia="宋体" w:cs="宋体"/>
                <w:color w:val="000000"/>
                <w:spacing w:val="-5"/>
              </w:rPr>
              <w:t xml:space="preserve">.1</w:t>
            </w:r>
            <w:r>
              <w:rPr>
                <w:rFonts w:hint="eastAsia" w:ascii="宋体" w:hAnsi="宋体" w:eastAsia="宋体" w:cs="宋体"/>
                <w:color w:val="000000"/>
              </w:rPr>
            </w:r>
            <w:r/>
          </w:p>
        </w:tc>
        <w:tc>
          <w:tcPr>
            <w:tcW w:w="117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2"/>
              </w:rPr>
              <w:t xml:space="preserve">价格分</w:t>
            </w:r>
            <w:r>
              <w:rPr>
                <w:rFonts w:hint="eastAsia" w:ascii="宋体" w:hAnsi="宋体" w:eastAsia="宋体" w:cs="宋体"/>
                <w:color w:val="000000"/>
              </w:rPr>
            </w:r>
            <w:r/>
          </w:p>
        </w:tc>
        <w:tc>
          <w:tcPr>
            <w:tcW w:w="6330" w:type="dxa"/>
            <w:vAlign w:val="center"/>
            <w:textDirection w:val="lrTb"/>
            <w:noWrap/>
          </w:tcPr>
          <w:p>
            <w:pPr>
              <w:pStyle w:val="736"/>
              <w:ind w:firstLine="212"/>
              <w:jc w:val="left"/>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1"/>
              </w:rPr>
              <w:t xml:space="preserve">采用低价优先</w:t>
            </w:r>
            <w:r>
              <w:rPr>
                <w:rFonts w:hint="eastAsia" w:ascii="宋体" w:hAnsi="宋体" w:eastAsia="宋体" w:cs="宋体"/>
                <w:color w:val="000000"/>
              </w:rPr>
              <w:t xml:space="preserve">法计算，即满足招标文件要求且投标价格最低的投标</w:t>
            </w:r>
            <w:r>
              <w:rPr>
                <w:rFonts w:hint="eastAsia" w:ascii="宋体" w:hAnsi="宋体" w:eastAsia="宋体" w:cs="宋体"/>
                <w:color w:val="000000"/>
                <w:spacing w:val="1"/>
              </w:rPr>
              <w:t xml:space="preserve">报价为评标基准</w:t>
            </w:r>
            <w:r>
              <w:rPr>
                <w:rFonts w:hint="eastAsia" w:ascii="宋体" w:hAnsi="宋体" w:eastAsia="宋体" w:cs="宋体"/>
                <w:color w:val="000000"/>
              </w:rPr>
              <w:t xml:space="preserve">价，其价格分为满分。其他投标人的价格分统一按</w:t>
            </w:r>
            <w:r>
              <w:rPr>
                <w:rFonts w:hint="eastAsia" w:ascii="宋体" w:hAnsi="宋体" w:eastAsia="宋体" w:cs="宋体"/>
                <w:color w:val="000000"/>
                <w:spacing w:val="-1"/>
              </w:rPr>
              <w:t xml:space="preserve">照下列公</w:t>
            </w:r>
            <w:r>
              <w:rPr>
                <w:rFonts w:hint="eastAsia" w:ascii="宋体" w:hAnsi="宋体" w:eastAsia="宋体" w:cs="宋体"/>
                <w:color w:val="000000"/>
              </w:rPr>
              <w:t xml:space="preserve">式计算：投标报价得分=(评标基准价/投标报价)×价格分值（小数点保留两位）</w:t>
            </w:r>
            <w:r>
              <w:rPr>
                <w:rFonts w:hint="eastAsia" w:ascii="宋体" w:hAnsi="宋体" w:eastAsia="宋体" w:cs="宋体"/>
                <w:color w:val="000000"/>
              </w:rPr>
            </w:r>
            <w:r/>
          </w:p>
        </w:tc>
        <w:tc>
          <w:tcPr>
            <w:tcW w:w="647"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c>
          <w:tcPr>
            <w:tcW w:w="900"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价格分</w:t>
            </w:r>
            <w:r>
              <w:rPr>
                <w:rFonts w:hint="eastAsia" w:ascii="宋体" w:hAnsi="宋体" w:eastAsia="宋体" w:cs="宋体"/>
                <w:color w:val="000000"/>
              </w:rPr>
            </w:r>
            <w:r/>
          </w:p>
        </w:tc>
      </w:tr>
      <w:tr>
        <w:trPr>
          <w:trHeight w:val="460"/>
        </w:trPr>
        <w:tc>
          <w:tcPr>
            <w:gridSpan w:val="5"/>
            <w:tcW w:w="9575" w:type="dxa"/>
            <w:vAlign w:val="top"/>
            <w:textDirection w:val="lrTb"/>
            <w:noWrap/>
          </w:tcPr>
          <w:p>
            <w:pPr>
              <w:pStyle w:val="736"/>
              <w:ind w:left="114"/>
              <w:keepLines w:val="0"/>
              <w:keepNext w:val="0"/>
              <w:pageBreakBefore w:val="0"/>
              <w:spacing w:before="123" w:line="320" w:lineRule="atLeast"/>
              <w:rPr>
                <w:rFonts w:hint="eastAsia" w:ascii="宋体" w:hAnsi="宋体" w:eastAsia="宋体" w:cs="宋体"/>
                <w:color w:val="000000"/>
              </w:rPr>
            </w:pPr>
            <w:r>
              <w:rPr>
                <w:rFonts w:hint="eastAsia" w:ascii="宋体" w:hAnsi="宋体" w:eastAsia="宋体" w:cs="宋体"/>
                <w:b/>
                <w:bCs/>
                <w:color w:val="000000"/>
                <w:spacing w:val="-3"/>
              </w:rPr>
              <w:t xml:space="preserve">2.技术</w:t>
            </w:r>
            <w:r>
              <w:rPr>
                <w:rFonts w:hint="eastAsia" w:ascii="宋体" w:hAnsi="宋体" w:eastAsia="宋体" w:cs="宋体"/>
                <w:color w:val="000000"/>
              </w:rPr>
            </w:r>
            <w:r/>
          </w:p>
        </w:tc>
      </w:tr>
      <w:tr>
        <w:trPr>
          <w:trHeight w:val="891"/>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2.1</w:t>
            </w:r>
            <w:r>
              <w:rPr>
                <w:rFonts w:hint="eastAsia" w:ascii="宋体" w:hAnsi="宋体" w:eastAsia="宋体" w:cs="宋体"/>
                <w:color w:val="000000"/>
                <w:spacing w:val="-2"/>
              </w:rPr>
            </w:r>
            <w:r/>
          </w:p>
        </w:tc>
        <w:tc>
          <w:tcPr>
            <w:tcW w:w="117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产品技术参数</w:t>
            </w:r>
            <w:r>
              <w:rPr>
                <w:rFonts w:hint="eastAsia" w:ascii="宋体" w:hAnsi="宋体" w:eastAsia="宋体" w:cs="宋体"/>
                <w:color w:val="000000"/>
                <w:spacing w:val="-2"/>
              </w:rPr>
            </w:r>
            <w:r/>
          </w:p>
        </w:tc>
        <w:tc>
          <w:tcPr>
            <w:tcW w:w="6330" w:type="dxa"/>
            <w:vAlign w:val="center"/>
            <w:textDirection w:val="lrTb"/>
            <w:noWrap/>
          </w:tcPr>
          <w:p>
            <w:pPr>
              <w:pStyle w:val="736"/>
              <w:ind w:firstLine="210"/>
              <w:jc w:val="left"/>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产品技术参数</w:t>
            </w:r>
            <w:r>
              <w:rPr>
                <w:rFonts w:hint="eastAsia" w:ascii="宋体" w:hAnsi="宋体" w:eastAsia="宋体" w:cs="宋体"/>
                <w:color w:val="000000"/>
                <w:spacing w:val="1"/>
              </w:rPr>
              <w:t xml:space="preserve">全部</w:t>
            </w:r>
            <w:r>
              <w:rPr>
                <w:rFonts w:hint="eastAsia" w:ascii="宋体" w:hAnsi="宋体" w:eastAsia="宋体" w:cs="宋体"/>
                <w:color w:val="000000"/>
              </w:rPr>
              <w:t xml:space="preserve">满足招标要求的得满分，打★指标为必须满足项，如有负偏离将作为无效投标，打▲指标为重要指标，有1项负偏离扣2分，其余指标有1项负偏离扣1分，扣完为止。</w:t>
            </w:r>
            <w:r>
              <w:rPr>
                <w:rFonts w:hint="eastAsia" w:ascii="宋体" w:hAnsi="宋体" w:eastAsia="宋体" w:cs="宋体"/>
                <w:color w:val="000000"/>
              </w:rPr>
            </w:r>
            <w:r/>
          </w:p>
        </w:tc>
        <w:tc>
          <w:tcPr>
            <w:tcW w:w="647"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lang w:val="en-US" w:eastAsia="zh-CN"/>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6</w:t>
            </w:r>
            <w:r>
              <w:rPr>
                <w:rFonts w:hint="eastAsia" w:ascii="宋体" w:hAnsi="宋体" w:eastAsia="宋体" w:cs="宋体"/>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rPr>
            </w:pPr>
            <w:r>
              <w:rPr>
                <w:rFonts w:hint="eastAsia" w:ascii="宋体" w:hAnsi="宋体" w:eastAsia="宋体" w:cs="宋体"/>
                <w:color w:val="000000"/>
                <w:spacing w:val="-6"/>
              </w:rPr>
              <w:t xml:space="preserve">客</w:t>
            </w:r>
            <w:r>
              <w:rPr>
                <w:rFonts w:hint="eastAsia" w:ascii="宋体" w:hAnsi="宋体" w:eastAsia="宋体" w:cs="宋体"/>
                <w:color w:val="000000"/>
                <w:spacing w:val="-4"/>
              </w:rPr>
              <w:t xml:space="preserve">观分</w:t>
            </w:r>
            <w:r>
              <w:rPr>
                <w:rFonts w:hint="eastAsia" w:ascii="宋体" w:hAnsi="宋体" w:eastAsia="宋体" w:cs="宋体"/>
                <w:color w:val="000000"/>
              </w:rPr>
            </w:r>
            <w:r/>
          </w:p>
        </w:tc>
      </w:tr>
      <w:tr>
        <w:trPr>
          <w:trHeight w:val="891"/>
        </w:trPr>
        <w:tc>
          <w:tcPr>
            <w:tcW w:w="519"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rPr>
              <w:t xml:space="preserve">2.</w:t>
            </w:r>
            <w:r>
              <w:rPr>
                <w:rFonts w:hint="eastAsia" w:ascii="宋体" w:hAnsi="宋体" w:eastAsia="宋体" w:cs="宋体"/>
                <w:b w:val="0"/>
                <w:bCs/>
                <w:color w:val="000000"/>
                <w:szCs w:val="21"/>
                <w:lang w:val="en-US" w:eastAsia="zh-CN"/>
              </w:rPr>
              <w:t xml:space="preserve">2</w:t>
            </w:r>
            <w:r>
              <w:rPr>
                <w:rFonts w:hint="eastAsia" w:ascii="宋体" w:hAnsi="宋体" w:eastAsia="宋体" w:cs="宋体"/>
                <w:b w:val="0"/>
                <w:bCs/>
                <w:color w:val="000000"/>
                <w:szCs w:val="21"/>
                <w:lang w:val="en-US" w:eastAsia="zh-CN"/>
              </w:rPr>
            </w:r>
            <w:r/>
          </w:p>
          <w:p>
            <w:pPr>
              <w:pStyle w:val="767"/>
              <w:ind w:left="420"/>
              <w:jc w:val="center"/>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r>
            <w:r/>
          </w:p>
        </w:tc>
        <w:tc>
          <w:tcPr>
            <w:tcW w:w="1179"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原材料检测报告</w:t>
            </w:r>
            <w:r>
              <w:rPr>
                <w:rFonts w:hint="eastAsia" w:ascii="宋体" w:hAnsi="宋体" w:eastAsia="宋体" w:cs="宋体"/>
                <w:b w:val="0"/>
                <w:bCs/>
                <w:color w:val="000000"/>
                <w:sz w:val="21"/>
                <w:szCs w:val="21"/>
                <w:lang w:val="en-US" w:eastAsia="zh-CN" w:bidi="ar-SA"/>
              </w:rPr>
            </w:r>
            <w:r/>
          </w:p>
        </w:tc>
        <w:tc>
          <w:tcPr>
            <w:tcW w:w="6330" w:type="dxa"/>
            <w:vAlign w:val="top"/>
            <w:textDirection w:val="lrTb"/>
            <w:noWrap/>
          </w:tcPr>
          <w:p>
            <w:pPr>
              <w:pStyle w:val="736"/>
              <w:jc w:val="left"/>
              <w:keepLines w:val="0"/>
              <w:keepNext w:val="0"/>
              <w:pageBreakBefore w:val="0"/>
              <w:spacing w:line="320" w:lineRule="atLeast"/>
              <w:widowControl/>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投标人提供自202</w:t>
            </w:r>
            <w:r>
              <w:rPr>
                <w:rFonts w:hint="eastAsia" w:ascii="宋体" w:hAnsi="宋体" w:eastAsia="宋体" w:cs="宋体"/>
                <w:b w:val="0"/>
                <w:bCs/>
                <w:color w:val="000000"/>
                <w:szCs w:val="21"/>
                <w:lang w:val="en-US" w:eastAsia="zh-CN"/>
              </w:rPr>
              <w:t xml:space="preserve">3</w:t>
            </w:r>
            <w:r>
              <w:rPr>
                <w:rFonts w:hint="eastAsia" w:ascii="宋体" w:hAnsi="宋体" w:eastAsia="宋体" w:cs="宋体"/>
                <w:b w:val="0"/>
                <w:bCs/>
                <w:color w:val="000000"/>
                <w:szCs w:val="21"/>
              </w:rPr>
              <w:t xml:space="preserve">年1月1日（以报告签发日期为准）以来，具有CMA标识的以下原材料检测报告，每提供一项合格的检测报告得1分，检测内容不符或不全不得分，本项最多得2分。</w:t>
            </w:r>
            <w:r>
              <w:rPr>
                <w:rFonts w:hint="eastAsia" w:ascii="宋体" w:hAnsi="宋体" w:eastAsia="宋体" w:cs="宋体"/>
                <w:b w:val="0"/>
                <w:bCs/>
                <w:color w:val="000000"/>
                <w:szCs w:val="21"/>
              </w:rPr>
            </w:r>
            <w:r/>
          </w:p>
          <w:p>
            <w:pPr>
              <w:pStyle w:val="736"/>
              <w:numPr>
                <w:ilvl w:val="0"/>
                <w:numId w:val="0"/>
              </w:numPr>
              <w:keepLines w:val="0"/>
              <w:keepNext w:val="0"/>
              <w:pageBreakBefore w:val="0"/>
              <w:spacing w:line="320" w:lineRule="atLeast"/>
              <w:rPr>
                <w:rFonts w:hint="eastAsia" w:ascii="宋体" w:hAnsi="宋体" w:eastAsia="宋体" w:cs="宋体"/>
                <w:b w:val="0"/>
                <w:bCs/>
                <w:color w:val="000000"/>
                <w:sz w:val="21"/>
                <w:szCs w:val="21"/>
                <w:lang w:val="en-US" w:eastAsia="zh-CN" w:bidi="ar"/>
              </w:rPr>
            </w:pPr>
            <w:r>
              <w:rPr>
                <w:rFonts w:hint="eastAsia" w:ascii="宋体" w:hAnsi="宋体" w:eastAsia="宋体" w:cs="宋体"/>
                <w:b w:val="0"/>
                <w:bCs/>
                <w:color w:val="000000"/>
                <w:sz w:val="21"/>
                <w:szCs w:val="21"/>
                <w:lang w:val="en-US" w:eastAsia="zh-CN" w:bidi="ar"/>
              </w:rPr>
              <w:t xml:space="preserve">所投“学生实验桌”</w:t>
            </w:r>
            <w:r>
              <w:rPr>
                <w:rFonts w:hint="eastAsia" w:ascii="宋体" w:hAnsi="宋体" w:eastAsia="宋体" w:cs="宋体"/>
                <w:b w:val="0"/>
                <w:bCs/>
                <w:color w:val="000000"/>
                <w:szCs w:val="21"/>
              </w:rPr>
              <w:t xml:space="preserve">产品原材料双面膜实芯理化板</w:t>
            </w:r>
            <w:r>
              <w:rPr>
                <w:rFonts w:hint="eastAsia" w:ascii="宋体" w:hAnsi="宋体" w:eastAsia="宋体" w:cs="宋体"/>
                <w:b w:val="0"/>
                <w:bCs/>
                <w:color w:val="000000"/>
                <w:sz w:val="21"/>
                <w:szCs w:val="21"/>
                <w:lang w:val="en-US" w:eastAsia="zh-CN" w:bidi="ar"/>
              </w:rPr>
              <w:t xml:space="preserve">：</w:t>
            </w:r>
            <w:r>
              <w:rPr>
                <w:rFonts w:hint="eastAsia" w:ascii="宋体" w:hAnsi="宋体" w:eastAsia="宋体" w:cs="宋体"/>
                <w:b w:val="0"/>
                <w:bCs/>
                <w:color w:val="000000"/>
                <w:sz w:val="21"/>
                <w:szCs w:val="21"/>
                <w:lang w:val="en-US" w:eastAsia="zh-CN" w:bidi="ar"/>
              </w:rPr>
            </w:r>
            <w:r/>
          </w:p>
          <w:p>
            <w:pPr>
              <w:pStyle w:val="736"/>
              <w:numPr>
                <w:ilvl w:val="0"/>
                <w:numId w:val="0"/>
              </w:numPr>
              <w:keepLines w:val="0"/>
              <w:keepNext w:val="0"/>
              <w:pageBreakBefore w:val="0"/>
              <w:spacing w:line="320" w:lineRule="atLeast"/>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val="en-US" w:eastAsia="zh-CN" w:bidi="ar"/>
              </w:rPr>
              <w:t xml:space="preserve">（1）</w:t>
            </w:r>
            <w:r>
              <w:rPr>
                <w:rFonts w:hint="eastAsia" w:ascii="宋体" w:hAnsi="宋体" w:eastAsia="宋体" w:cs="宋体"/>
                <w:b w:val="0"/>
                <w:bCs/>
                <w:color w:val="000000"/>
                <w:sz w:val="21"/>
                <w:szCs w:val="21"/>
                <w:lang w:bidi="ar"/>
              </w:rPr>
              <w:t xml:space="preserve">燃烧性能符合GB/T 2408-2021《塑料燃烧性能的测定水平法和垂直法》标准，检测内容至少满足：水平燃烧符合HB级；垂直燃烧符合V-0级。</w:t>
            </w:r>
            <w:r>
              <w:rPr>
                <w:rFonts w:hint="eastAsia" w:ascii="宋体" w:hAnsi="宋体" w:eastAsia="宋体" w:cs="宋体"/>
                <w:b w:val="0"/>
                <w:bCs/>
                <w:color w:val="000000"/>
                <w:sz w:val="21"/>
                <w:szCs w:val="21"/>
              </w:rPr>
              <w:t xml:space="preserve">提供得1分。</w:t>
            </w:r>
            <w:r>
              <w:rPr>
                <w:rFonts w:hint="eastAsia" w:ascii="宋体" w:hAnsi="宋体" w:eastAsia="宋体" w:cs="宋体"/>
                <w:b w:val="0"/>
                <w:bCs/>
                <w:color w:val="000000"/>
                <w:sz w:val="21"/>
                <w:szCs w:val="21"/>
                <w:lang w:bidi="ar"/>
              </w:rPr>
            </w:r>
            <w:r/>
          </w:p>
          <w:p>
            <w:pPr>
              <w:pStyle w:val="843"/>
              <w:numPr>
                <w:ilvl w:val="0"/>
                <w:numId w:val="0"/>
              </w:numPr>
              <w:keepLines w:val="0"/>
              <w:keepNext w:val="0"/>
              <w:pageBreakBefore w:val="0"/>
              <w:spacing w:line="320" w:lineRule="atLeas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化学性能检测：台面依据GB/T 17657-20</w:t>
            </w:r>
            <w:r>
              <w:rPr>
                <w:rFonts w:hint="eastAsia" w:ascii="宋体" w:hAnsi="宋体" w:eastAsia="宋体" w:cs="宋体"/>
                <w:b w:val="0"/>
                <w:bCs/>
                <w:color w:val="000000"/>
                <w:sz w:val="21"/>
                <w:szCs w:val="21"/>
                <w:lang w:val="en-US" w:eastAsia="zh-CN"/>
              </w:rPr>
              <w:t xml:space="preserve">22</w:t>
            </w:r>
            <w:r>
              <w:rPr>
                <w:rFonts w:hint="eastAsia" w:ascii="宋体" w:hAnsi="宋体" w:eastAsia="宋体" w:cs="宋体"/>
                <w:b w:val="0"/>
                <w:bCs/>
                <w:color w:val="000000"/>
                <w:sz w:val="21"/>
                <w:szCs w:val="21"/>
              </w:rPr>
              <w:t xml:space="preserve"> 《人造板及饰面人造板理化性能试验方法》标准，耐污染性能不少于1</w:t>
            </w:r>
            <w:r>
              <w:rPr>
                <w:rFonts w:hint="eastAsia" w:ascii="宋体" w:hAnsi="宋体" w:eastAsia="宋体" w:cs="宋体"/>
                <w:b w:val="0"/>
                <w:bCs/>
                <w:color w:val="000000"/>
                <w:sz w:val="21"/>
                <w:szCs w:val="21"/>
                <w:lang w:val="en-US" w:eastAsia="zh-CN"/>
              </w:rPr>
              <w:t xml:space="preserve">30</w:t>
            </w:r>
            <w:r>
              <w:rPr>
                <w:rFonts w:hint="eastAsia" w:ascii="宋体" w:hAnsi="宋体" w:eastAsia="宋体" w:cs="宋体"/>
                <w:b w:val="0"/>
                <w:bCs/>
                <w:color w:val="000000"/>
                <w:sz w:val="21"/>
                <w:szCs w:val="21"/>
              </w:rPr>
              <w:t xml:space="preserve">项试验污染物的检测，且包含：65%硝酸、37%盐酸、98%硫酸、40%氢氧化钠、99%乙酸、丙酮等试剂，覆盖玻璃盖板和未覆盖玻璃盖板检验结果均为</w:t>
            </w:r>
            <w:r>
              <w:rPr>
                <w:rFonts w:hint="eastAsia" w:ascii="宋体" w:hAnsi="宋体" w:eastAsia="宋体" w:cs="宋体"/>
                <w:b w:val="0"/>
                <w:bCs/>
                <w:color w:val="000000"/>
                <w:sz w:val="21"/>
                <w:szCs w:val="21"/>
                <w:lang w:val="en-US" w:eastAsia="zh-CN"/>
              </w:rPr>
              <w:t xml:space="preserve">5级：无明显变化。</w:t>
            </w:r>
            <w:r>
              <w:rPr>
                <w:rFonts w:hint="eastAsia" w:ascii="宋体" w:hAnsi="宋体" w:eastAsia="宋体" w:cs="宋体"/>
                <w:b w:val="0"/>
                <w:bCs/>
                <w:color w:val="000000"/>
                <w:sz w:val="21"/>
                <w:szCs w:val="21"/>
              </w:rPr>
              <w:t xml:space="preserve">提供得1分。</w:t>
            </w:r>
            <w:r>
              <w:rPr>
                <w:rFonts w:hint="eastAsia" w:ascii="宋体" w:hAnsi="宋体" w:eastAsia="宋体" w:cs="宋体"/>
                <w:b w:val="0"/>
                <w:bCs/>
                <w:color w:val="000000"/>
                <w:sz w:val="21"/>
                <w:szCs w:val="21"/>
              </w:rPr>
            </w:r>
            <w:r/>
          </w:p>
          <w:p>
            <w:pPr>
              <w:pStyle w:val="736"/>
              <w:keepLines w:val="0"/>
              <w:keepNext w:val="0"/>
              <w:pageBreakBefore w:val="0"/>
              <w:spacing w:line="320" w:lineRule="atLeast"/>
              <w:widowControl/>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lang w:bidi="ar"/>
              </w:rPr>
              <w:t xml:space="preserve">备注：上述涉及标准中未标年号的一律采用最新的标准；随着标准的修订，以修订后的最新标准为依据；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b w:val="0"/>
                <w:bCs/>
                <w:color w:val="000000"/>
                <w:szCs w:val="21"/>
                <w:lang w:val="en-US" w:eastAsia="zh-CN" w:bidi="ar"/>
              </w:rPr>
              <w:t xml:space="preserve">检测报告以扫描件形式编入至投标文件中。</w:t>
            </w:r>
            <w:r>
              <w:rPr>
                <w:rFonts w:hint="eastAsia" w:ascii="宋体" w:hAnsi="宋体" w:eastAsia="宋体" w:cs="宋体"/>
                <w:b w:val="0"/>
                <w:bCs/>
                <w:color w:val="000000"/>
                <w:sz w:val="21"/>
                <w:szCs w:val="21"/>
                <w:lang w:val="en-US" w:eastAsia="zh-CN" w:bidi="ar-SA"/>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2</w:t>
            </w:r>
            <w:r>
              <w:rPr>
                <w:rFonts w:hint="eastAsia" w:ascii="宋体" w:hAnsi="宋体" w:eastAsia="宋体" w:cs="宋体"/>
                <w:b w:val="0"/>
                <w:bCs/>
                <w:color w:val="000000"/>
                <w:sz w:val="21"/>
                <w:szCs w:val="21"/>
                <w:lang w:val="en-US" w:eastAsia="zh-CN" w:bidi="ar-SA"/>
              </w:rPr>
            </w:r>
            <w:r/>
          </w:p>
        </w:tc>
        <w:tc>
          <w:tcPr>
            <w:tcW w:w="900" w:type="dxa"/>
            <w:vAlign w:val="center"/>
            <w:textDirection w:val="lrTb"/>
            <w:noWrap/>
          </w:tcPr>
          <w:p>
            <w:pPr>
              <w:pStyle w:val="767"/>
              <w:ind w:left="0" w:firstLine="0"/>
              <w:jc w:val="both"/>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客观分</w:t>
            </w:r>
            <w:r>
              <w:rPr>
                <w:rFonts w:hint="eastAsia" w:ascii="宋体" w:hAnsi="宋体" w:eastAsia="宋体" w:cs="宋体"/>
                <w:b w:val="0"/>
                <w:bCs/>
                <w:color w:val="000000"/>
                <w:sz w:val="21"/>
                <w:szCs w:val="21"/>
                <w:lang w:val="en-US" w:eastAsia="zh-CN" w:bidi="ar-SA"/>
              </w:rPr>
            </w:r>
            <w:r/>
          </w:p>
        </w:tc>
      </w:tr>
      <w:tr>
        <w:trPr>
          <w:trHeight w:val="891"/>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2.3</w:t>
            </w:r>
            <w:r>
              <w:rPr>
                <w:rFonts w:hint="eastAsia" w:ascii="宋体" w:hAnsi="宋体" w:eastAsia="宋体" w:cs="宋体"/>
                <w:color w:val="000000"/>
                <w:spacing w:val="-2"/>
                <w:lang w:val="en-US" w:eastAsia="zh-CN"/>
              </w:rPr>
            </w:r>
            <w:r/>
          </w:p>
        </w:tc>
        <w:tc>
          <w:tcPr>
            <w:tcW w:w="117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val="0"/>
                <w:bCs w:val="0"/>
                <w:color w:val="000000"/>
                <w:spacing w:val="-2"/>
                <w:lang w:val="en-US" w:eastAsia="zh-CN"/>
              </w:rPr>
            </w:pPr>
            <w:r>
              <w:rPr>
                <w:rFonts w:hint="eastAsia" w:ascii="宋体" w:hAnsi="宋体" w:eastAsia="宋体" w:cs="宋体"/>
                <w:b w:val="0"/>
                <w:bCs w:val="0"/>
                <w:color w:val="000000"/>
                <w:spacing w:val="-2"/>
                <w:lang w:val="en-US" w:eastAsia="zh-CN"/>
              </w:rPr>
              <w:t xml:space="preserve">成品检测报告</w:t>
            </w:r>
            <w:r>
              <w:rPr>
                <w:rFonts w:hint="eastAsia" w:ascii="宋体" w:hAnsi="宋体" w:eastAsia="宋体" w:cs="宋体"/>
                <w:b w:val="0"/>
                <w:bCs w:val="0"/>
                <w:color w:val="000000"/>
                <w:spacing w:val="-2"/>
                <w:lang w:val="en-US" w:eastAsia="zh-CN"/>
              </w:rPr>
            </w:r>
            <w:r/>
          </w:p>
        </w:tc>
        <w:tc>
          <w:tcPr>
            <w:tcW w:w="6330" w:type="dxa"/>
            <w:vAlign w:val="center"/>
            <w:textDirection w:val="lrTb"/>
            <w:noWrap/>
          </w:tcPr>
          <w:p>
            <w:pPr>
              <w:pStyle w:val="736"/>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lang w:val="zh-CN" w:eastAsia="zh-CN" w:bidi="ar-SA"/>
              </w:rPr>
              <w:t xml:space="preserve">投标人或所</w:t>
            </w:r>
            <w:r>
              <w:rPr>
                <w:rFonts w:hint="eastAsia" w:ascii="宋体" w:hAnsi="宋体" w:eastAsia="宋体" w:cs="宋体"/>
                <w:b w:val="0"/>
                <w:bCs w:val="0"/>
                <w:color w:val="000000"/>
                <w:sz w:val="21"/>
                <w:szCs w:val="21"/>
                <w:lang w:val="zh-CN" w:eastAsia="zh-CN"/>
              </w:rPr>
              <w:t xml:space="preserve">投产品制造商提供2023年1月1日（以报告签发日期为准）以来，具有以下成品检测报告，每提供一项合格的检测报告得1分，检测内容不符或不全不得分，本项最多</w:t>
            </w:r>
            <w:r>
              <w:rPr>
                <w:rFonts w:hint="eastAsia" w:ascii="宋体" w:hAnsi="宋体" w:eastAsia="宋体" w:cs="宋体"/>
                <w:b w:val="0"/>
                <w:bCs w:val="0"/>
                <w:color w:val="000000"/>
                <w:sz w:val="21"/>
                <w:szCs w:val="21"/>
                <w:lang w:val="zh-CN" w:eastAsia="zh-CN" w:bidi="ar-SA"/>
              </w:rPr>
              <w:t xml:space="preserve">得2分。</w:t>
            </w:r>
            <w:r>
              <w:rPr>
                <w:rFonts w:hint="eastAsia" w:ascii="宋体" w:hAnsi="宋体" w:eastAsia="宋体" w:cs="宋体"/>
                <w:b w:val="0"/>
                <w:bCs w:val="0"/>
                <w:color w:val="000000"/>
                <w:sz w:val="21"/>
                <w:szCs w:val="21"/>
                <w:lang w:val="zh-CN" w:eastAsia="zh-CN" w:bidi="ar-SA"/>
              </w:rPr>
            </w:r>
            <w:r/>
          </w:p>
          <w:p>
            <w:pPr>
              <w:pStyle w:val="736"/>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1、全金属弓形臂微型安全锯床检测报告，机床检验通则 第1部分：在无负荷或准静态条件下机床的几何精度（GB/T17421.1-2023）、GB/T5226.34-2020《机械电气安全机床电气设备》等标准，检测内容包含但不限于性能的一般要求、安全的一般要求、结构的一般要求、外观的一般要求、模型的一般要求。提供得1分。</w:t>
            </w:r>
            <w:r>
              <w:rPr>
                <w:rFonts w:hint="eastAsia" w:ascii="宋体" w:hAnsi="宋体" w:eastAsia="宋体" w:cs="宋体"/>
                <w:b w:val="0"/>
                <w:bCs w:val="0"/>
                <w:color w:val="000000"/>
                <w:sz w:val="21"/>
                <w:szCs w:val="21"/>
                <w:lang w:val="en-US" w:eastAsia="zh-CN"/>
              </w:rPr>
            </w:r>
            <w:r/>
          </w:p>
          <w:p>
            <w:pPr>
              <w:pStyle w:val="736"/>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2、全金属五轴微型安全钻床检测报告，机床检验通则 第1部分：在无负荷或准静态条件下机床的几何精度（GB/T</w:t>
            </w:r>
            <w:r>
              <w:rPr>
                <w:rFonts w:hint="eastAsia" w:ascii="宋体" w:hAnsi="宋体" w:eastAsia="宋体" w:cs="宋体"/>
                <w:b w:val="0"/>
                <w:bCs w:val="0"/>
                <w:color w:val="000000"/>
                <w:sz w:val="21"/>
                <w:szCs w:val="21"/>
                <w:lang w:val="en-US" w:eastAsia="zh-CN"/>
              </w:rPr>
              <w:t xml:space="preserve">174</w:t>
            </w:r>
            <w:r>
              <w:rPr>
                <w:rFonts w:hint="eastAsia" w:ascii="宋体" w:hAnsi="宋体" w:eastAsia="宋体" w:cs="宋体"/>
                <w:b w:val="0"/>
                <w:bCs w:val="0"/>
                <w:color w:val="000000"/>
                <w:sz w:val="21"/>
                <w:szCs w:val="21"/>
                <w:lang w:val="en-US" w:eastAsia="zh-CN"/>
              </w:rPr>
              <w:t xml:space="preserve">21.1-</w:t>
            </w:r>
            <w:r>
              <w:rPr>
                <w:rFonts w:hint="eastAsia" w:ascii="宋体" w:hAnsi="宋体" w:eastAsia="宋体" w:cs="宋体"/>
                <w:b w:val="0"/>
                <w:bCs w:val="0"/>
                <w:color w:val="000000"/>
                <w:sz w:val="21"/>
                <w:szCs w:val="21"/>
                <w:lang w:val="en-US" w:eastAsia="zh-CN"/>
              </w:rPr>
              <w:t xml:space="preserve">2023）、</w:t>
            </w:r>
            <w:r>
              <w:rPr>
                <w:rFonts w:hint="eastAsia" w:ascii="宋体" w:hAnsi="宋体" w:eastAsia="宋体" w:cs="宋体"/>
                <w:b w:val="0"/>
                <w:bCs w:val="0"/>
                <w:color w:val="000000"/>
                <w:sz w:val="21"/>
                <w:szCs w:val="21"/>
                <w:highlight w:val="none"/>
                <w:lang w:val="en-US" w:eastAsia="zh-CN"/>
              </w:rPr>
              <w:t xml:space="preserve">GB/T5226.34-2020《机械电气安全机床电气设备》</w:t>
            </w:r>
            <w:r>
              <w:rPr>
                <w:rFonts w:hint="eastAsia" w:ascii="宋体" w:hAnsi="宋体" w:eastAsia="宋体" w:cs="宋体"/>
                <w:b w:val="0"/>
                <w:bCs w:val="0"/>
                <w:color w:val="000000"/>
                <w:sz w:val="21"/>
                <w:szCs w:val="21"/>
                <w:lang w:val="en-US" w:eastAsia="zh-CN"/>
              </w:rPr>
              <w:t xml:space="preserve">等标准，检测内容包含但不限于主体结构材质、金属表面处理工艺、安全圆角处理、整机装配外观、台板规格、台板刻度、手轮刻度精度、连接块机构稳定性、加工材料范围。</w:t>
            </w:r>
            <w:r>
              <w:rPr>
                <w:rFonts w:hint="eastAsia" w:ascii="宋体" w:hAnsi="宋体" w:eastAsia="宋体" w:cs="宋体"/>
                <w:b w:val="0"/>
                <w:bCs/>
                <w:color w:val="000000"/>
                <w:sz w:val="21"/>
                <w:szCs w:val="21"/>
              </w:rPr>
              <w:t xml:space="preserve">提供得1分。</w:t>
            </w:r>
            <w:r>
              <w:rPr>
                <w:rFonts w:hint="eastAsia" w:ascii="宋体" w:hAnsi="宋体" w:eastAsia="宋体" w:cs="宋体"/>
                <w:b w:val="0"/>
                <w:bCs/>
                <w:color w:val="000000"/>
                <w:sz w:val="21"/>
                <w:szCs w:val="21"/>
                <w:lang w:val="en-US" w:eastAsia="zh-CN"/>
              </w:rPr>
              <w:t xml:space="preserve">以上要求</w:t>
            </w:r>
            <w:r>
              <w:rPr>
                <w:rFonts w:hint="eastAsia" w:ascii="宋体" w:hAnsi="宋体" w:eastAsia="宋体" w:cs="宋体"/>
                <w:b w:val="0"/>
                <w:bCs/>
                <w:color w:val="000000"/>
                <w:szCs w:val="21"/>
                <w:lang w:val="en-US" w:eastAsia="zh-CN" w:bidi="ar"/>
              </w:rPr>
              <w:t xml:space="preserve">检测报告以扫描件形式编入至投标文件中。</w:t>
            </w:r>
            <w:r>
              <w:rPr>
                <w:rFonts w:hint="eastAsia" w:ascii="宋体" w:hAnsi="宋体" w:eastAsia="宋体" w:cs="宋体"/>
                <w:b w:val="0"/>
                <w:bCs w:val="0"/>
                <w:color w:val="000000"/>
                <w:sz w:val="21"/>
                <w:szCs w:val="21"/>
                <w:lang w:val="en-US" w:eastAsia="zh-CN"/>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2</w:t>
            </w:r>
            <w:r>
              <w:rPr>
                <w:rFonts w:hint="eastAsia" w:ascii="宋体" w:hAnsi="宋体" w:eastAsia="宋体" w:cs="宋体"/>
                <w:b w:val="0"/>
                <w:bCs/>
                <w:color w:val="000000"/>
                <w:sz w:val="21"/>
                <w:szCs w:val="21"/>
                <w:lang w:val="en-US" w:eastAsia="zh-CN" w:bidi="ar-SA"/>
              </w:rPr>
            </w:r>
            <w:r/>
          </w:p>
        </w:tc>
        <w:tc>
          <w:tcPr>
            <w:tcW w:w="900" w:type="dxa"/>
            <w:vAlign w:val="center"/>
            <w:textDirection w:val="lrTb"/>
            <w:noWrap/>
          </w:tcPr>
          <w:p>
            <w:pPr>
              <w:pStyle w:val="767"/>
              <w:ind w:left="0" w:firstLine="0"/>
              <w:jc w:val="both"/>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客观分</w:t>
            </w:r>
            <w:r>
              <w:rPr>
                <w:rFonts w:hint="eastAsia" w:ascii="宋体" w:hAnsi="宋体" w:eastAsia="宋体" w:cs="宋体"/>
                <w:b w:val="0"/>
                <w:bCs/>
                <w:color w:val="000000"/>
                <w:sz w:val="21"/>
                <w:szCs w:val="21"/>
                <w:lang w:val="en-US" w:eastAsia="zh-CN" w:bidi="ar-SA"/>
              </w:rPr>
            </w:r>
            <w:r/>
          </w:p>
        </w:tc>
      </w:tr>
      <w:tr>
        <w:trPr>
          <w:trHeight w:val="891"/>
        </w:trPr>
        <w:tc>
          <w:tcPr>
            <w:tcW w:w="519" w:type="dxa"/>
            <w:vAlign w:val="center"/>
            <w:textDirection w:val="lrTb"/>
            <w:noWrap/>
          </w:tcPr>
          <w:p>
            <w:pPr>
              <w:pStyle w:val="736"/>
              <w:numPr>
                <w:ilvl w:val="0"/>
                <w:numId w:val="0"/>
              </w:numPr>
              <w:ind w:right="0"/>
              <w:jc w:val="center"/>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2.4</w:t>
            </w:r>
            <w:r>
              <w:rPr>
                <w:rFonts w:hint="eastAsia" w:ascii="宋体" w:hAnsi="宋体" w:eastAsia="宋体" w:cs="宋体"/>
                <w:b w:val="0"/>
                <w:bCs w:val="0"/>
                <w:color w:val="000000"/>
                <w:sz w:val="21"/>
                <w:szCs w:val="21"/>
                <w:lang w:val="en-US" w:eastAsia="zh-CN" w:bidi="ar"/>
              </w:rPr>
            </w:r>
            <w:r/>
          </w:p>
        </w:tc>
        <w:tc>
          <w:tcPr>
            <w:tcW w:w="1179" w:type="dxa"/>
            <w:vAlign w:val="center"/>
            <w:textDirection w:val="lrTb"/>
            <w:noWrap/>
          </w:tcPr>
          <w:p>
            <w:pPr>
              <w:pStyle w:val="736"/>
              <w:numPr>
                <w:ilvl w:val="0"/>
                <w:numId w:val="0"/>
              </w:numPr>
              <w:ind w:right="0"/>
              <w:jc w:val="center"/>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软著</w:t>
            </w:r>
            <w:r>
              <w:rPr>
                <w:rFonts w:hint="eastAsia" w:ascii="宋体" w:hAnsi="宋体" w:eastAsia="宋体" w:cs="宋体"/>
                <w:b w:val="0"/>
                <w:bCs w:val="0"/>
                <w:color w:val="000000"/>
                <w:sz w:val="21"/>
                <w:szCs w:val="21"/>
                <w:lang w:val="en-US" w:eastAsia="zh-CN" w:bidi="ar"/>
              </w:rPr>
            </w:r>
            <w:r/>
          </w:p>
        </w:tc>
        <w:tc>
          <w:tcPr>
            <w:tcW w:w="6330" w:type="dxa"/>
            <w:vAlign w:val="center"/>
            <w:textDirection w:val="lrTb"/>
            <w:noWrap/>
          </w:tcPr>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投标人或制造商提供所投产品有效期内相关软件著作权证书</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1、实验教学教师端演示系统；</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2、顶装智能控制平台提供软件著作权登记证书；</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3、实验室远程控制系统提供软件著作权登记证书；</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4、实验室温湿度监视系统提供软件著作权登记证书；</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每提供1个证书得1分，最多得4分。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所提供证书“软件名称”与评分细则规定不同时，应提供符合上述要求的内容（功能）说明及关键信息，否则不予认可。相关证书以扫描件形式编入至投标文件中。</w:t>
            </w:r>
            <w:r>
              <w:rPr>
                <w:rFonts w:hint="eastAsia" w:ascii="宋体" w:hAnsi="宋体" w:eastAsia="宋体" w:cs="宋体"/>
                <w:b w:val="0"/>
                <w:bCs w:val="0"/>
                <w:color w:val="000000"/>
                <w:sz w:val="21"/>
                <w:szCs w:val="21"/>
                <w:lang w:val="en-US" w:eastAsia="zh-CN" w:bidi="ar"/>
              </w:rPr>
            </w:r>
            <w:r/>
          </w:p>
        </w:tc>
        <w:tc>
          <w:tcPr>
            <w:tcW w:w="647" w:type="dxa"/>
            <w:vAlign w:val="center"/>
            <w:textDirection w:val="lrTb"/>
            <w:noWrap/>
          </w:tcPr>
          <w:p>
            <w:pPr>
              <w:pStyle w:val="736"/>
              <w:numPr>
                <w:ilvl w:val="0"/>
                <w:numId w:val="0"/>
              </w:numPr>
              <w:ind w:right="0"/>
              <w:jc w:val="center"/>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4</w:t>
            </w:r>
            <w:r>
              <w:rPr>
                <w:rFonts w:hint="eastAsia" w:ascii="宋体" w:hAnsi="宋体" w:eastAsia="宋体" w:cs="宋体"/>
                <w:b w:val="0"/>
                <w:bCs w:val="0"/>
                <w:color w:val="000000"/>
                <w:sz w:val="21"/>
                <w:szCs w:val="21"/>
                <w:lang w:val="en-US" w:eastAsia="zh-CN" w:bidi="ar"/>
              </w:rPr>
            </w:r>
            <w:r/>
          </w:p>
        </w:tc>
        <w:tc>
          <w:tcPr>
            <w:tcW w:w="900" w:type="dxa"/>
            <w:vAlign w:val="center"/>
            <w:textDirection w:val="lrTb"/>
            <w:noWrap/>
          </w:tcPr>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客观分</w:t>
            </w:r>
            <w:r>
              <w:rPr>
                <w:rFonts w:hint="eastAsia" w:ascii="宋体" w:hAnsi="宋体" w:eastAsia="宋体" w:cs="宋体"/>
                <w:b w:val="0"/>
                <w:bCs w:val="0"/>
                <w:color w:val="000000"/>
                <w:sz w:val="21"/>
                <w:szCs w:val="21"/>
                <w:lang w:val="en-US" w:eastAsia="zh-CN" w:bidi="ar"/>
              </w:rPr>
            </w:r>
            <w:r/>
          </w:p>
        </w:tc>
      </w:tr>
      <w:tr>
        <w:trPr>
          <w:trHeight w:val="889"/>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2.5</w:t>
            </w:r>
            <w:r>
              <w:rPr>
                <w:rFonts w:hint="eastAsia" w:ascii="宋体" w:hAnsi="宋体" w:eastAsia="宋体" w:cs="宋体"/>
                <w:color w:val="000000"/>
                <w:spacing w:val="-2"/>
              </w:rPr>
            </w:r>
            <w:r/>
          </w:p>
        </w:tc>
        <w:tc>
          <w:tcPr>
            <w:tcW w:w="1179" w:type="dxa"/>
            <w:vAlign w:val="center"/>
            <w:textDirection w:val="lrTb"/>
            <w:noWrap/>
          </w:tcPr>
          <w:p>
            <w:pPr>
              <w:pStyle w:val="736"/>
              <w:jc w:val="center"/>
              <w:shd w:val="clear" w:color="auto" w:fill="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rPr>
              <w:t xml:space="preserve">视频演示</w:t>
            </w:r>
            <w:r>
              <w:rPr>
                <w:rFonts w:hint="eastAsia" w:ascii="宋体" w:hAnsi="宋体" w:eastAsia="宋体" w:cs="宋体"/>
                <w:b w:val="0"/>
                <w:bCs w:val="0"/>
                <w:color w:val="000000"/>
                <w:sz w:val="22"/>
                <w:szCs w:val="22"/>
                <w:highlight w:val="none"/>
                <w:lang w:val="en-US" w:eastAsia="zh-CN"/>
              </w:rPr>
            </w:r>
            <w:r/>
          </w:p>
        </w:tc>
        <w:tc>
          <w:tcPr>
            <w:tcW w:w="6330" w:type="dxa"/>
            <w:vAlign w:val="center"/>
            <w:textDirection w:val="lrTb"/>
            <w:noWrap/>
          </w:tcPr>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本项总分8分，评委根据投标人提供的视频演示，逐条对照功能要求进行综合打分。投标人无演示视频、演示内容缺失、功能不符合要求的对应项不得分。视频文件格式仅限*.mp4、*.avi，格式不符本项不得分。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一、提供实验教学教师端演示系统演示视频，具体评分细则如下：</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 硬件摄录设备适配与参数性能（1分）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实验操作摄录装置采用USB连接方式，连接稳定、安全可靠；摄像头配备柔性软管结构，可实现360°全方位调节摄像位置与角度，设备拍摄高度约700mm，有效拍摄行程距离小于600mm。</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（2）连接不稳、调节受限或参数不达标：0分。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 教学核心功能综合应用（1分）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具备教学演示、精品教案、仿真实验3 项模块，具备投屏录放、课件编辑功能，配套物理学科资源，实验分必做/选做/分组/演示/探究类目，仿真实验支持缩放和360°旋转。</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(2)功能缺失、资源不符或无法使用：0分。。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二、提供“闪联数显”、“无线智能温度传感器”、“无线智能力和加速度传感器”演示视频，具体评分细则如下： </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1.多对一连接功能（1分）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多个（≥3个）闪联数显可同时连接同一个传感器使用，并同步显示数据变化。</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（2）连接数量不足、数据不同步：0分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2.传感器防水性能（1分）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无线智能温度传感器具备防水功能，将温度传感器完全浸没在水中，可与闪联数显连接1分钟以上数据不中断。</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（2）无防水、连接时长不足或数据中断：0分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3.多通道显示功能（1分）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闪联数显支持多通道传感器显示，连接无线智能力和加速度传感器，可同时显示无线智能力和加速度传感器的4个通道：力及X、Y、Z方向加速度数值。</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（2）显示内容不全：0分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三、提供理化生实验教考智慧终端进行“伏安法测定值电阻”实验并进行AI赋分实验演示，具体评分细则如下：</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 操作提示（1分）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系统能够识别到仪器是否正确组装完成。若仪器组装错误（如电压表串联，电流表并联），系统给出错误提示，并且支持点击提示信息显示参考电路图。</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（2）无法识别仪器组装是否正确或无法生成电路图：0分。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 AI识别（1分）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AI识别到操作时数字孪生同步显示如闭合或打开开关、孪生模型同步操作、且在电路连接正确时会显示电路中电流的动态流动。</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（1）全部符合要求：1分；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（2）无法生成模型或电路中电流无法流动：0分。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3. AI交互验证（1分）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调节滑动变阻器，使电阻两端的电压发生改变，学生读出并记录电压表、电流表示数，填入完成后，AI对表盘进行读数并显示，同时对两值进行比较，在误差范围内可认为读数合格。</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color w:val="000000"/>
                <w:lang w:val="en-US" w:eastAsia="zh-CN"/>
              </w:rPr>
              <w:suppressLineNumbers w:val="0"/>
            </w:pPr>
            <w:r>
              <w:rPr>
                <w:rFonts w:hint="eastAsia" w:ascii="宋体" w:hAnsi="宋体" w:eastAsia="宋体" w:cs="宋体"/>
                <w:b w:val="0"/>
                <w:bCs w:val="0"/>
                <w:color w:val="000000"/>
                <w:sz w:val="21"/>
                <w:szCs w:val="21"/>
                <w:lang w:val="en-US" w:eastAsia="zh-CN" w:bidi="ar"/>
              </w:rPr>
              <w:t xml:space="preserve">(2)功能缺失、无法读数或无法使用：0分。</w:t>
            </w:r>
            <w:r>
              <w:rPr>
                <w:rFonts w:hint="eastAsia"/>
                <w:color w:val="000000"/>
                <w:lang w:val="en-US" w:eastAsia="zh-CN"/>
              </w:rPr>
            </w:r>
            <w:r/>
          </w:p>
        </w:tc>
        <w:tc>
          <w:tcPr>
            <w:tcW w:w="647" w:type="dxa"/>
            <w:vAlign w:val="center"/>
            <w:textDirection w:val="lrTb"/>
            <w:noWrap/>
          </w:tcPr>
          <w:p>
            <w:pPr>
              <w:pStyle w:val="736"/>
              <w:jc w:val="center"/>
              <w:keepLines w:val="0"/>
              <w:keepNext w:val="0"/>
              <w:pageBreakBefore w:val="0"/>
              <w:spacing w:before="68" w:line="320" w:lineRule="atLeast"/>
              <w:rPr>
                <w:rFonts w:ascii="宋体" w:hAnsi="宋体" w:eastAsia="宋体" w:cs="宋体"/>
                <w:color w:val="000000"/>
                <w:lang w:val="en-US" w:eastAsia="zh-CN"/>
              </w:rPr>
            </w:pPr>
            <w:r>
              <w:rPr>
                <w:rFonts w:hint="eastAsia" w:ascii="宋体" w:hAnsi="宋体" w:eastAsia="宋体" w:cs="宋体"/>
                <w:color w:val="000000"/>
                <w:lang w:val="en-US" w:eastAsia="zh-CN"/>
              </w:rPr>
              <w:t xml:space="preserve">8</w:t>
            </w:r>
            <w:r>
              <w:rPr>
                <w:rFonts w:ascii="宋体" w:hAnsi="宋体" w:eastAsia="宋体" w:cs="宋体"/>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6"/>
              </w:rPr>
            </w:pPr>
            <w:r>
              <w:rPr>
                <w:rFonts w:hint="eastAsia" w:ascii="宋体" w:hAnsi="宋体" w:eastAsia="宋体" w:cs="宋体"/>
                <w:color w:val="000000"/>
                <w:spacing w:val="-6"/>
              </w:rPr>
              <w:t xml:space="preserve">客观分</w:t>
            </w:r>
            <w:r>
              <w:rPr>
                <w:rFonts w:hint="eastAsia" w:ascii="宋体" w:hAnsi="宋体" w:eastAsia="宋体" w:cs="宋体"/>
                <w:color w:val="000000"/>
                <w:spacing w:val="-6"/>
              </w:rPr>
            </w:r>
            <w:r/>
          </w:p>
        </w:tc>
      </w:tr>
      <w:tr>
        <w:trPr>
          <w:trHeight w:val="472"/>
        </w:trPr>
        <w:tc>
          <w:tcPr>
            <w:gridSpan w:val="5"/>
            <w:tcW w:w="9575" w:type="dxa"/>
            <w:vAlign w:val="center"/>
            <w:textDirection w:val="lrTb"/>
            <w:noWrap/>
          </w:tcPr>
          <w:p>
            <w:pPr>
              <w:pStyle w:val="736"/>
              <w:keepLines w:val="0"/>
              <w:keepNext w:val="0"/>
              <w:pageBreakBefore w:val="0"/>
              <w:spacing w:before="68" w:line="320" w:lineRule="atLeast"/>
              <w:rPr>
                <w:rFonts w:hint="eastAsia" w:ascii="宋体" w:hAnsi="宋体" w:eastAsia="宋体" w:cs="宋体"/>
                <w:color w:val="000000"/>
              </w:rPr>
            </w:pPr>
            <w:r>
              <w:rPr>
                <w:rFonts w:hint="eastAsia" w:ascii="宋体" w:hAnsi="宋体" w:eastAsia="宋体" w:cs="宋体"/>
                <w:b/>
                <w:bCs/>
                <w:color w:val="000000"/>
                <w:spacing w:val="-3"/>
              </w:rPr>
              <w:t xml:space="preserve">3.服务</w:t>
            </w:r>
            <w:r>
              <w:rPr>
                <w:rFonts w:hint="eastAsia" w:ascii="宋体" w:hAnsi="宋体" w:eastAsia="宋体" w:cs="宋体"/>
                <w:color w:val="000000"/>
              </w:rPr>
            </w:r>
            <w:r/>
          </w:p>
        </w:tc>
      </w:tr>
      <w:tr>
        <w:trPr>
          <w:trHeight w:val="1053"/>
        </w:trPr>
        <w:tc>
          <w:tcPr>
            <w:tcW w:w="519"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2"/>
              </w:rPr>
            </w:pPr>
            <w:r>
              <w:rPr>
                <w:rFonts w:hint="eastAsia" w:ascii="宋体" w:hAnsi="宋体" w:eastAsia="宋体" w:cs="宋体"/>
                <w:color w:val="000000"/>
                <w:spacing w:val="-2"/>
              </w:rPr>
              <w:t xml:space="preserve">3.1</w:t>
            </w:r>
            <w:r>
              <w:rPr>
                <w:rFonts w:hint="eastAsia" w:ascii="宋体" w:hAnsi="宋体" w:eastAsia="宋体" w:cs="宋体"/>
                <w:color w:val="000000"/>
                <w:spacing w:val="-2"/>
              </w:rPr>
            </w:r>
            <w:r/>
          </w:p>
        </w:tc>
        <w:tc>
          <w:tcPr>
            <w:tcW w:w="1179" w:type="dxa"/>
            <w:vAlign w:val="center"/>
            <w:textDirection w:val="lrTb"/>
            <w:noWrap/>
          </w:tcPr>
          <w:p>
            <w:pPr>
              <w:pStyle w:val="736"/>
              <w:jc w:val="left"/>
              <w:keepLines w:val="0"/>
              <w:keepNext w:val="0"/>
              <w:pageBreakBefore w:val="0"/>
              <w:spacing w:line="320" w:lineRule="atLeast"/>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实施方案</w:t>
            </w:r>
            <w:r>
              <w:rPr>
                <w:rFonts w:hint="eastAsia" w:ascii="宋体" w:hAnsi="宋体" w:eastAsia="宋体" w:cs="宋体"/>
                <w:color w:val="000000"/>
                <w:sz w:val="21"/>
                <w:szCs w:val="21"/>
                <w:lang w:val="zh-CN" w:eastAsia="zh-CN" w:bidi="ar-SA"/>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评委根据投标人提供的项目实施方案综合评分，包括：1.供货进度保证措施；2.质量保证措施；3.项目安全措施；4.文明施工；5.应急措施。（以上每项内容逐条阐述）</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（1）上述每项内容完整、科学性、合理性、操作性强的，得1分； </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（2）上述每项内容基本完整、基本科学合理，有可操作性的，得0.5分； </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（3）上述每项内容不完整、不科学合理、不具可操作性或未提供的不得分。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color w:val="000000"/>
                <w:sz w:val="21"/>
                <w:szCs w:val="21"/>
                <w:lang w:val="zh-CN" w:eastAsia="zh-CN" w:bidi="ar-SA"/>
              </w:rPr>
            </w:pPr>
            <w:r>
              <w:rPr>
                <w:rFonts w:hint="eastAsia" w:ascii="宋体" w:hAnsi="宋体" w:eastAsia="宋体" w:cs="宋体"/>
                <w:b w:val="0"/>
                <w:bCs w:val="0"/>
                <w:color w:val="000000"/>
                <w:sz w:val="21"/>
                <w:szCs w:val="21"/>
                <w:lang w:val="en-US" w:bidi="ar-SA"/>
              </w:rPr>
              <w:t xml:space="preserve">本项最多得5分，未提供不得分。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5</w:t>
            </w:r>
            <w:r>
              <w:rPr>
                <w:rFonts w:ascii="宋体" w:hAnsi="宋体" w:eastAsia="宋体" w:cs="宋体"/>
                <w:b w:val="0"/>
                <w:bCs w:val="0"/>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6"/>
              </w:rPr>
            </w:pPr>
            <w:r>
              <w:rPr>
                <w:rFonts w:hint="eastAsia" w:ascii="宋体" w:hAnsi="宋体" w:eastAsia="宋体" w:cs="宋体"/>
                <w:color w:val="000000"/>
                <w:spacing w:val="-6"/>
              </w:rPr>
              <w:t xml:space="preserve">主观分</w:t>
            </w:r>
            <w:r>
              <w:rPr>
                <w:rFonts w:hint="eastAsia" w:ascii="宋体" w:hAnsi="宋体" w:eastAsia="宋体" w:cs="宋体"/>
                <w:color w:val="000000"/>
                <w:spacing w:val="-6"/>
              </w:rPr>
            </w:r>
            <w:r/>
          </w:p>
        </w:tc>
      </w:tr>
      <w:tr>
        <w:trPr>
          <w:trHeight w:val="109"/>
        </w:trPr>
        <w:tc>
          <w:tcPr>
            <w:tcW w:w="519"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2"/>
              </w:rPr>
            </w:pPr>
            <w:r>
              <w:rPr>
                <w:rFonts w:hint="eastAsia" w:ascii="宋体" w:hAnsi="宋体" w:eastAsia="宋体" w:cs="宋体"/>
                <w:color w:val="000000"/>
                <w:spacing w:val="-2"/>
              </w:rPr>
              <w:t xml:space="preserve">3.2</w:t>
            </w:r>
            <w:r>
              <w:rPr>
                <w:rFonts w:hint="eastAsia" w:ascii="宋体" w:hAnsi="宋体" w:eastAsia="宋体" w:cs="宋体"/>
                <w:color w:val="000000"/>
                <w:spacing w:val="-2"/>
              </w:rPr>
            </w:r>
            <w:r/>
          </w:p>
        </w:tc>
        <w:tc>
          <w:tcPr>
            <w:tcW w:w="1179"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2"/>
              </w:rPr>
            </w:pPr>
            <w:r>
              <w:rPr>
                <w:rFonts w:hint="eastAsia" w:ascii="宋体" w:hAnsi="宋体" w:eastAsia="宋体" w:cs="宋体"/>
                <w:color w:val="000000"/>
                <w:spacing w:val="-2"/>
              </w:rPr>
              <w:t xml:space="preserve">售后服务方案</w:t>
            </w:r>
            <w:r>
              <w:rPr>
                <w:rFonts w:hint="eastAsia" w:ascii="宋体" w:hAnsi="宋体" w:eastAsia="宋体" w:cs="宋体"/>
                <w:color w:val="000000"/>
                <w:spacing w:val="-2"/>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bookmarkStart w:id="35" w:name="OLE_LINK39"/>
            <w:r>
              <w:rPr>
                <w:rFonts w:hint="eastAsia" w:ascii="宋体" w:hAnsi="宋体" w:eastAsia="宋体" w:cs="宋体"/>
                <w:b w:val="0"/>
                <w:bCs w:val="0"/>
                <w:color w:val="000000"/>
                <w:sz w:val="21"/>
                <w:szCs w:val="21"/>
                <w:lang w:val="en-US" w:bidi="ar-SA"/>
              </w:rPr>
              <w:t xml:space="preserve">评委根据投标人提供的项目售后服务方案综合评分，包括：1.服务内容；2.故障解决方案；</w:t>
            </w:r>
            <w:r>
              <w:rPr>
                <w:rFonts w:hint="eastAsia" w:ascii="宋体" w:hAnsi="宋体" w:eastAsia="宋体" w:cs="宋体"/>
                <w:b w:val="0"/>
                <w:bCs w:val="0"/>
                <w:color w:val="000000"/>
                <w:sz w:val="21"/>
                <w:szCs w:val="21"/>
                <w:shd w:val="clear" w:color="auto" w:fill="auto"/>
                <w:lang w:val="en-US" w:bidi="ar-SA"/>
              </w:rPr>
              <w:t xml:space="preserve">3.</w:t>
            </w:r>
            <w:r>
              <w:rPr>
                <w:rFonts w:hint="eastAsia" w:ascii="宋体" w:hAnsi="宋体" w:eastAsia="宋体" w:cs="宋体"/>
                <w:color w:val="000000"/>
                <w:spacing w:val="-2"/>
                <w:sz w:val="21"/>
                <w:szCs w:val="21"/>
                <w:shd w:val="clear" w:color="auto" w:fill="auto"/>
                <w:lang w:val="en-US" w:eastAsia="zh-CN"/>
              </w:rPr>
              <w:t xml:space="preserve">响应时间</w:t>
            </w:r>
            <w:r>
              <w:rPr>
                <w:rFonts w:hint="eastAsia" w:ascii="宋体" w:hAnsi="宋体" w:eastAsia="宋体" w:cs="宋体"/>
                <w:b w:val="0"/>
                <w:bCs w:val="0"/>
                <w:color w:val="000000"/>
                <w:sz w:val="21"/>
                <w:szCs w:val="21"/>
                <w:lang w:val="en-US" w:bidi="ar-SA"/>
              </w:rPr>
              <w:t xml:space="preserve">；4.日常维护保障；5.技术人员保障及服务电话等内容。（以上每项内容逐条阐述）</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(1)上述每项内容完整、科学性、合理性、操作性强的，得1分；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(2)上述每项内容基本完整、基本科学合理，有可操作性的，得0.5分；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bidi="ar-SA"/>
              </w:rPr>
              <w:t xml:space="preserve">(3)上述每项内容不完整、不科学合理、不具可操作性或未提供的不得分</w:t>
            </w:r>
            <w:r>
              <w:rPr>
                <w:rFonts w:hint="eastAsia" w:eastAsia="宋体" w:cs="宋体"/>
                <w:b w:val="0"/>
                <w:bCs w:val="0"/>
                <w:color w:val="000000"/>
                <w:sz w:val="21"/>
                <w:szCs w:val="21"/>
                <w:lang w:val="en-US" w:eastAsia="zh-CN" w:bidi="ar-SA"/>
              </w:rPr>
              <w:t xml:space="preserve">。</w:t>
            </w:r>
            <w:r>
              <w:rPr>
                <w:rFonts w:hint="eastAsia" w:ascii="宋体" w:hAnsi="宋体" w:eastAsia="宋体" w:cs="宋体"/>
                <w:b w:val="0"/>
                <w:bCs w:val="0"/>
                <w:color w:val="000000"/>
                <w:sz w:val="21"/>
                <w:szCs w:val="21"/>
                <w:lang w:val="en-US" w:eastAsia="zh-CN"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本项最多得5分，未提供不得分。</w:t>
            </w:r>
            <w:bookmarkEnd w:id="35"/>
            <w:r>
              <w:rPr>
                <w:rFonts w:hint="eastAsia" w:ascii="宋体" w:hAnsi="宋体" w:eastAsia="宋体" w:cs="宋体"/>
                <w:b w:val="0"/>
                <w:bCs w:val="0"/>
                <w:color w:val="000000"/>
                <w:sz w:val="21"/>
                <w:szCs w:val="21"/>
                <w:lang w:val="en-US" w:bidi="ar-SA"/>
              </w:rPr>
            </w:r>
            <w:r/>
          </w:p>
        </w:tc>
        <w:tc>
          <w:tcPr>
            <w:tcW w:w="647"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5</w:t>
            </w:r>
            <w:r>
              <w:rPr>
                <w:rFonts w:hint="eastAsia" w:ascii="宋体" w:hAnsi="宋体" w:eastAsia="宋体" w:cs="宋体"/>
                <w:b w:val="0"/>
                <w:bCs w:val="0"/>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6"/>
              </w:rPr>
            </w:pPr>
            <w:r>
              <w:rPr>
                <w:rFonts w:hint="eastAsia" w:ascii="宋体" w:hAnsi="宋体" w:eastAsia="宋体" w:cs="宋体"/>
                <w:color w:val="000000"/>
                <w:spacing w:val="-6"/>
              </w:rPr>
              <w:t xml:space="preserve">主观分</w:t>
            </w:r>
            <w:r>
              <w:rPr>
                <w:rFonts w:hint="eastAsia" w:ascii="宋体" w:hAnsi="宋体" w:eastAsia="宋体" w:cs="宋体"/>
                <w:color w:val="000000"/>
                <w:spacing w:val="-6"/>
              </w:rPr>
            </w:r>
            <w:r/>
          </w:p>
        </w:tc>
      </w:tr>
      <w:tr>
        <w:trPr>
          <w:trHeight w:val="1096"/>
        </w:trPr>
        <w:tc>
          <w:tcPr>
            <w:tcW w:w="519"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3.3</w:t>
            </w:r>
            <w:r>
              <w:rPr>
                <w:rFonts w:ascii="宋体" w:hAnsi="宋体" w:eastAsia="宋体" w:cs="宋体"/>
                <w:color w:val="000000"/>
                <w:spacing w:val="-2"/>
                <w:lang w:val="en-US" w:eastAsia="zh-CN"/>
              </w:rPr>
            </w:r>
            <w:r/>
          </w:p>
        </w:tc>
        <w:tc>
          <w:tcPr>
            <w:tcW w:w="1179"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培训方案</w:t>
            </w:r>
            <w:r>
              <w:rPr>
                <w:rFonts w:ascii="宋体" w:hAnsi="宋体" w:eastAsia="宋体" w:cs="宋体"/>
                <w:color w:val="000000"/>
                <w:spacing w:val="-2"/>
                <w:lang w:val="en-US" w:eastAsia="zh-CN"/>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评委根据投标人提供的</w:t>
            </w:r>
            <w:r>
              <w:rPr>
                <w:rFonts w:hint="eastAsia" w:ascii="宋体" w:hAnsi="宋体" w:eastAsia="宋体" w:cs="宋体"/>
                <w:color w:val="000000"/>
                <w:spacing w:val="-2"/>
                <w:lang w:val="en-US" w:eastAsia="zh-CN"/>
              </w:rPr>
              <w:t xml:space="preserve">培训方案</w:t>
            </w:r>
            <w:r>
              <w:rPr>
                <w:rFonts w:hint="eastAsia" w:ascii="宋体" w:hAnsi="宋体" w:eastAsia="宋体" w:cs="宋体"/>
                <w:b w:val="0"/>
                <w:bCs w:val="0"/>
                <w:color w:val="000000"/>
                <w:sz w:val="21"/>
                <w:szCs w:val="21"/>
                <w:lang w:val="en-US" w:bidi="ar-SA"/>
              </w:rPr>
              <w:t xml:space="preserve">综合评分，包括1.培训方式；2.培训团队力量；</w:t>
            </w:r>
            <w:r>
              <w:rPr>
                <w:rFonts w:hint="eastAsia" w:ascii="宋体" w:hAnsi="宋体" w:eastAsia="宋体" w:cs="宋体"/>
                <w:b w:val="0"/>
                <w:bCs w:val="0"/>
                <w:color w:val="000000"/>
                <w:sz w:val="21"/>
                <w:szCs w:val="21"/>
                <w:lang w:val="en-US" w:eastAsia="zh-CN" w:bidi="ar-SA"/>
              </w:rPr>
              <w:t xml:space="preserve">3.</w:t>
            </w:r>
            <w:r>
              <w:rPr>
                <w:rFonts w:hint="eastAsia" w:ascii="宋体" w:hAnsi="宋体" w:eastAsia="宋体" w:cs="宋体"/>
                <w:b w:val="0"/>
                <w:bCs w:val="0"/>
                <w:color w:val="000000"/>
                <w:sz w:val="21"/>
                <w:szCs w:val="21"/>
                <w:lang w:val="en-US" w:bidi="ar-SA"/>
              </w:rPr>
              <w:t xml:space="preserve">分层岗位培训</w:t>
            </w:r>
            <w:r>
              <w:rPr>
                <w:rFonts w:hint="eastAsia" w:ascii="宋体" w:hAnsi="宋体" w:eastAsia="宋体" w:cs="宋体"/>
                <w:b w:val="0"/>
                <w:bCs w:val="0"/>
                <w:color w:val="000000"/>
                <w:sz w:val="21"/>
                <w:szCs w:val="21"/>
                <w:lang w:val="en-US" w:eastAsia="zh-CN" w:bidi="ar-SA"/>
              </w:rPr>
              <w:t xml:space="preserve">；4</w:t>
            </w:r>
            <w:r>
              <w:rPr>
                <w:rFonts w:hint="eastAsia" w:ascii="宋体" w:hAnsi="宋体" w:eastAsia="宋体" w:cs="宋体"/>
                <w:b w:val="0"/>
                <w:bCs w:val="0"/>
                <w:color w:val="000000"/>
                <w:sz w:val="21"/>
                <w:szCs w:val="21"/>
                <w:lang w:val="en-US" w:bidi="ar-SA"/>
              </w:rPr>
              <w:t xml:space="preserve">.培训课时</w:t>
            </w:r>
            <w:r>
              <w:rPr>
                <w:rFonts w:hint="eastAsia" w:ascii="宋体" w:hAnsi="宋体" w:eastAsia="宋体" w:cs="宋体"/>
                <w:b w:val="0"/>
                <w:bCs w:val="0"/>
                <w:color w:val="000000"/>
                <w:sz w:val="21"/>
                <w:szCs w:val="21"/>
                <w:lang w:val="en-US" w:eastAsia="zh-CN" w:bidi="ar-SA"/>
              </w:rPr>
              <w:t xml:space="preserve">；5.</w:t>
            </w:r>
            <w:r>
              <w:rPr>
                <w:rFonts w:hint="eastAsia" w:ascii="宋体" w:hAnsi="宋体" w:eastAsia="宋体" w:cs="宋体"/>
                <w:b w:val="0"/>
                <w:bCs w:val="0"/>
                <w:color w:val="000000"/>
                <w:sz w:val="21"/>
                <w:szCs w:val="21"/>
                <w:lang w:val="en-US" w:bidi="ar-SA"/>
              </w:rPr>
              <w:t xml:space="preserve">培训目标成果。（以上每项内容逐条阐述）</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（1）上述每项内容完整深刻，针对性强，紧贴采购需求实际，得</w:t>
            </w: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b w:val="0"/>
                <w:bCs w:val="0"/>
                <w:color w:val="000000"/>
                <w:sz w:val="21"/>
                <w:szCs w:val="21"/>
                <w:lang w:val="en-US" w:bidi="ar-SA"/>
              </w:rPr>
              <w:t xml:space="preserve">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（2）上述每项内容基本完整，有一定针对性，基本符合采购需求实际，得</w:t>
            </w:r>
            <w:r>
              <w:rPr>
                <w:rFonts w:hint="eastAsia" w:ascii="宋体" w:hAnsi="宋体" w:eastAsia="宋体" w:cs="宋体"/>
                <w:b w:val="0"/>
                <w:bCs w:val="0"/>
                <w:color w:val="000000"/>
                <w:sz w:val="21"/>
                <w:szCs w:val="21"/>
                <w:lang w:val="en-US" w:eastAsia="zh-CN" w:bidi="ar-SA"/>
              </w:rPr>
              <w:t xml:space="preserve">0.5</w:t>
            </w:r>
            <w:r>
              <w:rPr>
                <w:rFonts w:hint="eastAsia" w:ascii="宋体" w:hAnsi="宋体" w:eastAsia="宋体" w:cs="宋体"/>
                <w:b w:val="0"/>
                <w:bCs w:val="0"/>
                <w:color w:val="000000"/>
                <w:sz w:val="21"/>
                <w:szCs w:val="21"/>
                <w:lang w:val="en-US" w:bidi="ar-SA"/>
              </w:rPr>
              <w:t xml:space="preserve">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（3）上述每项内容不完整，缺乏针对性，脱离采购需求实际或者未提供方案</w:t>
            </w:r>
            <w:r>
              <w:rPr>
                <w:rFonts w:hint="eastAsia" w:ascii="宋体" w:hAnsi="宋体" w:eastAsia="宋体" w:cs="宋体"/>
                <w:b w:val="0"/>
                <w:bCs w:val="0"/>
                <w:color w:val="000000"/>
                <w:sz w:val="21"/>
                <w:szCs w:val="21"/>
                <w:lang w:val="en-US" w:eastAsia="zh-CN" w:bidi="ar-SA"/>
              </w:rPr>
              <w:t xml:space="preserve">的</w:t>
            </w:r>
            <w:r>
              <w:rPr>
                <w:rFonts w:hint="eastAsia" w:ascii="宋体" w:hAnsi="宋体" w:eastAsia="宋体" w:cs="宋体"/>
                <w:b w:val="0"/>
                <w:bCs w:val="0"/>
                <w:color w:val="000000"/>
                <w:sz w:val="21"/>
                <w:szCs w:val="21"/>
                <w:lang w:val="en-US" w:bidi="ar-SA"/>
              </w:rPr>
              <w:t xml:space="preserve">不得分</w:t>
            </w:r>
            <w:r>
              <w:rPr>
                <w:rFonts w:hint="eastAsia" w:eastAsia="宋体" w:cs="宋体"/>
                <w:b w:val="0"/>
                <w:bCs w:val="0"/>
                <w:color w:val="000000"/>
                <w:sz w:val="21"/>
                <w:szCs w:val="21"/>
                <w:lang w:val="en-US" w:eastAsia="zh-CN" w:bidi="ar-SA"/>
              </w:rPr>
              <w:t xml:space="preserve">。</w:t>
            </w:r>
            <w:r>
              <w:rPr>
                <w:rFonts w:hint="eastAsia" w:ascii="宋体" w:hAnsi="宋体" w:eastAsia="宋体" w:cs="宋体"/>
                <w:b w:val="0"/>
                <w:bCs w:val="0"/>
                <w:color w:val="000000"/>
                <w:sz w:val="21"/>
                <w:szCs w:val="21"/>
                <w:lang w:val="en-US" w:bidi="ar-SA"/>
              </w:rPr>
            </w:r>
            <w:r/>
          </w:p>
        </w:tc>
        <w:tc>
          <w:tcPr>
            <w:tcW w:w="647"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5</w:t>
            </w:r>
            <w:r>
              <w:rPr>
                <w:rFonts w:ascii="宋体" w:hAnsi="宋体" w:eastAsia="宋体" w:cs="宋体"/>
                <w:b w:val="0"/>
                <w:bCs w:val="0"/>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6"/>
              </w:rPr>
            </w:pPr>
            <w:r>
              <w:rPr>
                <w:rFonts w:hint="eastAsia" w:ascii="宋体" w:hAnsi="宋体" w:eastAsia="宋体" w:cs="宋体"/>
                <w:color w:val="000000"/>
                <w:spacing w:val="-6"/>
              </w:rPr>
              <w:t xml:space="preserve">主观分</w:t>
            </w:r>
            <w:r>
              <w:rPr>
                <w:rFonts w:hint="eastAsia" w:ascii="宋体" w:hAnsi="宋体" w:eastAsia="宋体" w:cs="宋体"/>
                <w:color w:val="000000"/>
                <w:spacing w:val="-6"/>
              </w:rPr>
            </w:r>
            <w:r/>
          </w:p>
        </w:tc>
      </w:tr>
      <w:tr>
        <w:trPr>
          <w:trHeight w:val="1096"/>
        </w:trPr>
        <w:tc>
          <w:tcPr>
            <w:tcW w:w="519"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3.4</w:t>
            </w:r>
            <w:r>
              <w:rPr>
                <w:rFonts w:ascii="宋体" w:hAnsi="宋体" w:eastAsia="宋体" w:cs="宋体"/>
                <w:color w:val="000000"/>
                <w:spacing w:val="-2"/>
                <w:lang w:val="en-US" w:eastAsia="zh-CN"/>
              </w:rPr>
            </w:r>
            <w:r/>
          </w:p>
        </w:tc>
        <w:tc>
          <w:tcPr>
            <w:tcW w:w="1179"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2"/>
                <w:lang w:val="en-US" w:eastAsia="zh-CN"/>
              </w:rPr>
            </w:pPr>
            <w:r>
              <w:rPr>
                <w:rFonts w:hint="eastAsia" w:ascii="宋体" w:hAnsi="宋体" w:eastAsia="宋体" w:cs="宋体"/>
                <w:color w:val="000000"/>
                <w:spacing w:val="-2"/>
              </w:rPr>
              <w:t xml:space="preserve">质保年限</w:t>
            </w:r>
            <w:r>
              <w:rPr>
                <w:rFonts w:hint="eastAsia" w:ascii="宋体" w:hAnsi="宋体" w:eastAsia="宋体" w:cs="宋体"/>
                <w:color w:val="000000"/>
                <w:spacing w:val="-2"/>
                <w:lang w:val="en-US" w:eastAsia="zh-CN"/>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cs="宋体"/>
                <w:color w:val="000000"/>
                <w:szCs w:val="21"/>
              </w:rPr>
              <w:t xml:space="preserve">投标人承诺本项目非电器类产品整体质保期</w:t>
            </w:r>
            <w:r>
              <w:rPr>
                <w:rFonts w:hint="eastAsia" w:ascii="宋体" w:hAnsi="宋体" w:cs="宋体"/>
                <w:color w:val="000000"/>
                <w:szCs w:val="21"/>
                <w:lang w:val="en-US" w:eastAsia="zh-CN"/>
              </w:rPr>
              <w:t xml:space="preserve">六</w:t>
            </w:r>
            <w:r>
              <w:rPr>
                <w:rFonts w:hint="eastAsia" w:ascii="宋体" w:hAnsi="宋体" w:cs="宋体"/>
                <w:color w:val="000000"/>
                <w:szCs w:val="21"/>
              </w:rPr>
              <w:t xml:space="preserve">年得1分，</w:t>
            </w:r>
            <w:r>
              <w:rPr>
                <w:rFonts w:hint="eastAsia" w:ascii="宋体" w:hAnsi="宋体" w:cs="宋体"/>
                <w:color w:val="000000"/>
                <w:szCs w:val="21"/>
                <w:lang w:val="en-US" w:eastAsia="zh-CN"/>
              </w:rPr>
              <w:t xml:space="preserve">每增加1年得1分，最多</w:t>
            </w:r>
            <w:r>
              <w:rPr>
                <w:rFonts w:hint="eastAsia" w:ascii="宋体" w:hAnsi="宋体" w:cs="宋体"/>
                <w:color w:val="000000"/>
                <w:szCs w:val="21"/>
              </w:rPr>
              <w:t xml:space="preserve">得2分（提供承诺书，格式自拟）。</w:t>
            </w:r>
            <w:r>
              <w:rPr>
                <w:rFonts w:hint="eastAsia" w:ascii="宋体" w:hAnsi="宋体" w:eastAsia="宋体" w:cs="宋体"/>
                <w:b w:val="0"/>
                <w:bCs w:val="0"/>
                <w:color w:val="000000"/>
                <w:sz w:val="21"/>
                <w:szCs w:val="21"/>
                <w:lang w:val="en-US" w:bidi="ar-SA"/>
              </w:rPr>
            </w:r>
            <w:r/>
          </w:p>
        </w:tc>
        <w:tc>
          <w:tcPr>
            <w:tcW w:w="647"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2</w:t>
            </w:r>
            <w:r>
              <w:rPr>
                <w:rFonts w:ascii="宋体" w:hAnsi="宋体" w:eastAsia="宋体" w:cs="宋体"/>
                <w:b w:val="0"/>
                <w:bCs w:val="0"/>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6"/>
              </w:rPr>
            </w:pPr>
            <w:r>
              <w:rPr>
                <w:rFonts w:hint="eastAsia" w:ascii="宋体" w:hAnsi="宋体" w:eastAsia="宋体" w:cs="宋体"/>
                <w:color w:val="000000"/>
                <w:szCs w:val="21"/>
              </w:rPr>
              <w:t xml:space="preserve">客观分</w:t>
            </w:r>
            <w:r>
              <w:rPr>
                <w:rFonts w:hint="eastAsia" w:ascii="宋体" w:hAnsi="宋体" w:eastAsia="宋体" w:cs="宋体"/>
                <w:color w:val="000000"/>
                <w:spacing w:val="-6"/>
              </w:rPr>
            </w:r>
            <w:r/>
          </w:p>
        </w:tc>
      </w:tr>
      <w:tr>
        <w:trPr>
          <w:trHeight w:val="455"/>
        </w:trPr>
        <w:tc>
          <w:tcPr>
            <w:gridSpan w:val="5"/>
            <w:tcW w:w="9575" w:type="dxa"/>
            <w:vAlign w:val="center"/>
            <w:textDirection w:val="lrTb"/>
            <w:noWrap/>
          </w:tcPr>
          <w:p>
            <w:pPr>
              <w:pStyle w:val="736"/>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b/>
                <w:bCs/>
                <w:color w:val="000000"/>
                <w:spacing w:val="-3"/>
              </w:rPr>
              <w:t xml:space="preserve">4.业绩</w:t>
            </w:r>
            <w:r>
              <w:rPr>
                <w:rFonts w:hint="eastAsia" w:ascii="宋体" w:hAnsi="宋体" w:eastAsia="宋体" w:cs="宋体"/>
                <w:color w:val="000000"/>
              </w:rPr>
            </w:r>
            <w:r/>
          </w:p>
        </w:tc>
      </w:tr>
      <w:tr>
        <w:trPr>
          <w:trHeight w:val="1015"/>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4.1</w:t>
            </w:r>
            <w:r>
              <w:rPr>
                <w:rFonts w:hint="eastAsia" w:ascii="宋体" w:hAnsi="宋体" w:eastAsia="宋体" w:cs="宋体"/>
                <w:color w:val="000000"/>
                <w:spacing w:val="-2"/>
              </w:rPr>
            </w:r>
            <w:r/>
          </w:p>
        </w:tc>
        <w:tc>
          <w:tcPr>
            <w:tcW w:w="1179" w:type="dxa"/>
            <w:vAlign w:val="center"/>
            <w:textDirection w:val="lrTb"/>
            <w:noWrap/>
          </w:tcPr>
          <w:p>
            <w:pPr>
              <w:pStyle w:val="736"/>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投标人业绩</w:t>
            </w:r>
            <w:r>
              <w:rPr>
                <w:rFonts w:hint="eastAsia" w:ascii="宋体" w:hAnsi="宋体" w:eastAsia="宋体" w:cs="宋体"/>
                <w:color w:val="000000"/>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评委根据投标人提供的2023年1月1日（含）以来（时间以合同签订时间为准）类似项目业绩(合同清单中至少包含核心产品或主要产品)评分，每提供一个得1分，最多得3分，未提供不得分。(需同时提供中标通知书、合同(含货物清单关键页)</w:t>
            </w:r>
            <w:r>
              <w:rPr>
                <w:rFonts w:hint="eastAsia" w:eastAsia="宋体" w:cs="宋体"/>
                <w:b w:val="0"/>
                <w:bCs w:val="0"/>
                <w:color w:val="000000"/>
                <w:sz w:val="21"/>
                <w:szCs w:val="21"/>
                <w:lang w:val="en-US" w:eastAsia="zh-CN" w:bidi="ar-SA"/>
              </w:rPr>
              <w:t xml:space="preserve">、</w:t>
            </w:r>
            <w:r>
              <w:rPr>
                <w:rFonts w:hint="eastAsia" w:ascii="宋体" w:hAnsi="宋体" w:eastAsia="宋体" w:cs="宋体"/>
                <w:color w:val="000000"/>
                <w:sz w:val="21"/>
                <w:szCs w:val="21"/>
                <w:lang w:val="en-US" w:eastAsia="zh-CN" w:bidi="ar"/>
              </w:rPr>
              <w:t xml:space="preserve">验收</w:t>
            </w:r>
            <w:r>
              <w:rPr>
                <w:rFonts w:hint="eastAsia" w:eastAsia="宋体" w:cs="宋体"/>
                <w:color w:val="000000"/>
                <w:sz w:val="21"/>
                <w:szCs w:val="21"/>
                <w:lang w:val="en-US" w:eastAsia="zh-CN" w:bidi="ar"/>
              </w:rPr>
              <w:t xml:space="preserve">表</w:t>
            </w:r>
            <w:r>
              <w:rPr>
                <w:rFonts w:hint="eastAsia" w:eastAsia="宋体" w:cs="宋体"/>
                <w:b w:val="0"/>
                <w:bCs w:val="0"/>
                <w:color w:val="000000"/>
                <w:sz w:val="21"/>
                <w:szCs w:val="21"/>
                <w:lang w:val="en-US" w:eastAsia="zh-CN" w:bidi="ar-SA"/>
              </w:rPr>
              <w:t xml:space="preserve">、</w:t>
            </w:r>
            <w:r>
              <w:rPr>
                <w:rFonts w:hint="eastAsia" w:ascii="宋体" w:hAnsi="宋体" w:eastAsia="宋体" w:cs="宋体"/>
                <w:color w:val="000000"/>
                <w:sz w:val="21"/>
                <w:szCs w:val="21"/>
                <w:lang w:val="en-US" w:eastAsia="zh-CN" w:bidi="ar"/>
              </w:rPr>
              <w:t xml:space="preserve">结款发票的扫描件</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b w:val="0"/>
                <w:bCs w:val="0"/>
                <w:color w:val="000000"/>
                <w:sz w:val="21"/>
                <w:szCs w:val="21"/>
                <w:lang w:val="en-US" w:eastAsia="zh-CN" w:bidi="ar-SA"/>
              </w:rPr>
            </w:r>
            <w:r/>
          </w:p>
          <w:p>
            <w:pPr>
              <w:pStyle w:val="1158"/>
              <w:keepLines w:val="0"/>
              <w:keepNext w:val="0"/>
              <w:pageBreakBefore w:val="0"/>
              <w:spacing w:after="72" w:line="320" w:lineRule="atLeast"/>
              <w:widowControl w:val="off"/>
              <w:rPr>
                <w:rFonts w:hint="eastAsia" w:ascii="宋体" w:hAnsi="宋体" w:eastAsia="宋体" w:cs="宋体"/>
                <w:color w:val="000000"/>
              </w:rPr>
            </w:pPr>
            <w:r>
              <w:rPr>
                <w:rFonts w:hint="eastAsia" w:ascii="宋体" w:hAnsi="宋体" w:eastAsia="宋体" w:cs="宋体"/>
                <w:b w:val="0"/>
                <w:bCs w:val="0"/>
                <w:color w:val="000000"/>
                <w:sz w:val="21"/>
                <w:szCs w:val="21"/>
                <w:lang w:val="en-US" w:eastAsia="zh-CN" w:bidi="ar-SA"/>
              </w:rPr>
              <w:t xml:space="preserve">注:(1)以上合同清单产品名称应进行明显标注，采用如箭头、标红或下划线等标注方式，方便评委查看。(2)允许提供的产品名称与评分标准给定名称有差别，但不能改变产品实质性内容(功能)，如提供的产品名称不一致，须提供产品内容(功能)说明及包含的关键信息，相应内容(功能)应符合采购需求，否则不得分。</w:t>
            </w:r>
            <w:r>
              <w:rPr>
                <w:rFonts w:hint="eastAsia" w:ascii="宋体" w:hAnsi="宋体" w:eastAsia="宋体" w:cs="宋体"/>
                <w:color w:val="000000"/>
              </w:rPr>
            </w:r>
            <w:r/>
          </w:p>
        </w:tc>
        <w:tc>
          <w:tcPr>
            <w:tcW w:w="647"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szCs w:val="21"/>
                <w:lang w:val="en-US" w:eastAsia="zh-CN"/>
              </w:rPr>
            </w:pPr>
            <w:r>
              <w:rPr>
                <w:rFonts w:hint="eastAsia" w:ascii="宋体" w:hAnsi="宋体" w:eastAsia="宋体" w:cs="宋体"/>
                <w:b w:val="0"/>
                <w:bCs w:val="0"/>
                <w:color w:val="000000"/>
                <w:lang w:val="en-US" w:eastAsia="zh-CN"/>
              </w:rPr>
              <w:t xml:space="preserve">3</w:t>
            </w:r>
            <w:r>
              <w:rPr>
                <w:rFonts w:hint="eastAsia" w:ascii="宋体" w:hAnsi="宋体" w:eastAsia="宋体" w:cs="宋体"/>
                <w:color w:val="000000"/>
                <w:szCs w:val="21"/>
                <w:lang w:val="en-US" w:eastAsia="zh-CN"/>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rPr>
            </w:pPr>
            <w:r>
              <w:rPr>
                <w:rFonts w:hint="eastAsia" w:ascii="宋体" w:hAnsi="宋体" w:eastAsia="宋体" w:cs="宋体"/>
                <w:color w:val="000000"/>
                <w:spacing w:val="-6"/>
              </w:rPr>
              <w:t xml:space="preserve">客</w:t>
            </w:r>
            <w:r>
              <w:rPr>
                <w:rFonts w:hint="eastAsia" w:ascii="宋体" w:hAnsi="宋体" w:eastAsia="宋体" w:cs="宋体"/>
                <w:color w:val="000000"/>
                <w:spacing w:val="-4"/>
              </w:rPr>
              <w:t xml:space="preserve">观分</w:t>
            </w:r>
            <w:r>
              <w:rPr>
                <w:rFonts w:hint="eastAsia" w:ascii="宋体" w:hAnsi="宋体" w:eastAsia="宋体" w:cs="宋体"/>
                <w:color w:val="000000"/>
              </w:rPr>
            </w:r>
            <w:r/>
          </w:p>
        </w:tc>
      </w:tr>
      <w:tr>
        <w:trPr>
          <w:trHeight w:val="90"/>
        </w:trPr>
        <w:tc>
          <w:tcPr>
            <w:gridSpan w:val="5"/>
            <w:tcW w:w="9575" w:type="dxa"/>
            <w:vAlign w:val="center"/>
            <w:textDirection w:val="lrTb"/>
            <w:noWrap/>
          </w:tcPr>
          <w:p>
            <w:pPr>
              <w:pStyle w:val="736"/>
              <w:jc w:val="both"/>
              <w:keepLines w:val="0"/>
              <w:keepNext w:val="0"/>
              <w:pageBreakBefore w:val="0"/>
              <w:spacing w:before="68" w:line="320" w:lineRule="atLeast"/>
              <w:rPr>
                <w:rFonts w:hint="eastAsia" w:ascii="宋体" w:hAnsi="宋体" w:eastAsia="宋体" w:cs="宋体"/>
                <w:color w:val="000000"/>
                <w:spacing w:val="-6"/>
              </w:rPr>
            </w:pPr>
            <w:r>
              <w:rPr>
                <w:rFonts w:hint="eastAsia" w:ascii="宋体" w:hAnsi="宋体" w:eastAsia="宋体" w:cs="宋体"/>
                <w:b/>
                <w:bCs/>
                <w:color w:val="000000"/>
                <w:szCs w:val="21"/>
              </w:rPr>
              <w:t xml:space="preserve">5.履约能力</w:t>
            </w:r>
            <w:r>
              <w:rPr>
                <w:rFonts w:hint="eastAsia" w:ascii="宋体" w:hAnsi="宋体" w:eastAsia="宋体" w:cs="宋体"/>
                <w:color w:val="000000"/>
                <w:spacing w:val="-6"/>
              </w:rPr>
            </w:r>
            <w:r/>
          </w:p>
        </w:tc>
      </w:tr>
      <w:tr>
        <w:trPr>
          <w:trHeight w:val="1015"/>
        </w:trPr>
        <w:tc>
          <w:tcPr>
            <w:tcW w:w="519"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5.1</w:t>
            </w:r>
            <w:r>
              <w:rPr>
                <w:rFonts w:hint="eastAsia" w:ascii="宋体" w:hAnsi="宋体" w:eastAsia="宋体" w:cs="宋体"/>
                <w:bCs/>
                <w:color w:val="000000"/>
                <w:sz w:val="21"/>
                <w:szCs w:val="21"/>
                <w:lang w:val="en-US" w:eastAsia="zh-CN" w:bidi="ar-SA"/>
              </w:rPr>
            </w:r>
            <w:r/>
          </w:p>
        </w:tc>
        <w:tc>
          <w:tcPr>
            <w:tcW w:w="117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履约能力1</w:t>
            </w:r>
            <w:r>
              <w:rPr>
                <w:rFonts w:hint="eastAsia" w:ascii="宋体" w:hAnsi="宋体" w:eastAsia="宋体" w:cs="宋体"/>
                <w:color w:val="000000"/>
                <w:sz w:val="21"/>
                <w:szCs w:val="21"/>
                <w:lang w:val="en-US" w:eastAsia="zh-CN" w:bidi="ar-SA"/>
              </w:rPr>
            </w:r>
            <w:r/>
          </w:p>
        </w:tc>
        <w:tc>
          <w:tcPr>
            <w:tcW w:w="6330" w:type="dxa"/>
            <w:vAlign w:val="top"/>
            <w:textDirection w:val="lrTb"/>
            <w:noWrap/>
          </w:tcPr>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投标人或所投产品生产商提供所投家具产品</w:t>
            </w:r>
            <w:r>
              <w:rPr>
                <w:rFonts w:hint="eastAsia" w:ascii="宋体" w:hAnsi="宋体" w:eastAsia="宋体" w:cs="宋体"/>
                <w:b w:val="0"/>
                <w:bCs w:val="0"/>
                <w:color w:val="000000"/>
                <w:sz w:val="21"/>
                <w:szCs w:val="21"/>
                <w:lang w:eastAsia="zh-CN"/>
              </w:rPr>
              <w:t xml:space="preserve">“</w:t>
            </w:r>
            <w:r>
              <w:rPr>
                <w:rFonts w:hint="eastAsia" w:ascii="宋体" w:hAnsi="宋体" w:cs="宋体"/>
                <w:b w:val="0"/>
                <w:bCs w:val="0"/>
                <w:color w:val="000000"/>
                <w:szCs w:val="21"/>
              </w:rPr>
              <w:t xml:space="preserve">产品安全认证证书</w:t>
            </w: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21"/>
                <w:szCs w:val="21"/>
              </w:rPr>
              <w:t xml:space="preserve">认证单元至少包含钢木家具、钢塑家具、木家具类）。(提供原件扫描件及国家认监委网站查询截图上传至系统，提供完整得2分）</w:t>
            </w:r>
            <w:r>
              <w:rPr>
                <w:rFonts w:hint="eastAsia" w:ascii="宋体" w:hAnsi="宋体" w:eastAsia="宋体" w:cs="宋体"/>
                <w:b w:val="0"/>
                <w:bCs w:val="0"/>
                <w:color w:val="000000"/>
                <w:sz w:val="21"/>
                <w:szCs w:val="21"/>
              </w:rPr>
            </w:r>
            <w:r/>
          </w:p>
          <w:p>
            <w:pPr>
              <w:pStyle w:val="736"/>
              <w:jc w:val="left"/>
              <w:keepLines w:val="0"/>
              <w:keepNext w:val="0"/>
              <w:pageBreakBefore w:val="0"/>
              <w:spacing w:line="320" w:lineRule="atLeas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备注：所提供证书“认证范围”与评标标准给定名称</w:t>
            </w:r>
            <w:r>
              <w:rPr>
                <w:rFonts w:hint="eastAsia" w:ascii="宋体" w:hAnsi="宋体" w:eastAsia="宋体" w:cs="宋体"/>
                <w:b w:val="0"/>
                <w:bCs w:val="0"/>
                <w:color w:val="000000"/>
                <w:sz w:val="21"/>
                <w:szCs w:val="21"/>
              </w:rPr>
              <w:t xml:space="preserve">不同时，应提供符合上述要求的内容（功能）说明及关键信息，否则不予认可。为方便评委评审，功能参数可用箭头、标红或下划线等进行明显标注。</w:t>
            </w:r>
            <w:r>
              <w:rPr>
                <w:rFonts w:hint="eastAsia" w:ascii="宋体" w:hAnsi="宋体" w:eastAsia="宋体" w:cs="宋体"/>
                <w:b w:val="0"/>
                <w:bCs w:val="0"/>
                <w:color w:val="000000"/>
                <w:sz w:val="21"/>
                <w:szCs w:val="21"/>
                <w:lang w:val="en-US" w:eastAsia="zh-CN" w:bidi="ar-SA"/>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 w:val="21"/>
                <w:szCs w:val="21"/>
                <w:lang w:val="en-US" w:eastAsia="zh-CN" w:bidi="ar-SA"/>
              </w:rPr>
            </w:r>
            <w:r/>
          </w:p>
        </w:tc>
        <w:tc>
          <w:tcPr>
            <w:tcW w:w="900"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客观分</w:t>
            </w:r>
            <w:r>
              <w:rPr>
                <w:rFonts w:hint="eastAsia" w:ascii="宋体" w:hAnsi="宋体" w:eastAsia="宋体" w:cs="宋体"/>
                <w:bCs/>
                <w:color w:val="000000"/>
                <w:sz w:val="21"/>
                <w:szCs w:val="21"/>
                <w:lang w:val="en-US" w:eastAsia="zh-CN" w:bidi="ar-SA"/>
              </w:rPr>
            </w:r>
            <w:r/>
          </w:p>
        </w:tc>
      </w:tr>
      <w:tr>
        <w:trPr>
          <w:trHeight w:val="1015"/>
        </w:trPr>
        <w:tc>
          <w:tcPr>
            <w:tcW w:w="519"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5.</w:t>
            </w: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 w:val="21"/>
                <w:szCs w:val="21"/>
                <w:lang w:val="en-US" w:eastAsia="zh-CN" w:bidi="ar-SA"/>
              </w:rPr>
            </w:r>
            <w:r/>
          </w:p>
        </w:tc>
        <w:tc>
          <w:tcPr>
            <w:tcW w:w="117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履约能力</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 w:val="21"/>
                <w:szCs w:val="21"/>
                <w:lang w:val="en-US" w:eastAsia="zh-CN" w:bidi="ar-SA"/>
              </w:rPr>
            </w:r>
            <w:r/>
          </w:p>
        </w:tc>
        <w:tc>
          <w:tcPr>
            <w:tcW w:w="6330" w:type="dxa"/>
            <w:vAlign w:val="top"/>
            <w:textDirection w:val="lrTb"/>
            <w:noWrap/>
          </w:tcPr>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投标人或所投产品生产商提供所投家具产品“低 VOCs 家具产品认证证书” （认证单元至少包含</w:t>
            </w:r>
            <w:r>
              <w:rPr>
                <w:rFonts w:hint="eastAsia" w:ascii="宋体" w:hAnsi="宋体" w:eastAsia="宋体" w:cs="宋体"/>
                <w:b w:val="0"/>
                <w:bCs w:val="0"/>
                <w:color w:val="000000"/>
                <w:sz w:val="21"/>
                <w:szCs w:val="21"/>
                <w:lang w:val="en-US" w:eastAsia="zh-CN"/>
              </w:rPr>
              <w:t xml:space="preserve">木家具、</w:t>
            </w:r>
            <w:r>
              <w:rPr>
                <w:rFonts w:hint="eastAsia" w:ascii="宋体" w:hAnsi="宋体" w:eastAsia="宋体" w:cs="宋体"/>
                <w:b w:val="0"/>
                <w:bCs w:val="0"/>
                <w:color w:val="000000"/>
                <w:sz w:val="21"/>
                <w:szCs w:val="21"/>
              </w:rPr>
              <w:t xml:space="preserve">金属家具</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钢木家具</w:t>
            </w:r>
            <w:r>
              <w:rPr>
                <w:rFonts w:hint="eastAsia" w:ascii="宋体" w:hAnsi="宋体" w:eastAsia="宋体" w:cs="宋体"/>
                <w:b w:val="0"/>
                <w:bCs w:val="0"/>
                <w:color w:val="000000"/>
                <w:sz w:val="21"/>
                <w:szCs w:val="21"/>
              </w:rPr>
              <w:t xml:space="preserve">类）。(提供原件扫描件及国家认监委网站查询截图上传至系统，提供完整得2分）</w:t>
            </w:r>
            <w:r>
              <w:rPr>
                <w:rFonts w:hint="eastAsia" w:ascii="宋体" w:hAnsi="宋体" w:eastAsia="宋体" w:cs="宋体"/>
                <w:b w:val="0"/>
                <w:bCs w:val="0"/>
                <w:color w:val="000000"/>
                <w:sz w:val="21"/>
                <w:szCs w:val="21"/>
              </w:rPr>
            </w:r>
            <w:r/>
          </w:p>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备注：所提供证书“认证范围”与评标标准给定名称不同时，应提供符合上述要求的内容（功能）说明及关键信息，否则不予认可。为方便评委评审，功能参数可用箭头、标红或下划线等进行明显标注。</w:t>
            </w:r>
            <w:r>
              <w:rPr>
                <w:rFonts w:hint="eastAsia" w:ascii="宋体" w:hAnsi="宋体" w:eastAsia="宋体" w:cs="宋体"/>
                <w:b w:val="0"/>
                <w:bCs w:val="0"/>
                <w:color w:val="000000"/>
                <w:sz w:val="21"/>
                <w:szCs w:val="21"/>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Cs w:val="21"/>
                <w:lang w:val="en-US" w:eastAsia="zh-CN"/>
              </w:rPr>
            </w:r>
            <w:r/>
          </w:p>
        </w:tc>
        <w:tc>
          <w:tcPr>
            <w:tcW w:w="900"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客观分</w:t>
            </w:r>
            <w:r>
              <w:rPr>
                <w:rFonts w:hint="eastAsia" w:ascii="宋体" w:hAnsi="宋体" w:eastAsia="宋体" w:cs="宋体"/>
                <w:bCs/>
                <w:color w:val="000000"/>
                <w:szCs w:val="21"/>
              </w:rPr>
            </w:r>
            <w:r/>
          </w:p>
        </w:tc>
      </w:tr>
      <w:tr>
        <w:trPr>
          <w:trHeight w:val="1015"/>
        </w:trPr>
        <w:tc>
          <w:tcPr>
            <w:tcW w:w="519" w:type="dxa"/>
            <w:vAlign w:val="center"/>
            <w:textDirection w:val="lrTb"/>
            <w:noWrap/>
          </w:tcPr>
          <w:p>
            <w:pPr>
              <w:pStyle w:val="767"/>
              <w:ind w:left="0" w:firstLine="0"/>
              <w:jc w:val="center"/>
              <w:keepLines w:val="0"/>
              <w:keepNext w:val="0"/>
              <w:pageBreakBefore w:val="0"/>
              <w:spacing w:line="320" w:lineRule="atLeast"/>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5.3</w:t>
            </w:r>
            <w:r>
              <w:rPr>
                <w:rFonts w:ascii="宋体" w:hAnsi="宋体" w:eastAsia="宋体" w:cs="宋体"/>
                <w:bCs/>
                <w:color w:val="000000"/>
                <w:szCs w:val="21"/>
                <w:lang w:val="en-US" w:eastAsia="zh-CN"/>
              </w:rPr>
            </w:r>
            <w:r/>
          </w:p>
        </w:tc>
        <w:tc>
          <w:tcPr>
            <w:tcW w:w="117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履约能力</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W w:w="6330" w:type="dxa"/>
            <w:vAlign w:val="top"/>
            <w:textDirection w:val="lrTb"/>
            <w:noWrap/>
          </w:tcPr>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bookmarkStart w:id="36" w:name="OLE_LINK41"/>
            <w:r>
              <w:rPr>
                <w:rFonts w:hint="eastAsia" w:ascii="宋体" w:hAnsi="宋体" w:eastAsia="宋体" w:cs="宋体"/>
                <w:b w:val="0"/>
                <w:bCs w:val="0"/>
                <w:color w:val="000000"/>
                <w:sz w:val="21"/>
                <w:szCs w:val="21"/>
              </w:rPr>
              <w:t xml:space="preserve">投标人或所投产品生产商提供所投家具产品“人类工效学产品认证证书”（认证单元至少包含桌台类、椅凳类、柜架类）。(提供原件扫描件及国家认监委网站查询截图上传至系统，提供完整得2分）</w:t>
            </w:r>
            <w:r>
              <w:rPr>
                <w:rFonts w:hint="eastAsia" w:ascii="宋体" w:hAnsi="宋体" w:eastAsia="宋体" w:cs="宋体"/>
                <w:b w:val="0"/>
                <w:bCs w:val="0"/>
                <w:color w:val="000000"/>
                <w:sz w:val="21"/>
                <w:szCs w:val="21"/>
              </w:rPr>
            </w:r>
            <w:r/>
          </w:p>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备注：所提供证书“认证范围”与评标标准给定名称不同时，应提供符合上述要求的内容（功能）说明及关键信息，否则不予认可。为方便评委评审，功能参数可用箭头、标红或下划线等进行明显标注。</w:t>
            </w:r>
            <w:bookmarkEnd w:id="36"/>
            <w:r>
              <w:rPr>
                <w:rFonts w:hint="eastAsia" w:ascii="宋体" w:hAnsi="宋体" w:eastAsia="宋体" w:cs="宋体"/>
                <w:b w:val="0"/>
                <w:bCs w:val="0"/>
                <w:color w:val="000000"/>
                <w:sz w:val="21"/>
                <w:szCs w:val="21"/>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Cs w:val="21"/>
                <w:lang w:val="en-US" w:eastAsia="zh-CN"/>
              </w:rPr>
            </w:r>
            <w:r/>
          </w:p>
        </w:tc>
        <w:tc>
          <w:tcPr>
            <w:tcW w:w="900"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客观分</w:t>
            </w:r>
            <w:r>
              <w:rPr>
                <w:rFonts w:hint="eastAsia" w:ascii="宋体" w:hAnsi="宋体" w:eastAsia="宋体" w:cs="宋体"/>
                <w:bCs/>
                <w:color w:val="000000"/>
                <w:szCs w:val="21"/>
              </w:rPr>
            </w:r>
            <w:r/>
          </w:p>
        </w:tc>
      </w:tr>
      <w:tr>
        <w:trPr>
          <w:trHeight w:val="435"/>
        </w:trPr>
        <w:tc>
          <w:tcPr>
            <w:gridSpan w:val="5"/>
            <w:tcW w:w="9575" w:type="dxa"/>
            <w:vAlign w:val="center"/>
            <w:textDirection w:val="lrTb"/>
            <w:noWrap/>
          </w:tcPr>
          <w:p>
            <w:pPr>
              <w:pStyle w:val="736"/>
              <w:keepLines w:val="0"/>
              <w:keepNext w:val="0"/>
              <w:pageBreakBefore w:val="0"/>
              <w:spacing w:before="68" w:line="320" w:lineRule="atLeast"/>
              <w:rPr>
                <w:rFonts w:hint="eastAsia" w:ascii="宋体" w:hAnsi="宋体" w:eastAsia="宋体" w:cs="宋体"/>
                <w:color w:val="000000"/>
                <w:spacing w:val="-6"/>
              </w:rPr>
            </w:pPr>
            <w:r>
              <w:rPr>
                <w:rFonts w:hint="eastAsia" w:ascii="宋体" w:hAnsi="宋体" w:eastAsia="宋体" w:cs="宋体"/>
                <w:b/>
                <w:bCs/>
                <w:color w:val="000000"/>
                <w:spacing w:val="-3"/>
              </w:rPr>
              <w:t xml:space="preserve">5.节能环保</w:t>
            </w:r>
            <w:r>
              <w:rPr>
                <w:rFonts w:hint="eastAsia" w:ascii="宋体" w:hAnsi="宋体" w:eastAsia="宋体" w:cs="宋体"/>
                <w:color w:val="000000"/>
                <w:spacing w:val="-6"/>
              </w:rPr>
            </w:r>
            <w:r/>
          </w:p>
        </w:tc>
      </w:tr>
      <w:tr>
        <w:trPr>
          <w:trHeight w:val="676"/>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5.1</w:t>
            </w:r>
            <w:r>
              <w:rPr>
                <w:rFonts w:hint="eastAsia" w:ascii="宋体" w:hAnsi="宋体" w:eastAsia="宋体" w:cs="宋体"/>
                <w:color w:val="000000"/>
                <w:spacing w:val="-2"/>
              </w:rPr>
            </w:r>
            <w:r/>
          </w:p>
        </w:tc>
        <w:tc>
          <w:tcPr>
            <w:tcW w:w="1179" w:type="dxa"/>
            <w:vAlign w:val="center"/>
            <w:textDirection w:val="lrTb"/>
            <w:noWrap/>
          </w:tcPr>
          <w:p>
            <w:pPr>
              <w:pStyle w:val="736"/>
              <w:keepLines w:val="0"/>
              <w:keepNext w:val="0"/>
              <w:pageBreakBefore w:val="0"/>
              <w:spacing w:before="69" w:line="320" w:lineRule="atLeast"/>
              <w:rPr>
                <w:rFonts w:hint="eastAsia" w:ascii="宋体" w:hAnsi="宋体" w:eastAsia="宋体" w:cs="宋体"/>
                <w:color w:val="000000"/>
                <w:spacing w:val="-1"/>
              </w:rPr>
            </w:pPr>
            <w:r>
              <w:rPr>
                <w:rFonts w:hint="eastAsia" w:ascii="宋体" w:hAnsi="宋体" w:eastAsia="宋体" w:cs="宋体"/>
                <w:color w:val="000000"/>
                <w:spacing w:val="-1"/>
              </w:rPr>
              <w:t xml:space="preserve">节能环保</w:t>
            </w:r>
            <w:r>
              <w:rPr>
                <w:rFonts w:hint="eastAsia" w:ascii="宋体" w:hAnsi="宋体" w:eastAsia="宋体" w:cs="宋体"/>
                <w:color w:val="000000"/>
                <w:spacing w:val="-1"/>
              </w:rPr>
            </w:r>
            <w:r/>
          </w:p>
        </w:tc>
        <w:tc>
          <w:tcPr>
            <w:tcW w:w="6330" w:type="dxa"/>
            <w:vAlign w:val="center"/>
            <w:textDirection w:val="lrTb"/>
            <w:noWrap/>
          </w:tcPr>
          <w:p>
            <w:pPr>
              <w:pStyle w:val="736"/>
              <w:jc w:val="left"/>
              <w:keepLines w:val="0"/>
              <w:keepNext w:val="0"/>
              <w:pageBreakBefore w:val="0"/>
              <w:spacing w:line="320" w:lineRule="atLeast"/>
              <w:rPr>
                <w:rFonts w:ascii="宋体" w:hAnsi="宋体" w:eastAsia="宋体" w:cs="宋体"/>
                <w:color w:val="000000"/>
                <w:lang w:val="en-US" w:eastAsia="zh-CN"/>
              </w:rPr>
            </w:pPr>
            <w:r>
              <w:rPr>
                <w:rFonts w:hint="eastAsia" w:ascii="宋体" w:hAnsi="宋体" w:eastAsia="宋体" w:cs="宋体"/>
                <w:color w:val="000000"/>
              </w:rPr>
              <w:t xml:space="preserve">1.投标产品属于财政部、国家发改委公布的“节能产品品目清单”范围内的，投标人提供国家确定的认证机构出具的、处于有效期之内的该节能产品认证证书的，有1个得1分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不提供不得分。</w:t>
            </w:r>
            <w:r>
              <w:rPr>
                <w:rFonts w:ascii="宋体" w:hAnsi="宋体" w:eastAsia="宋体" w:cs="宋体"/>
                <w:color w:val="000000"/>
                <w:lang w:val="en-US" w:eastAsia="zh-CN"/>
              </w:rPr>
            </w:r>
            <w:r/>
          </w:p>
          <w:p>
            <w:pPr>
              <w:pStyle w:val="736"/>
              <w:jc w:val="left"/>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2.投标产品属于财政部、生态环境部公布的“环境标志产品品目清单”范围内的，投标人提供国家确定的认证机构出具的、处于有效期内的该环境标志产品认证证书的，有1个得1分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不提供不得分</w:t>
            </w:r>
            <w:r>
              <w:rPr>
                <w:rFonts w:hint="eastAsia" w:ascii="宋体" w:hAnsi="宋体" w:eastAsia="宋体" w:cs="宋体"/>
                <w:color w:val="000000"/>
              </w:rPr>
              <w:t xml:space="preserve">。</w:t>
            </w:r>
            <w:r>
              <w:rPr>
                <w:rFonts w:hint="eastAsia" w:ascii="宋体" w:hAnsi="宋体" w:eastAsia="宋体" w:cs="宋体"/>
                <w:color w:val="000000"/>
              </w:rPr>
            </w:r>
            <w:r/>
          </w:p>
        </w:tc>
        <w:tc>
          <w:tcPr>
            <w:tcW w:w="647"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6"/>
              </w:rPr>
            </w:pPr>
            <w:r>
              <w:rPr>
                <w:rFonts w:hint="eastAsia" w:ascii="宋体" w:hAnsi="宋体" w:eastAsia="宋体" w:cs="宋体"/>
                <w:color w:val="000000"/>
                <w:spacing w:val="-6"/>
              </w:rPr>
              <w:t xml:space="preserve">客观分</w:t>
            </w:r>
            <w:r>
              <w:rPr>
                <w:rFonts w:hint="eastAsia" w:ascii="宋体" w:hAnsi="宋体" w:eastAsia="宋体" w:cs="宋体"/>
                <w:color w:val="000000"/>
                <w:spacing w:val="-6"/>
              </w:rPr>
            </w:r>
            <w:r/>
          </w:p>
        </w:tc>
      </w:tr>
      <w:tr>
        <w:trPr>
          <w:trHeight w:val="464"/>
        </w:trPr>
        <w:tc>
          <w:tcPr>
            <w:tcW w:w="51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3"/>
              </w:rPr>
              <w:t xml:space="preserve">合</w:t>
            </w:r>
            <w:r>
              <w:rPr>
                <w:rFonts w:hint="eastAsia" w:ascii="宋体" w:hAnsi="宋体" w:eastAsia="宋体" w:cs="宋体"/>
                <w:color w:val="000000"/>
                <w:spacing w:val="-2"/>
              </w:rPr>
              <w:t xml:space="preserve">计</w:t>
            </w:r>
            <w:r>
              <w:rPr>
                <w:rFonts w:hint="eastAsia" w:ascii="宋体" w:hAnsi="宋体" w:eastAsia="宋体" w:cs="宋体"/>
                <w:color w:val="000000"/>
              </w:rPr>
            </w:r>
            <w:r/>
          </w:p>
        </w:tc>
        <w:tc>
          <w:tcPr>
            <w:gridSpan w:val="2"/>
            <w:tcW w:w="7509" w:type="dxa"/>
            <w:vAlign w:val="center"/>
            <w:textDirection w:val="lrTb"/>
            <w:noWrap/>
          </w:tcPr>
          <w:p>
            <w:pPr>
              <w:pStyle w:val="736"/>
              <w:ind w:left="172"/>
              <w:jc w:val="center"/>
              <w:keepLines w:val="0"/>
              <w:keepNext w:val="0"/>
              <w:pageBreakBefore w:val="0"/>
              <w:spacing w:before="123" w:line="320" w:lineRule="atLeast"/>
              <w:rPr>
                <w:rFonts w:hint="eastAsia" w:ascii="宋体" w:hAnsi="宋体" w:eastAsia="宋体" w:cs="宋体"/>
                <w:color w:val="000000"/>
                <w:spacing w:val="-2"/>
              </w:rPr>
            </w:pPr>
            <w:r>
              <w:rPr>
                <w:rFonts w:hint="eastAsia" w:ascii="宋体" w:hAnsi="宋体" w:eastAsia="宋体" w:cs="宋体"/>
                <w:color w:val="000000"/>
                <w:spacing w:val="-2"/>
              </w:rPr>
            </w:r>
            <w:r/>
          </w:p>
        </w:tc>
        <w:tc>
          <w:tcPr>
            <w:gridSpan w:val="2"/>
            <w:tcW w:w="1547"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11"/>
              </w:rPr>
              <w:t xml:space="preserve">100分</w:t>
            </w:r>
            <w:r>
              <w:rPr>
                <w:rFonts w:hint="eastAsia" w:ascii="宋体" w:hAnsi="宋体" w:eastAsia="宋体" w:cs="宋体"/>
                <w:color w:val="000000"/>
              </w:rPr>
            </w:r>
            <w:r/>
          </w:p>
        </w:tc>
      </w:tr>
      <w:tr>
        <w:trPr>
          <w:trHeight w:val="567"/>
        </w:trPr>
        <w:tc>
          <w:tcPr>
            <w:gridSpan w:val="5"/>
            <w:tcW w:w="9575" w:type="dxa"/>
            <w:vAlign w:val="center"/>
            <w:textDirection w:val="lrTb"/>
            <w:noWrap w:val="false"/>
          </w:tcPr>
          <w:p>
            <w:pPr>
              <w:pStyle w:val="736"/>
              <w:jc w:val="left"/>
              <w:spacing w:line="320" w:lineRule="exact"/>
              <w:rPr>
                <w:rFonts w:ascii="宋体" w:hAnsi="宋体" w:eastAsia="宋体"/>
                <w:color w:val="000000"/>
                <w:sz w:val="24"/>
                <w:szCs w:val="24"/>
                <w:lang w:val="en-US" w:eastAsia="zh-CN"/>
              </w:rPr>
            </w:pPr>
            <w:r>
              <w:rPr>
                <w:rFonts w:ascii="宋体" w:hAnsi="宋体"/>
                <w:b/>
                <w:bCs/>
                <w:color w:val="000000"/>
                <w:sz w:val="24"/>
                <w:szCs w:val="24"/>
                <w:lang w:val="zh-CN"/>
              </w:rPr>
              <w:t xml:space="preserve">需要补充的其他内容：</w:t>
            </w:r>
            <w:r>
              <w:rPr>
                <w:rFonts w:ascii="宋体" w:hAnsi="宋体" w:eastAsia="宋体"/>
                <w:color w:val="000000"/>
                <w:sz w:val="24"/>
                <w:szCs w:val="24"/>
                <w:lang w:val="en-US" w:eastAsia="zh-CN"/>
              </w:rPr>
            </w:r>
            <w:r/>
          </w:p>
        </w:tc>
      </w:tr>
      <w:tr>
        <w:trPr>
          <w:trHeight w:val="274"/>
        </w:trPr>
        <w:tc>
          <w:tcPr>
            <w:gridSpan w:val="5"/>
            <w:tcW w:w="9575" w:type="dxa"/>
            <w:vAlign w:val="center"/>
            <w:textDirection w:val="lrTb"/>
            <w:noWrap w:val="false"/>
          </w:tcPr>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1．核心产品评审。</w:t>
            </w:r>
            <w:r>
              <w:rPr>
                <w:rFonts w:hint="eastAsia" w:ascii="宋体" w:hAnsi="宋体"/>
                <w:color w:val="000000"/>
                <w:sz w:val="22"/>
                <w:szCs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w:t>
            </w:r>
            <w:r>
              <w:rPr>
                <w:rFonts w:hint="eastAsia" w:ascii="宋体" w:hAnsi="宋体"/>
                <w:color w:val="000000"/>
                <w:sz w:val="22"/>
                <w:szCs w:val="22"/>
                <w:lang w:val="en-US" w:eastAsia="zh-CN"/>
              </w:rPr>
              <w:t xml:space="preserve">主观分</w:t>
            </w:r>
            <w:r>
              <w:rPr>
                <w:rFonts w:hint="eastAsia" w:ascii="宋体" w:hAnsi="宋体"/>
                <w:color w:val="000000"/>
                <w:sz w:val="22"/>
                <w:szCs w:val="22"/>
                <w:lang w:val="zh-CN"/>
              </w:rPr>
              <w:t xml:space="preserve">的评审得分由高到低排序）确定一个供应商获得成交候选供应商推荐资格，其他同品牌供应商不作为成交候选供应商。</w:t>
            </w:r>
            <w:r>
              <w:rPr>
                <w:rFonts w:hint="eastAsia" w:ascii="宋体" w:hAnsi="宋体"/>
                <w:b/>
                <w:bCs/>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2</w:t>
            </w:r>
            <w:r>
              <w:rPr>
                <w:rFonts w:hint="eastAsia" w:ascii="宋体" w:hAnsi="宋体"/>
                <w:color w:val="000000"/>
                <w:sz w:val="22"/>
                <w:szCs w:val="22"/>
              </w:rPr>
              <w:t xml:space="preserve">．</w:t>
            </w:r>
            <w:r>
              <w:rPr>
                <w:rFonts w:hint="eastAsia" w:ascii="宋体" w:hAnsi="宋体"/>
                <w:b/>
                <w:bCs/>
                <w:color w:val="000000"/>
                <w:sz w:val="22"/>
                <w:szCs w:val="22"/>
                <w:lang w:val="zh-CN"/>
              </w:rPr>
              <w:t xml:space="preserve">小微企业价格扣除</w:t>
            </w:r>
            <w:r>
              <w:rPr>
                <w:rFonts w:hint="eastAsia" w:ascii="宋体" w:hAnsi="宋体"/>
                <w:b/>
                <w:bCs/>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2</w:t>
            </w:r>
            <w:r>
              <w:rPr>
                <w:rFonts w:hint="eastAsia" w:ascii="宋体" w:hAnsi="宋体"/>
                <w:color w:val="000000"/>
                <w:sz w:val="22"/>
                <w:szCs w:val="22"/>
                <w:lang w:val="zh-CN"/>
              </w:rPr>
              <w:t xml:space="preserve">.1货物采购项目对小微企业生产的产品给予报价的</w:t>
            </w:r>
            <w:r>
              <w:rPr>
                <w:rFonts w:hint="eastAsia" w:ascii="宋体" w:hAnsi="宋体"/>
                <w:b/>
                <w:bCs/>
                <w:color w:val="000000"/>
                <w:sz w:val="22"/>
                <w:szCs w:val="22"/>
                <w:lang w:val="zh-CN"/>
              </w:rPr>
              <w:t xml:space="preserve">10%</w:t>
            </w:r>
            <w:r>
              <w:rPr>
                <w:rFonts w:hint="eastAsia" w:ascii="宋体" w:hAnsi="宋体"/>
                <w:color w:val="000000"/>
                <w:sz w:val="22"/>
                <w:szCs w:val="22"/>
                <w:lang w:val="zh-CN"/>
              </w:rPr>
              <w:t xml:space="preserve">价格扣除，用扣除后的价格参与评审。</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2</w:t>
            </w:r>
            <w:r>
              <w:rPr>
                <w:rFonts w:hint="eastAsia" w:ascii="宋体" w:hAnsi="宋体"/>
                <w:color w:val="000000"/>
                <w:sz w:val="22"/>
                <w:szCs w:val="22"/>
                <w:lang w:val="zh-CN"/>
              </w:rPr>
              <w:t xml:space="preserve">.2大中型企业和其他自然人、法人或者其他组织与小型、微型企业组成联合体共同参加</w:t>
            </w:r>
            <w:r>
              <w:rPr>
                <w:rFonts w:hint="eastAsia" w:ascii="宋体" w:hAnsi="宋体"/>
                <w:color w:val="000000"/>
                <w:sz w:val="22"/>
                <w:szCs w:val="22"/>
              </w:rPr>
              <w:t xml:space="preserve">评审</w:t>
            </w:r>
            <w:r>
              <w:rPr>
                <w:rFonts w:hint="eastAsia" w:ascii="宋体" w:hAnsi="宋体"/>
                <w:color w:val="000000"/>
                <w:sz w:val="22"/>
                <w:szCs w:val="22"/>
                <w:lang w:val="zh-CN"/>
              </w:rPr>
              <w:t xml:space="preserve">，</w:t>
            </w:r>
            <w:r>
              <w:rPr>
                <w:rFonts w:hint="eastAsia" w:ascii="宋体" w:hAnsi="宋体"/>
                <w:color w:val="000000"/>
                <w:sz w:val="22"/>
                <w:szCs w:val="22"/>
              </w:rPr>
              <w:t xml:space="preserve">对于联合协议或者分包意向协议约定小微企业的合同份额占到合同总金额</w:t>
            </w:r>
            <w:r>
              <w:rPr>
                <w:rFonts w:hint="eastAsia" w:ascii="宋体" w:hAnsi="宋体"/>
                <w:b/>
                <w:bCs/>
                <w:color w:val="000000"/>
                <w:sz w:val="22"/>
                <w:szCs w:val="22"/>
              </w:rPr>
              <w:t xml:space="preserve">30%</w:t>
            </w:r>
            <w:r>
              <w:rPr>
                <w:rFonts w:hint="eastAsia" w:ascii="宋体" w:hAnsi="宋体"/>
                <w:color w:val="000000"/>
                <w:sz w:val="22"/>
                <w:szCs w:val="22"/>
              </w:rPr>
              <w:t xml:space="preserve">以上的，给予联合体</w:t>
            </w:r>
            <w:r>
              <w:rPr>
                <w:rFonts w:hint="eastAsia" w:ascii="宋体" w:hAnsi="宋体"/>
                <w:b/>
                <w:bCs/>
                <w:color w:val="000000"/>
                <w:sz w:val="22"/>
                <w:szCs w:val="22"/>
              </w:rPr>
              <w:t xml:space="preserve">4%</w:t>
            </w:r>
            <w:r>
              <w:rPr>
                <w:rFonts w:hint="eastAsia" w:ascii="宋体" w:hAnsi="宋体"/>
                <w:color w:val="000000"/>
                <w:sz w:val="22"/>
                <w:szCs w:val="22"/>
              </w:rPr>
              <w:t xml:space="preserve">的价格扣除。</w:t>
            </w:r>
            <w:r>
              <w:rPr>
                <w:rFonts w:hint="eastAsia" w:ascii="宋体" w:hAnsi="宋体"/>
                <w:color w:val="000000"/>
                <w:sz w:val="22"/>
                <w:szCs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lang w:val="zh-CN"/>
              </w:rPr>
              <w:t xml:space="preserve">小企业（含小型、微型企业）应当同时符合以下条件：</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lang w:val="zh-CN"/>
              </w:rPr>
              <w:t xml:space="preserve">（1）供应商为小企业，且符合中小企业划分标准；</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监狱和戒毒企业的价格扣除</w:t>
            </w:r>
            <w:r>
              <w:rPr>
                <w:rFonts w:hint="eastAsia" w:ascii="宋体" w:hAnsi="宋体"/>
                <w:b/>
                <w:bCs/>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.1本项目对监狱和戒毒企业，给予10%的价格扣除，用扣除后的价格参与评审。</w:t>
            </w:r>
            <w:r>
              <w:rPr>
                <w:rFonts w:hint="eastAsia" w:ascii="宋体" w:hAnsi="宋体"/>
                <w:b/>
                <w:bCs/>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3</w:t>
            </w:r>
            <w:r>
              <w:rPr>
                <w:rFonts w:hint="eastAsia" w:ascii="宋体" w:hAnsi="宋体"/>
                <w:color w:val="000000"/>
                <w:sz w:val="22"/>
                <w:szCs w:val="22"/>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3</w:t>
            </w:r>
            <w:r>
              <w:rPr>
                <w:rFonts w:hint="eastAsia" w:ascii="宋体" w:hAnsi="宋体"/>
                <w:color w:val="000000"/>
                <w:sz w:val="22"/>
                <w:szCs w:val="22"/>
                <w:lang w:val="zh-CN"/>
              </w:rPr>
              <w:t xml:space="preserve">.3监狱企业标准请参照《关于政府采购支持监狱企业发展有关问题的通知》（财库〔2014〕68号）。</w:t>
            </w:r>
            <w:r>
              <w:rPr>
                <w:rFonts w:hint="eastAsia" w:ascii="宋体" w:hAnsi="宋体"/>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4．</w:t>
            </w:r>
            <w:r>
              <w:rPr>
                <w:rFonts w:hint="eastAsia" w:ascii="宋体" w:hAnsi="宋体"/>
                <w:b/>
                <w:bCs/>
                <w:color w:val="000000"/>
                <w:sz w:val="22"/>
                <w:szCs w:val="22"/>
                <w:lang w:val="zh-CN"/>
              </w:rPr>
              <w:t xml:space="preserve">残疾人福利性单位的价格扣除</w:t>
            </w:r>
            <w:r>
              <w:rPr>
                <w:rFonts w:hint="eastAsia" w:ascii="宋体" w:hAnsi="宋体"/>
                <w:b/>
                <w:bCs/>
                <w:color w:val="000000"/>
                <w:sz w:val="22"/>
                <w:szCs w:val="22"/>
                <w:lang w:val="zh-CN"/>
              </w:rPr>
            </w:r>
            <w:r/>
          </w:p>
          <w:p>
            <w:pPr>
              <w:pStyle w:val="736"/>
              <w:ind w:firstLine="442"/>
              <w:spacing w:line="360" w:lineRule="auto"/>
              <w:rPr>
                <w:rFonts w:hint="eastAsia" w:ascii="宋体" w:hAnsi="宋体"/>
                <w:color w:val="000000"/>
                <w:sz w:val="22"/>
                <w:szCs w:val="22"/>
                <w:lang w:val="zh-CN"/>
              </w:rPr>
            </w:pPr>
            <w:r>
              <w:rPr>
                <w:rFonts w:hint="eastAsia" w:ascii="宋体" w:hAnsi="宋体"/>
                <w:b/>
                <w:bCs/>
                <w:color w:val="000000"/>
                <w:sz w:val="22"/>
                <w:szCs w:val="22"/>
              </w:rPr>
              <w:t xml:space="preserve">4</w:t>
            </w:r>
            <w:r>
              <w:rPr>
                <w:rFonts w:hint="eastAsia" w:ascii="宋体" w:hAnsi="宋体"/>
                <w:b/>
                <w:bCs/>
                <w:color w:val="000000"/>
                <w:sz w:val="22"/>
                <w:szCs w:val="22"/>
                <w:lang w:val="zh-CN"/>
              </w:rPr>
              <w:t xml:space="preserve">.1本项目对残疾人福利性单位，给予10%的价格扣除，用扣除后的价格参与评审。</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4</w:t>
            </w:r>
            <w:r>
              <w:rPr>
                <w:rFonts w:hint="eastAsia" w:ascii="宋体" w:hAnsi="宋体"/>
                <w:color w:val="000000"/>
                <w:sz w:val="22"/>
                <w:szCs w:val="22"/>
                <w:lang w:val="zh-CN"/>
              </w:rPr>
              <w:t xml:space="preserve">.2残疾人福利性单位需提供《残疾人福利性单位声明函》。</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4</w:t>
            </w:r>
            <w:r>
              <w:rPr>
                <w:rFonts w:hint="eastAsia" w:ascii="宋体" w:hAnsi="宋体"/>
                <w:color w:val="000000"/>
                <w:sz w:val="22"/>
                <w:szCs w:val="22"/>
                <w:lang w:val="zh-CN"/>
              </w:rPr>
              <w:t xml:space="preserve">.3残疾人福利性单位标准请参照《关于促进残疾人就业政府采购政策的通知》（财库〔2017〕141号）。</w:t>
            </w:r>
            <w:r>
              <w:rPr>
                <w:rFonts w:hint="eastAsia" w:ascii="宋体" w:hAnsi="宋体"/>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5</w:t>
            </w:r>
            <w:r>
              <w:rPr>
                <w:rFonts w:hint="eastAsia" w:ascii="宋体" w:hAnsi="宋体"/>
                <w:color w:val="000000"/>
                <w:sz w:val="22"/>
                <w:szCs w:val="22"/>
              </w:rPr>
              <w:t xml:space="preserve">．</w:t>
            </w:r>
            <w:r>
              <w:rPr>
                <w:rFonts w:hint="eastAsia" w:ascii="宋体" w:hAnsi="宋体"/>
                <w:b/>
                <w:bCs/>
                <w:color w:val="000000"/>
                <w:sz w:val="22"/>
                <w:szCs w:val="22"/>
                <w:lang w:val="zh-CN"/>
              </w:rPr>
              <w:t xml:space="preserve">监狱企业、残疾人福利性单位属于小型、微型企业的，不重复享受政策。</w:t>
            </w:r>
            <w:r>
              <w:rPr>
                <w:rFonts w:hint="eastAsia" w:ascii="宋体" w:hAnsi="宋体"/>
                <w:b/>
                <w:bCs/>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6．</w:t>
            </w:r>
            <w:r>
              <w:rPr>
                <w:rFonts w:hint="eastAsia" w:ascii="宋体" w:hAnsi="宋体"/>
                <w:color w:val="000000"/>
                <w:sz w:val="22"/>
                <w:szCs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rPr>
              <w:t xml:space="preserve">复印件</w:t>
            </w:r>
            <w:r>
              <w:rPr>
                <w:rFonts w:hint="eastAsia" w:ascii="宋体" w:hAnsi="宋体"/>
                <w:color w:val="000000"/>
                <w:sz w:val="22"/>
                <w:szCs w:val="22"/>
                <w:lang w:val="zh-CN"/>
              </w:rPr>
              <w:t xml:space="preserve">为准）。</w:t>
            </w:r>
            <w:r>
              <w:rPr>
                <w:rFonts w:hint="eastAsia" w:ascii="宋体" w:hAnsi="宋体"/>
                <w:color w:val="000000"/>
                <w:sz w:val="22"/>
                <w:szCs w:val="22"/>
                <w:lang w:val="zh-CN"/>
              </w:rPr>
            </w:r>
            <w:r/>
          </w:p>
          <w:p>
            <w:pPr>
              <w:pStyle w:val="736"/>
              <w:ind w:firstLine="442"/>
              <w:spacing w:line="360" w:lineRule="auto"/>
              <w:rPr>
                <w:rFonts w:hint="eastAsia" w:ascii="宋体" w:hAnsi="宋体"/>
                <w:b/>
                <w:bCs/>
                <w:color w:val="000000"/>
                <w:sz w:val="22"/>
                <w:szCs w:val="22"/>
              </w:rPr>
            </w:pPr>
            <w:r>
              <w:rPr>
                <w:rFonts w:hint="eastAsia" w:ascii="宋体" w:hAnsi="宋体"/>
                <w:b/>
                <w:bCs/>
                <w:color w:val="000000"/>
                <w:sz w:val="22"/>
                <w:szCs w:val="22"/>
              </w:rPr>
              <w:t xml:space="preserve">7.采购本国产品的支持政策</w:t>
            </w:r>
            <w:r>
              <w:rPr>
                <w:rFonts w:hint="eastAsia" w:ascii="宋体" w:hAnsi="宋体"/>
                <w:b/>
                <w:bCs/>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7.3供应商需按照招标文件的要求提供《关于符合本国产品标准的声明函》，如不提供将不享受本国产品价格评审优惠。</w:t>
            </w:r>
            <w:r>
              <w:rPr>
                <w:rFonts w:hint="eastAsia" w:ascii="宋体" w:hAnsi="宋体"/>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8</w:t>
            </w:r>
            <w:r>
              <w:rPr>
                <w:rFonts w:hint="eastAsia" w:ascii="宋体" w:hAnsi="宋体"/>
                <w:b/>
                <w:bCs/>
                <w:color w:val="000000"/>
                <w:sz w:val="22"/>
                <w:szCs w:val="22"/>
                <w:lang w:val="zh-CN"/>
              </w:rPr>
              <w:t xml:space="preserve">．所有证明材料均以</w:t>
            </w:r>
            <w:r>
              <w:rPr>
                <w:rFonts w:hint="eastAsia" w:ascii="宋体" w:hAnsi="宋体"/>
                <w:b/>
                <w:bCs/>
                <w:color w:val="000000"/>
                <w:sz w:val="22"/>
                <w:szCs w:val="22"/>
                <w:lang w:val="en-US" w:eastAsia="zh-CN"/>
              </w:rPr>
              <w:t xml:space="preserve">评分标准要求</w:t>
            </w:r>
            <w:r>
              <w:rPr>
                <w:rFonts w:hint="eastAsia" w:ascii="宋体" w:hAnsi="宋体"/>
                <w:b/>
                <w:bCs/>
                <w:color w:val="000000"/>
                <w:sz w:val="22"/>
                <w:szCs w:val="22"/>
                <w:lang w:val="zh-CN"/>
              </w:rPr>
              <w:t xml:space="preserve">为依据。</w:t>
            </w:r>
            <w:r>
              <w:rPr>
                <w:rFonts w:hint="eastAsia" w:ascii="宋体" w:hAnsi="宋体"/>
                <w:b/>
                <w:bCs/>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（1）供应商业绩和人员业绩：以提供的合同或</w:t>
            </w:r>
            <w:r>
              <w:rPr>
                <w:rFonts w:hint="eastAsia" w:ascii="宋体" w:hAnsi="宋体"/>
                <w:b/>
                <w:bCs/>
                <w:color w:val="000000"/>
                <w:sz w:val="22"/>
                <w:szCs w:val="22"/>
              </w:rPr>
              <w:t xml:space="preserve">相关业绩证明材料扫描件</w:t>
            </w:r>
            <w:r>
              <w:rPr>
                <w:rFonts w:hint="eastAsia" w:ascii="宋体" w:hAnsi="宋体"/>
                <w:b/>
                <w:bCs/>
                <w:color w:val="000000"/>
                <w:sz w:val="22"/>
                <w:szCs w:val="22"/>
                <w:lang w:val="zh-CN"/>
              </w:rPr>
              <w:t xml:space="preserve">为准。</w:t>
            </w:r>
            <w:r>
              <w:rPr>
                <w:rFonts w:hint="eastAsia" w:ascii="宋体" w:hAnsi="宋体"/>
                <w:b/>
                <w:bCs/>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w:t>
            </w:r>
            <w:r>
              <w:rPr>
                <w:rFonts w:hint="eastAsia" w:ascii="宋体" w:hAnsi="宋体"/>
                <w:b/>
                <w:bCs/>
                <w:color w:val="000000"/>
                <w:sz w:val="22"/>
                <w:szCs w:val="22"/>
                <w:lang w:val="en-US" w:eastAsia="zh-CN"/>
              </w:rPr>
              <w:t xml:space="preserve">2</w:t>
            </w:r>
            <w:r>
              <w:rPr>
                <w:rFonts w:hint="eastAsia" w:ascii="宋体" w:hAnsi="宋体"/>
                <w:b/>
                <w:bCs/>
                <w:color w:val="000000"/>
                <w:sz w:val="22"/>
                <w:szCs w:val="22"/>
                <w:lang w:val="zh-CN"/>
              </w:rPr>
              <w:t xml:space="preserve">）供应商提供的合同、检测报告等扫描件中的内容应该清晰，如因供应商提供的资料不清晰，导致评标委员会无法辨认，责任由供应商承担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lang w:val="zh-CN"/>
              </w:rPr>
              <w:t xml:space="preserve">。</w:t>
            </w:r>
            <w:r>
              <w:rPr>
                <w:rFonts w:hint="eastAsia" w:ascii="宋体" w:hAnsi="宋体"/>
                <w:b/>
                <w:bCs/>
                <w:color w:val="000000"/>
                <w:sz w:val="22"/>
                <w:szCs w:val="22"/>
                <w:lang w:val="zh-CN"/>
              </w:rPr>
            </w:r>
            <w:r/>
          </w:p>
          <w:p>
            <w:pPr>
              <w:pStyle w:val="736"/>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9．根据财政部《关于推动解决政府采购异常低价问题的通知》</w:t>
            </w:r>
            <w:r>
              <w:rPr>
                <w:rFonts w:hint="eastAsia" w:ascii="宋体" w:hAnsi="宋体"/>
                <w:bCs/>
                <w:color w:val="0000ff"/>
                <w:sz w:val="22"/>
                <w:szCs w:val="22"/>
                <w:lang w:val="zh-CN"/>
              </w:rPr>
              <w:t xml:space="preserve">(财库【2026】2号)要求</w:t>
            </w:r>
            <w:r>
              <w:rPr>
                <w:rFonts w:hint="eastAsia" w:ascii="宋体" w:hAnsi="宋体"/>
                <w:bCs/>
                <w:color w:val="000000"/>
                <w:sz w:val="22"/>
                <w:szCs w:val="22"/>
                <w:lang w:val="zh-CN"/>
              </w:rPr>
              <w:t xml:space="preserve">，评审过程中出现下列情形之一的，评审委员会应当启动异常低价投标(响应)审查程序:</w:t>
            </w:r>
            <w:r>
              <w:rPr>
                <w:rFonts w:hint="eastAsia" w:ascii="宋体" w:hAnsi="宋体"/>
                <w:bCs/>
                <w:color w:val="000000"/>
                <w:sz w:val="22"/>
                <w:szCs w:val="22"/>
                <w:lang w:val="zh-CN"/>
              </w:rPr>
            </w:r>
            <w:r/>
          </w:p>
          <w:p>
            <w:pPr>
              <w:pStyle w:val="736"/>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（1）投标（响应）报价低于全部通过符合性审查供应商投标(响应)报价平均值50%的，即投标(响应)报价＜全部通过符合性审查供应商投标(响应)报价平均值×50%；</w:t>
            </w:r>
            <w:r>
              <w:rPr>
                <w:rFonts w:hint="eastAsia" w:ascii="宋体" w:hAnsi="宋体"/>
                <w:bCs/>
                <w:color w:val="000000"/>
                <w:sz w:val="22"/>
                <w:szCs w:val="22"/>
                <w:lang w:val="zh-CN"/>
              </w:rPr>
            </w:r>
            <w:r/>
          </w:p>
          <w:p>
            <w:pPr>
              <w:pStyle w:val="736"/>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（2）投标(响应)报价低于通过符合性审查的次低报价供应商投标(响应)报价50%的，即投标(响应)报价＜通过符合性审查的次低报价供应商投标(响应)报价×50%；</w:t>
            </w:r>
            <w:r>
              <w:rPr>
                <w:rFonts w:hint="eastAsia" w:ascii="宋体" w:hAnsi="宋体"/>
                <w:bCs/>
                <w:color w:val="000000"/>
                <w:sz w:val="22"/>
                <w:szCs w:val="22"/>
                <w:lang w:val="zh-CN"/>
              </w:rPr>
            </w:r>
            <w:r/>
          </w:p>
          <w:p>
            <w:pPr>
              <w:pStyle w:val="736"/>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（3）投标(响应)报价低于采购项目最高限价45%的，即投标(响应)报价＜采购项目最高限价×45%；</w:t>
            </w:r>
            <w:r>
              <w:rPr>
                <w:rFonts w:hint="eastAsia" w:ascii="宋体" w:hAnsi="宋体"/>
                <w:bCs/>
                <w:color w:val="000000"/>
                <w:sz w:val="22"/>
                <w:szCs w:val="22"/>
                <w:lang w:val="zh-CN"/>
              </w:rPr>
            </w:r>
            <w:r/>
          </w:p>
          <w:p>
            <w:pPr>
              <w:pStyle w:val="736"/>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（4）评审委员会基于专业判断，认为供应商报价过低，有可能影响产品质量或者不能诚信履约的其他情形。</w:t>
            </w:r>
            <w:r>
              <w:rPr>
                <w:rFonts w:hint="eastAsia" w:ascii="宋体" w:hAnsi="宋体"/>
                <w:bCs/>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bCs/>
                <w:color w:val="000000"/>
                <w:sz w:val="22"/>
                <w:szCs w:val="22"/>
                <w:lang w:val="zh-CN"/>
              </w:rPr>
              <w:t xml:space="preserve">具体要求按《关于推动解决政府采购异常低价问题的通知》(财库【2026】2号)执行。</w:t>
            </w:r>
            <w:r>
              <w:rPr>
                <w:rFonts w:hint="eastAsia" w:ascii="宋体" w:hAnsi="宋体"/>
                <w:color w:val="000000"/>
                <w:sz w:val="22"/>
                <w:szCs w:val="22"/>
              </w:rPr>
              <w:t xml:space="preserve">10</w:t>
            </w:r>
            <w:r>
              <w:rPr>
                <w:rFonts w:hint="eastAsia" w:ascii="宋体" w:hAnsi="宋体"/>
                <w:color w:val="000000"/>
                <w:sz w:val="22"/>
                <w:szCs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lang w:val="zh-CN"/>
              </w:rPr>
            </w:r>
            <w:r/>
          </w:p>
          <w:p>
            <w:pPr>
              <w:pStyle w:val="736"/>
              <w:ind w:firstLine="440"/>
              <w:spacing w:line="360" w:lineRule="auto"/>
              <w:rPr>
                <w:color w:val="000000"/>
                <w:lang w:val="zh-CN"/>
              </w:rPr>
            </w:pPr>
            <w:r>
              <w:rPr>
                <w:rFonts w:hint="eastAsia" w:ascii="宋体" w:hAnsi="宋体"/>
                <w:color w:val="000000"/>
                <w:sz w:val="22"/>
                <w:szCs w:val="21"/>
              </w:rPr>
              <w:t xml:space="preserve">11</w:t>
            </w:r>
            <w:r>
              <w:rPr>
                <w:rFonts w:hint="eastAsia" w:ascii="宋体" w:hAnsi="宋体"/>
                <w:color w:val="000000"/>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color w:val="000000"/>
                <w:lang w:val="zh-CN"/>
              </w:rPr>
            </w:r>
            <w:r/>
          </w:p>
        </w:tc>
      </w:tr>
    </w:tbl>
    <w:p>
      <w:pPr>
        <w:pStyle w:val="736"/>
        <w:ind w:right="840"/>
        <w:jc w:val="center"/>
        <w:rPr>
          <w:rFonts w:ascii="方正小标宋简体" w:hAnsi="方正小标宋简体" w:eastAsia="方正小标宋简体" w:cs="方正小标宋简体"/>
          <w:color w:val="000000"/>
          <w:sz w:val="36"/>
          <w:szCs w:val="36"/>
        </w:rPr>
        <w:outlineLvl w:val="9"/>
      </w:pPr>
      <w:r>
        <w:rPr>
          <w:rFonts w:ascii="方正小标宋简体" w:hAnsi="方正小标宋简体" w:eastAsia="方正小标宋简体" w:cs="方正小标宋简体"/>
          <w:color w:val="000000"/>
          <w:sz w:val="36"/>
          <w:szCs w:val="36"/>
        </w:rPr>
      </w:r>
      <w:r/>
    </w:p>
    <w:p>
      <w:pPr>
        <w:pStyle w:val="736"/>
        <w:spacing w:line="360" w:lineRule="auto"/>
        <w:rPr>
          <w:rFonts w:hint="eastAsia"/>
          <w:color w:val="000000"/>
          <w:lang w:val="zh-CN"/>
        </w:rPr>
        <w:outlineLvl w:val="9"/>
      </w:pPr>
      <w:r>
        <w:rPr>
          <w:rFonts w:hint="eastAsia"/>
          <w:color w:val="000000"/>
          <w:lang w:val="zh-CN"/>
        </w:rPr>
      </w:r>
      <w:r/>
    </w:p>
    <w:p>
      <w:pPr>
        <w:pStyle w:val="736"/>
        <w:jc w:val="center"/>
        <w:spacing w:line="360" w:lineRule="auto"/>
        <w:rPr>
          <w:rFonts w:hint="eastAsia" w:ascii="宋体" w:hAnsi="宋体" w:cs="宋体"/>
          <w:b/>
          <w:bCs/>
          <w:color w:val="000000"/>
          <w:spacing w:val="-10"/>
          <w:sz w:val="36"/>
          <w:szCs w:val="36"/>
          <w:lang w:val="zh-CN"/>
        </w:rPr>
        <w:outlineLvl w:val="0"/>
      </w:pPr>
      <w:r>
        <w:rPr>
          <w:rFonts w:hint="eastAsia" w:ascii="宋体" w:hAnsi="宋体" w:cs="宋体"/>
          <w:b/>
          <w:bCs/>
          <w:color w:val="000000"/>
          <w:sz w:val="36"/>
          <w:szCs w:val="36"/>
          <w:lang w:val="zh-CN"/>
        </w:rPr>
        <w:br w:type="page" w:clear="all"/>
      </w:r>
      <w:bookmarkStart w:id="37" w:name="_Toc16837"/>
      <w:r>
        <w:rPr>
          <w:rFonts w:hint="eastAsia" w:ascii="宋体" w:hAnsi="宋体" w:cs="宋体"/>
          <w:b/>
          <w:bCs/>
          <w:color w:val="000000"/>
          <w:spacing w:val="-10"/>
          <w:sz w:val="36"/>
          <w:szCs w:val="36"/>
          <w:lang w:val="zh-CN"/>
        </w:rPr>
        <w:t xml:space="preserve">第四章  采购需求</w:t>
      </w:r>
      <w:bookmarkEnd w:id="37"/>
      <w:r>
        <w:rPr>
          <w:rFonts w:hint="eastAsia" w:ascii="宋体" w:hAnsi="宋体" w:cs="宋体"/>
          <w:b/>
          <w:bCs/>
          <w:color w:val="000000"/>
          <w:spacing w:val="-10"/>
          <w:sz w:val="36"/>
          <w:szCs w:val="36"/>
          <w:lang w:val="zh-CN"/>
        </w:rPr>
      </w:r>
      <w:r/>
    </w:p>
    <w:p>
      <w:pPr>
        <w:pStyle w:val="736"/>
        <w:ind w:firstLine="0"/>
        <w:jc w:val="left"/>
        <w:keepLines w:val="0"/>
        <w:keepNext w:val="0"/>
        <w:pageBreakBefore w:val="0"/>
        <w:widowControl w:val="off"/>
        <w:rPr>
          <w:rFonts w:hint="eastAsia" w:ascii="黑体" w:hAnsi="黑体" w:eastAsia="黑体" w:cs="黑体"/>
          <w:color w:val="000000"/>
          <w:sz w:val="24"/>
          <w:szCs w:val="24"/>
        </w:rPr>
        <w:outlineLvl w:val="1"/>
      </w:pPr>
      <w:r/>
      <w:bookmarkStart w:id="38" w:name="_Toc176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bookmarkEnd w:id="38"/>
      <w:r>
        <w:rPr>
          <w:rFonts w:hint="eastAsia" w:ascii="黑体" w:hAnsi="黑体" w:eastAsia="黑体" w:cs="黑体"/>
          <w:color w:val="000000"/>
          <w:sz w:val="24"/>
          <w:szCs w:val="24"/>
        </w:rPr>
      </w:r>
      <w:r/>
    </w:p>
    <w:p>
      <w:pPr>
        <w:pStyle w:val="736"/>
        <w:ind w:firstLine="0"/>
        <w:jc w:val="left"/>
        <w:keepLines w:val="0"/>
        <w:keepNext w:val="0"/>
        <w:pageBreakBefore w:val="0"/>
        <w:widowControl w:val="off"/>
        <w:rPr>
          <w:rFonts w:hint="eastAsia" w:ascii="黑体" w:hAnsi="黑体" w:eastAsia="黑体" w:cs="黑体"/>
          <w:color w:val="000000"/>
          <w:sz w:val="24"/>
          <w:szCs w:val="24"/>
        </w:rPr>
        <w:outlineLvl w:val="1"/>
      </w:pPr>
      <w:r/>
      <w:bookmarkStart w:id="39" w:name="_Toc21615"/>
      <w:r>
        <w:rPr>
          <w:rFonts w:hint="eastAsia" w:ascii="黑体" w:hAnsi="黑体" w:eastAsia="黑体" w:cs="黑体"/>
          <w:color w:val="000000"/>
          <w:sz w:val="24"/>
          <w:szCs w:val="24"/>
        </w:rPr>
        <w:t xml:space="preserve">二、项目概况</w:t>
      </w:r>
      <w:bookmarkEnd w:id="39"/>
      <w:r>
        <w:rPr>
          <w:rFonts w:hint="eastAsia" w:ascii="黑体" w:hAnsi="黑体" w:eastAsia="黑体" w:cs="黑体"/>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本项目为</w:t>
      </w:r>
      <w:r>
        <w:rPr>
          <w:rFonts w:hint="eastAsia" w:ascii="宋体" w:hAnsi="宋体" w:cs="宋体"/>
          <w:bCs/>
          <w:color w:val="000000"/>
          <w:sz w:val="24"/>
          <w:szCs w:val="24"/>
          <w:lang w:val="en-US" w:eastAsia="zh-CN"/>
        </w:rPr>
        <w:t xml:space="preserve">江北新区滨江实验学校</w:t>
      </w:r>
      <w:r>
        <w:rPr>
          <w:rFonts w:hint="eastAsia" w:ascii="宋体" w:hAnsi="宋体" w:cs="宋体"/>
          <w:bCs/>
          <w:color w:val="000000"/>
          <w:sz w:val="24"/>
          <w:szCs w:val="24"/>
        </w:rPr>
        <w:t xml:space="preserve">物理、化学、生物等实验室设备采购、安装、调试并培训使用，保障学校正常教学活动开展，具体详见采购需求。</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（三）资产配置标准</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cs="宋体"/>
          <w:bCs/>
          <w:color w:val="000000"/>
          <w:sz w:val="24"/>
          <w:szCs w:val="24"/>
        </w:rPr>
        <w:t xml:space="preserve">符合</w:t>
      </w:r>
      <w:r>
        <w:rPr>
          <w:rFonts w:hint="eastAsia" w:ascii="宋体" w:hAnsi="宋体" w:cs="宋体"/>
          <w:bCs/>
          <w:color w:val="000000"/>
          <w:sz w:val="24"/>
          <w:szCs w:val="24"/>
        </w:rPr>
        <w:t xml:space="preserve">《南京市中小学通用资产配置标准》。</w:t>
      </w:r>
      <w:r>
        <w:rPr>
          <w:rFonts w:hint="eastAsia" w:ascii="宋体" w:hAnsi="宋体" w:cs="宋体"/>
          <w:bCs/>
          <w:color w:val="000000"/>
          <w:sz w:val="24"/>
          <w:szCs w:val="24"/>
        </w:rPr>
      </w:r>
      <w:r/>
    </w:p>
    <w:p>
      <w:pPr>
        <w:pStyle w:val="736"/>
        <w:numPr>
          <w:ilvl w:val="0"/>
          <w:numId w:val="0"/>
        </w:numPr>
        <w:jc w:val="left"/>
        <w:keepLines w:val="0"/>
        <w:keepNext w:val="0"/>
        <w:pageBreakBefore w:val="0"/>
        <w:widowControl w:val="off"/>
        <w:rPr>
          <w:rFonts w:hint="eastAsia" w:ascii="黑体" w:hAnsi="黑体" w:eastAsia="黑体" w:cs="黑体"/>
          <w:color w:val="000000"/>
          <w:sz w:val="24"/>
          <w:szCs w:val="24"/>
          <w:highlight w:val="none"/>
          <w:lang w:eastAsia="zh-CN"/>
        </w:rPr>
        <w:outlineLvl w:val="1"/>
      </w:pPr>
      <w:r/>
      <w:bookmarkStart w:id="40" w:name="_Toc30351"/>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项目清单</w:t>
      </w:r>
      <w:bookmarkEnd w:id="40"/>
      <w:r>
        <w:rPr>
          <w:rFonts w:hint="eastAsia" w:ascii="黑体" w:hAnsi="黑体" w:eastAsia="黑体" w:cs="黑体"/>
          <w:color w:val="000000"/>
          <w:sz w:val="24"/>
          <w:szCs w:val="24"/>
          <w:highlight w:val="none"/>
          <w:lang w:eastAsia="zh-CN"/>
        </w:rPr>
      </w:r>
      <w:r/>
    </w:p>
    <w:p>
      <w:pPr>
        <w:pStyle w:val="754"/>
        <w:ind w:firstLine="0"/>
        <w:jc w:val="left"/>
        <w:keepLines w:val="0"/>
        <w:keepNext w:val="0"/>
        <w:pageBreakBefore w:val="0"/>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val="en-US" w:eastAsia="zh-CN"/>
        </w:rPr>
        <w:t xml:space="preserve">附后</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eastAsia="zh-CN"/>
        </w:rPr>
      </w:r>
      <w:r/>
    </w:p>
    <w:p>
      <w:pPr>
        <w:pStyle w:val="736"/>
        <w:ind w:firstLine="0"/>
        <w:jc w:val="left"/>
        <w:keepLines w:val="0"/>
        <w:keepNext w:val="0"/>
        <w:pageBreakBefore w:val="0"/>
        <w:widowControl w:val="off"/>
        <w:rPr>
          <w:rFonts w:hint="eastAsia" w:ascii="宋体" w:hAnsi="宋体" w:cs="宋体"/>
          <w:b/>
          <w:color w:val="000000"/>
          <w:sz w:val="24"/>
          <w:szCs w:val="24"/>
          <w:highlight w:val="none"/>
        </w:rPr>
        <w:outlineLvl w:val="1"/>
      </w:pPr>
      <w:r/>
      <w:bookmarkStart w:id="41" w:name="_Toc2934"/>
      <w:r>
        <w:rPr>
          <w:rFonts w:hint="eastAsia" w:ascii="黑体" w:hAnsi="黑体" w:eastAsia="黑体" w:cs="黑体"/>
          <w:color w:val="000000"/>
          <w:sz w:val="24"/>
          <w:szCs w:val="24"/>
          <w:highlight w:val="none"/>
        </w:rPr>
        <w:t xml:space="preserve">四、拟采购标的需要满足的技术、商务要求</w:t>
      </w:r>
      <w:bookmarkEnd w:id="41"/>
      <w:r>
        <w:rPr>
          <w:rFonts w:hint="eastAsia" w:ascii="宋体" w:hAnsi="宋体" w:cs="宋体"/>
          <w:b/>
          <w:color w:val="000000"/>
          <w:sz w:val="24"/>
          <w:szCs w:val="24"/>
          <w:highlight w:val="none"/>
        </w:rPr>
      </w:r>
      <w:r/>
    </w:p>
    <w:p>
      <w:pPr>
        <w:pStyle w:val="736"/>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36"/>
        <w:ind w:firstLine="0"/>
        <w:jc w:val="left"/>
        <w:keepLines w:val="0"/>
        <w:keepNext w:val="0"/>
        <w:pageBreakBefore w:val="0"/>
        <w:widowControl w:val="off"/>
        <w:rPr>
          <w:rFonts w:hint="eastAsia" w:ascii="宋体" w:hAnsi="宋体" w:cs="宋体"/>
          <w:bCs/>
          <w:color w:val="000000"/>
          <w:sz w:val="24"/>
          <w:szCs w:val="24"/>
          <w:lang w:eastAsia="zh-CN"/>
        </w:rPr>
      </w:pPr>
      <w:r>
        <w:rPr>
          <w:rFonts w:hint="eastAsia" w:ascii="宋体" w:hAnsi="宋体" w:cs="宋体"/>
          <w:bCs/>
          <w:color w:val="000000"/>
          <w:sz w:val="24"/>
          <w:szCs w:val="24"/>
        </w:rPr>
        <w:t xml:space="preserve">1.产品技术指标</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详见项目清单表内容</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eastAsia="zh-CN"/>
        </w:rPr>
      </w:r>
      <w:r/>
    </w:p>
    <w:p>
      <w:pPr>
        <w:pStyle w:val="736"/>
        <w:ind w:firstLine="0"/>
        <w:jc w:val="left"/>
        <w:keepLines w:val="0"/>
        <w:keepNext w:val="0"/>
        <w:pageBreakBefore w:val="0"/>
        <w:widowControl w:val="off"/>
        <w:rPr>
          <w:rFonts w:hint="eastAsia" w:ascii="宋体" w:hAnsi="宋体" w:cs="宋体"/>
          <w:bCs/>
          <w:color w:val="000000"/>
          <w:sz w:val="24"/>
          <w:szCs w:val="24"/>
          <w:lang w:eastAsia="zh-CN"/>
        </w:rPr>
      </w:pPr>
      <w:r>
        <w:rPr>
          <w:rFonts w:hint="eastAsia" w:ascii="宋体" w:hAnsi="宋体" w:cs="宋体"/>
          <w:bCs/>
          <w:color w:val="000000"/>
          <w:sz w:val="24"/>
          <w:szCs w:val="24"/>
          <w:lang w:eastAsia="zh-CN"/>
        </w:rPr>
        <w:t xml:space="preserve">★（二）商务要求</w:t>
      </w:r>
      <w:r>
        <w:rPr>
          <w:rFonts w:hint="eastAsia" w:ascii="宋体" w:hAnsi="宋体" w:cs="宋体"/>
          <w:bCs/>
          <w:color w:val="000000"/>
          <w:sz w:val="24"/>
          <w:szCs w:val="24"/>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1.报价要求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2.实施要求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（1）质保（维保）及售后要求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①</w:t>
      </w:r>
      <w:r>
        <w:rPr>
          <w:rFonts w:hint="eastAsia" w:ascii="宋体" w:hAnsi="宋体" w:cs="宋体"/>
          <w:bCs/>
          <w:color w:val="000000"/>
          <w:sz w:val="24"/>
          <w:szCs w:val="24"/>
          <w:highlight w:val="none"/>
        </w:rPr>
        <w:t xml:space="preserve">投标人提供家具类免费上门质保服务承诺函（电器质保不低于三年）。</w:t>
      </w:r>
      <w:r>
        <w:rPr>
          <w:rFonts w:hint="eastAsia" w:ascii="宋体" w:hAnsi="宋体" w:cs="宋体"/>
          <w:color w:val="000000"/>
          <w:sz w:val="24"/>
          <w:szCs w:val="24"/>
          <w:highlight w:val="none"/>
          <w:lang w:eastAsia="zh-CN"/>
        </w:rPr>
        <w:t xml:space="preserve">费用包在投标总价中（自验收报告签字确认日起，开始进入质保期）；</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②本项目所投产品使用软件授权终身使用及升级，费用包含在投标总价中。</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③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④供应商在质保期内每学期结束前为学校进行整体维护一次，费用包含在投标总价中；</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⑤质保期后，供应商提供终生服务，保证零配件的供给。</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（2）验收要求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②供应商完成竣工文档整理方可申请验收，供应商应按相关政府职能部门要求的标准编制竣工验收资料，确保通过相关政府职能部门验收，并将竣工验收资料送城建档案馆存档。</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③验收的相关数据及中标产品信息，供应商应及时填入网络管理平台。</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（3）技术培训：</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①供应商对使用单位采购设备的使用和维护提供培训，培训的内容包括设备和软件的安装、使用以及软硬件基本维护知识。</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②供应商签订合同时制定全面培训计划，要求分为使用培训、教学应用培训，方案中需提供具体培训安排、内容、讲义、考核计划等。</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③供应商须提供培训讲义，培训学校管理人员不少于2人。</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（4）平台监管要求：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②供应商须在履约过程中，严格按照“南京市教育装备项目管理平台”的技术与管理规范，在规定的时间节点，提供相应的合同履约资料，包括照片。</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③供应商在合同履约过程中，必须通过“南京市教育装备项目管理平台”申请验收，验收不合格即记录在平台中，整改后验收仍不合格的，采购人有权依据法律追究合同责任方的责任。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④供应商须对所有进入固定资产的设备，按南京市的统一要求，通过“南京市教育装备项目管理平台”（南京市教育装备项目管理平台网址ttp://nj.cneefix.com）制作二维码标签，并张贴到设备上。</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⑤供应商须通过“南京市教育装备项目管理平台”提供售后维护维保服务。</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（5）安全要求：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3.付款条件</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以第</w:t>
      </w:r>
      <w:r>
        <w:rPr>
          <w:rFonts w:hint="eastAsia" w:ascii="宋体" w:hAnsi="宋体" w:cs="宋体"/>
          <w:color w:val="000000"/>
          <w:sz w:val="24"/>
          <w:szCs w:val="24"/>
          <w:highlight w:val="none"/>
          <w:lang w:eastAsia="zh-CN"/>
        </w:rPr>
        <w:t xml:space="preserve">五</w:t>
      </w:r>
      <w:r>
        <w:rPr>
          <w:rFonts w:hint="eastAsia" w:ascii="宋体" w:hAnsi="宋体" w:cs="宋体"/>
          <w:color w:val="000000"/>
          <w:sz w:val="24"/>
          <w:szCs w:val="24"/>
          <w:highlight w:val="none"/>
          <w:lang w:eastAsia="zh-CN"/>
        </w:rPr>
        <w:t xml:space="preserve">章合同文本内容为准。</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4.交付时间及地点</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（1）交付时间：收到采购人指令后30个日历天内安装调试完毕，并投入正常使用。</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（2）交付地点：采购人指定地点。</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5.其他要求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招标文件评标方法与评标标准中涉及的相关证明材料，应在投标文件中提供，并由评审委员会在评审现场予以确认，否则无法得到相应分值。</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（三）演示要求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视频文件的格式为*.mp4或*.avi，供应商须将视频文件压缩为*.zip文件上传（单个文件不得大于50M，所有文件合计不得大于300M）。文件上传方式见《操作手册》，上传的演示视频将作为投标文件的组成部分。视频时长总计不超过10分钟。</w:t>
      </w:r>
      <w:r>
        <w:rPr>
          <w:rFonts w:hint="eastAsia" w:ascii="宋体" w:hAnsi="宋体" w:eastAsia="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2.演示内容详见“第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章  评标方法与评标标准”。</w:t>
      </w:r>
      <w:r>
        <w:rPr>
          <w:rFonts w:hint="eastAsia" w:ascii="宋体" w:hAnsi="宋体" w:eastAsia="宋体" w:cs="宋体"/>
          <w:color w:val="000000"/>
          <w:sz w:val="24"/>
          <w:szCs w:val="24"/>
          <w:highlight w:val="none"/>
          <w:lang w:eastAsia="zh-CN"/>
        </w:rPr>
      </w:r>
      <w:r/>
    </w:p>
    <w:p>
      <w:pPr>
        <w:pStyle w:val="843"/>
        <w:rPr>
          <w:color w:val="000000"/>
          <w:lang w:val="en-US"/>
        </w:rPr>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pPr>
      <w:r>
        <w:rPr>
          <w:color w:val="000000"/>
          <w:lang w:val="en-US"/>
        </w:rPr>
      </w:r>
      <w:r/>
    </w:p>
    <w:p>
      <w:pPr>
        <w:pStyle w:val="779"/>
        <w:jc w:val="center"/>
        <w:spacing w:line="360" w:lineRule="auto"/>
        <w:rPr>
          <w:rFonts w:hint="eastAsia" w:ascii="黑体" w:hAnsi="黑体" w:eastAsia="黑体" w:cs="黑体"/>
          <w:color w:val="000000"/>
          <w:sz w:val="24"/>
          <w:szCs w:val="24"/>
          <w:highlight w:val="none"/>
          <w:lang w:eastAsia="zh-CN"/>
        </w:rPr>
        <w:outlineLvl w:val="1"/>
      </w:pPr>
      <w:r/>
      <w:bookmarkStart w:id="42" w:name="_Toc22106"/>
      <w:r>
        <w:rPr>
          <w:rFonts w:hint="eastAsia" w:ascii="黑体" w:hAnsi="黑体" w:eastAsia="黑体" w:cs="黑体"/>
          <w:color w:val="000000"/>
          <w:sz w:val="24"/>
          <w:szCs w:val="24"/>
          <w:highlight w:val="none"/>
          <w:lang w:val="en-US" w:eastAsia="zh-CN"/>
        </w:rPr>
        <w:t xml:space="preserve">项目清单</w:t>
      </w:r>
      <w:bookmarkEnd w:id="42"/>
      <w:r>
        <w:rPr>
          <w:rFonts w:hint="eastAsia" w:ascii="黑体" w:hAnsi="黑体" w:eastAsia="黑体" w:cs="黑体"/>
          <w:color w:val="000000"/>
          <w:sz w:val="24"/>
          <w:szCs w:val="24"/>
          <w:highlight w:val="none"/>
          <w:lang w:eastAsia="zh-CN"/>
        </w:rPr>
      </w:r>
      <w:r/>
    </w:p>
    <w:tbl>
      <w:tblPr>
        <w:tblW w:w="14819"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7"/>
        <w:gridCol w:w="1797"/>
        <w:gridCol w:w="1644"/>
        <w:gridCol w:w="5280"/>
        <w:gridCol w:w="886"/>
        <w:gridCol w:w="874"/>
        <w:gridCol w:w="874"/>
        <w:gridCol w:w="874"/>
        <w:gridCol w:w="874"/>
        <w:gridCol w:w="1049"/>
      </w:tblGrid>
      <w:tr>
        <w:trPr/>
        <w:tc>
          <w:tcPr>
            <w:tcW w:w="667" w:type="dxa"/>
            <w:vAlign w:val="center"/>
            <w:textDirection w:val="lrTb"/>
            <w:noWrap w:val="false"/>
          </w:tcPr>
          <w:p>
            <w:pPr>
              <w:pStyle w:val="736"/>
              <w:jc w:val="center"/>
              <w:keepLines w:val="0"/>
              <w:keepNext w:val="0"/>
              <w:widowControl/>
              <w:rPr>
                <w:rFonts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序号</w:t>
            </w:r>
            <w:r>
              <w:rPr>
                <w:rFonts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名称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规格</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技术参数</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数量</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单位</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产品类型</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所属行业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属性</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备注</w:t>
            </w: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通风化学实验室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尺寸：3300*1600*100mm采用实木，环保，安全;木质坚韧，结构稳固；具有耐磨.耐压.耐撞击等优点；中间金属架支撑，稳固安全。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1、电源控制台（教师电源）采用冷轧钢板喷塑制成，教师电源采用翻转式(带锁）使用时向下翻转45度，并装有阻尼，可在任意一点停止。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2、电源配置一组VGA和两组USB接口，并有相应的输出（引线长80公分以上）可与电脑主机相连接使用。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3、有二块3位半高精度数字电压表分别显示交/直流输出电压的实验参数。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4、教师电源分四组向学生桌输出安全的220v交流电源（采用4个32A按钮组合开关控制）具有漏电保护功能，电源必须具有防雷击功能。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5、电源配有双安全的多功能插座一组，插座下方必须标有“”标识和注意安全的警示语。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6、电源具有过载、过热保护装置（交直流分别具有过载指示和过载手动复位功能）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7、教师演示实验电源主要技术参数：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输入电压：交流220V±10%   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交流低压输出：2-24V   5A（分辨率2V）采用叠加步进调节，交流输出必须保证正弦波。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直流稳压输出：1-24V   5A（分辨率0.1V）采用后连续可调，采用精密5圈电位器调节。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8、教师主控电源配有一个主变压器，并能控制学生电源的交直流输出。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实验室专用防漏电(防触电)智能安全电源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430*347*150mm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尺寸：430*347*150mm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额定输入电压：220Vac（单相）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额定输入电流：23.9A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输入电压范围：220Vac ± 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3、输出参数：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额定输出功率：5KW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额定输出电压：220Vac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额定输出频率：50Hz/60Hz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额定输出电流：22.8A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电压输出精度：220V ± 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输出频率精度：50/60Hz ± 1Hz（出厂可设）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波形失真率：≤2% THD（线性负载）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动态响应时间：5%（0到100%）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4、过载能力：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120%，2分钟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150%，20秒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对地漏电流：&lt;0.7mA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输出效率：≥95%（85%阻性负载）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功率因子（PF）：0.9</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5、工作环境：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绝缘强度：F（2000Vac，1分钟）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噪音（1米）：≤40dB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使用环境温度：0°C 到 +55°C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防护等级：IP22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湿度：0到90%，不结露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使用海拔：≤4000米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6、保护功能：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输入欠压保护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输入过压保护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输出过载保护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输出短路保护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万向吸风罩</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1.关节:耐高温ABS材质高强度耐腐蚀，可360旋转调节方向，易拆卸、重组及清洗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2.密封圈:POM材质对酸碱稳定性  能较好，耐摩擦性能优异，不易老化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3.关节连接杆、支撑弹簧:304不锈钢材质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4.关节松紧旋钮:铜和轴承钢，防止生锈抱死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5.气流调节阀:手动调节外部阀旋钮，控制气体流量旋转部分有不锈钢金属卡扣，增强支撑力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6.集气罩:高密度PP/PC材质，罩口375MM\250MM\200MM\150MM\640*420MM\500MM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7.伸缩导管:φ75-110MM ，铝合金管，磨砂后氧化处理，美观耐腐蚀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8.万向:以固定架为中心活动半径 ≥1350MM，总长3150mm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110*110铝合金方管，管壁厚度2MM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学生实验桌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1200*600*780mm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1.新型塑铝结构：整体1200*600*780mm。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书包斗采用PP工程塑料一体注塑成型，整体尺寸1060*300*150mm（±5mm），整体分为三仓一体式结构，不可拼装组合。左右储物仓单仓容积≥13L，前侧中间设置半圆形挂凳卡位；中间为电源专用仓，配置翻盖式电源盒，后侧预留可拆卸检修口，便于设备检修维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桌脚采用三段式高强度铝合金结构，整体规格570*760mm，两侧配置装饰彩带，上脚预留电源插座、RJ45网络接口安装位。中立柱采用96*46*1.5mm承重型倾斜式铝合金型材；上下脚为铝合金压铸成型，上脚尺寸≥570*50*115mm，下脚尺寸≥550*65*110mm，基础壁厚≥2.5mm，连接位置壁厚加强至4mm。上脚配置铝合金压铸支撑杆，规格≥25*25*240mm，与立柱、桌脚形成三角稳固结构。下桌架预留地面固定孔位，可安装调节脚，配备ABS防护装饰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设备横梁采用多规格铝合金型材装配结构，前后横梁为40mm*40mm铝合金型材，通过高强度螺丝与桌脚紧固连接；中间横梁采用45mm*20mm方形铝合金型材，插接式固定于桌脚接口；加强横梁采用89mm*14mm铝合金型材，通过高强度螺丝固定于两侧立柱，保障整体结构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6.所有金属构件表面无裂缝、无脱层、无变形，采用环氧树脂粉末高温固化喷涂工艺，表面无漏喷、锈蚀、脱落等缺陷；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lang w:val="en-US" w:eastAsia="zh-CN" w:bidi="ar"/>
              </w:rPr>
              <w:t xml:space="preserve">核心产品</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多功能柱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355*210*760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长355×宽210×高760mm；整体采用全新ABS塑料一体注塑成型，采用齿合槽搭配螺丝紧固连接结构；要求，表面无裂纹、变形、缩水、针孔、凹陷、飞边、折皱、疙瘩、气泡、杂质、伤痕、白印、划痕、毛刺、拉毛、污渍等缺陷，表面光洁平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2.功能柱正面配置ABS一体注塑检修门，配备专用锁具结构，便于设备安装及后期检修维护；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lang w:val="en-US" w:eastAsia="zh-CN" w:bidi="ar"/>
              </w:rPr>
              <w:t xml:space="preserve">主要产品</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学生交流</w:t>
            </w:r>
            <w:r>
              <w:rPr>
                <w:rFonts w:hint="eastAsia" w:ascii="微软雅黑" w:hAnsi="微软雅黑" w:eastAsia="微软雅黑" w:cs="微软雅黑"/>
                <w:i w:val="0"/>
                <w:iCs w:val="0"/>
                <w:color w:val="000000"/>
                <w:sz w:val="20"/>
                <w:szCs w:val="20"/>
                <w:u w:val="none"/>
                <w:lang w:val="en-US" w:eastAsia="zh-CN" w:bidi="ar"/>
              </w:rPr>
              <w:t xml:space="preserve">2v-24v输出，电流2A，自动过载保护，学生低压直流电源电压为0V-24.0V/2A，分辨率为0.1V;具备自动过载保护功能，数字显示交流、直流电流，由教师集中控制，过载“E”闪提示;确认手动复位;配备1组220v5孔插座，系统漏电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1.学生凳，依据青少年课桌椅人体工学设计，采用特殊工艺加工制作而成。外形简洁，色彩靓丽，舒适美观，凳体共有39个部件组成，其中注塑部件有10件，铸铝部件6件，简约而不简单，凳子占地直径为460mm~490mm。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乐学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450*600*850mm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1.结构：水槽整体外观呈现长方体形式，采用两段式设计，水槽，和柜体两部分，地面排水。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2.水槽大小450*600*380mm ，采用PP塑料柜体采用一体注塑成型，耐强酸碱及有机溶剂，壁厚3mm，具有防溢出功能。采用实验室专用三联鹅颈水龙头。可选配加装洗眼器。水槽用螺丝与柜体固定。安全稳固。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围合式，前开门结构，安装简单，维修方便。上下底座与侧板均采用abs一体注塑成型，将侧板嵌入上下底座并用螺丝拉紧固定。外形方正，安全牢固。底座加装直径50MM橡胶底脚，采用8mm螺纹连接，牢固，防滑。</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洗眼器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单眼</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付</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风机结构：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（1）PP蜗牛式离心风机。根据教室使用需求配置相应的功率和风量：材质PP厚度不低于10mm，功率不低于4KW,风量不低于6677-12700m³/h ，全压不低于1139-724pa）；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（2）每台通风设备都可以独立操作，相互之间不受影响。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（3）气流组织合理，排气顺畅，无气味溢出.气体排放符合国家规定排放标准。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（4）通风系统主管内壁光滑，以降低噪声向室内传播，同时管井外壁应同室内装修保持一致，美观耐用。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各类风机配件辅材，包含风机基座.消音器等。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室内行程通风系统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室外行程通风系统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化学药品室+仪器室</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通风药品柜</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1000*500*2000mm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1.柜体：侧板、顶底板采用改性PP材料增加强度，注塑模一次性成型，表面沙面和光面相结合处理，保证柜体之坚固及密封性，耐腐蚀性强；</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2.下储物柜门：内框采用改性PP材质注塑模一次成型，外嵌≥5mm厚钢化烤漆玻璃；</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3.上柜视窗们：内框采用改性PP材质注塑模一次成型，外嵌≥5mm厚钢化烤漆玻璃，中间烤漆镂空制作；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 </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5.门把手：采用经过改性PP材质注塑模一次成型，与柜门平行，开启方便；</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6.门铰链：采用经过射出成型的PP材料制成，耐腐蚀性好；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7.螺丝：PP材质，可选不锈钢304材质；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8.备注 ：可以用于各种腐蚀性化学品的储存，如硫酸、盐酸、硝酸、乙酸、硫磺酸等。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张</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准备边台1</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2000*700*800mm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1.钢木结构；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组</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通风柜</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1500*850*2350mm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1.结构组合：采用三段组合式柜体，上部柜体(教师准备演示柜)，中间(操作台面)，下部柜体(内含单侧独立抽气式组成柜及另侧独立水、电、气体管线系统容纳柜设计)；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2.外壳：采用厚1.0mm(含)以上冷轧钢板冲压成型制作，表面经耐酸碱环氧树脂喷涂处理；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3.内壳：采用5mm厚耐酸碱、耐高温的抗倍特板制作；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4.台面：要求采用12.7mm厚实芯理化板边缘加厚至25.4mm，边缘呈圆弧形，结构坚固致密，能抗强冲击，耐强酸碱，耐高温，更具有良好的承重性能；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5.照明：采用30W日光灯，并设有5mm厚磨沙玻璃；</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6.拉手：采用ABS注塑；</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气流板：采用5mm厚抗倍特板经环氧树脂静电喷涂，安装位置与角度需使排气分布均匀，无死角，在标准状况下，导流板上方与中、下方出风口排风量比例各约50±10%，以确保不同比重之气体均能有效排除，另并具手动可调排风量比例设计，可提高中、下方出风口排风量比例至80%以上；</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8.化验水斗：采用PP制作，耐酸碱一体成型小水杯；</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9.化验水咀：采用实验室专用单口烤漆水咀；</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10.窗口：采用5mm厚的钢化防暴玻璃。内部采用垂体平衡装置，可以停留在上下任何位置；</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11.液晶控制系统：教师准备演示柜控制器以微控制器为核心，采用模块化设计，其主要特点是功能完备，结构简单，界面清晰，操作容易。</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张</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仪器柜</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1000*500*2000mm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1.全钢结构；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2.每个柜体均应为完整独立的落地型全钢制柜体设计。柜体采用钢材裸板厚度≥1.0mm一级冷轧钢板冲折制作，表面经磷化等防腐处理后再经环氧树脂静电粉末喷涂；</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3.采用双开门型式，上部为玻璃开门(门框为整板开孔，双层门)，下部为钢制开门(双层门)；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4.上下柜各配置一块钢制层板，层板高度可以上下调节，不锈钢弓形拉手。</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张</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lang w:val="en-US" w:eastAsia="zh-CN" w:bidi="ar"/>
              </w:rPr>
              <w:t xml:space="preserve">主要产品</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准备边台2</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3350*700*800mm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1.钢木结构；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4.框架：采用质60*40mmC型钢，壁厚不低于1.5mm的方管。前梁：采用壁厚不低于1.2mm，冷扎板折弯成型。横梁：采用50*30mm壁厚不低于1.5mm的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组</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水槽</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550*450*300mm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三联高低位水嘴</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鹅颈</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试剂架(单层)</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2150*300*450mm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1.铝合金结构，表面喷涂高温固化匀乳白环氧树脂喷涂理处理，具有较强的耐蚀性能，上下带塑胶模具堵头；</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2.试剂架立柱截面尺寸：42*82mm， 型材壁厚1.2mm；试剂架立柱双面升降槽，侧面双面镶嵌另色色条；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3.试剂架托架1.0mm镀锌钢板，一次性冲压成型；试剂架护栏：护栏壁厚1.2mm，单面镶嵌另色色条；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4.立杆牢固固定于C型钢架底端，层板采用8mm厚的玻璃，安装后用户可根据试剂大小上下高低无级调节。</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组</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滴水架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400*600mm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1.类型：单面 底部托盘中间设有排水孔 可拆卸式滴水棒，具有锁扣功能，方便使用。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组</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洗眼器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 单眼 </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付</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通风系统</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1200*1000*1700mm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风机结构：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（1）PP蜗牛式离心风机。根据教室使用需求配置相应的功率和风量：材质PP厚度不低于10mm，功率不低于3KW,风量不低于4970-9987m³/h ，全压不低于870-620pa；</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（2）每台通风设备都可以独立操作，相互之间不受影响。</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（3）气流组织合理，排气顺畅，无气味溢出、气体排放符合国家规定排放标准。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（4）通风系统主管内壁光滑，以降低噪声向室内传播，同时管井外壁应同室内装修保持一致，美观耐用。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各类风机配件辅材，包含风机基座、消音器等。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室内行程通风系统</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φ60-110mm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室外行程通风系统</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300*250mm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采用防腐蚀PP材质，整体焊接成型，具有整体结构性能好、严密性高等优点，同时具有耐酸碱性能。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室外型实验室污水处理设备</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1900*1100*2000mm</w:t>
            </w:r>
            <w:r>
              <w:rPr>
                <w:rFonts w:hint="eastAsia" w:ascii="微软雅黑" w:hAnsi="微软雅黑" w:eastAsia="微软雅黑" w:cs="微软雅黑"/>
                <w:i w:val="0"/>
                <w:iCs w:val="0"/>
                <w:color w:val="000000"/>
                <w:sz w:val="16"/>
                <w:szCs w:val="16"/>
                <w:u w:val="none"/>
              </w:rPr>
            </w:r>
            <w:r/>
          </w:p>
        </w:tc>
        <w:tc>
          <w:tcPr>
            <w:tcW w:w="5280" w:type="dxa"/>
            <w:vAlign w:val="top"/>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1水质运行检测指标：包括物理指标和化学指标。处理后水质标准：达到《污水综合排放标准》（表4第二类污染物最高允许排放浓度的三级排放标准,处理量1000L/D,尺寸≥1650X900X1900</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 通过在线pH仪表控制加药泵的运行和停止，具有迟滞量设置功能。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 通过液位传感器控制增压泵、加药泵的运行和停止。</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 配置pH调节装置，通过传感器在线监控水质，根据需要添加相应药剂，完成水质酸碱度控制，同时系统具有根据pH值自动调整加药速度的功能，以确保pH调节效率和效果。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 配置重金属螯合、混凝沉降装置及污泥过滤装置，通过加入螯合能力更强、更环保的新型重金属螯合剂及助凝剂，高效去除重金属、胶体及悬浮物等污染物。</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 配置有缺药提示装置</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设备处理工艺采用酸碱中和，微电解，絮凝沉淀、过滤、高级氧化，复合式杀菌消毒等工艺，不仅可以利用二氧化氯进行消杀，还可以利用臭氧以氧原子的氧化作用破坏微生物膜的结构实现杀菌作用，并且能充分将废水中的细菌病毒杀死，彻底杀灭大肠杆菌，在规定的时间和场所内，臭氧的泄漏量为≤0.1mg/m³，粪大肠杆菌的杀菌率达到99.99%以上，安全高效。</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8 系统采用先进的智能组件和CAN总线技术，用户可以根据现场的水量、水质和成本要求，通过对各处理模块设备的科学组合，设定出符合用户需求、性价比最高的一体化自控软件系统；采用国内知名品牌全自动控制系统，彩色触摸液晶大屏，LED全中文操作页面，能够实时显示各处理流程的运行状态信息，实现污水处理真正的可视化监测运维管控</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 利用智能系统控制废水中的水质变化和处理流程，无需专人看守。</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（1）、系统采用先进的智能组件和CAN总线技术，用户可以根据现场的水量、水质和成本要求，通过对各处理模块的科学组合，设定出符合用户需求、性价比最高的综合性废水处理系统；</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（2）、国际知名品牌全自动PLC控制系统，7英寸彩色触摸液晶大屏，LED全中文操作页面，能够实时显示仪器的运行状态信息。无人工看守，设定时间内有废水开机、无废水停机；</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（3）、清洗及校正功能：具有自动和手动两种方法进行清洗和设备校正。自动清洗功能：每一段时间处理结束后，自动清洗仪器管路、阀门等部件；</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（4）、报警功能：设备正常运行过程中，污水流动压力相对稳定，一旦使用时间过长，各个处理单元或过滤装置发生阻塞时，影响水的压力，从而触发报警装置，保证设备整机运行正常；</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远程控制功能：远程监控：只需有WIFI，就能①远程访问系统；②远程管理：实现连接两端的资源共享，用于远程办公等；③远程控制：开关机，重启、注销及定本地或远端程序等；支持多种通讯方式，包括RS232、RS485、GSM、GPRS、TCP/IP、UDP及3G网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（污水废水综合处理设备电脑/手机端远程控制智慧物联网系统软件，污水废水综合处理设备自动清洗及校正系统软件）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钢制黑板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900*600mm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900*600mm，双面。</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 </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打孔器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6mm.8mm.10mm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1.壁厚1mm的冷拨无缝钢管制成；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2.手柄用3mm厚低碳钢板制成.3.通条用ф2.8mm碳素钢丝等制成.长约：95mm</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3.四件为一套，可穿孔径为4mm.6mm.8mm的圆孔；</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4.穿孔与手柄之间用，通条与圆柄之间，均用铜焊连接，任意旋转手柄不会松动；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5.本仪器表面镀絡，色泽光亮防锈性能好，刃口经淬火处理。</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打孔器夹板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175*40*11mm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1.上夹板应备有Φ为6mm、8mm、10mm.、2mm直穿孔4个.紧固螺钉与下夹板坚固为一体，不得松动；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2.紧固螺钉长度不小于80mm，上夹板上下高度可调，由蝴蝶螺母定位.夹板应有足够的强度，夹持物体时不变形。</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打孔器刮刀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由刀架.刀片.刀片定位销钉.刀片张角定位螺钉和手柄组成.刀片采用具有足够刚性和硬度工具钢片.刀刃应锋利.无缺损.变形.卷刃现象.刀体与刀柄连接牢固.刀架采用金属材料制成，表面作防锈处理.刀架工作端为1：4锥度圆锥体，经调节刀片张角，可修削刀口Φ4mm～13mm的打孔器刀口.手柄表面光洁，大小适当，握持手感舒适.刀片与刀架配合灵活，便于装拆.刀口张角可调。</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仪器车</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600mm×400mm×800mm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规格：600mm×400mm×800mm。2．仪器车应分为2层，层间距不小于300mm。3．车架用直径不小于Φ19mm、壁厚不小于0.7mm的不锈钢管制成，架高不低于800mm。4．车架脚安装有不小于Φ50mm、厚15mm转动灵活的万向轮。5．车隔板为不薄于0.7mm的不锈钢制成，四周安装有30mm的挡板。6．整车安装好后应载重50Kg应运行平稳，不得变形、摇晃、松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试剂瓶托盘</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300*250*70mm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1.本盘平时放于药品柜中，四边有护边，一盘内可同时放小试剂瓶30个以内；</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2.材质为ABS注塑成型；</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3.托盘质量应保证不易老化，变脆和开裂等；</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4.托盘厚度≥2mm，底部有加强筋，应满足承重要求。</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塑料水槽</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250mm×180mm×100mm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碘升华凝华管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45mm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1.由管体和手柄两部分组成；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2.管体是玻璃制成的密封圆筒形管，两端形成内凹形曲面，管的高度为45±3mm，横截面Φ为30±2mm，两端凹面深度为4±1mm，管内密封质量不小于0.1g的碘；</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3.手柄呈杆状，长100±5mm，横截面Φ为6±1mm。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方座支架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1.组成：由方形座、立杆（Φ12mm×600mm）、烧瓶夹（6.5cm）、大小铁环（内径9cm、内径6cm）、垂直夹（2只）、平行夹、吊杆等组成;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2.技术要求：</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（1）方形座不小于210mm×135mm，质量≥1.5kg，表面进行防锈防腐蚀处理；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（2）平行夹、烧瓶夹铁片厚度≥1.0mm，烧瓶夹夹口内壁有耐热不低于120℃的缓压层，缓压层厚度≥2.0mm；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万能夹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1.产品由夹杆、夹头组成。夹头分三爪，铝合金压铸成夹叉形，夹口为张紧螺丝张口，双向紧固，每一夹叉上均粘接软木底垫；</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2.夹杆Φ为Φ8mm，长150mm，表面镀铬；</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3.夹持范围为Φ5～70mm；</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4.夹持质量不小于1.5kg。</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三脚架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铁环和3只脚组成，应用Ф6冷拉钢丝制成，表面喷漆或镀锌.圆环ΦФ80mm，中心高130mm.焊点光滑.平整.支脚分布均等.平稳。</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泥三角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由三根铁丝弯成，套有三截素烧瓷管，形如三角形.三角形的单边长不小于60㎜，铁丝接头绞合，绞合长度约30mm，瓷管应不裂.不缺.坚固.圆滑。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250*65*10mm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木制或塑料制，8孔，孔径21mm，立柱粘结牢固。</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12孔</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产品为木质12孔，产品规格：(42cm*7cm*1.5cm) *8.5cm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漏斗架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400*90mm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木制或塑料制，8孔，孔径21mm，立柱粘结牢固。</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滴定台</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325*155*30mm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1.由底座.支杆.滴定管夹组成，底座台面为大理石面；</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2.其上有M8螺纹，立杆由ΦФ10mm圆钢制成，表面镀铬，与底座紧固后，滴定夹夹持范围6mm～20mm；</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3.最大夹持重量不小于800g，底座四角应装有橡胶垫脚，放置平衡，不晃动。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滴定夹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200*110mm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1.滴定夹是滴定台的组成部份，供化学实验用；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2.由铝合金制成，蝶式结构；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3.两端能夹持20mm以下Φ的滴定管，两管平行，当两管盛满液体后，不下滑。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托盘天平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200g</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1.最大称量为：200g，标尺称量为:0-5g，分度值e=d：0.2g；</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2.秤盘Φ：84mm，净重:0.8kg。</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托盘天平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500g</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1.标尺最大称量500g，分度值0.5g.秤量允许误差为±0.5d(分度值)；</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2.双盘.单杠杆.等臂，非封闭式横梁由铝合金制成；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3.刀子：钢或玛瑙制成；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4.标尺应光洁平直，连接部位应固紧，分度线应均匀，游码起点应对准零线，移动时松紧适宜，当杠杆受到轻微冲击时，游码不应移位，刀子应垂直地紧固。</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温度计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0℃～100℃</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红液，0℃～100℃，分度值1℃，示值误差＜1.5℃。</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温度计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0～200℃</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水银，0～200℃，分度值1℃，示值误差＜0.5℃，有保护套。</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多用电表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指针式，不低于2.5级</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密度计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密度＞1g/cm3，在液体中倾斜度≤0.2分度值。</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贮气装置</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1.化学实验室设备，用于收集、贮存气体；</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2.由底座、手柄、支架、气球嘴、锁紧螺母、贮气球、气嘴、气嘴阀门、气胆阀门、手压球各部分组成；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3.气球嘴、气嘴应紧固、牢靠，在使用中不得产生松动现象；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4.气嘴阀门、气胆阀门的耐磨性能好，气密性良好。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分子结构模型</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23mm、30mm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氢原子球Φ不小于23mm，其他原子球Φ不小于30mm。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金属矿物.金属及合金标本</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180*150*50mm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主要技术指标：应选取不少于5种矿石褐铁矿、铜矿石、铝矿石、磁铁矿、赤铁矿以及10种金属及合金分别为铁、铜、铝、锌、锡、铁锌合金、铜锌合金、铝镁铬合金 、铁钴镍合金、铅锡合金，标本盒内固定牢靠。标本盒不小于195mm*130mm*25mm。。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原油常见馏分标本</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本标本由原油、汽油、煤油、润滑油、沥青、溶剂油、航空煤油、柴油和石蜡组成。</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合成有机高分子材料标本</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主要技术指标：选用不少于十种高分子材料标本。本标本由塑料、橡胶、合成纤维组成，塑料由：聚乙烯、、聚苯乙烯、聚氯乙烯、ABS，橡胶由：天然橡胶、氯丁，合成纤维由：锦纶、涤纶、晴纶、丙纶组成。每种材料标本外形尺寸不小于25mm×15mm。在标本盒内固定牢靠。标本盒不小于195mm*130mm*25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元素周期表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1500*1100mm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带轴，≥1500*1100mm，按新课标要求，带轴，字迹信息清晰，易于观看。</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分度0.2ml允差0.2ml身外径16mm全高135mm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分度1.0ml允差1.0ml身外径26mm全高195mm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分度1.0ml允差1.0ml身外径32mm全高250mm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分度5.0ml允差5.0ml身外径55mm全高350mm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分度25.0ml允差3.0ml全高200mm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容量瓶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允差0.15ml颈外径20mm身外径80mm全高220mm，透明硼硅酸盐玻璃制，刻度线应在瓶颈下部三分之二处，清晰耐久，粗细均匀。</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容量瓶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允差0.25ml颈外径23mm身外径100mm全高270mm，透明硼硅酸盐玻璃制，刻度线应在瓶颈下部三分之二处，清晰耐久，粗细均匀。</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滴定管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酸式，25ml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25ml刻度0.1容量误差0.05ml高660MM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滴定管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碱式，25ml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25ml刻度0.1容量误差0.05ml高45-70S高570MM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Φ12*75mm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外径12mm全长75mm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Φ15*150mm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外径15mm全长150mm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Φ18*180mm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外径18mm全长180mm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Φ20*200mm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外径20mm全长200mm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Φ32*200mm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外径32mm全长200mm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具支试管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Φ20*200mm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Φ20*200mm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硬质玻璃管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Φ15*150mm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透明硼硅酸盐玻璃制，耐热温度≥800℃，试管两端口部应卷口。</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硬质玻璃管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Φ20*250mm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透明硼硅酸盐玻璃制，耐热温度≥800℃，试管两端口部应卷口。</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外径34mm高度50mm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外径43mm高度60mm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外径50mm高度75mm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外径70mm高度97mm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外径85mm高度120mm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外径105mm高度145mm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圆底，短颈，厚口250ml</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250ml平底长颈，平底烧瓶放在平台上时，直立不摇晃、不转动。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锥形瓶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颈外径22mm瓶外径64mm高度105mm，放在平台上直立不摇晃.不转动。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锥形瓶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颈外径34mm瓶外径85mm高度145mm，放在平台上直立不摇晃.不转动。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蒸馏烧瓶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250ml，放烧瓶的颈部同一截面呈圆形，颈的口部不应呈锥形，并适当提高强度。</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抽滤瓶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身外径115mm全高200mm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干燥器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160ml</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气体发生器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250mL，漏斗柄与瓶身连接口内壁间隔≤2mm(单边)。</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冷凝器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直固，300mm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牛角管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Φ18*150mm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弯形，尖嘴处厚度＞1mm。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口径60mm下管外径8mm管长60mm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Φ90mm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口径90mm下管外径11mm管长90mm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安全漏斗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直形，径长300mm，上口直径40mm±3mm，玻璃壁厚度适中。</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安全漏斗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双球，球径高度、直径一致，双球应位于环管中部，应无明显偏斜。</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分液漏斗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1.锥(梨)形；</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2.瓶塞应有凹槽，瓶口有气孔。</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分液漏斗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1.球形；</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2.瓶塞应有凹槽，瓶口有气孔。</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布氏漏斗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瓷，80mm。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T形管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Φ7～8mm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T形，Φ7mm～8mm。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Y形管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Φ7～8mm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Y形，Φ7~8mm，连接完好，管口应作打磨或烧结处理</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经久耐用，透明度高，容易观察。</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离心管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分度0.1ml外径17mm全长110mm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直形单球干燥管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145mm，直形单球，硼硅酸盐玻璃制，球应厚薄均匀。</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U型干燥管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Φ15mm*150mm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U型，Φ15mm×150mm，硼硅酸盐玻璃制，两管应平行，管口高度误差不大于5mm。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圆水槽</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Φ270*140mm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水槽底部平整，无凸底，壁厚和底厚均匀，口部端面平整，边和口圆滑。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玻璃钟罩</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Φ150*280mm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1.用于设计密闭实验装置，如用于观察植物体内水的散失现象；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2.规格：Φ150 mm×280 mm，玻璃壁厚度＞3 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集气瓶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125ml，附毛玻璃片。</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集气瓶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250ml，附毛玻璃片。</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液封除毒气集气瓶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250ml，瓶口光滑，液封口深度≥1cm。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60ml，透明钠钙玻璃制，瓶塞与瓶口紧实，不晃动：口部圆整光滑，底部平整，放置平台上不摇晃或转动。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125ml，透明钠钙玻璃制，瓶塞与瓶口紧实，不晃动：口部圆整光滑，底部平整，放置平台上不摇晃或转动。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250ml，透明钠钙玻璃制，瓶塞与瓶口紧实，不晃动：口部圆整光滑，底部平整，放置平台上不摇晃或转动。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500ml，透明钠钙玻璃制，瓶塞与瓶口紧实，不晃动：口部圆整光滑，底部平整，放置平台上不摇晃或转动。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60ml，棕色钠钙玻璃制，瓶塞与瓶口紧实，不晃动：口部圆整光滑，底部平整，放置平台上不摇晃或转动。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125ml，棕色钠钙玻璃制，瓶塞与瓶口紧实，不晃动：口部圆整光滑，底部平整，放置平台上不摇晃或转动。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250ml，棕色钠钙玻璃制，瓶塞与瓶口紧实，不晃动：口部圆整光滑，底部平整，放置平台上不摇晃或转动。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3.整体容量60ml，透明钠钙玻璃制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3.整体容量125ml，透明钠钙玻璃制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3.整体容量250ml</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3.整体容量500ml</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3.整体容量1000ml，透明钠钙玻璃制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3.整体容量2500ml，透明钠钙玻璃制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3.整体容量60ml，棕色钠钙玻璃制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3.整体容量125ml，棕色钠钙玻璃制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3.整体容量250ml，棕色钠钙玻璃制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3.整体容量500ml，棕色钠钙玻璃制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3.整体容量1000ml，棕色钠钙玻璃制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30ml身外径40mm全高76mm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60ml身外径46mm全高85mm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茶色滴瓶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30ml身外径40mm全高76mm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茶色滴瓶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60ml身外径46mm全高85mm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坩埚</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瓷制，30mL，耐热≥1200℃，内外壁光滑，外壁涂釉，配有坩埚盖。</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坩埚钳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200mm，钢制，中间弯曲部分内径应在20mm~30mm。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钢制或不锈钢制，夹持部位应有橡胶保护套，避免与玻璃烧杯直接接触。</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镊子</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不锈钢制，平头，长约125mm，钢板厚约1.2mm，前部应有防滑脱锯齿。</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木制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止水皮管夹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Φ3mm钢丝制成，作防锈处理，夹持角度≥60º。</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螺旋皮管夹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33*20*8mm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由支架管和带压板的螺杆等组成。外形尺寸约为33*20*8mm，旋转方便，不易变形，压板厚度≥1mm。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燃烧匙</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铜勺，勺直径18mm，深10mm，铁柄，柄长300mm，长柄和铜勺连接稳定结实</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药匙</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药匙塑料，长度≥100mm，带小勺，材质可选金属、牛角、塑料。</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玻璃管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Φ5～6mm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Φ5mm～6mm中性料，管口应打磨或烧结，避免划伤事故。</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根</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玻璃管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Φ7～8mm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Φ7mm～8mm中性料，管口应打磨或烧结，避免划伤事故。</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根</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橡胶塞</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可打孔，打孔用于连接试管与玻璃管，试管与漏斗等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袋</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直形玻璃活塞</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直形，吻合良好，不漏气，不漏液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移液管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带洗耳球 （50ml） 带刻度</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移液管架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有机玻璃制，圆盘型，64孔，大孔（15.51mm）、中孔（10.29mm）、小孔（4mm）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试管刷</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Φ12mm、Φ18mm、Φ32mm，手持部分顶端应为环状，顶部要有刷丝，铁丝不可外露。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烧瓶刷</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手持部分顶端应为环状，顶部要有刷丝，铁丝不可外露。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结晶皿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80mm，平底，无色硼硅酸盐玻璃制。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表面皿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60mm，无色硼硅酸盐玻璃制。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表面皿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100mm，无色硼硅酸盐玻璃制。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研钵</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100mm，瓷制，配有研杵，内部粗糙便于研磨，外部光滑。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蒸发皿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60mm，瓷制，耐受温度≥800℃。</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蒸发皿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100mm，瓷制，耐受温度≥800℃。</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反应板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6孔，表面有釉层，不会发生溶液渗透。</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井穴板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9孔，每孔0.7mL，可以重复使用。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井穴板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6孔，每孔5mL，配6个双导气管的井穴塞，可以重复使用。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塑料多用滴管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弹性圆筒形吸泡和一根Φ1*120mm的径管连接而成，容积4mL，环保材料，弹性好。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一字螺丝刀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5*125mm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Φ3或Φ6mm；中号，木制手柄。</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十字螺丝刀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Φ3或Φ6mm；中号，木制手柄。</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钢丝钳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手锤</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250g</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1.采用45号高碳钢精工铸造，表面抛光处理，敲击面热处理，硬度45-48HRC，纤维手柄</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锉刀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200mm,平锉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剪刀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3号</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3号</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工作服</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普通工作服，白色。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护目镜</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全塑料制，侧面完全遮挡。眼架的距离可调。</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防护面罩</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由透明有机玻璃和帽架组成。面罩应清洁透明，应无波纹、无划伤、裂纹。帽架应采用韧性好的材料制作，不易折断、变形。面罩与帽架的连接应牢固可靠。帽架系带应宜于调整松紧。</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防护口罩</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E型(标色：黄)，防止吸入酸性气体或蒸气</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CO型(标色：白)，防止吸入一氧化碳气体</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耐酸手套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1.表面应具有较好的耐酸、耐碱及其他化学试剂腐蚀的性能。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2.产品为外覆PVC材料，内为棉质材料制成。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3.柔韧性好，穿戴后便于进行各类实验操作。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4.产品规格以中号为主，大、小号规格的数量为20%。</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实验防护屏</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650*360*5mm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三片折叠式结构，由透明度好的有机玻璃制造。外形尺寸不小于650mm×360mm×5mm。防护屏支撑牢靠，底座平稳。板面不得有划痕、裂纹等缺陷。合叶与屏板连接牢靠，经多次开合不得脱落。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橡胶管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1.连接玻璃管，导气使用。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2.可折叠，回弹恢复原状。</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3.柔软可拉伸，弹性强劲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米</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电子天平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100g/0.1g</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陶土网</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常规</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金属网尺寸≥125mm×125mm，耐火材料为陶土，功能等同于石棉网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定性滤纸</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快速，9cm，100张</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盒</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培养皿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底外径60mm底高15mm盖外径65mm盖高14mm，玻璃薄厚均匀、耐高温高压。</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手套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L号，100只/盒，白色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盒</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180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计算器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函数型。</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181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分度25.0ml允差3.0ml全高200mm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182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图文设计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定制</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项</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化学智慧创新实验室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尺寸：3300*1600*100mm采用实木，环保，安全;木质坚韧，结构稳固；具有耐磨.耐压.耐撞击等优点；中间金属架支撑，稳固安全。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1、电源控制台（教师电源）采用冷轧钢板喷塑制成，教师电源采用翻转式(带锁）使用时向下翻转45度，并装有阻尼，可在任意一点停止。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2、电源配置一组VGA和两组USB接口，并有相应的输出（引线长80公分以上）可与电脑主机相连接使用。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3、有二块3位半高精度数字电压表分别显示交/直流输出电压的实验参数。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4、教师电源分四组向学生桌输出安全的220v交流电源（采用4个32A按钮组合开关控制）具有漏电保护功能，电源必须具有防雷击功能。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5、电源配有双安全的多功能插座一组，插座下方必须标有“”标识和注意安全的警示语。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6、电源具有过载、过热保护装置（交直流分别具有过载指示和过载手动复位功能）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7、教师演示实验电源主要技术参数：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输入电压：交流220V±10%   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交流低压输出：2-24V   5A（分辨率2V）采用叠加步进调节，交流输出必须保证正弦波。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直流稳压输出：1-24V   5A（分辨率0.1V）采用后连续可调，采用精密5圈电位器调节。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8、教师主控电源配有一个主变压器，并能控制学生电源的交直流输出。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实验室专用防漏电(防触电)智能安全电源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430*347*150mm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尺寸：430*347*150mm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额定输入电压：220Vac（单相）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额定输入电流：23.9A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输入电压范围：220Vac ± 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3、输出参数：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额定输出功率：5KW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额定输出电压：220Vac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额定输出频率：50Hz/60Hz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额定输出电流：22.8A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电压输出精度：220V ± 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输出频率精度：50/60Hz ± 1Hz（出厂可设）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波形失真率：≤2% THD（线性负载）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动态响应时间：5%（0到100%）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4、过载能力：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120%，2分钟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150%，20秒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对地漏电流：&lt;0.7mA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输出效率：≥95%（85%阻性负载）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功率因子（PF）：0.9</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5、工作环境：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绝缘强度：F（2000Vac，1分钟）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噪音（1米）：≤40dB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使用环境温度：0°C 到 +55°C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防护等级：IP22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湿度：0到90%，不结露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使用海拔：≤4000米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6、保护功能：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输入欠压保护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输入过压保护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输出过载保护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输出短路保护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教师操作台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900*700*800mm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450*610*805mm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【整体结构】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1.折叠尺寸：≥450*600*800mm；展开状态：≥450*600*950mm；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2.材质：台盆主体材质应采用耐腐蚀PRP玻璃钢材质；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3.为进行有效的产品筛选和测试，需对设备进行外观测试：台盆表面光滑顺畅，台盆表面涂层色泽均匀、结合牢固。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【功能要求】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1.出水装置：可翻转收纳铜芯水龙头；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2.沥水架：需集成隐藏式试管沥水架；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3.前门板：需配置前门板；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4.下水管：需配置防臭罩杯；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5.水槽内需进行防溅水设计；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万向吸风罩</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1.关节：高密度PP材质表面磨砂，优化了视觉美感和手握触感可360°旋转调节方向；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2.关节密封圈：不易老化之高密度橡胶。在关节之间随着旋钮压力加大而产生阻尼效果；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3.关节连接杆：304不锈钢双头锁杆；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4.关节盖：高密度PP材质表面磨砂，一面嵌入铜质滚花螺母，四周采用自锁式倒扣拆装方便；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5.关节松紧选钮：高密度PP材质，内置微形平面推力不锈钢轴承，与关节连接杆锁合；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6.拱形集气罩：Φ253mm，高密度铝合金制成。防止做实验时着火出现危险；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7.伸缩导管：4节Φ60mm的6系专业抗氧化抗腐蚀的镁硅铝合金，表面做特氟龙表面处理，耐酸、耐碱、耐划痕；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8.旋转关节：6系专业抗氧化抗腐蚀的镁硅铝合金，在下部设计增加旋转功能，内部设计PVC离合结构；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9.扭簧：使用90度的4mm专用弹簧钢抗氧化处理，防止吸风罩整体滑下；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10.安装后可根据使用需要达到三维360度任意转停，集气罩吸气角度360度任意转停。吻合高水准专业实验室。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实验教学教师端演</w:t>
            </w:r>
            <w:r>
              <w:rPr>
                <w:rStyle w:val="1330"/>
                <w:color w:val="000000"/>
                <w:lang w:val="en-US" w:eastAsia="zh-CN" w:bidi="ar"/>
              </w:rPr>
              <w:t xml:space="preserve">示系统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一、演示实验教学软件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1、教务管理：教师账号管理、班级管理、学生管理等系统设置；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2、教学演示：实验教学老师演示投放大屏，支持实时操作视频投放，操作视频进行录制完成后实时回放，录制视频可保存；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3、课件管理：精品教案资料上传修改，可分别录入必做实验视频库、选做实验视频库、分组实验视频库、演示实验视频库、探究实验视频库；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二、实验操作摄录装置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1、分辨率：1200万像素，帧率：30 帧/秒；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2、接口类型：USB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3、采用柔性软管式设计，可360°灵活调整摄像位置及角度；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4、拍摄高度750mm，拍摄行程600mm；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三、虚拟仿真实验软件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1、软件要求提供初中理化生仿真实验资源和真人录播视频数量；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2、软件采用互动教学模式对实验进行观察和交互式操作，实验资源以主流3D引擎作为核心开发工具，使得实验不仅具有可360°旋转，放大，缩小观察真实的实验现象还具有真实仿真的实验结果；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3、虚拟仿真实验教学资源需包含 3D 交互式实验教学资源、真人微课视频、视频资源、PPT课件资源、习题资源和图片资源六种类型；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教师演示智慧终端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1、智慧终端由基础集成系统、一体化支架、实验采集终端、智慧教师终端四部分组成。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2、基础集成系统满足以下要求：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（1）采集终端可折叠收纳与展开，其中顶拍内控高度≥700mm。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（2）支持POE供电：可单根网线实现整机（1个屏幕、3路视频采集摄像机、安卓系统）供电。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（3）支持电池供电：可拆卸锂电池≥6000mah。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（4）终端操作系统：内置开机自行启动操作系统，可屏蔽与教学实验无关的系统干扰。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3、一体化支架满足以下要求：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（1）使用过程中可稳定维持固定拍摄角度，都支持自由旋转。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（2）底座支架具备固定功能，底座尺寸宽度≤16cm。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4、实验采集终端满足以下要求：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（1）同时支持三路视频采集，形成三维立体采集模式。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（2）像素≥500万，广角≥90°。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（3）支持H.264视频压缩编码，自动曝光，支持宽动态，宽动态范围≥80dB。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5、智慧教师终端满足以下要求：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（1）屏幕尺寸≥15英寸，支持≥45°翻折。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（2）分辨率≥1920*1080，支持≥10点触控。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（3）CPU：≥8核，主频≥2.2GHz。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（4）GPU:AI运算处理性能不低于Mali - G52 MC3。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（5）内存：≥8G。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（6）存储：≥32G，可存储实验操作考试数据存储备份，支持拓展。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（7）USB接口：至少4个USB2.0和1个USB3.0接口。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（8）拓展接口：具有1路高清视频HDMI输出接口。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（9）网络：支持有线联网，≥100M网卡。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实验教考系统（教师端）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1、教学模式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1)实现教师实验操作视频互动展示；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2)实现学生实验操作视频分屏展示，教学互动指导操作；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3)实现教师/学生实验操作视频实时录制功能。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2、课堂练习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1)支持教师开展课堂练习-模拟测试数据查看、测评工作；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2)支持教师开展课堂练习-学生作业数据查看、测评工作。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3、教学资源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1)支持查看教学资源数据；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2)支持下载存储教学资源数据。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4、系统管理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1)支持系统参数配置；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2)支持学生终端设备运行状态监测维护；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3)支持系统应用升级操作。</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实验教考测评管理系统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1、系统用户管理，包含用户查询、新增、启用、停用、角色分配等管理操作。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2、学校信息管理，包含学校信息、班级信息、教师信息、学生信息新增、修改、导入、导出等管理操作。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3、实验室管理，包含实验室信息管理、实验室终端管理操作。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4、实验信息管理，包含实验信息统计、查询、新增、导入、导出、实验视频维护等管理操作。实现信息包含课标实验、拓展实验管理。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5、扩展资源管理，包含扩展资源统计、查询、新增、资源上传/下载等操作。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模拟测试，包含模拟测试数据统计（如测试总数量、已完成数量、待完成数量、物理实验数量、化学实验数量、生物实验数量）、模拟测试信息查询、新增（所属科目、关联实验、测试班级、测评方式、测评类型、截止日期等内容维护）、编辑、导入、导出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学生作业，包含作业数据统计（如作业总数量、已完成数量、待完成数量、物理实验数量、化学实验数量、生物实验数量）、学生作业信息查询、新增（所属科目、关联实验、所属班级、测评方式、测评类型、截止日期等内容维护）、编辑、导入、导出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8、实验教学管理（模拟测试、学生作业）模块支持人工测评（教师评价、学生互评）、AI测评；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9、学生作业支持一键生成教学资源，记录学生实验得分帧，支持导出PPT文档。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10、学情分析-学期分析总览，支持以月/学期为数据维度的数据统计，包含以班级为单位的作业次数、统计周期内作业次数同比、测试次数、统计周期内测试次数同比。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11、学情分析-班级学情分析,包含统计数据总览，统计数据详情，测试/作业数据详情内容。统计数据总览：以班级为维度，</w:t>
            </w:r>
            <w:r>
              <w:rPr>
                <w:rFonts w:hint="eastAsia" w:ascii="微软雅黑" w:hAnsi="微软雅黑" w:eastAsia="微软雅黑" w:cs="微软雅黑"/>
                <w:i w:val="0"/>
                <w:iCs w:val="0"/>
                <w:color w:val="000000"/>
                <w:sz w:val="18"/>
                <w:szCs w:val="18"/>
                <w:u w:val="none"/>
                <w:lang w:val="en-US" w:eastAsia="zh-CN" w:bidi="ar"/>
              </w:rPr>
              <w:t xml:space="preserve">统计周期内的测试/作业总次数、物理测试/作业次数、化学测试/作业次数、生物测试/作业次数、班级测试/作业物理均分、班级测试/作业化学均分、班级测试/作业生物均分。统计数据详情：以班级为维度，统计周期内的每次测试/作业信息，如：测试/作业时间、所属实验、学科、班级平均分、班级最高分、班级最低分、班级评分错误率排行(TOP3)。测试/作业数据详情：以班级为维度，单次测试/作业信息，如：班级平均分、最高分、最低分、涉及错误评分点数量、易错点排行、每个学生的测试/作业数据详情(姓名、学号、得分、名次、评分错误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学情分析-学生学情分析,包含统计数据总览，统计数据详情（含图表展示），数据详情。统计数据总览：以学生为维度，统计周期内的测试/作业总次数、物理测试/作业次数、化学测试/作业次数、生物测试/作业次数、班级测试/作业物理均分、班级测试/作业化学均分、班级测试/作业生物均分。统计数据详情：以学生为维度，统计周期内的</w:t>
            </w:r>
            <w:r>
              <w:rPr>
                <w:rFonts w:hint="eastAsia" w:ascii="微软雅黑" w:hAnsi="微软雅黑" w:eastAsia="微软雅黑" w:cs="微软雅黑"/>
                <w:i w:val="0"/>
                <w:iCs w:val="0"/>
                <w:color w:val="000000"/>
                <w:sz w:val="18"/>
                <w:szCs w:val="18"/>
                <w:u w:val="none"/>
                <w:lang w:val="en-US" w:eastAsia="zh-CN" w:bidi="ar"/>
              </w:rPr>
              <w:t xml:space="preserve">每个学生测试/作业信息，如：物理平均分、物理均分名次、化学平均分、化学均分名次、生物平均分、生物均分名次。数据详情：每条学生统计数据的详情内容，含：统计周期内的测试/作业总次数、物理测试/作业次数、化学测试/作业次数、生物测试/作业次数、个人测试+作业综合成绩评比（物理实验平均分评比、化学实验平均分评比、生物实验平均分评比）、个人测试成绩对比、个人作业成绩数据图表对比，班级综合成绩评比（物理均分最高分、个人得分、最低分、排名，化学均分最高分、个人得分、最低分、排名，生物均分最高分、个人得分、最低分、排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物联管理-支持平台一体化物联管理，实现多种物联设备接入控制（包含：空气净化器、环境监测仪、智能照明控制、智能插座、多媒体控制器、空调控制器、窗帘控制器、智能触控开关等等）、物联设备数据统计（设备总数、设备类型数量、绑定空间数量、物理实验室数量、化学实验室数量、生物实验室数量）、操作日志记录查询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14、物联管理-支持本地物联控制管理，基于zigbee mesh实现本地组网控制。可基于智控面板/中控屏终端实现设备的本地集中控制、独立控制、场景控制。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15、支持不同层级的用户角色权限管理，包含市级机构管理权限、区级机构管理权限、校级管理权限、教师、学生等多种管理权限控制；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16、系统日志管理，支持系统操作日志记录管理，包含操作对象，操作IP，操作时间，操作动作等等。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理化生实验教考智慧终端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1、智慧终端由基础集成系统、一体化支架、实验采集终端、智慧学生终端四部分组成。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2、基础集成系统满足以下要求：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（1）采集终端可折叠收纳与展开，其中顶拍内控高度≥700mm。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（2）支持POE供电：可单根网线实现整机（1个屏幕、3路视频采集摄像机、安卓系统）供电。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（3）支持电池供电：可拆卸锂电池≥6000mah。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（4）终端操作系统：内置开机自行启动操作系统，可屏蔽与教学实验无关的系统干扰。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3、一体化支架满足以下要求：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（1）使用过程中可稳定维持固定拍摄角度，都支持自由旋转。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（2）底座支架具备固定功能，底座尺寸宽度≤16cm。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4、实验采集终端满足以下要求：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（1）同时支持三路视频采集，形成三维立体采集模式。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（2）像素≥500万，广角≥90°。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（3）支持H.264视频压缩编码，自动曝光，支持宽动态，宽动态范围≥80dB。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5、智慧学生终端满足以下要求：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（1）屏幕尺寸≥15英寸，支持≥45°翻折。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（2）分辨率≥1920*1080，支持≥10点触控。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（3）CPU：≥8核，主频≥2.2GHz。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（4）GPU:AI运算处理性能不低于Mali - G52 MC3。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（5）内存：≥8G。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（6）存储：≥32G，可存储实验操作考试数据存储备份，支持拓展。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（7）USB接口：至少4个USB2.0和1个USB3.0接口。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（8）拓展接口：具有1路高清视频HDMI输出接口。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（9）网络：支持有线联网，≥100M网卡。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实验教考系统（学生端）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1、教学模式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1)实现教师实验操作视频互动展示；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2)实现学生实验操作视频动作展示指导。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2、课堂练习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1)支持教师开展课堂练习-模拟测试数据查看、完成实验工作；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2)支持教师开展课堂练习-学生作业数据查看、提交工作；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3)支持学生进行课堂练习-模拟测试/学生作业互评操作。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3、教学资源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1)支持查看教学资源数据；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2)支持下载存储教学资源数据。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4、系统管理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1)支持系统参数配置；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2)支持系统应用升级操作。</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核心操作垫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尺寸：≥800×400mm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材质：PVC或橡胶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系统安装附件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1、辅材：线管、6类网线、电源线、话筒线、音箱线、高清线等。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2、集成费：集成施工费用。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系统调试运行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1.理化生教学系统调试运行。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2.理化生考试系统调试运行。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系统应用服务平台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1、主要功能：与平台服务器和所在考点各考场学生实验考试终端设备系统进行信息交换；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2、处理器：≥8核 16线程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3、内存：≥64G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4、硬盘：SSD≥2*960GB，SATA≥3*4TB，共≥1920GB+12TB；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5、阵列控制器： 支持RAID 0/1/5/10等常见级别，满足数据冗余或性能需求，网口：≥2*1GE+2*10GE，≥2个千兆/万兆自适应网口；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6、含导轨。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视频存储服务平台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1.3200W像素高清网络视频的预览、存储、回放；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2.视频接入路数≥128路；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3.支持H.265、H.264编码前端自适应接入；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4.支持IPC集中管理，包括IPC参数配置、信息的导入、导出和升级等功能；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5.≥2个HDMI接口，≥2个VGA接口；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6.存储硬盘：存储容量≥4T，数量≥4个。</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AI算力服务平台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1、主要功能：与平台服务器和所在考点各考场学生实验考试终端设备系统进行信息交换；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2、处理器：≥8核 16线程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3、内存：≥64G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4、硬盘：SSD≥2*960GB，SATA≥3*4TB，共≥1920GB+12TB；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5、GPU：数量≥3、显存容量≥16GB；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6、阵列控制器：支持RAID 0/1/5/10等常见级别，满足数据冗余或性能需求，网口：≥4*1GE+2*10GE，≥4个千兆、≥2个万兆自适应网口；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7、含导轨。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数据汇聚设备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≥24个 10/100/1000Base-T电口，≥24个100/1000 SFP光口, ≥4个万兆SFP+光口，交流220V供电。</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数据接入设备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48个10/100/1000M以太网电口，4个1GSFP接口，单电源，交流220V供电。</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机柜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42U网络机柜,尺寸：≥600*800*2000mm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学生实验桌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1300*600*780mm</w:t>
            </w:r>
            <w:r>
              <w:rPr>
                <w:rFonts w:hint="eastAsia" w:ascii="微软雅黑" w:hAnsi="微软雅黑" w:eastAsia="微软雅黑" w:cs="微软雅黑"/>
                <w:i w:val="0"/>
                <w:iCs w:val="0"/>
                <w:color w:val="000000"/>
                <w:sz w:val="20"/>
                <w:szCs w:val="20"/>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Style w:val="1331"/>
                <w:color w:val="000000"/>
                <w:lang w:val="en-US" w:eastAsia="zh-CN" w:bidi="ar"/>
              </w:rPr>
              <w:t xml:space="preserve">规格：1300*600*780mm</w:t>
            </w:r>
            <w:r>
              <w:rPr>
                <w:rStyle w:val="1331"/>
                <w:color w:val="000000"/>
                <w:lang w:val="en-US" w:eastAsia="zh-CN" w:bidi="ar"/>
              </w:rPr>
              <w:br w:type="textWrapping" w:clear="all"/>
            </w:r>
            <w:r>
              <w:rPr>
                <w:rStyle w:val="1331"/>
                <w:color w:val="000000"/>
                <w:lang w:val="en-US" w:eastAsia="zh-CN" w:bidi="ar"/>
              </w:rPr>
              <w:t xml:space="preserve">1.台面：</w:t>
            </w:r>
            <w:r>
              <w:rPr>
                <w:rStyle w:val="1332"/>
                <w:color w:val="000000"/>
                <w:lang w:val="en-US" w:eastAsia="zh-CN" w:bidi="ar"/>
              </w:rPr>
              <w:t xml:space="preserve">采用≥12.7mm厚双面膜耐腐蚀实芯理化板制作，四角倒R15圆角。耐酸、耐碱、耐高温，坚固耐用，防潮、无细孔、不膨胀、不龟裂、不变形、不导电、便于维护及具有良好的承重性能；</w:t>
            </w:r>
            <w:r>
              <w:rPr>
                <w:rStyle w:val="1331"/>
                <w:color w:val="000000"/>
                <w:lang w:val="en-US" w:eastAsia="zh-CN" w:bidi="ar"/>
              </w:rPr>
              <w:br w:type="textWrapping" w:clear="all"/>
            </w:r>
            <w:r>
              <w:rPr>
                <w:rStyle w:val="1331"/>
                <w:color w:val="000000"/>
                <w:lang w:val="en-US" w:eastAsia="zh-CN" w:bidi="ar"/>
              </w:rPr>
              <w:t xml:space="preserve">2、桌子结构：新型Z字型结构，学生位镂空式，符合人体工程学设计，美观大方，易碰撞处全部采用倒圆角。桌子主要有台面、桌腿、横梁、加强横梁、书包斗和电源盒等部件组成，各部件组装牢固耐用。</w:t>
            </w:r>
            <w:r>
              <w:rPr>
                <w:rStyle w:val="1331"/>
                <w:color w:val="000000"/>
                <w:lang w:val="en-US" w:eastAsia="zh-CN" w:bidi="ar"/>
              </w:rPr>
              <w:br w:type="textWrapping" w:clear="all"/>
            </w:r>
            <w:r>
              <w:rPr>
                <w:rStyle w:val="1331"/>
                <w:color w:val="000000"/>
                <w:lang w:val="en-US" w:eastAsia="zh-CN" w:bidi="ar"/>
              </w:rPr>
              <w:t xml:space="preserve">3、书包斗采用整体ABS工程塑料一次性注塑成型，规格425*270*165，镂空设计，便于清理，不屯垃圾，中间设挂凳卡,两个书包斗中间设有一个翻盖式电源盒，采用ABS工程塑料注塑成型，耐老化不导电。</w:t>
            </w:r>
            <w:r>
              <w:rPr>
                <w:rStyle w:val="1331"/>
                <w:color w:val="000000"/>
                <w:lang w:val="en-US" w:eastAsia="zh-CN" w:bidi="ar"/>
              </w:rPr>
              <w:br w:type="textWrapping" w:clear="all"/>
            </w:r>
            <w:r>
              <w:rPr>
                <w:rStyle w:val="1331"/>
                <w:color w:val="000000"/>
                <w:lang w:val="en-US" w:eastAsia="zh-CN" w:bidi="ar"/>
              </w:rPr>
              <w:t xml:space="preserve">4、桌脚采用三段式高强度铝合金结构，整体规格570*760，左右两边配有装饰彩带，上脚两侧预留电源插座和RJ45网络接口安装位，电源插座给考试系统或其他非实验仪器供电，应与实验电</w:t>
            </w:r>
            <w:r>
              <w:rPr>
                <w:rStyle w:val="1331"/>
                <w:color w:val="000000"/>
                <w:lang w:val="en-US" w:eastAsia="zh-CN" w:bidi="ar"/>
              </w:rPr>
              <w:t xml:space="preserve">源系统分开供电，以免影响实验操作。中立柱采用96mm*46*1.5mm厚承重型铝合金型材，采用倾斜式设计。上下脚采用铝合金一次压铸成型，上脚规格：长570*宽51*高116mm，下脚规格：长556*宽67*高112mm，上下脚的壁厚≥2.5mm，连接处壁厚加强至4mm;采用4个高强度螺丝连接；上脚后部装有支撑杆，支撑杆采用铝合金压铸成型，规格不小于25*25*240mm，一头嵌入上桌架，另一头固定在立柱上，呈三角形结构，使整体结构更稳固。下桌架设有专用孔位与地面固定，可以安装调整脚，并配有ABS脚套装饰盖。</w:t>
            </w:r>
            <w:r>
              <w:rPr>
                <w:rStyle w:val="1331"/>
                <w:color w:val="000000"/>
                <w:lang w:val="en-US" w:eastAsia="zh-CN" w:bidi="ar"/>
              </w:rPr>
              <w:br w:type="textWrapping" w:clear="all"/>
            </w:r>
            <w:r>
              <w:rPr>
                <w:rStyle w:val="1331"/>
                <w:color w:val="000000"/>
                <w:lang w:val="en-US" w:eastAsia="zh-CN" w:bidi="ar"/>
              </w:rPr>
              <w:t xml:space="preserve">5、桌子横梁：前后两条横梁采用40*40mm1/4圆形铝合金型材用高强度螺丝和桌脚连接，中间横梁采用45*20mm方形铝合金型材直接插在桌脚接口上；加强横梁采用89*14mm铝合金型材，用高强度螺丝固定在两侧桌脚的立柱上。</w:t>
            </w:r>
            <w:r>
              <w:rPr>
                <w:rStyle w:val="1331"/>
                <w:color w:val="000000"/>
                <w:lang w:val="en-US" w:eastAsia="zh-CN" w:bidi="ar"/>
              </w:rPr>
              <w:br w:type="textWrapping" w:clear="all"/>
            </w:r>
            <w:r>
              <w:rPr>
                <w:rStyle w:val="1331"/>
                <w:color w:val="000000"/>
                <w:lang w:val="en-US" w:eastAsia="zh-CN" w:bidi="ar"/>
              </w:rPr>
              <w:t xml:space="preserve">6.所有金属构件表面无裂缝、无脱层、无变形，采用环氧树脂粉末高温固化喷涂工艺，表面无漏喷、锈蚀、脱落等缺陷。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多功能柱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355*210*760</w:t>
            </w:r>
            <w:r>
              <w:rPr>
                <w:rFonts w:hint="eastAsia" w:ascii="微软雅黑" w:hAnsi="微软雅黑" w:eastAsia="微软雅黑" w:cs="微软雅黑"/>
                <w:i w:val="0"/>
                <w:iCs w:val="0"/>
                <w:color w:val="000000"/>
                <w:sz w:val="20"/>
                <w:szCs w:val="20"/>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尺寸：长355×宽210×高760mm；整体采用全新ABS塑料一体注塑成型，采用齿合槽搭配螺丝紧固连接结构；要求，表面无裂纹、变形、缩水、针孔、凹陷、飞边、折皱、疙瘩、气泡、杂质、伤痕、白印、划痕、毛刺、拉毛、污渍等缺陷，表面光洁平整；</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2.功能柱正面配置ABS一体注塑检修门，配备专用锁具结构，便于设备安装及后期检修维护；</w:t>
            </w:r>
            <w:r>
              <w:rPr>
                <w:rFonts w:hint="eastAsia" w:ascii="微软雅黑" w:hAnsi="微软雅黑" w:eastAsia="微软雅黑" w:cs="微软雅黑"/>
                <w:i w:val="0"/>
                <w:iCs w:val="0"/>
                <w:color w:val="000000"/>
                <w:sz w:val="20"/>
                <w:szCs w:val="20"/>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学生交流2v-24v输出，电流2A，自动过载保护，学生低压直流电源电压为0V-24.0V/2A，分辨率为0.1V;具备自动过载保护功能，数字显示交流、直流电流，由教师集中控制，过载“E”闪提示;确认手动复位;配备1组220v5孔插座，系统漏电保护。</w:t>
            </w:r>
            <w:r>
              <w:rPr>
                <w:rFonts w:hint="eastAsia" w:ascii="微软雅黑" w:hAnsi="微软雅黑" w:eastAsia="微软雅黑" w:cs="微软雅黑"/>
                <w:i w:val="0"/>
                <w:iCs w:val="0"/>
                <w:color w:val="000000"/>
                <w:sz w:val="20"/>
                <w:szCs w:val="20"/>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1.学生凳，依据青少年课桌椅人体工学设计，采用特殊工艺加工制作而成。外形简洁，色彩靓丽，舒适美观，凳体共有39个部件组成，其中注塑部件有10件，铸铝部件6件，简约而不简单，凳子占地直径为460mm~490mm。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乐学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洗眼器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单眼</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付</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1200*1000*1700mm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风机结构：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（1）PP蜗牛式离心风机。根据教室使用需求配置相应的功率和风量：材质PP厚度不低于10mm，功率不低于3KW,风量不低于4970-9987m³/h ，全压不低于870-620pa；</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（2）每台通风设备都可以独立操作，相互之间不受影响。</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（3）气流组织合理，排气顺畅，无气味溢出、气体排放符合国家规定排放标准。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（4）通风系统主管内壁光滑，以降低噪声向室内传播，同时管井外壁应同室内装修保持一致，美观耐用。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各类风机配件辅材，包含风机基座、消音器等。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室内行程通风系统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φ60-110mm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室外行程通风系统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300*250mm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tcPr>
          <w:p>
            <w:pPr>
              <w:pStyle w:val="736"/>
              <w:jc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危化品暂存室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易燃品防火安全柜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1650*1090*460mm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1.全部双层防火钢板构造，柜体和门板均由双层1.2mm冷轧钢板通过折边焊接构造整体成型，柜体表面无焊缝，两层钢板之间绝缘层不小于38mm，形成良好的防火绝缘层，使用寿命更长，防火性更好；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2.采用手动双开门设计，为确保安全柜防火防爆性能，双开门的门缝不得大于3mm，且门缝上下大小一致，左右门的高度必须一致。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3.三点联动式门锁，轻松自如启闭180度的柜门配有双钥匙，减少摩擦或机械火花，降低静电积蓄；另可选配挂锁，实现双人双锁安全管理。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4.5cm高的防漏液槽使意外流出的液体不外溢，符合国际盛漏规范；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5.醒目的标签可以在能见度较低的光线下辨识，提供了额外的安全保障。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6.装设有双透气孔，孔分别位于柜身左下角、右上角；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7.独有超强承重镀锌层板可在每8cm层档上下自由调节；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8.柜子内外都采用环氧树脂静电喷塑，保持表面光泽度，耐腐蚀性更佳；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9.柜身设有静电接地传导端口，将静电荷导入大地，降低静电火花造成火灾风险。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10.底部配有4只可调节支架，方便在不平整的地面自由微调节高度。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毒性化学品防火安全柜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1650*1090*460mm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1.全部双层防火钢板构造，两层钢板之间相隔有38mm的绝缘层，可有效隔离热源；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2.厚度≥1.0mm冷轧钢板经过点焊接，使用寿命更长，防火性更好；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3.钢琴式铰链平滑关闭，轻松自如启闭180度；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4.液晶电子密码锁，双锁控制，双人管理，安全性能更高；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5.50mm高的防漏液槽使意外流出的液体不外溢；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6.专业规范的警示标签；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7.装设有防闭火装置的双透气孔，有目的地置于底部及其相对的顶部；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8.独有的防溢漏式层板可上下之间自由调节，承重120kg；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9.柜子内外都喷涂有环氧树脂静电喷涂，保持高光洁度，最大限度降低腐蚀和湿气的影响；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10.柜身设有静电接地传导端口，方便连接静电接地导线。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强酸碱品安全柜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1650*1090*450mm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1.整体材质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柜体：采用8mm瓷白色贴膜PP（聚丙烯）板制作，具有卓越的耐腐蚀性，经同色焊条无缝焊接处理，保证柜体之坚固及密封性。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柜门：采用15mm瓷白色贴膜PP（聚丙烯）整板制作，使用寿命长，质量有保证。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层板：采用瓷白色PP（聚丙烯）板制作，四周有立边，一次注塑成型。整体设计为活动式，可随意抽取放在合适的隔层，自由组合各层空间，四周立边可获得一定程度的防溢效果。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桥式把手：采用耐酸碱PP（聚丙烯）材质，耐腐蚀性能好。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铰链：采用经射出成型的PP（聚丙烯）材料制成，耐腐蚀性能好，外观精美且有多种颜色可选。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专用门吸：采用PP（聚丙烯）材料制成，使用寿命长，质量有保证。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警示标签：柜门贴有醒目的“腐蚀性”警示标示，提醒周围人群注意安全。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3.可以用于各种腐蚀性化学品的储存，如硫酸、盐酸、硝酸、乙酸、硫磺酸等。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4.PP板材微卡软化温度度≥154.5.负荷变形温度≥137.4。</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防护柜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1650*1090*430mm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1.钢制柜体。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2.PPE个人防护套装，包含防护服，护目镜，防护靴子，防毒面罩，防护手套，化学品泄漏用品。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RFID智能管控柜（主机）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1660*500*560mm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1.硬件规格：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a）主机形态：系统主柜嵌入模式，更加便于人性化操作；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b）显示屏：配备13.3寸高清电容触摸屏；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c）网络：支持4G网络，有线、WIFI；</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d）监控：配备高清人脸识别摄像头；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e）声光设备：支持语音播报和异常情况声光预警；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f）称重设备：配备的天平量程为5kg，精度为0.1g；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f）生物认证设备：采用人脸识别认证方式，摄像头分辨率为1920×1080像素;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g）配置：i7-8000处理器；8GB内存；1T硬盘；1GB独立显卡；27.5"液晶显示器；USB鼠标键盘；正版Windows操作系统。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h）二维码阅读器：1280×800CMOS；读码精度：4mil；解码能力：适配QRCode,DataMatrix等主流二维码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i）ID/IC卡阅读器：工作频段：125KHz/13.56MHz；通讯协议：支持ISO14443TypeA/B标准；读卡距离：0-30mm；存储容量：1000张用户卡。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j）RFID标签:载波频率：13.56MHz。抗干扰（液体、金属），耐磨损，耐腐蚀。工作模块：无源。芯片存储区：EPC496Bit，用户区128Bit。芯片使用寿命：写入≥10万次，数据保存≥10年。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k）信号控制要求：柜体射频信号设计了信号屏蔽和信号控制，防止柜体内信号错误读取非本柜体内的钥匙；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2.嵌入式软件：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a）人员管理模块：管理员可添加、删除、修改用户人脸/IC卡/工号/姓名等信息；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b）设备管理模块：钥匙储存区域名称设置，可对每个储存区域修改展示的名称;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c）电子称校准模块：系统可完成对电子称进行校准操作，无需外聘专人校准;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d）设备升级模块：可自动或手动更新系统固件;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e）出库模块：系统支持通过RFID感应钥匙存取操作，通过人脸识别或IC卡认证后打开对应的试剂柜子电控锁；系统支持单瓶或批量出库操作;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f）入库模块：系统支持通过RFID自动感应钥匙存取操作，具备人脸识别和IC卡认证功能，能自动读取药品重量和信息；系统支持单瓶或批量入库操作；钥匙放回柜体内，自动感应检测存放的钥匙信息，有异常情况的如：未获取入库试剂重量、配伍禁忌存放、钥匙未放回、钥匙错放等则进行声光预警，让用户进行干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g）废弃模块：支持柜内试剂（包括未用完试剂）回收处理操作，回收流程设计全面，操作便捷；系统支持对标签进行补码打印标签操作;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h）数据统计模块：系统支持查看当前设备的库存统计及出入库记录列表；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i）语音提示：系统集成语音AI功能，全程出入库无需接触触摸屏;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j）身份识别：支持人脸识别、ID/IC卡识别等识别方式；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k）异常预警：系统支持对异常情况现场声光预警和显示具体预警内容，便于用户调整，包括未获取入库试剂重量、配伍禁忌存放、钥匙未放回、钥匙错放等;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l）运行环境：系统支持在无网络下进行脱机工作，保证存取可以正常进行；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m）数据安全：控制系统发生故障，数据可恢复；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n）锁具反馈：具有锁状态反馈，有效识别和提醒门锁状态；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o）系统支持双路通讯机制，默认使用高速网络，当出现故障或网络延迟性高的情况下自动切换备用网络;同样支持在无网状态下运行工作；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p）SDS查询模块：支持通过扫描瓶身二维码或输入试剂名称查询SDS信息；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防爆电箱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1、电气参数:额定电压:AC220/380V:额定电流:100A。2、外壳防护等级:IP66。3、产品隔爆外壳紧固螺栓强度等级不低于4.8级。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防爆电线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电缆电线：PVC新料外护套，绝缘层纯无氧铜芯：330V五芯线，220V三芯线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防爆软管：内附金属波纹管，接头采用碳素钢材质制造，表面电镀镀锌工艺，耐磨防腐蚀，标准公制管螺纹。360°随意弯曲，IP65防护。有效保护电线。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线路管道开关等配件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防爆标志ExdIIBT6Gb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额定电压AC220V/50Hz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额定电流10A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防腐等级WF1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进线口规格G3/4"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电缆规格Φ9mm~Φ14mm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防爆插座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10A5孔双联</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1.产品由上盖、上壳体、中壳体、下壳体、下压盖、玻璃板、接线端子、LED光源、驱动电源等组成.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2.外壳材质为铸铝，玻璃板材质为钢化玻璃;3.引入装置尺寸:1-G%压紧螺母式。</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应急照明灯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功率：4W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防护等级：IP66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防爆等级：ExdeibqlICT4Gb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进线口螺纹：G3/4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应急时间：&gt;90(min)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应急指示灯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功率：4W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防护等级：IP66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防爆等级：ExdeibqlICT4Gb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进线口螺纹：G3/4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应急时间：&gt;90(min)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视频监控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1、防爆摄像机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（1）最低照度：彩色：≤0.001lx;黑白：≤0.0001lx；</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（2）存储方式：可将视频图像存储至TF卡或客户端，支持TF卡热插拔，最大支持400GBTF卡。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2、POE交换机（1台）千兆管理型交</w:t>
            </w:r>
            <w:r>
              <w:rPr>
                <w:rFonts w:hint="eastAsia" w:ascii="微软雅黑" w:hAnsi="微软雅黑" w:eastAsia="微软雅黑" w:cs="微软雅黑"/>
                <w:i w:val="0"/>
                <w:iCs w:val="0"/>
                <w:color w:val="000000"/>
                <w:sz w:val="18"/>
                <w:szCs w:val="18"/>
                <w:u w:val="none"/>
                <w:lang w:val="en-US" w:eastAsia="zh-CN" w:bidi="ar"/>
              </w:rPr>
              <w:t xml:space="preserve">换机；交换容量336Gbps，转发率92Mpps，24*千兆电口+4*SFP；（支持POE+,POE输出≥370W，单端口≥30W）；VLAN：4K(数量非ID)、MAC：8K；支持半双工、全双工、自协商工作模式，支持MDI/MDI-X；支持IRF2（最大支持9台堆叠）；支持STP/RSTP/MSTP；支持三层功能，IPv4/IPv6静态路由、RIP；支持端口镜像、流镜像；支持二层、三层、四层ACL，支持Diff-ServQoS；支持Console/AUX；Modem/Telnet/SSH2.0命令行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3、存储IPSAN硬盘（2块）,一体化企业级SATA硬盘(8TB*2),使用的SATA选型，与上述摄像头完全适配。需经过环境测试，使得硬盘不仅抵抗一定程度的电磁干扰，还能尽可能减少自己产生的电磁干扰。</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紧急报警按钮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人工拨片，可重复使用，规格：AC/DC250Ⅴ300mA。防爆标志：ExdbebIICT6Gb</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烟感探头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产品尺寸:110*80mm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防爆形式:本安隔爆复合式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工作电压:DC20V~DC28V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监视电流:&lt;0.12mA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报警电流:10mAsIs30mA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报警复位:断电重启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温度:-20C~+50C使用环境·相对湿度:&lt;95%，无凝露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进线口径:2-M22.5*1.5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重量:1.2Kg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报:红色，正常监视时周期性闪亮，报警时常亮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自动灭火装置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6kg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1.安装要求：悬挂于防护区顶部正中，最低安装高度2.5-3m。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2.适用于扑灭固体有机物质、可燃性液体、气体和电器火灾。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3.动作温度：68℃。</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防爆空调</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额定电压220V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室内机净重70kg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循环风量1200m3/h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规格2P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防水等级IPX4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噪音62dB（A）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温湿度感应探头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1)接地端子和标志符合标准规定,2)铭牌标志符合标准规定。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3)隔接合面尺寸符合图纸规定。4)塑料棒与盖胶粘，胶粘长度20mm。5)除接线端子和指示灯外整个电路板用环氧树脂浇封，浇封厚度为1.5mm。6)安全栅板用环氧树脂浇封，浇封厚度为1.5mm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静电泄放球</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1、门口设置有人体静电释放柱，用于工作人员在进入前触摸，泄去其身体上所携带的静电荷，用于防范静电危害；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表面PU材料，耐油耐磨，抗冻防晒，保证静电接地的可靠，介于导体和非导体之间的材料其表面电阻率在106-109Ω之间释放人体静电无火花，不锈钢一体冲压成型，美观稳固，选用304钢材原料，通体不锈钢打造，坚固耐用，符合石油石化行业标准进行设计，助于整体安全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4、装有防静电接地装置，自带报警功能能将进入人员所带静电安全导入大地，接闪接地工艺。防静电施工作业应严格按照国家防静电接地规范进行管理。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铜排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材质：紫铜，静电导地性强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防静电防腐地垫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材质：PVC，防滑，防腐，易清理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防爆VOC探头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1）、传感原理：金属氧化物半导体式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2)、适用气体：VOC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3）、取样方式：自然扩散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4）、声光报警：选配，报警音》70dB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5）、使用温度范围：-40℃-70℃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相对湿度：95%RH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大气压力：86KPa～106KPa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6）、基本误差：≤±10%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7）、响应时间：T90响应不超过30秒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8）、恢复时间：T90不超过90秒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9）、传感器寿命：一般大于两年（探头工作环境恶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劣，将缩短传感器的使用寿命）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防爆垃圾桶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1.提手式，便于移动搬运；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2.自闭式桶盖，无外力作用下处于关闭状态，隔绝外部氧气供应，使燃烧无法继续；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3.桶身整体采用镀锌钢板结构，板材≥0.8MM，桶盖采用一次性冲压成型；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4.内外壁均喷涂环氧树脂涂层；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5.扁圆型柱体结构及抬高的桶底使空气沿桶体流动，散热快、防潮效果好、避免生锈；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6.脚踏式开关控制，避免二次污染双手，施力状态下桶盖开启；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防爆照明开关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65*65*141mm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1，尺寸：65*65*141mm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2，防爆等级：ExdellCT6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3，额定电压：220V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4，额定电流：10A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防爆报警灯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1，防爆型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2，LED光源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3，声音：110分贝</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万向吸风罩</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1.关节：高密度PP材质表面磨砂，优化了视觉美感和手握触感可360°旋转调节方向；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2.关节密封圈：不易老化之高密度橡胶。在关节之间随着旋钮压力加大而产生阻尼效果；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3.关节连接杆：304不锈钢双头锁杆；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4.关节盖：高密度PP材质表面磨砂，一面嵌入铜质滚花螺母，四周采用自锁式倒扣拆装方便；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5.关节松紧选钮：高密度PP材质，内置微形平面推力不锈钢轴承，与关节连接杆锁合；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6.拱形集气罩：Φ253mm，高密度铝合金制成。防止做实验时着火出现危险；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7.伸缩导管：4节Φ60mm的6系专业抗氧化抗腐蚀的镁硅铝合金，表面做特氟龙表面处理，耐酸、耐碱、耐划痕；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8.旋转关节：6系专业抗氧化抗腐蚀的镁硅铝合金，在下部设计增加旋转功能，内部设计PVC离合结构；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9.扭簧：使用90度的4mm专用弹簧钢抗氧化处理，防止吸风罩整体滑下；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10.安装后可根据使用需要达到三维360度任意转停，集气罩吸气角度360度任意转停。吻合高水准专业实验室。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危化品室安装集成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1.设备安装（含环境保护、文明施工、安全施工、临时设施、二次搬运等）；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2.设备调试。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风机结构：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（1）PP蜗牛式离心风机。根据教室使用需求配置相应的功率和风量：材质PP厚度不低于10mm，功率不低于3KW,风量不低于4970-9987m³/h ，全压不低于870-620pa；</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（2）每台通风设备都可以独立操作，相互之间不受影响。</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（3）气流组织合理，排气顺畅，无气味溢出、气体排放符合国家规定排放标准。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（4）通风系统主管内壁光滑，以降低噪声向室内传播，同时管井外壁应同室内装修保持一致，美观耐用。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各类风机配件辅材，包含风机基座、消音器等。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室内行程通风系统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室外行程通风系统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废弃物暂存室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废液收集安全柜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850*700*600mm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1.柜体：采用厚度1.0mm304不锈钢材质构造，两层不锈钢板之间相隔有38mm的绝缘层。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2.涂层：经酸洗磷化处理，表面通过环氧树脂静电喷涂，达到防酸碱及防锈之效果。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3.柜顶：柜体顶部柜门设计，便于废液的倒入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4.标签：警示标签显而易见，便于废液分门别类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5.透气孔：装设有防避火装置的双透气孔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6.工具盒：便于柜内配备工具存放（如口罩、手套、漏斗、护目镜等）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7.铰链：无缝钢琴式，轻松启闭180度，使用方便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8.门锁：三点联动式锁，轻松自如启闭180度的柜门，配有双钥匙，挂锁，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实现双人双锁安全管理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9.废液桶：采用100%HDPE材质构造，颜色美观，适用于存放无机/有机废液。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10.防漏液槽：50mm高的防漏液槽使意外流出的液体不外溢，配备一次成型盛漏托盘。</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防爆电箱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1、电气参数:额定电压:AC220/380V:额定电流:100A。2、外壳防护等级:IP66。3、产品隔爆外壳紧固螺栓强度等级不低于4.8级。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防爆电线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电缆电线：PVC新料外护套，绝缘层纯无氧铜芯：330V五芯线，220V三芯线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防爆软管：内附金属波纹管，接头采用碳素钢材质制造，表面电镀镀锌工艺，耐磨防腐蚀，标准公制管螺纹。360°随意弯曲，IP65防护。有效保护电线。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线路管道开关等配件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防爆标志ExdIIBT6Gb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额定电压AC220V/50Hz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额定电流10A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防腐等级WF1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进线口规格G3/4"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电缆规格Φ9mm~Φ14mm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防爆插座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10A5孔双联</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1.产品由上盖、上壳体、中壳体、下壳体、下压盖、玻璃板、接线端子、LED光源、驱动电源等组成.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2.外壳材质为铸铝，玻璃板材质为钢化玻璃;3.引入装置尺寸:1-G%压紧螺母式。</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应急照明灯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功率：4W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防护等级：IP66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防爆等级：ExdeibqlICT4Gb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进线口螺纹：G3/4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应急时间：&gt;90(min)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应急指示灯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功率：4W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防护等级：IP66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防爆等级：ExdeibqlICT4Gb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进线口螺纹：G3/4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应急时间：&gt;90(min)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视频监控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1、防爆摄像机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（1）最低照度：彩色：≤0.001lx;黑白：≤0.0001lx；</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（2）存储方式：可将视频图像存储至TF卡或客户端，支持TF卡热插拔，最大支持400GBTF卡。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2、POE交换机（1台）千兆管理型交</w:t>
            </w:r>
            <w:r>
              <w:rPr>
                <w:rFonts w:hint="eastAsia" w:ascii="微软雅黑" w:hAnsi="微软雅黑" w:eastAsia="微软雅黑" w:cs="微软雅黑"/>
                <w:i w:val="0"/>
                <w:iCs w:val="0"/>
                <w:color w:val="000000"/>
                <w:sz w:val="18"/>
                <w:szCs w:val="18"/>
                <w:u w:val="none"/>
                <w:lang w:val="en-US" w:eastAsia="zh-CN" w:bidi="ar"/>
              </w:rPr>
              <w:t xml:space="preserve">换机；交换容量336Gbps，转发率92Mpps，24*千兆电口+4*SFP；（支持POE+,POE输出≥370W，单端口≥30W）；VLAN：4K(数量非ID)、MAC：8K；支持半双工、全双工、自协商工作模式，支持MDI/MDI-X；支持IRF2（最大支持9台堆叠）；支持STP/RSTP/MSTP；支持三层功能，IPv4/IPv6静态路由、RIP；支持端口镜像、流镜像；支持二层、三层、四层ACL，支持Diff-ServQoS；支持Console/AUX；Modem/Telnet/SSH2.0命令行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3、存储IPSAN硬盘（2块）,一体化企业级SATA硬盘(8TB*2),使用的SATA选型，与上述摄像头完全适配。需经过环境测试，使得硬盘不仅抵抗一定程度的电磁干扰，还能尽可能减少自己产生的电磁干扰。</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紧急报警按钮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人工拨片，可重复使用，规格：AC/DC250Ⅴ300mA。防爆标志：ExdbebIICT6Gb</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烟感探头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产品尺寸:110*80mm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防爆形式:本安隔爆复合式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工作电压:DC20V~DC28V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监视电流:&lt;0.12mA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报警电流:10mAsIs30mA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报警复位:断电重启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温度:-20C~+50C使用环境·相对湿度:&lt;95%，无凝露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进线口径:2-M22.5*1.5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重量:1.2Kg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报:红色，正常监视时周期性闪亮，报警时常亮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自动灭火装置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6kg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1.安装要求：悬挂于防护区顶部正中，最低安装高度2.5-3m。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2.适用于扑灭固体有机物质、可燃性液体、气体和电器火灾。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3.动作温度：68℃。</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防爆空调</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额定电压220V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室内机净重70kg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循环风量1200m3/h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规格2P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防水等级IPX4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噪音62dB（A）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温湿度感应探头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1)接地端子和标志符合标准规定,2)铭牌标志符合标准规定。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3)隔接合面尺寸符合图纸规定。4)塑料棒与盖胶粘，胶粘长度20mm。5)除接线端子和指示灯外整个电路板用环氧树脂浇封，浇封厚度为1.5mm。6)安全栅板用环氧树脂浇封，浇封厚度为1.5mm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防静电防腐地垫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材质：PVC，防滑，防腐，易清理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防爆VOC探头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1）、传感原理：金属氧化物半导体式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2)、适用气体：VOC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3）、取样方式：自然扩散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4）、声光报警：选配，报警音》70dB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5）、使用温度范围：-40℃- 70℃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相对湿度：95%RH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大气压力：86KPa～106KPa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6）、基本误差：≤±10%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7）、响应时间：T90响应不超过30秒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8）、恢复时间：T90不超过90秒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9）、传感器寿命：一般大于两年（探头工作环境恶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劣，将缩短传感器的使用寿命）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防爆照明开关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65*65*141mm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1，尺寸：65*65*141mm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2，防爆等级：ExdellCT6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3，额定电压：220V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4，额定电流：10A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防爆报警灯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1，防爆型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2，LED光源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3，声音：110分贝</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电子台称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400*500mm（±10mm）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最大称重值≥150kg；立柱高600mm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置物架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1000*400*2000mm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1.材质：钢架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2.钢架：30mm*30mm烤漆钢架。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废液托盘</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490mm*355mm*95mm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产品尺寸：490mm*355mm*95mm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2.PE注塑工艺，结实美观耐用。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防爆垃圾桶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1.提手式，便于移动搬运；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2.自闭式桶盖，无外力作用下处于关闭状态，隔绝外部氧气供应，使燃烧无法继续；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3.桶身整体采用镀锌钢板结构，板材≥0.8MM，桶盖采用一次性冲压成型；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4.内外壁均喷涂环氧树脂涂层；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5.扁圆型柱体结构及抬高的桶底使空气沿桶体流动，散热快、防潮效果好、避免生锈；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6.脚踏式开关控制，避免二次污染双手，施力状态下桶盖开启；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废液桶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规格:≥25L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1.高密度聚乙烯材质，防泄漏，密封强，耐腐蚀、耐酸碱。</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技术与工程实验室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2、台面：采用12.7mm厚双面膜实芯理化板，边缘加厚至25.4mm，耐强酸碱、耐腐蚀、耐有机溶剂，抗菌、抗污染、防水；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尺寸：3000*1600*100mm，采用实木，环保，安全;木质坚韧，结构稳固；具有耐磨.耐压.耐撞击等优点；中间金属架支撑，稳固安全。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操作桌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1.桌面：采用质实木，木纹通达清晰，木质坚韧，结构稳固，具有耐磨.耐压.耐撞击等优点。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2.桌架：采用金属桌架，表面静电粉末喷涂处理，漆面平滑坚硬，不易脱落；配置脚垫。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3.柜子：采用E0级免漆板。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2.五金：柜门采用阻尼铰链。</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定制操作桌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1.桌面：采用实木，木纹通达清晰，木质坚韧，结构稳固，具有耐磨.耐压.耐撞击等优点。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2.桌架：采用金属桌架，表面静电粉末喷涂处理，漆面平滑坚硬，不易脱落；配置脚垫。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3.柜子：采用E0级免漆板。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2.五金：柜门采用阻尼铰链。</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方凳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400*300*450mm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1.凳面：采用白蜡木制作，环保、安全，木纹通达清晰，木质坚韧，结构稳固，具有耐磨.耐压.耐撞击等优点。所有实木均要进行蒸汽脱脂干燥处理，含水量≤12%，做到不开裂翘曲和虫蛀防腐。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产品采用环保油漆，根据款式使用全封闭或半开放工艺，三底二面，半亚光涂饰，做到视面平整光滑，光泽柔和。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需要使用胶水的部分，采用环保胶水，无毒无害，甲醛释放量≤0.5。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凳腿：采用钢管，整体焊接成型，承重力强。表面经纯环氧树脂塑粉高温固化处理，平整光滑，不允许有喷涂层脱落、鼓泡、凹陷、压痕以及表面划伤、麻点、裂痕、崩角和刃口等，切割、钻孔和倒角应去毛刺，钢价底部配防滑脚垫。</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边柜1</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6150*600*800mm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1.材质：采用E0级免漆板，甲醛含量小于等于1.5mg/L，四边采用PVC封边条机械封边。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导轨：三节导轨采用精选高强度钢珠，制造工艺精良，滑动自然流畅。抽屉可通过防滑保护件与滑轨直接分离，安装与拆卸抽屉十分方便。耐腐蚀要求：18小时，1.5mm以下锈点小于等于20点/dm2,其中大于等于1mm锈点不超过5点（距离边缘菱角2mm以内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柜内配置机箱散热孔，桌面配置隐蔽式电源盒；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边柜2</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1.材质：采用E0级免漆板，四边采用PVC封边条机械封边。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导轨：三节导轨采用精选高强度钢珠，制造工艺精良，滑动自然流畅。抽屉可通过防滑保护件与滑轨直接分离，安装与拆卸抽屉十分方便。耐腐蚀要求：18小时，1.5mm以下锈点小于等于20点/dm2,其中大于等于1mm锈点不超过5点（距离边缘菱角2mm以内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柜内配置机箱散热孔，桌面配置隐蔽式电源盒；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洞洞板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采用冷轧钢板，表面静电粉末喷涂处理，漆面平滑坚硬，不易脱落。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吊柜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5000*300*800mm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1.材质：采用E0级免漆板。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2.五金：柜门采用阻尼铰链。</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智能系统控制柜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500*200*1250mm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规格：≥500mm×200mm×1250mm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智能控制柜：内置总电源开关1个，漏电保护器1个，电源保护器1个，单片机控制器及功能扩展模块1套，单片机保护模块1个、急停控制系统1个，工作指示灯系统1套，分组控制系统2套（电源控制系统、照明控制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（1）电源控制系统：可以对220V进行控制，可以单独进行控制，进行单选、全选、反选，分组进行控制；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（2）照明控制系统可以对照明进行控制，可以单独进行控制，进行单选、全选、反选，分组进行控制；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（3）智能摇臂控制系统：可以对摇臂进行控制，可以单独进行控制，进行单选、全选、反选，分组进行控制；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顶装智能控制平台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集中控制系统，可执行各分项分页控制。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照明控制：控制顶装照明。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电源控制：控制学生AC220V电源和低压电源。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摇臂控制：控制摇臂升降。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远程控制系统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1、APP登入有网络注册功能，注册后登入系统操作，使用者忘记密码方便找回，同时方便升级系统，带来新的体验。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2、能使用APP能控制总电源关闭；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3、APP能显示当前温度、相对湿度及当前时间；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4、使用APP能控制学生低压电源的交流电压，且电压值为实测值。如APP给学生交流3V，学生电源电压实测电压为3V；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5、使用APP控制电光源开启与关闭，同时可以扩展功能（监控布防、空调控制等等）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温湿度监视系统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内置精密温湿度传感装置，实时监控房间内的温度和湿度，保障室内舒适的环境舒适性，能在智能控制平台中实时显示当前环境的温度和湿度。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顶部多模块电源供应装置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DN238*110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DN238mm*110mm，外壳采用ABS材质，模具一体成型。防误操作系统，两片多功能金属盖，当工作状态或者接入设备时，金属盖为打开状态，电源无法上升，防止误操作，不会造成拉坏设备及实验桌上的仪器摔坏；当功能金属盖关闭时，电源可以升起收纳。模块内预留220V高压电源、0-24V低压电源、网络接口安装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顶部多模块电源供应装置技术要求满足：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（1）标志：调节装置、输出插孔应有清晰明了、耐用的提示文字和符号；电压输出应能显示在电压表上；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（2）电压调节范围:AC\DC:0～24V;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（3）内部导线连接：连线后应无应力；黄绿双色线必须是接地端子，部件固定牢固，无松动现象。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（4）电压指示精度，V:显示值与输出值之间的误差应在±2V以内；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模块储藏装置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DN390*140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采用ABS材质，模具一体成型。中间部分尺寸≥DN390mm*140mm，设计为飞碟式造型，材质为塑钢结构。当下部分电源不使用时，可收纳为一体，收纳舱和四周均带有氛围灯。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电源供应模块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带有1个USB接口电源、220V插座2个、网络接口1个。低压1.5-24V直流电源两组输出，输出电流为2.5A。低压0-24交流电源，两组输出，输出电流为2.5A；两组输出口为分开，方便两组学生操作相互不干扰，其中低压交直流、220V输出为被教师主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电源供应模块技术要求满足：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1、标志：调节装置、输出插孔应有清晰明了、耐用的提示文字和符号；直流电压输出应能显示电压；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2、电压调节范围，V：AC/DC:0～24V；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3、内部导线连接：连线后应无应力；黄绿双色线必须是接地端子；部件固定牢固，无松动现象；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4、电压指示精度，V：显示值与输出值之间的误差应在±2V以内。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学生端调节终端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带两块不小于DN50mm尺寸面板，供学生调节使用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1、数字仪表盘用于展示学生电流电源；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2、采用面板上的数字按键进行电源电压的调节；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3、采用面板上的数字按键微调电源距离，当调整完成后，教师主控能锁定，使学生不能随意调整；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伸缩线束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含高低压供电线缆和网络线缆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智能升降系统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575*390*150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外部舱体为高强度镀锌钢板制作，尺寸≥575mm*390mm*150mm，表面环氧喷涂,喷涂厚度≥75μ,内置24V电机、控制电路、卷线机构。电缆线内设有两路网线及电源线若干,两侧设有高度调节挂件，调节高度350mm，适合不同高度房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2、内置控制模块接受主控信号，发送输出信号。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48口接入交换机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1.交换容量≥432Gbps，包转发率≥87Mpps；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2.48个10/100/1000Base-T以太网端口，4个千兆SFP；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3.支持ARP表项≥4K；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4.支持RIP、RIPng、OSPF、OSPFv3路由协议；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5.支持DHCPv6 Snooping，DAI，SAVI等安全特性；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6.支持以太网环网保护协议ERPS，故障倒换时间≤50ms；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7.交换机支持音视频业务的智能运维，基于增强型媒体传输质量指标（Enhanced Media Delivery Index，eMDI）特性；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8.配置本项目需要千兆模块。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综合布线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国标</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2.5mm²电线，给学生低压电源供电；1mm²屏蔽电源线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安装支架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国标</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环氧树脂喷涂金属吊杆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间</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安装辅件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五金件（不含桁架）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间</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顶装系统集成调试</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顶部设备整体安装，系统整体调试，包含升降功能、高低压电源系统调试、网络模块系统调试、USB接口调试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尼龙毛刷</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2号塑柄尼龙细毛刷。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木工钻头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木工速干胶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型号401，木工专用粘接速干胶水，20g瓶装。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木工砂纸</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木工专用砂纸，每套包含180目、240目、400目各1包，每包数量100张。</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木工快速夹</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18寸美式双向F夹。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木工打坯刀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件套大柄打坯刀，东阳产，帆布卷袋包装，刀头采用45号钢纯手工锻打，刃口精磨锋利，刃口形状包含大小平刀2把，大中小中圆刀3把，斜刀1把，三角刀1把，翘头圆刀1把，翘头平刀1把等，加强型刀杆采用黄檀硬木制作，用于前中期木工雕刻时凿、刻、挖、铲等工序。</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木工白胶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532ml原装专业级木工胶水，室内室外均可使用，胶水材料为无毒无害聚乙烯丙，为木工制作必备胶水。瓶口专利的不凝固瓶嘴，可以在使用多次后不使胶水堵塞瓶嘴。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麻花钻头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25件套(1-13mm)：1，1.5，2，2.5，3，3.5，4，4.5，5，5.5，6，6.5，7，7.5，8，8.5，9，9.5，10，10.5，11，11.5，12，12.5，13mm，共25支，，高速钢材质，轧制金属钻头，含铁盒共26件，重约950g套。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榉木大号锤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130MM榉木大号锤。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橡胶锤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12OZ。</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辅料类小五金</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挂墙式小五金储存工具箱，内含各种自攻丝、铁钉、角码、膨胀管、羊眼圈、灯勾等小五金不少于6种15个规格mm，每个规格mm配置不少于200g。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防滑手套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13针无尘涂掌白色PU防滑手套，松紧舒适，带防滑涂层，12付包，7号码，适于学生使用。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双</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防护用品收纳箱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外形尺寸400*310*150mm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4031号创客工坊专用收纳盒，PP聚丙烯塑料材质，收纳存放可循环使用的手套、袖套等防护用品。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防尘呼吸器滤棉</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替换式滤棉，配套防尘呼吸器使用。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防尘呼吸器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PVC头戴式防颗粒物粉尘呼吸器，有效防止吸入木旋打磨时的灰尘。</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雕花凿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8件套纸盒装，全长16cm，65锰钢材质锻打，刃口淬火精磨，手柄采用榉木硬木手柄，柄长约98mm，刀头包含平口刀、小弧圆口刀、大弧圆口刀、弯角刀、小弯圆弧刀，直小圆弧刀，V型刀，斜口刀等。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大力钳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C型</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9寸，带防护胶套。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羊角锤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重量0.5kg，总长度320mm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1.羊角锤，实心固定式，由锤头和锤柄组成；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2.重量0.5kg，总长度320mm，锤头为钢制，锤柄为硬质木制；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3.锤头一端为圆柱平面，用于一般锤击，另一端的羊角状用于双爪卡紧并起拔铁钉，或撬裂、拆毁木制构件。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切割垫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A3幅面</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A3幅面，9层夹白芯切割垫板，耐切割，减少纸张打滑及保护刻刀刀片、操作台台面。</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T型尺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60，90，120mm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60，90，120mm，T型尺。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拉花锯五把套装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套装包含： 拉花锯5把，尺寸：总长325毫米，喉深150毫米,手柄长110mm，锯条长150mm；结构：铝合金弓形结构；材质：锯身采用铝合金材质，锯柄采用防滑塑胶材质； 收纳底座1个：尺寸350*550mm，材质为9mm多层板，槽位匹配5把拉花锯。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物理综合实验室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尺寸：3300*1600*100mm采用实木，环保，安全;木质坚韧，结构稳固；具有耐磨.耐压.耐撞击等优点；中间金属架支撑，稳固安全。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1、电源控制台（教师电源）采用冷轧钢板喷塑制成，教师电源采用翻转式(带锁）使用时向下翻转45度，并装有阻尼，可在任意一点停止。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2、电源配置一组VGA和两组USB接口，并有相应的输出（引线长80公分以上）可与电脑主机相连接使用。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3、有二块3位半高精度数字电压表分别显示交/直流输出电压的实验参数。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4、教师电源分四组向学生桌输出安全的220v交流电源（采用4个32A按钮组合开关控制）具有漏电保护功能，电源必须具有防雷击功能。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5、电源配有双安全的多功能插座一组，插座下方必须标有“”标识和注意安全的警示语。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6、电源具有过载、过热保护装置（交直流分别具有过载指示和过载手动复位功能）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7、教师演示实验电源主要技术参数：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输入电压：交流220V±10%   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交流低压输出：2-24V   5A（分辨率2V）采用叠加步进调节，交流输出必须保证正弦波。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直流稳压输出：1-24V   5A（分辨率0.1V）采用后连续可调，采用精密5圈电位器调节。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8、教师主控电源配有一个主变压器，并能控制学生电源的交直流输出。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实验室专用防漏电(防触电)智能安全电源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430*347*150mm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尺寸：430*347*150mm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额定输入电压：220Vac（单相）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额定输入电流：23.9A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输入电压范围：220Vac ± 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3、输出参数：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额定输出功率：5KW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额定输出电压：220Vac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额定输出频率：50Hz/60Hz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额定输出电流：22.8A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电压输出精度：220V ± 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输出频率精度：50/60Hz ± 1Hz（出厂可设）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波形失真率：≤2% THD（线性负载）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动态响应时间：5%（0到100%）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4、过载能力：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120%，2分钟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150%，20秒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对地漏电流：&lt;0.7mA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输出效率：≥95%（85%阻性负载）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功率因子（PF）：0.9</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5、工作环境：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绝缘强度：F（2000Vac，1分钟）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噪音（1米）：≤40dB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使用环境温度：0°C 到 +55°C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防护等级：IP22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湿度：0到90%，不结露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使用海拔：≤4000米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6、保护功能：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输入欠压保护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输入过压保护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输出过载保护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输出短路保护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教师操作台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900*700*800mm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收纳柜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1000*400*2000mm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1.框架：采用金属框架，表面静电粉末喷涂处理，漆面平滑坚硬，不易脱落。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2.层板：采用E0级免漆板。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学生实验桌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1300*600*780mm</w:t>
            </w:r>
            <w:r>
              <w:rPr>
                <w:rFonts w:hint="eastAsia" w:ascii="微软雅黑" w:hAnsi="微软雅黑" w:eastAsia="微软雅黑" w:cs="微软雅黑"/>
                <w:i w:val="0"/>
                <w:iCs w:val="0"/>
                <w:color w:val="000000"/>
                <w:sz w:val="20"/>
                <w:szCs w:val="20"/>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规格：1300*600*780mm</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1、台面： 采用12.7mm厚双面膜实芯理化板。▲物理性能检测：台面依据GB/T 17657-2022 《人造板及饰面人造板理化性能试验方法》标准，满足： 含水</w:t>
            </w:r>
            <w:r>
              <w:rPr>
                <w:rFonts w:hint="eastAsia" w:ascii="微软雅黑" w:hAnsi="微软雅黑" w:eastAsia="微软雅黑" w:cs="微软雅黑"/>
                <w:i w:val="0"/>
                <w:iCs w:val="0"/>
                <w:color w:val="000000"/>
                <w:sz w:val="20"/>
                <w:szCs w:val="20"/>
                <w:u w:val="none"/>
                <w:lang w:val="en-US" w:eastAsia="zh-CN" w:bidi="ar"/>
              </w:rPr>
              <w:t xml:space="preserve">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2、桌子结构：新型Z字型结构，学生位镂空式，符合人体工程学设计，美观大方，易碰撞处全部采用倒圆角。桌子主要有台面、桌腿、横梁、加强横梁、书包斗和电源盒等部件组成，各部件组装牢固耐用。</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3、书包斗采用整体ABS工程塑料一次性注塑成型，规格425*270*165，镂空设计，便于清理，不屯垃圾，中间设挂凳卡,两个书包斗中间设有一个翻盖式电源盒，采用ABS工程塑料注塑成型，耐老化不导电。</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4、桌脚采用三段式高强度铝合金结构，整体规格570*760，左右两边配有装饰彩带，上脚两侧预留电源插座和RJ45网络接口安装位，电源插座给考试系统或其他非实验仪器供电，应与实验电</w:t>
            </w:r>
            <w:r>
              <w:rPr>
                <w:rFonts w:hint="eastAsia" w:ascii="微软雅黑" w:hAnsi="微软雅黑" w:eastAsia="微软雅黑" w:cs="微软雅黑"/>
                <w:i w:val="0"/>
                <w:iCs w:val="0"/>
                <w:color w:val="000000"/>
                <w:sz w:val="20"/>
                <w:szCs w:val="20"/>
                <w:u w:val="none"/>
                <w:lang w:val="en-US" w:eastAsia="zh-CN" w:bidi="ar"/>
              </w:rPr>
              <w:t xml:space="preserve">源系统分开供电，以免影响实验操作。中立柱采用96mm*46*1.5mm厚承重型铝合金型材，采用倾斜式设计。上下脚采用铝合金一次压铸成型，上脚规格：长570*宽51*高116mm，下脚规格：长556*宽67*高112mm，上下脚的壁厚≥2.5mm，连接处壁厚加强至4mm;采用4个高强度螺丝连接；上脚后部装有支撑杆，支撑杆采用铝合金压铸成型，规格不小于25*25*240mm，一头嵌入上桌架，另一头固定在立柱上，呈三角形结构，使整体结构更稳固。下桌架设有专用孔位与地面固定，可以安装调整脚，并配有ABS脚套装饰盖。</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5、桌子横梁：前后两条横梁采用40*40mm1/4圆形铝合金型材用高强度螺丝和桌脚连接，中间横梁采用45*20mm方形铝合金型材直接插在桌脚接口上；加强横梁采用89*14mm铝合金型材，用高强度螺丝固定在两侧桌脚的立柱上。</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6.所有金属构件表面无裂缝、无脱层、无变形，采用环氧树脂粉末高温固化喷涂工艺，表面无漏喷、锈蚀、脱落等缺陷。</w:t>
            </w:r>
            <w:r>
              <w:rPr>
                <w:rFonts w:hint="eastAsia" w:ascii="微软雅黑" w:hAnsi="微软雅黑" w:eastAsia="微软雅黑" w:cs="微软雅黑"/>
                <w:i w:val="0"/>
                <w:iCs w:val="0"/>
                <w:color w:val="000000"/>
                <w:sz w:val="20"/>
                <w:szCs w:val="20"/>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实验教学教师端演</w:t>
            </w:r>
            <w:r>
              <w:rPr>
                <w:rStyle w:val="1330"/>
                <w:color w:val="000000"/>
                <w:lang w:val="en-US" w:eastAsia="zh-CN" w:bidi="ar"/>
              </w:rPr>
              <w:t xml:space="preserve">示系统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一、演示实验教学软件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1、教务管理：教师账号管理、班级管理、学生管理等系统设置；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2、教学演示：实验教学老师演示投放大屏，支持实时操作视频投放，操作视频进行录制完成后实时回放，录制视频可保存；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3、课件管理：精品教案资料上传修改，可分别录入必做实验视频库、选做实验视频库、分组实验视频库、演示实验视频库、探究实验视频库；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二、实验操作摄录装置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1、分辨率：1200万像素，帧率：30 帧/秒；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2、接口类型：USB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3、采用柔性软管式设计，可360°灵活调整摄像位置及角度；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4、拍摄高度750mm，拍摄行程600mm；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三、虚拟仿真实验软件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1、软件要求提供初中理化生仿真实验资源和真人录播视频数量；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2、软件采用互动教学模式对实验进行观察和交互式操作，实验资源以主流3D引擎作为核心开发工具，使得实验不仅具有可360°旋转，放大，缩小观察真实的实验现象还具有真实仿真的实验结果；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3、虚拟仿真实验教学资源需包含 3D 交互式实验教学资源、真人微课视频、视频资源、PPT课件资源、习题资源和图片资源六种类型；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教师演示智慧终端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1、智慧终端由基础集成系统、一体化支架、实验采集终端、智慧教师终端四部分组成。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2、基础集成系统满足以下要求：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（1）采集终端可折叠收纳与展开，其中顶拍内控高度≥700mm。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（2）支持POE供电：可单根网线实现整机供电。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（3）支持电池供电：可拆卸锂电池≥6000mah。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（4）终端操作系统：内置开机自行启动操作系统，可屏蔽与教学实验无关的系统干扰。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3、一体化支架满足以下要求：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（1）使用过程中可稳定维持固定拍摄角度，都支持自由旋转。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（2）底座支架具备固定功能，底座尺寸宽度≤16cm。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4、实验采集终端满足以下要求：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（1）同时支持三路视频采集，形成三维立体采集模式。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（2）像素≥500万，广角≥90°。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（3）支持H.264视频压缩编码，自动曝光，支持宽动态，宽动态范围≥80dB。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5、智慧教师终端满足以下要求：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（1）屏幕尺寸≥15英寸，支持≥45°翻折。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（2）分辨率≥1920*1080，支持≥10点触控。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（3）CPU：≥8核，主频≥2.2GHz。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（4）GPU:AI运算处理性能不低于Mali - G52 MC3。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（5）内存：≥8G。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（6）存储：≥32G，可存储实验操作考试数据存储备份，支持拓展。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（7）USB接口：至少4个USB2.0和1个USB3.0接口。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（8）拓展接口：具有1路高清视频HDMI输出接口。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（9）网络：支持有线联网，≥100M网卡。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6.扩展应用：具备电子目镜/数码显微镜画面、传感器等实验数据接入答题页面可实时显示显微镜影像，具备拍照及标记功能具备纸质内容实时 OCR 识别能力。</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实验教考系统（教师端）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1、教学模式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1)实现教师实验操作视频互动展示；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2)实现学生实验操作视频分屏展示，教学互动指导操作；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▲3)实现教师/学生实验操作视频实时录制功能。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2、课堂练习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1)支持教师开展课堂练习-模拟测试数据查看、测评工作；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2)支持教师开展课堂练习-学生作业数据查看、测评工作。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3、教学资源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1)支持查看教学资源数据；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2)支持下载存储教学资源数据。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4、系统管理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1)支持系统参数配置；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2)支持学生终端设备运行状态监测维护；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3)支持系统应用升级操作。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5、支持教师移动端APP应用，提供移动便捷的实验教学管理能力，包含：实验信息，教学资源，模拟考试，学生作业、系统设置、系统鉴权等功能。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实验教考测评管理系统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1、系统用户管理，包含用户查询、新增、启用、停用、角色分配等管理操作。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2、学校信息管理，包含学校信息、班级信息、教师信息、学生信息新增、修改、导入、导出等管理操作。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3、实验室管理，包含实验室信息管理、实验室终端管理操作。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4、实验信息管理，包含实验信息统计、查询、新增、导入、导出、实验视频维护等管理操作。实现信息包含课标实验、拓展实验管理。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5、扩展资源管理，包含扩展资源统计、查询、新增、资源上传/下载等操作。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模拟测试，包含模拟测试数据统计（如测试总数量、已完成数量、待完成数量、物理实验数量、化学实验数量、生物实验数量）、模拟测试信息查询、新增（所属科目、关联实验、测试班级、测评方式、测评类型、截止日期等内容维护）、编辑、导入、导出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学生作业，包含作业数据统计（如作业总数量、已完成数量、待完成数量、物理实验数量、化学实验数量、生物实验数量）、学生作业信息查询、新增（所属科目、关联实验、所属班级、测评方式、测评类型、截止日期等内容维护）、编辑、导入、导出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8、实验教学管理（模拟测试、学生作业）模块支持人工测评（教师评价、学生互评）、AI测评；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▲9、学生作业支持一键生成教学资源，记录学生实验得分帧，支持导出PPT文档。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10、学情分析-学期分析总览，支持以月/学期为数据维度的数据统计，包含以班级为单位的作业次数、统计周期内作业次数同比、测试次数、统计周期内测试次数同比。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▲11、学情分析-班级学情分析,包含统计数据总览，统计数据详情，测试/作业数据详情内容。统计数据总览：以班级为维度，</w:t>
            </w:r>
            <w:r>
              <w:rPr>
                <w:rFonts w:hint="eastAsia" w:ascii="微软雅黑" w:hAnsi="微软雅黑" w:eastAsia="微软雅黑" w:cs="微软雅黑"/>
                <w:i w:val="0"/>
                <w:iCs w:val="0"/>
                <w:color w:val="000000"/>
                <w:sz w:val="18"/>
                <w:szCs w:val="18"/>
                <w:u w:val="none"/>
                <w:lang w:val="en-US" w:eastAsia="zh-CN" w:bidi="ar"/>
              </w:rPr>
              <w:t xml:space="preserve">统计周期内的测试/作业总次数、物理测试/作业次数、化学测试/作业次数、生物测试/作业次数、班级测试/作业物理均分、班级测试/作业化学均分、班级测试/作业生物均分。统计数据详情：以班级为维度，统计周期内的每次测试/作业信息，如：测试/作业时间、所属实验、学科、班级平均分、班级最高分、班级最低分、班级评分错误率排行(TOP3)。测试/作业数据详情：以班级为维度，单次测试/作业信息，如：班级平均分、最高分、最低分、涉及错误评分点数量、易错点排行、每个学生的测试/作业数据详情(姓名、学号、得分、名次、评分错误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学情分析-学生学情分析,包含统计数据总览，统计数据详情（含图表展示），数据详情。统计数据总览：以学生为维度，统计周期内的测试/作业总次数、物理测试/作业次数、化学测试/作业次数、生物测试/作业次数、班级测试/作业物理均分、班级测试/作业化学均分、班级测试/作业生物均分。统计数据详情：以学生为维度，统计周期内的</w:t>
            </w:r>
            <w:r>
              <w:rPr>
                <w:rFonts w:hint="eastAsia" w:ascii="微软雅黑" w:hAnsi="微软雅黑" w:eastAsia="微软雅黑" w:cs="微软雅黑"/>
                <w:i w:val="0"/>
                <w:iCs w:val="0"/>
                <w:color w:val="000000"/>
                <w:sz w:val="18"/>
                <w:szCs w:val="18"/>
                <w:u w:val="none"/>
                <w:lang w:val="en-US" w:eastAsia="zh-CN" w:bidi="ar"/>
              </w:rPr>
              <w:t xml:space="preserve">每个学生测试/作业信息，如：物理平均分、物理均分名次、化学平均分、化学均分名次、生物平均分、生物均分名次。数据详情：每条学生统计数据的详情内容，含：统计周期内的测试/作业总次数、物理测试/作业次数、化学测试/作业次数、生物测试/作业次数、个人测试+作业综合成绩评比（物理实验平均分评比、化学实验平均分评比、生物实验平均分评比）、个人测试成绩对比、个人作业成绩数据图表对比，班级综合成绩评比（物理均分最高分、个人得分、最低分、排名，化学均分最高分、个人得分、最低分、排名，生物均分最高分、个人得分、最低分、排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物联管理-支持平台一体化物联管理，实现多种物联设备接入控制（包含：空气净化器、环境监测仪、智能照明控制、智能插座、多媒体控制器、空调控制器、窗帘控制器、智能触控开关等等）、物联设备数据统计（设备总数、设备类型数量、绑定空间数量、物理实验室数量、化学实验室数量、生物实验室数量）、操作日志记录查询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▲14、物联管理-支持本地物联控制管理，基于zigbee mesh实现本地组网控制。可基于智控面板/中控屏终端实现设备的本地集中控制、独立控制、场景控制。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15、支持不同层级的用户角色权限管理，包含市级机构管理权限、区级机构管理权限、校级管理权限、教师、学生等多种管理权限控制；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16、系统日志管理，支持系统操作日志记录管理，包含操作对象，操作IP，操作时间，操作动作等等。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理化生实验教考智慧终端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1、智慧终端由基础集成系统、一体化支架、实验采集终端、智慧学生终端四部分组成。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2、基础集成系统满足以下要求：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（1）采集终端可折叠收纳与展开，其中顶拍内控高度≥700mm。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（2）支持POE供电：可单根网线实现整机供电。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（3）支持电池供电：可拆卸锂电池≥6000mah。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（4）终端操作系统：内置开机自行启动操作系统，可屏蔽与教学实验无关的系统干扰。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3、一体化支架满足以下要求：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（1）使用过程中可稳定维持固定拍摄角度，都支持自由旋转。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（2）底座支架具备固定功能，底座尺寸宽度≤16cm。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4、实验采集终端满足以下要求：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（1）同时支持三路视频采集，形成三维立体采集模式。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（2）像素≥500万，广角≥90°。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（3）支持H.264视频压缩编码，自动曝光，支持宽动态，宽动态范围≥80dB。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5、智慧学生终端满足以下要求：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（1）屏幕尺寸≥15英寸，支持≥45°翻折。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（2）分辨率≥1920*1080，支持≥10点触控。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（3）CPU：≥8核，主频≥2.2GHz。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（4）GPU:AI运算处理性能不低于Mali - G52 MC3。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（5）内存：≥8G。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（6）存储：≥32G，可存储实验操作考试数据存储备份，支持拓展。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（7）USB接口：至少4个USB2.0和1个USB3.0接口。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（8）拓展接口：具有1路高清视频HDMI输出接口。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（9）网络：支持有线联网，≥100M网卡。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6.扩展应用：具备电子目镜/数码显微镜画面、传感器等实验数据接入答题页面可实时显示显微镜影像，具备拍照及标记功能具备纸质内容实时 OCR 识别能力。</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实验教考系统（学生端）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1、教学模式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1)实现教师实验操作视频互动展示；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2)实现学生实验操作视频动作展示指导。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2、课堂练习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1)支持教师开展课堂练习-模拟测试数据查看、完成实验工作；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2)支持教师开展课堂练习-学生作业数据查看、提交工作；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▲3)支持学生进行课堂练习-模拟测试/学生作业互评操作。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3、教学资源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1)支持查看教学资源数据；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2)支持下载存储教学资源数据。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4、系统管理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1)支持系统参数配置；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2)支持系统应用升级操作。</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核心操作垫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尺寸：≥800×400mm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材质：PVC或橡胶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48口接入交换机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1.交换容量≥432Gbps，包转发率≥87Mpps；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2.48个10/100/1000Base-T以太网端口，4个千兆SFP；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3.支持ARP表项≥4K；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4.支持RIP、RIPng、OSPF、OSPFv3路由协议；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5.支持DHCPv6 Snooping，DAI，SAVI等安全特性；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6.支持以太网环网保护协议ERPS，故障倒换时间≤50ms；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7.交换机支持音视频业务的智能运维，基于增强型媒体传输质量指标（Enhanced Media Delivery Index，eMDI）特性；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8.配置本项目需要千兆模块。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系统安装附件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1、辅材：线管、6类网线、电源线、话筒线、音箱线、高清线等。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2、集成费：集成施工费用。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系统调试运行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1.理化生教学系统调试运行。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2.理化生考试系统调试运行。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学生桌面电源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交流2v-24v输出，电流2A，自动过载保护，学生低压直流电源电压为0V-24.0V/2A，分辨率为0.1V;具备自动过载保护功能，数字显示交流、直流电流，由教师集中控制，过载“E”闪提示;确认手动复位;配备1组220v5孔插座，系统漏电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功能柱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355*210*760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长355×宽210×高760mm；整体采用全新ABS塑料一体注塑成型，采用齿合槽搭配螺丝紧固连接结构；要求，表面无裂纹、变形、缩水、针孔、凹陷、飞边、折皱、疙瘩、气泡、杂质、伤痕、白印、划痕、毛刺、拉毛、污渍等缺陷，表面光洁平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2.功能柱正面配置ABS一体注塑检修门，配备专用锁具结构，便于设备安装及后期检修维护；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升降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物理准备室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仪器柜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1000*500*2000mm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2.每个柜体均应为完整独立的落地型全钢制柜体设计。柜体采用钢材裸板厚度≥1.0mm一级冷轧钢板冲折制作，表面经磷化等防腐处理后再经环氧树脂静电粉末喷涂；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3.采用双开门型式，上部为玻璃开门(门框为整板开孔，双层门)，下部为钢制开门(双层门)；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4.上下柜各配置一块钢制层板，层板高度可以上下调节，不锈钢弓形拉手。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加大仪器柜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1450*500*2000mm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2.每个柜体均应为完整独立的落地型全钢制柜体设计。柜体采用钢材裸板厚度≥1.0mm一级冷轧钢板冲折制作，表面经磷化等防腐处理后再经环氧树脂静电粉末喷涂；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3.采用双开门型式，上部为玻璃开门(门框为整板开孔，双层门)，下部为钢制开门(双层门)；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4.上下柜各配置一块钢制层板，层板高度可以上下调节，不锈钢弓形拉手。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3350*700*800mm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中央准备台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柜体为落地式结构，可以单独或组合使用，每单面设置两个坐人位。所有底柜正面应为平装嵌入式结构设计，以避免勾住实验袍等造成意外。所有钣金的表面接缝均应满焊，焊接处均应打磨平整以保持为连续的平滑表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4.柜体：主框架采用裸板实际厚度≥1.0mm厚一级冷轧钢板经CNC机压成形、焊接制作，表面经磷化处理、环氧树脂静电粉末涂装处理(涂装厚度为0.75mm)；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5.固定桌脚：ABS注塑专用桌垫。</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直联泵</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280*150*200mm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1.采用旋片式油封单级泵；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2.抽气速率：1I/S；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3.极限压力：不小于6Pa；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4.电机功率：不小于12W；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5.进气口径：不小于Φ15mm。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抽气筒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1.手持式，由手柄、活塞、气筒组成；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2.ABS材质，气筒有效长度不小于130mm，直径不小于40mm；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3.带可调规格气嘴，筒体气密性强。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仪器车</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600mm×400mm×800mm。2．仪器车应分为2层，层间距不小于300mm。3．车架用直径不小于Φ19mm、壁厚不小于0.7mm的不锈钢管制成，架高不低于800mm。4．车架脚安装有不小于Φ50mm、厚15mm转动灵活的万向轮。5．车隔板为不薄于0.7mm的不锈钢制成，四周安装有30mm的挡板。6．整车安装好后应载重50Kg应运行平稳，不得变形、摇晃、松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放大镜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1.手持式；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2.放大倍率：5×；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3.有效通光孔径不小于30mm。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注射器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100ml，分度值10ml，刻度清晰。加帽或塞，密闭性好，防止液体泄漏，清晰度高。</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注射器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30mL，塑料材质。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注射器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10mL，塑料。</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1.立杆Φ12mm×500mm、Φ12mm×700mm各1根；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2.A形座2个，质量分别不小于1.5kg和3.0kg；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3.平行夹2个、垂直夹2个、烧瓶夹1个、万向夹1个、台边夹1个、大铁环1个、圆托盘1个、绝缘杆1个、吊杆1个、吊钩4个；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4.平行夹、垂直夹、烧瓶夹铁片厚度≥1.0mm，烧瓶夹夹口内壁有耐热不低于120℃的缓压层，缓压层厚度≥2.0mm；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多功能实验支架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1.组合座架1个，最小组合支承面积应不小于560mm×10mm；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2.滑块式垂直夹5个、烧瓶夹1个、万向夹1个、大铁环1个、方托盘1个、绝缘环2个、吊钩4个；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3.垂直夹、烧瓶夹铁片厚度≥1.0mm，烧瓶夹夹口内壁有耐热不低于120℃的缓压层，缓压层厚度≥2.0mm；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升降台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升降范围：≥85-235mm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1.产品由上面板、下面板、旋转轴、手轮等组成；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2.上台面有效面积不小于200mm×200mm，下台面有效面积不小于200mm×200mm，上下面板均采用厚度不小于1mm的不锈钢冷轧板冲压成型，其它金属表面均镀锌处理；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3.升降范围不低于85mm～235mm，连续可调；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4.上下台面的平面度误差应≤2mm，升降过程中任一位置的平行度误差≤3mm；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5.额定载重量≥10kg。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软尺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用于测量物体的尺寸或距离。</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布卷尺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摇卷盒式，量程0m～30m，分度值1cm，尺带宽度20mm，有“CMC”标志，刻度清晰，边缘平直、材料环保、耐磨损。</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钢直尺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200*20*0.8mm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0mm～50mm分度值0.5mm，其余分度值为1mm；材料为1Cr18Ni9.1Cr13或其他类似性能材料，硬度应不低于342HV；刻度面平面度误差应≤0.25mm，允许误差应≤±0.15mm。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量程0g</w:t>
            </w:r>
            <w:r>
              <w:rPr>
                <w:rStyle w:val="1333"/>
                <w:color w:val="000000"/>
                <w:lang w:val="en-US" w:eastAsia="zh-CN" w:bidi="ar"/>
              </w:rPr>
              <w:t xml:space="preserve">〜</w:t>
            </w:r>
            <w:r>
              <w:rPr>
                <w:rFonts w:hint="eastAsia" w:ascii="微软雅黑" w:hAnsi="微软雅黑" w:eastAsia="微软雅黑" w:cs="微软雅黑"/>
                <w:i w:val="0"/>
                <w:iCs w:val="0"/>
                <w:color w:val="000000"/>
                <w:sz w:val="18"/>
                <w:szCs w:val="18"/>
                <w:u w:val="none"/>
                <w:lang w:val="en-US" w:eastAsia="zh-CN" w:bidi="ar"/>
              </w:rPr>
              <w:t xml:space="preserve">500g，分度值0.02g。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托盘天平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1.最大称量为：200g，标尺称量为:0-5g，分度值e=d：0.2g；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2.秤盘Φ：84mm。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托盘天平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1.单杠杆等臂式双盘天平，最大称量500g，分度值0.5g，标尺称量0-10g；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2.横梁采用钢性材料制作，刀子、刀承用碳素钢，各部件要求电镀处理，底座表面喷塑；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3.配M2级砝码1套：200g、50g、10g各1个，100g、20g各2个，钢制镊子1把，专用塑料砝码盒一个，各种砝码定位放置。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4.标尺刻度清晰，游码滑动自如。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5.双托盘，托盘为胶木材质；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金属钩码</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10g×1，20g×2，50g×2，200g×2每只质量允差±0.1g。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机械停表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Ø50*70*16</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最小刻度值：1/10s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分针：15分/圈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秒针: 30秒/圈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延续走时：6h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钻数； 13钻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暂停：按钮式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尺寸：Ø50小x70x16mm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重量含包装盒约130克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0℃～100℃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红液，0℃～100℃，分度值1℃，示值误差＜1.5℃。</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0～200℃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水银，0～200℃，分度值1℃，示值误差＜0.5℃，有保护套。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体温计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35-42℃</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水银，(35～42)℃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寒暑表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Φ125*17mm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量程-50℃~50℃，分度值1℃，允许误差1℃；底板长200mm~300mm，温度计外径5mm~8mm，感温泡长8mm~15mm；当温度达到100℃时，安全泡应能容纳上升感温液，温度计不致胀破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条形盒测力计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量程0N~5N，分度值0.1N；示值误差≤1/4分度，升降示差≤1/2分度，重复性偏差≤1/4分度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条形盒测力计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量程0N~2.5N，分度值0.05N；示值误差≤1/4分度，升降示差≤1/2分度，重复性偏差≤1/4分度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条形盒测力计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量程0N~10N，分度值0.2N；示值误差≤1/4分度，升降示差≤1/2分度，重复性偏差≤1/4分度。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圆筒测力计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5N，分度值5N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平板测力计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 用于测量力的大小和称物体的重量；教学上还可以供研究弹簧伸长的长度与外力的关系(弹簧秤的刻度)等物理演示和学生实验用。勿使其测的力超过称量，保持干燥，勿与酸碱物接触，以免锈蚀弹簧和底板。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演示测力计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平板式；量程0N~2N，分度值0.1N；示值误差≤1/4分度，升降示差≤1/2分度，重复性偏差≤1/4分度。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密度计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密度＞1g/cm3，在液体中倾斜度≤0.2分度值。</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湿度计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1.指针式，可悬挂，相对湿度范围：0～100%，分度值：5%；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2.示值允许误差±1%.显示盘Φ不小于200mm。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空盒气压计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Φ145mm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教学型，多膜盒，量程80kPa~106kPa，分度值0.25kPa，任意方向倾斜90°时指针改变不大于1/2分度值，带橡皮球</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圆柱体组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直径Ø20±0.05，高32nm±0.05</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铜、铁、铝各一，几何尺寸完全相同，直径 Φ20mm±0.05mm，高H32nm±0.05mm。其他应符合</w:t>
            </w:r>
            <w:r>
              <w:rPr>
                <w:rFonts w:hint="eastAsia" w:ascii="微软雅黑" w:hAnsi="微软雅黑" w:eastAsia="微软雅黑" w:cs="微软雅黑"/>
                <w:i w:val="0"/>
                <w:iCs w:val="0"/>
                <w:color w:val="ff0000"/>
                <w:sz w:val="18"/>
                <w:szCs w:val="18"/>
                <w:u w:val="none"/>
                <w:lang w:val="en-US" w:eastAsia="zh-CN" w:bidi="ar"/>
              </w:rPr>
              <w:t xml:space="preserve">JY/T 0394-2007《圆柱体组》</w:t>
            </w:r>
            <w:r>
              <w:rPr>
                <w:rFonts w:hint="eastAsia" w:ascii="微软雅黑" w:hAnsi="微软雅黑" w:eastAsia="微软雅黑" w:cs="微软雅黑"/>
                <w:i w:val="0"/>
                <w:iCs w:val="0"/>
                <w:color w:val="000000"/>
                <w:sz w:val="18"/>
                <w:szCs w:val="18"/>
                <w:u w:val="none"/>
                <w:lang w:val="en-US" w:eastAsia="zh-CN" w:bidi="ar"/>
              </w:rPr>
              <w:t xml:space="preserve">的要求。</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立方体组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25*25mm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本产品由木材，铜，铁，铝制品组成。铜制品边长分别为25mm,铝制品边长分别为25mm，铁制品边长分别为25m，木制品边长分别25mm.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运动和力实验器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120*75*40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水平板、斜面板、小车、过渡塑料片、毛巾，布,瓦楞纸，小球2个(金属球、塑料球），硬盒、小球滑槽运动块等组成。水平板和斜面板用合页连接，宽度和厚度尺寸要一致，宽度约120mm，厚度约12mm。水平板长度约530mm，斜面板长约200mm，小车为塑料制品，尺寸不小于120mm×75mm×40mm，两小球直径一致为16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惯性演示器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300*150*10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底座尺寸约300mm×150mm×10mm，支架、摆锤、板机装置、钢珠等组成。摆锤为铁质，质量约350g。钢珠Φ22mm，质量约45g。钢球抛出的水平距离不小于90mm。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摩擦计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100*40*30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1、由磨擦板和磨擦块组成。2、磨擦板外形尺寸约：长500mm，宽50mm，厚10mm。3、磨擦块外形尺寸约：长：100mm，宽40mm，厚30mm。上面有两个砝码孔，端面中心有挂钩。</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螺旋弹簧组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5支组成，由拉力极限分别为4.9N、2.94N、1.96N、0.98N和0.49N的5种弹簧构成；各弹簧带长50mm挂钩(有指针)，两端应为圆拉环，附标度板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连通器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200*120*200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玻璃连通器和底座两部分组成。外形尺寸不小于：200×120×200mm。玻璃件选用钠钙玻璃或硼硅玻璃。玻璃件壁厚约1.0mm。玻璃件细管外径为12mm，粗管外径为30mm。玻璃件必须经过退火处理，消除应力。底座要平稳，表面光滑无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微小压强计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380*60*30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由U形玻璃管、刻度板、三通管、乳胶管、螺旋夹、夹持柄等组成。量度范围不小于300mm。外形尺寸不小于380×60×30mm。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马德堡半球</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由两个附有拉手的铸铁组成。铸铁件应符合：（1）</w:t>
            </w:r>
            <w:r>
              <w:rPr>
                <w:rFonts w:hint="eastAsia" w:ascii="微软雅黑" w:hAnsi="微软雅黑" w:eastAsia="微软雅黑" w:cs="微软雅黑"/>
                <w:i w:val="0"/>
                <w:iCs w:val="0"/>
                <w:color w:val="000000"/>
                <w:sz w:val="18"/>
                <w:szCs w:val="18"/>
                <w:u w:val="none"/>
                <w:lang w:val="en-US" w:eastAsia="zh-CN" w:bidi="ar"/>
              </w:rPr>
              <w:t xml:space="preserve">铸铁件其中一个半球上装有旋塞和抽气管咀。（2）半球（圆盘）外径不小于φ105mm，内径不小于φ75mm。（3）金属件外表面喷漆、平整、光滑、无毛刺。两半球（圆盘）的合口处和旋塞应进行成组研磨，并配套编号。半球（圆盘）的合口处光洁度不低于▽5，不得有砂眼、气孔和毛刺。金属球体内表面涂防锈漆。（4）旋塞和抽气管咀由黄铜制成。旋塞锥度1:7，外径φ8mm，旋塞一端装有与通气孔方向一致带箭头的旋片，旋塞应松紧适宜、转动灵活。（5）当半球（圆盘）的内外压强差为500mmHg，经30分钟后，其压差不低于480mmH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杠杆</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塑制、由杆身和支架组成，长约50mm，带刻度。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演示滑轮组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演示滑轮组的组成及规格：包括单滑轮2个、三并</w:t>
            </w:r>
            <w:r>
              <w:rPr>
                <w:rFonts w:hint="eastAsia" w:ascii="微软雅黑" w:hAnsi="微软雅黑" w:eastAsia="微软雅黑" w:cs="微软雅黑"/>
                <w:i w:val="0"/>
                <w:iCs w:val="0"/>
                <w:color w:val="000000"/>
                <w:sz w:val="18"/>
                <w:szCs w:val="18"/>
                <w:u w:val="none"/>
                <w:lang w:val="en-US" w:eastAsia="zh-CN" w:bidi="ar"/>
              </w:rPr>
              <w:t xml:space="preserve">滑轮2个、三串滑轮2个、可卡滑轮2个。单滑轮配备数量:2个，轮盘数量:1个，外径D:70mm，轮缘厚a:8mm, 轮毂厚b：10mm, 槽深c：5mm;三并滑轮配备数量:2个，轮盘数量:3个，外径D:70mm，轮缘厚a:8mm, 轮毂厚b：10mm, 槽深c：5mm;三串滑轮配备数量:2个，轮盘数量:3个，其一为外径D:70mm，轮缘厚a:8mm, 轮毂厚b：10mm, 槽深c：5mm;其二为外径D:53mm，轮缘厚a:8mm, 轮毂厚b：10mm, 槽深c：5mm; 其三为外径D:40mm，轮缘厚a:8m</w:t>
            </w:r>
            <w:r>
              <w:rPr>
                <w:rFonts w:hint="eastAsia" w:ascii="微软雅黑" w:hAnsi="微软雅黑" w:eastAsia="微软雅黑" w:cs="微软雅黑"/>
                <w:i w:val="0"/>
                <w:iCs w:val="0"/>
                <w:color w:val="000000"/>
                <w:sz w:val="18"/>
                <w:szCs w:val="18"/>
                <w:u w:val="none"/>
                <w:lang w:val="en-US" w:eastAsia="zh-CN" w:bidi="ar"/>
              </w:rPr>
              <w:t xml:space="preserve">m, 轮毂厚b：10mm, 槽深c：5mm;三并滑轮为直边半封闭式，三串滑轮和单滑轮为单边悬臂式，滑轮的上下挂钩方向互成90°或可转动。允许负荷：2千克（19.6牛顿）。轮盘用酚醛塑料制成。框架用碳钢冷轧板制成。中轴由钢丝制成，框架表面作防锈处理。轮盘应转动灵活，轮盘沿轴向串动距离不大于1mm。滑轮悬挂后，其框架侧边均应铅直，误差不大于1.5mm。各轮盘平面与框架的平行度公差不大于1mm。一对单滑轮，当负荷500克时，机械效率应不低于90％。每对三并、三串的滑轮，当负荷1500克时，机械效率应不低于60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滑轮组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轮盘外径D±0.3mm，轮缘厚a0+0.3mm，轮毂厚b0+0.3mm。滑轮自由悬挂后，选取一条铅垂线，在允许最大负荷19.6N的范围内对滑轮加载和去载，测量框边上下端与铅垂线的距离差应小于1.5mm。单滑轮组的机械效率要求不小于90%，二并滑轮组的机械效率要求不小于60%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滚摆</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滚摆由摆体（摆轮和摆轴）、悬线、支柱、横梁和底座组成。摆轮直径不小于Φ125mm。摆轴直径不小于Φ8mm，长不小于160mm，轴上两个穿线孔距离140mm，穿线孔径Φ1.5mm。支柱高不小于400mm，横梁长约240mm。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手摇离心转台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机座、主动轮(带手柄)、从动轮、支杆等组成；从动轮与主动轮的转速比不低于6的整数倍，支杆直径10mm，全长140mm，支杆装配中心与从动轮轴的距离为140mm±1mm；从动轮轴孔上段为圆柱孔，下段为圆锥孔，锥度为1：20，大端直径10mm，上偏差允许+0.15mm；深度不小于45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音叉</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256Hz</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256Hz±0.3Hz；由音叉、共鸣箱、音叉槌等组成；松木共鸣箱，尺寸约300mm×80mm×40mm；在环境噪声不大于30dB的室内，套用音叉槌敲击音叉，距音叉1000mm处声强应不小于90dB</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音叉</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512Hz</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512Hz±0.4Hz；由音叉、共鸣箱、音叉槌等组成：松木共鸣箱，尺寸140mm×80mm×40mm；在环境噪声不大于30dB的室内，用音叉槌敲击音叉，距音叉1000mm处声强应不小于90dB</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玻棒(附丝绸)</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或有机玻璃棒(附丝绸),教师用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胶棒(附毛皮)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或聚碳酸酯棒(附毛皮)，教师用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小灯座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75*35*10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1、由二用灯口，底部电极，连接片，接线柱和底板组成。2、底座：75mm×35mm×10mm  工作电压不大于36V ,工作电流不大于2.5A 。</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单刀开关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75*25*10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1、由底座，接线柱，闸刀，刀座，刀承和绝缘手柄组成。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2、底座：黑色塑料，约75mm×25mm×10mm  闸刀，刀座用δ=0.8mm磷铜片闸刀长50mm，宽8mm  开关接通，电阻不大于0.01Ω，开关断开电阻100MΩ,工作电压不超过36V，工作电流不超过6A，执行Jy116标准。抗电强度为500V，寿命应不小于10000次。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条形磁铁</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铝铁碳，180mm；磁感应强度大于６.０*１０-2Ｔ。</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蹄形磁铁</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铝铁碳，100mm。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磁感线演示板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永磁、电磁场；每块板上有130以上个空穴，内含自由活动小铁棒。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菱形小磁针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1.菱行小磁针，整盒装16个，每个小磁针带底座.1.磁针体长28±1.0mm.宽8±0.7mm；底座：底径25±1.0mm；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2.总高25±1.0mm.2.磁针体的形状:菱形小磁针的磁针体为平面菱形；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3.磁针体的中间铆接铜轴承套，内嵌玻璃轴承.铆嵌要牢固；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4.磁针出厂一年内，磁针体的平均剩磁不小于5mT；</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5.磁针体表面喷漆，漆层均匀无脱落.指北极(N)为红色，指南极(S)为白色或蓝色；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6.支座用非铁磁性材料制成.底座平整.稳定，顶部装钢针，钢针镀铬，不得有绣蚀和毛刺；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7.磁针在外力作用下，磁针体应转动灵活，无明显偏斜和阻滞现象.去掉作用力后，磁针体应能自行回归指向，回归指向偏差不大于5；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8.磁针在无外强磁场或铁磁性物体影响下，磁针体应无明显倾斜；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9.磁针体经人工老化处理3h，平均剩磁下降幅度不大于30％；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翼形磁针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71*112</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垂直翼形针体和支座组成。供中学教学演示实验用，说明磁体的指向性及磁极的相互作用。翼型磁针，每组2支，J2405型。1.磁针体长140±2.0mm，宽8±0.7mm。支座低径71±1.5mm，总高112±1.7mm。2.磁针体的形状:翼形磁针的磁针体为翼形扭式，两翼面与中部面互相垂直。两翼面端斜面向下。3</w:t>
            </w:r>
            <w:r>
              <w:rPr>
                <w:rFonts w:hint="eastAsia" w:ascii="微软雅黑" w:hAnsi="微软雅黑" w:eastAsia="微软雅黑" w:cs="微软雅黑"/>
                <w:i w:val="0"/>
                <w:iCs w:val="0"/>
                <w:color w:val="000000"/>
                <w:sz w:val="18"/>
                <w:szCs w:val="18"/>
                <w:u w:val="none"/>
                <w:lang w:val="en-US" w:eastAsia="zh-CN" w:bidi="ar"/>
              </w:rPr>
              <w:t xml:space="preserve">.磁针体的中间铆接铜轴承套，内嵌玻璃轴承。铆嵌要牢固。4.磁针出厂一年内，磁针体的平均剩磁不小于9mT。5.磁针体表面喷漆，漆层均匀无脱落。指北极（N）为红色，指南极（S）为白色或蓝色。6.支座用非铁磁性材料制成。底座平整、稳定，顶部装钢针，钢针镀铬，不得有绣蚀和毛刺。7.磁针在外力作用下，磁针体应转动灵活，无明显偏斜和阻滞现象。去掉作用力后，磁针体应能自行回归指向，回归指向偏差不大于5。8.磁针在无外强磁场或铁磁性物体影响下，磁针体应无明显倾斜。9.磁针体经人工老化处理3h，平均剩磁下降幅度不大于30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演示原副线圈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70*106*113</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形尺寸不小于70mm×l06mm×ll3mm，原线圈内径不小于13mm，外径不小于22mm、副线圈内径不小于35mm，外径不小于49mm，软铁直径不小于12mm，长度不小于113mm。原线圈和副线圈都是用漆包线绕在空心的胶木骨架上做成。线圈外面绕有三圈塑料线以表明线圈的绕向，线圈两头都装有接线柱。</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原副线圈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1.原线圈：0.56mmQZ型漆包线310～330匝，线圈架内径约11mm，绕线宽度约57mm；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2.副线圈：0.25mmQZ型漆包线670～680匝，线圈架内径约24mm，绕线宽度约52mm。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光具盘</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离型、磁吸附式。矩形光盘长≥650mm，宽≥240mm；圆形光盘直径≥250mm。盘面分四个象限，以一条直径为始边，分别刻有0°~90°刻度。半导体激光光源，可显示3条平行光。光学零件：梯形玻砖1件，等腰直角棱镜1件，半圆柱透镜1件，小双凹柱透镜1件，小双凸柱透镜1件，双凸透镜1件，大双凸柱透镜1件，平面镜1件，凹凸柱面镜1件，正三棱镜2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凹面镜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凹面镜体，托架、支柱、底座各部分组成。托架、支柱、底座均为铁制品。底座直径约Φ105mm，厚度约1mm，表面涂清漆，支柱直径约Φ8mm，表面电镀，托架呈半圆形，厚度约2mm，半圆直径约Φ110mm。凹面镜体直径约Φ95mm，外部镶嵌黑色塑料外框。产品应符合</w:t>
            </w:r>
            <w:r>
              <w:rPr>
                <w:rFonts w:hint="eastAsia" w:ascii="微软雅黑" w:hAnsi="微软雅黑" w:eastAsia="微软雅黑" w:cs="微软雅黑"/>
                <w:i w:val="0"/>
                <w:iCs w:val="0"/>
                <w:color w:val="ff0000"/>
                <w:sz w:val="18"/>
                <w:szCs w:val="18"/>
                <w:u w:val="none"/>
                <w:lang w:val="en-US" w:eastAsia="zh-CN" w:bidi="ar"/>
              </w:rPr>
              <w:t xml:space="preserve">JY/T 138-82《凹凸面镜》</w:t>
            </w:r>
            <w:r>
              <w:rPr>
                <w:rFonts w:hint="eastAsia" w:ascii="微软雅黑" w:hAnsi="微软雅黑" w:eastAsia="微软雅黑" w:cs="微软雅黑"/>
                <w:i w:val="0"/>
                <w:iCs w:val="0"/>
                <w:color w:val="000000"/>
                <w:sz w:val="18"/>
                <w:szCs w:val="18"/>
                <w:u w:val="none"/>
                <w:lang w:val="en-US" w:eastAsia="zh-CN" w:bidi="ar"/>
              </w:rPr>
              <w:t xml:space="preserve">的有关规定。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凸面镜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凸面镜体，托架、支柱、底座各部分组成。托架、支柱、底座均为铁制品。底座直径Φ105mm，厚度1mm，表面涂清漆，支柱直径Φ8mm，表面电镀，托架呈半圆形，厚度约2mm，半圆直径Φ110mm。凸面镜体直径Φ95mm，外部镶嵌黑色塑料外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玻璃砖</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两底角为60±0.5°和45±0.5°，高度为35±1mm，厚度15±1mm.透明，无气泡。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光具座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光具座由导轨（包括支架）、滑块、标尺及附件组成。附件包括：双凸透镜2块、凸透镜1块、双凹透镜1块、“1”字屏1块、 白屏1块、插杆5根、毛玻璃屏（带屏架）1块、光源1套、烛台1件。5.2 导轨与滑块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5.2.1 导轨和滑块均为金属件。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5.2.3 导轨与基准平面的平行度误差应不大于1.00mm。双导轨光具座的两根导轨，其轴线平等度误差应不大于0.50mm。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5.2.4 导轨前端支架与滑块上的插孔为6+0.15omm，插孔指示标线应清晰，且指示插孔纵向中心位置。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5.2.5 以导轨支架插孔中心和最后一只滑块插孔中心的连线为基准线。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5.2.6 导轨支架和四只滑块插孔的轴线在纵向应平行。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5.2.7 滑块在导轨上应滑行自如，无阻滞现象。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5.3.1 标尺为金属件。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5.3.2 标尺刻度范围应与导轨有效长度相匹配，全刻度误差不大于±1mm。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5.3.3 标尺最小分度为1mm。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5.4.1 透镜的焦距和通光孔径应符合双凸透镜焦距100±3、通光孔径≥35；双凸透镜焦距50±3、通光孔径 ≥25；平凸透镜：焦距300±12、通光孔径≥45； 双凹透镜焦距—75±5</w:t>
            </w:r>
            <w:r>
              <w:rPr>
                <w:rFonts w:hint="eastAsia" w:ascii="微软雅黑" w:hAnsi="微软雅黑" w:eastAsia="微软雅黑" w:cs="微软雅黑"/>
                <w:i w:val="0"/>
                <w:iCs w:val="0"/>
                <w:color w:val="000000"/>
                <w:sz w:val="18"/>
                <w:szCs w:val="18"/>
                <w:u w:val="none"/>
                <w:lang w:val="en-US" w:eastAsia="zh-CN" w:bidi="ar"/>
              </w:rPr>
              <w:t xml:space="preserve">、通光孔径≥25。5.4.2 透镜应无明显条纹。5.4.3 透镜的表面疵病应符合GB 1185表2中规定的Ⅶ级要求。5.4.4 透镜框应能牢靠地夹持透镜。 5.5.1 光源工作电压为交直流6～8V，功率不大于5W。5.5.2 光源出口处照度应不小于500lx，离光源出口500mm处照度应不小于300lx。5.6 插杆直径为6mm±0.15mm，插杆与插件结合可靠。5.6.2 "1"字屏为黑色，"1"字轮廓应清晰。5.6.3 白屏表面应平整，涂覆均匀，边缘无毛刺。6.4 毛玻璃屏磨砂均匀，周边应有保护性倒角。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三棱镜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100*100*200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1.边长25±1.5mm；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相邻两角60±0.5°；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棱长80±1mm；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2.玻璃材料应符合GB903-65《无色光学玻璃》中的规定；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3.三棱镜体两端面光洁度为▽5，三个侧面为精加工面，应进行抛光处理；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4.三棱镜体表面不许有目测到的划痕和砂眼，边缘不许有裂.碎.缺角；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5.托架应有足够的强度，三棱镜体应能作任意方向的转动，并能停止在任意位置；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6.支柱高度可调，其升降范围不小于30mm，整个仪器应有足够的稳度。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分度0.2ml允差0.2ml身外径16mm全高135mm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分度1.0ml允差1.0ml身外径26mm全高195mm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分度1.0ml允差1.0ml身外径32mm全高250mm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分度25.0ml允差3.0ml全高200mm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外径15mm全长150mm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Φ30*200mm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外径30mm全长200mm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外径70mm高度97mm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外径85mm高度120mm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圆底，长颈，500ml</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250ml平底长颈，平底烧瓶放在平台上时，直立不摇晃、不转动。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方座支架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1.方座支架附烧瓶夹一只，大小铁环各一，复夹3只；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2.底座尺寸210*135mm，立杆Φ12mm，一端有M10*18mm螺纹；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3.大铁环内径Φ90mm，柄长105mm；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4.小铁环内径Φ50mm，柄长125mm，圆环120°。处有一开口，宽约20mm；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5.烧瓶夹闭合间隙＜0.1mm，最大开口≥35mm，杆径Φ10mm，蝶形螺帽为M5。底座质量不小于1kg，放置平稳、支承夹持可靠，立杆与底座间垂直度不大于立杆长度的0.5%，铁环组装后与立杆垂直，垂直度不大于4mm。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彩色透光片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红、绿、蓝</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三原色颜料</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品红、黄、蓝</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测电笔</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80-500V</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80-500V</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支</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一字螺丝刀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Φ3或Φ6mm；中号，木制手柄。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十字螺丝刀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Φ3或Φ6mm；中号，木制手柄。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尖咀钳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中号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工作服</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白色。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鳄鱼夹电线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两头鳄鱼夹，鳄鱼夹电线300。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指南针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Φ75mm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全封闭，塑料。</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条形磁铁</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铝铁碳，180 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平板数据终端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CPU：≥八核心；运行内存：≥8GB；存储容量：≥128GB；屏幕尺寸：≥10英寸；前置≥800万像素；后置≥1300万像素，分辨率：1920*1200 网络：WIFI 功能支持：重力感应 光线感应 陀螺仪 霍尔传感器 电池容量：7040mAh 产品尺寸：长255.31mm 宽166.86mm 高7.15mm 。</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平板充电车</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1、功能要求：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支持≥20台学生学习终端充电，充电接口为Type-C；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2、主要参数：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1）机柜结构：平板充电工位分为多层，多台终端充电时保持合理的通风空隙；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2）通风：机柜左右两侧有通风口，方便柜内的热气排出；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3）充电：机柜带有识别充电系统，充电状态LED灯或屏幕有明确显示；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4）安全：每路USB有恒流充电保护、过压保护等，单个USB接口损坏后不影响其他的USB接口使用；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5）机体外部配有插座，带独立开关；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6）桌面式；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3、安装部署：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安装于教室，方便终端收纳和充电。</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无线路由器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1、以太网接口≥2个；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2、PoE: 802.3bt/at 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3、内置物联网:需内置蓝牙 5.1/RFID/Zigbee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4、本地供电：需支持 54V DC；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5、物联网扩展：需支持链式物联网扩展能力，最大需支持不少于 8 个 BLE、RFID、ZigBee 等全制式物联网扩展；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6、发射功率(单路最大)：≥20dBm；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7、可调功率粒度：≥1dBm；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8.MTBF：≥850000H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9、整机 802.11ax 最高速率:≥4.5Gbps+2.4Gbps+0.575Gbps/2.4Gbps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10、每射频最大接入用户数：≥510(整机最大接入用户数 1500；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11、虚拟 AP≥40；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还有个这个</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数字化实验系统V12.0</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是一款支持实验设计、数据采集和保存、数据分析计算等的教学用实验数据处理软件。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1.支持Windows、Android、iOS/iPadOS、 HarmonyOS、macOS、Linux、统信UOS、麒麟等操作系统。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2.支持有线连接，无线蓝牙连接。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3.支持传感器自动识别。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4.可连接多个采集器，并支持多个采集器同时工作。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5.可支持20个传感器同时采集。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6.通过坐标图像曲线、表格、数值、仪表盘等方式，实时、直观、精确显示实验数据。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7.根据实验需要，可进行公式（变量）编辑，自主添加实验变量（或增量等），并通过公式编辑实现不同物理量之间的转换。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8.可对数据图表操作，包括对图表内数据曲线的移动、缩放、改变曲线颜色及大小等，便于实验前后的数据分析处理，适合于教学中实验结果的精确测定与验证。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9.具有完善的数据处理功能，包含多种数据拟合：直线拟合、抛物线拟合、倒数拟合、积分、重叠显示等。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10.可根据需求将实验及实验结果以不同方式保存，可后续查看。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11.支持摄像功能，可实时拍摄、显示实验场景并存储。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12.支持离线实验数据导出。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13.支持采集过程回放。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14.支持局域网内接收、发送实验文件。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15.包含小学科学、初中物理、初中化学、初中生物、高中物理、高中生物、高中化学7个专用实验模块，超过150个实验专有模板，全定制化的实验界面及实验操作，贴合教学过程。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16.软件可关联“在线实验设计平台”，通过注册和登录，登录之后可使用“在线实验设计平台”，体验功能更为强大的实验自主设计软件。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17.提供丰富完整的在线实验教学案例，资源数量不少于700个，提供丰富的在线实验视频，视频数量不少于150个，在线实验视频既可以通过自有平台浏览。</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闪联数显</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闪联数显是一款专为无线智能传感器设计的显示设备，通过蓝牙连接传感器，无需终端设备即时读取无线智能传感器数值。支持多个闪联数显同时连接同一个传感器使用，是无线智能传感器的最佳伴侣。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闪联数显正面左侧为电容式感应触摸开关，中间为显示屏，右侧顶部为扫描键。背面自带磁吸，可吸附于黑板等铁质物体表面；闪联数显上、下各有一条表带插槽，将硅胶条取出后，可将表带安装在闪联数显上，戴于腕部，类似智能手表方式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1.实时显示无线智能传感器的数值变化。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2.内置蓝牙无线模块，使用蓝牙5.1技术，低功耗运行和待机。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3.采用电容式感应触摸开关，手指轻放在开关键上3秒即可开、关机，无需用力按压，使用寿命长。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4.按扫描键3秒即自动搜索无线智能传感器，松开按键即连，操作便捷。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5.当有多台无线智能传感器时，按键3秒即自动切换到信号最强的无线智能传感器。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6.支持多个闪联数显同时连接同一个传感器使用。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7.支持多通道传感器，最多同时显示一个传感器的4个通道。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整机尺寸（不含表带）：51*33*16mm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屏幕尺寸：29.4*14.7mm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分辨率：128*64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表带：42/44/45/46/49mm标准款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电池类型：250mAh锂电池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续航时间：8h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通讯方式：蓝牙5.1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通讯距离：30m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刷新频率：5Hz</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无线智能电压传感器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压传感器无需连接数据采集器，通过蓝牙或USB直连电脑、手机或平板等终端可直接进行数据采集，在终端上实时显示并记录电压的变化，绘制电压-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1.用于测量电路、电器两端的电压。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                                                                                                                                                     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1.量程：-30V~30V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2.分辨率：0.02V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3.精度：±1%F.S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4.采样速率：蓝牙：1000次/秒；USB：10000次/秒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串联电路中用电器两端的电压与电源两端电压的关系、探究并联电路中各支路用电器两端的电压与电源两端电压的关系、练习使用滑动变阻器、探究电流和电压的关系、探究电流和电阻的关系、伏安法测电阻、伏安法测灯泡电阻、额定功率与实际功率、测量小灯泡的功率、观察电容器的充放电、研究伏安特性曲线（小灯泡，电阻，导体，晶体二极管）、串并联电路中的电压、串并联电路中的电阻、自感、伏安法测金属的电阻率、电磁感应、振荡电路（电压）、电池及电源电动势和内阻的测量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无线智能电流传感器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流传感器无需连接数据采集器，通过蓝牙或USB直连电脑、手机或平板等终端可直接进行数据采集，在终端上实时显示并记录电流的变化QLKJ，绘制电流-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1.用于测量电路中的电流。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1.量程：-1A~1A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2.分辨率：0.5mA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3.精度：±1%F.S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4.采样速率：蓝牙：1000次/秒；USB：10000次/秒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无线智能磁感应强度传感器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磁感应强度传感器无需连接数据采集器，通过蓝牙或USB直连电脑、手机或平板等终端可直接进行数据采集，在终端上实时显示并记录磁感应强度的变化，并可绘制磁感应强度-时间图像。本传感器也可以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由传感器主体和前端磁场探头连接构成。主体正面有电源按钮、电源和蓝牙指示灯、传感器名称；背面有蓝牙编号；底部有Type-C接口。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1.用于测量磁场的磁场强度。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6.可测量地磁场、永磁体、通电线圈的磁感强度。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1.量程：-64mT~64mT</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2.分辨率：0.04mT</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3.精度：±3%F.S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4.采样速率：500次/秒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150mAh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探究磁场的方向、探究通电螺线管外部的磁场分布、电磁铁的磁性等实验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无线智能力和加速度传感器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力和加速度传感器内置力、加速度、角速度三种传感器模块，无需连接数据采集器，通过蓝牙或USB直连电脑、手机或平板等终端可直接进行数据采集，在终端上实时显示并记录力、加速度、角速度的变化，绘制相应变化图像。也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本传感器造型方正，在其顶部有用于手拎的两个开孔，一个用于固定于铁杆的异形孔，背部和底部分别设有能用于固定在小车等处的螺丝孔；正面有电源按钮、电源和蓝牙指示灯、蓝牙编号、X、Y、Z方向标记、传感器名称及量程范围；下端为力传感器接口，可拧上钩子（测量拉力）或防撞塑料件（测量推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1.用于拉力或压力的测量，或用于物体运动过程中加速度的测量。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传感器多种测量多合为一，能够同时测量力、加速度和角速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6.使用（固定）方式：手（指）拎、固定在连接杆上。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7.可实现校准功能。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力：-50N~50N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加速度：-16g~16g(156.8m/s²)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陀螺仪：-34.9rad/s~34.9rad/s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力：0.03N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加速度：0.01g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陀螺仪：0.01rad/s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力：±1%F.S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无线智能温度传感器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由传感器主体和前端探头连接构成。主体正面有电源按钮、电源和蓝牙指示灯、传感器名称；背面有蓝牙编号及电池仓，机身外壳与电池仓用密封圈密封。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1.用于测量物体表面、气体、酸碱等液体的温度。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6.使用纽扣电池，电池可更换，一枚电池可正常课堂使用1年以上。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7.可实现微小的温度变化快速采样。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9.连接方式：蓝牙无线。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10.节能方式：传感器打开电源，无连接或连接无活动，几分钟后自动关闭电源。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12.可切换单位：℃、℉、K。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13.支持平台：Windows、Android、iOS/iPadOS、MacOS、 Linux、Harmony OS、统信UOS、麒麟等。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1.量程：-40℃~125℃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3.精度：±0.5℃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5.连续使用时间：≥120小时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6.防水等级：IP67</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8.电池型号：CR2032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无线智能绝对压强传感器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由传感器主体正面有电源按钮、电源和蓝牙指示灯、传感器名称；背面有蓝牙编号；底部有Type-C接口，前端是鲁尔公接头，可连接软管等多种附件接入环境中进行测量。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1.用于测量大气环境下或密闭空间内的气体的压强。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6.可实现校准功能。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1.量程：0~400kPa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2.分辨率：0.1kPa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4.采样速率：500次/秒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无线智能位移传感器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位移传感器利用发射和接收到被反射回来的超声波脉冲来测量与物体的距离，进一步可以计算出物体运动的速度和加速度，无需连接数据采集器QLKJ，通过蓝牙或USB直连电脑、手机或平板等终端可直接进行数据采集，在终端上实时显示并记录物体的运动变化，绘制相应图像。可脱离终端而独立地记录所探测到的实验数据并加以保存，并随时供下载和分析。      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由传感器主体正面有电源按钮、电源和蓝牙指示灯、传感器名称；背面有蓝牙编号；底部有Type-C接口，前端是超声波收发装置。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1.用于测量物体运动的位移。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1.量程：8cm~400cm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2.分辨率：0.1cm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3.精度：±1%或±0.5cm（取大）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4.采样速率：20次/秒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匀变速直线运动位移与时间的关系、胡克定律实验等实验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无线智能光电门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无线智能光电门传感器无需连接数据采集器，通过蓝牙直连电脑、手机或平板等终端可直接进行数据采集，在终端上实时显示并记录物体运动时间，计算出物体的运动速度、加速度等。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有A、B两个光电门，整体为门式结构，A光电门正面有A门标识、电源和蓝牙指示灯，两侧有电源开关、USB接口、AB光电门连接口；B光电门正面有B门标识、电源和工作状态指示灯，侧面有AB门连接口。两个光电门顶部，两侧和门内侧设有六个用于固定的螺丝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1.用于测量物体通过光电门的挡光时间以及速度、加速度、动量、动能等物理量。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5.光电门机身上具有多个开孔，方便固定于测量轨道上，也可在光电门内安装滑轮。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1.量程：0~∞s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2.分辨率：0.01ms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3.精度：±0.01ms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5.连续使用时间：≥100小时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1000mAh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比较物体运动快慢、测量平均速度、阻力对运动的影响、探究物体的动能跟哪些因素有关、观察摆球动能和重力势能的转化、借助传感器与计算机测速度、探究小车速度与时间变化关系、探究加速度与力和质量的关系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无线智能声音传感器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声音传感器内置声强、声波两种传感器模块，无需连接数据采集器，通过蓝牙或USB直连电脑、手机或平板等终端可直接进行数据采集，在终端上实时显示并记录声强、声波的变化，绘制相应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由传感器主体和麦克风探头构成。主体正面有电源按钮、电源和蓝牙指示灯、传感器名称；背面有蓝牙编号；底部有Type-C接口；主体前端设有标准3.5mm音频接口，可与麦克风探头连接进行测量。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1.使用驻极体话筒采集声音信号，用于测量声音的强度或声音的波形。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3.传感器与数据采集终端（电脑、平板或手机）直接通过蓝牙无线连接，便于运动情况下的数据测量及各种实验环境中的数据采集，无需数据采集器；传感器两种测量二合一，可测量声强、声波。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声强：55dB~110dB；声波：最大频率10000Hz、最大声强110dB（麦克风频率范围100Hz~15000Hz）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声强：0.1dB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声强：±3dB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声波：有线32kHz、无线8kHz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声强：1000次/秒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无线智能毫电流传感器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毫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1.用于测量电路中毫安数量级的电流。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2.传感器内置蓝牙无线模块：使用蓝牙5.0技术，该技术拥有极低的运行和待机功耗。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1.量程：-20mA~20mA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2.分辨率：0.02mA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3.精度：±5%F.S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4.采样速率：蓝牙：1000次/秒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水果电池；用传感器观察电容器的充放电；LC振荡电路；等实验。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无线智能快速温度传感器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快速温度传感器无需连接数据采集器，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由传感器主体和快速温度传感器探头组成。主体正面有电源按钮、电源和蓝牙指示灯、传感器名称；背面有蓝牙编号；底部有Type-C接口。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1.用于快速测量物体表面的温度、无腐蚀性气体、液体的温度。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1.量程:-25℃~125℃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3.精度:±0.5℃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压缩气体做功、查理定律等实验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光强分布传感器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光强分布传感器通过USB接口直接与电脑终端连接进行数据采集，在终端上实时显示并记录入射光光强弱的分布及变化，并绘制图像。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传感器正面为传感器名称、型号、量程范围、矩形测试窗口，后端为USB接口。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1.用于测量光强度在一段直线区间上的分布。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2.通过USB接口直连计算机采集数据，无需外接数据采集器。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3.支持USB2.0、USB3.0通讯协议。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4.传感器含有与实验器材搭建的M6接口。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1.量程：125点/mm，总长29.1mm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2.精度：8μm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3.分辨率：8μm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杨氏双缝实验实验、光的偏振等实验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无线智能电荷传感器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荷传感器无需连接数据采集器，通过蓝牙或USB直连电脑、手机或平板等终端可直接进行数据采集，在终端上显示被测物的电荷量QLKJ，绘制电荷-时间图像。可脱离终端而独立地记录所探测到的实验数据并加以保存，并随时供下载和分析。  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主体正面有电荷调零按钮、电源按钮、电源和蓝牙指示灯、传感器名称；前端为导线插孔底部有Type-C接口。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1.用于测量带电体的电量。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6.具有硬件调零按钮。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1.量程：-220nC~220nC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2.精度：4.4nC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3.分辨率：0.1nC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4.最大采集频率100次/秒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静电感应、静电屏蔽、带电物体的电荷性质等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无线力倾角传感器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力倾角传感器可同时测量力的大小与传感器的偏转角度，当对传感器钩子施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加拉力或推力时，传感器可显示力的正值或负值，当传感器钩子保持在竖直方向时，测到的倾角为零，传感器偏转后，可测得相应的角度值。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在实际应用中，一般可与矢量力盘配合使用，能完成力的合成与分解实验。  一、规格：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量程：-20N～20N/-180°～180°（绝对值显示）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分度：0.01N/0.03°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 力的合成和分解</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无线智能相对压强传感器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相对压强传感器无需连接数据采集器，探头与传感器一体设计，通过蓝牙或USB直连电脑、手机或平板等终端可直接进行数据采集，在终端上实时显示并记录相对压强的变化，绘制相对压强-时间图像。可脱离终端而独立地记录所探测到的实验数据并加以保存，并随时供下载和分析。               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由传感器主体正面有电源按钮、电源和蓝牙指示灯、传感器名称；底部有Type-C接口，前端是鲁尔公接头，可连接软管等多种附件接入环境中进行测量。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1.用于测量大气环境下于被测量空间内的气体的压强差。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6.可实现校准功能。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1.量程：-20kPa~20kPa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2.精度：±5%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3.分辨率：0.01kPa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流体压强与流速的关系</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无线智能微电流传感器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微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1.用于测量电路中的微电流。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1.量程：-10μA~10μA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2.分辨率：0.01μA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3.精度：±5%F.S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4.采样速率：蓝牙：1000次/秒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探究导体在磁场中运动时产生感应电流的条件、地磁场发电等实验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无线智能三轴磁场传感器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三轴磁场传感器无需连接数据采集器，通过蓝牙或USB直连电脑、手机或平板等终端可直接进行数据采集，在终端上实时显示并记录三维方向的磁感应强度并可绘制图像。也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由传感器主体和前端磁场探头连接构成。主体正面有电源按钮、电源和蓝牙指示灯、传感器名称；背面有蓝牙编号；底部有Type-C接口；在探头前端有标定的X/Y/Z方向标记。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1.用于测量X、Y、Z三个正交方向的磁场强度值。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6.可测量地磁场、永磁体、通电线圈的磁感强度。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1.量程、分辨率、精度：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档位1：x轴 量程：-50G~50G、分辨率：0.015G、精度：±0.01G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y轴 量程：-50G~50G、分辨率：0.015G、精度：±0.01G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z轴 量程：-50G~50G、分辨率：0.015G、精度：±0.01G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档位2：x轴 量程：-1300G~1300G、分辨率：1G、精度：±10G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y轴 量程：-1300G~1300G、分辨率：1G、精度：±10G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z轴 量程：-1300G~1300G、分辨率：1G、精度：±10G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2.采样速率：100次/秒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3.连续使用时间：≥20小时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5.可充电锂电池，电池型号：3.7V 150mAh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探究磁场的方向、探究通电螺线管外部的磁场分布、电磁铁的磁性等实验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物理无线智能传感器配件盒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包含：磁吸多管夹（1个）、无线智能产品软胶固定件（1个）、miniUSB线（2根）。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物理无线智能传感器收纳箱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手提式箱式设计，可翻盖，采用ABS材质，外形尺寸（长宽高）：437mm*327mm*170mm（两箱叠加高度H=330mm），最大承重：30-35公斤；箱体底部设有底部凸起lzq，与上部设计凹槽相互咬合，通过独特的纽扣式锁止机构，实现箱子与箱子之前的锁合，可多个垒叠放置，便于携带和搬运，最多可垒5箱。</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胡克定律实验器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实验器主体（含面板、铁架台、传感器固定座）、弹簧组件（内置拉力限量和弹力系数不同的5个弹簧）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1.用于探究弹簧的伸长特性、弹簧伸长量与弹力的关系等实验。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2.配合力传感器和位移传感器使用可得到准确的数据，并在Windows、Android、iOS/iPadOS、MacOS、 Linux、Harmony OS、统信UOS、麒麟等系统终端上实时呈现数据，实验结果明显。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3.面板标有刻度，学生使用过程中可根据刻度计算，加深学生对实验的理解。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4.实验器具有传感器固定座，与传感器适配性高，搭建简单，减轻器材准备负担，满足演示及分组实验，让课堂教学高效。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5.提供5个弹力系数不同的弹簧，可探究弹性系数对弹力的影响。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6.通过移动终端扫描仪器上的二维码可浏览该仪器配套的实验指导和使用说明。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弹簧的伸长特性、研究弹簧伸长量与弹力的关系等实验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螺线管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环形线圈、接线柱、透明亚克力支架板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1.用于测量通电螺线管内部的匀强磁场，探究电流大小和线圈匝数与螺线管内部磁场强度的关系。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2.亚克力支架板方便放置小磁针，探究通电螺线管磁感线及磁场方向，并在Windows、Android、iOS/iPadOS、MacOS、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3.环形线圈内部预留较大空间方便探究螺线管内部磁场特性。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4.线圈绕制在圆环上，匝数均匀，磁场稳定。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测量通电螺线管内部的匀强磁场、探究通电螺线管磁感线方向等实验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电学实验板 (17块)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种实验电路板（含RC/RL移相、半波整流与滤波、全波整流与滤波、电容器充放电与串并联、LC振荡、欧姆定律、导体的伏安特性、补偿法测量电池电动势、限流法测灯泡的伏安特性、分压法测灯泡的伏安特性、自感现象、电池电动势与内阻的测量、电阻的串并联、电源输出与负载的关系、伏安法测电阻、电磁感应现象、传感器简单应用）、隔离柱、香蕉头导线*12、鳄鱼夹*6、9V电池、小灯泡若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1.用于电学类实验，如电容器充放电与串并联、LC振荡、欧姆定律、导体的伏安特性、补偿法测量电池电动势等。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2.集成电路，实验方便快捷。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3.插拔式接线口，接线简便牢靠，实验稳定。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4.适配电学类传感器测量数值并在Windows、Android、iOS/iPadOS、MacOS、 Linux、Harmony OS、统信UOS、麒麟等系统终端上实时呈现，也可接入指针式电表，满足数字化和传统不同形式实验教学要求，实验设计灵活。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5.实验丰富，基本涵盖电学类初高中分组及演示实验。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RC/RL移相实验、整流与滤波（半波、全波）实验、电容器充放电实验、LC振荡电路探究实验、欧姆定律、导体的伏安特性实验、测量电池电动势实验、限流法测灯泡的伏安特性（限流、分压）实验、自感现象探究实验、测量电源的电动势和内阻实验、电阻的串并联实验、电源输出与负载的关系实验、伏安法测电阻实验、电磁感应现象探究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牛顿第三定律实验器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底板部件、磁铁部件（N极2个、S极1个）、滑块部件、连接杆部件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1.用于牛顿第三定律实验。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2.底板部件与滑块部件可保证两个作用力在同一直线上受力，配合两个力传感器，测得两个力的具体数值和变化趋势，并在Windows、Android、iOS/iPadOS、MacOS、 Linux、Harmony OS、统信UOS、麒麟等系统终端上实时呈现数据，实验规律明显。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3.通过更换力传感器间的连接装置磁铁部件或连接杆部件，可探究非接触性力或接触性力下的的相互作用和牛顿第三定律。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4.专用软件可描绘出力的变化曲线，并进行“映像”使两个力分布与轴线两侧，利于学生理解力的相互作用原理。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5.通过移动终端扫描仪器上的二维码可浏览该仪器配套的实验指导和使用说明。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力的作用是相互的、牛顿第三定律等实验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压缩气体做功实验器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支架、注射器（100mL）、橡胶管、快速温度传感器探头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1.用于压缩气体做功实验，探究一定质量的气体被压缩时的温度变化。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2.缓慢推动注射器活塞，配合快速温度传感器测量注射器内部空气温度变化，在Windows、Android、iOS/iPadOS、MacOS、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3.通过支架固定注射器，避免人手与注射器直接接触，有效减小热传递导致的实验误差。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4.快速温度传感器探头直接测量注射器内部温度，测量数值科学准确。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一定质量的气体被压缩时的温度变化等实验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水凝固与冰熔化实验器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制冰器（含散热器）、试管（φ12mm、75mm）、水槽、电源适配器、注射器、硅胶管、胶头滴管、玻璃棒、快速温度传感器探头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1.用于探究水的瞬间结冰与冰熔化的规律及图线。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2.制冰器将试管内水的热量传递至水槽中的冰水混合物，实现持续降温，配合传感器得到水凝固与冰熔化的温度变化曲线，在Windows、Android、iOS/iPadOS、MacOS、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3.金属围挡设有观察口，保证制冰效率又可完整观察水凝固冰熔化的全过程。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4.通过注射器及胶管抽动水槽中的水使其热量散布更均匀。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水凝固与冰熔化的规律等实验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电阻定律实验器Ⅱ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亚克力底座、镍铬丝（0.2mm）、镍铬丝（0.4mm）、镍铬丝（0.6mm）、锰铜丝（0.6mm）、铁铬丝（0.6mm）、夹式测试钩1对（带4mm插孔钩）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1.用于电阻定律实验，探究电阻的材料、长度、横截面积对导体电阻大小的影响。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2.电阻定律实验器配合电源、电流传感器，通过传感器测得的电流大小来比较接入的金属丝电阻大小，在Windows、Android、iOS/iPadOS、MacOS、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3.夹式测试钩可自由选择接入金属丝的长度，探究导体长度对电阻的影响。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4.提供三种材料相同，直径不同的金属丝，便于探究导体横截面积对电阻的影响。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5.提供三条直径相同的材料不同的镍铬丝、锰铜丝、铁铬丝，探究导体材料对电阻的影响。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6.底座标有刻度及金属丝的名称和直径，并在每条金属丝下方标有长度标记，可直接读出长度数值。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7.通过移动终端扫描仪器上的二维码可浏览该仪器配套的实验指导和使用说明。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探究电阻的影响因素等实验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阿基米德原理实验器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升降铁架台、电子称托盘组件、重物、溢杯1个、量杯2个、手紧螺丝2个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1.用于阿基米德原理实验，探究浸在液体中的物体所受的浮力的大小等于被物体排开的液体所受的重力。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溢流法，学生容易理解，配合上下两个力传感器，可直接测量物重和排开水的重力，软件自动记录和计算重物所受浮力与排开水重力进行对比，并以数值、表格、图形等形式在Windows、Android、iOS/iPadOS、MacOS、 Linux、Harmony OS、统信UOS、麒麟等系统终端上实时呈现数据，数据采集精确。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3.升降铁架台采用齿轮式升降结构，重物下降平稳，有效减小实验误差。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4.重物采用流线体构造，有效减小水面张力等因素对实验结果的影响。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阿基米德原理等实验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小车导轨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微型L型支架1个、多功能导轨1个（1.2m）、动力学小车1个、L型支架2个、宽L型支</w:t>
            </w:r>
            <w:r>
              <w:rPr>
                <w:rFonts w:hint="eastAsia" w:ascii="微软雅黑" w:hAnsi="微软雅黑" w:eastAsia="微软雅黑" w:cs="微软雅黑"/>
                <w:i w:val="0"/>
                <w:iCs w:val="0"/>
                <w:color w:val="000000"/>
                <w:sz w:val="18"/>
                <w:szCs w:val="18"/>
                <w:u w:val="none"/>
                <w:lang w:val="en-US" w:eastAsia="zh-CN" w:bidi="ar"/>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1.用于动力学为核心的包含位移、时间、速度、加速度等物理量等实验。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小车导轨是一套能完成初高中动力学实验的实验平台，实验器功能多样，配件齐全，轨道预留多种传感器固定孔及光电门固定支架，可搭配位移传感器、分体式位移传感器、光电门传感器等不同组合进行实验，测得小车各类运动数据，并在Windows、Android、iOS/iPadOS、MacOS、 Linux、Harmony OS、统信UOS、麒麟等系统终端上实时呈现数据，支持各类动力学DIY设计实验。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3.专用动力学小车，车轮刀片式设计，与轨道摩擦小，具有弹簧减震结构，有效保证小车在同一平面直线运动。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4.动力学小车预留力钩柱、紧固件螺口、挡光片的专用手拧螺丝接口，可快速安装对应的拉力组件、砝码、挡光片等配件。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5.滑轮及车轮轮轴摩擦力极小，能有效减小轮轴摩擦对实验的影响。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6.导轨采用铝型材，坚固耐用，导轨两侧标有清晰的刻度，可直接读取小车运动距离，导轨面具有小车运动槽，保证小车不脱轨。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匀变速直线运动的位移与时间的关系、借助传感器用计算机测速度、匀速直线运动的位移、匀变速直线运动的速度与时间的关系、探究加速度与拉力的关系、 探究加速度与质量的关系、用两个光电门测加速度等实验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数字化摩擦力实验器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小车控制部件、小车（内置力传感器（-10N～10N），2.0与4.0双模蓝牙模块，1000mAh锂电池）、轨道*2（600mm，含三种不同摩擦面：软木塞面、毛毡面、聚四氟乙烯面）、金属配重块、电源适配器、数据线、蓝牙适配器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1.用于摩擦力实验，探究摩擦面、压力、运动速度、接触面积等因素对摩擦力大小的影响。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2.小车控制部件拉动小车在轨道上匀速运动，通过内置的力传感器测得小车在运动过程中所受拉力的大小，并在Windows、Android、iOS/iPadOS、MacOS、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3.小车控制部件内置可调匀速电机，提供快、中、慢三档速度，具有正转、反转、停止功能；通过切换不同的档位改变小车运动速度，探究运动速度对摩擦力大小的影响。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4.通过翻转小车方式改变接触面积，探究接触面积对摩擦力大小的影响。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5.轨道与控制部件插拔式连接，便于轨道面的快速更换，通过更换不同的轨道面来探究摩擦面粗糙程度对摩擦力大小的影响。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6.通过添加金属配重块的方式改变压力大小，从而探究压力对摩擦力大小的影响。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7.小车控制部件内置位移识别装置，支持轨道末端小车智能停止功能。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8.轨道内置测力识别区域，使测量数据精确。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9.通过移动终端扫描仪器上的二维码可浏览该仪器配套的实验指导和使用说明。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10.可支持有线、无线两种工作方式。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11.配套专用实验软件，预设模板，单次测量自动记录，多次测量自动计算出平均值，以表格和曲线等形式自动记录数据变化情况，实验结果直观明显。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摩擦面粗糙程度、压力、运动速度、接触面积等因素对摩擦力大小的影响等实验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液体吸热研究实验器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远红外加热器（220V 80W）、三脚架、试管架、温度传感器支撑柱部件*2、温度传感器固定环*2、试管*2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1.用于探究不同液体的吸热和散热性能。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2.利用远红外加热不同液体，配合温度传感器测得液体温度的变化情况，在Windows、Android、iOS/iPadOS、MacOS、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3.试管架可同时装入2支试管，控制试管内液体吸热或散热同时进行，保证实验环境相同。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4.支撑柱部件可调节传感器探头位置，控制测温区域相同；固定环可保证温度传感器探头不触碰试管壁。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5.吸热实验结束，将试管架直接取出放在三脚架上可无缝衔接液体散热实验，配合实验专用软件可使吸热和散热实验数据呈现在同一图像上。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不同液体的吸热和散热能力、比较不同物质的吸热情况、温室效应等实验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估测大气压强实验器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针筒、针筒后盖、堵头、金属推拉杆、硅胶垫圈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1.用于估测大气压强实验，利用大气压力和针筒横截面积计算大气压强。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2.实验器拉杆上有螺纹，与传感器适配性好，可直接旋入力传感器，测量大气压力的变化，并在Windows、Android、iOS/iPadOS、MacOS、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3.针筒外壳坚固，不易变形，筒身标有刻度及直径大小，方便进行受力面积计算。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4.一体化设计，实验环境搭建简单，易操作。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5.配套专用实验软件，预设模板，单次测量自动记录，多次测量自动计算出平均值，以表格形式自动记录数据变化情况，实验结果直观明显。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估测大气压强等实验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沸点与压强关系实验器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气路组件、螺口锥形烧瓶（250mL）、铁圈（φ100mm）、石棉网、烧瓶夹、烧瓶夹固定块（转接头）、软管固定组件、不锈钢酒精灯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1.用于探究沸点与压强之间的关系。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2.实验器可配合绝对压强传感器和温度传感器，同时测得水在某个压强下沸腾时温度的大小，并在Windows、Android、iOS/iPadOS、MacOS、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3.气路组件配有泄压阀（泄压阀安全值150±10kPa），压强过高时会自动泄压，实验安全。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4.软管固定组件可保证气路通畅不缠绕，实验环境整洁，加热安全。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5.酒精灯为不锈钢材质，高强度高硬度，经久耐用，灯芯与灯体紧密结合，加注口采用螺口设计，有效防止酒精倾倒造成酒精外流，安全性高。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沸点与压强的关系等实验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焦耳定律实验器（初中）</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面板组件（3Ω电阻丝*2、1.5Ω电阻丝*1、3Ω金属膜电阻*1）、底座组件、杯体组件、传感器固定组件、导线*8</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1.用于探究电流热效应与电流、电阻的关系。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2.电阻丝对应面板位置有传感器插入孔，与传感器适配性高，配合温度传感器，能定量的反映出电流热效应与电流、导体电阻和通电时间的关系，1分钟内即有明显数据变化，并在Windows、Android、iOS/iPadOS、MacOS、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3.双层保温杯体设计，有效防止热量散失，四周透明化设计，可保证温度传感器探头插入的深度相同。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4.采用不同规格电阻丝，并包含插线孔，方便进行开放式的电路串并联设计，鼓励学生动手搭建。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5.底座具有垫脚，稳定防滑。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焦耳定律等实验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手摇地磁场发电机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硅胶电缆、手柄、接线柱、工字绕线轴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1.用于电磁感应中的磁生电，可探究当导线切割地磁场时会产生电流。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2.电缆两端设有接线柱，甩动电缆切割地磁场，配合微电流传感器可探究当导线切割地磁场时电流的变化，并在Windows、Android、iOS/iPadOS、MacOS、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3.手柄可调节电缆甩动长度，可根据实验条件自由调节。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4.工字绕线轴使电缆收纳整洁。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5.一体化设计，实验环境搭建简单，易操作。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磁生电现象等实验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液体内部压强实验器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液体内部压强组件（圆形压强探头、乳胶管、T型宝塔三通接头）、水槽组件、刻度标、U型管、乳胶管夹、传感器接头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1.用于探究影响液体内部压强的因素。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2.水槽组件上贴有刻度标识，配合绝对压强传感器可得到不同水深对应的具体压强数值，并在Windows、Android、iOS/iPadOS、MacOS、 Linux、Harmony OS、统信UOS、麒麟等系统终端上实时呈现数据，实验规律明显，验证液体压强公式。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3.圆形压强探头可0～360°旋转，探究液体内部同一深度各个方向压强的规律。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4.水槽组件上带有U型管，可通过U型管中液面的变化来探究液体内部压强与深度的关系，贴合传统实验。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液体内部压强等实验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流体压强实验器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电机管组件（含风机、三节通风管（粗、中、细不同管径））、支撑座、软管*3（含鲁尔公接头）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1.用于探究流体压强和流速的关系实验。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2.三节不同管径的通风管，按照粗中细异形接通，风机使气流通过通风管，配合相对压强传感器可一次性测得不同流速的流体的相对压强，在Windows、Android、iOS/iPadOS、MacOS、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3.通风管采用三色设计，易分辨。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4.通风管颜色标识与软件一致，可分辨不同流速下压强的大小关系曲线。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探究流体压强与流速关系等实验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摩擦做功实验器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铜管、桌边夹、温度传感器专用孔塞、摩擦棉绳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1.用于摩擦做功使温度升高实验。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2.拉动棉绳摩擦铜管，配合温度传感器可测得铜管内空气的温度，可在Windows、Android、iOS/iPadOS、MacOS、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探究摩擦生热、机械能转化为内能等实验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小车运动实验器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小车导轨型材（由800mm刻度尺、导轨固定夹、光电门固定支架2个、弹簧缓冲装置、末端定滑轮组成）、实验小车、喷塑光滑面导轨1根（800mm）、绒布摩擦面导轨1根（800mm）、砝码3个（10g）、砝码1个（20g）、砝码2个（50g）、龙虾扣3个、砝码桶、钓鱼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1.用于比较物体运动的快慢实验，探究小车运动快慢与拉力、摩擦面、小车质量、小车轮子个数等因素的关系。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2.配合光电门传感器可测得小车的运动速度，在Windows、Android、iOS/iPadOS、MacOS、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3.小车砝码固定杆可同时固定多个不同质量的砝码，可搭配出10种以上不同小车质量的组合，且不影响光电门的正常工作，探究不同质量对小车运动的影响。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4.小车尾部拉杆可一步完成4轮、6轮切换，且不改变小车质量，探究不同轮数对小车运动的影响。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5.砝码桶加入不同质量的砝码，可提供10种以上大小不同的拉力，探究不同拉力对运动的影响。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6.滑轮及车轮轮轴摩擦力极小，能有效减小轮轴摩擦对实验的影响。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7.刀片式车轮设计，与轨道摩擦小。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8.车轮与车体之间有弹簧减震，有效保护小车车轮。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9.导轨固定夹可快速固定或更换轨道。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10.导轨型材自带800mm刻度尺，光电门支架可自由移动且侧面有红色箭头标记，可清晰指示出小车的运动路程。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11.配套专用实验软件，预设模板，单次测量自动记录，多次测量自动计算出平均值，以表格形式自动记录数据变化情况，实验结果直观明显。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小车运动的快慢、测量物体的平均速度等实验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红光外侧热效应实验器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光源主体（内含卤素灯、凸透镜、散热系统、三棱镜固定座）、屏幕主体（内含白屏固定座、铝制光学导轨、凸透镜聚焦系统、快速温度传感器探头）、三棱镜、白屏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1.用于探究红光外侧热效应实验。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2.通过光源主体发射平行光，经三棱镜折射后在白屏上得到一条明显的光的色散图，配合快速温度传感器可测得不同色光区域的温度，在Windows、Android、iOS/iPadOS、MacOS、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3.屏幕主体与光源主体之间做扇形等距移动，保证不同色光测温距离相等，有效降低实验系统误差。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4.光源主体内部卤素灯模拟太阳光光谱，不受光源条件的影响，通电后可随时实验且实验效果明显。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5.配合快速温度传感器，可在2分钟内看到明显的温度变化。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6.终端软件每次计时30秒，保证不同色光都能达到稳定区间后记录温度。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7.搭配采集器可支持有线、无线两种工作方式。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光学平台光路实验套件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f=+100mm砖式凸透镜、f=-100mm砖式凹透镜、梯形透镜、三角透镜、半圆透镜、刻度盘、平面镜、条形凹凸面镜、比色皿、平行激光&amp;面LED一体式光源、线光源制造柱、超声波起雾器、塑料盒、光纤、灯箱及附件。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1.用于完整中学物理光路类实验。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2.平行激光器可手动选择同时显示1、3、5条激光。激光平行度高，显示清晰且均匀。单个激光头功率小于1mW，保证使用者的视力安全。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3.线光源制造柱可以调节激光光线重点的显示区域，保证所研究的区域的光路展示达到最佳效果。能够适应桌面的不平整和各类角度板的厚度。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4.面光源面积大，且出光均匀。面光源带弹片夹，可以固定各类大小、厚度的挡光片，甚至可以同时至多叠放3片挡光片。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5.凹、凸透镜都有具体且准确的焦距数值参数。整个砖式透镜系列的宽度统一，方便协调配合。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6.灯箱提供连续光谱的白光（卤素灯），可以进行色散等实验。灯箱附件提供各类挡光片，实现多种功能。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7.角度盘的尺寸及刻度，都和其他部件完美配合。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1.光的直线传播实验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2.探究光反射时的规律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3.镜面反射和漫反射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4.凹面镜的反射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5.凸面镜的反射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6.从空气到玻璃边界的折射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7.探究凸透镜形成图象的特性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8.凹透镜成像的性质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9.组合透镜的光路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10.近视眼及其矫正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11.远视眼及其矫正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12.用棱镜观察光的射散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13.光谱颜色的重新统一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14.确定凸透镜的焦距</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15.球面像差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16.探究光折射时的特点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17.两种液体之前的边界处的折射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18.全反射和临界角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19.凹面镜的图象构造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20.凸面镜的图象构造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21.凹透镜的图象构造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22.老年人视力退化及其矫正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23.阴影（本影和半影）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24.光纤导光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光学平台成像实验套件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光学导轨（L=60cm）、f=50mm凸透镜、f=100mm凸透镜、f=-100mm凹透镜、凹凸面镜、光屏、半圆光屏、光具座滑块、T型托盘、自由透镜支架、小孔成像实验器、三色混色仪、LED白光手电筒。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1.用于完整中学物理成像类实验。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2.整个套系器材中心位置统一，方便将器材的在实验中所用部分的几何中心，校准到目标光轴上。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3.所配光具座滑块的固定方式，即方便移动，又保证在中学光学实验时，足够稳固可靠。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4.凹、凸透镜，凹凸面镜都有具体且准确的焦距数值参数。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5.小孔成像实验器，挡光片为钢片，配合观察筒前端的磁吸功能，稳定可靠且更换方便。有多片挡光钢片可以替换，可以对比不同形状和不同大小的进光孔对实验现象带来的区别。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6.创新式半圆光屏，实现了既能透光，又能成像，大大优化了凹面镜成像实验的实验操作和实验效果。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7.三色混色仪轻小便携，使用方便。使用贴片光源，避免LED灯自带聚光造成的投射面不均匀的问题。每种颜色可以单独开启，方便进行混色和互补色分析。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1.小孔成像实验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2.探究凸透镜形成图象的特性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3.凹透镜成像的性质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4.照相机成像原理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5.放大镜成像原理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6.显微镜成像原理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7.色光的混合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8.演示凸透镜的汇聚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9.演示凹透镜的发散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10.伽利略望远镜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11.天文望远镜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12.互补色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初中电学模块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一、结构参数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1.外形尺寸：530mm*340mm*165mm，打开方式：扣盖式，最大承重：35公斤，环保型PP料，采用注塑模具一体成型，安全牢固，无锐口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2.箱体颜色:箱体灰蓝色，箱盖透明磨砂，耳扣蓝色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3.箱体内部构造：内部含有内衬，采用珍珠棉填充材料，保证每个器材都有对应的存放位置，便于快速、高效的整理和收纳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4.堆叠方式：实验箱的箱体可多个垒叠放置，最多可垒5箱,箱体自带限位止口，堆叠不会滑动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二、器材清单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池盒*2，红色导线500mm*2,蓝色导线500mm*2，红色导线250mm*2，蓝色导线250mm*2，鳄鱼夹*10，连接插头*2，直导线模块*4，直角导线模块*4，250Ω电位器模块*1，单刀单掷开关模块*2，小灯泡底座模块*2，中断连接器模块*2，连接模块*2，带插座的直角连接器模块*2，带插座的直式连接器模块*2，50Ω电阻模块*1，T型导线模块*2，1.5V小灯泡*2，6.2V小灯泡*2，5号电池*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三、功能和应用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可完成实验：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1.电位器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2.探究串联电路中用电器两端的电压与电源两端电压的关系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3.探究并联电路各支路用电器两端电压与电源两端电压的关系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4.用伏安法测量电阻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5.测量小灯泡的电功率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6.电压的测量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7.电流的测量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8.简单电路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9.电源的并联和串联连接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10.电源的内阻</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箱</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AI融创中心</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1.桌面：采用实木制作，木纹通达清晰，木质坚韧，结构稳固，具有耐磨.耐压.耐撞击等优点。所有实木均要进行蒸汽脱脂干燥处理，含水量≤12%，做到不开裂翘曲和虫蛀防腐。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2.柜体：采用E1级多层板，加厚框架，甲醛含量小于等于1.5mg/L。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面层为实木实木皮，斜切拉手，四周拐角倒圆处理，新型暗藏式金属成品连接件，成品光滑无毛刺，结构严谨，做工细腻。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油漆：面漆/底漆均采用环保用漆；封闭漆工艺五底三面，经打磨喷涂处理，硬度、丰满度、附着力、手感等好，漆面光亮平整，木纹整洁交错，油漆无颗粒、气泡、粗点，颜色均匀。透明度好.硬度高.耐磨性好；色泽柔和持久耐腐蚀手感良好；耐弱酸碱.耐腐蚀性.耐油性.耐湿热性良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导轨：三节导轨采用高强度钢珠，制造工艺精良，滑动自然流畅。抽屉可通过防滑保护件与滑轨直接分离，安装与拆卸抽屉十分方便。耐腐蚀要求：18小时，1.5mm以下锈点小于等于20点/dm2,其中大于等于1mm锈点不超过5点（距离边缘菱角2mm以内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柜内配置机箱散热孔，桌面配置隐蔽式电源盒；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尺寸：2400*1600*100mm采用实木，环保，安全;木质坚韧，结构稳固；具有耐磨.耐压.耐撞击等优点；中间金属架支撑，稳固安全。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边柜1</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8450*600*800mm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1.台面：人造石，主要由天然粘土、二氧化硅及长石粉等无机氧化物经高压压制后高温烧制而成。环保，安全，同时质地坚硬，不易变形，具有易清洁，耐高温，防火等优点。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表面纹理清晰自然纹理色泽通透，保留天然石材气孔，触感细腻。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采用E0级免漆板，甲醛含量小于等于1.5mg/L，四边采用PVC封边条机械封边。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配套水槽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600*420*300mm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采用白色陶瓷一体成型，具耐酸碱.耐有机溶剂.耐紫外线等特点。水槽外延与台面底部粘合一体成型，水槽底部钢架支撑，台面无水槽接缝，洁净卫生易清洁。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学生拼接桌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1783*2030*640~790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台面：采用12.7mm厚双面膜耐腐蚀实芯理化板制作，表面使用特殊树脂处理，具有耐酸碱，耐刮磨、耐冲击、耐水、耐高温，易清洁保养等特点，台面加工采用CNC雕刻工艺，为确保安全，台面四角倒R20圆角,上下边沿倒R2圆角，避免划伤风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桌架：桌腿采用分段式设计，尺寸是550*90*（627-777），组装后宽度是常规桌腿的两倍左右，结构稳固；桌腿以铸铝浇注而成，壁厚5MM,内部合理布置加强筋，部件采用金属钣金连接固定，厚重沉稳，中间横梁则用铝型材做为主要材料；桌架采用高温静电粉末喷涂的表面处理工艺，涂层光滑均匀，色泽一致，无流挂、疙瘩、皱皮，飞漆等缺陷，硬度高，耐冲击强、耐腐蚀，外桌架所有部件边沿倒角皆大于1MM，采用金属紧固件紧密连接，结构稳固性强，产品的结构安全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升降：产品可以以每档30mm间距从640mm高度调至790mm高度，桌腿以滑轮为实现升降功能的结构，搭配气弹簧和滑轮插销，使得升降操作简单，顺畅，采用定制气弹簧，长度325±2MM，行程150MM，采用液压和气压组合方式，活塞杆镀硬铬，使得升降更加平缓，均匀，耐用性更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台面挡边：台面挡边采用铸铝工艺，拼缝少且小，两头无需装饰收口盖，较传统挡水更加美观，整体，品质升级；挡水和台面采用螺丝紧固的方式，抗冲击性强，更加牢固耐用，表面采用高温静电粉末喷涂的处理工艺，漆面坚硬，环保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凳子挂架：桌架横梁下配置凳子挂架，挂架采用一体式设计方案，既解决了凳子的收纳问题，便于打扫卫生，又增强了桌架结构的稳定性；挂架采用4MM厚冷轧碳素钢板，承重强，不易变形，挂板倾斜式设计，桌子有轻微晃动，凳子也不易滑落，确保安全，稳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置物挂钩：桌架两侧配置隐蔽式书包挂钩，内置反弹机构，需要时拉出，不用时可自动归位，美观，安全，避免了外置挂钩的安全隐患问题；挂钩采用5MM厚冷轧碳素钢板，承重强，不易变形，面采用高温静电粉末喷涂的处理工艺，漆面坚硬，环保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乐学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边柜2</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8600*600*800mm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1.材质：采用E0级免漆板，四边采用PVC封边条机械封边。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导轨：三节导轨采用精选高强度钢珠，制造工艺精良，滑动自然流畅。抽屉可通过防滑保护件与滑轨直接分离，安装与拆卸抽屉十分方便。耐腐蚀要求：18小时，1.5mm以下锈点小于等于20点/dm2,其中大于等于1mm锈点不超过5点（距离边缘菱角2mm以内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柜内配置机箱散热孔，桌面配置隐蔽式电源盒；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实践操作台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1、规格：2400*1200*780mm；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台面为40mm厚橡木齿接板材无结疤、无裂纹。油漆处理：底层打磨刷底漆，3遍找平点涂处理，表面经过环保漆喷涂，亚光永不退色。保养处理：经过打蜡特殊处理，防止虫蛀，腐烂，开裂。桌面铺设水晶防护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台身：主框架为钢制框架立柱60*40mm厚度1.2mm横梁采用40*40mm钢架厚度1.2mm；钢材框架表面经酸洗、磷化、环氧树脂高温固化处理具有耐腐蚀、耐高温等特点，桌体主板采用E1级16mm防潮三聚氰胺双面贴板，其截面由PVC封边带利用德国进口机械高温热熔胶封边，密封性好，外形美观经久耐用。桌身带抽屉，和独立工具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4、滑轨：阻尼三节滑轨。手抽:一字型，表面有光滑防腐涂层。外形美观、经久耐用。组装接缝严密，连接牢固，无松动现象。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5、固定脚：采用ABS工程塑料模具成型制作而成，具有高度可调、耐磨、防潮、耐腐蚀等特点。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250*350*450mm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1、规格：≥250*350*450mm；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2、材质：凳面采用≥18mmE1级三聚氰胺板板制作，凳面区别于传统PVC条封边,四角做圆角处理，凳面经进口注塑机高温ABS塑料颗粒注塑一次成型包边；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3、凳腿：≥25*25*1.2mm横梁 ≥20*20*1.2mm方管焊接；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4、脚垫：采用ABS耐蚀注塑专用垫，可隐蔽固定，并且可以有效防潮，延长设备寿命；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5、工艺：钢制部分必须经过静电喷塑酸洗磷化制作而成。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1、规格：1200*600*750mm：组合式设计，上部为2个抽屉，下部为对开门；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钢木结构。①台面为40mm厚硬实木齿接板材表面涂环保亚光清漆；②桌面铺设2mm厚水晶防护垫，耐酸碱防腐蚀、耐磨抗污抗冲击，有效减少噪音污染；③台身：立腿采用规格不小于40×60mm、壁厚不小于1.2mm金属型材经喷塑处理,材质16mm厚环保型三聚氰胺板,截面用PVC封边条机械封边；④桌脚下配可调节地脚，嵌入式防水电源插座220V五眼（有安全防护盖及开关）。</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展示柜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1000*400*1800mm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1、规格：1000*400*1800mm；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2、柜身：木质；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3、结构：下部木制对开门，内设一层隔板，上部板式镶嵌玻璃对开门，内部分二层隔板，整体结构科学合理、造型美观。</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1200*450*900mm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1.尺寸：板式：W1200*D450*H900mm；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2.材质：颗粒板；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3.工艺：采用 E0 级板，厚度不小于 25/18mm,基材采用颗 粒板，面贴三聚氰胺纸，PVC 直封边制作；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4.功能：配置 PE 收纳盒，可收纳各种教学用具。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防护套装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1、含围裙、护目镜、手套、套袖、工作帽等。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防护套件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1、铝合金材质，常用防护用品不少于8件。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环创文化布置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1、外框美观大方，四角为弧度角，有效防止四角尖锐易刮伤人；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2、底板高级模具注塑而成，防水性能好，可用于室内外；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3、经最新专业设计，框身备有螺丝,安装、换画非常方便；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4、外框ABS注塑成型，无拼接；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5、材质：有机玻璃板；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6、规格尺寸：≥500mm×700mm，共6幅。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工具展示墙</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1、规格：≥4500*900mm；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2、材质：原木色冷轧钢板+喷塑烤漆，1.4mm加厚钢板；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3、配套单直挂钩40个，圆形挂钩4个，U型挂钩4个，螺丝刀架4个；零件盒组件8套，锯用挂钩4套，置物层板（钢制）4个。</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智能系统控制柜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500*200*1250mm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规格：≥500mm×200mm×1250mm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智能控制柜：内置总电源开关1个，漏电保护器1个，电源保护器1个，单片机控制器及功能扩展模块1套，单片机保护模块1个、急停控制系统1个，工作指示灯系统1套，分组控制系统2套（电源控制系统、照明控制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（1）电源控制系统：可以对220V进行控制，可以单独进行控制，进行单选、全选、反选，分组进行控制；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（2）照明控制系统可以对照明进行控制，可以单独进行控制，进行单选、全选、反选，分组进行控制；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（3）智能摇臂控制系统：可以对摇臂进行控制，可以单独进行控制，进行单选、全选、反选，分组进行控制；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顶装智能控制平台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集中控制系统。可执行各分项分页控制。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照明控制：控制顶装照明。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电源控制：控制学生AC220V电源和低压电源。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摇臂控制：控制摇臂升降。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远程控制系统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1、APP登入有网络注册功能，注册后登入系统操作，使用者忘记密码方便找回，同时方便升级系统，带来新的体验。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2、能使用APP能控制总电源关闭；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3、APP能显示当前温度、相对湿度及当前时间；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4、使用APP能控制学生低压电源的交流电压，且电压值为实测值。如APP给学生交流3V，学生电源电压实测电压为3V；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5、使用APP控制电光源开启与关闭，同时可以扩展功能（监控布防、空调控制等等）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温湿度监视系统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内置精密温湿度传感装置，实时监控房间内的温度和湿度，保障室内舒适的环境舒适性，能在智能控制平台中实时显示当前环境的温度和湿度。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顶部多模块电源供应装置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DN238*110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DN238mm*110mm，外壳采用ABS材质，模具一体成型。防误操作系统，两片多功能金属盖，当工作状态或者接入设备时，金属盖为打开状态，电源无法上升，防止误操作，不会造成拉坏设备及实验桌上的仪器摔坏；当功能金属盖关闭时，电源可以升起收纳。模块内预留220V高压电源、0-24V低压电源、网络接口安装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顶部多模块电源供应装置技术要求满足：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（1）标志：调节装置、输出插孔应有清晰明了、耐用的提示文字和符号；电压输出应能显示在电压表上；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（2）电压调节范围:AC\DC:0～24V;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（3）内部导线连接：连线后应无应力；黄绿双色线必须是接地端子，部件固定牢固，无松动现象。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（4）电压指示精度，V:显示值与输出值之间的误差应在±2V以内；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模块储藏装置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DN390*140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采用ABS材质，模具一体成型。中间部分尺寸≥DN390mm*140mm，设计为飞碟式造型，材质为塑钢结构。当下部分电源不使用时，可收纳为一体。收纳舱和四周均带有氛围灯。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电源供应模块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带有1个USB接口电源、220V插座2个、网络接口1个。低压1.5-24V直流电源两组输出，输出电流为2.5A。低压0-24交流电源，两组输出，输出电流为2.5A；两组输出口为分开，方便两组学生操作相互不干扰，其中低压交直流、220V输出为被教师主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电源供应模块技术要求满足：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1、标志：调节装置、输出插孔应有清晰明了、耐用的提示文字和符号；直流电压输出应能显示电压；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2、电压调节范围，V：AC/DC:0～24V；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3、内部导线连接：连线后应无应力；黄绿双色线必须是接地端子；部件固定牢固，无松动现象；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4、电压指示精度，V：显示值与输出值之间的误差应在±2V以内。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学生端调节终端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带两块不小于DN50mm尺寸面板，供学生调节使用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1、数字仪表盘用于展示学生电流电源；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2、采用面板上的数字按键进行电源电压的调节；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3、采用面板上的数字按键微调电源距离，当调整完成后，教师主控能锁定，使学生不能随意调整；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伸缩线束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含高低压供电线缆和网络线缆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智能升降系统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575*390*150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外部舱体为高强度镀锌钢板制作，尺寸≥575mm*390mm*150mm，表面环氧喷涂,喷涂厚度≥75μ,内置24V电机、控制电路、卷线机构。电缆线内设有两路网线及电源线若干,两侧设有高度调节挂件，调节高度350mm，适合不同高度房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2、内置控制模块接受主控信号，发送输出信号。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48口接入交换机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1.交换容量≥432Gbps，包转发率≥87Mpps；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2.48个10/100/1000Base-T以太网端口，4个千兆SFP；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3.支持ARP表项≥4K；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4.支持RIP、RIPng、OSPF、OSPFv3路由协议；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5.支持DHCPv6 Snooping，DAI，SAVI等安全特性；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6.支持以太网环网保护协议ERPS，故障倒换时间≤50ms；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7.交换机支持音视频业务的智能运维，基于增强型媒体传输质量指标（Enhanced Media Delivery Index，eMDI）特性；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8.配置本项目需要千兆模块。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综合布线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国标</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2.5mm²电线，给学生低压电源供电；1mm²屏蔽电源线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安装支架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国标</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环氧树脂喷涂金属吊杆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间</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安装辅件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五金件（不含桁架）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间</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顶装系统集成调试</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顶部设备整体安装，系统整体调试，包含升降功能、高低压电源系统调试、网络模块系统调试、USB接口调试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双喷嘴3D打印机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1、成型技术：熔融沉积成型；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2、机身最大尺寸(长×宽×高)不低于492×514×626 mm³，净重约31 kg，最大打印尺寸(长×宽×高)：单喷嘴模式不低于325×320×325 mm³、双喷嘴交集模式不低于300×320×325 mm³、双喷嘴并集模式不低于350×320×325 mm³、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3、框架为铝材和钢材构成，外壳为塑料和玻璃构成；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4、工具头：全金属热端、硬化钢挤出机齿轮、硬化钢喷嘴，内置工具头切刀，喷嘴最高温度不低于350 ℃、喷嘴直径自带0.4 mm，可选0.2 mm，0.6 mm，0.8 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5、机器标配双面纹理PEI打印面板，可扩展光面打印面板，热床最高温度不低于120℃；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6、工具头最大移动速度不低于1000 mm/s，工具头最大移动加速度不低于20000 mm/s²，热端最大流速不低于65 mm³/s；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7、支持耗材类型：PLA、PETG、TPU、ABS、ASA、PVA、PET、尼龙线材（PA)、聚碳酸酯线材（PC)、PPA-CF/GF、PPS、PPS-CF/GF、碳/玻璃纤维增强线材及相关支撑隔离材料等；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8、支持热端快拆、主动振动补偿、全自动双喷嘴偏移校准、自动热床调平；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9、配备三摄像头计算机视觉系统，实现高精度打印，支持AI首层检测、炒面检测；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10、配备喷嘴摄像头、工具头摄像头，支持开门检测；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11、支持断料检测、缠料检测、断电续打，具备监控打印机状态的健康管理系统；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12、自带空气过滤系统，支持自适应空气循环，配备椰壳活性炭滤芯，初级过滤等级G3，HEPA滤网等级H12；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13、支持主动腔热控制，多传感器闭环温控，最大加热腔温不低于65℃；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14、配备触摸显示屏，屏幕尺寸≤5英寸，内置高清相机，支持实时监控及延时摄影；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15、支持通过触摸显示屏、手机端APP、电脑端应用三种操作界面控制；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16、配备全闭环控制风扇系统，确保打印的高质量和可靠性；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多色3D打印机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1、成型技术：熔融沉积成型；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2、机身最大尺寸(长×宽×高)不低于386×389×458 mm³，净重约12.95 kg，最大打印尺寸(长×宽×高)不低于256×256×256 mm³；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3、钢材框架，外壳为塑料和玻璃构成；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4、工具头：全金属热端、钢材挤出机齿轮、不锈钢喷嘴，内置工具头切刀，喷嘴最高温度不低于300 ℃、喷嘴直径自带0.4 mm，可选0.2 mm，0.6 mm，0.8 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5、机器标配双面纹理PEI打印面板，可扩展低温打印面板、光面打印面板、高温打印面板，热床最高温度不低于100℃；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6、工具头最大移动速度不低于500 mm/s，工具头最大移动加速度不低于20000 mm/s²，热端最大流速不低于32 mm³/s；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7、支持耗材类型：PLA、PETG、TPU、ASA、PVA、PET、尼龙线材（PA)、聚碳酸酯线材（PC)、ABS材料及相关支撑隔离材料等；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8、支持主动振动补偿、全自动平台校准、自动热床调平，半自动皮带张紧；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9、支持断料检测、缠料检测、断电续打，具备监控打印机状态的健康管理系统；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10、支持耗材用量检测，支持多色打印，最多支持不少于16色；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11、配备操作显示屏，屏幕尺寸≤2.7英寸，内置低帧率相机，支持延时摄影；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12、支持通过操作显示屏、手机端APP、电脑端应用三种操作界面控制；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13、配备冷却风扇系统，通过闭环控制来确保打印模型、打印机热端和主板的散热；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14、支持Wi-Fi通讯、蓝牙通讯；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3D打印耗材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PLA耗材一批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多功能水冷智能数控雕刻机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595*630*580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1、产品外观尺寸：≥595mm*630mm*580mm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2、加工尺寸：≥50×180mm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3、加工精度：0.02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4、本机特点：全封闭隔音设计噪音；正面采用亚克力可视设计，可清楚观测加工过程；亚克力超大上翻门便于操作。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5、机身材质：设备主体材质为镀锌钢板，采用钣金加工工艺，亚克力静音盖工艺，机器整体强度高、重量轻。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6、控制系统：高性能脱机工业级数控雕刻机系统，7寸大屏，17个物理按键，嵌入式高性能控制系统。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7、主轴参数：220V/800W/24000转水冷主轴；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8、主轴控制：内置变频器，无极调速。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数控雕刻机操作软件: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1、软件为本公司数控系列产品专用软件。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软件支持多种格式的图形数据输入输出:其中支持AI、DXF、EPS、GBR、PLT二维图形格式，支持BMP、JPG、POX、PNG、TIF点阵图像格式，支持TXT文本格式，支持3B、ENG、DRL、NC、DAT加工数据格式，支持IGS、STL、WRL三维曲线曲面格式，支持JDP文件格式的输入;支持3B、AI、DXF、BMP、PLT、IGS、DAT文件格式的输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软件操作级别可控，简单与复杂并重:其中针对不同的数控课程，对应课程主题，随附16个主题课程资源包，满足日常32课时教学需要，随附的资源包用以支持自动获取数据进行加工和自动导入图形导出加工数据加工操作;支持简单平面图形设计建模、曲面图形设计建模及复杂图形设计建模:支持自定义图层设置与加工工艺个性化设置;支持多样化数控加工刀具选择:支持加工图形步长值选择与个性化加工起始点拾取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4、软件支持中文、英文等多种语言选择。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5、软件支持多种路径优化算法，其中包括最短路径、最优路径、自定义路径等选择功能。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6、软件操作界面直观、清晰: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其中视图操作支持平移、缩放、导航等功能;模型操作支持位图转浮雕、调整步长、截取模型等功能:雕塑操作支持堆料、去料、区域浮雕、虚拟雕刻等功能;效果操作支持磨光、马赛克、纹理填充等功能:几何操作支持圆、矩形、三角形等简单几何图形绘制和自定义图形绘制操作;刀具路径操作支持路径向导、刀具库、加工模拟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台式激光切割机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1、激光功率 60W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2、工作电压 220V±10% ,50/60Hz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3、工作幅面 600mmx900mm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4、工作平台 蜂窝平台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5、平台升降尺寸 电动升降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6、平台升降方式 电动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7、升降高度 25CM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8、最大雕刻速度 0--30000mm/min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9、最大切割速度 0-3600mm/min　(视材料) 红光定位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10、最大切割厚度(60W) 0-1.5CM(视材料和瓦数而定)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11、定位精度 &lt;0.01mm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12、最小雕刻尺寸 形成文字：汉字 1.8mm  英文 0.8mm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13、精度  0.0125mm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14、控制方式 DSP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15、通信接口 USB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16、系统环境 WINDOWS XP/Win7/8</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17、支持格式 BMP,PLT,AI,CDR,DXF，支持软件：CorelDRAW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18、冷却方式 水冷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19、裸机重量约：100kg  包装重量 115kg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桌面式激光雕刻机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技术参数：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激光功率：CO2 60W玻璃管，金属激光器30W/60W波长：10640nm；有效加工面积：500*300mm。光路：飞行光路；定位精度：±0.05mm，重</w:t>
            </w:r>
            <w:r>
              <w:rPr>
                <w:rFonts w:hint="eastAsia" w:ascii="微软雅黑" w:hAnsi="微软雅黑" w:eastAsia="微软雅黑" w:cs="微软雅黑"/>
                <w:i w:val="0"/>
                <w:iCs w:val="0"/>
                <w:color w:val="000000"/>
                <w:sz w:val="18"/>
                <w:szCs w:val="18"/>
                <w:u w:val="none"/>
                <w:lang w:val="en-US" w:eastAsia="zh-CN" w:bidi="ar"/>
              </w:rPr>
              <w:t xml:space="preserve">复定位精度： 0.05mm，最高空行速度：400mm/s；传动形式：XY向直线导轨+3M同步带；Z轴升降激光头（数字对焦）：升降高度25mm；抽风装置：侧下抽风；供电系统： 220VAC/50HZ，总功率：&lt;350w；整机尺寸：1140mm x 540mm x 295mm，整机重量： 55Kg；工作环境：温度 5-40℃  湿度：5-80%；数控软件系统：RDWorksV8，机器支持网络端口、USB端口及WIFI；支持的操作系统:Windows XP/win7/8/10；控制方式：触摸按键及手机APP控制。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水冷系统参数（内置）：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风冷+散热器，工作电压：直流24V/20W，最大扬程：5M 水流量：1100L/H，水箱容量：5L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气泵参数（内置）：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电压：交流220V/16W 排气量：50L/min  噪音：≤48dB 气压：≥0.05Mpa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吸风/过滤系统参数（外置连体可拆分）：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额定电压：直流24V/62W，风量：280㎡/H，噪音：≤38db，交流220V120W，风量：5.5㎡/Min，噪音：≤55db，过滤处理：过滤网+活性炭+UV臭氧。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保护措施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激光水流保护、开盖保护、抽屉保护。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随机附属配件：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工具箱、用户说明书。保修卡 用户手册。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激光操作软件：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*软件为专用操作软件，支持BMP、GIF、JPGE等图片格式；支持PLT、DXF、DST、CDR、DWG、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AI等矢量格式。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*支持制作图形，以及输出加工数据功能。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*简单易操作，自动导图设定加工速度和功率。设置切割及雕刻可按图层同时进行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*支持手动加桥位和凸台以及孔位功能，操作非常方便。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*支持多国语言方便选择，包括：中文简体，中文繁体，英文，日文，等等。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*支持断点续雕（断点续切）功能，在发生断电或意外关机时恢复后，可以继续之前的工作。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*支持引线切割功能。软件会对图形自动添加引线，得到更好的边角切割效果。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*支持螺距补偿和皮带自动补偿功能。在产生机械误差或者小图形不闭合的情况下，使用软件自动补偿可以解决问题。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*支持多种路径优化算法，包括最短路径，以及方便收料的Z形路径算法。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*具备阵列排版功能，以及最优排版功能，能够节省材料。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*支持穿孔功能。同时支持小园转穿孔功能。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*支持撤销操作功能。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视图操作功能，支持：平移，缩放显示等功能。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图形查看功能，支持：缩放，水平镜像，垂直镜像，旋转，锁定，拉伸，阵列等功能。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图形创建功能，支持：矩形，园形（正园，椭圆），文字，贝塞尔曲线等图形的创建。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图形的编辑功能，支持修改点，反序，增加和删除节点，图形分割等功能。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位图处理功能，支持反色，网点处理等功能。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烟雾净化系统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最大净化风量：480立方米/小时(风量可调)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输入功率：320W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运转音量：50dBA以下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净化除烟率：99.9%以上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进风口直径：2×φ75mm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外型尺寸：450×490×880mm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适用场合：激光打标、雕刻、切割焊接等烟尘异味处理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激光专用椴木板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激光专用椴木板，100个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材质：椴木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数控雕刻一体机耗材包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铝材（50*50*15mm，50*100*15mm，各10块）；黑檀木（50*50*12mm，50*100*12mm，150*150*12mm，200*200*12mm各5块），青白玉石（50*50*15mm，80*80*15mm各5块），ABS塑料块（100*100*12mm米黄色和黑色各20块），铜块（150*50*15mm，50*50*12mm各2块），代木（50*50*12mm，50*100*12mm，150*150*12mm各20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智慧校园桌面大模型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智慧校园沙盘-以系统认知培育未来创新人才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智慧校园沙盘其核心在于打破纯理论教学模式，学生可观察、识别、连接各类功能元器件，把课堂上学到的电路、通信、嵌入式、智能控制等知识，对应到校园安防、环境监测、一卡通、智慧照明等真实应用场景中。旨在激发学生自主探究与创新意识，培养团队协作、方案表达与工程实践综合素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一、整体尺寸：1800*1200*400mm;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二、材    质：3D打印PLA材料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三、组成区域：校园综合楼区域、教学楼区域、多功能教学楼区域、垃圾分类区域、体育场区域、图书馆区域、学生助手、国旗台区域、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校园综合楼区域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1.学生体感温度检测系统-①温度检测模块②屏幕模块③语音模块配合使用：当人员通过温度检测模块，人员高温情况会在屏幕预警显示，并语音提示及时到医务室观察。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①温度检测模块      3.3V   2.5mA    0.01W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②屏幕模块          3.3V   80mA    0.27W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1100mA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人员签到系统-①IC卡感应模组②屏幕模块（与人员体感温度检测系统共用）配合③语音模块配合使用（与人员体感温度检测系统共用）：人员出入校园通过刷卡识别，屏幕会显示校园信息，迟到缺勤人数，学生迟到会有语音提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①IC卡感应模组   3.3V   18mA    0.1W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②屏幕模块（与学生体感温度检测系统共用）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③语音模块（与学生体感温度检测系统共用）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3.校园安防报警系统—①人体红外感应模块②全彩LED灯模块③语音模块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①人体红外感应模块  5V   0.05mA    0.001W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②全彩LED灯模块    5V    20mA     0.1W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③语音模块（与学生体感温度检测系统共用）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教学楼区域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1.室内环境检测系统--①温湿度检测模块②二氧化碳检测模块③风扇模块配合使用：当二氧化碳浓度过高空调自动打开通风，温度过高或过低，空调自动开启恒温模式，保证室内温度舒适。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①温湿度检测模块    5V   0.3mA    0.002W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②二氧化碳检测模块  5V   80mA     0.4W(最大)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③风扇模块          5V   96mA     0.5W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2.室内灯光系统-①LED灯模组②按键开关③语音模块配合使用：通过语音、按钮开关来控制室内灯光。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①LED灯模组（灯带+灯珠*3+继电器） 5V    4.77A    23.5W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LED灯模组分模块的参数：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灯带     5V    2.8A      14W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灯珠     5V    650mA    3W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继电器   5V    20mA     0.1W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②按键开关*2  3.3V   0.1mA    功率可忽略不计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1100mA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多功能教学楼区域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1.教学演示系统-①屏幕模块②喇叭模块③led灯模组配合使用：劳技教室屏幕播放相应课程，喇叭播放音乐课程模拟音乐教室，灯光会随着上课铃及下课铃来变化，实时交互。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①屏幕模块    3.3V    50mA   0.2W(最大)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②喇叭模块    5V     600mA   3W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③led灯模组（灯带+灯珠*2+继电器） 5V    5.32A    26.5W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LED灯模组分模块的参数：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灯带     5V    4A        20W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灯珠     5V    650mA    3W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继电器   5V    20mA     0.1W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2.学生身心健康系统-①语音模块：在接收到霸凌关键词后会发出警报声，报告到综合管理区域，老师进行干涉。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①语音模块   5V     1.1A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垃圾分类区域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1.智慧识别分类系统-①舵机模块②红外检测模块③语音模块配合使用：学生助手靠近，红外检测触发语音询问：你好，需要扔什么类型的垃圾，学生助手回答：可回收垃圾。随后可回收垃圾桶自动翻盖。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①舵机模块       5V    800mA     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②红外检测模块   5V    20mA     0.1W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体育场区域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跑步体测系统—①红外检测模块②屏幕显示模块③语音模块配合使用：按跑步体测开始按键进入跑步体测系统，跑道上自动识别体测开始标志，屏幕显示体测跑步圈数及时间，达到规定圈数后用语音模块播报体测结果，按清除按键清零当前记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①红外检测模块   5V    10mA     0.05W(最大)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②屏幕显示模块   5V    20mA     0.1W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自动足球计分系统—①电机模组配合使用②红外检测模块*2③屏幕显示模块④语音模块配合使用：按足球计分开始按键进入自动足球计分系统，足球场上的足球左右移动模拟学生踢球，按比赛开始按键后屏幕显示进球次数，比赛结束后语音模块播报比赛获胜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①电机模组         12V     2A      25W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②红外检测模块*2   5V    20mA     0.1W(最大)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③屏幕显示模块（与跑道计数系统共用）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④语音模块（与跑道计数系统共用）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图书馆区域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自动借书系统-①步进电机模组②红外检测模块③语音模块配合使用：当借书机通过红外感应模块检测到学生助手经过，学生助手询问:小锐小锐，我需要借阅一本读者。借书机自动推出相应书籍，学生助手伸出带有磁铁的手臂吸附书籍(书上带有磁铁)，完成借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①步进电机模组   5V    500mA    3W(最大)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②红外检测模块   5V    10mA     0.05W(最大)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1100mA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2.烟雾及可燃气体自动报警系统—①MQ-2传感器②蜂鸣器模块配合使用：在MQ-2传感器检测到烟雾及可燃气体后，单片机控制蜂鸣器产生鸣响，直至MQ-2传感器检测不到烟雾和可燃气体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①MQ-2传感器   5V   150mA   0.75W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②蜂鸣器模块    5V   50mA    0.25W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3.室内灯光控制系统—①语音模块②LED灯模块配合使用：唤醒语音助手后发送指令控制馆内灯光的开与关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①语音模块（与自助借书系统共用）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②LED灯模块  5V    650mA    3W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学生助手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巡航播报及语音交互系统-①巡线模块②颜色识别模块③语音模块④电机模组配合使用：途径学校各处，语音播报当前地点位置名称；在垃圾分类区域以及图书馆区域进行语音交互完成分类和借书功能。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①巡线模块       5V    15mA     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②颜色识别模块   5V    20mA    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1100mA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④电机模组       12V     2A        25W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国旗台区域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1.国旗升降系统-①雨滴检测模块②步进电机模组③按纽开关配合使用：下雨天，国旗会自动下降，保护国旗；也可通过按钮开关控制国旗升降（断电时降下国旗，防止升旗异常）。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①雨滴检测模块   5V    20mA     0.1W(最大)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②步进电机模组   5V    500mA    3W(最大)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③按纽开关       3.3V   0.1mA    功率可忽略不计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智慧校园沙盘以完整校园系统为载体，帮助学生建立 “感知 — 传输 — 处理 — 控制” 的系统认知，理解各区域功能模块的协同关系，提升整体方案设计、问题排查与系统集成能力。让学生提前熟悉物联网、智能建筑、智慧教育等行业的主流技术与应用方案，建立清晰职业认知。</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未来智能工厂桌面大模型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未来工厂参数表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一、外观尺寸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1、台面尺寸:长1700mm*宽1200mm*高600mm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(配备桌架后整体尺寸:长1700mm*宽1200mm*高1350mm)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二、功率/参数/能源/加工尺寸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1、整台功率:220V 3.2KW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2、重量:≥150KG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3、便携式空压机1500W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4、空压机最大气压:0.7Mpa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5、空压机尺寸:560㎜*300㎜*630㎜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6、空压机流量：240L/min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7、电柜尺寸：600㎜*700㎜*200㎜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8、10英寸彩色中控屏，分辨率：1024*600，处理器：Cortex-A7.800MHz,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9、采用了PLC处理CPU运算控制，PTO 和 PWM 支持 200 kHz 频率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10、传动采用了防尘封闭式直线模组加11个57步进电机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11、采用了光电：FM-SM674加磁性CMSH-020磁环感应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12、重复定位精度±0.05mm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13、6个4v210-08气排电磁气动阀，最大负载12KGF/CM2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14、激光功率：半导体10W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15、采用了4个EV负压大流量真空阀，最大负压达到-53kpa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16、气缸直线气缸行程：50mm 、回转气缸回转角度：0-90º 、直线气缸输出力矩：0.7 N 回转气缸输出力矩：1N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17、CNN主轴直流48V 500W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18、钻床12V 60W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19、加工尺寸：60㎜*90㎜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三、工艺流程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主要功能：气缸上料单元→运输单元→钻孔单元→CNC雕刻单元→回转气缸搬运单元→激光单元→盖章单元→收料单元。</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木工工具箱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450mm*360mm*110mm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1、规格：≥450mm*360mm*110mm，注塑箱体，珍珠棉定位；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全金属弓形臂微型安全锯床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318*240*170mm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1、规格：≥318*240*170mm；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3、组成：由电机、线锯盒、基座、弓形臂、工作台等组成；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6、基座采用燕尾结构，每个横截面均有不小于11*6mm的T型槽，采用三联结构工字型锁紧块与滑块等锁紧，提高设备稳定性；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7、线距盒采用偏心结构，偏心轮转动促进锯条上下震动达到切割效果；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8、弓形臂采用高强度合金材质，表面氧化处理，（非钢管弯曲，不易变形），弓形臂与锯条的中心距离为≥240 mm，最大加工的板为≥240mm；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9、工作台规格：≥170X100X8mm，高精密度直线定位滑块，可精准进行直线切割；移动圆心定位柱，可进行圆形加工，半圆环加工，圆环加工，半圆加工，可等距切割；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10、锯床压板上下调整杆，具有方便的手紧螺丝固定结构；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11、能够完成直线，曲线切割的功能，弓形臂起到辅助按压木板的功能，锯条为不伤手设计；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12、功能：可进行切割操作；加工材料及深度：硬木≥4mm、三夹板≥7mm、软木≥18mm、薄铝片≥0.5mm、有机玻璃≥2mm。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highlight w:val="none"/>
                <w:u w:val="none"/>
                <w:lang w:val="en-US" w:eastAsia="zh-CN" w:bidi="ar"/>
              </w:rPr>
              <w:t xml:space="preserve">▲提供以下正规检测报告</w:t>
            </w:r>
            <w:r>
              <w:rPr>
                <w:rFonts w:hint="eastAsia" w:ascii="微软雅黑" w:hAnsi="微软雅黑" w:eastAsia="微软雅黑" w:cs="微软雅黑"/>
                <w:i w:val="0"/>
                <w:iCs w:val="0"/>
                <w:color w:val="000000"/>
                <w:sz w:val="18"/>
                <w:szCs w:val="18"/>
                <w:highlight w:val="none"/>
                <w:u w:val="none"/>
                <w:lang w:val="en-US" w:eastAsia="zh-CN" w:bidi="ar"/>
              </w:rPr>
              <w:t xml:space="preserve">，机床检验通则 第1部分：在无负荷或准静态条件下机床的几何精度（GB/T 17421.1-2023）、GB/T5226.34-2020《机械电气安全机床电气设备》等标准，检测内容包含但不限于性能的一般要求、安全的一般要求、结构的一般要求、外观的一般要求、模型的一般要求，检测结果合格</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全金属微型安全木工锣床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310mm*100mm*150mm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1、主轴箱（主轴箱后面有协助紧固孔）及马达箱为金属结构、手轮、齿轮、小滑块、刀架、连接块、皮带保护盖、尾架等都采用全金属结构、机身无塑料件；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2、机床主要部件采用电镀工艺或喷墨阳极氧化双工序处理；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7、车床加工材料最大直径：50mm；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8、车床加工材料长度：150mm；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9、X轴滑块行程：150mm；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10、夹头：1-6mm；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11、尾座手轮采用3/4半圆结构，具有0.02mm精度的刻度线（刻度线为模具一次成型，非粘贴），增加机床加工工件的精确度；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12、中心高25mm，中心距150mm；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13、机床尺寸：310mm*100mm*150mm，底板尺寸：315mm*200mm*17mm。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14、用锣刀进行车削加工，加工范围：木料、软金属（铜、铝等）、有机玻璃、塑胶等；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15、机床的夹头采用六角螺母固定设计，增加夹紧刀具（比如钻头、铣刀、木车床驱动器）的紧固度；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16、防止孔内螺丝滑动，连接块使用四方螺母，提高连接块的稳定性和使用寿命；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17、连接块采用燕尾型结构，与机床零件的每个槽位相匹配，提高机床的稳定性和加工精度；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18、机床采用安全圆角处理技术，预防金属件划伤皮肤。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全金属五轴微型安全钻床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318*215*315</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1、规格：≥318*215*315mm；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3、组成：由电机、基座、立柱、大滑块、小滑块、工作台等部件组成；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6、基座、立柱等均采用燕尾结构，每个横截面均有不小于11*6mm的T型槽，采用三联结构工字型锁紧块与滑块等锁紧；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7、大滑块：燕尾结构，横截面有不小于11*6mm的T型槽，手轮（3/4半圆结构）以及丝杆结构设计，有0.02mm精度的刻度线，滑块行程≥145mm；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8、小滑块：滑块行程≥40mm，横截面有不小于11*6mm的T型槽，用于安装工作台以及电机锁紧；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9、夹头可夹持范围：1-6mm，钻头处有亚克力磁吸式可伸缩防护罩；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10、工作台规格：≥170X100X8mm，金属电镀钻台板，含有模具（非粘贴）一次成型的刻度定位线，有移动圆心定位柱，可进行同心圆形打孔；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11、五轴结构（X轴、Y轴、Z轴、A轴、B轴）：A轴、B轴为旋转轴，A轴的旋转范围为0度至360度且定位精度为2.5度，B轴的旋转范围为-120度至+120度，Z轴、X轴可以分别在A轴、B轴的配合下实现角度进给加工；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12、电镀金属中间块的右左两边具有安装机床摇臂的O型孔，中间块的中间有一个直径12mm深5mm的孔，孔下有一个直径8mm的通孔，这样的结构便于安装中间块固定块，中间块为一次成型压铸；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13、液晶数字显示器：测量范围：0 - [999.99] mm/in；分辨率：0.01mm/0.000 ½ in；工作温度：-10℃ - 50℃；采用纽扣电池，在正常使用频率下，电池寿命约为 600 小时，电池电量不足时，显示屏上会出现低电量提示符号，及时更换电池；按键四大功能：可清除数据为0，通过ZERO键在任意滑块位置设置零位及加工起点位置功能；可实时解除和锁定数据功能；可在公制（mm）与英制（inch）之间切换功能；可在绝对值与相对值之间切换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14、功能：多角度打孔；机床适用加工：木料、软金属（铜、铝等）、有机玻璃、塑胶等。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提供</w:t>
            </w:r>
            <w:r>
              <w:rPr>
                <w:rFonts w:hint="eastAsia" w:ascii="微软雅黑" w:hAnsi="微软雅黑" w:eastAsia="微软雅黑" w:cs="微软雅黑"/>
                <w:i w:val="0"/>
                <w:iCs w:val="0"/>
                <w:strike w:val="0"/>
                <w:color w:val="000000"/>
                <w:sz w:val="18"/>
                <w:szCs w:val="18"/>
                <w:highlight w:val="none"/>
                <w:u w:val="none"/>
                <w:lang w:val="en-US" w:eastAsia="zh-CN" w:bidi="ar"/>
              </w:rPr>
              <w:t xml:space="preserve">以下正规</w:t>
            </w:r>
            <w:r>
              <w:rPr>
                <w:rFonts w:hint="eastAsia" w:ascii="微软雅黑" w:hAnsi="微软雅黑" w:eastAsia="微软雅黑" w:cs="微软雅黑"/>
                <w:i w:val="0"/>
                <w:iCs w:val="0"/>
                <w:color w:val="000000"/>
                <w:sz w:val="18"/>
                <w:szCs w:val="18"/>
                <w:highlight w:val="none"/>
                <w:u w:val="none"/>
                <w:lang w:val="en-US" w:eastAsia="zh-CN" w:bidi="ar"/>
              </w:rPr>
              <w:t xml:space="preserve">检测报告，</w:t>
            </w:r>
            <w:r>
              <w:rPr>
                <w:rFonts w:hint="eastAsia" w:ascii="微软雅黑" w:hAnsi="微软雅黑" w:eastAsia="微软雅黑" w:cs="微软雅黑"/>
                <w:i w:val="0"/>
                <w:iCs w:val="0"/>
                <w:color w:val="000000"/>
                <w:sz w:val="18"/>
                <w:szCs w:val="18"/>
                <w:highlight w:val="none"/>
                <w:u w:val="none"/>
                <w:lang w:val="en-US" w:eastAsia="zh-CN" w:bidi="ar"/>
              </w:rPr>
              <w:t xml:space="preserve">机床检验通则 第1部分：在无负荷或准静态条件下机床的几何精度（GB/T 17421.1-2023）、GB/T5226.34-2020《机械电气安全机床电气设备》等标准</w:t>
            </w:r>
            <w:r>
              <w:rPr>
                <w:rFonts w:hint="eastAsia" w:ascii="微软雅黑" w:hAnsi="微软雅黑" w:eastAsia="微软雅黑" w:cs="微软雅黑"/>
                <w:i w:val="0"/>
                <w:iCs w:val="0"/>
                <w:color w:val="000000"/>
                <w:sz w:val="18"/>
                <w:szCs w:val="18"/>
                <w:u w:val="none"/>
                <w:lang w:val="en-US" w:eastAsia="zh-CN" w:bidi="ar"/>
              </w:rPr>
              <w:t xml:space="preserve">，检测内容包含但不限于主体结构材质、金属表面处理工艺、安全圆角处理、整机装配外观、台板规格、台板刻度、手轮刻度精度、连接块机构稳定性、加工材料范围，检测结果合格</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全金属微型安全磨床（多功能版）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310mm*130mm*100mm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轴箱（主轴箱后面有协助紧固孔）及马达箱为金属结构、齿轮、基座侧盖、磨床平台、皮带保护盖、砂纸盘（砂纸盘具有8个排气孔和1个定位孔，使得砂纸紧贴盘面、中心孔有定位功能）、砂轮保护罩等全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7、中心高25mm，砂纸粒度一般为100＃，可根据不同的工件及加工表面要求选择砂纸；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8、工作台面具有刻度定位线（刻度线为模具一次成型），提高加工的精确度，工作台面积：120*100mm；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9、机床尺寸：310mm*130mm*100mm，底板尺寸：315mm*200mm*17mm。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10、多功能磨床可以用来对工件进行抛光、打磨，能够对车刀，铣刀等刀具或其他金属工件进行打磨抛光，适用范围：木材、工程塑料、软金属(铝、铜等)；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11、防止孔内螺丝滑动，连接块使用四方螺母，提高连接块的稳定性和使用寿命；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12、连接块采用燕尾型结构，与机床零件的每个槽位相匹配，提高机床的稳定性和加工精度；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13、具有砂轮机功能，配备金属电镀砂轮保护罩，磨床砂纸盘具有8个排气孔和1个定位孔。</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全金属多功能迷你打磨机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310**110*210mm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1、主轴箱（主轴箱后面有协助紧固孔）及马达箱为金属结构、齿轮、基座侧盖、长短基座、打磨平台、皮带保护盖、等全采用全金属结构，机身无塑料件；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5、输入电压/电流/功率：24V/5A/100W，开关电源的转入电压为110V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7、砂带尺寸：610*30mm；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8、加工平台尺寸：85mm*35mm，可选加工平台角度调节功能；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9、可选无极调速功能；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10、机床尺寸：310**110*210mm；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11、砂带机配合砂带使用，可对各类工件进行打磨加工，适用范围：金属，木材，玉石，亚克力等；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12、配合砂带使用，砂带可根据实际加工需求，选择60#、80#、100#、150#、180#、240#、320#、400#、600#砂带目数。</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全金属微型裁料机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318*215*212mm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1、规格：318*215*212mm；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3、组成：由电机、基座、大小滑块、尾架、平口钳、手轮、切割模块等部件组成；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4、输入电压/电流/功率：12VDC/5A/60W；电源适配器的输入电压为100V-240V；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6、电源适配器具有双重绝缘、安全电压和漏电保护安全措施；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7、夹头：锯盘ф6夹头；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8、锯片规格：直径100mm，配有直径120mm金属安全保护罩；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9、虎钳为模具压铸成型，尺寸：50*150mm，夹持范围：0-105mm；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10、基座：300*50*50mm，采用燕尾结构，每个横截面均有不小于11*6mm的T型槽，采用三联结构工字型锁紧块与滑块等锁紧；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11、大滑块规格：210*50*39mm，燕尾结构，横截面有不小于11*6mm的T型槽，手轮（3/4半圆结构）以及丝杆结构设计，有0.02mm精度的刻度线，滑块行程0-145mm；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12、小滑块规格：110*50*16mm，滑块行程0-45mm，横截面有不小于11*6mm的T型槽，用于安装车刀以及控制车刀的进给；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13、Z轴采用升降丝杠式移动，不需要手动调节主轴箱小滑块高度，加工精度更高；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14、X轴手轮、Y轴手轮和Z轴手轮，具有0.02mm精度的刻度线，增加机床加工工件的精确度，机器手轮采用3/4半圆结构，方便拆装机床连接块；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15、裁料机可以进行截断加工，适用加工：木料、软金属（金、银、铜、铝）、皮革、橡胶、塑料、纸板、布料、泡绵、尼龙、人造革、PVC板等；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16、机床采用安全圆角处理技术，预防金属件划伤皮肤。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全金属微型铣圆机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318*335*228mm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1、规格：318*335*228mm；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3、组成：由电机、基座、大小滑块、角度定位器、增高块、手轮等部件组成；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4、输入电压/电流/功率：12VDC/5A/60W；电源适配器的输入电压为100V-240V；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6、电源适配器具有双重绝缘、安全电压和漏电保护安全措施；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7、夹头：1-6mm，规格：ф1、ф2、ф3、ф4、ф5、ф6；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8、角度定位器模具压铸成型，尺寸：Φ50*25mm，带有模具一次成型的数字显示刻度，具有快速分度定位功能，在加工时可快速定位，分度定位从0到360度区间连续角度调整，定位精度为2.5度；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9、Y轴滑块长度210mm行程200mm，Z轴滑块长度210mm行程200mm，Y轴手轮和Z轴手轮，具有0.02mm精度的刻度线，增加机床加工工件的精确度，机器手轮采用3/4半圆结构，方便拆装机床连接块；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10、Z轴采用升降丝杠式移动，不需要手动调节主轴箱小滑块高度，加工精度更高；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11、铣圆机可以进行加工阶梯圆，扇形圆，可加工等分沟槽圆形等，适用加工：木料、软金属（金、银、铜、铝）、有机玻璃、PVC、塑胶、皮革等；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12、机床采用安全圆角处理技术，预防金属件划伤皮肤。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全金属万能微型组合机床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450*200*320mm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1、马达转速：0-12000转/分钟；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2、输入电压/电流/功率：12VDC/5A/60W，开关电源的输入电压110V—240V；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3、线锯床工作台面积：120mm*100mm；锯切深度硬木为4mm、三夹板为7mm、软木为18mm、薄铝片为0.5mm、有机玻璃为2mm；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4、采用定制超静音高速内置风扇电机；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5、夹头：1-6mm；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6、钻床以及磨床工作台面积：120*100mm；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7、采用专业定制航空箱，易于携带；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8、多功能调速机床（在不用拆卸的情况下可同时使用线锯床、钻床、磨床三种功能，并且具有转速调节功能）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9、机床主要零件：如马达箱，主轴箱，中间块，线锯基座，线锯箱，齿轮，机床侧盖，小滑块（十字滑），长滑块，钻床压杆，钻台面，线锯台，连接块，砂纸盘等都采用全金属材料；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10、规格：450*200*320mm，配套实木底板450*200*17mm。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全金属迷你木玩机床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1、采用定制超静音高速内置风扇电机；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2、机床主要部件采用电镀工艺或喷墨阳极氧化双工序处理；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7、车床加工材料最大直径：50mm；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8、车床加工材料长度：150mm；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9、X轴滑块行程：150mm；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10、立卧双电机，自由移动，可加工直径12、18mm的木珠或手串，可另配其他型号刀头使用；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11、尾座手轮采用3/4半圆结构，具有0.02mm精度的刻度线（刻度线为模具一次成型，非粘贴），增加机床加工工件的精确度；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12、中心高25mm，中心距150mm；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13、主轴箱（主轴箱后面有协助紧固孔）及马达箱为金属结构、手轮、齿轮、小滑块、刀架、连接块、皮带保护盖、尾架等都采用全金属结构、机身无塑料件；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14、机床采用安全圆角处理技术，预防金属件划伤皮肤。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全金属微型圆盘锯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1、能够完成直线切割，角度切割的功能，锯片保护罩具有锁死保护功能，保护学生不被锯片伤害到手。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2、主轴箱，长机座，短机座、连接块、锯台面、齿轮等都采用金属材料；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3、可加工材料及深度：硬木4mm、三夹板7mm、软木18mm、薄铝片0.5mm、有机玻璃2mm；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3、有透明的锯片保护罩（透明保护罩为模具一次成型，而不是有机玻璃粘的）。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技术指标：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1、马达转速：20000转/分钟。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2、输入电压/电流/功率/：12VDC/3A/36W。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3、工作台面积：190mmx190mm。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4、备有集屑盒。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5、锯片可调角度：0~45度。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6、锯片直径：80mm。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7、最大切割厚度20mm。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适用加工：木料，软金属（铜，铝等），集成电路板、有机玻璃 ，塑胶等。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木工公用小型设备组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一、小型木工锯床，1台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寸小型木工台锯，配备锯片安全防护罩装置，锯片切割角度0-45度可调节，带固定靠山，带角度调节靠尺，带急停电源开关，带推料器，额定电压220v，功率900w，空载转速4800rpm，锯片尺寸210mm，0度锯片最大切割厚度45mm，45度时锯片最大切割厚度35mm，工作台面尺寸52cmx40cm，高度27cm，毛重约16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二、无极调速曲线锯，1台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1、无极调速：400-1600rpm；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2、额定电压220~50HZ，额定功率120W；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3、工作台尺寸：400*253mm.机器尺寸：600*260*300mm；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4、咽喉深度：400mm；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5、切割范围：1-50mm；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6、工作台倾斜范围：0-45°；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7、锯条长度：133mm；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8、净重：15Kg，毛重：17Kg；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9、最大切割厚度：木料20mm，软金属2mm，泡沫50mm，塑料30mm。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三、小型台钻，1台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1、功率不小于350w；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2、输入电压220v-50HZ；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3、钻孔直径1.5-13mm；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4、额定转速1400rpm，主轴5级变速；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5、工作台面尺寸不小于160mmx160mm；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6、底座尺寸不小于170mmx280mm；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7、总高度不小于580mm。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四、小型木工车床，1台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1、规格：755*200*440mm；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3、功率：900W；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4、转速：无极调速300-3800r/min，数字显示；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5、最大加工直径：300mm；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6、最大加工长度：450mm；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7、花盘直径：75mm；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8、刀架长度：150mm。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五、砂盘砂带机，1台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1、规格：≥450*150*290mm；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2、功率：≥550W；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3、砂带打磨长宽300*100mm；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4、砂带尺寸：100*914mm；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5、砂盘尺寸：直径150mm；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6、转速：≥2850转；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7、带防滑脚垫和吸尘口。</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木工组合套装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一、1、两件套，粗齿+细齿各1；共6套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2、粗齿手锯：长350mm，木柄。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3、细齿手锯：长340mm，齿距1木柄。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二、1、规格：全场275mm，宽度70mm；6把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2、材质：ABS塑料手柄，锯身采用合金材质；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三、1、短刨：规格：尺寸180*60*45mm，刨刀宽44mm，长180mm；材质：红木。含刨柄双手持握；2把。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2、线刨：规格：150mm，刨刀宽25mm，长140mm，材质：红木。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四、1、规格：平凿四件套，包含6mm/12mm/19mm/25mm各一把；共6套。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2、材质：凿头采用铬钒合金钢，手柄为木柄。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五、1、规格：总长300mm，锤头尺寸95*57*46mm，重280g；共6把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2、材质：榉木材质。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六、60目、180目、400目各种规格100张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七、1、尺寸：板长 150 mm；共6块。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2、方式：可更换粗细砂纸。</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木工课程及通用工具套件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一、智慧教育进阶智造课堂上，12套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1、规格：≥420*300*160mm，整体塑料整理箱包装；含金木工进阶教育智造资料上册1本；内容符合学生认知、发展的设计理念；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2、LQ课程不少于16个主题，每个主题2个课时，总共32个课时，课程包含主题引入、设计、制作、反思等六大环节，充分调动学生学习的积极性以及动手能力的培养；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3、对应的耗材有：木条、圆木棒、薄木板、棉线、圆木棒等，课程可实现的主题制作如下：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 木制折扇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3.2 木质风箱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3.3 机械计数器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3.4 私人定制名牌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3.5 创意书架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3.6 雷神之锤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3.7 强力挂钩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3.8 悬空座椅</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3.9 秦弩制作（1）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3.10 秦弩制作（2）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3.11 迷你手电筒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3.12 武汉长江大桥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3.13 赵州桥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3.14 诺曼底斜拉桥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3.15 桥梁承重比赛（上）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3.16 桥梁承重比赛（下）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二、智慧教育进阶智造课堂下，12套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1、规格：≥420*300*160mm，整体塑料整理箱包装；含进阶智慧教育智造课程下册1本；内容符合学生认知、发展的设计理念；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2、LQ课程不少于16个主题，每个主题2个课时，总共32个课时，课程包含主题引入、设计、制作、反思等六大环节，充分调动学生学习的积极性以及动手能力的培养；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3、对应的耗材有：木条、圆木棒、薄木板、棉线、圆木棒等，课程可实现的主题制作如下：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 日晷模型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3.2 茶杯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3.3 立体迷宫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3.4 乒乓球发射器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3.5 自动变形折叠桌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3.6 车库推拉门模型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3.7 风向标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3.8克虏伯大炮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3.9 自行车（1）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3.10 自行车（2）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3.11 水轮机上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3.12 水轮机下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3.13 螺旋桨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3.14 摇头风扇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3.15 飞行者1号（上）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3.16 飞行者1号（下）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三、桥梁模型，1套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一、1、材质：实木（榫卯结构无任何其它材质或方式链接）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2、规格：三直材叉≥200X200X40mm、楔形椎≥190X60X30mm、抄手樨≥120X120X30mm、丁字虚肩≥200X180X40mm、夹头裤≥220X200X60mm、楔钉椎≥40X40X190mm、闷榫角≥180X175X100mm、攒边打槽装板≥140X120X10mm；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3、榫卯连接模型 可拆卸，不少于八种。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二、1、外形尺寸：尺寸不小于600X240X185mm；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2、材质：全木质尾，不少于24个榫卯结构配件；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3、结构：榫卯结构，1:1比例还原组合桥结构；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4、自重：不大于1.5kg；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5、学习目的：组合结构桥一般同时包含组成其的各基本体系的一些特点，学习并了解其设计原理，学习组合桥制作。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三、1、外形尺寸：尺寸不小于600X240X260mm；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2、材质：全木质，不少于45个榫卯结构配件以及30个以上尾部绳夹扣；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3、结构：榫卯结构，1:1比例还原悬索桥结构；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4、自重：不大于1.5kg；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5、学习目的：悬索桥是以承受拉力的缆索或链索作为主要承重构件的桥梁，由悬索、索塔、锚碇、吊杆、桥面系等部分组成，学习悬索桥原理并制作。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四、绘图专用量具套装，6套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1、多功能角尺（300mm，不锈钢尺身；可45°、90°、180°任意测量；带水平仪，可水平、垂直测量，可定位圆心。）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2、三角尺套装（包含等腰三角尺、勾股三角尺，尺面刻度200mm。）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3、木折尺（长1m,可折叠5折每折长200mm）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绘图工具包（绘图工具包，配13种常用绘图工具，工具包含擦图片；三角板（250mm）；圆规（长150mm，能用铅芯）；分规（长150mm，）；绘图模板；橡皮擦；美工刀；绘图铅笔（3支）；透明胶带；卷笔刀；有机玻璃直尺（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5、画笔套装（208件套画笔套装）</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6、电子秤（1000g，0.1g），金属钩码（50g×4,200g×4）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7、游标卡尺（0.02mm，0～150mm）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8、高度游标卡尺（0.02mm，0～200mm）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9、外径千分尺（25～50mm）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10、外径千分尺（0～25mm）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11、塞尺（0-180度；150mm）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12、组合角尺（水平角尺）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13、宽座直角尺（160mm；材质：不锈钢）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五、粘接套装，6套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1、规格：400*210*195mm，工程塑料箱收纳，分层设计；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2、内含不少于4种粘贴方式：502（20g）10支、AB胶（20g）10支、木工胶（250g）5支、双面胶（5mm）10卷；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3、功能：可完成金工、木工等工件的粘合连接。</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基础耗材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1、约150*220*3mm，200*300*3mm，空白木板各50张；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2、约15*100mm，25*100mm，30*100mm木棒各50根；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3、约10*10*200mm,20*20*200mm，30*30*200mm各50根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金工工具箱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450mm*360mm*110mm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1、规格：450mm*360mm*110mm，注塑箱体，珍珠棉定位；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含26种必备常用工具。工具包括：钢丝钳，6"，1把；尖嘴钳，6"，1把；钢直尺，300mm，1把；扁锉刀，200mm黄黑塑料柄，1把；半圆锉刀，200mm黄黑塑料柄，1把；三角锉，200mm黄黑塑料柄，1把；圆锉刀，200mm黄黑塑料柄，1把；划针，200mm，1把；划规，150mm，1把；样冲</w:t>
            </w:r>
            <w:r>
              <w:rPr>
                <w:rFonts w:hint="eastAsia" w:ascii="微软雅黑" w:hAnsi="微软雅黑" w:eastAsia="微软雅黑" w:cs="微软雅黑"/>
                <w:i w:val="0"/>
                <w:iCs w:val="0"/>
                <w:color w:val="000000"/>
                <w:sz w:val="18"/>
                <w:szCs w:val="18"/>
                <w:u w:val="none"/>
                <w:lang w:val="en-US" w:eastAsia="zh-CN" w:bidi="ar"/>
              </w:rPr>
              <w:t xml:space="preserve">，1把；什锦锉，6件/套（轴承钢，半圆锉、三角锉、方锉、圆锉、尖头扁锉、齐头扁锉）；钳工锤，300g木柄，1把；圆头锤，1磅木柄圆头，1把；丝锤、扳牙扳手，12件/套；钢卷尺，5m，1把；两用扳手，4件/套；内六角扳手，1.5-10mm，9件/套；三叉扳手，1套；螺丝刀，6*100mm+-PH2，2把；螺丝刀，5*75mm+-PH1，2把；活动扳手，8，1把”；钢丝刷，6排木柄，1把；钢锯架，铁皮活动钢锯架，1把；铁皮剪，8”美式铁皮剪，1把；自行车钢丝扳手，1把；三角尺，20*40mm不锈钢，带数字1把。</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金工机床设备组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一、全金属四轴微型安全金工车床，2台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1、主轴箱（主轴箱后面有协助紧固孔）及马达箱、手轮、齿轮、小滑块、长滑块、连接块、三爪卡盘（可选配金属四爪卡盘）、皮带保护盖、车刀夹紧爪等都采用全金属结构、机身无塑料件；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2、机床主要部件采用电镀工艺或喷墨阳极氧化双工序处理；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7、X轴滑块行程：150mm；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8、使用基座块加高，直径范围更扩大至150mm；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9、车床加工材料长度：150mm；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10、中心高75mm，中心距150mm；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11、三爪夹盘可夹持工件的最大直径为50mm（可选配四爪卡盘，可夹持工件最大直径60mm，可加工正方形、六角形等，增加车床的使用范围）；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12、Z轴手轮、X轴手轮、尾座手轮都采用电镀工艺，具有0.02mm精度的刻度线（刻度线为模具一次成型，非粘贴），增加机床加工工件的精确度，机床手轮采用3/4半圆结构，方便拆装机床连接块；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13、适用加工：木料、软金属（金、银、铝、铜）、有机玻璃、塑胶、塑料等；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14、机床四轴（X轴、Z轴、Z1轴、A轴）的旋转轴A轴的旋转范围为-90度至+90度且定位精度为2.5度，Z1轴可以在A轴的配合下实现角度进给加工。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二、全金属五轴微型安全铣床，2台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1、机床主轴箱、手轮、中间块、齿轮、小滑块、基座侧盖、长滑块、机床摇臂、连接块、铣床用虎钳、皮带保护盖等都采用全金属结构，机身无塑料件；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3、机床主要部件采用电镀工艺或喷墨阳极氧化双工序处理；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7、X轴滑块行程：150mm；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8、夹头：1mm-6mm；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9、虎钳的夹持尺寸：0-50mm；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10、手轮采用电镀工艺，采用3/4半圆结构，具有0.02mm精度的刻度线（刻度线为模具一次成型，非粘贴），增加机床加工工件的精确度；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11、金属电镀虎钳的外形尺寸：≥80mmx45mmx25mm。夹持尺寸：50mm,最大夹持50mm的物体。虎钳上具有模具（非粘贴）一次成型的刻度线定位线，方便定位加工；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12、X轴具有360度可旋转加工功能，具有旋转加工功能；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13、电镀金属中间块的右左两边具有安装机床摇臂的O型孔，中间块的中间有一个直径12mm深5mm的孔，孔下有一个直径8mm的通孔，这样的结构便于安装中间块固定块，中间块为一次成型压铸；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14、机床五轴（X轴、Y轴、Z轴、A轴、B轴）的A轴、B轴为旋转轴，A轴的旋转范围为0度至360度且定位精度为2.5度，B轴的旋转范围为-120度至+120度，Z轴、X轴可以分别在A轴、B轴的配合下实现角度进给加工。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三、小型精密钻铣床，1台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1、电压：220V/50Hz，功率：≥450W；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2、主轴驱动采用两档变速装置，低速档转速L档0-1000rpm，高速挡转速H档0-2500rpm，使用直流电机和同步带传动，具有主轴转速显示器、触摸开关；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3、X轴(横向行程)：≥250mm；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4、Y轴(纵向行程)：≥140mm；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5、Z轴（主轴到工作台距离） 220-300mm；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6、主轴到立柱距离：≥160mm；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7、最大钻孔直径：13mm；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8、端面铣容量：≥16mm；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9、表面铣容量：≥30mm；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10、主轴锥度：MT3；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11、工作台尺寸：≥480*110mm；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12、T型槽尺寸：≥3*12mm；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13、净重60kg；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14、标配铣夹头以及钻夹头，配套夹持套件以及铣刀2把。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四、小型精密车床，1台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1、电压：220V/50Hz，功率：≥550W；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2、主轴驱动采用无级变速装置，转速范围50-2500rpm，使用直流电机和同步带传动，具有主轴转速显示器、触摸开关；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3、床身工件最大回转直径180mm；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4、两顶尖距离≥300mm；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5、主轴通孔直径32mm；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6、主轴内孔锥度莫氏3号，尾轴孔锥度莫氏2号；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7、拖板横向行程：≥65mm；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8、卡盘直径：≥100mm；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9、螺纹车削范围：0.5-3mm；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10、机器尺寸≥750*300*280mm；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11、重量：40Kg。随机附件：活顶尖（MT2）、卡盘反爪（3只）、交换齿轮、双头扳手、内六角扳手、卡盘钥匙等。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金工组合套装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680*375*252mm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一、带锯1台。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1、规格：≥680*375*252mm；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2、功率：≥550W；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3、切高89mm可调；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4、锯条周长≥1511mm，宽6-13mm；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5、空载≥1400转；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6、喉深≥232mm；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7、LED照明，激光对刀；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8、可切割：木材、铝型材、硬泡沫、亚克力；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9、配套木工直线锯条、曲线锯条和金工锯条各1根。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二、斜切锯1台。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1、功率:2200W(全铜线)；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2、电压频率:220v/50HZ；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3、转速:5500r/min；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4、吸尘器接口:30mm，有可拆卸集尘袋，方便灰尘收集、打理；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5、锯片直径:255mm，锯片孔径:25.4mm，有锯片切割防护罩；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6、锯深0-90°，75*305mm；45-90°，45*305mm；0-45°，75*210mm；45°-45°，45*210mm；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7、定位:红外激光；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8、驱动:齿轮驱动；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9、机头角度:单向45°；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10、可切割：铝板、石块、木料、金属材质、PVC管等；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11、净重:16kg；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12、包装尺寸:800*500*410mm。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三、角向磨光机1台。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1、额定电压：220V，额定频率：50Hz；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2、功率：≥850W；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3、最大切割直径φ100mm；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4、空载转速≥（r/min）11000。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四、小型砂轮机1台。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1、砂轮直径150mm；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2、电压220V，频率50Hz；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3、转速3000r/min；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4、功率370W。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五、平口钳1个。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2、材质：高碳钢。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六、台虎钳12个。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1、规格：钳口宽≥10cm，重量4.5kg。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七、錾刻套装1套。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铁砧1个：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1、规格：≥220mm*120mm，重量：约4.9kg；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2、材质：球磨铸钢，喷塑防锈，锻打淬火。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錾刻台1个：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1、规格：≥225mm*150mm*30mm，高硬度可移动錾刻台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2、材质：45号钢。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錾子1把：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1、规格：长度：63-65MM,头部直径：5mm,柄直径：6.2mm（各种纹路共20支）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2、材质：轴承钢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字母錾1套：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1、规格：包含数字和英文字母各一套，字宽2.3mm，字高4mm。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2、材质：合金钢。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窝作冲头套装1套：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1、规格：14件套，3-20mm，含坑铁；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2、材质：钢制。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金属定位冲1把：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1、规格：总长≥127mm；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简易平台1个：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1、规格：400mm×400mm；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2、材质：球墨铸铁，含底角。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八、圆头锤6把。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1、总长：350mm；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2、材质：锤头碳钢，木柄；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3、重量：900g。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九、钢锯（含锯条）6把。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1、规格：尺寸≥450mm；适用锯条长度≤460mm（含粗齿1盒（18牙），细齿1盒（24牙）100根/盒；）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2、材质：主体为钢管，手柄为金属材质。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金工材料</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100x150x3mm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100x150x3mm铁板1块，30x200x5mm扁铁1根，D12x200mm铁棒1支，D12x200mm黄铜棒1支，D20x200mm尼龙棒1支，3、4、5mm混装铆钉1袋，砂纸2张，38mm油漆刷1把，150ml防锈油1瓶,劳保手套1付，30x40cm擦机布2块。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电工工具箱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含22种必备常用工具。工具包括：电工胶布，5m，1卷；按摩柄螺丝批，6*100mmPH2# （十字一字各一），2把；按摩柄螺丝批，3*75mmPH1#，（十字一字各一），2把；按摩柄螺丝批，5*75mmP</w:t>
            </w:r>
            <w:r>
              <w:rPr>
                <w:rFonts w:hint="eastAsia" w:ascii="微软雅黑" w:hAnsi="微软雅黑" w:eastAsia="微软雅黑" w:cs="微软雅黑"/>
                <w:i w:val="0"/>
                <w:iCs w:val="0"/>
                <w:color w:val="000000"/>
                <w:sz w:val="18"/>
                <w:szCs w:val="18"/>
                <w:u w:val="none"/>
                <w:lang w:val="en-US" w:eastAsia="zh-CN" w:bidi="ar"/>
              </w:rPr>
              <w:t xml:space="preserve">H0# （十字一字各一），2把；钢卷尺，5m，1把；吸锡器，铝塑吸锡泵，1个；剥线钳，磨齿剥线钳、剥线经0.6-2.6mm，1把；刷子，软毛刷，1把；焊锡丝，1.0mm FLNX 2.0%，1卷；迷你钢锯，1把；测电笔，氖管，1支；活动扳手，8” ，1把；羊角锤，0.25KG铁柄，1把；钢丝钳，6” ，1把；尖嘴钳，6"，1把；斜口钳，6"，1把；数显万用表，DT830B数字，1台；精密螺丝批，PH00 PH0 -3.0 -2.0 -1.2，6把/套；电烙铁，30W，1把；美工刀，包胶，1把；烙铁架，1付。</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焊接通用工具及套件组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一、焊台（学生用），6套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1、规格：功率：60W；控温范围：200~480℃；温度稳定度：土1°C；焊咀对地阻抗：&lt;20；焊咀对地电压：&lt;2mv；外壳表面阻抗：infin；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2、材质：采用陶瓷发热芯，手柄采用PVC绝缘隔热材质。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二、焊接工具包，6套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焊接工具一应俱全，内含电烙铁、烙铁架、斜口钳、吸锡器、剥线钳、防静电镊子、焊锡丝、松香、高温海绵、防静电垫、清洁工具等。不仅是工具包，更是可移动的电子焊接实验室，质量好，能满足学生所有焊接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2、材质：具有海绵定位外包装。</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三、焊接辅工作台夹，6套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1、规格：10*13*15cm，镜片直径：62-65mm，放大倍数：5x；</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2、材质：全身铁质。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四、电子焊接练习套件（基础级），48套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学生可以通过这个套件的练习，明晰焊接原理，识别电子元器件，练习正确使用电烙铁的方法，初步掌握焊接技术。                                                         1、触摸报警实验：103电容*1、100uF电容*1、蜂鸣器*1、排针*1、470K电阻*1、NE555时基芯片*1、印刷电路板*1；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2、触摸开关实验：103电容*1、100uF电容*1、LED二极管*1、排针*1、9013三极管*1、470K电阻*1、100K电阻*2、NE555时基芯片*1、印刷电路板*1；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3、电子门铃实验：100uF电容电容*1、22uF电容*2、473电容*1、小喇叭*1、排针*1、9013三极管*3、9012三极管*1、470电阻*2、100K电阻*2、47K电阻*2、1K电阻*1、按键*1、印刷电路板*1；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4、定时振荡器实验：47uF电容*1、103电容*1、LED二极管*1、排针*1、10K电位器*2、NE555时基芯片*1、印刷电路板*1；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5、多谐振荡器实验：4.7uF电容*2、LED二极管*2、排针*1、9013三极管*2、470电阻*2、100K电阻*2、印刷电路板*1；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6、光控报警实验：103电容*1、100uF电容*1、蜂鸣器*1、排针*1、470K电阻*1、100K电阻*1、光敏电阻*1、NE555时基芯片*1、印刷电路板*1；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五、电子焊接练习套件（进阶级），48套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学生可以通过这个套件的练习，明晰焊接原理，识别电子元器件，练习正确使用电烙铁的方法，基本掌握焊接技术。                   1、光控电子鸟实验：103电容*1、473电容*1、100uF电容*1、小喇叭*1、排针*1、9013三极管*1、9012三极管*1、5.6K电阻*1、光敏电阻*1、100K电位器*1、印刷电路板*1；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2、门窗报警实验：103电容*1、100uF电容*1、水银开关*1、蜂鸣器*1、排针*1、470K电阻*1、NE555时基芯片*1、1K电阻*1、印刷电路板*1；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3、视力保护提醒器实验：LED二极管*1、红外发射二极管*1、红外接收二极管*1、蜂鸣器*1、排针*1、8050三极管*2、8550三极管*2、47k电阻*1、220电阻*1、47k电阻*1、光敏电阻*1、印刷电路板*1；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4、数码显示器实验：共阴数码管*1、排针*1、1K电阻*4、4位拨码开关*1、CD4511集成芯片*1、印刷电路板*1；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5、门禁自动控制实验：104电容*1、103电容*4、10uF电容*1、47uF电容*1、二极管 1N4007*1、LED二极管*1、5V继电器*1、排针*1、500K电位器*1、人体热释电传感器*1、排针*1、9014三极管*1、470K电阻*2、10K电阻*1、15K电阻*1、1M电阻*2、2M电阻*1、47K电阻*1、1K电阻*1、BISS0001+C172:C173集成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线调频话筒实验：102电容*2、15P电容*1、5P电容*1、100UF电容*1、10P电容*1、201电容*1、天线*1、7.5T线圈*1、驻极体话筒*1、排针*1、9018三极管*1、9013三极管*1、22K电阻*3、1.5M电阻*1、220电阻*1、印刷电路板*1、印刷电路板*1；</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电路实验箱组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一、安全用电操作维修实验箱，12套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灰色整体箱一个，规格：510*380*250mm，箱体采用一次性注塑成型,材料:汽车保险杠材料AL/ABS/PP抗压抗摔，带锁扣</w:t>
            </w:r>
            <w:r>
              <w:rPr>
                <w:rFonts w:hint="eastAsia" w:ascii="微软雅黑" w:hAnsi="微软雅黑" w:eastAsia="微软雅黑" w:cs="微软雅黑"/>
                <w:i w:val="0"/>
                <w:iCs w:val="0"/>
                <w:color w:val="000000"/>
                <w:sz w:val="18"/>
                <w:szCs w:val="18"/>
                <w:u w:val="none"/>
                <w:lang w:val="en-US" w:eastAsia="zh-CN" w:bidi="ar"/>
              </w:rPr>
              <w:t xml:space="preserve">。各种器材器材有序镶嵌在黑色发泡珍珠棉内衬里定点定位设置，便于运输和管理。本实验箱主要实现如下实验：具有1、人体模块。2、插座模块。3、淋浴模块。4、转换插座模块。5、用电器模块。6、无线遥控模块。7、声光控开关模块。8、触摸开关模块。9、人体感应开关模块。10、开关模块。11、漏电开关。12、空气开关。13、功率电表。14、保险丝模块。15、用电器插座（含空开）。16、微电脑定时器。17、灯管含支架。18、交流电机模块。19、万用表等。20、电工工具套装。21、安装面板（8520*370mm）可完成以下实</w:t>
            </w:r>
            <w:r>
              <w:rPr>
                <w:rFonts w:hint="eastAsia" w:ascii="微软雅黑" w:hAnsi="微软雅黑" w:eastAsia="微软雅黑" w:cs="微软雅黑"/>
                <w:i w:val="0"/>
                <w:iCs w:val="0"/>
                <w:color w:val="000000"/>
                <w:sz w:val="18"/>
                <w:szCs w:val="18"/>
                <w:u w:val="none"/>
                <w:lang w:val="en-US" w:eastAsia="zh-CN" w:bidi="ar"/>
              </w:rPr>
              <w:t xml:space="preserve">验：1、认识基本用电常识和安全标示；2、搭建家庭用电电路；3、漏电保护器的原理；4、练习使用微电脑定时器；5、使用万用表；6、双线触电实验；7、触摸电器（插座接线端）接线而触电；8、电器设备没有接地保护引起的单线触电；9、沐浴设备漏电的危害；10、人体感应灯实验；11、声光控灯实验；12、触摸开关灯；13、无线遥控灯实验；14、交流电机的接线与正反转实验；15、多控灯实验。通过1比1实际操作实验能让学生真实体会家庭电路的布置、安装及使用方法。从而学会对家庭电路高低压电的布置、安装、维护、维修等基本生活常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二、家庭电路系统实验箱，12套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该系统由三部</w:t>
            </w:r>
            <w:r>
              <w:rPr>
                <w:rFonts w:hint="eastAsia" w:ascii="微软雅黑" w:hAnsi="微软雅黑" w:eastAsia="微软雅黑" w:cs="微软雅黑"/>
                <w:i w:val="0"/>
                <w:iCs w:val="0"/>
                <w:color w:val="000000"/>
                <w:sz w:val="18"/>
                <w:szCs w:val="18"/>
                <w:u w:val="none"/>
                <w:lang w:val="en-US" w:eastAsia="zh-CN" w:bidi="ar"/>
              </w:rPr>
              <w:t xml:space="preserve">分组成：供电系统、家庭照明供电系统、用电器与插座三个部分。6V供电确保学生实验安全操作。各个部分的功能如下，供电系统功能：模拟交流电输入，交流电输入通过电能表、闸刀开关、保险丝后进入用电系统，了解电表和保险丝的作用。家庭照明供电系统：该系统由五种传感器组成：开关、声音传感器、人体感应传感器、触摸传感器和光电传感器组成。可进行：1、开关控制实验灯；2、声控灯实验；3、人体感应灯实验；4、触摸灯实验；5、光控灯实验；6、延时控制、7、多控灯等多种实验。8、用电器与插座：了解插座中的火线、零线和地线的连接和位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数字多用电表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可测量交直流电压电流、电阻、温度、电容、晶体管、频率。</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电子积木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可提供2000种以上电路,产品采用安全无毒ABS塑料制作，采用PPTC（自恢复保险）技术，使电路错装也不会发生安全问题。采用手控、光控、磁控、水控、触摸等多种控制方式，增强拼状的趣味性。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箱</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智慧教育智造课堂平台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Style w:val="1331"/>
                <w:color w:val="000000"/>
                <w:lang w:val="en-US" w:eastAsia="zh-CN" w:bidi="ar"/>
              </w:rPr>
              <w:t xml:space="preserve">1. 账号安全体系：</w:t>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t xml:space="preserve">采用多重防护机制，保障用户数据安全；</w:t>
            </w:r>
            <w:r>
              <w:rPr>
                <w:rStyle w:val="1331"/>
                <w:color w:val="000000"/>
                <w:lang w:val="en-US" w:eastAsia="zh-CN" w:bidi="ar"/>
              </w:rPr>
              <w:br w:type="textWrapping" w:clear="all"/>
            </w:r>
            <w:r>
              <w:rPr>
                <w:rStyle w:val="1331"/>
                <w:color w:val="000000"/>
                <w:lang w:val="en-US" w:eastAsia="zh-CN" w:bidi="ar"/>
              </w:rPr>
              <w:t xml:space="preserve">①登陆码登录（提供教师对应登陆账号密码，用来快速登录，增加账号的管理和可控性）。需由管理平台根据学校分配账号密码，统一管理，避免账号丢失，被盗的风险，提高信息的安全性。</w:t>
            </w:r>
            <w:r>
              <w:rPr>
                <w:rStyle w:val="1331"/>
                <w:color w:val="000000"/>
                <w:lang w:val="en-US" w:eastAsia="zh-CN" w:bidi="ar"/>
              </w:rPr>
              <w:br w:type="textWrapping" w:clear="all"/>
            </w:r>
            <w:r>
              <w:rPr>
                <w:rStyle w:val="1331"/>
                <w:color w:val="000000"/>
                <w:lang w:val="en-US" w:eastAsia="zh-CN" w:bidi="ar"/>
              </w:rPr>
              <w:t xml:space="preserve">② 数据加密传输（账号密码+LQ密钥管理系统）。首次开通需与管理后台建立联系，开通秘钥登录权限，增加秘钥可控性。防止秘钥丢失的损失。</w:t>
            </w:r>
            <w:r>
              <w:rPr>
                <w:rStyle w:val="1331"/>
                <w:color w:val="000000"/>
                <w:lang w:val="en-US" w:eastAsia="zh-CN" w:bidi="ar"/>
              </w:rPr>
              <w:br w:type="textWrapping" w:clear="all"/>
            </w:r>
            <w:r>
              <w:rPr>
                <w:rStyle w:val="1331"/>
                <w:color w:val="000000"/>
                <w:lang w:val="en-US" w:eastAsia="zh-CN" w:bidi="ar"/>
              </w:rPr>
              <w:t xml:space="preserve">③分配式注册（学生注册码+账号信息）。教师端注册完成后，需由教师将学生端注册码通知学生，使学生随时随地的查看课件内容，增加便携性和学生账号可控性。</w:t>
            </w:r>
            <w:r>
              <w:rPr>
                <w:rStyle w:val="1331"/>
                <w:color w:val="000000"/>
                <w:lang w:val="en-US" w:eastAsia="zh-CN" w:bidi="ar"/>
              </w:rPr>
              <w:br w:type="textWrapping" w:clear="all"/>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t xml:space="preserve">2. 多场景课程兼容架构</w:t>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br w:type="textWrapping" w:clear="all"/>
            </w:r>
            <w:r>
              <w:rPr>
                <w:rStyle w:val="1331"/>
                <w:color w:val="000000"/>
                <w:lang w:val="en-US" w:eastAsia="zh-CN" w:bidi="ar"/>
              </w:rPr>
              <w:t xml:space="preserve">基于微服务架构打造课程中枢平台，实现至少包含加工制作等课程内容符合劳动教育范畴的多功能室课程的统一接入，支持一账号多教室场景应用，避免多账号的不便利。通过动态资源分配算法确保多线程任务流畅性。</w:t>
            </w:r>
            <w:r>
              <w:rPr>
                <w:rStyle w:val="1331"/>
                <w:color w:val="000000"/>
                <w:lang w:val="en-US" w:eastAsia="zh-CN" w:bidi="ar"/>
              </w:rPr>
              <w:br w:type="textWrapping" w:clear="all"/>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t xml:space="preserve">3. 结构化课程资源库</w:t>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br w:type="textWrapping" w:clear="all"/>
            </w:r>
            <w:r>
              <w:rPr>
                <w:rStyle w:val="1331"/>
                <w:color w:val="000000"/>
                <w:lang w:val="en-US" w:eastAsia="zh-CN" w:bidi="ar"/>
              </w:rPr>
              <w:t xml:space="preserve">智慧教育课程资源平台：需涵盖高中通用技术的特色课程体系，覆盖面广，平台分为教师端和学生端。教师端需有老师上课使用的教案和PPT，无需再通过寻找素材备课。每课时需包括但不仅限于① 主题引入（教学目标/重难点/情景引入/活动导入）；② 分层教学设计（活动内容/设计/动动脑筋）；③ 实施实践（所需品准备/巧手制作/展示评价）；④ 活动总结（活动小结/活动延伸/思考/活动反思）等环节，充分调动学生学习思考的积极性以及动手能力的培养。</w:t>
            </w:r>
            <w:r>
              <w:rPr>
                <w:rStyle w:val="1331"/>
                <w:color w:val="000000"/>
                <w:lang w:val="en-US" w:eastAsia="zh-CN" w:bidi="ar"/>
              </w:rPr>
              <w:br w:type="textWrapping" w:clear="all"/>
            </w:r>
            <w:r>
              <w:rPr>
                <w:rStyle w:val="1331"/>
                <w:color w:val="000000"/>
                <w:lang w:val="en-US" w:eastAsia="zh-CN" w:bidi="ar"/>
              </w:rPr>
              <w:t xml:space="preserve">赛事体系：平台含有教育部白名单赛事案例和介绍以及相关产品制作视频、使用视频等，教师和学生可通过平台了解相关赛事，做好比赛准备，使学生学有所用，有一个充分展现学生能力的平台；</w:t>
            </w:r>
            <w:r>
              <w:rPr>
                <w:rStyle w:val="1331"/>
                <w:color w:val="000000"/>
                <w:lang w:val="en-US" w:eastAsia="zh-CN" w:bidi="ar"/>
              </w:rPr>
              <w:br w:type="textWrapping" w:clear="all"/>
            </w:r>
            <w:r>
              <w:rPr>
                <w:rStyle w:val="1331"/>
                <w:color w:val="000000"/>
                <w:lang w:val="en-US" w:eastAsia="zh-CN" w:bidi="ar"/>
              </w:rPr>
              <w:t xml:space="preserve">4.含数控机床、智慧城市、未来智能工厂、木工等课程：共约64个主题，每个主题2-4个课时。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生物常规实验室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实验教学教师端演</w:t>
            </w:r>
            <w:r>
              <w:rPr>
                <w:rStyle w:val="1330"/>
                <w:color w:val="000000"/>
                <w:lang w:val="en-US" w:eastAsia="zh-CN" w:bidi="ar"/>
              </w:rPr>
              <w:t xml:space="preserve">示系统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一、演示实验教学软件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1、教务管理：教师账号管理、班级管理、学生管理等系统设置；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2、教学演示：实验教学老师演示投放大屏，支持实时操作视频投放，操作视频进行录制完成后实时回放，录制视频可保存；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3、课件管理：精品教案资料上传修改，可分别录入必做实验视频库、选做实验视频库、分组实验视频库、演示实验视频库、探究实验视频库；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二、实验操作摄录装置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1、分辨率：1200万像素，帧率：30 帧/秒；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2、接口类型：USB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3、采用柔性软管式设计，可360°灵活调整摄像位置及角度；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4、拍摄高度750mm，拍摄行程600mm；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三、虚拟仿真实验软件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1、软件要求提供初中理化生仿真实验资源和真人录播视频数量；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2、软件采用互动教学模式对实验进行观察和交互式操作，实验资源以主流3D引擎作为核心开发工具，使得实验不仅具有可360°旋转，放大，缩小观察真实的实验现象还具有真实仿真的实验结果；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3、虚拟仿真实验教学资源需包含 3D 交互式实验教学资源、真人微课视频、视频资源、PPT课件资源、习题资源和图片资源六种类型；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48口接入交换机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1.交换容量≥432Gbps，包转发率≥87Mpps；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2.48个10/100/1000Base-T以太网端口，4个千兆SFP；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3.支持ARP表项≥4K；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4.支持RIP、RIPng、OSPF、OSPFv3路由协议；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5.支持DHCPv6 Snooping，DAI，SAVI等安全特性；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6.支持以太网环网保护协议ERPS，故障倒换时间≤50ms；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7.交换机支持音视频业务的智能运维，基于增强型媒体传输质量指标（Enhanced Media Delivery Index，eMDI）特性；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8.配置本项目需要千兆模块。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尺寸：3300*1600*100mm采用实木，环保，安全;木质坚韧，结构稳固；具有耐磨.耐压.耐撞击等优点；中间金属架支撑，稳固安全。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1、电源控制台（教师电源、主变压器控制箱）采用冷轧钢板喷塑制成，教师电源采用翻转式（使用时翻转45℃）。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2、分四组向学生桌输出安全的220V交流电源，具有漏电及过载保护功能，并具备防雷功能。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3、交流输入电压和四组输出电压分别由0~300V的数字电压表分别显示电压值。</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实验室专用防漏电(防触电)智能安全电源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430*347*150mm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尺寸：430*347*150mm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额定输入电压：220Vac（单相）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额定输入电流：23.9A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输入电压范围：220Vac ± 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3、输出参数：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额定输出功率：5KW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额定输出电压：220Vac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额定输出频率：50Hz/60Hz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额定输出电流：22.8A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电压输出精度：220V ± 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输出频率精度：50/60Hz ± 1Hz（出厂可设）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波形失真率：≤2% THD（线性负载）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动态响应时间：5%（0到100%）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4、过载能力：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120%，2分钟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150%，20秒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对地漏电流：&lt;0.7mA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输出效率：≥95%（85%阻性负载）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功率因子（PF）：0.9</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5、工作环境：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绝缘强度：F（2000Vac，1分钟）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噪音（1米）：≤40dB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使用环境温度：0°C 到 +55°C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防护等级：IP22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湿度：0到90%，不结露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使用海拔：≤4000米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6、保护功能：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输入欠压保护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输入过压保护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输出过载保护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输出短路保护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教师操作台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900*700*800mm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准备边台1</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准备边台2</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8400*600*800mm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学生实践台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定制学生实践台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升降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圆管栽培架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1250*500*1800mm（±20mm）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2、主体结构：采用不锈钢支架结构，8根Φ63 PVC-U管件组成；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3、工作模式：采用上端供水，下端出水模式。用水泵从出水端水箱向上端供水，以此循环；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4、种植数量：≥88孔；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5、设备功率：≤25W；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6、电源适应性：仪器在220V±10%，AC50/60Hz供电条件下正常工作；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7、利用管道循环供水，独立营养液供应水槽，独立控时自动循环供水，可设置10组循环程序。</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光照培养架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1250*500*1800mm（±20mm）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2、每层配三组高效自然光灯组；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3、每组灯独立开关；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4、光照3级可调；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5、独立开关，拆卸方便，暗式布线，无裸露连接线；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6、培养架采用任意可调模式，高度任意可调节；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7、带有独立控时装置，独立编程控时，每天最高可达12组编程控制，使用温度：-20℃-55℃，计时误差±1s/24h；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8、电源：在AC220V/50Hz±10%的条件下正常工作；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9、总功率：不大于336W。</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生物准备室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3350*700*800mm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中央准备台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小推车</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780*460*920mm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1.整车加大，加厚材料，不侧翻设计，5寸刹车轮。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2.不锈钢，底部加强筋设计。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3.承重500kg，净重22.5kg。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药品柜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1000*500*2000mm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1.柜体：侧板、顶底板采用改性PP材料增加强度，注塑模一次性成型，表面沙面和光面相结合处理，保证柜体之坚固及密封性，耐腐蚀性强；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2.下储物柜门：内框采用改性PP材质注塑模一次成型，外嵌≥5mm厚钢化烤漆玻璃；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3.上柜视窗们：内框采用改性PP材质注塑模一次成型，外嵌≥5mm厚钢化烤漆玻璃，中间烤漆镂空制作；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5.门把手：采用经过改性PP材质注塑模一次成型，与柜门平行，开启方便；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6.门铰链：采用经过射出成型的PP材料制成，耐腐蚀性好；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7.螺丝：PP材质，可选不锈钢304材质；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8.备注 ：可以用于各种腐蚀性化学品的储存，如硫酸、盐酸、硝酸、乙酸、硫磺酸等。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仪器柜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1000*500*2000mm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2.每个柜体均应为完整独立的落地型全钢制柜体设计。柜体采用钢材裸板厚度≥1.0mm一级冷轧钢板冲折制作，表面经磷化等防腐处理后再经环氧树脂静电粉末喷涂；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3.采用双开门型式，上部为玻璃开门(门框为整板开孔，双层门)，下部为钢制开门(双层门)；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4.上下柜各配置一块钢制层板，层板高度可以上下调节，不锈钢弓形拉手。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放大镜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1.手持式；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2.放大倍率：5×；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3.有效通光孔径不小于30mm。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光学显微镜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1、双目观察筒:30°铰链式双目镜筒，可360°旋转，±5视度可调瞳距55-75mm，可实现长时间观察也能确保舒适。机械筒长：160mm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2、消色差物镜：高质量消色差物镜，4X,10X,40X(弹簧),100X(弹簧,油),成像清晰，细节可见。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3、阿贝聚光镜螺旋升降式结构：NA1.25阿贝聚光镜，配可变光阑，聚光镜采用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4、长寿命LED照明:下光源采用1WL</w:t>
            </w:r>
            <w:r>
              <w:rPr>
                <w:rFonts w:hint="eastAsia" w:ascii="微软雅黑" w:hAnsi="微软雅黑" w:eastAsia="微软雅黑" w:cs="微软雅黑"/>
                <w:i w:val="0"/>
                <w:iCs w:val="0"/>
                <w:color w:val="000000"/>
                <w:sz w:val="18"/>
                <w:szCs w:val="18"/>
                <w:u w:val="none"/>
                <w:lang w:val="en-US" w:eastAsia="zh-CN" w:bidi="ar"/>
              </w:rPr>
              <w:t xml:space="preserve">ED照明，连续可调，节能环保，具有超长的使用寿命。 5、总放大倍数40X-1000X(最大可选1600X);                                      6、目镜:WF10X、WF16X目镜（选配）;                                                    7、载物台：125mmX110mm双层机械载物台；                                                   8、光源：1W LED光源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望远镜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双筒，7×35</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离心沉淀器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手摇式。产品由机壳、蜗轮、离心管、离心管管套、离心管管架组成。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  机壳由铸铁制成，壳体要求薄厚均匀，表面烤漆，壳体上的蜗轮轴、蜗杆二轴孔线的垂直度不超过0.10mm。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  蜗杆为双头蜗杆，碳钢制成。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  蜗轮齿数为32齿，铸铁制成。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  蜗轮轴由碳钢制成。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  离心管为玻璃材料制成，管壁上有表示容积的刻线，每单位刻度表约1mL，透明度好，离心管管套由塑料制成，要求薄厚均匀，不得有明显的凹陷。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  离心管管架由厚为不小于1mm的冷板制成。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  产品应能稳定在10～40mm厚的支持物上，各转动处配合松紧适度，蜗轮与蜗杆啮合良好，摇动手柄仪器各部分转动灵活且无显著回响。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整理箱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1、矮型，储存及分发药品用。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2、塑料材质应无毒无害。</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保温桶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1L～2L</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方座支架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1.组成：由方形座、立杆（Φ12mm×600mm）、烧瓶夹（6.5cm）、大小铁环（内径9cm、内径6cm）、垂直夹（2只）、平行夹、吊杆等组成;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2.技术要求：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（1）方形座不小于210mm×135mm，质量≥1.5kg，表面进行防锈防腐蚀处理；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（2）平行夹、烧瓶夹铁片厚度≥1.0mm，烧瓶夹夹口内壁有耐热不低于120℃的缓压层，缓压层厚度≥2.0mm；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三脚架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1.采用碳钢制造，表面经酸洗，磷化后喷塑；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2.环内径75mm，高150mm，三脚均布，三脚及支撑环钢材直径不小于6mm；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3.三只脚与铁环焊接紧固，焊点光滑、平整，脚距相等，立放台上时圆环应与台面平行，所支撑的容器不得有滑动。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软尺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用于测量物体的尺寸或距离。</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测微尺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显微镜用，台式。玻璃，配显微镜用。1.物镜测微尺是一种标准刻尺，其尺度总长为1mm，分为100等份，每一分度值为0.01mm。2.玻璃外形尺寸：约为75mm×25mm×1mm。3.塑料盒包装。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托盘天平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1.最大称量为：200g，标尺称量为:0-5g，分度值e=d：0.2g；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2.秤盘Φ：84mm，净重:0.8kg。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0℃～100℃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红液，0℃～100℃，分度值1℃，示值误差＜1.5℃。</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0～200℃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水银，0～200℃，分度值1℃，示值误差＜0.5℃，有保护套。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血压计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台式血压计，测量范围：0～40kPa（0～300mmHg),适宜工作环境条件：温度：5oC±40oC；相对湿度≤80%；大气压力：86kPa～106kPa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肺活量计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一次性吹嘴，容积不小于5L。1、外筒为不锈钢制，直径约150mm，高约410mm。2、浮筒为塑料吹塑成型，外径145mm，高约370mm，测面印刷毫升刻度标尺，活动自如。3、附塑料吹嘴5个。</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解剖器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1.解剖器由不锈钢制成，有解剖刀２件、解剖剪刀２件、镊子２把和解剖针(探针)１把；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2.演示用生物仪器，供中学教学作动物解剖用；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3.解剖剪尖部两叶头应交叉吻合、平齐；镊子弹性适中，紧合镊臂后，尖端应密合，不能有缝隙和微张现象；刀刃应无缺口、裂纹现象；针应挺直光滑；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4.七件解剖器存放应定位可靠，不摇晃。</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解剖盘</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生物仪器，供中小学生作动物解剖时用。,由铝合金或搪瓷制成，盘边用卷边以增加强度。体积不小于200mm×160mm×16,附腊，腊的厚度不小于盘深的1/3，腊质软化温度不低于45℃</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骨剪</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1.骨剪用不锈钢制作，骨剪总长度不小于130ｍｍ；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2.生物学常用工具，供生物解剖用，骨剪剪刀刃的硬度不小于ＨＲＣ６５－７０。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接种环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接种棒为不锈钢材质，接种丝为耐热合金，环内径2mm～3mm。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徒手切片器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材质为金属。罗旋刻度尺的分度值：0.01mm。切片平台平整、光滑。夹持装置应夹持可靠。</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根纵剖模型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1.模型以单子叶植物玉米的根尖为主要参考材料。根尖中部做不同方向的纵剖面，突出维管柱，示根冠、分生区(生长点)、伸长区、成熟区(根毛区)和原形成层等；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2.产品应有根尖纵、横剖面，固定于支架上，产品选用无毒硬质塑料制作；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3.可水平移动；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4.成熟区做不同层次的横剖，示表皮、皮层和维管柱；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5.各种类型的细胞特点应明显、正确；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6.各区颜色的过度应自然；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7.根冠高7～100mm，分生区高10～110mm，伸长区高18～200mm；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8.根毛与表皮的粘接应自然、牢固；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9.说明书附结构示意图；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10.符合JY191—85《根纵剖模型技术条件》的规定。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导管、筛管结构模型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1.显微结构的立体放大模型；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2.包括环纹导管、螺纹导管、网纹导管、孔纹导管及筛管；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3.各种导管及筛管的形态结构应正确、自然；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4.选用无毒硬质透明塑料制作，各管应按自然顺序排列在底座上；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5.各种导管及筛管的外Φ依次不小于40mm、40mm、50mm、60mm、40mm。长度不小于250mm，两端开口；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6.环、螺、网纹导管模型须显示至少一个分子间界，筛管及孔纹导管至少显示一个分子，筛管一侧还应示伴胞。各部位粘接应牢固，且内部纹路应相互吻合。说明书附结构示意图；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7.符合JY296—87《导管、筛管结构模型技术条件》的规定。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单子叶植物茎模型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应明显显示表皮、机械组织、薄壁细胞、维管束、维管束鞘、环纹导管、螺纹导管、孔纹导管、筛管和伴胞、气道，各结构应位置准确，修饰自然、正确。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双子叶草本植物茎模型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应以向日葵茎为参考材料，示双子叶草本植物茎纵、横切面的结构，应示角质层、表皮、厚角组织、薄壁组织、维管束、髓、髓射线、环纹导管、螺纹导管、孔纹导管、筛管和伴胞、形成层各部位。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叶构造模型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以蚕豆叶为参考材料，示双子叶植物叶的构造，示上表皮、下表皮、栅栏组织、海绵组织、主脉、侧脉、木质部、韧皮部、形成层、气孔等部位。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桃花模型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放大的盛开状态的桃花模型，花冠的Φ330±15mm，示花柄、花托、花萼、花冠、雄蕊和雌蕊，花瓣、雌蕊可拆装，子房做纵剖。</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蛙胚胎发育模型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1.模型应采用ＰＶＣ硬塑制作；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2.供中学生物教学实验用的生物模型，用于观察水螅形态结构的教学与实验。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头、颈、躯干模型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1.模型为高约850mm之男性成人头、颈躯干解剖模型。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人体骨骼模型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模型为850mm男性成人骨骼模型，各部分骨的形态特征，正确清晰，富有真实感，骨缝清楚，骨性鼻腔，眶及所有孔，管、沟、裂显示正确自然。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眼球解剖模型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6倍自然大，采用硬质热塑性塑料制作，角膜、虹膜完整显示，两者和眼球内的晶状体、玻璃体分别可拆下，各部的肌肉、膜壁、血管和神经等的形态结构、位置、比例、颜色均正确自然。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心脏解剖模型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1.3倍自然大；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2.供中学生物教学实验用，用于观察心脏形态结构的教学实验，三倍自然大。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喉解剖模型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正确显示喉软骨、喉肌、喉腔、喉口等结构特征。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肺泡模型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正确显示细支气管、呼吸性细支气管、肺泡管、肺泡囊、肺泡、肺泡隔、肺动脉、肺静脉、肺泡毛细血管网、支气管动脉、支气管静脉、平滑肌、弹性纤维等结构特征。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脑解剖模型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自然大，大脑做正中矢状切面，左侧脑半球经外侧沟向枕部再做水平切面，并保留完整的脑干形态，应示大脑、小脑、延髓、脑桥、上下丘、胼胝体、透明隔、嗅球、视神经、动眼神经等部位。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耳解剖模型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6倍自然大，完整显示外耳道、鼓膜、听小骨、鼓室、咽鼓管、鼓膜张肌、乳突窦、前庭、骨半规管、耳蜗、前庭窗、蜗窗、前庭蜗神经等结构。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男性泌尿生殖系统模型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自然大，结构清晰，位置精准，比例适宜。</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女性泌尿生殖系统模型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供中学生物教学实验用，自然大，结构清晰，位置精准，比例适宜，用于观察女性泌尿生殖系统的教学与实验。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膈肌运动模拟器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高度250±15mm，宽度或Φ220±15mm，膈的Φ(或长径)≥17mm；模拟显示胸腔、膈、气管、支气管、肺(或肺泡)等结构。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始祖鸟化石及复原模型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复合材料</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鱼解剖标本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动物学包埋标本，用于观察鱼内部各系统形态结构的教学与实验。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蛙解剖标本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蜥蜴解剖标本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1.标本由石龙子科、蜥蜴科或鬣蜥科中较大型的个体制作，体长≥100mm（从吻端到尾基）。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2.标本沿腹中线切开，体壁翻两侧，前后肢自然伸展，肩带和腰带的腹面切掉。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3.血管内分注红、蓝两种色剂。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4.标本的背面向树脂块后侧，显示消化系统、呼吸系统、循环系统、排泄系统、生殖系统。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5.标本包埋于安全无毒的透明树脂块中。标本边角平滑美观，标本表面打磨平整，无明显伤痕；标本无明显气泡和杂质，直径大于3mm的气泡不得超过2个。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2.产品尺寸规格：190*100*32mm（误差±5mm）。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鸽解剖标本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兔解剖标本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蛙发育顺序标本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1.标本应由蛙的8个发育期组成，④～⑧期形体完整，姿态自然。无明显干瘪发黑现象。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其他要求符合(JY148-82)蛙发育顺序标本技术条件。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2.产品尺寸规格：140*64*18mm（误差±2mm）。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蛔虫标本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1.选用雌虫体长不小于200～350㎜，雄虫体长不小于150～250㎜的成虫制成，雌雄一同包埋于同一透明有机树脂块中。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2.产品尺寸规格：164*78*20mm（误差±2mm）。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寄生绦虫囊尾蚴猪肉标本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适合中学生物实验，用于观察标本内部各系统形态结构的教学与实验。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蝗虫生活史标本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1.标本选用东亚飞蝗、亚洲飞蝗或棉蝗制作，展示昆虫的不完全变态。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2.标本由卵、一至五龄的跳蝻、雄性成虫、雌性成虫和被害物组成。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3.固定在透明的树脂材料中，虫体以腹面向下定位。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4.蝗虫经过整姿处理，蝗虫及被害物表面无泛白现象。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2.产品尺寸规格：140*64*20mm（误差±2mm）。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蜜蜂生活史标本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1.标本选用意蜂或中蜂制作，显示昆虫的完全变态、社会性昆虫不同及类型个体。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4.蜜蜂经过整姿处理，身体表面无泛白现象。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5.标本包埋于安全无毒的透明树脂块中。标本边角平滑美观，标本表面打磨平整，无明显伤痕。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2.产品尺寸规格：140*64*18mm（误差±2mm）。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家蚕生活史标本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1.标本由卵、幼虫（四龄）、蛹、雌雄成虫及茧组成，附蚕丝、丝织品、桑叶。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2.成虫应展翅，昆虫表面无泛白现象。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3.标本包埋于安全无毒的透明树脂块中。标本边角平滑美观，标本表面打磨平整，无明显伤痕；标本无明显气泡和杂质，树脂块中直径大于3mm的气泡不得超过1个。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2.产品尺寸规格：140*64*18mm（误差±2mm）。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菜粉蝶生活史标本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1.标本由菜粉蝶的卵、幼虫、蛹、雌雄成虫及被害物组成，按生活史顺序排列，显示其完全变态。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2.成虫展翅，昆虫表面无泛白现象。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3.标本包埋于安全无毒的透明树脂块中。标本边角平滑美观，标本表面打磨平整，无明显伤痕；标本无明显气泡和杂质，树脂块中直径大于3mm的气泡不得超过1个。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2.产品尺寸规格：140*64*18mm（误差±2mm）。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兔骨骼标本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1.选用家兔骨骼制作。标本显示中轴骨骼的头骨、舌器骨、七块颈椎骨、十二或十三块胸椎骨、六或七块腰椎骨、荐骨、十五或十八块尾椎骨、十二或十三对肋骨、六块胸骨。锁骨固定在前肢骨上方的树脂块内。</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2.产品尺寸规格：200*90*40mm（误差±5mm）。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鱼骨骼标本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1.标本选用鳍条完整、骨骼形态正常的鲫鱼或鲤鱼制作。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2.标本左侧的鳃盖骨和下鳃盖骨应卸下，显示头部的舌弓、腮弓、肩带与头骨之连接方式和围耳骨等形态结构。另附尾椎一节。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2.产品尺寸规格：200*90*40mm（误差±5mm）。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蛙骨骼标本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1.标本选用体长不小于80mm的蟾蜍制作。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2.产品尺寸规格：135*90*35mm（误差±5mm）。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鸽骨骼标本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1.标本选用成熟家鸽制作。标本以自然站立姿态固定在安全无毒的透明树脂块中，多附颈椎骨一块。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2.产品尺寸规格：180*140*75mm（误差±5mm）。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褐藻类植物原色覆膜标本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本标本由海带、裙带菜、鹿菜和海蒿子等四种组成。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红藻类植物原色覆膜标本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产品由紫菜、石花菜、海索面、海萝卜等组成。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节肢动物标本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1.标本选用6种节肢动物制作。动物经整姿处理，体表无泛白现象。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2.产品尺寸规格：164*78*20mm（误差±2mm）。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昆虫标本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1.标本由7种常见昆虫组成。昆虫经整姿处理，体表无泛白现象。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2.产品尺寸规格：164*78*20mm（误差±5mm）。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植物根尖纵切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应取材于玉米根，取材部位为根冠至根毛区，应明显显示根冠、分生区、伸长区、根毛区和原形成层等。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南瓜茎纵切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应能看清皮层、机械组织、薄壁组织、双韧维管束和髓腔，在双韧维管束的纵断面上应能看清网纹导管或环纹导管或螺纹导管中的两种和筛管、筛板等结构。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木本双子叶植物茎横切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取材于三年生椴木枝，应能看清表皮、木栓层、厚角组织、皮层、韧皮部、形成层、木质部、髓部和髓射线。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植物细胞有丝分裂</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1.前期：膜仁消失现两体；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2.中期：形定数晰赤道齐；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3.后期：点裂数加均两极；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4.末期：两消三现重开始。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迎春叶横切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显示叶片横断面的上下表皮、栅栏组织、海绵组织及叶脉等。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青霉装片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能看清分生孢子梗和顶端的扫帚枝，菌丝、孢子梗、孢子应无收缩。</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细菌三型涂片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示球菌、杆菌、螺旋菌三种形态。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曲霉装片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应能看清营养菌丝及其上的分生孢子梗、顶囊和顶端的分生孢子。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马蛔虫受精卵切片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取材马蛔虫子宫，做子宫纵切片，材料长度不小于10mm,每张玻片横放材料一片;也可做子宫的横切片，每张玻片放不同部位的横切片2-4片，已保障观察到细胞分裂的各个时期。</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水螅带芽整体装片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取材于动物的肠系膜等，应能看清由边缘不规则而呈锯齿状的扁平细胞组成的单层上皮。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单层扁平上皮装片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腱纵切，取材于哺乳动物或两栖动物的跟腱或尾腱，应能看清平行排列的胶原纤维束和呈不规则四边形的腱细胞。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纤维结缔组织切片(腱纵切)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取材于哺乳细胞的皮下结缔组织，应能看清纵横交错的胶原纤维和弹力纤维以及大量的成纤维细胞。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疏松结缔组织装片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取材于哺乳细胞的皮下结缔组织，应能看清纵横交错的胶原纤维和弹力纤维以及大量的成纤维细胞。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人血涂片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染色均匀，能看清红血细胞和白血细胞，细胞不重叠、无变形和自溶现象。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骨骼肌纵横切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取材于哺乳动物的膈肌，应能看清肌外膜、肌束膜、肌纤维膜、肌纤维及其细胞核和小血管等。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平滑肌分离装片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取材于两栖动物或哺乳动物消化管的基层，应能看清大部分被分离成单个的长梭形平滑肌细胞。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心肌切片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取材于哺乳动物的心脏，应能看清柱状并具有分枝的肌纤维(肌细胞)。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运动神经元装片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1.正确的取材部位选取材料，取材新鲜;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2.切片厚薄均匀，无刀痕、破裂、皱折等现象;3.粘片平整细胞组织界限清楚、形态正常、组织器官着色明显、清晰、均匀、切片染色对比鲜明。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动静脉血管横切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取材于哺乳动物的腹主动脉和下腔静脉，内皮应90%以上完整。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小肠切片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应能看清粘膜，包括绒毛、粘膜肌层和肠腺，粘膜下层、肌层和浆膜等。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字母“e”装片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多重染色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正常人染色体装片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多重染色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分度0.2ml允差0.2ml身外径16mm全高135mm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分度1.0ml允差1.0ml身外径26mm全高195mm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分度1.0ml允差1.0ml身外径32mm全高250mm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分度5.0ml允差5.0ml身外径55mm全高350mm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Φ15*150mm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Φ30*200mm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Φ30*200mm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壁厚均匀，坚固耐用，杯底平滑受热均匀。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壁厚均匀，坚固耐用，杯底平滑受热均匀。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壁厚均匀，坚固耐用，杯底平滑受热均匀。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外径85mm高度120mm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锥形瓶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100ml，放在平台上直立不摇晃.不转动。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锥形瓶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250ml，放在平台上直立不摇晃.不转动。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干燥器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口内径150mm口外径210mm盖高87mm全高215mm，附瓷板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滴管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经久耐用，透明度高，容易观察。</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离心管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分度0.1ml外径17mm全长110mm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玻璃钟罩</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Φ150*280mm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1.用于设计密闭实验装置，如用于观察植物体内水的散失现象；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2.规格：Φ150 mm×280 mm，玻璃壁厚度＞3 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U型干燥管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Φ15mm*150mm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U型，Φ15mm×150mm，硼硅酸盐玻璃制，两管应平行，管口高度误差不大于5mm，符合JY/T0436标准要求</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广口瓶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125ml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125ml，透明钠钙玻璃制，瓶塞与瓶口紧实，不晃动：口部圆整光滑，底部平整，放置平台上不摇晃或转动。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细口瓶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1.瓶塞与瓶口紧实，不晃动；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细口瓶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1.瓶塞与瓶口紧实，不晃动；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滴瓶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30mL，黄棕色钠钙玻璃制，瓶口细磨，磨砂面均匀细腻，滴管附橡胶帽，吸放弹性好，开口直径6mm，与滴管口套合牢固稳定。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茶色滴瓶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30ml身外径40mm全高76mm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茶色滴瓶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60ml身外径46mm全高85mm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试管夹</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止水皮管夹</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Φ3mm钢丝制成，作防锈处理，夹持角度≥60º。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药匙</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药匙塑料，长度≥100mm，带小勺，材质可选金属、牛角、塑料。</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培养皿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60mm玻璃薄厚均匀、耐高温高压。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培养皿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Φ90mm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90mm玻璃薄厚均匀、耐高温高压。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研钵</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瓷或玻璃制，配有研杵，内部粗糙便于研磨，外部光滑。</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记数载玻片（计数板）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22*26*0.5mm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22mm×26mm，厚0.5mm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载玻片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1.规格：25.4mm*76.2mm，厚度1-1.2mm，50片/盒，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2.全透明；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3.八棱倒角。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盖玻片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1.规格：正方形，18mm*18mm*0.17mm；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2.符合JB/T8230.4-1997标准要求。</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一字螺丝刀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Φ3或Φ6mm；中号，木制手柄。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十字螺丝刀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Φ3或Φ6mm；中号，木制手柄。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钢手锯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1.由钢锯弓、钢锯条组成；金属锯身，锯弓尺寸可以调节，锯条长度约300mm；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2.手柄握捏部位应光滑舒适；采用钢材；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3.锯架表面不应有裂纹，锈渍、毛刺、剥落等缺陷，表面处理色泽一致；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4.锯条不少于10条；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5.锯条和锯弓配合良好。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剥线钳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0.5～2.5mm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1.高强度铝合金压著钳体，金属漆处理；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2.上下刀口感应淬火，剥线快速；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3.附可调节量线杆，保证每次剥线长度一致。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钢丝钳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手锤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1.采用45号高碳钢精工铸造，表面抛光处理，敲击面热处理，硬度45-48HRC，纤维手柄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活扳手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1.采用45号高碳钢精工锻造，扳口精密加工，开口灵活，加簧蜗杆保持扳口稳定。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砂轮片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13.5*2*2mm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断玻璃管用，砂粒度：120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片</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昆虫网</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虫网采用纤维尼龙网布，虫网圈直径约200mm，深约400mm，均采用直径2.8mm的圆铁丝折弯成形，带塑料连接柄。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枝剪</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1.材质为炭钢45﹟以上，应进行淬火处理，硬度不低于HRC51；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2.总长度不小于200mm；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3.枝剪刀刃间隙适度，刃面相互平行，刀线整齐，刃口锋利，无崩刃。弹簧必须用弹簧钢，弹性良好，弹力均匀，不应有卡紧现象，并附剪鞘；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4.枝剪表面光洁，无裂纹，无毛刺，并经过发黑处理。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水网</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网口内径50cm，网身长145cm，网目孔径≤1mm。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橡皮锤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1.产品由橡皮头和塑料手柄组成；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2.橡皮头为Φ≥20mm的半球形物体；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3.手柄长≥160mm，表面应平整清洁，不应有划痕、溶迹、缩迹，边缘不应有毛刺、变形、破边和凹凸不平；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4.手柄和橡皮头应接合紧凑，不应松动。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工作服</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防酸碱工作服，白色。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乳胶手套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耐酸手套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副</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电子天平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1000g，0.1g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解剖针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六菱，医用，全钢</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剪刀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不锈钢材质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bl>
    <w:p>
      <w:pPr>
        <w:pStyle w:val="736"/>
        <w:rPr>
          <w:color w:val="000000"/>
          <w:lang w:val="zh-CN"/>
        </w:rPr>
        <w:sectPr>
          <w:footnotePr/>
          <w:endnotePr/>
          <w:type w:val="nextPage"/>
          <w:pgSz w:w="16838" w:h="11906" w:orient="landscape"/>
          <w:pgMar w:top="1191" w:right="1418" w:bottom="1191" w:left="1418" w:header="851" w:footer="680" w:gutter="0"/>
          <w:cols w:num="1" w:sep="0" w:space="1701" w:equalWidth="1"/>
          <w:docGrid w:linePitch="360"/>
        </w:sectPr>
      </w:pPr>
      <w:r>
        <w:rPr>
          <w:color w:val="000000"/>
          <w:lang w:val="zh-CN"/>
        </w:rPr>
      </w:r>
      <w:r/>
    </w:p>
    <w:p>
      <w:pPr>
        <w:pStyle w:val="779"/>
        <w:jc w:val="center"/>
        <w:spacing w:line="360" w:lineRule="auto"/>
        <w:rPr>
          <w:rFonts w:hint="eastAsia" w:ascii="宋体" w:hAnsi="宋体" w:eastAsia="宋体" w:cs="宋体"/>
          <w:color w:val="000000"/>
          <w:szCs w:val="21"/>
          <w:lang w:val="zh-CN"/>
        </w:rPr>
        <w:outlineLvl w:val="0"/>
      </w:pPr>
      <w:r/>
      <w:bookmarkStart w:id="43" w:name="_Toc9877"/>
      <w:r>
        <w:rPr>
          <w:rFonts w:hint="eastAsia" w:ascii="宋体" w:hAnsi="宋体" w:eastAsia="宋体" w:cs="宋体"/>
          <w:b/>
          <w:bCs/>
          <w:color w:val="000000"/>
          <w:spacing w:val="-10"/>
          <w:sz w:val="36"/>
          <w:szCs w:val="36"/>
          <w:lang w:val="zh-CN"/>
        </w:rPr>
        <w:t xml:space="preserve">第五章  合同主要条款及格式</w:t>
      </w:r>
      <w:bookmarkEnd w:id="43"/>
      <w:r>
        <w:rPr>
          <w:rFonts w:hint="eastAsia" w:ascii="宋体" w:hAnsi="宋体" w:eastAsia="宋体" w:cs="宋体"/>
          <w:color w:val="000000"/>
          <w:szCs w:val="21"/>
          <w:lang w:val="zh-CN"/>
        </w:rPr>
      </w:r>
      <w:r/>
    </w:p>
    <w:p>
      <w:pPr>
        <w:pStyle w:val="736"/>
        <w:ind w:firstLine="640"/>
        <w:jc w:val="center"/>
        <w:spacing w:line="360" w:lineRule="auto"/>
        <w:widowControl/>
        <w:rPr>
          <w:rFonts w:hint="eastAsia" w:ascii="Calibri" w:hAnsi="Calibri" w:cs="方正小标宋简体"/>
          <w:bCs/>
          <w:color w:val="000000"/>
          <w:sz w:val="32"/>
          <w:szCs w:val="32"/>
        </w:rPr>
        <w:outlineLvl w:val="1"/>
      </w:pPr>
      <w:r/>
      <w:bookmarkEnd w:id="18"/>
      <w:r/>
      <w:bookmarkStart w:id="44" w:name="_Toc31258"/>
      <w:r/>
      <w:bookmarkStart w:id="45" w:name="_Toc16496"/>
      <w:r>
        <w:rPr>
          <w:rFonts w:hint="eastAsia" w:ascii="Calibri" w:hAnsi="Calibri" w:cs="方正小标宋简体"/>
          <w:bCs/>
          <w:color w:val="000000"/>
          <w:sz w:val="32"/>
          <w:szCs w:val="32"/>
        </w:rPr>
        <w:t xml:space="preserve">政府采购合同（货物）</w:t>
      </w:r>
      <w:bookmarkEnd w:id="44"/>
      <w:r>
        <w:rPr>
          <w:rFonts w:hint="eastAsia" w:ascii="Calibri" w:hAnsi="Calibri" w:cs="方正小标宋简体"/>
          <w:bCs/>
          <w:color w:val="000000"/>
          <w:sz w:val="32"/>
          <w:szCs w:val="32"/>
        </w:rPr>
      </w:r>
      <w:r/>
    </w:p>
    <w:p>
      <w:pPr>
        <w:pStyle w:val="736"/>
        <w:ind w:firstLine="480"/>
        <w:jc w:val="center"/>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合同编号：</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项目名称：                                       </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甲方（买方）：南京江北新区管理委员会教育局</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乙方（</w:t>
      </w:r>
      <w:bookmarkStart w:id="46" w:name="OLE_LINK64"/>
      <w:r/>
      <w:bookmarkStart w:id="47" w:name="OLE_LINK65"/>
      <w:r>
        <w:rPr>
          <w:rFonts w:hint="eastAsia" w:ascii="宋体" w:hAnsi="宋体" w:cs="宋体"/>
          <w:color w:val="000000"/>
          <w:sz w:val="24"/>
          <w:szCs w:val="24"/>
        </w:rPr>
        <w:t xml:space="preserve">卖方</w:t>
      </w:r>
      <w:bookmarkEnd w:id="46"/>
      <w:r/>
      <w:bookmarkEnd w:id="47"/>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丙方（受托代建单位）：</w:t>
      </w:r>
      <w:bookmarkStart w:id="48" w:name="OLE_LINK59"/>
      <w:r/>
      <w:bookmarkStart w:id="49" w:name="OLE_LINK58"/>
      <w:r>
        <w:rPr>
          <w:rFonts w:hint="eastAsia" w:ascii="宋体" w:hAnsi="宋体" w:cs="宋体"/>
          <w:color w:val="000000"/>
          <w:sz w:val="24"/>
          <w:szCs w:val="24"/>
        </w:rPr>
        <w:t xml:space="preserve">南京市江北新区公共工程建设中心</w:t>
      </w:r>
      <w:bookmarkEnd w:id="48"/>
      <w:r/>
      <w:bookmarkEnd w:id="49"/>
      <w:r>
        <w:rPr>
          <w:rFonts w:hint="eastAsia" w:ascii="宋体" w:hAnsi="宋体" w:cs="宋体"/>
          <w:color w:val="000000"/>
          <w:sz w:val="24"/>
          <w:szCs w:val="24"/>
        </w:rPr>
      </w:r>
      <w:r/>
    </w:p>
    <w:p>
      <w:pPr>
        <w:pStyle w:val="736"/>
        <w:ind w:firstLine="480"/>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鉴于受托代建单位</w:t>
      </w:r>
      <w:bookmarkStart w:id="50" w:name="OLE_LINK73"/>
      <w:r/>
      <w:bookmarkStart w:id="51" w:name="OLE_LINK72"/>
      <w:r>
        <w:rPr>
          <w:rFonts w:hint="eastAsia" w:ascii="宋体" w:hAnsi="宋体" w:cs="宋体"/>
          <w:color w:val="000000"/>
          <w:sz w:val="24"/>
          <w:szCs w:val="24"/>
        </w:rPr>
        <w:t xml:space="preserve">南京市江北新区公共工程建设中心</w:t>
      </w:r>
      <w:bookmarkEnd w:id="50"/>
      <w:r/>
      <w:bookmarkEnd w:id="51"/>
      <w:r>
        <w:rPr>
          <w:rFonts w:hint="eastAsia" w:ascii="宋体" w:hAnsi="宋体" w:cs="宋体"/>
          <w:color w:val="000000"/>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u w:val="single"/>
          <w:lang w:eastAsia="zh-CN"/>
        </w:rPr>
        <w:t xml:space="preserve">江北新区滨江实验学校工程项目</w:t>
      </w:r>
      <w:r>
        <w:rPr>
          <w:rFonts w:hint="eastAsia" w:ascii="宋体" w:hAnsi="宋体" w:cs="宋体"/>
          <w:color w:val="000000"/>
          <w:sz w:val="24"/>
          <w:szCs w:val="24"/>
          <w:u w:val="single"/>
        </w:rPr>
        <w:t xml:space="preserve">实验室装备采购</w:t>
      </w:r>
      <w:r>
        <w:rPr>
          <w:rFonts w:hint="eastAsia" w:ascii="宋体" w:hAnsi="宋体" w:cs="宋体"/>
          <w:color w:val="000000"/>
          <w:sz w:val="24"/>
          <w:szCs w:val="24"/>
        </w:rPr>
        <w:t xml:space="preserve">及有关事项协商一致，共同达成如下协议：</w:t>
      </w:r>
      <w:r>
        <w:rPr>
          <w:rFonts w:hint="eastAsia" w:ascii="宋体" w:hAnsi="宋体" w:cs="宋体"/>
          <w:color w:val="000000"/>
          <w:sz w:val="24"/>
          <w:szCs w:val="24"/>
        </w:rPr>
      </w:r>
      <w:r/>
    </w:p>
    <w:p>
      <w:pPr>
        <w:pStyle w:val="736"/>
        <w:ind w:firstLine="482"/>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一、合同内容</w:t>
      </w:r>
      <w:r>
        <w:rPr>
          <w:rFonts w:hint="eastAsia" w:ascii="宋体" w:hAnsi="宋体" w:cs="宋体"/>
          <w:b/>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1.1标的名称：</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1.2标的质量：【按采购文件及投标文件执行】</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1.3标的数量（规模）：</w:t>
      </w:r>
      <w:r>
        <w:rPr>
          <w:rFonts w:hint="eastAsia" w:ascii="宋体" w:hAnsi="宋体" w:cs="宋体"/>
          <w:color w:val="000000"/>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36"/>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乙方根据甲方需求提供下列货物：</w:t>
            </w:r>
            <w:r>
              <w:rPr>
                <w:rFonts w:hint="eastAsia" w:ascii="宋体" w:hAnsi="宋体" w:cs="宋体"/>
                <w:color w:val="000000"/>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序号</w:t>
                  </w:r>
                  <w:r>
                    <w:rPr>
                      <w:rFonts w:hint="eastAsia" w:ascii="宋体" w:hAnsi="宋体" w:cs="宋体"/>
                      <w:color w:val="000000"/>
                      <w:sz w:val="24"/>
                      <w:szCs w:val="24"/>
                      <w:lang w:eastAsia="en-US"/>
                    </w:rPr>
                  </w:r>
                  <w:r/>
                </w:p>
              </w:tc>
              <w:tc>
                <w:tcPr>
                  <w:tcW w:w="1545"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名称</w:t>
                  </w:r>
                  <w:r>
                    <w:rPr>
                      <w:rFonts w:hint="eastAsia" w:ascii="宋体" w:hAnsi="宋体" w:cs="宋体"/>
                      <w:color w:val="000000"/>
                      <w:sz w:val="24"/>
                      <w:szCs w:val="24"/>
                      <w:lang w:eastAsia="en-US"/>
                    </w:rPr>
                  </w:r>
                  <w:r/>
                </w:p>
              </w:tc>
              <w:tc>
                <w:tcPr>
                  <w:tcW w:w="1819"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型号、规格</w:t>
                  </w:r>
                  <w:r>
                    <w:rPr>
                      <w:rFonts w:hint="eastAsia" w:ascii="宋体" w:hAnsi="宋体" w:cs="宋体"/>
                      <w:color w:val="000000"/>
                      <w:sz w:val="24"/>
                      <w:szCs w:val="24"/>
                      <w:lang w:eastAsia="en-US"/>
                    </w:rPr>
                  </w:r>
                  <w:r/>
                </w:p>
              </w:tc>
              <w:tc>
                <w:tcPr>
                  <w:tcW w:w="72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数量</w:t>
                  </w:r>
                  <w:r>
                    <w:rPr>
                      <w:rFonts w:hint="eastAsia" w:ascii="宋体" w:hAnsi="宋体" w:cs="宋体"/>
                      <w:color w:val="000000"/>
                      <w:sz w:val="24"/>
                      <w:szCs w:val="24"/>
                      <w:lang w:eastAsia="en-US"/>
                    </w:rPr>
                  </w:r>
                  <w:r/>
                </w:p>
              </w:tc>
              <w:tc>
                <w:tcPr>
                  <w:tcW w:w="126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单价</w:t>
                  </w:r>
                  <w:r>
                    <w:rPr>
                      <w:rFonts w:hint="eastAsia" w:ascii="宋体" w:hAnsi="宋体" w:cs="宋体"/>
                      <w:color w:val="000000"/>
                      <w:sz w:val="24"/>
                      <w:szCs w:val="24"/>
                      <w:lang w:eastAsia="en-US"/>
                    </w:rPr>
                  </w:r>
                  <w:r/>
                </w:p>
              </w:tc>
              <w:tc>
                <w:tcPr>
                  <w:tcW w:w="108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总价</w:t>
                  </w:r>
                  <w:r>
                    <w:rPr>
                      <w:rFonts w:hint="eastAsia" w:ascii="宋体" w:hAnsi="宋体" w:cs="宋体"/>
                      <w:color w:val="000000"/>
                      <w:sz w:val="24"/>
                      <w:szCs w:val="24"/>
                      <w:lang w:eastAsia="en-US"/>
                    </w:rPr>
                  </w:r>
                  <w:r/>
                </w:p>
              </w:tc>
              <w:tc>
                <w:tcPr>
                  <w:tcW w:w="90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品牌</w:t>
                  </w:r>
                  <w:r>
                    <w:rPr>
                      <w:rFonts w:hint="eastAsia" w:ascii="宋体" w:hAnsi="宋体" w:cs="宋体"/>
                      <w:color w:val="000000"/>
                      <w:sz w:val="24"/>
                      <w:szCs w:val="24"/>
                      <w:lang w:eastAsia="en-US"/>
                    </w:rPr>
                  </w:r>
                  <w:r/>
                </w:p>
              </w:tc>
              <w:tc>
                <w:tcPr>
                  <w:tcW w:w="872"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产地</w:t>
                  </w:r>
                  <w:r>
                    <w:rPr>
                      <w:rFonts w:hint="eastAsia" w:ascii="宋体" w:hAnsi="宋体" w:cs="宋体"/>
                      <w:color w:val="000000"/>
                      <w:sz w:val="24"/>
                      <w:szCs w:val="24"/>
                      <w:lang w:eastAsia="en-US"/>
                    </w:rPr>
                  </w:r>
                  <w:r/>
                </w:p>
              </w:tc>
            </w:tr>
            <w:tr>
              <w:trPr>
                <w:trHeight w:val="90"/>
              </w:trPr>
              <w:tc>
                <w:tcPr>
                  <w:tcW w:w="704"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1</w:t>
                  </w:r>
                  <w:r>
                    <w:rPr>
                      <w:rFonts w:hint="eastAsia" w:ascii="宋体" w:hAnsi="宋体" w:cs="宋体"/>
                      <w:color w:val="000000"/>
                      <w:sz w:val="24"/>
                      <w:szCs w:val="24"/>
                      <w:lang w:eastAsia="en-US"/>
                    </w:rPr>
                  </w:r>
                  <w:r/>
                </w:p>
              </w:tc>
              <w:tc>
                <w:tcPr>
                  <w:tcW w:w="1545"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1819"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r>
              <w:trPr>
                <w:trHeight w:val="90"/>
              </w:trPr>
              <w:tc>
                <w:tcPr>
                  <w:tcW w:w="704" w:type="dxa"/>
                  <w:vAlign w:val="center"/>
                  <w:textDirection w:val="lrTb"/>
                  <w:noWrap w:val="false"/>
                </w:tcPr>
                <w:p>
                  <w:pPr>
                    <w:pStyle w:val="736"/>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545"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1819"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r>
              <w:trPr>
                <w:trHeight w:val="300"/>
              </w:trPr>
              <w:tc>
                <w:tcPr>
                  <w:tcW w:w="704" w:type="dxa"/>
                  <w:vAlign w:val="center"/>
                  <w:textDirection w:val="lrTb"/>
                  <w:noWrap w:val="false"/>
                </w:tcPr>
                <w:p>
                  <w:pPr>
                    <w:pStyle w:val="736"/>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545"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1819"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bl>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bl>
    <w:p>
      <w:pPr>
        <w:pStyle w:val="736"/>
        <w:ind w:firstLine="480"/>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1.4履行时间（期限）：【按采购文件及投标文件执行】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1.5履行地点：【按采购文件及投标文件执行】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1.6履行方式：【按采购文件及投标文件执行】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1.7包装方式：【按采购文件及投标文件执行】</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二、合同金额</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2.1本合同金额为（大写）：______________（____________________元）人民币。</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三、技术资料</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3.1乙方应按采购文件规定的时间向甲方（或丙方）提供货物（包含与货物相关的服务）的有关技术资料。</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3.2没有甲方（或丙方）事先书面同意，乙方不得将由甲</w:t>
      </w:r>
      <w:r>
        <w:rPr>
          <w:rFonts w:hint="eastAsia" w:ascii="宋体" w:hAnsi="宋体" w:cs="宋体"/>
          <w:color w:val="000000"/>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四、知识产权</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五、产权担保</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5.1乙方保证所交付的货物（包含与货物相关的服务）的所有权完全属于乙方且无任何抵押、查封等产权瑕疵。</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六、履约保证金</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6.1本项目乙方无需缴纳履约保证金。</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七、合同转包或分包</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7.3乙方如有转包或未经甲方同意的分包行为，甲方有权终止合同。</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八、合同款项支付</w:t>
      </w:r>
      <w:r>
        <w:rPr>
          <w:rFonts w:hint="eastAsia" w:ascii="宋体" w:hAnsi="宋体" w:cs="宋体"/>
          <w:b/>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8.1合同签订后支付合同总额10%的预付款。</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8.2施工、安装、调试完毕，由甲方组织相关学校进行验收，验收合格并由乙方协助学校完成资产入库登记，六个月内支付合同总额的50%。</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8.3在本工程项目竣工验收合格，一年内支付合同总额的35%，剩余5%为质保金。</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8.4质保金在质保期满后一次性付清。</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8.5具体支付依据当年新区财政资金状况</w:t>
      </w:r>
      <w:bookmarkStart w:id="52" w:name="_GoBack"/>
      <w:r/>
      <w:bookmarkEnd w:id="52"/>
      <w:r>
        <w:rPr>
          <w:rFonts w:hint="eastAsia" w:ascii="宋体" w:hAnsi="宋体" w:cs="宋体"/>
          <w:color w:val="000000"/>
          <w:sz w:val="24"/>
          <w:szCs w:val="24"/>
        </w:rPr>
        <w:t xml:space="preserve">而定。</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8.6发票及付款流程</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8.6.1乙方所开发票名称为“南京江北新区管理委员会教育局”，依据付款要求，提供相应材料。</w:t>
      </w:r>
      <w:r>
        <w:rPr>
          <w:rFonts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九、税费</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9.1本合同执行中的相关税费均由乙方负担。</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十、质量保修范围和保修期及售后服务</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10.1乙方应按采购文件规定的货物性能、技术要求、质量标准向甲方提供未经使用的全新产品。</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10.2.1更换：由乙方承担所发生的全部费用。</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10.2.2贬值处理：由甲乙双方合议定价。</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10.3如在使用过程中发生质量问题，乙方应在接到甲方通知后【1】小时内到达甲方现场。</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10.4质保期内，乙方应对货物出现的质量及安全问题负责处理解决并承担一切费用。</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10.5</w:t>
      </w:r>
      <w:bookmarkStart w:id="53" w:name="OLE_LINK5"/>
      <w:r>
        <w:rPr>
          <w:rFonts w:hint="eastAsia" w:ascii="宋体" w:hAnsi="宋体" w:cs="宋体"/>
          <w:color w:val="000000"/>
          <w:sz w:val="24"/>
          <w:szCs w:val="24"/>
        </w:rPr>
        <w:t xml:space="preserve">质保期</w:t>
      </w:r>
      <w:bookmarkEnd w:id="53"/>
      <w:r>
        <w:rPr>
          <w:rFonts w:hint="eastAsia" w:ascii="宋体" w:hAnsi="宋体" w:cs="宋体"/>
          <w:color w:val="000000"/>
          <w:sz w:val="24"/>
          <w:szCs w:val="24"/>
        </w:rPr>
        <w:t xml:space="preserve">为自交货验收合格之日起【3】年，因人为因素出现的故障不在质保范围内。超过质保期的乙方负责终身维修，维修时只收取部件成本费。</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十一、项目验收</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11.1甲方依法组织履约验收工作，具体工作由甲方委托丙方组织进行，乙方必须服从丙方安排。</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11.3对于实际使用人和甲方（或丙方）分离的项目，甲方（或丙方）邀请实际使用人参与验收。</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十二、货物的包装、发运及运输</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12.2使用说明书、质量检验证明书、随配附件和工具以及清单一并附于货物内。</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12.3乙方在货物发运手续办理完毕后24小时内或货到甲方（或丙方）48小时前通知甲方（或丙方），以准备接货。</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12.4货物在交付甲方（或丙方）前发生的风险均由乙方负责。</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十三、交货</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13.1乙方应在本合同生效后【】天内向甲方交付货物。</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交货地点（甲方或丙方指定）：【】</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收货人及其联系方式：【】</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13.3货物的到货验收包括：型号、规格、数量、外观质量及货物包装是否完好。</w:t>
      </w:r>
      <w:r>
        <w:rPr>
          <w:rFonts w:hint="eastAsia" w:ascii="宋体" w:hAnsi="宋体" w:cs="宋体"/>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w:t>
      </w:r>
      <w:r>
        <w:rPr>
          <w:rFonts w:hint="eastAsia" w:ascii="宋体" w:hAnsi="宋体" w:eastAsia="宋体" w:cs="宋体"/>
          <w:color w:val="000000"/>
          <w:sz w:val="24"/>
          <w:szCs w:val="24"/>
        </w:rPr>
        <w:t xml:space="preserve">任。</w:t>
      </w:r>
      <w:r>
        <w:rPr>
          <w:rFonts w:hint="eastAsia" w:ascii="宋体" w:hAnsi="宋体" w:eastAsia="宋体" w:cs="宋体"/>
          <w:color w:val="000000"/>
          <w:sz w:val="24"/>
          <w:szCs w:val="24"/>
        </w:rPr>
      </w:r>
      <w:r/>
    </w:p>
    <w:p>
      <w:pPr>
        <w:pStyle w:val="736"/>
        <w:ind w:firstLine="482"/>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十四、安装调试、培训和验收</w:t>
      </w:r>
      <w:r>
        <w:rPr>
          <w:rFonts w:hint="eastAsia" w:ascii="宋体" w:hAnsi="宋体" w:eastAsia="宋体" w:cs="宋体"/>
          <w:b/>
          <w:bCs/>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eastAsia="宋体" w:cs="宋体"/>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14.2货物和系统调试验收标准：按本合同相关规定；本合同未规定的按行业通行标准、厂方出厂标准和国家相关标准。</w:t>
      </w:r>
      <w:r>
        <w:rPr>
          <w:rFonts w:hint="eastAsia" w:ascii="宋体" w:hAnsi="宋体" w:eastAsia="宋体" w:cs="宋体"/>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eastAsia="宋体" w:cs="宋体"/>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w:t>
      </w:r>
      <w:bookmarkStart w:id="54" w:name="OLE_LINK6"/>
      <w:r/>
      <w:bookmarkStart w:id="55" w:name="OLE_LINK1"/>
      <w:r>
        <w:rPr>
          <w:rFonts w:hint="eastAsia" w:ascii="宋体" w:hAnsi="宋体" w:eastAsia="宋体" w:cs="宋体"/>
          <w:color w:val="000000"/>
          <w:sz w:val="24"/>
          <w:szCs w:val="24"/>
        </w:rPr>
        <w:t xml:space="preserve">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bookmarkEnd w:id="54"/>
      <w:r/>
      <w:bookmarkEnd w:id="55"/>
      <w:r>
        <w:rPr>
          <w:rFonts w:hint="eastAsia" w:ascii="宋体" w:hAnsi="宋体" w:eastAsia="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十五、违约责任</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15.1甲方的违约</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（3）甲方无正当理由拒收货物的，应向乙方偿付拒收货物总价款【1%】的违约金。</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15.2乙方的违约</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（6）乙方</w:t>
      </w:r>
      <w:r>
        <w:rPr>
          <w:rFonts w:hint="eastAsia" w:ascii="宋体" w:hAnsi="宋体" w:cs="宋体"/>
          <w:color w:val="000000"/>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（7）合同生效后，如乙方提出终止合同，应承担由此给甲方造成的一切损失。</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①未经甲方书面同意，将本合同约定的权利义务转让给第三人的；</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②在本合同履行过程中出现侵犯第三人合法权益的事项，包括但不限于知识产权、人身财产权益等；</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③未履行信息保密和使用约定的；</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④未履行双方约定的其他义务的，经甲方催告后7日内，仍未整改的。</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（14）如未按照甲方通知时间办理交接工作的，乙方将按照合同总费用的10%向甲方承担惩罚性违约金。</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十六、不可抗力事件处理</w:t>
      </w:r>
      <w:r>
        <w:rPr>
          <w:rFonts w:hint="eastAsia" w:ascii="宋体" w:hAnsi="宋体" w:cs="宋体"/>
          <w:b/>
          <w:bCs/>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16.3不可抗力事件延续120天以上，双方应通过友好协商，确定是否继续履行合同。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16.7因合同一方延迟履行合同后发生不可抗力的，不能免除延迟履行方的相应责任。</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十七、解决争议的方法</w:t>
      </w:r>
      <w:r>
        <w:rPr>
          <w:rFonts w:hint="eastAsia" w:ascii="宋体" w:hAnsi="宋体" w:cs="宋体"/>
          <w:b/>
          <w:bCs/>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17.1甲乙双方因合同签订、履行而发生的一切争议，应通过友好协商解决。协商不成的由甲方住所地人民法院管辖。</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十八、合同的生效、变更与终止</w:t>
      </w:r>
      <w:r>
        <w:rPr>
          <w:rFonts w:hint="eastAsia" w:ascii="宋体" w:hAnsi="宋体" w:cs="宋体"/>
          <w:b/>
          <w:bCs/>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18.1本合同经双方加盖单位印章后生效。</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18.2周期延长</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18.2.1由于甲方或不可预见的自然或社会因素，导致服务内容增加和时间延长，则：</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（1）甲方应将此情况与可能产生的影响尽快通知乙方，并采取合理措施使影响减少到最小；</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（2）乙方应保持详细原始记录作为甲方支付费用的依据。</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18.2.2由于乙方的原因，导致服务时间延长，则：</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（1）乙方应将此情况与可能产生的影响尽快通知甲方，并采取合理措施使损失减少到最小；</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（2）甲方不支付乙方延长服务时间产生的费用，乙方应该按照本合同承担相应责任。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18.3变更与终止</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（3）变更</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（4）终止</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截至甲方终止通知发出之日完成的实际工作量产生的合同费用结清后，本合同自动终止。</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不论何种原因，本合同的终止，不损害和影响各方应有权利、索赔要求和应负的责任。</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十九、其他</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19.1通知</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rPr>
      </w:r>
      <w:r/>
    </w:p>
    <w:p>
      <w:pPr>
        <w:pStyle w:val="736"/>
        <w:ind w:firstLine="480"/>
        <w:spacing w:before="120" w:after="120" w:line="400" w:lineRule="exact"/>
        <w:widowControl/>
        <w:rPr>
          <w:rFonts w:hint="eastAsia" w:ascii="Calibri" w:hAnsi="Calibri"/>
          <w:color w:val="000000"/>
          <w:sz w:val="24"/>
          <w:szCs w:val="22"/>
          <w:lang w:bidi="ar"/>
        </w:rPr>
      </w:pPr>
      <w:r/>
      <w:bookmarkStart w:id="56" w:name="OLE_LINK53"/>
      <w:r>
        <w:rPr>
          <w:rFonts w:hint="eastAsia" w:ascii="Calibri" w:hAnsi="Calibri"/>
          <w:color w:val="000000"/>
          <w:sz w:val="24"/>
          <w:szCs w:val="22"/>
          <w:lang w:bidi="ar"/>
        </w:rPr>
        <w:t xml:space="preserve">甲</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方：（盖章）</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乙</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方：（盖章）</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 </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法定代表人或授权代表：</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法定代表人或授权代表：</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联系电话：</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联系电话：</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签订日期：</w:t>
      </w:r>
      <w:r>
        <w:rPr>
          <w:rFonts w:hint="eastAsia" w:ascii="Calibri" w:hAnsi="Calibri"/>
          <w:color w:val="000000"/>
          <w:sz w:val="24"/>
          <w:szCs w:val="22"/>
          <w:lang w:bidi="ar"/>
        </w:rPr>
      </w:r>
      <w:r/>
    </w:p>
    <w:p>
      <w:pPr>
        <w:pStyle w:val="736"/>
        <w:jc w:val="left"/>
        <w:rPr>
          <w:rFonts w:hint="eastAsia" w:ascii="宋体" w:hAnsi="宋体"/>
          <w:color w:val="000000"/>
          <w:sz w:val="24"/>
          <w:szCs w:val="24"/>
        </w:rPr>
      </w:pPr>
      <w:r/>
      <w:bookmarkEnd w:id="56"/>
      <w:r>
        <w:rPr>
          <w:rFonts w:hint="eastAsia" w:ascii="宋体" w:hAnsi="宋体"/>
          <w:color w:val="000000"/>
          <w:sz w:val="24"/>
          <w:szCs w:val="24"/>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宋体" w:hAnsi="宋体" w:cs="宋体"/>
          <w:color w:val="000000"/>
          <w:sz w:val="24"/>
          <w:szCs w:val="24"/>
          <w:lang w:bidi="ar"/>
        </w:rPr>
        <w:t xml:space="preserve">丙   </w:t>
      </w:r>
      <w:r>
        <w:rPr>
          <w:rFonts w:hint="eastAsia" w:ascii="Calibri" w:hAnsi="Calibri"/>
          <w:color w:val="000000"/>
          <w:sz w:val="24"/>
          <w:szCs w:val="22"/>
          <w:lang w:bidi="ar"/>
        </w:rPr>
        <w:t xml:space="preserve">方：（盖章）</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法定代表人或授权代表：</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联系电话：</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6"/>
        <w:ind w:firstLine="480"/>
        <w:spacing w:before="120" w:after="120" w:line="400" w:lineRule="exact"/>
        <w:widowControl/>
        <w:rPr>
          <w:rFonts w:hint="eastAsia"/>
          <w:color w:val="000000"/>
        </w:rPr>
      </w:pPr>
      <w:r>
        <w:rPr>
          <w:rFonts w:hint="eastAsia" w:ascii="Calibri" w:hAnsi="Calibri"/>
          <w:color w:val="000000"/>
          <w:sz w:val="24"/>
          <w:szCs w:val="22"/>
          <w:lang w:bidi="ar"/>
        </w:rPr>
        <w:t xml:space="preserve">签订日期：</w:t>
      </w:r>
      <w:r>
        <w:rPr>
          <w:rFonts w:hint="eastAsia"/>
          <w:color w:val="000000"/>
        </w:rPr>
      </w:r>
      <w:r/>
    </w:p>
    <w:p>
      <w:pPr>
        <w:pStyle w:val="736"/>
        <w:ind w:firstLine="420"/>
        <w:spacing w:before="120" w:after="120" w:line="400" w:lineRule="exact"/>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36"/>
        <w:ind w:left="560"/>
        <w:jc w:val="center"/>
        <w:spacing w:line="360" w:lineRule="auto"/>
        <w:rPr>
          <w:rFonts w:hint="eastAsia" w:ascii="宋体" w:hAnsi="宋体" w:cs="宋体"/>
          <w:b/>
          <w:bCs/>
          <w:color w:val="000000"/>
          <w:sz w:val="36"/>
          <w:szCs w:val="36"/>
          <w:lang w:val="zh-CN"/>
        </w:rPr>
        <w:outlineLvl w:val="0"/>
      </w:pPr>
      <w:r>
        <w:rPr>
          <w:rFonts w:ascii="宋体" w:hAnsi="宋体" w:cs="宋体"/>
          <w:b/>
          <w:bCs/>
          <w:color w:val="000000"/>
          <w:sz w:val="36"/>
          <w:szCs w:val="36"/>
          <w:lang w:val="zh-CN"/>
        </w:rPr>
        <w:br w:type="page" w:clear="all"/>
      </w:r>
      <w:bookmarkStart w:id="57" w:name="_Toc28187"/>
      <w:r>
        <w:rPr>
          <w:rFonts w:hint="eastAsia" w:ascii="宋体" w:hAnsi="宋体" w:cs="宋体"/>
          <w:b/>
          <w:bCs/>
          <w:color w:val="000000"/>
          <w:sz w:val="36"/>
          <w:szCs w:val="36"/>
          <w:lang w:val="zh-CN"/>
        </w:rPr>
        <w:t xml:space="preserve">第六章  </w:t>
      </w:r>
      <w:r>
        <w:rPr>
          <w:rFonts w:hint="eastAsia" w:ascii="宋体" w:hAnsi="宋体" w:cs="宋体"/>
          <w:b/>
          <w:bCs/>
          <w:color w:val="000000"/>
          <w:sz w:val="36"/>
          <w:szCs w:val="36"/>
        </w:rPr>
        <w:t xml:space="preserve">投标文件</w:t>
      </w:r>
      <w:r>
        <w:rPr>
          <w:rFonts w:hint="eastAsia" w:ascii="宋体" w:hAnsi="宋体" w:cs="宋体"/>
          <w:b/>
          <w:bCs/>
          <w:color w:val="000000"/>
          <w:sz w:val="36"/>
          <w:szCs w:val="36"/>
          <w:lang w:val="zh-CN"/>
        </w:rPr>
        <w:t xml:space="preserve">格式及附件</w:t>
      </w:r>
      <w:bookmarkEnd w:id="45"/>
      <w:r/>
      <w:bookmarkEnd w:id="57"/>
      <w:r>
        <w:rPr>
          <w:rFonts w:hint="eastAsia" w:ascii="宋体" w:hAnsi="宋体" w:cs="宋体"/>
          <w:b/>
          <w:bCs/>
          <w:color w:val="000000"/>
          <w:sz w:val="36"/>
          <w:szCs w:val="36"/>
          <w:lang w:val="zh-CN"/>
        </w:rPr>
      </w:r>
      <w:r/>
    </w:p>
    <w:p>
      <w:pPr>
        <w:pStyle w:val="736"/>
        <w:ind w:left="560"/>
        <w:jc w:val="center"/>
        <w:spacing w:line="360" w:lineRule="auto"/>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736"/>
        <w:jc w:val="center"/>
        <w:spacing w:line="360" w:lineRule="auto"/>
        <w:rPr>
          <w:rFonts w:hint="eastAsia" w:ascii="宋体" w:hAnsi="宋体" w:cs="宋体"/>
          <w:b/>
          <w:color w:val="000000"/>
          <w:sz w:val="72"/>
        </w:rPr>
      </w:pPr>
      <w:r>
        <w:rPr>
          <w:rFonts w:hint="eastAsia" w:ascii="宋体" w:hAnsi="宋体" w:cs="宋体"/>
          <w:b/>
          <w:color w:val="000000"/>
          <w:sz w:val="72"/>
        </w:rPr>
      </w:r>
      <w:r/>
    </w:p>
    <w:p>
      <w:pPr>
        <w:pStyle w:val="736"/>
        <w:jc w:val="center"/>
        <w:spacing w:line="360" w:lineRule="auto"/>
        <w:rPr>
          <w:rFonts w:hint="eastAsia" w:ascii="宋体" w:hAnsi="宋体" w:cs="宋体"/>
          <w:b/>
          <w:color w:val="000000"/>
          <w:sz w:val="72"/>
        </w:rPr>
      </w:pPr>
      <w:r>
        <w:rPr>
          <w:rFonts w:hint="eastAsia" w:ascii="宋体" w:hAnsi="宋体" w:cs="宋体"/>
          <w:b/>
          <w:color w:val="000000"/>
          <w:sz w:val="72"/>
        </w:rPr>
        <w:t xml:space="preserve">投标文件</w:t>
      </w:r>
      <w:r>
        <w:rPr>
          <w:rFonts w:hint="eastAsia" w:ascii="宋体" w:hAnsi="宋体" w:cs="宋体"/>
          <w:b/>
          <w:color w:val="000000"/>
          <w:sz w:val="72"/>
        </w:rPr>
      </w:r>
      <w:r/>
    </w:p>
    <w:p>
      <w:pPr>
        <w:pStyle w:val="736"/>
        <w:ind w:firstLine="3708"/>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736"/>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736"/>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编 号：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736"/>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名 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736"/>
        <w:jc w:val="center"/>
        <w:spacing w:line="360" w:lineRule="auto"/>
        <w:rPr>
          <w:rFonts w:hint="eastAsia" w:ascii="宋体" w:hAnsi="宋体" w:cs="宋体"/>
          <w:b/>
          <w:bCs/>
          <w:color w:val="000000"/>
          <w:sz w:val="44"/>
        </w:rPr>
      </w:pPr>
      <w:r>
        <w:rPr>
          <w:rFonts w:hint="eastAsia" w:ascii="宋体" w:hAnsi="宋体" w:cs="宋体"/>
          <w:b/>
          <w:bCs/>
          <w:color w:val="000000"/>
          <w:sz w:val="44"/>
        </w:rPr>
      </w:r>
      <w:r/>
    </w:p>
    <w:p>
      <w:pPr>
        <w:pStyle w:val="736"/>
        <w:spacing w:line="360" w:lineRule="auto"/>
        <w:rPr>
          <w:rFonts w:hint="eastAsia" w:ascii="宋体" w:hAnsi="宋体" w:cs="宋体"/>
          <w:b/>
          <w:color w:val="000000"/>
          <w:szCs w:val="21"/>
          <w:lang w:val="zh-CN"/>
        </w:rPr>
      </w:pPr>
      <w:r>
        <w:rPr>
          <w:rFonts w:hint="eastAsia" w:ascii="宋体" w:hAnsi="宋体" w:cs="宋体"/>
          <w:b/>
          <w:color w:val="000000"/>
          <w:szCs w:val="21"/>
          <w:lang w:val="zh-CN"/>
        </w:rPr>
      </w:r>
      <w:r/>
    </w:p>
    <w:p>
      <w:pPr>
        <w:pStyle w:val="736"/>
        <w:spacing w:line="360" w:lineRule="auto"/>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58" w:name="_Toc21718"/>
      <w:r>
        <w:rPr>
          <w:rFonts w:hint="eastAsia" w:ascii="宋体" w:hAnsi="宋体" w:cs="宋体"/>
          <w:b/>
          <w:color w:val="000000"/>
          <w:sz w:val="24"/>
          <w:szCs w:val="24"/>
          <w:lang w:val="zh-CN"/>
        </w:rPr>
        <w:t xml:space="preserve">附件一、投标申请及声明格式</w:t>
      </w:r>
      <w:bookmarkEnd w:id="58"/>
      <w:r>
        <w:rPr>
          <w:rFonts w:hint="eastAsia" w:ascii="宋体" w:hAnsi="宋体" w:cs="宋体"/>
          <w:b/>
          <w:color w:val="000000"/>
          <w:sz w:val="24"/>
          <w:szCs w:val="24"/>
        </w:rPr>
      </w:r>
      <w:r/>
    </w:p>
    <w:p>
      <w:pPr>
        <w:pStyle w:val="736"/>
        <w:jc w:val="center"/>
        <w:spacing w:before="120" w:after="120" w:line="360" w:lineRule="auto"/>
        <w:rPr>
          <w:rFonts w:hint="eastAsia" w:ascii="宋体" w:hAnsi="宋体" w:cs="宋体"/>
          <w:b/>
          <w:bCs/>
          <w:color w:val="000000"/>
          <w:sz w:val="28"/>
          <w:szCs w:val="28"/>
        </w:rPr>
      </w:pPr>
      <w:r/>
      <w:bookmarkStart w:id="59" w:name="_Toc30921"/>
      <w:r/>
      <w:bookmarkStart w:id="60" w:name="_Toc4379"/>
      <w:r/>
      <w:bookmarkStart w:id="61" w:name="_Toc32604"/>
      <w:r>
        <w:rPr>
          <w:rFonts w:hint="eastAsia" w:ascii="宋体" w:hAnsi="宋体" w:cs="宋体"/>
          <w:b/>
          <w:bCs/>
          <w:color w:val="000000"/>
          <w:sz w:val="28"/>
          <w:szCs w:val="28"/>
          <w:lang w:val="zh-CN"/>
        </w:rPr>
        <w:t xml:space="preserve">投标申请及声明</w:t>
      </w:r>
      <w:bookmarkEnd w:id="59"/>
      <w:r/>
      <w:bookmarkEnd w:id="60"/>
      <w:r/>
      <w:bookmarkEnd w:id="61"/>
      <w:r>
        <w:rPr>
          <w:rFonts w:hint="eastAsia" w:ascii="宋体" w:hAnsi="宋体" w:cs="宋体"/>
          <w:b/>
          <w:bCs/>
          <w:color w:val="000000"/>
          <w:sz w:val="28"/>
          <w:szCs w:val="28"/>
        </w:rPr>
      </w:r>
      <w:r/>
    </w:p>
    <w:p>
      <w:pPr>
        <w:pStyle w:val="1315"/>
        <w:spacing w:line="360" w:lineRule="auto"/>
        <w:rPr>
          <w:rFonts w:hint="eastAsia" w:hAnsi="宋体" w:cs="宋体"/>
          <w:color w:val="000000"/>
          <w:sz w:val="24"/>
          <w:szCs w:val="24"/>
        </w:rPr>
      </w:pPr>
      <w:r/>
      <w:bookmarkStart w:id="62" w:name="_Toc27899"/>
      <w:r/>
      <w:bookmarkStart w:id="63" w:name="_Toc18647"/>
      <w:r>
        <w:rPr>
          <w:rFonts w:hint="eastAsia" w:hAnsi="宋体" w:cs="宋体"/>
          <w:color w:val="000000"/>
          <w:sz w:val="24"/>
          <w:szCs w:val="24"/>
          <w:lang w:val="zh-CN"/>
        </w:rPr>
        <w:t xml:space="preserve">致：招标人：</w:t>
      </w:r>
      <w:bookmarkEnd w:id="62"/>
      <w:r/>
      <w:bookmarkEnd w:id="63"/>
      <w:r>
        <w:rPr>
          <w:rFonts w:hint="eastAsia" w:hAnsi="宋体" w:cs="宋体"/>
          <w:color w:val="000000"/>
          <w:sz w:val="24"/>
          <w:szCs w:val="24"/>
          <w:u w:val="single"/>
          <w:lang w:val="zh-CN"/>
        </w:rPr>
        <w:t xml:space="preserve"> 南京江北新区管理委员会教育局</w:t>
      </w:r>
      <w:r>
        <w:rPr>
          <w:rFonts w:hint="eastAsia" w:hAnsi="宋体" w:cs="宋体"/>
          <w:color w:val="000000"/>
          <w:sz w:val="24"/>
          <w:szCs w:val="24"/>
        </w:rPr>
      </w:r>
      <w:r/>
    </w:p>
    <w:p>
      <w:pPr>
        <w:pStyle w:val="1315"/>
        <w:spacing w:line="360" w:lineRule="auto"/>
        <w:rPr>
          <w:rFonts w:hint="eastAsia" w:hAnsi="宋体" w:cs="宋体"/>
          <w:color w:val="000000"/>
          <w:sz w:val="24"/>
          <w:szCs w:val="24"/>
        </w:rPr>
      </w:pPr>
      <w:r>
        <w:rPr>
          <w:rFonts w:hint="eastAsia" w:hAnsi="宋体" w:cs="宋体"/>
          <w:color w:val="000000"/>
          <w:sz w:val="24"/>
          <w:szCs w:val="24"/>
          <w:lang w:val="zh-CN"/>
        </w:rPr>
        <w:t xml:space="preserve">   </w:t>
      </w:r>
      <w:bookmarkStart w:id="64" w:name="_Toc4607"/>
      <w:r/>
      <w:bookmarkStart w:id="65" w:name="_Toc9373"/>
      <w:r>
        <w:rPr>
          <w:rFonts w:hint="eastAsia" w:hAnsi="宋体" w:cs="宋体"/>
          <w:color w:val="000000"/>
          <w:sz w:val="24"/>
          <w:szCs w:val="24"/>
          <w:lang w:val="zh-CN"/>
        </w:rPr>
        <w:t xml:space="preserve">根据贵方</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（项目名称）</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（项目编号）</w:t>
      </w:r>
      <w:r>
        <w:rPr>
          <w:rFonts w:hint="eastAsia" w:hAnsi="宋体" w:cs="宋体"/>
          <w:color w:val="000000"/>
          <w:sz w:val="24"/>
          <w:szCs w:val="24"/>
          <w:lang w:val="zh-CN"/>
        </w:rPr>
        <w:t xml:space="preserve">投标邀请，正式授权下述签字人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(姓名和职务)代表投标人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（投标人名称），提交投标文件。</w:t>
      </w:r>
      <w:bookmarkEnd w:id="64"/>
      <w:r/>
      <w:bookmarkEnd w:id="65"/>
      <w:r>
        <w:rPr>
          <w:rFonts w:hint="eastAsia"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据此函，签字人兹宣布声明和承诺如下：</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1、</w:t>
      </w:r>
      <w:r>
        <w:rPr>
          <w:rFonts w:hint="eastAsia" w:ascii="宋体" w:hAnsi="宋体" w:cs="宋体"/>
          <w:b/>
          <w:color w:val="000000"/>
          <w:sz w:val="24"/>
          <w:szCs w:val="24"/>
          <w:lang w:val="zh-CN"/>
        </w:rPr>
        <w:t xml:space="preserve">我们的资格条件完全符合政府采购法和本次招标要求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我们</w:t>
      </w:r>
      <w:r>
        <w:rPr>
          <w:rFonts w:hint="eastAsia" w:ascii="宋体" w:hAnsi="宋体" w:cs="宋体"/>
          <w:color w:val="000000"/>
          <w:sz w:val="24"/>
          <w:szCs w:val="24"/>
          <w:lang w:val="zh-CN"/>
        </w:rPr>
        <w:t xml:space="preserve">同意并向贵方提供了与投标有关的所有证据和资料。</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按招标要求，我们的投标总报价为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（大写）元人民币。其中，小型企业的产品为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lang w:val="zh-CN"/>
        </w:rPr>
        <w:t xml:space="preserve">不对招标文件本身提出质疑</w:t>
      </w:r>
      <w:r>
        <w:rPr>
          <w:rFonts w:hint="eastAsia" w:ascii="宋体" w:hAnsi="宋体" w:cs="宋体"/>
          <w:color w:val="000000"/>
          <w:sz w:val="24"/>
          <w:szCs w:val="24"/>
          <w:lang w:val="zh-CN"/>
        </w:rPr>
        <w:t xml:space="preserve">。否则，属于不诚信和故意扰乱政府采购活动行为，我们将无条件接受处罚。</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4、我们同意从规定的开标日期起遵循本投标文件，并在规定的投标有效期期满之前均具有约束力。</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、与本投标有关的正式联系方式为：</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地址：</w:t>
      </w:r>
      <w:r>
        <w:rPr>
          <w:rFonts w:hint="eastAsia" w:ascii="宋体" w:hAnsi="宋体" w:cs="宋体"/>
          <w:color w:val="000000"/>
          <w:sz w:val="24"/>
          <w:szCs w:val="24"/>
          <w:u w:val="single"/>
        </w:rPr>
      </w:r>
      <w:r/>
    </w:p>
    <w:p>
      <w:pPr>
        <w:pStyle w:val="736"/>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电话：</w:t>
      </w:r>
      <w:r>
        <w:rPr>
          <w:rFonts w:hint="eastAsia" w:ascii="宋体" w:hAnsi="宋体" w:cs="宋体"/>
          <w:color w:val="000000"/>
          <w:sz w:val="24"/>
          <w:szCs w:val="24"/>
          <w:u w:val="single"/>
        </w:rPr>
      </w:r>
      <w:r/>
    </w:p>
    <w:p>
      <w:pPr>
        <w:pStyle w:val="736"/>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传真：</w:t>
      </w:r>
      <w:r>
        <w:rPr>
          <w:rFonts w:hint="eastAsia" w:ascii="宋体" w:hAnsi="宋体" w:cs="宋体"/>
          <w:color w:val="000000"/>
          <w:sz w:val="24"/>
          <w:szCs w:val="24"/>
          <w:u w:val="single"/>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开户银行：</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银行账号：</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供应商授权代表姓名（签字）：</w:t>
      </w:r>
      <w:r>
        <w:rPr>
          <w:rFonts w:hint="eastAsia" w:ascii="宋体" w:hAnsi="宋体" w:cs="宋体"/>
          <w:color w:val="000000"/>
          <w:sz w:val="24"/>
          <w:szCs w:val="24"/>
          <w:u w:val="single"/>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供应商名称：（盖章）</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日期：</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日</w:t>
      </w:r>
      <w:r>
        <w:rPr>
          <w:rFonts w:hint="eastAsia" w:ascii="宋体" w:hAnsi="宋体" w:cs="宋体"/>
          <w:color w:val="000000"/>
          <w:sz w:val="24"/>
          <w:szCs w:val="24"/>
          <w:lang w:val="zh-CN"/>
        </w:rPr>
      </w:r>
      <w:r/>
    </w:p>
    <w:p>
      <w:pPr>
        <w:pStyle w:val="736"/>
        <w:spacing w:line="360" w:lineRule="auto"/>
        <w:rPr>
          <w:rFonts w:hint="eastAsia" w:ascii="宋体" w:hAnsi="宋体" w:cs="宋体"/>
          <w:color w:val="000000"/>
          <w:sz w:val="24"/>
          <w:szCs w:val="24"/>
        </w:rPr>
        <w:outlineLvl w:val="1"/>
      </w:pPr>
      <w:r>
        <w:rPr>
          <w:rFonts w:ascii="宋体" w:hAnsi="宋体" w:cs="宋体"/>
          <w:b/>
          <w:color w:val="000000"/>
          <w:sz w:val="24"/>
          <w:szCs w:val="24"/>
          <w:lang w:val="zh-CN"/>
        </w:rPr>
        <w:br w:type="page" w:clear="all"/>
      </w:r>
      <w:bookmarkStart w:id="66" w:name="_Toc27933"/>
      <w:r>
        <w:rPr>
          <w:rFonts w:hint="eastAsia" w:ascii="宋体" w:hAnsi="宋体" w:cs="宋体"/>
          <w:b/>
          <w:color w:val="000000"/>
          <w:sz w:val="24"/>
          <w:szCs w:val="24"/>
          <w:lang w:val="zh-CN"/>
        </w:rPr>
        <w:t xml:space="preserve">附件二、法定代表人授权书格式</w:t>
      </w:r>
      <w:bookmarkEnd w:id="66"/>
      <w:r>
        <w:rPr>
          <w:rFonts w:hint="eastAsia" w:ascii="宋体" w:hAnsi="宋体" w:cs="宋体"/>
          <w:color w:val="000000"/>
          <w:sz w:val="24"/>
          <w:szCs w:val="24"/>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法定代表人授权委托书</w:t>
      </w:r>
      <w:r>
        <w:rPr>
          <w:rFonts w:hint="eastAsia" w:ascii="宋体" w:hAnsi="宋体" w:cs="宋体"/>
          <w:b/>
          <w:bCs/>
          <w:color w:val="000000"/>
          <w:sz w:val="28"/>
          <w:szCs w:val="28"/>
          <w:lang w:val="zh-CN"/>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南京江北新区管理委员会教育局、益嘉新建设咨询（南京）有限公司 ：</w:t>
      </w:r>
      <w:r>
        <w:rPr>
          <w:rFonts w:hint="eastAsia" w:ascii="宋体" w:hAnsi="宋体" w:cs="宋体"/>
          <w:color w:val="000000"/>
          <w:sz w:val="24"/>
          <w:szCs w:val="24"/>
        </w:rPr>
      </w:r>
      <w:r/>
    </w:p>
    <w:p>
      <w:pPr>
        <w:pStyle w:val="736"/>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本授权书声明：注册于</w:t>
      </w:r>
      <w:r>
        <w:rPr>
          <w:rFonts w:hint="eastAsia" w:ascii="宋体" w:hAnsi="宋体" w:cs="宋体"/>
          <w:color w:val="000000"/>
          <w:sz w:val="24"/>
          <w:szCs w:val="24"/>
          <w:u w:val="single"/>
          <w:lang w:val="zh-CN"/>
        </w:rPr>
        <w:t xml:space="preserve">             （投标人住址）</w:t>
      </w:r>
      <w:r>
        <w:rPr>
          <w:rFonts w:hint="eastAsia" w:ascii="宋体" w:hAnsi="宋体" w:cs="宋体"/>
          <w:color w:val="000000"/>
          <w:sz w:val="24"/>
          <w:szCs w:val="24"/>
          <w:lang w:val="zh-CN"/>
        </w:rPr>
        <w:t xml:space="preserve">的 </w:t>
      </w:r>
      <w:r>
        <w:rPr>
          <w:rFonts w:hint="eastAsia" w:ascii="宋体" w:hAnsi="宋体" w:cs="宋体"/>
          <w:color w:val="000000"/>
          <w:sz w:val="24"/>
          <w:szCs w:val="24"/>
          <w:u w:val="single"/>
          <w:lang w:val="zh-CN"/>
        </w:rPr>
        <w:t xml:space="preserve">       （投标人名称）</w:t>
      </w:r>
      <w:r>
        <w:rPr>
          <w:rFonts w:hint="eastAsia" w:ascii="宋体" w:hAnsi="宋体" w:cs="宋体"/>
          <w:color w:val="000000"/>
          <w:sz w:val="24"/>
          <w:szCs w:val="24"/>
          <w:lang w:val="zh-CN"/>
        </w:rPr>
        <w:t xml:space="preserve">法定代表人 </w:t>
      </w:r>
      <w:r>
        <w:rPr>
          <w:rFonts w:hint="eastAsia" w:ascii="宋体" w:hAnsi="宋体" w:cs="宋体"/>
          <w:color w:val="000000"/>
          <w:sz w:val="24"/>
          <w:szCs w:val="24"/>
          <w:u w:val="single"/>
          <w:lang w:val="zh-CN"/>
        </w:rPr>
        <w:t xml:space="preserve">      （法定代表人姓名、职务）</w:t>
      </w:r>
      <w:r>
        <w:rPr>
          <w:rFonts w:hint="eastAsia" w:ascii="宋体" w:hAnsi="宋体" w:cs="宋体"/>
          <w:color w:val="000000"/>
          <w:sz w:val="24"/>
          <w:szCs w:val="24"/>
          <w:lang w:val="zh-CN"/>
        </w:rPr>
        <w:t xml:space="preserve">代表本公司授权在下面签字的 </w:t>
      </w:r>
      <w:r>
        <w:rPr>
          <w:rFonts w:hint="eastAsia" w:ascii="宋体" w:hAnsi="宋体" w:cs="宋体"/>
          <w:color w:val="000000"/>
          <w:sz w:val="24"/>
          <w:szCs w:val="24"/>
          <w:u w:val="single"/>
          <w:lang w:val="zh-CN"/>
        </w:rPr>
        <w:t xml:space="preserve">        （投标人代表姓名、职务）</w:t>
      </w:r>
      <w:r>
        <w:rPr>
          <w:rFonts w:hint="eastAsia" w:ascii="宋体" w:hAnsi="宋体" w:cs="宋体"/>
          <w:color w:val="000000"/>
          <w:sz w:val="24"/>
          <w:szCs w:val="24"/>
          <w:lang w:val="zh-CN"/>
        </w:rPr>
        <w:t xml:space="preserve">为本公司的合法代理人，就贵方组织的</w:t>
      </w:r>
      <w:r>
        <w:rPr>
          <w:rFonts w:hint="eastAsia" w:ascii="宋体" w:hAnsi="宋体" w:cs="宋体"/>
          <w:color w:val="000000"/>
          <w:sz w:val="24"/>
          <w:szCs w:val="24"/>
          <w:u w:val="single"/>
          <w:lang w:val="zh-CN"/>
        </w:rPr>
        <w:t xml:space="preserve">（项目名称）</w:t>
      </w:r>
      <w:r>
        <w:rPr>
          <w:rFonts w:hint="eastAsia" w:ascii="宋体" w:hAnsi="宋体" w:cs="宋体"/>
          <w:color w:val="000000"/>
          <w:sz w:val="24"/>
          <w:szCs w:val="24"/>
          <w:lang w:val="zh-CN"/>
        </w:rPr>
        <w:t xml:space="preserve">投标，以本公司名义处理一切与之有关的事务。</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本授权书于    年  月  日签字生效，特此声明。</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法定代表人签字：</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授权委托人签字：        </w:t>
      </w:r>
      <w:r>
        <w:rPr>
          <w:rFonts w:hint="eastAsia" w:ascii="宋体" w:hAnsi="宋体" w:cs="宋体"/>
          <w:color w:val="000000"/>
          <w:sz w:val="24"/>
          <w:szCs w:val="24"/>
        </w:rPr>
      </w:r>
      <w:r/>
    </w:p>
    <w:p>
      <w:pPr>
        <w:pStyle w:val="1075"/>
        <w:spacing w:line="480" w:lineRule="exact"/>
        <w:tabs>
          <w:tab w:val="left" w:pos="360" w:leader="none"/>
        </w:tabs>
        <w:rPr>
          <w:rFonts w:hint="eastAsia" w:ascii="宋体" w:hAnsi="宋体" w:cs="宋体"/>
          <w:color w:val="000000"/>
          <w:szCs w:val="24"/>
        </w:rPr>
      </w:pPr>
      <w:r>
        <w:rPr>
          <w:rFonts w:hint="eastAsia" w:ascii="宋体" w:hAnsi="宋体" w:cs="宋体"/>
          <w:color w:val="000000"/>
          <w:szCs w:val="24"/>
          <w:lang w:val="zh-CN"/>
        </w:rPr>
        <w:t xml:space="preserve">单位名称：（加盖电子公章）   </w:t>
      </w:r>
      <w:r>
        <w:rPr>
          <w:rFonts w:hint="eastAsia" w:ascii="宋体" w:hAnsi="宋体" w:cs="宋体"/>
          <w:color w:val="000000"/>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736"/>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zh-CN"/>
        </w:rPr>
        <w:t xml:space="preserve">法定代表人</w:t>
      </w:r>
      <w:r>
        <w:rPr>
          <w:rFonts w:hint="eastAsia" w:ascii="宋体" w:hAnsi="宋体" w:cs="宋体"/>
          <w:b/>
          <w:bCs/>
          <w:color w:val="000000"/>
          <w:sz w:val="24"/>
          <w:szCs w:val="24"/>
        </w:rPr>
        <w:t xml:space="preserve">身份证原件扫描件：</w:t>
      </w:r>
      <w:r>
        <w:rPr>
          <w:rFonts w:hint="eastAsia" w:ascii="宋体" w:hAnsi="宋体" w:cs="宋体"/>
          <w:b/>
          <w:bCs/>
          <w:color w:val="000000"/>
          <w:sz w:val="24"/>
          <w:szCs w:val="24"/>
        </w:rPr>
      </w:r>
      <w:r/>
    </w:p>
    <w:p>
      <w:pPr>
        <w:pStyle w:val="736"/>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被授权人</w:t>
      </w:r>
      <w:r>
        <w:rPr>
          <w:rFonts w:hint="eastAsia" w:ascii="宋体" w:hAnsi="宋体" w:cs="宋体"/>
          <w:b/>
          <w:bCs/>
          <w:color w:val="000000"/>
          <w:sz w:val="24"/>
          <w:szCs w:val="24"/>
          <w:lang w:val="zh-CN"/>
        </w:rPr>
        <w:t xml:space="preserve">的身份证明文件的扫描件：</w:t>
      </w:r>
      <w:r>
        <w:rPr>
          <w:rFonts w:hint="eastAsia" w:ascii="宋体" w:hAnsi="宋体" w:cs="宋体"/>
          <w:b/>
          <w:bCs/>
          <w:color w:val="000000"/>
          <w:sz w:val="24"/>
          <w:szCs w:val="24"/>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67" w:name="_Toc16593"/>
      <w:r>
        <w:rPr>
          <w:rFonts w:hint="eastAsia" w:ascii="宋体" w:hAnsi="宋体" w:cs="宋体"/>
          <w:b/>
          <w:color w:val="000000"/>
          <w:sz w:val="24"/>
          <w:szCs w:val="24"/>
          <w:lang w:val="zh-CN"/>
        </w:rPr>
        <w:t xml:space="preserve">附件三、开标一览表格式</w:t>
      </w:r>
      <w:bookmarkEnd w:id="67"/>
      <w:r>
        <w:rPr>
          <w:rFonts w:hint="eastAsia" w:ascii="宋体" w:hAnsi="宋体" w:cs="宋体"/>
          <w:b/>
          <w:color w:val="000000"/>
          <w:sz w:val="24"/>
          <w:szCs w:val="24"/>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开标一览表</w:t>
      </w:r>
      <w:r>
        <w:rPr>
          <w:rFonts w:hint="eastAsia" w:ascii="宋体" w:hAnsi="宋体" w:cs="宋体"/>
          <w:b/>
          <w:bCs/>
          <w:color w:val="000000"/>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项目名称： </w:t>
            </w:r>
            <w:r>
              <w:rPr>
                <w:rFonts w:hint="eastAsia" w:ascii="宋体" w:hAnsi="宋体" w:cs="宋体"/>
                <w:color w:val="000000"/>
                <w:sz w:val="24"/>
                <w:szCs w:val="24"/>
              </w:rPr>
            </w:r>
            <w:r/>
          </w:p>
        </w:tc>
        <w:tc>
          <w:tcPr>
            <w:gridSpan w:val="2"/>
            <w:tcW w:w="3347"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项目编号：</w:t>
            </w: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序号</w:t>
            </w:r>
            <w:r>
              <w:rPr>
                <w:rFonts w:hint="eastAsia" w:ascii="宋体" w:hAnsi="宋体" w:cs="宋体"/>
                <w:color w:val="000000"/>
                <w:sz w:val="24"/>
                <w:szCs w:val="24"/>
              </w:rPr>
            </w:r>
            <w:r/>
          </w:p>
        </w:tc>
        <w:tc>
          <w:tcPr>
            <w:gridSpan w:val="2"/>
            <w:tcW w:w="3522"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名               称</w:t>
            </w:r>
            <w:r>
              <w:rPr>
                <w:rFonts w:hint="eastAsia" w:ascii="宋体" w:hAnsi="宋体" w:cs="宋体"/>
                <w:color w:val="000000"/>
                <w:sz w:val="24"/>
                <w:szCs w:val="24"/>
              </w:rPr>
            </w:r>
            <w:r/>
          </w:p>
        </w:tc>
        <w:tc>
          <w:tcPr>
            <w:tcW w:w="872"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单位</w:t>
            </w:r>
            <w:r>
              <w:rPr>
                <w:rFonts w:hint="eastAsia" w:ascii="宋体" w:hAnsi="宋体" w:cs="宋体"/>
                <w:color w:val="000000"/>
                <w:sz w:val="24"/>
                <w:szCs w:val="24"/>
              </w:rPr>
            </w:r>
            <w:r/>
          </w:p>
        </w:tc>
        <w:tc>
          <w:tcPr>
            <w:gridSpan w:val="2"/>
            <w:tcW w:w="1418"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报价（元）</w:t>
            </w:r>
            <w:r>
              <w:rPr>
                <w:rFonts w:hint="eastAsia" w:ascii="宋体" w:hAnsi="宋体" w:cs="宋体"/>
                <w:color w:val="000000"/>
                <w:sz w:val="24"/>
                <w:szCs w:val="24"/>
              </w:rPr>
            </w:r>
            <w:r/>
          </w:p>
        </w:tc>
        <w:tc>
          <w:tcPr>
            <w:tcW w:w="2839"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6"/>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t xml:space="preserve">1</w:t>
            </w:r>
            <w:r>
              <w:rPr>
                <w:rFonts w:hint="eastAsia" w:ascii="宋体" w:hAnsi="宋体" w:cs="宋体"/>
                <w:color w:val="000000"/>
                <w:spacing w:val="-2"/>
                <w:sz w:val="24"/>
                <w:szCs w:val="24"/>
              </w:rPr>
            </w:r>
            <w:r/>
          </w:p>
        </w:tc>
        <w:tc>
          <w:tcPr>
            <w:gridSpan w:val="2"/>
            <w:tcW w:w="3522" w:type="dxa"/>
            <w:vAlign w:val="center"/>
            <w:textDirection w:val="lrTb"/>
            <w:noWrap w:val="false"/>
          </w:tcPr>
          <w:p>
            <w:pPr>
              <w:pStyle w:val="736"/>
              <w:spacing w:line="360" w:lineRule="auto"/>
              <w:rPr>
                <w:rFonts w:hint="eastAsia" w:ascii="宋体" w:hAnsi="宋体" w:cs="宋体"/>
                <w:color w:val="000000"/>
                <w:spacing w:val="-2"/>
                <w:sz w:val="24"/>
                <w:szCs w:val="24"/>
              </w:rPr>
            </w:pPr>
            <w:r>
              <w:rPr>
                <w:rFonts w:hint="eastAsia" w:ascii="宋体" w:hAnsi="宋体" w:cs="宋体"/>
                <w:color w:val="000000"/>
                <w:sz w:val="24"/>
                <w:szCs w:val="24"/>
                <w:lang w:eastAsia="zh-CN"/>
              </w:rPr>
              <w:t xml:space="preserve">江北新区滨江实验学校工程项目</w:t>
            </w:r>
            <w:r>
              <w:rPr>
                <w:rFonts w:hint="eastAsia" w:ascii="宋体" w:hAnsi="宋体" w:cs="宋体"/>
                <w:color w:val="000000"/>
                <w:sz w:val="24"/>
                <w:szCs w:val="24"/>
              </w:rPr>
              <w:t xml:space="preserve">实验室装备采购</w:t>
            </w:r>
            <w:r>
              <w:rPr>
                <w:rFonts w:hint="eastAsia" w:ascii="宋体" w:hAnsi="宋体" w:cs="宋体"/>
                <w:color w:val="000000"/>
                <w:spacing w:val="-2"/>
                <w:sz w:val="24"/>
                <w:szCs w:val="24"/>
              </w:rPr>
            </w:r>
            <w:r/>
          </w:p>
        </w:tc>
        <w:tc>
          <w:tcPr>
            <w:tcW w:w="872" w:type="dxa"/>
            <w:vAlign w:val="center"/>
            <w:textDirection w:val="lrTb"/>
            <w:noWrap w:val="false"/>
          </w:tcPr>
          <w:p>
            <w:pPr>
              <w:pStyle w:val="73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tcW w:w="1418"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6"/>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736"/>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6"/>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736"/>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6"/>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投标总价（人民币，大写）</w:t>
            </w:r>
            <w:r>
              <w:rPr>
                <w:rFonts w:hint="eastAsia" w:ascii="宋体" w:hAnsi="宋体" w:cs="宋体"/>
                <w:color w:val="000000"/>
                <w:sz w:val="24"/>
                <w:szCs w:val="24"/>
              </w:rPr>
            </w:r>
            <w:r/>
          </w:p>
        </w:tc>
        <w:tc>
          <w:tcPr>
            <w:gridSpan w:val="5"/>
            <w:tcW w:w="6120" w:type="dxa"/>
            <w:vAlign w:val="center"/>
            <w:textDirection w:val="lrTb"/>
            <w:noWrap w:val="false"/>
          </w:tcPr>
          <w:p>
            <w:pPr>
              <w:pStyle w:val="736"/>
              <w:ind w:firstLine="399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元</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6"/>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投标货物中有无进口产品</w:t>
            </w:r>
            <w:r>
              <w:rPr>
                <w:rFonts w:hint="eastAsia" w:ascii="宋体" w:hAnsi="宋体" w:cs="宋体"/>
                <w:color w:val="000000"/>
                <w:sz w:val="24"/>
                <w:szCs w:val="24"/>
              </w:rPr>
            </w:r>
            <w:r/>
          </w:p>
        </w:tc>
        <w:tc>
          <w:tcPr>
            <w:gridSpan w:val="5"/>
            <w:tcW w:w="6120"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有       无</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6"/>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供应商是否属于小微型企业</w:t>
            </w:r>
            <w:r>
              <w:rPr>
                <w:rFonts w:hint="eastAsia" w:ascii="宋体" w:hAnsi="宋体" w:cs="宋体"/>
                <w:color w:val="000000"/>
                <w:sz w:val="24"/>
                <w:szCs w:val="24"/>
              </w:rPr>
            </w:r>
            <w:r/>
          </w:p>
        </w:tc>
        <w:tc>
          <w:tcPr>
            <w:gridSpan w:val="5"/>
            <w:tcW w:w="6120"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是       否</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6"/>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人民币与美元汇率</w:t>
            </w:r>
            <w:r>
              <w:rPr>
                <w:rFonts w:hint="eastAsia" w:ascii="宋体" w:hAnsi="宋体" w:cs="宋体"/>
                <w:color w:val="000000"/>
                <w:sz w:val="24"/>
                <w:szCs w:val="24"/>
              </w:rPr>
            </w:r>
            <w:r/>
          </w:p>
        </w:tc>
        <w:tc>
          <w:tcPr>
            <w:gridSpan w:val="5"/>
            <w:tcW w:w="6120"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10：X</w:t>
            </w:r>
            <w:r>
              <w:rPr>
                <w:rFonts w:hint="eastAsia" w:ascii="宋体" w:hAnsi="宋体" w:cs="宋体"/>
                <w:color w:val="000000"/>
                <w:sz w:val="24"/>
                <w:szCs w:val="24"/>
              </w:rPr>
            </w:r>
            <w:r/>
          </w:p>
        </w:tc>
      </w:tr>
    </w:tbl>
    <w:p>
      <w:pPr>
        <w:pStyle w:val="736"/>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6"/>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说明：</w:t>
      </w:r>
      <w:r>
        <w:rPr>
          <w:rFonts w:hint="eastAsia" w:ascii="宋体" w:hAnsi="宋体" w:cs="宋体"/>
          <w:color w:val="000000"/>
          <w:sz w:val="24"/>
          <w:szCs w:val="24"/>
        </w:rPr>
      </w:r>
      <w:r/>
    </w:p>
    <w:p>
      <w:pPr>
        <w:pStyle w:val="736"/>
        <w:ind w:firstLine="420"/>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w:t>
      </w:r>
      <w:r>
        <w:rPr>
          <w:rFonts w:hint="eastAsia" w:ascii="宋体" w:hAnsi="宋体" w:cs="宋体"/>
          <w:color w:val="000000"/>
          <w:sz w:val="24"/>
          <w:szCs w:val="24"/>
          <w:lang w:val="zh-CN"/>
        </w:rPr>
        <w:t xml:space="preserve">在“投标货物中有无进口产品”栏后“有”或“无”上打“√”。</w:t>
      </w:r>
      <w:r>
        <w:rPr>
          <w:rFonts w:hint="eastAsia" w:ascii="宋体" w:hAnsi="宋体" w:cs="宋体"/>
          <w:color w:val="000000"/>
          <w:sz w:val="24"/>
          <w:szCs w:val="24"/>
        </w:rPr>
      </w:r>
      <w:r/>
    </w:p>
    <w:p>
      <w:pPr>
        <w:pStyle w:val="736"/>
        <w:ind w:firstLine="420"/>
        <w:jc w:val="center"/>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、在“供应商是否属于小和微型企业”栏后“是”或“否”上打“√”。</w:t>
      </w:r>
      <w:r>
        <w:rPr>
          <w:rFonts w:hint="eastAsia" w:ascii="宋体" w:hAnsi="宋体" w:cs="宋体"/>
          <w:color w:val="000000"/>
          <w:sz w:val="24"/>
          <w:szCs w:val="24"/>
          <w:lang w:val="zh-CN"/>
        </w:rPr>
      </w:r>
      <w:r/>
    </w:p>
    <w:p>
      <w:pPr>
        <w:pStyle w:val="736"/>
        <w:ind w:firstLine="420"/>
        <w:jc w:val="center"/>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736"/>
        <w:ind w:firstLine="420"/>
        <w:jc w:val="center"/>
        <w:spacing w:line="360" w:lineRule="auto"/>
        <w:widowControl/>
        <w:rPr>
          <w:rFonts w:hint="eastAsia" w:ascii="宋体" w:hAnsi="宋体" w:cs="宋体"/>
          <w:b/>
          <w:bCs/>
          <w:color w:val="000000"/>
          <w:sz w:val="28"/>
          <w:szCs w:val="28"/>
          <w:lang w:val="zh-CN"/>
        </w:rPr>
        <w:outlineLvl w:val="1"/>
      </w:pPr>
      <w:r>
        <w:rPr>
          <w:rFonts w:cs="宋体"/>
          <w:color w:val="000000"/>
          <w:sz w:val="24"/>
          <w:szCs w:val="24"/>
          <w:lang w:val="zh-CN"/>
        </w:rPr>
        <w:br w:type="page" w:clear="all"/>
      </w:r>
      <w:bookmarkStart w:id="68" w:name="_Toc10828"/>
      <w:r>
        <w:rPr>
          <w:rFonts w:hint="eastAsia" w:ascii="宋体" w:hAnsi="宋体" w:cs="宋体"/>
          <w:b/>
          <w:bCs/>
          <w:color w:val="000000"/>
          <w:sz w:val="28"/>
          <w:szCs w:val="28"/>
          <w:lang w:val="zh-CN"/>
        </w:rPr>
        <w:t xml:space="preserve">分项报价表</w:t>
      </w:r>
      <w:bookmarkEnd w:id="68"/>
      <w:r>
        <w:rPr>
          <w:rFonts w:hint="eastAsia" w:ascii="宋体" w:hAnsi="宋体" w:cs="宋体"/>
          <w:b/>
          <w:bCs/>
          <w:color w:val="000000"/>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shd w:val="clear" w:color="auto" w:fill="ffffff"/>
            <w:tcW w:w="2524"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产品名称</w:t>
            </w:r>
            <w:r>
              <w:rPr>
                <w:rFonts w:hint="eastAsia" w:ascii="宋体" w:hAnsi="宋体" w:cs="宋体"/>
                <w:b/>
                <w:bCs/>
                <w:color w:val="000000"/>
                <w:sz w:val="24"/>
                <w:szCs w:val="24"/>
              </w:rPr>
            </w:r>
            <w:r/>
          </w:p>
        </w:tc>
        <w:tc>
          <w:tcPr>
            <w:shd w:val="clear" w:color="auto" w:fill="ffffff"/>
            <w:tcW w:w="2136"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技术参数要求</w:t>
            </w:r>
            <w:r>
              <w:rPr>
                <w:rFonts w:hint="eastAsia" w:ascii="宋体" w:hAnsi="宋体" w:cs="宋体"/>
                <w:b/>
                <w:bCs/>
                <w:color w:val="000000"/>
                <w:sz w:val="24"/>
                <w:szCs w:val="24"/>
              </w:rPr>
            </w:r>
            <w:r/>
          </w:p>
        </w:tc>
        <w:tc>
          <w:tcPr>
            <w:shd w:val="clear" w:color="auto" w:fill="ffffff"/>
            <w:tcW w:w="816"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shd w:val="clear" w:color="auto" w:fill="ffffff"/>
            <w:tcW w:w="953"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shd w:val="clear" w:color="auto" w:fill="ffffff"/>
            <w:tcW w:w="1452" w:type="dxa"/>
            <w:vAlign w:val="center"/>
            <w:textDirection w:val="lrTb"/>
            <w:noWrap w:val="false"/>
          </w:tcPr>
          <w:p>
            <w:pPr>
              <w:pStyle w:val="736"/>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单价（元）</w:t>
            </w:r>
            <w:r>
              <w:rPr>
                <w:rFonts w:ascii="宋体" w:hAnsi="宋体" w:cs="宋体"/>
                <w:b/>
                <w:bCs/>
                <w:color w:val="000000"/>
                <w:sz w:val="24"/>
                <w:szCs w:val="24"/>
                <w:lang w:bidi="ar"/>
              </w:rPr>
            </w:r>
            <w:r/>
          </w:p>
        </w:tc>
        <w:tc>
          <w:tcPr>
            <w:shd w:val="clear" w:color="auto" w:fill="ffffff"/>
            <w:tcW w:w="1740" w:type="dxa"/>
            <w:vAlign w:val="center"/>
            <w:textDirection w:val="lrTb"/>
            <w:noWrap w:val="false"/>
          </w:tcPr>
          <w:p>
            <w:pPr>
              <w:pStyle w:val="736"/>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合价（元）</w:t>
            </w:r>
            <w:r>
              <w:rPr>
                <w:rFonts w:ascii="宋体" w:hAnsi="宋体" w:cs="宋体"/>
                <w:b/>
                <w:bCs/>
                <w:color w:val="000000"/>
                <w:sz w:val="24"/>
                <w:szCs w:val="24"/>
                <w:lang w:bidi="ar"/>
              </w:rPr>
            </w:r>
            <w:r/>
          </w:p>
        </w:tc>
      </w:tr>
      <w:tr>
        <w:trPr>
          <w:trHeight w:val="624"/>
        </w:trPr>
        <w:tc>
          <w:tcPr>
            <w:tcW w:w="789"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736"/>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ascii="宋体" w:hAnsi="宋体" w:cs="宋体"/>
                <w:color w:val="000000"/>
                <w:sz w:val="24"/>
                <w:szCs w:val="24"/>
                <w:lang w:bidi="ar"/>
              </w:rPr>
            </w:r>
            <w:r/>
          </w:p>
        </w:tc>
        <w:tc>
          <w:tcPr>
            <w:gridSpan w:val="5"/>
            <w:shd w:val="clear" w:color="auto" w:fill="ffffff"/>
            <w:tcW w:w="7881"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总价：</w:t>
            </w: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736"/>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5</w:t>
            </w:r>
            <w:r>
              <w:rPr>
                <w:rFonts w:ascii="宋体" w:hAnsi="宋体" w:cs="宋体"/>
                <w:b/>
                <w:bCs/>
                <w:color w:val="000000"/>
                <w:sz w:val="24"/>
                <w:szCs w:val="24"/>
                <w:lang w:bidi="ar"/>
              </w:rPr>
            </w:r>
            <w:r/>
          </w:p>
        </w:tc>
        <w:tc>
          <w:tcPr>
            <w:gridSpan w:val="5"/>
            <w:shd w:val="clear" w:color="auto" w:fill="ffffff"/>
            <w:tcW w:w="7881" w:type="dxa"/>
            <w:vAlign w:val="center"/>
            <w:textDirection w:val="lrTb"/>
            <w:noWrap w:val="false"/>
          </w:tcPr>
          <w:p>
            <w:pPr>
              <w:pStyle w:val="736"/>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总价（含税）：</w:t>
            </w:r>
            <w:r>
              <w:rPr>
                <w:rFonts w:hint="eastAsia" w:ascii="宋体" w:hAnsi="宋体" w:cs="宋体"/>
                <w:b/>
                <w:bCs/>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tc>
      </w:tr>
    </w:tbl>
    <w:p>
      <w:pPr>
        <w:pStyle w:val="736"/>
        <w:ind w:firstLine="360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6"/>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736"/>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752"/>
        <w:rPr>
          <w:rFonts w:hint="eastAsia" w:ascii="宋体" w:hAnsi="宋体" w:cs="宋体"/>
          <w:color w:val="000000"/>
          <w:szCs w:val="24"/>
        </w:rPr>
      </w:pPr>
      <w:r>
        <w:rPr>
          <w:rFonts w:hint="eastAsia" w:ascii="宋体" w:hAnsi="宋体" w:cs="宋体"/>
          <w:color w:val="000000"/>
          <w:szCs w:val="24"/>
        </w:rPr>
      </w:r>
      <w:r/>
    </w:p>
    <w:p>
      <w:pPr>
        <w:pStyle w:val="736"/>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rPr>
        <w:br w:type="page" w:clear="all"/>
      </w:r>
      <w:bookmarkStart w:id="69" w:name="_Toc10499"/>
      <w:r/>
      <w:bookmarkStart w:id="70" w:name="_Toc20874"/>
      <w:r>
        <w:rPr>
          <w:rFonts w:hint="eastAsia" w:ascii="宋体" w:hAnsi="宋体" w:cs="宋体"/>
          <w:b/>
          <w:color w:val="000000"/>
          <w:sz w:val="24"/>
          <w:szCs w:val="24"/>
          <w:lang w:val="zh-CN"/>
        </w:rPr>
        <w:t xml:space="preserve">附件四、供货一览表格式</w:t>
      </w:r>
      <w:bookmarkEnd w:id="69"/>
      <w:r/>
      <w:bookmarkEnd w:id="70"/>
      <w:r>
        <w:rPr>
          <w:rFonts w:hint="eastAsia" w:ascii="宋体" w:hAnsi="宋体" w:cs="宋体"/>
          <w:b/>
          <w:color w:val="000000"/>
          <w:sz w:val="24"/>
          <w:szCs w:val="24"/>
        </w:rPr>
      </w:r>
      <w:r/>
    </w:p>
    <w:p>
      <w:pPr>
        <w:pStyle w:val="736"/>
        <w:jc w:val="center"/>
        <w:spacing w:line="360" w:lineRule="auto"/>
        <w:rPr>
          <w:rStyle w:val="1293"/>
          <w:rFonts w:hint="eastAsia" w:ascii="宋体" w:hAnsi="宋体" w:cs="宋体"/>
          <w:b/>
          <w:color w:val="000000"/>
          <w:sz w:val="24"/>
          <w:szCs w:val="22"/>
        </w:rPr>
      </w:pPr>
      <w:r>
        <w:rPr>
          <w:rStyle w:val="1293"/>
          <w:rFonts w:hint="eastAsia" w:ascii="宋体" w:hAnsi="宋体" w:cs="宋体"/>
          <w:b/>
          <w:color w:val="000000"/>
          <w:sz w:val="24"/>
          <w:szCs w:val="22"/>
        </w:rPr>
        <w:t xml:space="preserve">供货一览表(格式供参考)</w:t>
      </w:r>
      <w:r>
        <w:rPr>
          <w:rStyle w:val="1293"/>
          <w:rFonts w:hint="eastAsia" w:ascii="宋体" w:hAnsi="宋体" w:cs="宋体"/>
          <w:b/>
          <w:color w:val="000000"/>
          <w:sz w:val="24"/>
          <w:szCs w:val="22"/>
        </w:rPr>
      </w:r>
      <w:r/>
    </w:p>
    <w:p>
      <w:pPr>
        <w:pStyle w:val="1316"/>
        <w:ind w:left="0"/>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p>
      <w:pPr>
        <w:pStyle w:val="1316"/>
        <w:ind w:left="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货物品类</w:t>
            </w:r>
            <w:r>
              <w:rPr>
                <w:rFonts w:hint="eastAsia" w:ascii="宋体" w:hAnsi="宋体" w:cs="宋体"/>
                <w:color w:val="000000"/>
                <w:sz w:val="24"/>
              </w:rPr>
            </w:r>
            <w:r/>
          </w:p>
        </w:tc>
        <w:tc>
          <w:tcPr>
            <w:tcW w:w="1568"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货物名称</w:t>
            </w:r>
            <w:r>
              <w:rPr>
                <w:rFonts w:hint="eastAsia" w:ascii="宋体" w:hAnsi="宋体" w:cs="宋体"/>
                <w:color w:val="000000"/>
                <w:sz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品牌/规格</w:t>
            </w:r>
            <w:r>
              <w:rPr>
                <w:rFonts w:hint="eastAsia" w:ascii="宋体" w:hAnsi="宋体" w:cs="宋体"/>
                <w:color w:val="000000"/>
                <w:sz w:val="24"/>
              </w:rPr>
            </w:r>
            <w:r/>
          </w:p>
        </w:tc>
        <w:tc>
          <w:tcPr>
            <w:tcW w:w="1063" w:type="dxa"/>
            <w:vAlign w:val="top"/>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单位</w:t>
            </w:r>
            <w:r>
              <w:rPr>
                <w:rFonts w:hint="eastAsia" w:ascii="宋体" w:hAnsi="宋体" w:cs="宋体"/>
                <w:color w:val="000000"/>
                <w:sz w:val="24"/>
              </w:rPr>
            </w:r>
            <w:r/>
          </w:p>
        </w:tc>
        <w:tc>
          <w:tcPr>
            <w:tcW w:w="132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736"/>
        <w:spacing w:line="360" w:lineRule="auto"/>
        <w:rPr>
          <w:rFonts w:hint="eastAsia" w:ascii="宋体" w:hAnsi="宋体" w:cs="宋体"/>
          <w:color w:val="000000"/>
          <w:sz w:val="24"/>
        </w:rPr>
      </w:pPr>
      <w:r>
        <w:rPr>
          <w:rFonts w:hint="eastAsia" w:ascii="宋体" w:hAnsi="宋体" w:cs="宋体"/>
          <w:color w:val="000000"/>
          <w:sz w:val="24"/>
        </w:rPr>
      </w:r>
      <w:r/>
    </w:p>
    <w:p>
      <w:pPr>
        <w:pStyle w:val="736"/>
        <w:spacing w:line="360" w:lineRule="auto"/>
        <w:rPr>
          <w:rFonts w:hint="eastAsia"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加盖电子公章</w:t>
      </w:r>
      <w:r>
        <w:rPr>
          <w:rFonts w:hint="eastAsia" w:ascii="宋体" w:hAnsi="宋体" w:cs="宋体"/>
          <w:color w:val="000000"/>
          <w:sz w:val="24"/>
          <w:lang w:val="zh-CN"/>
        </w:rPr>
        <w:t xml:space="preserve">）：   </w:t>
      </w:r>
      <w:r>
        <w:rPr>
          <w:rFonts w:hint="eastAsia" w:ascii="宋体" w:hAnsi="宋体" w:cs="宋体"/>
          <w:color w:val="000000"/>
          <w:sz w:val="24"/>
        </w:rPr>
      </w:r>
      <w:r/>
    </w:p>
    <w:p>
      <w:pPr>
        <w:pStyle w:val="736"/>
        <w:jc w:val="left"/>
        <w:spacing w:line="360" w:lineRule="auto"/>
        <w:rPr>
          <w:rFonts w:hint="eastAsia" w:ascii="宋体" w:hAnsi="宋体" w:cs="宋体"/>
          <w:color w:val="000000"/>
          <w:sz w:val="24"/>
        </w:rPr>
      </w:pPr>
      <w:r>
        <w:rPr>
          <w:rFonts w:hint="eastAsia" w:ascii="宋体" w:hAnsi="宋体" w:cs="宋体"/>
          <w:color w:val="000000"/>
          <w:sz w:val="24"/>
          <w:lang w:val="zh-CN"/>
        </w:rPr>
        <w:t xml:space="preserve">日期：年  月 日</w:t>
      </w:r>
      <w:r>
        <w:rPr>
          <w:rFonts w:hint="eastAsia" w:ascii="宋体" w:hAnsi="宋体" w:cs="宋体"/>
          <w:color w:val="000000"/>
          <w:sz w:val="24"/>
        </w:rPr>
      </w:r>
      <w:r/>
    </w:p>
    <w:p>
      <w:pPr>
        <w:pStyle w:val="736"/>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826"/>
        <w:rPr>
          <w:rFonts w:hint="eastAsia"/>
          <w:color w:val="000000"/>
          <w:lang w:val="zh-CN"/>
        </w:rPr>
      </w:pPr>
      <w:r>
        <w:rPr>
          <w:rFonts w:hint="eastAsia"/>
          <w:color w:val="000000"/>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71" w:name="_Toc15473"/>
      <w:r>
        <w:rPr>
          <w:rFonts w:hint="eastAsia" w:ascii="宋体" w:hAnsi="宋体" w:cs="宋体"/>
          <w:b/>
          <w:color w:val="000000"/>
          <w:sz w:val="24"/>
          <w:szCs w:val="24"/>
          <w:lang w:val="zh-CN"/>
        </w:rPr>
        <w:t xml:space="preserve">附件五、技术条款偏离表格式</w:t>
      </w:r>
      <w:bookmarkEnd w:id="71"/>
      <w:r>
        <w:rPr>
          <w:rFonts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技术条款偏离表</w:t>
      </w:r>
      <w:r>
        <w:rPr>
          <w:rFonts w:ascii="宋体" w:hAnsi="宋体" w:cs="宋体"/>
          <w:b/>
          <w:bCs/>
          <w:color w:val="000000"/>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36"/>
              <w:jc w:val="left"/>
              <w:spacing w:before="240" w:line="400" w:lineRule="exact"/>
              <w:rPr>
                <w:rFonts w:ascii="宋体" w:hAnsi="宋体"/>
                <w:color w:val="000000"/>
                <w:sz w:val="24"/>
                <w:szCs w:val="24"/>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eastAsia="en-US"/>
              </w:rPr>
              <w:t xml:space="preserve">      </w:t>
            </w:r>
            <w:r>
              <w:rPr>
                <w:rFonts w:ascii="宋体" w:hAnsi="宋体"/>
                <w:color w:val="000000"/>
                <w:sz w:val="24"/>
                <w:szCs w:val="24"/>
                <w:lang w:eastAsia="en-US"/>
              </w:rPr>
            </w:r>
            <w:r/>
          </w:p>
        </w:tc>
      </w:tr>
      <w:tr>
        <w:trPr>
          <w:trHeight w:val="851"/>
        </w:trPr>
        <w:tc>
          <w:tcPr>
            <w:gridSpan w:val="6"/>
            <w:tcW w:w="9651" w:type="dxa"/>
            <w:vAlign w:val="top"/>
            <w:textDirection w:val="lrTb"/>
            <w:noWrap w:val="false"/>
          </w:tcPr>
          <w:p>
            <w:pPr>
              <w:pStyle w:val="736"/>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651" w:type="dxa"/>
            <w:vAlign w:val="center"/>
            <w:textDirection w:val="lrTb"/>
            <w:noWrap w:val="false"/>
          </w:tcPr>
          <w:p>
            <w:pPr>
              <w:pStyle w:val="736"/>
              <w:jc w:val="left"/>
              <w:spacing w:line="400" w:lineRule="exact"/>
              <w:rPr>
                <w:rFonts w:ascii="宋体" w:hAnsi="宋体"/>
                <w:b/>
                <w:color w:val="000000"/>
                <w:sz w:val="24"/>
                <w:szCs w:val="24"/>
              </w:rPr>
            </w:pPr>
            <w:r>
              <w:rPr>
                <w:rFonts w:hint="eastAsia" w:ascii="宋体" w:hAnsi="宋体"/>
                <w:b/>
                <w:color w:val="000000"/>
                <w:sz w:val="24"/>
                <w:szCs w:val="24"/>
              </w:rPr>
              <w:t xml:space="preserve">对本项目技术条款的偏离情况（应进行选择，未选择响应无效）：</w:t>
            </w:r>
            <w:r>
              <w:rPr>
                <w:rFonts w:ascii="宋体" w:hAnsi="宋体"/>
                <w:b/>
                <w:color w:val="000000"/>
                <w:sz w:val="24"/>
                <w:szCs w:val="24"/>
              </w:rPr>
            </w:r>
            <w:r/>
          </w:p>
          <w:p>
            <w:pPr>
              <w:pStyle w:val="736"/>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736"/>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775"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482" w:type="dxa"/>
            <w:vAlign w:val="center"/>
            <w:textDirection w:val="lrTb"/>
            <w:noWrap w:val="false"/>
          </w:tcPr>
          <w:p>
            <w:pPr>
              <w:pStyle w:val="736"/>
              <w:spacing w:line="400" w:lineRule="exact"/>
              <w:rPr>
                <w:rFonts w:ascii="宋体" w:hAnsi="宋体"/>
                <w:color w:val="000000"/>
                <w:sz w:val="24"/>
                <w:szCs w:val="24"/>
              </w:rPr>
            </w:pPr>
            <w:r>
              <w:rPr>
                <w:rFonts w:hint="eastAsia" w:ascii="宋体" w:hAnsi="宋体"/>
                <w:color w:val="000000"/>
                <w:sz w:val="24"/>
                <w:szCs w:val="24"/>
              </w:rPr>
              <w:t xml:space="preserve">招标</w:t>
            </w:r>
            <w:r>
              <w:rPr>
                <w:rFonts w:ascii="宋体" w:hAnsi="宋体"/>
                <w:color w:val="000000"/>
                <w:sz w:val="24"/>
                <w:szCs w:val="24"/>
              </w:rPr>
              <w:t xml:space="preserve">文件条目号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384" w:type="dxa"/>
            <w:vAlign w:val="center"/>
            <w:textDirection w:val="lrTb"/>
            <w:noWrap w:val="false"/>
          </w:tcPr>
          <w:p>
            <w:pPr>
              <w:pStyle w:val="736"/>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126"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875" w:type="dxa"/>
            <w:vAlign w:val="center"/>
            <w:textDirection w:val="lrTb"/>
            <w:noWrap w:val="false"/>
          </w:tcPr>
          <w:p>
            <w:pPr>
              <w:pStyle w:val="736"/>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736"/>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09"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736"/>
        <w:jc w:val="left"/>
        <w:spacing w:line="400" w:lineRule="exact"/>
        <w:tabs>
          <w:tab w:val="left" w:pos="1800" w:leader="none"/>
          <w:tab w:val="left" w:pos="5580" w:leader="none"/>
        </w:tabs>
        <w:rPr>
          <w:rFonts w:ascii="宋体" w:hAnsi="宋体"/>
          <w:color w:val="000000"/>
          <w:sz w:val="24"/>
          <w:szCs w:val="24"/>
          <w:lang w:eastAsia="en-US"/>
        </w:rPr>
      </w:pPr>
      <w:r>
        <w:rPr>
          <w:rFonts w:ascii="宋体" w:hAnsi="宋体"/>
          <w:color w:val="000000"/>
          <w:sz w:val="24"/>
          <w:szCs w:val="24"/>
          <w:lang w:eastAsia="en-US"/>
        </w:rPr>
        <w:t xml:space="preserve">注：</w:t>
      </w:r>
      <w:r>
        <w:rPr>
          <w:rFonts w:ascii="宋体" w:hAnsi="宋体"/>
          <w:color w:val="000000"/>
          <w:sz w:val="24"/>
          <w:szCs w:val="24"/>
          <w:lang w:eastAsia="en-US"/>
        </w:rPr>
      </w:r>
      <w:r/>
    </w:p>
    <w:p>
      <w:pPr>
        <w:pStyle w:val="736"/>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bookmarkStart w:id="72" w:name="_Hlk108605718"/>
      <w:r>
        <w:rPr>
          <w:rFonts w:hint="eastAsia" w:ascii="宋体" w:hAnsi="宋体"/>
          <w:color w:val="000000"/>
          <w:sz w:val="24"/>
          <w:szCs w:val="24"/>
        </w:rPr>
        <w:t xml:space="preserve">《第四章 采购需求》</w:t>
      </w:r>
      <w:bookmarkEnd w:id="72"/>
      <w:r>
        <w:rPr>
          <w:rFonts w:hint="eastAsia" w:ascii="宋体" w:hAnsi="宋体"/>
          <w:color w:val="000000"/>
          <w:sz w:val="24"/>
          <w:szCs w:val="24"/>
        </w:rPr>
        <w:t xml:space="preserve">中</w:t>
      </w:r>
      <w:r>
        <w:rPr>
          <w:rFonts w:ascii="宋体" w:hAnsi="宋体"/>
          <w:color w:val="000000"/>
          <w:sz w:val="24"/>
          <w:szCs w:val="24"/>
        </w:rPr>
        <w:t xml:space="preserve">的所有技术要求，除本表所列明的所有偏离外，均视作供应商已对之理解和响应。</w:t>
      </w:r>
      <w:r>
        <w:rPr>
          <w:rFonts w:ascii="宋体" w:hAnsi="宋体"/>
          <w:color w:val="000000"/>
          <w:sz w:val="24"/>
          <w:szCs w:val="24"/>
        </w:rPr>
      </w:r>
      <w:r/>
    </w:p>
    <w:p>
      <w:pPr>
        <w:pStyle w:val="736"/>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736"/>
        <w:jc w:val="left"/>
        <w:spacing w:line="400" w:lineRule="exact"/>
        <w:rPr>
          <w:rFonts w:ascii="Calibri" w:hAnsi="Calibri"/>
          <w:color w:val="000000"/>
          <w:sz w:val="24"/>
          <w:szCs w:val="24"/>
        </w:rPr>
      </w:pPr>
      <w:r>
        <w:rPr>
          <w:rFonts w:ascii="Calibri" w:hAnsi="Calibri"/>
          <w:color w:val="000000"/>
          <w:sz w:val="24"/>
          <w:szCs w:val="24"/>
        </w:rPr>
      </w:r>
      <w:r/>
    </w:p>
    <w:p>
      <w:pPr>
        <w:pStyle w:val="736"/>
        <w:ind w:right="360"/>
        <w:jc w:val="left"/>
        <w:spacing w:before="25" w:after="25" w:line="400" w:lineRule="exact"/>
        <w:rPr>
          <w:rFonts w:ascii="宋体" w:hAnsi="宋体"/>
          <w:color w:val="000000"/>
          <w:sz w:val="24"/>
          <w:szCs w:val="24"/>
        </w:rPr>
      </w:pPr>
      <w:r>
        <w:rPr>
          <w:rFonts w:ascii="宋体" w:hAnsi="宋体"/>
          <w:color w:val="000000"/>
          <w:sz w:val="24"/>
          <w:szCs w:val="24"/>
        </w:rPr>
      </w:r>
      <w:r/>
    </w:p>
    <w:p>
      <w:pPr>
        <w:pStyle w:val="736"/>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rPr>
          <w:rFonts w:hint="eastAsia" w:ascii="宋体" w:hAnsi="宋体" w:cs="宋体"/>
          <w:color w:val="000000"/>
          <w:sz w:val="24"/>
          <w:szCs w:val="24"/>
          <w:u w:val="single"/>
          <w:lang w:val="zh-CN"/>
        </w:rPr>
        <w:t xml:space="preserve">                            </w:t>
      </w:r>
      <w:r>
        <w:rPr>
          <w:rFonts w:ascii="宋体" w:hAnsi="宋体"/>
          <w:color w:val="000000"/>
          <w:sz w:val="24"/>
          <w:szCs w:val="24"/>
          <w:lang w:val="zh-CN"/>
        </w:rPr>
      </w:r>
      <w:r/>
    </w:p>
    <w:p>
      <w:pPr>
        <w:pStyle w:val="736"/>
        <w:jc w:val="left"/>
        <w:spacing w:before="25" w:after="25" w:line="400" w:lineRule="exact"/>
        <w:rPr>
          <w:rFonts w:ascii="宋体" w:hAnsi="宋体"/>
          <w:color w:val="000000"/>
          <w:sz w:val="24"/>
          <w:szCs w:val="24"/>
        </w:rPr>
      </w:pPr>
      <w:r>
        <w:rPr>
          <w:rFonts w:ascii="宋体" w:hAnsi="宋体"/>
          <w:color w:val="000000"/>
          <w:sz w:val="24"/>
          <w:szCs w:val="24"/>
        </w:rPr>
        <w:t xml:space="preserve">日期：</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年</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月</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日</w:t>
      </w:r>
      <w:r>
        <w:rPr>
          <w:rFonts w:ascii="宋体" w:hAnsi="宋体"/>
          <w:color w:val="000000"/>
          <w:sz w:val="24"/>
          <w:szCs w:val="24"/>
        </w:rPr>
      </w:r>
      <w:r/>
    </w:p>
    <w:p>
      <w:pPr>
        <w:pStyle w:val="736"/>
        <w:jc w:val="left"/>
        <w:spacing w:line="360" w:lineRule="auto"/>
        <w:widowControl/>
        <w:rPr>
          <w:rFonts w:ascii="宋体" w:hAnsi="宋体" w:cs="宋体"/>
          <w:b/>
          <w:color w:val="000000"/>
          <w:sz w:val="24"/>
          <w:szCs w:val="24"/>
          <w:lang w:val="zh-CN"/>
        </w:rPr>
        <w:outlineLvl w:val="1"/>
      </w:pPr>
      <w:r>
        <w:rPr>
          <w:rFonts w:ascii="宋体" w:hAnsi="宋体"/>
          <w:b/>
          <w:color w:val="000000"/>
          <w:sz w:val="22"/>
          <w:szCs w:val="24"/>
        </w:rPr>
        <w:br w:type="page" w:clear="all"/>
      </w:r>
      <w:bookmarkStart w:id="73" w:name="_Toc30404"/>
      <w:r>
        <w:rPr>
          <w:rFonts w:hint="eastAsia" w:ascii="宋体" w:hAnsi="宋体" w:cs="宋体"/>
          <w:b/>
          <w:color w:val="000000"/>
          <w:sz w:val="24"/>
          <w:szCs w:val="24"/>
          <w:lang w:val="zh-CN"/>
        </w:rPr>
        <w:t xml:space="preserve">附件六、商务条款偏离表格式</w:t>
      </w:r>
      <w:bookmarkEnd w:id="73"/>
      <w:r>
        <w:rPr>
          <w:rFonts w:ascii="宋体" w:hAnsi="宋体" w:cs="宋体"/>
          <w:b/>
          <w:color w:val="000000"/>
          <w:sz w:val="24"/>
          <w:szCs w:val="24"/>
          <w:lang w:val="zh-CN"/>
        </w:rPr>
      </w:r>
      <w:r/>
    </w:p>
    <w:p>
      <w:pPr>
        <w:pStyle w:val="736"/>
        <w:jc w:val="center"/>
        <w:spacing w:before="120" w:after="120" w:line="360" w:lineRule="auto"/>
        <w:rPr>
          <w:rFonts w:ascii="宋体" w:hAnsi="宋体"/>
          <w:color w:val="000000"/>
          <w:sz w:val="32"/>
          <w:szCs w:val="32"/>
          <w:lang w:eastAsia="en-US"/>
        </w:rPr>
      </w:pPr>
      <w:r/>
      <w:bookmarkStart w:id="74" w:name="_Hlk108563484"/>
      <w:r>
        <w:rPr>
          <w:rFonts w:hint="eastAsia" w:ascii="宋体" w:hAnsi="宋体" w:cs="宋体"/>
          <w:b/>
          <w:bCs/>
          <w:color w:val="000000"/>
          <w:sz w:val="28"/>
          <w:szCs w:val="28"/>
          <w:lang w:val="zh-CN"/>
        </w:rPr>
        <w:t xml:space="preserve">商务条款偏离表</w:t>
      </w:r>
      <w:bookmarkEnd w:id="74"/>
      <w:r>
        <w:rPr>
          <w:rFonts w:ascii="宋体" w:hAnsi="宋体"/>
          <w:color w:val="000000"/>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36"/>
              <w:jc w:val="left"/>
              <w:spacing w:before="240" w:line="400" w:lineRule="exact"/>
              <w:rPr>
                <w:rFonts w:ascii="宋体" w:hAnsi="宋体"/>
                <w:bCs/>
                <w:color w:val="000000"/>
                <w:sz w:val="24"/>
                <w:szCs w:val="24"/>
                <w:lang w:eastAsia="en-US"/>
              </w:rPr>
            </w:pPr>
            <w:r/>
            <w:bookmarkStart w:id="75" w:name="_Hlk108563504"/>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eastAsia="en-US"/>
              </w:rPr>
              <w:t xml:space="preserve">      </w:t>
            </w:r>
            <w:r>
              <w:rPr>
                <w:rFonts w:ascii="宋体" w:hAnsi="宋体"/>
                <w:bCs/>
                <w:color w:val="000000"/>
                <w:sz w:val="24"/>
                <w:szCs w:val="24"/>
                <w:lang w:eastAsia="en-US"/>
              </w:rPr>
            </w:r>
            <w:r/>
          </w:p>
        </w:tc>
      </w:tr>
      <w:tr>
        <w:trPr>
          <w:trHeight w:val="851"/>
        </w:trPr>
        <w:tc>
          <w:tcPr>
            <w:gridSpan w:val="6"/>
            <w:tcW w:w="9986" w:type="dxa"/>
            <w:vAlign w:val="top"/>
            <w:textDirection w:val="lrTb"/>
            <w:noWrap w:val="false"/>
          </w:tcPr>
          <w:p>
            <w:pPr>
              <w:pStyle w:val="736"/>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986" w:type="dxa"/>
            <w:vAlign w:val="center"/>
            <w:textDirection w:val="lrTb"/>
            <w:noWrap w:val="false"/>
          </w:tcPr>
          <w:p>
            <w:pPr>
              <w:pStyle w:val="736"/>
              <w:jc w:val="left"/>
              <w:spacing w:line="400" w:lineRule="exact"/>
              <w:rPr>
                <w:rFonts w:ascii="宋体" w:hAnsi="宋体"/>
                <w:b/>
                <w:color w:val="000000"/>
                <w:sz w:val="24"/>
                <w:szCs w:val="24"/>
              </w:rPr>
            </w:pPr>
            <w:r>
              <w:rPr>
                <w:rFonts w:hint="eastAsia" w:ascii="宋体" w:hAnsi="宋体"/>
                <w:b/>
                <w:color w:val="000000"/>
                <w:sz w:val="24"/>
                <w:szCs w:val="24"/>
              </w:rPr>
              <w:t xml:space="preserve">对本项目商务条款的偏离情况（应进行选择，未选择响应无效）：</w:t>
            </w:r>
            <w:r>
              <w:rPr>
                <w:rFonts w:ascii="宋体" w:hAnsi="宋体"/>
                <w:b/>
                <w:color w:val="000000"/>
                <w:sz w:val="24"/>
                <w:szCs w:val="24"/>
              </w:rPr>
            </w:r>
            <w:r/>
          </w:p>
          <w:p>
            <w:pPr>
              <w:pStyle w:val="736"/>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736"/>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801"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533" w:type="dxa"/>
            <w:vAlign w:val="center"/>
            <w:textDirection w:val="lrTb"/>
            <w:noWrap w:val="false"/>
          </w:tcPr>
          <w:p>
            <w:pPr>
              <w:pStyle w:val="736"/>
              <w:jc w:val="center"/>
              <w:spacing w:line="400" w:lineRule="exact"/>
              <w:rPr>
                <w:rFonts w:ascii="宋体" w:hAnsi="宋体"/>
                <w:color w:val="000000"/>
                <w:sz w:val="24"/>
                <w:szCs w:val="24"/>
              </w:rPr>
            </w:pPr>
            <w:r>
              <w:rPr>
                <w:rFonts w:hint="eastAsia" w:ascii="宋体" w:hAnsi="宋体"/>
                <w:color w:val="000000"/>
                <w:sz w:val="24"/>
                <w:szCs w:val="24"/>
              </w:rPr>
              <w:t xml:space="preserve">招标文件</w:t>
            </w:r>
            <w:r>
              <w:rPr>
                <w:rFonts w:ascii="宋体" w:hAnsi="宋体"/>
                <w:color w:val="000000"/>
                <w:sz w:val="24"/>
                <w:szCs w:val="24"/>
              </w:rPr>
              <w:t xml:space="preserve">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467" w:type="dxa"/>
            <w:vAlign w:val="center"/>
            <w:textDirection w:val="lrTb"/>
            <w:noWrap w:val="false"/>
          </w:tcPr>
          <w:p>
            <w:pPr>
              <w:pStyle w:val="736"/>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200"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940" w:type="dxa"/>
            <w:vAlign w:val="center"/>
            <w:textDirection w:val="lrTb"/>
            <w:noWrap w:val="false"/>
          </w:tcPr>
          <w:p>
            <w:pPr>
              <w:pStyle w:val="736"/>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736"/>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45"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736"/>
        <w:jc w:val="left"/>
        <w:spacing w:line="400" w:lineRule="exact"/>
        <w:tabs>
          <w:tab w:val="left" w:pos="1800" w:leader="none"/>
          <w:tab w:val="left" w:pos="5580" w:leader="none"/>
        </w:tabs>
        <w:rPr>
          <w:rFonts w:ascii="宋体" w:hAnsi="宋体"/>
          <w:color w:val="000000"/>
          <w:sz w:val="24"/>
          <w:szCs w:val="24"/>
          <w:lang w:eastAsia="en-US"/>
        </w:rPr>
      </w:pPr>
      <w:r/>
      <w:bookmarkEnd w:id="75"/>
      <w:r>
        <w:rPr>
          <w:rFonts w:ascii="宋体" w:hAnsi="宋体"/>
          <w:color w:val="000000"/>
          <w:sz w:val="24"/>
          <w:szCs w:val="24"/>
          <w:lang w:eastAsia="en-US"/>
        </w:rPr>
        <w:t xml:space="preserve">注：</w:t>
      </w:r>
      <w:r>
        <w:rPr>
          <w:rFonts w:ascii="宋体" w:hAnsi="宋体"/>
          <w:color w:val="000000"/>
          <w:sz w:val="24"/>
          <w:szCs w:val="24"/>
          <w:lang w:eastAsia="en-US"/>
        </w:rPr>
      </w:r>
      <w:r/>
    </w:p>
    <w:p>
      <w:pPr>
        <w:pStyle w:val="736"/>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r>
        <w:rPr>
          <w:rFonts w:hint="eastAsia" w:ascii="宋体" w:hAnsi="宋体"/>
          <w:color w:val="000000"/>
          <w:sz w:val="24"/>
          <w:szCs w:val="24"/>
        </w:rPr>
        <w:t xml:space="preserve">《第四章 采购需求》中</w:t>
      </w:r>
      <w:r>
        <w:rPr>
          <w:rFonts w:ascii="宋体" w:hAnsi="宋体"/>
          <w:color w:val="000000"/>
          <w:sz w:val="24"/>
          <w:szCs w:val="24"/>
        </w:rPr>
        <w:t xml:space="preserve">的所有</w:t>
      </w:r>
      <w:r>
        <w:rPr>
          <w:rFonts w:hint="eastAsia" w:ascii="宋体" w:hAnsi="宋体"/>
          <w:color w:val="000000"/>
          <w:sz w:val="24"/>
          <w:szCs w:val="24"/>
        </w:rPr>
        <w:t xml:space="preserve">商务</w:t>
      </w:r>
      <w:r>
        <w:rPr>
          <w:rFonts w:ascii="宋体" w:hAnsi="宋体"/>
          <w:color w:val="000000"/>
          <w:sz w:val="24"/>
          <w:szCs w:val="24"/>
        </w:rPr>
        <w:t xml:space="preserve">要求，除本表所列明的所有偏离外，均视作供应商已对之理解和响应。</w:t>
      </w:r>
      <w:r>
        <w:rPr>
          <w:rFonts w:ascii="宋体" w:hAnsi="宋体"/>
          <w:color w:val="000000"/>
          <w:sz w:val="24"/>
          <w:szCs w:val="24"/>
        </w:rPr>
      </w:r>
      <w:r/>
    </w:p>
    <w:p>
      <w:pPr>
        <w:pStyle w:val="736"/>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736"/>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r>
      <w:r/>
    </w:p>
    <w:p>
      <w:pPr>
        <w:pStyle w:val="736"/>
        <w:jc w:val="left"/>
        <w:spacing w:line="400" w:lineRule="exact"/>
        <w:rPr>
          <w:rFonts w:ascii="宋体" w:hAnsi="宋体"/>
          <w:color w:val="000000"/>
          <w:sz w:val="24"/>
          <w:szCs w:val="24"/>
        </w:rPr>
      </w:pPr>
      <w:r>
        <w:rPr>
          <w:rFonts w:ascii="宋体" w:hAnsi="宋体"/>
          <w:color w:val="000000"/>
          <w:sz w:val="24"/>
          <w:szCs w:val="24"/>
        </w:rPr>
      </w:r>
      <w:r/>
    </w:p>
    <w:p>
      <w:pPr>
        <w:pStyle w:val="736"/>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rPr>
          <w:rFonts w:hint="eastAsia" w:ascii="宋体" w:hAnsi="宋体" w:cs="宋体"/>
          <w:color w:val="000000"/>
          <w:sz w:val="24"/>
          <w:szCs w:val="24"/>
          <w:u w:val="single"/>
          <w:lang w:val="zh-CN"/>
        </w:rPr>
        <w:t xml:space="preserve">                            </w:t>
      </w:r>
      <w:r>
        <w:rPr>
          <w:rFonts w:ascii="宋体" w:hAnsi="宋体"/>
          <w:color w:val="000000"/>
          <w:sz w:val="24"/>
          <w:szCs w:val="24"/>
          <w:lang w:val="zh-CN"/>
        </w:rPr>
      </w:r>
      <w:r/>
    </w:p>
    <w:p>
      <w:pPr>
        <w:pStyle w:val="736"/>
        <w:jc w:val="left"/>
        <w:spacing w:before="25" w:after="25" w:line="400" w:lineRule="exact"/>
        <w:rPr>
          <w:rFonts w:ascii="宋体" w:hAnsi="宋体"/>
          <w:color w:val="000000"/>
          <w:sz w:val="24"/>
          <w:szCs w:val="24"/>
        </w:rPr>
      </w:pPr>
      <w:r>
        <w:rPr>
          <w:rFonts w:ascii="宋体" w:hAnsi="宋体"/>
          <w:color w:val="000000"/>
          <w:sz w:val="24"/>
          <w:szCs w:val="24"/>
        </w:rPr>
        <w:t xml:space="preserve">日期：</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年</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月</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日</w:t>
      </w:r>
      <w:r>
        <w:rPr>
          <w:rFonts w:ascii="宋体" w:hAnsi="宋体"/>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1"/>
      </w:pPr>
      <w:r>
        <w:rPr>
          <w:rFonts w:ascii="Calibri" w:hAnsi="Calibri"/>
          <w:color w:val="000000"/>
          <w:sz w:val="22"/>
          <w:szCs w:val="22"/>
        </w:rPr>
        <w:br w:type="page" w:clear="all"/>
      </w:r>
      <w:bookmarkStart w:id="76" w:name="_Toc16354"/>
      <w:r>
        <w:rPr>
          <w:rFonts w:hint="eastAsia" w:ascii="宋体" w:hAnsi="宋体" w:cs="宋体"/>
          <w:b/>
          <w:color w:val="000000"/>
          <w:sz w:val="24"/>
          <w:szCs w:val="24"/>
          <w:lang w:val="zh-CN"/>
        </w:rPr>
        <w:t xml:space="preserve">附件七、核心产品品牌一览表（实质性格式）</w:t>
      </w:r>
      <w:bookmarkEnd w:id="76"/>
      <w:r>
        <w:rPr>
          <w:rFonts w:hint="eastAsia" w:ascii="宋体" w:hAnsi="宋体" w:cs="宋体"/>
          <w:b/>
          <w:color w:val="000000"/>
          <w:sz w:val="24"/>
          <w:szCs w:val="24"/>
          <w:lang w:val="zh-CN"/>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核心产品品牌一览表</w:t>
      </w:r>
      <w:r>
        <w:rPr>
          <w:rFonts w:hint="eastAsia" w:ascii="宋体" w:hAnsi="宋体" w:cs="宋体"/>
          <w:b/>
          <w:bCs/>
          <w:color w:val="000000"/>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序号</w:t>
            </w:r>
            <w:r>
              <w:rPr>
                <w:rFonts w:hint="eastAsia" w:ascii="宋体" w:hAnsi="宋体" w:cs="宋体"/>
                <w:color w:val="000000"/>
                <w:sz w:val="22"/>
                <w:szCs w:val="22"/>
                <w:lang w:val="zh-CN" w:eastAsia="en-US"/>
              </w:rPr>
            </w:r>
            <w:r/>
          </w:p>
        </w:tc>
        <w:tc>
          <w:tcPr>
            <w:tcW w:w="3753"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名称</w:t>
            </w:r>
            <w:r>
              <w:rPr>
                <w:rFonts w:hint="eastAsia" w:ascii="宋体" w:hAnsi="宋体" w:cs="宋体"/>
                <w:color w:val="000000"/>
                <w:sz w:val="22"/>
                <w:szCs w:val="22"/>
                <w:lang w:val="zh-CN" w:eastAsia="en-US"/>
              </w:rPr>
            </w:r>
            <w:r/>
          </w:p>
        </w:tc>
        <w:tc>
          <w:tcPr>
            <w:tcW w:w="2158"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品牌</w:t>
            </w:r>
            <w:r>
              <w:rPr>
                <w:rFonts w:hint="eastAsia" w:ascii="宋体" w:hAnsi="宋体" w:cs="宋体"/>
                <w:color w:val="000000"/>
                <w:sz w:val="22"/>
                <w:szCs w:val="22"/>
                <w:lang w:val="zh-CN" w:eastAsia="en-US"/>
              </w:rPr>
            </w:r>
            <w:r/>
          </w:p>
        </w:tc>
        <w:tc>
          <w:tcPr>
            <w:tcW w:w="2391"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规格或型号</w:t>
            </w: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1</w:t>
            </w:r>
            <w:r>
              <w:rPr>
                <w:rFonts w:hint="eastAsia" w:ascii="宋体" w:hAnsi="宋体" w:cs="宋体"/>
                <w:color w:val="000000"/>
                <w:sz w:val="22"/>
                <w:szCs w:val="22"/>
                <w:lang w:val="zh-CN" w:eastAsia="en-US"/>
              </w:rPr>
            </w:r>
            <w:r/>
          </w:p>
        </w:tc>
        <w:tc>
          <w:tcPr>
            <w:tcW w:w="3753"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736"/>
              <w:jc w:val="center"/>
              <w:spacing w:line="0" w:lineRule="atLeast"/>
              <w:rPr>
                <w:rFonts w:hint="eastAsia" w:ascii="宋体" w:hAnsi="宋体" w:cs="宋体"/>
                <w:color w:val="000000"/>
                <w:sz w:val="22"/>
                <w:szCs w:val="22"/>
                <w:lang w:val="zh-CN"/>
              </w:rPr>
              <w:framePr w:vAnchor="page" w:hAnchor="page" w:xAlign="center" w:y="133"/>
            </w:pPr>
            <w:r>
              <w:rPr>
                <w:rFonts w:hint="eastAsia" w:ascii="宋体" w:hAnsi="宋体" w:cs="宋体"/>
                <w:color w:val="000000"/>
                <w:sz w:val="22"/>
                <w:szCs w:val="22"/>
                <w:lang w:val="zh-CN"/>
              </w:rPr>
              <w:t xml:space="preserve">2</w:t>
            </w:r>
            <w:r>
              <w:rPr>
                <w:rFonts w:hint="eastAsia" w:ascii="宋体" w:hAnsi="宋体" w:cs="宋体"/>
                <w:color w:val="000000"/>
                <w:sz w:val="22"/>
                <w:szCs w:val="22"/>
                <w:lang w:val="zh-CN"/>
              </w:rPr>
            </w:r>
            <w:r/>
          </w:p>
        </w:tc>
        <w:tc>
          <w:tcPr>
            <w:tcW w:w="3753"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736"/>
              <w:jc w:val="center"/>
              <w:spacing w:line="0" w:lineRule="atLeast"/>
              <w:rPr>
                <w:rFonts w:hint="eastAsia" w:ascii="宋体" w:hAnsi="宋体" w:cs="宋体"/>
                <w:color w:val="000000"/>
                <w:sz w:val="22"/>
                <w:szCs w:val="22"/>
                <w:lang w:val="zh-CN"/>
              </w:rPr>
              <w:framePr w:vAnchor="page" w:hAnchor="page" w:xAlign="center" w:y="133"/>
            </w:pPr>
            <w:r>
              <w:rPr>
                <w:rFonts w:hint="eastAsia" w:ascii="宋体" w:hAnsi="宋体" w:cs="宋体"/>
                <w:color w:val="000000"/>
                <w:sz w:val="22"/>
                <w:szCs w:val="22"/>
                <w:lang w:val="zh-CN"/>
              </w:rPr>
            </w:r>
            <w:r/>
          </w:p>
        </w:tc>
        <w:tc>
          <w:tcPr>
            <w:tcW w:w="3753"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bl>
    <w:p>
      <w:pPr>
        <w:pStyle w:val="736"/>
        <w:ind w:firstLine="440"/>
        <w:jc w:val="left"/>
        <w:spacing w:line="360" w:lineRule="auto"/>
        <w:rPr>
          <w:rFonts w:hint="eastAsia" w:ascii="Calibri" w:hAnsi="Calibri"/>
          <w:color w:val="000000"/>
          <w:sz w:val="22"/>
          <w:szCs w:val="22"/>
          <w:lang w:eastAsia="en-US"/>
        </w:rPr>
      </w:pPr>
      <w:r>
        <w:rPr>
          <w:rFonts w:hint="eastAsia" w:ascii="Calibri" w:hAnsi="Calibri"/>
          <w:color w:val="000000"/>
          <w:sz w:val="22"/>
          <w:szCs w:val="22"/>
          <w:lang w:eastAsia="en-US"/>
        </w:rPr>
      </w:r>
      <w:r/>
    </w:p>
    <w:p>
      <w:pPr>
        <w:pStyle w:val="736"/>
        <w:ind w:firstLine="480"/>
        <w:jc w:val="left"/>
        <w:rPr>
          <w:rFonts w:hint="eastAsia" w:ascii="Calibri" w:hAnsi="Calibri"/>
          <w:color w:val="000000"/>
          <w:sz w:val="24"/>
          <w:szCs w:val="24"/>
          <w:lang w:val="zh-CN"/>
        </w:rPr>
      </w:pPr>
      <w:r>
        <w:rPr>
          <w:rFonts w:hint="eastAsia" w:ascii="Calibri" w:hAnsi="Calibri"/>
          <w:color w:val="000000"/>
          <w:sz w:val="24"/>
          <w:szCs w:val="24"/>
        </w:rPr>
        <w:t xml:space="preserve">供应商名称</w:t>
      </w:r>
      <w:r>
        <w:rPr>
          <w:rFonts w:hint="eastAsia" w:ascii="Calibri" w:hAnsi="Calibri"/>
          <w:color w:val="000000"/>
          <w:sz w:val="24"/>
          <w:szCs w:val="24"/>
          <w:lang w:val="zh-CN"/>
        </w:rPr>
        <w:t xml:space="preserve">：（</w:t>
      </w:r>
      <w:r>
        <w:rPr>
          <w:rFonts w:hint="eastAsia" w:ascii="Calibri" w:hAnsi="Calibri"/>
          <w:color w:val="000000"/>
          <w:sz w:val="24"/>
          <w:szCs w:val="24"/>
        </w:rPr>
        <w:t xml:space="preserve">加盖公章</w:t>
      </w:r>
      <w:r>
        <w:rPr>
          <w:rFonts w:hint="eastAsia" w:ascii="Calibri" w:hAnsi="Calibri"/>
          <w:color w:val="000000"/>
          <w:sz w:val="24"/>
          <w:szCs w:val="24"/>
          <w:lang w:val="zh-CN"/>
        </w:rPr>
        <w:t xml:space="preserve">）</w:t>
      </w:r>
      <w:r>
        <w:rPr>
          <w:rFonts w:hint="eastAsia" w:ascii="Calibri" w:hAnsi="Calibri"/>
          <w:color w:val="000000"/>
          <w:sz w:val="24"/>
          <w:szCs w:val="24"/>
          <w:lang w:val="zh-CN"/>
        </w:rPr>
      </w:r>
      <w:r/>
    </w:p>
    <w:p>
      <w:pPr>
        <w:pStyle w:val="736"/>
        <w:ind w:firstLine="482"/>
        <w:jc w:val="left"/>
        <w:spacing w:line="480" w:lineRule="exact"/>
        <w:rPr>
          <w:rFonts w:hint="eastAsia" w:ascii="Calibri" w:hAnsi="Calibri"/>
          <w:b/>
          <w:bCs/>
          <w:color w:val="000000"/>
          <w:sz w:val="24"/>
          <w:szCs w:val="24"/>
        </w:rPr>
      </w:pPr>
      <w:r>
        <w:rPr>
          <w:rFonts w:hint="eastAsia" w:ascii="Calibri" w:hAnsi="Calibri"/>
          <w:b/>
          <w:bCs/>
          <w:color w:val="000000"/>
          <w:sz w:val="24"/>
          <w:szCs w:val="24"/>
        </w:rPr>
      </w:r>
      <w:r/>
    </w:p>
    <w:p>
      <w:pPr>
        <w:pStyle w:val="736"/>
        <w:ind w:firstLine="482"/>
        <w:jc w:val="left"/>
        <w:spacing w:line="480" w:lineRule="exact"/>
        <w:rPr>
          <w:rFonts w:hint="eastAsia" w:ascii="Calibri" w:hAnsi="Calibri"/>
          <w:b/>
          <w:bCs/>
          <w:color w:val="000000"/>
          <w:sz w:val="24"/>
          <w:szCs w:val="24"/>
        </w:rPr>
      </w:pPr>
      <w:r>
        <w:rPr>
          <w:rFonts w:hint="eastAsia" w:ascii="Calibri" w:hAnsi="Calibri"/>
          <w:b/>
          <w:bCs/>
          <w:color w:val="000000"/>
          <w:sz w:val="24"/>
          <w:szCs w:val="24"/>
        </w:rPr>
        <w:t xml:space="preserve">备注：供应商须按照表格要求明确填写所投“核心产品”的品牌，不得填报“/”“无”等内容，否则视为</w:t>
      </w:r>
      <w:r>
        <w:rPr>
          <w:rFonts w:hint="eastAsia" w:ascii="Calibri" w:hAnsi="Calibri"/>
          <w:b/>
          <w:bCs/>
          <w:color w:val="000000"/>
          <w:sz w:val="24"/>
          <w:szCs w:val="24"/>
          <w:u w:val="single"/>
        </w:rPr>
        <w:t xml:space="preserve">无效响应</w:t>
      </w:r>
      <w:r>
        <w:rPr>
          <w:rFonts w:hint="eastAsia" w:ascii="Calibri" w:hAnsi="Calibri"/>
          <w:b/>
          <w:bCs/>
          <w:color w:val="000000"/>
          <w:sz w:val="24"/>
          <w:szCs w:val="24"/>
        </w:rPr>
        <w:t xml:space="preserve">。</w:t>
      </w:r>
      <w:r>
        <w:rPr>
          <w:rFonts w:hint="eastAsia" w:ascii="Calibri" w:hAnsi="Calibri"/>
          <w:b/>
          <w:bCs/>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1"/>
      </w:pPr>
      <w:r>
        <w:rPr>
          <w:rFonts w:ascii="宋体" w:hAnsi="宋体"/>
          <w:b/>
          <w:color w:val="000000"/>
          <w:sz w:val="22"/>
          <w:szCs w:val="24"/>
        </w:rPr>
        <w:br w:type="page" w:clear="all"/>
      </w:r>
      <w:bookmarkStart w:id="77" w:name="_Toc182"/>
      <w:r/>
      <w:bookmarkStart w:id="78" w:name="_Hlk108563601"/>
      <w:r>
        <w:rPr>
          <w:rFonts w:hint="eastAsia" w:ascii="宋体" w:hAnsi="宋体" w:cs="宋体"/>
          <w:b/>
          <w:color w:val="000000"/>
          <w:sz w:val="24"/>
          <w:szCs w:val="24"/>
          <w:lang w:val="zh-CN"/>
        </w:rPr>
        <w:t xml:space="preserve">附件八、供应商类似业绩表</w:t>
      </w:r>
      <w:bookmarkEnd w:id="77"/>
      <w:r>
        <w:rPr>
          <w:rFonts w:hint="eastAsia"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2023年1月1日</w:t>
      </w:r>
      <w:r>
        <w:rPr>
          <w:rFonts w:ascii="宋体" w:hAnsi="宋体" w:cs="宋体"/>
          <w:b/>
          <w:bCs/>
          <w:color w:val="000000"/>
          <w:sz w:val="28"/>
          <w:szCs w:val="28"/>
          <w:lang w:val="zh-CN"/>
        </w:rPr>
        <w:t xml:space="preserve">以来类似项目</w:t>
      </w:r>
      <w:r>
        <w:rPr>
          <w:rFonts w:hint="eastAsia" w:ascii="宋体" w:hAnsi="宋体" w:cs="宋体"/>
          <w:b/>
          <w:bCs/>
          <w:color w:val="000000"/>
          <w:sz w:val="28"/>
          <w:szCs w:val="28"/>
          <w:lang w:val="zh-CN"/>
        </w:rPr>
        <w:t xml:space="preserve">及</w:t>
      </w:r>
      <w:r>
        <w:rPr>
          <w:rFonts w:ascii="宋体" w:hAnsi="宋体" w:cs="宋体"/>
          <w:b/>
          <w:bCs/>
          <w:color w:val="000000"/>
          <w:sz w:val="28"/>
          <w:szCs w:val="28"/>
          <w:lang w:val="zh-CN"/>
        </w:rPr>
        <w:t xml:space="preserve">更优项目业绩</w:t>
      </w:r>
      <w:r>
        <w:rPr>
          <w:rFonts w:ascii="宋体" w:hAnsi="宋体" w:cs="宋体"/>
          <w:b/>
          <w:bCs/>
          <w:color w:val="000000"/>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36"/>
              <w:jc w:val="center"/>
              <w:spacing w:line="440" w:lineRule="exact"/>
              <w:rPr>
                <w:rFonts w:ascii="宋体" w:hAnsi="宋体"/>
                <w:b/>
                <w:color w:val="000000"/>
                <w:sz w:val="22"/>
                <w:szCs w:val="21"/>
                <w:lang w:eastAsia="en-US"/>
              </w:rPr>
            </w:pPr>
            <w:r/>
            <w:bookmarkEnd w:id="78"/>
            <w:r>
              <w:rPr>
                <w:rFonts w:hint="eastAsia" w:ascii="宋体" w:hAnsi="宋体"/>
                <w:b/>
                <w:color w:val="000000"/>
                <w:sz w:val="22"/>
                <w:szCs w:val="21"/>
                <w:lang w:eastAsia="en-US"/>
              </w:rPr>
              <w:t xml:space="preserve">序号</w:t>
            </w:r>
            <w:r>
              <w:rPr>
                <w:rFonts w:ascii="宋体" w:hAnsi="宋体"/>
                <w:b/>
                <w:color w:val="000000"/>
                <w:sz w:val="22"/>
                <w:szCs w:val="21"/>
                <w:lang w:eastAsia="en-US"/>
              </w:rPr>
            </w:r>
            <w:r/>
          </w:p>
        </w:tc>
        <w:tc>
          <w:tcPr>
            <w:tcW w:w="2523"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项目名称</w:t>
            </w:r>
            <w:r>
              <w:rPr>
                <w:rFonts w:ascii="宋体" w:hAnsi="宋体"/>
                <w:b/>
                <w:color w:val="000000"/>
                <w:sz w:val="22"/>
                <w:szCs w:val="21"/>
                <w:lang w:eastAsia="en-US"/>
              </w:rPr>
            </w:r>
            <w:r/>
          </w:p>
        </w:tc>
        <w:tc>
          <w:tcPr>
            <w:tcW w:w="1417"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用户单位</w:t>
            </w:r>
            <w:r>
              <w:rPr>
                <w:rFonts w:ascii="宋体" w:hAnsi="宋体"/>
                <w:b/>
                <w:color w:val="000000"/>
                <w:sz w:val="22"/>
                <w:szCs w:val="21"/>
                <w:lang w:eastAsia="en-US"/>
              </w:rPr>
            </w:r>
            <w:r/>
          </w:p>
        </w:tc>
        <w:tc>
          <w:tcPr>
            <w:tcW w:w="1276"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工作内容</w:t>
            </w:r>
            <w:r>
              <w:rPr>
                <w:rFonts w:ascii="宋体" w:hAnsi="宋体"/>
                <w:b/>
                <w:color w:val="000000"/>
                <w:sz w:val="22"/>
                <w:szCs w:val="21"/>
                <w:lang w:eastAsia="en-US"/>
              </w:rPr>
            </w:r>
            <w:r/>
          </w:p>
        </w:tc>
        <w:tc>
          <w:tcPr>
            <w:tcW w:w="1559"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合同履行期限</w:t>
            </w:r>
            <w:r>
              <w:rPr>
                <w:rFonts w:ascii="宋体" w:hAnsi="宋体"/>
                <w:b/>
                <w:color w:val="000000"/>
                <w:sz w:val="22"/>
                <w:szCs w:val="21"/>
                <w:lang w:eastAsia="en-US"/>
              </w:rPr>
            </w:r>
            <w:r/>
          </w:p>
        </w:tc>
        <w:tc>
          <w:tcPr>
            <w:tcW w:w="1276"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合同金额</w:t>
            </w:r>
            <w:r>
              <w:rPr>
                <w:rFonts w:ascii="宋体" w:hAnsi="宋体"/>
                <w:b/>
                <w:color w:val="000000"/>
                <w:sz w:val="22"/>
                <w:szCs w:val="21"/>
                <w:lang w:eastAsia="en-US"/>
              </w:rPr>
            </w:r>
            <w:r/>
          </w:p>
        </w:tc>
        <w:tc>
          <w:tcPr>
            <w:tcW w:w="1044"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备注</w:t>
            </w:r>
            <w:r>
              <w:rPr>
                <w:rFonts w:ascii="宋体" w:hAnsi="宋体"/>
                <w:b/>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bl>
    <w:p>
      <w:pPr>
        <w:pStyle w:val="736"/>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rPr>
        <w:t xml:space="preserve">扫描件</w:t>
      </w:r>
      <w:r>
        <w:rPr>
          <w:rFonts w:hint="eastAsia" w:ascii="宋体" w:hAnsi="宋体"/>
          <w:b/>
          <w:color w:val="000000"/>
          <w:sz w:val="24"/>
          <w:szCs w:val="24"/>
        </w:rPr>
        <w:t xml:space="preserve">，提供的证明材料中相关信息需符合采购文件的规定。</w:t>
      </w:r>
      <w:r>
        <w:rPr>
          <w:rFonts w:hint="eastAsia" w:ascii="宋体" w:hAnsi="宋体"/>
          <w:b/>
          <w:color w:val="000000"/>
          <w:sz w:val="24"/>
          <w:szCs w:val="24"/>
        </w:rPr>
      </w:r>
      <w:r/>
    </w:p>
    <w:p>
      <w:pPr>
        <w:pStyle w:val="736"/>
        <w:jc w:val="left"/>
        <w:spacing w:line="360" w:lineRule="auto"/>
        <w:widowControl/>
        <w:rPr>
          <w:rFonts w:ascii="宋体" w:hAnsi="宋体" w:cs="宋体"/>
          <w:b/>
          <w:color w:val="000000"/>
          <w:sz w:val="24"/>
          <w:szCs w:val="24"/>
          <w:lang w:val="zh-CN"/>
        </w:rPr>
        <w:outlineLvl w:val="1"/>
      </w:pPr>
      <w:r>
        <w:rPr>
          <w:rFonts w:hint="eastAsia" w:ascii="宋体" w:hAnsi="宋体"/>
          <w:b/>
          <w:color w:val="000000"/>
          <w:sz w:val="24"/>
          <w:szCs w:val="24"/>
        </w:rPr>
        <w:br w:type="page" w:clear="all"/>
      </w:r>
      <w:bookmarkStart w:id="79" w:name="_Toc7266"/>
      <w:r/>
      <w:bookmarkStart w:id="80" w:name="_Toc489655335"/>
      <w:r>
        <w:rPr>
          <w:rFonts w:hint="eastAsia" w:ascii="宋体" w:hAnsi="宋体" w:cs="宋体"/>
          <w:b/>
          <w:color w:val="000000"/>
          <w:sz w:val="24"/>
          <w:szCs w:val="24"/>
          <w:lang w:val="zh-CN"/>
        </w:rPr>
        <w:t xml:space="preserve">附件九、服务方案</w:t>
      </w:r>
      <w:bookmarkEnd w:id="79"/>
      <w:r>
        <w:rPr>
          <w:rFonts w:ascii="宋体" w:hAnsi="宋体" w:cs="宋体"/>
          <w:b/>
          <w:color w:val="000000"/>
          <w:sz w:val="24"/>
          <w:szCs w:val="24"/>
          <w:lang w:val="zh-CN"/>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服务方案</w:t>
      </w:r>
      <w:r>
        <w:rPr>
          <w:rFonts w:hint="eastAsia" w:ascii="宋体" w:hAnsi="宋体" w:cs="宋体"/>
          <w:b/>
          <w:bCs/>
          <w:color w:val="000000"/>
          <w:sz w:val="28"/>
          <w:szCs w:val="28"/>
          <w:lang w:val="zh-CN"/>
        </w:rPr>
      </w:r>
      <w:r/>
    </w:p>
    <w:p>
      <w:pPr>
        <w:pStyle w:val="826"/>
        <w:ind w:firstLine="560"/>
        <w:spacing w:line="360" w:lineRule="auto"/>
        <w:rPr>
          <w:rFonts w:hint="eastAsia" w:ascii="宋体" w:hAnsi="宋体"/>
          <w:color w:val="000000"/>
          <w:sz w:val="28"/>
          <w:szCs w:val="28"/>
        </w:rPr>
      </w:pPr>
      <w:r>
        <w:rPr>
          <w:rFonts w:hint="eastAsia" w:ascii="宋体" w:hAnsi="宋体"/>
          <w:color w:val="000000"/>
          <w:sz w:val="28"/>
          <w:szCs w:val="28"/>
        </w:rPr>
        <w:t xml:space="preserve">主要内容包括但不限于：</w:t>
      </w:r>
      <w:r>
        <w:rPr>
          <w:rFonts w:hint="eastAsia" w:ascii="宋体" w:hAnsi="宋体"/>
          <w:color w:val="000000"/>
          <w:sz w:val="28"/>
          <w:szCs w:val="28"/>
        </w:rPr>
      </w:r>
      <w:r/>
    </w:p>
    <w:p>
      <w:pPr>
        <w:pStyle w:val="826"/>
        <w:ind w:firstLine="560"/>
        <w:spacing w:line="360" w:lineRule="auto"/>
        <w:rPr>
          <w:rFonts w:hint="eastAsia" w:ascii="宋体" w:hAnsi="宋体"/>
          <w:color w:val="000000"/>
          <w:sz w:val="28"/>
          <w:szCs w:val="28"/>
        </w:rPr>
      </w:pPr>
      <w:r>
        <w:rPr>
          <w:rFonts w:hint="eastAsia" w:ascii="宋体" w:hAnsi="宋体"/>
          <w:color w:val="000000"/>
          <w:sz w:val="28"/>
          <w:szCs w:val="28"/>
        </w:rPr>
        <w:t xml:space="preserve">1.实施方案</w:t>
      </w:r>
      <w:r>
        <w:rPr>
          <w:rFonts w:hint="eastAsia" w:ascii="宋体" w:hAnsi="宋体"/>
          <w:color w:val="000000"/>
          <w:sz w:val="28"/>
          <w:szCs w:val="28"/>
        </w:rPr>
      </w:r>
      <w:r/>
    </w:p>
    <w:p>
      <w:pPr>
        <w:pStyle w:val="826"/>
        <w:ind w:firstLine="560"/>
        <w:spacing w:line="360" w:lineRule="auto"/>
        <w:rPr>
          <w:rFonts w:hint="eastAsia" w:ascii="宋体" w:hAnsi="宋体"/>
          <w:color w:val="000000"/>
          <w:sz w:val="28"/>
          <w:szCs w:val="28"/>
        </w:rPr>
      </w:pPr>
      <w:r>
        <w:rPr>
          <w:rFonts w:hint="eastAsia" w:ascii="宋体" w:hAnsi="宋体"/>
          <w:color w:val="000000"/>
          <w:sz w:val="28"/>
          <w:szCs w:val="28"/>
        </w:rPr>
        <w:t xml:space="preserve">2.质量控制方案</w:t>
      </w:r>
      <w:r>
        <w:rPr>
          <w:rFonts w:hint="eastAsia" w:ascii="宋体" w:hAnsi="宋体"/>
          <w:color w:val="000000"/>
          <w:sz w:val="28"/>
          <w:szCs w:val="28"/>
        </w:rPr>
      </w:r>
      <w:r/>
    </w:p>
    <w:p>
      <w:pPr>
        <w:pStyle w:val="826"/>
        <w:ind w:firstLine="560"/>
        <w:spacing w:line="360" w:lineRule="auto"/>
        <w:rPr>
          <w:rFonts w:ascii="宋体" w:hAnsi="宋体"/>
          <w:color w:val="000000"/>
          <w:sz w:val="28"/>
          <w:szCs w:val="28"/>
        </w:rPr>
      </w:pPr>
      <w:r>
        <w:rPr>
          <w:rFonts w:hint="eastAsia" w:ascii="宋体" w:hAnsi="宋体"/>
          <w:color w:val="000000"/>
          <w:sz w:val="28"/>
          <w:szCs w:val="28"/>
        </w:rPr>
        <w:t xml:space="preserve">3.售后服务方案</w:t>
      </w:r>
      <w:r>
        <w:rPr>
          <w:rFonts w:ascii="宋体" w:hAnsi="宋体"/>
          <w:color w:val="000000"/>
          <w:sz w:val="28"/>
          <w:szCs w:val="28"/>
        </w:rPr>
      </w:r>
      <w:r/>
    </w:p>
    <w:p>
      <w:pPr>
        <w:pStyle w:val="736"/>
        <w:jc w:val="left"/>
        <w:spacing w:line="360" w:lineRule="auto"/>
        <w:widowControl/>
        <w:rPr>
          <w:rFonts w:ascii="宋体" w:hAnsi="宋体" w:cs="宋体"/>
          <w:b/>
          <w:color w:val="000000"/>
          <w:sz w:val="24"/>
          <w:szCs w:val="24"/>
          <w:lang w:val="zh-CN"/>
        </w:rPr>
        <w:outlineLvl w:val="1"/>
      </w:pPr>
      <w:r>
        <w:rPr>
          <w:rFonts w:ascii="Calibri" w:hAnsi="Calibri"/>
          <w:color w:val="000000"/>
          <w:sz w:val="22"/>
          <w:szCs w:val="22"/>
        </w:rPr>
        <w:br w:type="page" w:clear="all"/>
      </w:r>
      <w:bookmarkEnd w:id="80"/>
      <w:r/>
      <w:bookmarkStart w:id="81" w:name="_Toc22228"/>
      <w:r>
        <w:rPr>
          <w:rFonts w:hint="eastAsia" w:ascii="宋体" w:hAnsi="宋体" w:cs="宋体"/>
          <w:b/>
          <w:color w:val="000000"/>
          <w:sz w:val="24"/>
          <w:szCs w:val="24"/>
          <w:lang w:val="zh-CN"/>
        </w:rPr>
        <w:t xml:space="preserve">附件十、资格证明文件</w:t>
      </w:r>
      <w:bookmarkEnd w:id="81"/>
      <w:r>
        <w:rPr>
          <w:rFonts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资格证明文件</w:t>
      </w:r>
      <w:r>
        <w:rPr>
          <w:rFonts w:ascii="宋体" w:hAnsi="宋体" w:cs="宋体"/>
          <w:b/>
          <w:bCs/>
          <w:color w:val="000000"/>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序号</w:t>
            </w:r>
            <w:r>
              <w:rPr>
                <w:rFonts w:ascii="宋体" w:hAnsi="宋体" w:cs="宋体"/>
                <w:b/>
                <w:color w:val="000000"/>
                <w:sz w:val="22"/>
                <w:szCs w:val="21"/>
                <w:lang w:eastAsia="en-US"/>
              </w:rPr>
            </w:r>
            <w:r/>
          </w:p>
        </w:tc>
        <w:tc>
          <w:tcPr>
            <w:tcW w:w="1199"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审查因素</w:t>
            </w:r>
            <w:r>
              <w:rPr>
                <w:rFonts w:ascii="宋体" w:hAnsi="宋体" w:cs="宋体"/>
                <w:b/>
                <w:color w:val="000000"/>
                <w:sz w:val="22"/>
                <w:szCs w:val="21"/>
                <w:lang w:eastAsia="en-US"/>
              </w:rPr>
            </w:r>
            <w:r/>
          </w:p>
        </w:tc>
        <w:tc>
          <w:tcPr>
            <w:tcW w:w="2048"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审查内容</w:t>
            </w:r>
            <w:r>
              <w:rPr>
                <w:rFonts w:ascii="宋体" w:hAnsi="宋体" w:cs="宋体"/>
                <w:b/>
                <w:color w:val="000000"/>
                <w:sz w:val="22"/>
                <w:szCs w:val="21"/>
                <w:lang w:eastAsia="en-US"/>
              </w:rPr>
            </w:r>
            <w:r/>
          </w:p>
        </w:tc>
        <w:tc>
          <w:tcPr>
            <w:tcW w:w="1285"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格式要求</w:t>
            </w:r>
            <w:r>
              <w:rPr>
                <w:rFonts w:ascii="宋体" w:hAnsi="宋体" w:cs="宋体"/>
                <w:b/>
                <w:color w:val="000000"/>
                <w:sz w:val="22"/>
                <w:szCs w:val="21"/>
                <w:lang w:eastAsia="en-US"/>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满足《中华人民共和国政府采购法》第二十二条规定及法律法规的其他规定</w:t>
            </w:r>
            <w:r>
              <w:rPr>
                <w:rFonts w:ascii="宋体" w:hAnsi="宋体" w:cs="宋体"/>
                <w:bCs/>
                <w:color w:val="000000"/>
                <w:sz w:val="22"/>
                <w:szCs w:val="21"/>
              </w:rPr>
            </w:r>
            <w:r/>
          </w:p>
        </w:tc>
        <w:tc>
          <w:tcPr>
            <w:tcW w:w="2048"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具体规定见第一章《采购公告》</w:t>
            </w:r>
            <w:r>
              <w:rPr>
                <w:rFonts w:ascii="宋体" w:hAnsi="宋体" w:cs="宋体"/>
                <w:bCs/>
                <w:color w:val="000000"/>
                <w:sz w:val="22"/>
                <w:szCs w:val="21"/>
              </w:rPr>
            </w:r>
            <w:r/>
          </w:p>
        </w:tc>
        <w:tc>
          <w:tcPr>
            <w:tcW w:w="1285"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1-1</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具有独立承担民事责任的能力</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供应商为企业（包括合伙企业）的，应提供有效的“营业执照”；</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供应商为事业单位的，应提供有效的“事业单位法人证书”；</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供应商是非企业机构的，应提供有效的“执业许可证”、“登记证书”等证明文件；</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供应商是个体工商户的，应提供有效的“个体工商户营业执照”；</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供应商是自然人的，应提供有效的自然人身份证明。</w:t>
            </w:r>
            <w:r>
              <w:rPr>
                <w:rFonts w:ascii="宋体" w:hAnsi="宋体" w:cs="宋体"/>
                <w:bCs/>
                <w:color w:val="000000"/>
                <w:sz w:val="22"/>
                <w:szCs w:val="21"/>
              </w:rPr>
            </w:r>
            <w:r/>
          </w:p>
        </w:tc>
        <w:tc>
          <w:tcPr>
            <w:tcW w:w="1285"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提供证明文件的扫描件</w:t>
            </w:r>
            <w:r>
              <w:rPr>
                <w:rFonts w:hint="eastAsia" w:ascii="宋体" w:hAnsi="宋体" w:cs="宋体"/>
                <w:b/>
                <w:color w:val="000000"/>
                <w:sz w:val="22"/>
                <w:szCs w:val="21"/>
              </w:rPr>
              <w:t xml:space="preserve">并加盖供应商公章</w:t>
            </w:r>
            <w:r>
              <w:rPr>
                <w:rFonts w:ascii="宋体" w:hAnsi="宋体" w:cs="宋体"/>
                <w:bCs/>
                <w:color w:val="000000"/>
                <w:sz w:val="22"/>
                <w:szCs w:val="21"/>
              </w:rPr>
            </w:r>
            <w:r/>
          </w:p>
        </w:tc>
      </w:tr>
      <w:tr>
        <w:trPr>
          <w:cantSplit/>
          <w:trHeight w:val="5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1-2</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具有良好的商业信誉和健全的财务会计制度</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hint="eastAsia" w:ascii="宋体" w:hAnsi="宋体" w:cs="宋体"/>
                <w:bCs/>
                <w:color w:val="000000"/>
                <w:sz w:val="22"/>
                <w:szCs w:val="21"/>
              </w:rPr>
            </w:pPr>
            <w:r>
              <w:rPr>
                <w:rFonts w:hint="eastAsia" w:ascii="宋体" w:hAnsi="宋体" w:cs="宋体"/>
                <w:bCs/>
                <w:color w:val="000000"/>
                <w:sz w:val="22"/>
                <w:szCs w:val="21"/>
              </w:rPr>
              <w:t xml:space="preserve">提供2024年经审计的财务报告或2024年财务报表，或投标文件提交截止时间前六个月内银行出具的资信证明，成立不满一年无需提供</w:t>
            </w:r>
            <w:r>
              <w:rPr>
                <w:rFonts w:hint="eastAsia" w:ascii="宋体" w:hAnsi="宋体" w:cs="宋体"/>
                <w:bCs/>
                <w:color w:val="000000"/>
                <w:sz w:val="22"/>
                <w:szCs w:val="21"/>
              </w:rPr>
            </w:r>
            <w:r/>
          </w:p>
        </w:tc>
        <w:tc>
          <w:tcPr>
            <w:tcW w:w="1285" w:type="dxa"/>
            <w:vAlign w:val="center"/>
            <w:vMerge w:val="restart"/>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Calibri" w:hAnsi="Calibri"/>
                <w:color w:val="000000"/>
                <w:sz w:val="22"/>
                <w:szCs w:val="22"/>
              </w:rPr>
              <w:t xml:space="preserve">提供《南京市政府采购供应商信用记录表暨信用承诺书》</w:t>
            </w:r>
            <w:r>
              <w:rPr>
                <w:rFonts w:hint="eastAsia" w:ascii="Calibri" w:hAnsi="Calibri"/>
                <w:color w:val="000000"/>
                <w:sz w:val="22"/>
                <w:szCs w:val="22"/>
              </w:rPr>
              <w:t xml:space="preserve">，</w:t>
            </w:r>
            <w:r>
              <w:rPr>
                <w:rFonts w:ascii="Calibri" w:hAnsi="Calibri"/>
                <w:b/>
                <w:bCs/>
                <w:color w:val="000000"/>
                <w:sz w:val="22"/>
                <w:szCs w:val="22"/>
                <w:u w:val="single"/>
              </w:rPr>
              <w:t xml:space="preserve">经法定代表人签名并加盖供应商公章</w:t>
            </w: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1-3</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具有履行合同所必需的设备和专业技术能力</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供应商根据履行采购项目合同需要，提供履行合同所必需的设备和专业技术能力的证明材料</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1-4</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有依法缴纳税收和社会保障资金的良好记录</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1-5</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参加政府采购活动前三年内，在经营活动中没有重大违法记录</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提供参加政府采购活动前3年内在经营活动中没有重大违法记录的书面声明</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1-6</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法律、行政法规规定的其他条件</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提供具备法律、行政法规规定的其他条件的证明材料</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2</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供应商信用记录</w:t>
            </w:r>
            <w:r>
              <w:rPr>
                <w:rFonts w:ascii="宋体" w:hAnsi="宋体" w:cs="宋体"/>
                <w:bCs/>
                <w:color w:val="000000"/>
                <w:sz w:val="22"/>
                <w:szCs w:val="21"/>
                <w:lang w:eastAsia="en-US"/>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查询渠道：信用中国网站和中国政府采购网；</w:t>
            </w:r>
            <w:r>
              <w:rPr>
                <w:rFonts w:ascii="宋体" w:hAnsi="宋体" w:cs="宋体"/>
                <w:bCs/>
                <w:color w:val="000000"/>
                <w:sz w:val="22"/>
                <w:szCs w:val="21"/>
              </w:rPr>
            </w:r>
            <w:r/>
          </w:p>
          <w:p>
            <w:pPr>
              <w:pStyle w:val="736"/>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截止时点：响应截止时间以后、资格审查阶段采购人或采购代理机构的实际查询时间；</w:t>
            </w:r>
            <w:r>
              <w:rPr>
                <w:rFonts w:ascii="宋体" w:hAnsi="宋体" w:cs="宋体"/>
                <w:bCs/>
                <w:color w:val="000000"/>
                <w:sz w:val="22"/>
                <w:szCs w:val="21"/>
              </w:rPr>
            </w:r>
            <w:r/>
          </w:p>
          <w:p>
            <w:pPr>
              <w:pStyle w:val="736"/>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信用信息查询记录和证据留存具体方式：查询结果网页打印页作为查询记录和证据，与其他采购文件一并保存；</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u w:val="single"/>
              </w:rPr>
              <w:t xml:space="preserve">投标无效</w:t>
            </w:r>
            <w:r>
              <w:rPr>
                <w:rFonts w:hint="eastAsia" w:ascii="宋体" w:hAnsi="宋体" w:cs="宋体"/>
                <w:bCs/>
                <w:color w:val="000000"/>
                <w:sz w:val="22"/>
                <w:szCs w:val="21"/>
              </w:rPr>
              <w:t xml:space="preserve">。</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3</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供应商资格承诺声明函</w:t>
            </w:r>
            <w:r>
              <w:rPr>
                <w:rFonts w:ascii="宋体" w:hAnsi="宋体" w:cs="宋体"/>
                <w:bCs/>
                <w:color w:val="000000"/>
                <w:sz w:val="22"/>
                <w:szCs w:val="21"/>
              </w:rPr>
            </w:r>
            <w:r/>
          </w:p>
        </w:tc>
        <w:tc>
          <w:tcPr>
            <w:tcW w:w="2048"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提供符合采购文件要求的《供应商资格承诺声明函》。</w:t>
            </w:r>
            <w:r>
              <w:rPr>
                <w:rFonts w:ascii="宋体" w:hAnsi="宋体" w:cs="宋体"/>
                <w:bCs/>
                <w:color w:val="000000"/>
                <w:sz w:val="22"/>
                <w:szCs w:val="21"/>
              </w:rPr>
            </w:r>
            <w:r/>
          </w:p>
        </w:tc>
        <w:tc>
          <w:tcPr>
            <w:tcW w:w="1285"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格式见《供应商资格承诺声明函》</w:t>
            </w:r>
            <w:r>
              <w:rPr>
                <w:rFonts w:ascii="宋体" w:hAnsi="宋体" w:cs="宋体"/>
                <w:bCs/>
                <w:color w:val="000000"/>
                <w:sz w:val="22"/>
                <w:szCs w:val="21"/>
              </w:rPr>
            </w:r>
            <w:r/>
          </w:p>
        </w:tc>
      </w:tr>
      <w:tr>
        <w:trPr>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ascii="宋体" w:hAnsi="宋体" w:cs="宋体"/>
                <w:b/>
                <w:color w:val="000000"/>
                <w:sz w:val="22"/>
                <w:szCs w:val="21"/>
                <w:lang w:eastAsia="en-US"/>
              </w:rPr>
              <w:t xml:space="preserve">4</w:t>
            </w:r>
            <w:r>
              <w:rPr>
                <w:rFonts w:ascii="宋体" w:hAnsi="宋体" w:cs="宋体"/>
                <w:b/>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
                <w:color w:val="000000"/>
                <w:sz w:val="22"/>
                <w:szCs w:val="21"/>
              </w:rPr>
            </w:pPr>
            <w:r>
              <w:rPr>
                <w:rFonts w:hint="eastAsia" w:ascii="宋体" w:hAnsi="宋体" w:cs="宋体"/>
                <w:b/>
                <w:color w:val="000000"/>
                <w:sz w:val="22"/>
                <w:szCs w:val="21"/>
              </w:rPr>
              <w:t xml:space="preserve">本项目的特定资格要求</w:t>
            </w:r>
            <w:r>
              <w:rPr>
                <w:rFonts w:ascii="宋体" w:hAnsi="宋体" w:cs="宋体"/>
                <w:b/>
                <w:color w:val="000000"/>
                <w:sz w:val="22"/>
                <w:szCs w:val="21"/>
              </w:rPr>
            </w:r>
            <w:r/>
          </w:p>
        </w:tc>
        <w:tc>
          <w:tcPr>
            <w:tcW w:w="2048" w:type="dxa"/>
            <w:vAlign w:val="center"/>
            <w:textDirection w:val="lrTb"/>
            <w:noWrap w:val="false"/>
          </w:tcPr>
          <w:p>
            <w:pPr>
              <w:pStyle w:val="736"/>
              <w:jc w:val="left"/>
              <w:spacing w:line="320" w:lineRule="exact"/>
              <w:rPr>
                <w:rFonts w:ascii="宋体" w:hAnsi="宋体" w:cs="宋体"/>
                <w:b/>
                <w:color w:val="000000"/>
                <w:sz w:val="22"/>
                <w:szCs w:val="21"/>
                <w:shd w:val="clear" w:color="auto" w:fill="ffffff"/>
              </w:rPr>
            </w:pPr>
            <w:r>
              <w:rPr>
                <w:rFonts w:hint="eastAsia" w:ascii="宋体" w:hAnsi="宋体" w:cs="宋体"/>
                <w:b/>
                <w:color w:val="000000"/>
                <w:sz w:val="22"/>
                <w:szCs w:val="21"/>
              </w:rPr>
              <w:t xml:space="preserve">具体规定见第一章《采购公告》</w:t>
            </w:r>
            <w:r>
              <w:rPr>
                <w:rFonts w:ascii="宋体" w:hAnsi="宋体" w:cs="宋体"/>
                <w:b/>
                <w:color w:val="000000"/>
                <w:sz w:val="22"/>
                <w:szCs w:val="21"/>
                <w:shd w:val="clear" w:color="auto" w:fill="ffffff"/>
              </w:rPr>
            </w:r>
            <w:r/>
          </w:p>
        </w:tc>
        <w:tc>
          <w:tcPr>
            <w:tcW w:w="1285"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
                <w:color w:val="000000"/>
                <w:sz w:val="22"/>
                <w:szCs w:val="21"/>
              </w:rPr>
              <w:t xml:space="preserve">提供证明文件的扫描件并加盖供应商公章</w:t>
            </w:r>
            <w:r>
              <w:rPr>
                <w:rFonts w:ascii="宋体" w:hAnsi="宋体" w:cs="宋体"/>
                <w:bCs/>
                <w:color w:val="000000"/>
                <w:sz w:val="22"/>
                <w:szCs w:val="21"/>
              </w:rPr>
            </w:r>
            <w:r/>
          </w:p>
        </w:tc>
      </w:tr>
    </w:tbl>
    <w:p>
      <w:pPr>
        <w:pStyle w:val="736"/>
        <w:jc w:val="left"/>
        <w:spacing w:line="360" w:lineRule="auto"/>
        <w:widowControl/>
        <w:rPr>
          <w:rFonts w:ascii="宋体" w:hAnsi="宋体" w:cs="宋体"/>
          <w:b/>
          <w:color w:val="000000"/>
          <w:sz w:val="24"/>
          <w:szCs w:val="24"/>
          <w:lang w:val="zh-CN"/>
        </w:rPr>
        <w:outlineLvl w:val="1"/>
      </w:pPr>
      <w:r/>
      <w:bookmarkStart w:id="82" w:name="_Hlk94112048"/>
      <w:r/>
      <w:bookmarkStart w:id="83" w:name="_Hlk85644930"/>
      <w:r>
        <w:rPr>
          <w:rFonts w:hint="eastAsia" w:ascii="仿宋" w:hAnsi="仿宋" w:eastAsia="仿宋"/>
          <w:b/>
          <w:bCs/>
          <w:color w:val="000000"/>
          <w:sz w:val="32"/>
          <w:szCs w:val="32"/>
        </w:rPr>
        <w:br w:type="page" w:clear="all"/>
      </w:r>
      <w:bookmarkStart w:id="84" w:name="_Toc18256"/>
      <w:r>
        <w:rPr>
          <w:rFonts w:hint="eastAsia" w:ascii="宋体" w:hAnsi="宋体" w:cs="宋体"/>
          <w:b/>
          <w:color w:val="000000"/>
          <w:sz w:val="24"/>
          <w:szCs w:val="24"/>
          <w:lang w:val="zh-CN"/>
        </w:rPr>
        <w:t xml:space="preserve">附件十一、政府采购政策</w:t>
      </w:r>
      <w:bookmarkEnd w:id="84"/>
      <w:r>
        <w:rPr>
          <w:rFonts w:ascii="宋体" w:hAnsi="宋体" w:cs="宋体"/>
          <w:b/>
          <w:color w:val="000000"/>
          <w:sz w:val="24"/>
          <w:szCs w:val="24"/>
          <w:lang w:val="zh-CN"/>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政府采购政策</w:t>
      </w:r>
      <w:r>
        <w:rPr>
          <w:rFonts w:hint="eastAsia" w:ascii="宋体" w:hAnsi="宋体" w:cs="宋体"/>
          <w:b/>
          <w:bCs/>
          <w:color w:val="000000"/>
          <w:sz w:val="28"/>
          <w:szCs w:val="28"/>
          <w:lang w:val="zh-CN"/>
        </w:rPr>
      </w:r>
      <w:r/>
    </w:p>
    <w:p>
      <w:pPr>
        <w:pStyle w:val="736"/>
        <w:spacing w:before="120" w:line="440" w:lineRule="exact"/>
        <w:rPr>
          <w:rFonts w:ascii="宋体" w:hAnsi="宋体"/>
          <w:b/>
          <w:color w:val="000000"/>
          <w:sz w:val="28"/>
          <w:szCs w:val="28"/>
        </w:rPr>
      </w:pPr>
      <w:r>
        <w:rPr>
          <w:rFonts w:hint="eastAsia" w:ascii="宋体" w:hAnsi="宋体"/>
          <w:b/>
          <w:color w:val="000000"/>
          <w:sz w:val="28"/>
          <w:szCs w:val="28"/>
        </w:rPr>
        <w:t xml:space="preserve">1．企业声明函格式</w:t>
      </w:r>
      <w:r>
        <w:rPr>
          <w:rFonts w:ascii="宋体" w:hAnsi="宋体"/>
          <w:b/>
          <w:color w:val="000000"/>
          <w:sz w:val="28"/>
          <w:szCs w:val="28"/>
        </w:rPr>
      </w:r>
      <w:r/>
    </w:p>
    <w:p>
      <w:pPr>
        <w:pStyle w:val="736"/>
        <w:jc w:val="center"/>
        <w:keepLines w:val="0"/>
        <w:keepNext w:val="0"/>
        <w:widowControl/>
        <w:rPr>
          <w:rFonts w:ascii="Calibri" w:hAnsi="Calibri"/>
          <w:b/>
          <w:bCs/>
          <w:color w:val="000000"/>
          <w:sz w:val="30"/>
          <w:szCs w:val="30"/>
          <w:highlight w:val="none"/>
        </w:rPr>
        <w:suppressLineNumbers w:val="0"/>
      </w:pPr>
      <w:r/>
      <w:bookmarkStart w:id="85" w:name="_Hlk73478900"/>
      <w:r>
        <w:rPr>
          <w:rFonts w:hint="eastAsia" w:ascii="宋体" w:hAnsi="宋体" w:eastAsia="宋体" w:cs="宋体"/>
          <w:b/>
          <w:bCs/>
          <w:i w:val="0"/>
          <w:iCs w:val="0"/>
          <w:color w:val="0000ff"/>
          <w:sz w:val="30"/>
          <w:szCs w:val="30"/>
          <w:u w:val="none"/>
          <w:lang w:val="en-US" w:eastAsia="zh-CN" w:bidi="ar"/>
        </w:rPr>
        <w:t xml:space="preserve">中小企业声明函（货物）</w:t>
      </w:r>
      <w:r>
        <w:rPr>
          <w:rFonts w:ascii="Calibri" w:hAnsi="Calibri"/>
          <w:b/>
          <w:bCs/>
          <w:color w:val="000000"/>
          <w:sz w:val="30"/>
          <w:szCs w:val="30"/>
          <w:highlight w:val="none"/>
        </w:rPr>
      </w:r>
      <w:r/>
    </w:p>
    <w:p>
      <w:pPr>
        <w:pStyle w:val="73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 况如下： </w:t>
      </w:r>
      <w:r>
        <w:rPr>
          <w:rFonts w:hint="eastAsia" w:ascii="宋体" w:hAnsi="宋体" w:eastAsia="宋体" w:cs="宋体"/>
          <w:color w:val="000000"/>
          <w:spacing w:val="15"/>
          <w:sz w:val="24"/>
          <w:szCs w:val="24"/>
          <w:highlight w:val="none"/>
        </w:rPr>
      </w:r>
      <w:r/>
    </w:p>
    <w:p>
      <w:pPr>
        <w:pStyle w:val="73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3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3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3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 形。 </w:t>
      </w:r>
      <w:r>
        <w:rPr>
          <w:rFonts w:hint="eastAsia" w:ascii="宋体" w:hAnsi="宋体" w:eastAsia="宋体" w:cs="宋体"/>
          <w:color w:val="000000"/>
          <w:spacing w:val="15"/>
          <w:sz w:val="24"/>
          <w:szCs w:val="24"/>
          <w:highlight w:val="none"/>
        </w:rPr>
      </w:r>
      <w:r/>
    </w:p>
    <w:p>
      <w:pPr>
        <w:pStyle w:val="736"/>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t xml:space="preserve">本企业对上述声明内容的真实性负责。如有虚假，将依 法承担相应责任。</w:t>
      </w:r>
      <w:r>
        <w:rPr>
          <w:rFonts w:hint="eastAsia" w:ascii="宋体" w:hAnsi="宋体" w:eastAsia="宋体" w:cs="宋体"/>
          <w:color w:val="000000"/>
          <w:spacing w:val="15"/>
          <w:sz w:val="24"/>
          <w:szCs w:val="24"/>
          <w:highlight w:val="none"/>
        </w:rPr>
      </w:r>
      <w:r/>
    </w:p>
    <w:p>
      <w:pPr>
        <w:pStyle w:val="736"/>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736"/>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736"/>
        <w:ind w:right="390" w:firstLine="480"/>
        <w:jc w:val="righ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736"/>
        <w:ind w:right="1440" w:firstLine="480"/>
        <w:jc w:val="right"/>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736"/>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86" w:name="_Hlk73391674"/>
      <w:r>
        <w:rPr>
          <w:rFonts w:ascii="宋体" w:hAnsi="宋体"/>
          <w:color w:val="000000"/>
          <w:sz w:val="24"/>
          <w:szCs w:val="22"/>
          <w:highlight w:val="none"/>
        </w:rPr>
        <w:t xml:space="preserve">注：</w:t>
      </w:r>
      <w:r>
        <w:rPr>
          <w:rFonts w:ascii="宋体" w:hAnsi="宋体"/>
          <w:color w:val="000000"/>
          <w:sz w:val="24"/>
          <w:szCs w:val="22"/>
          <w:highlight w:val="none"/>
        </w:rPr>
      </w:r>
      <w:r/>
    </w:p>
    <w:p>
      <w:pPr>
        <w:pStyle w:val="736"/>
        <w:ind w:firstLine="480"/>
        <w:jc w:val="left"/>
        <w:spacing w:line="340" w:lineRule="exact"/>
        <w:tabs>
          <w:tab w:val="left" w:pos="1800" w:leader="none"/>
          <w:tab w:val="left" w:pos="5580" w:leader="none"/>
        </w:tabs>
        <w:rPr>
          <w:rFonts w:ascii="宋体" w:hAnsi="宋体"/>
          <w:color w:val="000000"/>
          <w:sz w:val="24"/>
          <w:szCs w:val="22"/>
          <w:highlight w:val="none"/>
        </w:rPr>
      </w:pPr>
      <w:r/>
      <w:bookmarkEnd w:id="86"/>
      <w:r>
        <w:rPr>
          <w:rFonts w:hint="eastAsia" w:ascii="宋体" w:hAnsi="宋体"/>
          <w:color w:val="000000"/>
          <w:sz w:val="24"/>
          <w:szCs w:val="22"/>
          <w:highlight w:val="none"/>
        </w:rPr>
        <w:t xml:space="preserve">1．从业人员、营业收入、资产总额填报上一年度数据，无上一年度数据的新成立企业可不填报。</w:t>
      </w:r>
      <w:r>
        <w:rPr>
          <w:rFonts w:ascii="宋体" w:hAnsi="宋体"/>
          <w:color w:val="000000"/>
          <w:sz w:val="24"/>
          <w:szCs w:val="22"/>
          <w:highlight w:val="none"/>
        </w:rPr>
      </w:r>
      <w:r/>
    </w:p>
    <w:p>
      <w:pPr>
        <w:pStyle w:val="736"/>
        <w:ind w:firstLine="480"/>
        <w:jc w:val="left"/>
        <w:spacing w:line="340" w:lineRule="exact"/>
        <w:tabs>
          <w:tab w:val="left" w:pos="1800" w:leader="none"/>
          <w:tab w:val="left" w:pos="5580" w:leader="none"/>
        </w:tabs>
        <w:rPr>
          <w:rFonts w:ascii="Calibri" w:hAnsi="Calibri"/>
          <w:b/>
          <w:bCs/>
          <w:color w:val="000000"/>
          <w:sz w:val="24"/>
          <w:szCs w:val="22"/>
          <w:highlight w:val="none"/>
          <w:u w:val="single"/>
        </w:rPr>
      </w:pPr>
      <w:r/>
      <w:bookmarkStart w:id="87" w:name="_Hlk72665336"/>
      <w:r>
        <w:rPr>
          <w:rFonts w:hint="eastAsia" w:ascii="宋体" w:hAnsi="宋体"/>
          <w:color w:val="000000"/>
          <w:sz w:val="24"/>
          <w:szCs w:val="22"/>
          <w:highlight w:val="none"/>
        </w:rPr>
        <w:t xml:space="preserve">2．</w:t>
      </w:r>
      <w:r>
        <w:rPr>
          <w:rFonts w:hint="eastAsia" w:ascii="Calibri" w:hAnsi="Calibri"/>
          <w:b/>
          <w:bCs/>
          <w:color w:val="000000"/>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000000"/>
          <w:sz w:val="24"/>
          <w:szCs w:val="22"/>
          <w:highlight w:val="none"/>
          <w:u w:val="single"/>
        </w:rPr>
        <w:t xml:space="preserve">。</w:t>
      </w:r>
      <w:r>
        <w:rPr>
          <w:rFonts w:ascii="Calibri" w:hAnsi="Calibri"/>
          <w:b/>
          <w:bCs/>
          <w:color w:val="000000"/>
          <w:sz w:val="24"/>
          <w:szCs w:val="22"/>
          <w:highlight w:val="none"/>
          <w:u w:val="single"/>
        </w:rPr>
      </w:r>
      <w:r/>
    </w:p>
    <w:p>
      <w:pPr>
        <w:pStyle w:val="736"/>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highlight w:val="none"/>
        </w:rPr>
      </w:r>
      <w:r/>
    </w:p>
    <w:p>
      <w:pPr>
        <w:pStyle w:val="736"/>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87"/>
      <w:r>
        <w:rPr>
          <w:rFonts w:hint="eastAsia" w:ascii="宋体" w:hAnsi="宋体"/>
          <w:b/>
          <w:bCs/>
          <w:color w:val="000000"/>
          <w:sz w:val="24"/>
          <w:szCs w:val="22"/>
          <w:highlight w:val="none"/>
        </w:rPr>
        <w:t xml:space="preserve">供应商如不提供此声明函，价格将不做相应扣除。</w:t>
      </w:r>
      <w:r>
        <w:rPr>
          <w:rFonts w:hint="eastAsia" w:ascii="宋体" w:hAnsi="宋体"/>
          <w:b/>
          <w:bCs/>
          <w:color w:val="000000"/>
          <w:sz w:val="24"/>
          <w:szCs w:val="22"/>
          <w:highlight w:val="none"/>
        </w:rPr>
      </w:r>
      <w:r/>
    </w:p>
    <w:p>
      <w:pPr>
        <w:pStyle w:val="736"/>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highlight w:val="none"/>
        </w:rPr>
      </w:r>
      <w:r/>
    </w:p>
    <w:p>
      <w:pPr>
        <w:pStyle w:val="736"/>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w:t>
      </w:r>
      <w:r>
        <w:rPr>
          <w:rFonts w:hint="eastAsia" w:ascii="宋体" w:hAnsi="宋体" w:cs="宋体"/>
          <w:b/>
          <w:bCs/>
          <w:color w:val="000000"/>
          <w:sz w:val="24"/>
          <w:szCs w:val="24"/>
          <w:highlight w:val="none"/>
          <w:u w:val="single"/>
          <w:lang w:val="en-US" w:eastAsia="zh-CN"/>
        </w:rPr>
        <w:t xml:space="preserve">工业</w:t>
      </w:r>
      <w:r>
        <w:rPr>
          <w:rFonts w:ascii="宋体" w:hAnsi="宋体" w:cs="宋体"/>
          <w:b/>
          <w:bCs/>
          <w:color w:val="000000"/>
          <w:sz w:val="24"/>
          <w:szCs w:val="24"/>
          <w:highlight w:val="none"/>
          <w:u w:val="single"/>
        </w:rPr>
        <w:t xml:space="preserve">。</w:t>
      </w:r>
      <w:r>
        <w:rPr>
          <w:rFonts w:ascii="Calibri" w:hAnsi="Calibri"/>
          <w:color w:val="000000"/>
          <w:sz w:val="22"/>
          <w:szCs w:val="22"/>
          <w:highlight w:val="none"/>
          <w:u w:val="single"/>
        </w:rPr>
      </w:r>
      <w:r/>
    </w:p>
    <w:p>
      <w:pPr>
        <w:pStyle w:val="736"/>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highlight w:val="none"/>
          <w:u w:val="single"/>
        </w:rPr>
      </w:r>
      <w:r/>
    </w:p>
    <w:p>
      <w:pPr>
        <w:pStyle w:val="736"/>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rPr>
          <w:rFonts w:hint="eastAsia" w:ascii="宋体" w:hAnsi="宋体"/>
          <w:b/>
          <w:bCs/>
          <w:color w:val="000000"/>
          <w:sz w:val="24"/>
          <w:szCs w:val="22"/>
          <w:highlight w:val="none"/>
        </w:rPr>
      </w:r>
      <w:r/>
    </w:p>
    <w:p>
      <w:pPr>
        <w:pStyle w:val="736"/>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r>
      <w:r/>
    </w:p>
    <w:p>
      <w:pPr>
        <w:pStyle w:val="736"/>
        <w:jc w:val="left"/>
        <w:rPr>
          <w:rFonts w:ascii="宋体" w:hAnsi="宋体"/>
          <w:b/>
          <w:color w:val="000000"/>
          <w:sz w:val="28"/>
          <w:szCs w:val="28"/>
        </w:rPr>
      </w:pPr>
      <w:r>
        <w:rPr>
          <w:rFonts w:hint="eastAsia" w:ascii="宋体" w:hAnsi="宋体"/>
          <w:b/>
          <w:color w:val="000000"/>
          <w:sz w:val="28"/>
          <w:szCs w:val="28"/>
        </w:rPr>
        <w:br w:type="page" w:clear="all"/>
      </w:r>
      <w:r>
        <w:rPr>
          <w:rFonts w:hint="eastAsia" w:ascii="宋体" w:hAnsi="宋体"/>
          <w:b/>
          <w:color w:val="000000"/>
          <w:sz w:val="28"/>
          <w:szCs w:val="28"/>
        </w:rPr>
        <w:t xml:space="preserve">2．残疾人福利性单位声明函</w:t>
      </w:r>
      <w:r>
        <w:rPr>
          <w:rFonts w:ascii="宋体" w:hAnsi="宋体"/>
          <w:b/>
          <w:color w:val="000000"/>
          <w:sz w:val="28"/>
          <w:szCs w:val="28"/>
        </w:rPr>
      </w:r>
      <w:r/>
    </w:p>
    <w:p>
      <w:pPr>
        <w:pStyle w:val="736"/>
        <w:jc w:val="center"/>
        <w:spacing w:line="400" w:lineRule="exact"/>
        <w:widowControl/>
        <w:rPr>
          <w:rFonts w:ascii="宋体" w:hAnsi="宋体" w:cs="宋体"/>
          <w:b/>
          <w:color w:val="000000"/>
          <w:sz w:val="28"/>
          <w:szCs w:val="28"/>
        </w:rPr>
      </w:pPr>
      <w:r>
        <w:rPr>
          <w:rFonts w:ascii="宋体" w:hAnsi="宋体" w:cs="宋体"/>
          <w:b/>
          <w:color w:val="000000"/>
          <w:sz w:val="28"/>
          <w:szCs w:val="28"/>
        </w:rPr>
      </w:r>
      <w:r/>
    </w:p>
    <w:p>
      <w:pPr>
        <w:pStyle w:val="736"/>
        <w:jc w:val="center"/>
        <w:spacing w:line="400" w:lineRule="exact"/>
        <w:widowControl/>
        <w:rPr>
          <w:rFonts w:ascii="Calibri" w:hAnsi="Calibri"/>
          <w:b/>
          <w:color w:val="000000"/>
          <w:sz w:val="28"/>
          <w:szCs w:val="28"/>
        </w:rPr>
      </w:pPr>
      <w:r>
        <w:rPr>
          <w:rFonts w:hint="eastAsia" w:ascii="宋体" w:hAnsi="宋体" w:cs="宋体"/>
          <w:b/>
          <w:color w:val="000000"/>
          <w:sz w:val="28"/>
          <w:szCs w:val="28"/>
        </w:rPr>
        <w:t xml:space="preserve">残疾人福利性单位声明函</w:t>
      </w:r>
      <w:r>
        <w:rPr>
          <w:rFonts w:ascii="Calibri" w:hAnsi="Calibri"/>
          <w:b/>
          <w:color w:val="000000"/>
          <w:sz w:val="28"/>
          <w:szCs w:val="28"/>
        </w:rPr>
      </w:r>
      <w:r/>
    </w:p>
    <w:p>
      <w:pPr>
        <w:pStyle w:val="736"/>
        <w:jc w:val="left"/>
        <w:spacing w:line="400" w:lineRule="exact"/>
        <w:rPr>
          <w:rFonts w:ascii="宋体" w:hAnsi="宋体"/>
          <w:color w:val="000000"/>
          <w:sz w:val="24"/>
          <w:szCs w:val="24"/>
        </w:rPr>
      </w:pPr>
      <w:r/>
      <w:bookmarkStart w:id="88" w:name="_Hlk73391707"/>
      <w:r>
        <w:rPr>
          <w:rFonts w:ascii="宋体" w:hAnsi="宋体"/>
          <w:color w:val="000000"/>
          <w:sz w:val="24"/>
          <w:szCs w:val="24"/>
        </w:rPr>
      </w:r>
      <w:r/>
    </w:p>
    <w:p>
      <w:pPr>
        <w:pStyle w:val="736"/>
        <w:ind w:firstLine="504"/>
        <w:jc w:val="left"/>
        <w:spacing w:line="400" w:lineRule="exact"/>
        <w:rPr>
          <w:rFonts w:ascii="宋体" w:hAnsi="宋体"/>
          <w:color w:val="000000"/>
          <w:spacing w:val="6"/>
          <w:sz w:val="24"/>
          <w:szCs w:val="24"/>
        </w:rPr>
      </w:pPr>
      <w:r/>
      <w:bookmarkStart w:id="89" w:name="_Hlk108563587"/>
      <w:r>
        <w:rPr>
          <w:rFonts w:ascii="宋体" w:hAnsi="宋体"/>
          <w:color w:val="000000"/>
          <w:sz w:val="24"/>
          <w:szCs w:val="24"/>
        </w:rPr>
        <w:t xml:space="preserve">本单位郑重声明，根据《财政部 民政部 中国残疾人联合会关于促进残疾人就业政府采购政策的通知》（财库〔2017〕141号）的规定，本单位</w:t>
      </w:r>
      <w:r>
        <w:rPr>
          <w:rFonts w:ascii="宋体" w:hAnsi="宋体"/>
          <w:b/>
          <w:color w:val="000000"/>
          <w:sz w:val="24"/>
          <w:szCs w:val="24"/>
        </w:rPr>
        <w:t xml:space="preserve">（请进行勾选）</w:t>
      </w:r>
      <w:r>
        <w:rPr>
          <w:rFonts w:ascii="宋体" w:hAnsi="宋体"/>
          <w:color w:val="000000"/>
          <w:spacing w:val="6"/>
          <w:sz w:val="24"/>
          <w:szCs w:val="24"/>
        </w:rPr>
        <w:t xml:space="preserve">：</w:t>
      </w:r>
      <w:r>
        <w:rPr>
          <w:rFonts w:ascii="宋体" w:hAnsi="宋体"/>
          <w:color w:val="000000"/>
          <w:spacing w:val="6"/>
          <w:sz w:val="24"/>
          <w:szCs w:val="24"/>
        </w:rPr>
      </w:r>
      <w:r/>
    </w:p>
    <w:p>
      <w:pPr>
        <w:pStyle w:val="736"/>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不属于符合条件的残疾人福利性单位。</w:t>
      </w:r>
      <w:r>
        <w:rPr>
          <w:rFonts w:ascii="宋体" w:hAnsi="宋体"/>
          <w:b/>
          <w:color w:val="000000"/>
          <w:spacing w:val="6"/>
          <w:sz w:val="24"/>
          <w:szCs w:val="24"/>
        </w:rPr>
      </w:r>
      <w:r/>
    </w:p>
    <w:p>
      <w:pPr>
        <w:pStyle w:val="736"/>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属于符合条件的残疾人福利性单位，</w:t>
      </w:r>
      <w:r>
        <w:rPr>
          <w:rFonts w:ascii="宋体" w:hAnsi="宋体"/>
          <w:color w:val="000000"/>
          <w:sz w:val="24"/>
          <w:szCs w:val="24"/>
        </w:rPr>
        <w:t xml:space="preserve">且本单位参加</w:t>
      </w:r>
      <w:r>
        <w:rPr>
          <w:rFonts w:ascii="宋体" w:hAnsi="宋体"/>
          <w:color w:val="000000"/>
          <w:sz w:val="24"/>
          <w:szCs w:val="24"/>
          <w:u w:val="single"/>
        </w:rPr>
        <w:t xml:space="preserve">        </w:t>
      </w:r>
      <w:r>
        <w:rPr>
          <w:rFonts w:ascii="宋体" w:hAnsi="宋体"/>
          <w:color w:val="000000"/>
          <w:sz w:val="24"/>
          <w:szCs w:val="24"/>
        </w:rPr>
        <w:t xml:space="preserve">单位的</w:t>
      </w:r>
      <w:r>
        <w:rPr>
          <w:rFonts w:ascii="宋体" w:hAnsi="宋体"/>
          <w:color w:val="000000"/>
          <w:sz w:val="24"/>
          <w:szCs w:val="24"/>
          <w:u w:val="single"/>
        </w:rPr>
        <w:t xml:space="preserve">      </w:t>
      </w:r>
      <w:r>
        <w:rPr>
          <w:rFonts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rPr>
      </w:r>
      <w:r/>
    </w:p>
    <w:p>
      <w:pPr>
        <w:pStyle w:val="736"/>
        <w:ind w:left="660" w:hanging="240"/>
        <w:jc w:val="left"/>
        <w:spacing w:line="400" w:lineRule="exact"/>
        <w:rPr>
          <w:rFonts w:ascii="宋体" w:hAnsi="宋体"/>
          <w:color w:val="000000"/>
          <w:sz w:val="24"/>
          <w:szCs w:val="24"/>
        </w:rPr>
      </w:pPr>
      <w:r>
        <w:rPr>
          <w:rFonts w:hint="eastAsia" w:ascii="宋体" w:hAnsi="宋体"/>
          <w:color w:val="000000"/>
          <w:sz w:val="24"/>
          <w:szCs w:val="24"/>
        </w:rPr>
        <w:t xml:space="preserve">本单位在本次政府采购活动中提供的残疾人福利单位产品报价合计为人民币（大写）</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736"/>
        <w:ind w:firstLine="482"/>
        <w:jc w:val="left"/>
        <w:spacing w:before="2" w:line="400" w:lineRule="exact"/>
        <w:rPr>
          <w:rFonts w:ascii="宋体" w:hAnsi="宋体"/>
          <w:b/>
          <w:bCs/>
          <w:color w:val="000000"/>
          <w:sz w:val="24"/>
          <w:szCs w:val="24"/>
        </w:rPr>
      </w:pPr>
      <w:r>
        <w:rPr>
          <w:rFonts w:ascii="宋体" w:hAnsi="宋体"/>
          <w:b/>
          <w:bCs/>
          <w:color w:val="000000"/>
          <w:sz w:val="24"/>
          <w:szCs w:val="24"/>
        </w:rPr>
        <w:t xml:space="preserve">本单位对上述声明的真实性负责。如有虚假，将依法承担相应责任。</w:t>
      </w:r>
      <w:r>
        <w:rPr>
          <w:rFonts w:ascii="宋体" w:hAnsi="宋体"/>
          <w:b/>
          <w:bCs/>
          <w:color w:val="000000"/>
          <w:sz w:val="24"/>
          <w:szCs w:val="24"/>
        </w:rPr>
      </w:r>
      <w:r/>
    </w:p>
    <w:p>
      <w:pPr>
        <w:pStyle w:val="736"/>
        <w:jc w:val="left"/>
        <w:spacing w:line="400" w:lineRule="exact"/>
        <w:rPr>
          <w:rFonts w:ascii="宋体" w:hAnsi="宋体"/>
          <w:color w:val="000000"/>
          <w:sz w:val="24"/>
          <w:szCs w:val="24"/>
        </w:rPr>
      </w:pPr>
      <w:r/>
      <w:bookmarkEnd w:id="89"/>
      <w:r>
        <w:rPr>
          <w:rFonts w:hint="eastAsia" w:ascii="宋体" w:hAnsi="宋体"/>
          <w:color w:val="000000"/>
          <w:sz w:val="24"/>
          <w:szCs w:val="24"/>
        </w:rPr>
        <w:t xml:space="preserve">注：</w:t>
      </w:r>
      <w:r>
        <w:rPr>
          <w:rFonts w:ascii="宋体" w:hAnsi="宋体"/>
          <w:color w:val="000000"/>
          <w:sz w:val="24"/>
          <w:szCs w:val="24"/>
        </w:rPr>
      </w:r>
      <w:r/>
    </w:p>
    <w:p>
      <w:pPr>
        <w:pStyle w:val="736"/>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736"/>
        <w:jc w:val="left"/>
        <w:spacing w:before="2" w:line="400" w:lineRule="exact"/>
        <w:rPr>
          <w:rFonts w:ascii="宋体" w:hAnsi="宋体"/>
          <w:color w:val="000000"/>
          <w:sz w:val="24"/>
          <w:szCs w:val="24"/>
        </w:rPr>
      </w:pPr>
      <w:r>
        <w:rPr>
          <w:rFonts w:ascii="宋体" w:hAnsi="宋体"/>
          <w:color w:val="000000"/>
          <w:sz w:val="24"/>
          <w:szCs w:val="24"/>
        </w:rPr>
      </w:r>
      <w:r/>
    </w:p>
    <w:p>
      <w:pPr>
        <w:pStyle w:val="736"/>
        <w:ind w:right="150"/>
        <w:jc w:val="right"/>
        <w:spacing w:line="400" w:lineRule="exact"/>
        <w:rPr>
          <w:rFonts w:ascii="宋体" w:hAnsi="宋体"/>
          <w:color w:val="000000"/>
          <w:sz w:val="24"/>
          <w:szCs w:val="24"/>
        </w:rPr>
      </w:pPr>
      <w:r>
        <w:rPr>
          <w:rFonts w:ascii="宋体" w:hAnsi="宋体"/>
          <w:color w:val="000000"/>
          <w:sz w:val="24"/>
          <w:szCs w:val="24"/>
        </w:rPr>
        <w:t xml:space="preserve">单位</w:t>
      </w:r>
      <w:r>
        <w:rPr>
          <w:rFonts w:hint="eastAsia" w:ascii="宋体" w:hAnsi="宋体"/>
          <w:color w:val="000000"/>
          <w:sz w:val="24"/>
          <w:szCs w:val="24"/>
        </w:rPr>
        <w:t xml:space="preserve">名称（盖章）：</w:t>
      </w:r>
      <w:r>
        <w:rPr>
          <w:rFonts w:ascii="宋体" w:hAnsi="宋体"/>
          <w:color w:val="000000"/>
          <w:sz w:val="24"/>
          <w:szCs w:val="24"/>
        </w:rPr>
      </w:r>
      <w:r/>
    </w:p>
    <w:p>
      <w:pPr>
        <w:pStyle w:val="736"/>
        <w:ind w:right="960"/>
        <w:jc w:val="right"/>
        <w:spacing w:line="40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36"/>
        <w:jc w:val="center"/>
        <w:spacing w:line="400" w:lineRule="exact"/>
        <w:rPr>
          <w:rFonts w:ascii="宋体" w:hAnsi="宋体" w:cs="仿宋"/>
          <w:b/>
          <w:bCs/>
          <w:color w:val="000000"/>
          <w:sz w:val="24"/>
          <w:szCs w:val="24"/>
        </w:rPr>
      </w:pPr>
      <w:r/>
      <w:bookmarkEnd w:id="85"/>
      <w:r/>
      <w:bookmarkEnd w:id="88"/>
      <w:r>
        <w:rPr>
          <w:rFonts w:ascii="宋体" w:hAnsi="宋体" w:cs="仿宋"/>
          <w:b/>
          <w:bCs/>
          <w:color w:val="000000"/>
          <w:sz w:val="24"/>
          <w:szCs w:val="24"/>
        </w:rPr>
      </w:r>
      <w:r/>
    </w:p>
    <w:p>
      <w:pPr>
        <w:pStyle w:val="736"/>
        <w:jc w:val="center"/>
        <w:spacing w:line="400" w:lineRule="exact"/>
        <w:rPr>
          <w:rFonts w:ascii="仿宋" w:hAnsi="仿宋" w:eastAsia="仿宋" w:cs="仿宋"/>
          <w:b/>
          <w:bCs/>
          <w:color w:val="000000"/>
          <w:sz w:val="24"/>
          <w:szCs w:val="24"/>
        </w:rPr>
      </w:pPr>
      <w:r>
        <w:rPr>
          <w:rFonts w:ascii="仿宋" w:hAnsi="仿宋" w:eastAsia="仿宋" w:cs="仿宋"/>
          <w:b/>
          <w:bCs/>
          <w:color w:val="000000"/>
          <w:sz w:val="24"/>
          <w:szCs w:val="24"/>
        </w:rPr>
      </w:r>
      <w:r/>
    </w:p>
    <w:p>
      <w:pPr>
        <w:pStyle w:val="736"/>
        <w:spacing w:line="440" w:lineRule="exact"/>
        <w:rPr>
          <w:rFonts w:ascii="仿宋" w:hAnsi="仿宋" w:eastAsia="仿宋" w:cs="仿宋"/>
          <w:b/>
          <w:bCs/>
          <w:color w:val="000000"/>
          <w:sz w:val="24"/>
          <w:szCs w:val="24"/>
        </w:rPr>
      </w:pPr>
      <w:r>
        <w:rPr>
          <w:rFonts w:hint="eastAsia" w:ascii="宋体" w:hAnsi="宋体"/>
          <w:b/>
          <w:color w:val="000000"/>
          <w:sz w:val="28"/>
          <w:szCs w:val="28"/>
        </w:rPr>
        <w:t xml:space="preserve">3．属于监狱企业的证明文件</w:t>
      </w:r>
      <w:r>
        <w:rPr>
          <w:rFonts w:ascii="仿宋" w:hAnsi="仿宋" w:eastAsia="仿宋" w:cs="仿宋"/>
          <w:b/>
          <w:bCs/>
          <w:color w:val="000000"/>
          <w:sz w:val="24"/>
          <w:szCs w:val="24"/>
        </w:rPr>
      </w:r>
      <w:r/>
    </w:p>
    <w:p>
      <w:pPr>
        <w:pStyle w:val="736"/>
        <w:jc w:val="left"/>
        <w:rPr>
          <w:rFonts w:ascii="Calibri" w:hAnsi="Calibri"/>
          <w:color w:val="000000"/>
          <w:sz w:val="22"/>
          <w:szCs w:val="22"/>
        </w:rPr>
      </w:pPr>
      <w:r>
        <w:rPr>
          <w:rFonts w:ascii="Calibri" w:hAnsi="Calibri"/>
          <w:color w:val="000000"/>
          <w:sz w:val="22"/>
          <w:szCs w:val="22"/>
        </w:rPr>
      </w:r>
      <w:r/>
    </w:p>
    <w:p>
      <w:pPr>
        <w:pStyle w:val="736"/>
        <w:jc w:val="center"/>
        <w:spacing w:line="400" w:lineRule="exact"/>
        <w:rPr>
          <w:rFonts w:ascii="宋体" w:hAnsi="宋体" w:cs="仿宋"/>
          <w:b/>
          <w:bCs/>
          <w:color w:val="000000"/>
          <w:sz w:val="28"/>
          <w:szCs w:val="28"/>
        </w:rPr>
      </w:pPr>
      <w:r>
        <w:rPr>
          <w:rFonts w:hint="eastAsia" w:ascii="宋体" w:hAnsi="宋体" w:cs="仿宋"/>
          <w:b/>
          <w:bCs/>
          <w:color w:val="000000"/>
          <w:sz w:val="28"/>
          <w:szCs w:val="28"/>
        </w:rPr>
        <w:t xml:space="preserve">属于监狱企业的证明文件</w:t>
      </w:r>
      <w:r>
        <w:rPr>
          <w:rFonts w:ascii="宋体" w:hAnsi="宋体" w:cs="仿宋"/>
          <w:b/>
          <w:bCs/>
          <w:color w:val="000000"/>
          <w:sz w:val="28"/>
          <w:szCs w:val="28"/>
        </w:rPr>
      </w:r>
      <w:r/>
    </w:p>
    <w:p>
      <w:pPr>
        <w:pStyle w:val="736"/>
        <w:jc w:val="left"/>
        <w:spacing w:line="400" w:lineRule="exact"/>
        <w:widowControl/>
        <w:rPr>
          <w:rFonts w:ascii="Calibri" w:hAnsi="Calibri"/>
          <w:color w:val="000000"/>
          <w:sz w:val="24"/>
          <w:szCs w:val="24"/>
        </w:rPr>
      </w:pPr>
      <w:r>
        <w:rPr>
          <w:rFonts w:ascii="Calibri" w:hAnsi="Calibri"/>
          <w:color w:val="000000"/>
          <w:sz w:val="24"/>
          <w:szCs w:val="24"/>
        </w:rPr>
      </w:r>
      <w:r/>
    </w:p>
    <w:p>
      <w:pPr>
        <w:pStyle w:val="736"/>
        <w:ind w:firstLine="480"/>
        <w:jc w:val="left"/>
        <w:spacing w:line="400" w:lineRule="exact"/>
        <w:rPr>
          <w:rFonts w:ascii="宋体" w:hAnsi="宋体"/>
          <w:color w:val="000000"/>
          <w:sz w:val="24"/>
          <w:szCs w:val="24"/>
        </w:rPr>
      </w:pPr>
      <w:r>
        <w:rPr>
          <w:rFonts w:ascii="宋体" w:hAnsi="宋体"/>
          <w:color w:val="000000"/>
          <w:sz w:val="24"/>
          <w:szCs w:val="24"/>
        </w:rPr>
        <w:t xml:space="preserve">提供由省级以上监狱管理局、戒毒管理局</w:t>
      </w:r>
      <w:r>
        <w:rPr>
          <w:rFonts w:hint="eastAsia" w:ascii="宋体" w:hAnsi="宋体"/>
          <w:color w:val="000000"/>
          <w:sz w:val="24"/>
          <w:szCs w:val="24"/>
        </w:rPr>
        <w:t xml:space="preserve">（</w:t>
      </w:r>
      <w:r>
        <w:rPr>
          <w:rFonts w:ascii="宋体" w:hAnsi="宋体"/>
          <w:color w:val="000000"/>
          <w:sz w:val="24"/>
          <w:szCs w:val="24"/>
        </w:rPr>
        <w:t xml:space="preserve">含新疆生产建设兵团</w:t>
      </w:r>
      <w:r>
        <w:rPr>
          <w:rFonts w:hint="eastAsia" w:ascii="宋体" w:hAnsi="宋体"/>
          <w:color w:val="000000"/>
          <w:sz w:val="24"/>
          <w:szCs w:val="24"/>
        </w:rPr>
        <w:t xml:space="preserve">）</w:t>
      </w:r>
      <w:r>
        <w:rPr>
          <w:rFonts w:ascii="宋体" w:hAnsi="宋体"/>
          <w:color w:val="000000"/>
          <w:sz w:val="24"/>
          <w:szCs w:val="24"/>
        </w:rPr>
        <w:t xml:space="preserve">出具的属于监狱企业的证明文件</w:t>
      </w:r>
      <w:r>
        <w:rPr>
          <w:rFonts w:hint="eastAsia" w:ascii="宋体" w:hAnsi="宋体"/>
          <w:color w:val="000000"/>
          <w:sz w:val="24"/>
          <w:szCs w:val="24"/>
        </w:rPr>
        <w:t xml:space="preserve">，监狱企业标准请参照《关于政府采购支持监狱企业发展有关问题的通知》（</w:t>
      </w:r>
      <w:r>
        <w:rPr>
          <w:rFonts w:ascii="宋体" w:hAnsi="宋体"/>
          <w:color w:val="000000"/>
          <w:sz w:val="24"/>
          <w:szCs w:val="24"/>
        </w:rPr>
        <w:t xml:space="preserve">财库</w:t>
      </w:r>
      <w:bookmarkStart w:id="90" w:name="_Hlk109220782"/>
      <w:r>
        <w:rPr>
          <w:rFonts w:ascii="宋体" w:hAnsi="宋体"/>
          <w:color w:val="000000"/>
          <w:sz w:val="24"/>
          <w:szCs w:val="24"/>
        </w:rPr>
        <w:t xml:space="preserve">〔2014〕</w:t>
      </w:r>
      <w:bookmarkEnd w:id="90"/>
      <w:r>
        <w:rPr>
          <w:rFonts w:ascii="宋体" w:hAnsi="宋体"/>
          <w:color w:val="000000"/>
          <w:sz w:val="24"/>
          <w:szCs w:val="24"/>
        </w:rPr>
        <w:t xml:space="preserve">68号）</w:t>
      </w:r>
      <w:r>
        <w:rPr>
          <w:rFonts w:hint="eastAsia" w:ascii="宋体" w:hAnsi="宋体"/>
          <w:color w:val="000000"/>
          <w:sz w:val="24"/>
          <w:szCs w:val="24"/>
        </w:rPr>
        <w:t xml:space="preserve">。</w:t>
      </w:r>
      <w:r>
        <w:rPr>
          <w:rFonts w:ascii="宋体" w:hAnsi="宋体"/>
          <w:color w:val="000000"/>
          <w:sz w:val="24"/>
          <w:szCs w:val="24"/>
        </w:rPr>
      </w:r>
      <w:r/>
    </w:p>
    <w:p>
      <w:pPr>
        <w:pStyle w:val="736"/>
        <w:jc w:val="left"/>
        <w:spacing w:line="400" w:lineRule="exact"/>
        <w:rPr>
          <w:rFonts w:ascii="宋体" w:hAnsi="宋体"/>
          <w:color w:val="000000"/>
          <w:sz w:val="24"/>
          <w:szCs w:val="24"/>
        </w:rPr>
      </w:pPr>
      <w:r>
        <w:rPr>
          <w:rFonts w:ascii="宋体" w:hAnsi="宋体"/>
          <w:color w:val="000000"/>
          <w:sz w:val="24"/>
          <w:szCs w:val="24"/>
        </w:rPr>
      </w:r>
      <w:r/>
    </w:p>
    <w:p>
      <w:pPr>
        <w:pStyle w:val="736"/>
        <w:jc w:val="left"/>
        <w:spacing w:line="400" w:lineRule="exact"/>
        <w:rPr>
          <w:rFonts w:ascii="宋体" w:hAnsi="宋体"/>
          <w:color w:val="000000"/>
          <w:sz w:val="24"/>
          <w:szCs w:val="24"/>
        </w:rPr>
      </w:pPr>
      <w:r>
        <w:rPr>
          <w:rFonts w:hint="eastAsia" w:ascii="宋体" w:hAnsi="宋体"/>
          <w:color w:val="000000"/>
          <w:sz w:val="24"/>
          <w:szCs w:val="24"/>
        </w:rPr>
        <w:t xml:space="preserve">注：</w:t>
      </w:r>
      <w:r>
        <w:rPr>
          <w:rFonts w:ascii="宋体" w:hAnsi="宋体"/>
          <w:color w:val="000000"/>
          <w:sz w:val="24"/>
          <w:szCs w:val="24"/>
        </w:rPr>
      </w:r>
      <w:r/>
    </w:p>
    <w:p>
      <w:pPr>
        <w:pStyle w:val="736"/>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bCs/>
          <w:color w:val="000000"/>
          <w:sz w:val="28"/>
          <w:szCs w:val="28"/>
        </w:rPr>
        <w:br w:type="page" w:clear="all"/>
      </w:r>
      <w:bookmarkStart w:id="91" w:name="_Toc32210"/>
      <w:r>
        <w:rPr>
          <w:rFonts w:hint="eastAsia" w:ascii="宋体" w:hAnsi="宋体" w:cs="宋体"/>
          <w:b/>
          <w:color w:val="000000"/>
          <w:sz w:val="24"/>
          <w:szCs w:val="24"/>
          <w:lang w:val="zh-CN"/>
        </w:rPr>
        <w:t xml:space="preserve">附件十二、南京市政府采购供应商信用记录表暨信用承诺书</w:t>
      </w:r>
      <w:bookmarkEnd w:id="91"/>
      <w:r>
        <w:rPr>
          <w:rFonts w:hint="eastAsia"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《南京市政府采购供应商信用记录表暨信用承诺书》</w:t>
      </w:r>
      <w:r>
        <w:rPr>
          <w:rFonts w:ascii="宋体" w:hAnsi="宋体" w:cs="宋体"/>
          <w:b/>
          <w:bCs/>
          <w:color w:val="000000"/>
          <w:sz w:val="28"/>
          <w:szCs w:val="28"/>
          <w:lang w:val="zh-CN"/>
        </w:rPr>
      </w:r>
      <w:r/>
    </w:p>
    <w:p>
      <w:pPr>
        <w:pStyle w:val="736"/>
        <w:jc w:val="center"/>
        <w:spacing w:line="360" w:lineRule="auto"/>
        <w:rPr>
          <w:rFonts w:ascii="宋体" w:hAnsi="宋体"/>
          <w:color w:val="000000"/>
          <w:sz w:val="24"/>
          <w:szCs w:val="24"/>
        </w:rPr>
      </w:pPr>
      <w:r>
        <w:rPr>
          <w:rFonts w:hint="eastAsia" w:ascii="宋体" w:hAnsi="宋体"/>
          <w:color w:val="000000"/>
          <w:sz w:val="24"/>
          <w:szCs w:val="24"/>
        </w:rPr>
        <w:t xml:space="preserve">在线打印</w:t>
      </w:r>
      <w:r>
        <w:rPr>
          <w:rFonts w:ascii="宋体" w:hAnsi="宋体"/>
          <w:color w:val="000000"/>
          <w:sz w:val="24"/>
          <w:szCs w:val="24"/>
        </w:rPr>
      </w:r>
      <w:r/>
    </w:p>
    <w:p>
      <w:pPr>
        <w:pStyle w:val="736"/>
        <w:jc w:val="center"/>
        <w:spacing w:line="360" w:lineRule="auto"/>
        <w:rPr>
          <w:rFonts w:ascii="宋体" w:hAnsi="宋体"/>
          <w:color w:val="000000"/>
          <w:sz w:val="24"/>
          <w:szCs w:val="24"/>
        </w:rPr>
      </w:pPr>
      <w:r>
        <w:rPr>
          <w:rFonts w:hint="eastAsia" w:ascii="宋体" w:hAnsi="宋体"/>
          <w:color w:val="000000"/>
          <w:sz w:val="24"/>
          <w:szCs w:val="24"/>
        </w:rPr>
        <w:t xml:space="preserve">（参考格式如下）</w:t>
      </w:r>
      <w:r>
        <w:rPr>
          <w:rFonts w:ascii="宋体" w:hAnsi="宋体"/>
          <w:color w:val="000000"/>
          <w:sz w:val="24"/>
          <w:szCs w:val="24"/>
        </w:rPr>
      </w:r>
      <w:r/>
    </w:p>
    <w:p>
      <w:pPr>
        <w:pStyle w:val="736"/>
        <w:jc w:val="right"/>
        <w:spacing w:line="400" w:lineRule="exact"/>
        <w:rPr>
          <w:rFonts w:ascii="仿宋" w:hAnsi="仿宋" w:eastAsia="仿宋"/>
          <w:color w:val="000000"/>
          <w:sz w:val="22"/>
          <w:szCs w:val="21"/>
          <w:lang w:eastAsia="en-US"/>
        </w:rPr>
      </w:pPr>
      <w:r>
        <w:rPr>
          <w:rFonts w:hint="eastAsia" w:ascii="仿宋" w:hAnsi="仿宋" w:eastAsia="仿宋"/>
          <w:color w:val="000000"/>
          <w:sz w:val="22"/>
          <w:szCs w:val="21"/>
          <w:lang w:eastAsia="en-US"/>
        </w:rPr>
        <w:t xml:space="preserve">二〇   年     月     日</w:t>
      </w:r>
      <w:r>
        <w:rPr>
          <w:rFonts w:ascii="仿宋" w:hAnsi="仿宋" w:eastAsia="仿宋"/>
          <w:color w:val="000000"/>
          <w:sz w:val="22"/>
          <w:szCs w:val="21"/>
          <w:lang w:eastAsia="en-US"/>
        </w:rPr>
      </w:r>
      <w:r/>
    </w:p>
    <w:p>
      <w:pPr>
        <w:pStyle w:val="736"/>
        <w:jc w:val="left"/>
        <w:rPr>
          <w:rFonts w:ascii="Calibri" w:hAnsi="Calibri"/>
          <w:color w:val="000000"/>
          <w:sz w:val="22"/>
          <w:szCs w:val="22"/>
          <w:lang w:eastAsia="en-US"/>
        </w:rPr>
      </w:pPr>
      <w:r>
        <w:rPr>
          <w:rFonts w:ascii="Calibri" w:hAnsi="Calibri"/>
          <w:color w:val="000000"/>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单位名称</w:t>
            </w:r>
            <w:r>
              <w:rPr>
                <w:rFonts w:ascii="仿宋" w:hAnsi="仿宋" w:eastAsia="仿宋"/>
                <w:b/>
                <w:bCs/>
                <w:color w:val="000000"/>
                <w:sz w:val="22"/>
                <w:szCs w:val="21"/>
                <w:lang w:eastAsia="en-US"/>
              </w:rPr>
            </w:r>
            <w:r/>
          </w:p>
        </w:tc>
        <w:tc>
          <w:tcPr>
            <w:tcW w:w="2560"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统一社会信用代码</w:t>
            </w:r>
            <w:r>
              <w:rPr>
                <w:rFonts w:ascii="仿宋" w:hAnsi="仿宋" w:eastAsia="仿宋"/>
                <w:b/>
                <w:bCs/>
                <w:color w:val="000000"/>
                <w:sz w:val="22"/>
                <w:szCs w:val="21"/>
                <w:lang w:eastAsia="en-US"/>
              </w:rPr>
            </w:r>
            <w:r/>
          </w:p>
        </w:tc>
        <w:tc>
          <w:tcPr>
            <w:tcW w:w="3436"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67" w:hRule="exact"/>
        </w:trPr>
        <w:tc>
          <w:tcPr>
            <w:tcW w:w="1717"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法定代表人</w:t>
            </w:r>
            <w:r>
              <w:rPr>
                <w:rFonts w:ascii="仿宋" w:hAnsi="仿宋" w:eastAsia="仿宋"/>
                <w:b/>
                <w:bCs/>
                <w:color w:val="000000"/>
                <w:sz w:val="22"/>
                <w:szCs w:val="21"/>
                <w:lang w:eastAsia="en-US"/>
              </w:rPr>
            </w:r>
            <w:r/>
          </w:p>
        </w:tc>
        <w:tc>
          <w:tcPr>
            <w:tcW w:w="2560"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联系人</w:t>
            </w:r>
            <w:r>
              <w:rPr>
                <w:rFonts w:ascii="仿宋" w:hAnsi="仿宋" w:eastAsia="仿宋"/>
                <w:b/>
                <w:bCs/>
                <w:color w:val="000000"/>
                <w:sz w:val="22"/>
                <w:szCs w:val="21"/>
                <w:lang w:eastAsia="en-US"/>
              </w:rPr>
            </w:r>
            <w:r/>
          </w:p>
        </w:tc>
        <w:tc>
          <w:tcPr>
            <w:tcW w:w="3436"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67" w:hRule="exact"/>
        </w:trPr>
        <w:tc>
          <w:tcPr>
            <w:tcW w:w="1717"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联系地址</w:t>
            </w:r>
            <w:r>
              <w:rPr>
                <w:rFonts w:ascii="仿宋" w:hAnsi="仿宋" w:eastAsia="仿宋"/>
                <w:b/>
                <w:bCs/>
                <w:color w:val="000000"/>
                <w:sz w:val="22"/>
                <w:szCs w:val="21"/>
                <w:lang w:eastAsia="en-US"/>
              </w:rPr>
            </w:r>
            <w:r/>
          </w:p>
        </w:tc>
        <w:tc>
          <w:tcPr>
            <w:tcW w:w="2560"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联系电话</w:t>
            </w:r>
            <w:r>
              <w:rPr>
                <w:rFonts w:ascii="仿宋" w:hAnsi="仿宋" w:eastAsia="仿宋"/>
                <w:b/>
                <w:bCs/>
                <w:color w:val="000000"/>
                <w:sz w:val="22"/>
                <w:szCs w:val="21"/>
                <w:lang w:eastAsia="en-US"/>
              </w:rPr>
            </w:r>
            <w:r/>
          </w:p>
        </w:tc>
        <w:tc>
          <w:tcPr>
            <w:tcW w:w="3436"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1345"/>
        </w:trPr>
        <w:tc>
          <w:tcPr>
            <w:tcW w:w="1717" w:type="dxa"/>
            <w:vAlign w:val="center"/>
            <w:textDirection w:val="lrTb"/>
            <w:noWrap w:val="false"/>
          </w:tcPr>
          <w:p>
            <w:pPr>
              <w:pStyle w:val="736"/>
              <w:jc w:val="left"/>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诚信档案记录情况</w:t>
            </w:r>
            <w:r>
              <w:rPr>
                <w:rFonts w:ascii="仿宋" w:hAnsi="仿宋" w:eastAsia="仿宋"/>
                <w:color w:val="000000"/>
                <w:sz w:val="22"/>
                <w:szCs w:val="21"/>
                <w:lang w:eastAsia="en-US"/>
              </w:rPr>
            </w:r>
            <w:r/>
          </w:p>
        </w:tc>
        <w:tc>
          <w:tcPr>
            <w:gridSpan w:val="3"/>
            <w:tcW w:w="7981"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863"/>
        </w:trPr>
        <w:tc>
          <w:tcPr>
            <w:tcW w:w="1717" w:type="dxa"/>
            <w:vAlign w:val="center"/>
            <w:textDirection w:val="lrTb"/>
            <w:noWrap w:val="false"/>
          </w:tcPr>
          <w:p>
            <w:pPr>
              <w:pStyle w:val="736"/>
              <w:jc w:val="center"/>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信用承诺</w:t>
            </w:r>
            <w:r>
              <w:rPr>
                <w:rFonts w:ascii="仿宋" w:hAnsi="仿宋" w:eastAsia="仿宋"/>
                <w:color w:val="000000"/>
                <w:sz w:val="22"/>
                <w:szCs w:val="21"/>
                <w:lang w:eastAsia="en-US"/>
              </w:rPr>
            </w:r>
            <w:r/>
          </w:p>
        </w:tc>
        <w:tc>
          <w:tcPr>
            <w:gridSpan w:val="3"/>
            <w:tcW w:w="7981" w:type="dxa"/>
            <w:vAlign w:val="top"/>
            <w:textDirection w:val="lrTb"/>
            <w:noWrap w:val="false"/>
          </w:tcPr>
          <w:p>
            <w:pPr>
              <w:pStyle w:val="736"/>
              <w:ind w:firstLine="440"/>
              <w:jc w:val="left"/>
              <w:spacing w:line="400" w:lineRule="exact"/>
              <w:rPr>
                <w:rFonts w:ascii="仿宋" w:hAnsi="仿宋" w:eastAsia="仿宋"/>
                <w:color w:val="000000"/>
                <w:sz w:val="22"/>
                <w:szCs w:val="21"/>
              </w:rPr>
            </w:pPr>
            <w:r>
              <w:rPr>
                <w:rFonts w:ascii="仿宋" w:hAnsi="仿宋" w:eastAsia="仿宋"/>
                <w:color w:val="000000"/>
                <w:sz w:val="22"/>
                <w:szCs w:val="21"/>
              </w:rPr>
            </w:r>
            <w:r/>
          </w:p>
          <w:p>
            <w:pPr>
              <w:pStyle w:val="736"/>
              <w:ind w:firstLine="440"/>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rPr>
            </w:r>
            <w:r/>
          </w:p>
          <w:p>
            <w:pPr>
              <w:pStyle w:val="736"/>
              <w:jc w:val="left"/>
              <w:spacing w:line="400" w:lineRule="exact"/>
              <w:rPr>
                <w:rFonts w:ascii="仿宋" w:hAnsi="仿宋" w:eastAsia="仿宋"/>
                <w:color w:val="000000"/>
                <w:sz w:val="22"/>
                <w:szCs w:val="21"/>
              </w:rPr>
            </w:pPr>
            <w:r>
              <w:rPr>
                <w:rFonts w:ascii="仿宋" w:hAnsi="仿宋" w:eastAsia="仿宋"/>
                <w:color w:val="000000"/>
                <w:sz w:val="22"/>
                <w:szCs w:val="21"/>
              </w:rPr>
            </w:r>
            <w:r/>
          </w:p>
          <w:p>
            <w:pPr>
              <w:pStyle w:val="736"/>
              <w:jc w:val="left"/>
              <w:spacing w:line="400" w:lineRule="exact"/>
              <w:rPr>
                <w:rFonts w:hint="eastAsia" w:ascii="仿宋" w:hAnsi="仿宋" w:eastAsia="仿宋"/>
                <w:color w:val="000000"/>
                <w:sz w:val="22"/>
                <w:szCs w:val="21"/>
              </w:rPr>
            </w:pPr>
            <w:r>
              <w:rPr>
                <w:rFonts w:hint="eastAsia" w:ascii="仿宋" w:hAnsi="仿宋" w:eastAsia="仿宋"/>
                <w:color w:val="000000"/>
                <w:sz w:val="22"/>
                <w:szCs w:val="21"/>
              </w:rPr>
            </w:r>
            <w:r/>
          </w:p>
          <w:p>
            <w:pPr>
              <w:pStyle w:val="736"/>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供应商名称（盖章）：</w:t>
            </w:r>
            <w:r>
              <w:rPr>
                <w:rFonts w:ascii="仿宋" w:hAnsi="仿宋" w:eastAsia="仿宋"/>
                <w:color w:val="000000"/>
                <w:sz w:val="22"/>
                <w:szCs w:val="21"/>
              </w:rPr>
            </w:r>
            <w:r/>
          </w:p>
          <w:p>
            <w:pPr>
              <w:pStyle w:val="736"/>
              <w:jc w:val="left"/>
              <w:spacing w:line="400" w:lineRule="exact"/>
              <w:rPr>
                <w:rFonts w:ascii="仿宋" w:hAnsi="仿宋" w:eastAsia="仿宋"/>
                <w:color w:val="000000"/>
                <w:sz w:val="22"/>
                <w:szCs w:val="22"/>
              </w:rPr>
            </w:pPr>
            <w:r>
              <w:rPr>
                <w:rFonts w:hint="eastAsia" w:ascii="仿宋" w:hAnsi="仿宋" w:eastAsia="仿宋"/>
                <w:color w:val="000000"/>
                <w:sz w:val="22"/>
                <w:szCs w:val="21"/>
              </w:rPr>
              <w:t xml:space="preserve">法定代表人（签字）：</w:t>
            </w:r>
            <w:r>
              <w:rPr>
                <w:rFonts w:ascii="仿宋" w:hAnsi="仿宋" w:eastAsia="仿宋"/>
                <w:color w:val="000000"/>
                <w:sz w:val="22"/>
                <w:szCs w:val="22"/>
              </w:rPr>
            </w:r>
            <w:r/>
          </w:p>
        </w:tc>
      </w:tr>
    </w:tbl>
    <w:p>
      <w:pPr>
        <w:pStyle w:val="736"/>
        <w:ind w:firstLine="482"/>
        <w:jc w:val="left"/>
        <w:spacing w:line="400" w:lineRule="exact"/>
        <w:rPr>
          <w:rFonts w:ascii="宋体" w:hAnsi="宋体"/>
          <w:b/>
          <w:bCs/>
          <w:color w:val="000000"/>
          <w:sz w:val="24"/>
          <w:szCs w:val="24"/>
        </w:rPr>
      </w:pPr>
      <w:r>
        <w:rPr>
          <w:rFonts w:hint="eastAsia" w:ascii="宋体" w:hAnsi="宋体"/>
          <w:b/>
          <w:bCs/>
          <w:color w:val="000000"/>
          <w:sz w:val="24"/>
          <w:szCs w:val="24"/>
        </w:rPr>
        <w:t xml:space="preserve">注：供应商参加本次政府采购活动时，在采购文件发布之日起至递交投标文件截止日前，应登录【</w:t>
      </w:r>
      <w:r>
        <w:rPr>
          <w:rFonts w:ascii="Calibri" w:hAnsi="Calibri"/>
          <w:b/>
          <w:bCs/>
          <w:color w:val="000000"/>
          <w:sz w:val="22"/>
          <w:szCs w:val="22"/>
          <w:lang w:eastAsia="en-US"/>
        </w:rPr>
        <w:fldChar w:fldCharType="begin"/>
      </w:r>
      <w:r>
        <w:rPr>
          <w:rFonts w:ascii="Calibri" w:hAnsi="Calibri"/>
          <w:b/>
          <w:bCs/>
          <w:color w:val="000000"/>
          <w:sz w:val="22"/>
          <w:szCs w:val="22"/>
        </w:rPr>
        <w:instrText xml:space="preserve"> HYPERLINK "http://180.101.238.212:8280/hodeframe2018_cxda/index.action;jsessionid=3CB06119C93D950CE8917FD0D0AEB15C" </w:instrText>
      </w:r>
      <w:r>
        <w:rPr>
          <w:rFonts w:ascii="Calibri" w:hAnsi="Calibri"/>
          <w:b/>
          <w:bCs/>
          <w:color w:val="000000"/>
          <w:sz w:val="22"/>
          <w:szCs w:val="22"/>
          <w:lang w:eastAsia="en-US"/>
        </w:rPr>
        <w:fldChar w:fldCharType="separate"/>
      </w:r>
      <w:r>
        <w:rPr>
          <w:rFonts w:hint="eastAsia" w:ascii="宋体" w:hAnsi="宋体"/>
          <w:b/>
          <w:bCs/>
          <w:color w:val="000000"/>
          <w:sz w:val="24"/>
          <w:szCs w:val="24"/>
        </w:rPr>
        <w:t xml:space="preserve">南京市政府采购供应商诚信档案管理系统</w:t>
      </w:r>
      <w:r>
        <w:rPr>
          <w:rFonts w:hint="eastAsia" w:ascii="宋体" w:hAnsi="宋体"/>
          <w:b/>
          <w:bCs/>
          <w:color w:val="000000"/>
          <w:sz w:val="24"/>
          <w:szCs w:val="24"/>
          <w:lang w:eastAsia="en-US"/>
        </w:rPr>
        <w:fldChar w:fldCharType="end"/>
      </w:r>
      <w:r>
        <w:rPr>
          <w:rFonts w:hint="eastAsia" w:ascii="宋体" w:hAnsi="宋体"/>
          <w:b/>
          <w:bCs/>
          <w:color w:val="000000"/>
          <w:sz w:val="24"/>
          <w:szCs w:val="24"/>
        </w:rPr>
        <w:t xml:space="preserve">】，</w:t>
      </w:r>
      <w:r>
        <w:rPr>
          <w:rFonts w:hint="eastAsia" w:ascii="宋体" w:hAnsi="宋体"/>
          <w:b/>
          <w:bCs/>
          <w:color w:val="000000"/>
          <w:sz w:val="24"/>
          <w:szCs w:val="24"/>
          <w:u w:val="single"/>
        </w:rPr>
        <w:t xml:space="preserve">在线打印</w:t>
      </w:r>
      <w:r>
        <w:rPr>
          <w:rFonts w:hint="eastAsia" w:ascii="宋体" w:hAnsi="宋体"/>
          <w:b/>
          <w:bCs/>
          <w:color w:val="000000"/>
          <w:sz w:val="24"/>
          <w:szCs w:val="24"/>
        </w:rPr>
        <w:t xml:space="preserve">“南京市政府采购供应商信用记录表暨信用承诺书”，经</w:t>
      </w:r>
      <w:r>
        <w:rPr>
          <w:rFonts w:hint="eastAsia" w:ascii="宋体" w:hAnsi="宋体"/>
          <w:b/>
          <w:bCs/>
          <w:color w:val="000000"/>
          <w:sz w:val="24"/>
          <w:szCs w:val="24"/>
          <w:u w:val="single"/>
        </w:rPr>
        <w:t xml:space="preserve">法定代表人签名盖章</w:t>
      </w:r>
      <w:r>
        <w:rPr>
          <w:rFonts w:hint="eastAsia" w:ascii="宋体" w:hAnsi="宋体"/>
          <w:b/>
          <w:bCs/>
          <w:color w:val="000000"/>
          <w:sz w:val="24"/>
          <w:szCs w:val="24"/>
        </w:rPr>
        <w:t xml:space="preserve">后作为投标文件的组成部分。“南京市政府采购供应商信用记录表暨信用承诺书”是其参加本次政府采购活动的必备材料。</w:t>
      </w:r>
      <w:r>
        <w:rPr>
          <w:rFonts w:ascii="宋体" w:hAnsi="宋体"/>
          <w:b/>
          <w:bCs/>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92" w:name="_Toc19481"/>
      <w:r>
        <w:rPr>
          <w:rFonts w:hint="eastAsia" w:ascii="宋体" w:hAnsi="宋体" w:cs="宋体"/>
          <w:b/>
          <w:color w:val="000000"/>
          <w:sz w:val="24"/>
          <w:szCs w:val="24"/>
          <w:lang w:val="zh-CN"/>
        </w:rPr>
        <w:t xml:space="preserve">附件十三、</w:t>
      </w:r>
      <w:bookmarkStart w:id="93" w:name="OLE_LINK42"/>
      <w:r/>
      <w:bookmarkStart w:id="94" w:name="OLE_LINK43"/>
      <w:r>
        <w:rPr>
          <w:rFonts w:hint="eastAsia" w:ascii="宋体" w:hAnsi="宋体" w:cs="宋体"/>
          <w:b/>
          <w:color w:val="000000"/>
          <w:sz w:val="24"/>
          <w:szCs w:val="24"/>
          <w:lang w:val="zh-CN"/>
        </w:rPr>
        <w:t xml:space="preserve">货物质量保证承诺书</w:t>
      </w:r>
      <w:bookmarkEnd w:id="92"/>
      <w:r/>
      <w:bookmarkEnd w:id="93"/>
      <w:r/>
      <w:bookmarkEnd w:id="94"/>
      <w:r>
        <w:rPr>
          <w:rFonts w:hint="eastAsia"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货物质量保证承诺书</w:t>
      </w:r>
      <w:r>
        <w:rPr>
          <w:rFonts w:ascii="宋体" w:hAnsi="宋体" w:cs="宋体"/>
          <w:b/>
          <w:bCs/>
          <w:color w:val="000000"/>
          <w:sz w:val="28"/>
          <w:szCs w:val="28"/>
          <w:lang w:val="zh-CN"/>
        </w:rPr>
      </w:r>
      <w:r/>
    </w:p>
    <w:p>
      <w:pPr>
        <w:pStyle w:val="736"/>
        <w:jc w:val="left"/>
        <w:spacing w:line="360" w:lineRule="auto"/>
        <w:widowControl/>
        <w:rPr>
          <w:rFonts w:ascii="宋体" w:hAnsi="宋体" w:cs="宋体"/>
          <w:bCs/>
          <w:color w:val="000000"/>
          <w:sz w:val="28"/>
          <w:szCs w:val="28"/>
          <w:u w:val="single"/>
        </w:rPr>
        <w:outlineLvl w:val="9"/>
      </w:pPr>
      <w:r>
        <w:rPr>
          <w:rFonts w:ascii="宋体" w:hAnsi="宋体" w:cs="宋体"/>
          <w:bCs/>
          <w:color w:val="000000"/>
          <w:sz w:val="28"/>
          <w:szCs w:val="28"/>
          <w:u w:val="single"/>
        </w:rPr>
        <w:t xml:space="preserve">                  </w:t>
      </w:r>
      <w:r>
        <w:rPr>
          <w:rFonts w:hint="eastAsia" w:ascii="宋体" w:hAnsi="宋体" w:cs="宋体"/>
          <w:bCs/>
          <w:color w:val="000000"/>
          <w:sz w:val="28"/>
          <w:szCs w:val="28"/>
          <w:u w:val="single"/>
        </w:rPr>
        <w:t xml:space="preserve">：</w:t>
      </w:r>
      <w:r>
        <w:rPr>
          <w:rFonts w:ascii="宋体" w:hAnsi="宋体" w:cs="宋体"/>
          <w:bCs/>
          <w:color w:val="000000"/>
          <w:sz w:val="28"/>
          <w:szCs w:val="28"/>
          <w:u w:val="single"/>
        </w:rPr>
      </w:r>
      <w:r/>
    </w:p>
    <w:p>
      <w:pPr>
        <w:pStyle w:val="73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我公司现向贵单位承诺，我公司在项目名称：</w:t>
      </w:r>
      <w:r>
        <w:rPr>
          <w:rFonts w:hint="eastAsia" w:ascii="宋体" w:hAnsi="宋体"/>
          <w:color w:val="000000"/>
          <w:sz w:val="24"/>
          <w:szCs w:val="24"/>
          <w:u w:val="single"/>
        </w:rPr>
        <w:t xml:space="preserve">            </w:t>
      </w:r>
      <w:r>
        <w:rPr>
          <w:rFonts w:hint="eastAsia" w:ascii="宋体" w:hAnsi="宋体"/>
          <w:color w:val="000000"/>
          <w:sz w:val="24"/>
          <w:szCs w:val="24"/>
        </w:rPr>
        <w:t xml:space="preserve">实施过程中，保证货物质量符合招标文件质量标准要求，在此服务过程中如出现任何质量问题，均由我公司承担一切责任。</w:t>
      </w:r>
      <w:r>
        <w:rPr>
          <w:rFonts w:hint="eastAsia" w:ascii="宋体" w:hAnsi="宋体"/>
          <w:color w:val="000000"/>
          <w:sz w:val="24"/>
          <w:szCs w:val="24"/>
        </w:rPr>
      </w:r>
      <w:r/>
    </w:p>
    <w:p>
      <w:pPr>
        <w:pStyle w:val="736"/>
        <w:ind w:firstLine="480"/>
        <w:jc w:val="left"/>
        <w:spacing w:line="480" w:lineRule="auto"/>
        <w:rPr>
          <w:rFonts w:ascii="宋体" w:hAnsi="宋体"/>
          <w:color w:val="000000"/>
          <w:sz w:val="24"/>
          <w:szCs w:val="24"/>
        </w:rPr>
      </w:pPr>
      <w:r>
        <w:rPr>
          <w:rFonts w:ascii="宋体" w:hAnsi="宋体"/>
          <w:color w:val="000000"/>
          <w:sz w:val="24"/>
          <w:szCs w:val="24"/>
        </w:rPr>
      </w:r>
      <w:r/>
    </w:p>
    <w:p>
      <w:pPr>
        <w:pStyle w:val="736"/>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承诺单位（公章）：</w:t>
      </w:r>
      <w:r>
        <w:rPr>
          <w:rFonts w:hint="eastAsia" w:ascii="宋体" w:hAnsi="宋体"/>
          <w:color w:val="000000"/>
          <w:sz w:val="24"/>
          <w:szCs w:val="24"/>
        </w:rPr>
      </w:r>
      <w:r/>
    </w:p>
    <w:p>
      <w:pPr>
        <w:pStyle w:val="736"/>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法定代表人（签字或盖章）：</w:t>
      </w:r>
      <w:r>
        <w:rPr>
          <w:rFonts w:hint="eastAsia" w:ascii="宋体" w:hAnsi="宋体"/>
          <w:color w:val="000000"/>
          <w:sz w:val="24"/>
          <w:szCs w:val="24"/>
        </w:rPr>
      </w:r>
      <w:r/>
    </w:p>
    <w:p>
      <w:pPr>
        <w:pStyle w:val="736"/>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9"/>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outlineLvl w:val="9"/>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95" w:name="_Toc11984"/>
      <w:r>
        <w:rPr>
          <w:rFonts w:hint="eastAsia" w:ascii="宋体" w:hAnsi="宋体" w:cs="宋体"/>
          <w:b/>
          <w:color w:val="000000"/>
          <w:sz w:val="24"/>
          <w:szCs w:val="24"/>
          <w:lang w:val="zh-CN"/>
        </w:rPr>
        <w:t xml:space="preserve">附件十四、</w:t>
      </w:r>
      <w:bookmarkStart w:id="96" w:name="_Hlk108563738"/>
      <w:r>
        <w:rPr>
          <w:rFonts w:hint="eastAsia" w:ascii="宋体" w:hAnsi="宋体" w:cs="宋体"/>
          <w:b/>
          <w:color w:val="000000"/>
          <w:sz w:val="24"/>
          <w:szCs w:val="24"/>
          <w:lang w:val="zh-CN"/>
        </w:rPr>
        <w:t xml:space="preserve">供应商资格承诺声明函</w:t>
      </w:r>
      <w:bookmarkEnd w:id="95"/>
      <w:r>
        <w:rPr>
          <w:rFonts w:hint="eastAsia"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供应商资格承诺声明函</w:t>
      </w:r>
      <w:bookmarkEnd w:id="82"/>
      <w:r>
        <w:rPr>
          <w:rFonts w:ascii="宋体" w:hAnsi="宋体" w:cs="宋体"/>
          <w:b/>
          <w:bCs/>
          <w:color w:val="000000"/>
          <w:sz w:val="28"/>
          <w:szCs w:val="28"/>
          <w:lang w:val="zh-CN"/>
        </w:rPr>
      </w:r>
      <w:r/>
    </w:p>
    <w:p>
      <w:pPr>
        <w:pStyle w:val="736"/>
        <w:jc w:val="left"/>
        <w:spacing w:line="360" w:lineRule="exact"/>
        <w:rPr>
          <w:rFonts w:hint="eastAsia" w:ascii="宋体" w:hAnsi="宋体"/>
          <w:color w:val="000000"/>
          <w:sz w:val="22"/>
          <w:szCs w:val="21"/>
        </w:rPr>
      </w:pPr>
      <w:r/>
      <w:bookmarkStart w:id="97" w:name="_Hlk94112054"/>
      <w:r>
        <w:rPr>
          <w:rFonts w:hint="eastAsia" w:ascii="宋体" w:hAnsi="宋体"/>
          <w:color w:val="000000"/>
          <w:sz w:val="22"/>
          <w:szCs w:val="21"/>
        </w:rPr>
        <w:t xml:space="preserve">致：</w:t>
      </w:r>
      <w:bookmarkEnd w:id="97"/>
      <w:r>
        <w:rPr>
          <w:rFonts w:hint="eastAsia" w:ascii="宋体" w:hAnsi="宋体"/>
          <w:color w:val="000000"/>
          <w:sz w:val="22"/>
          <w:szCs w:val="21"/>
          <w:u w:val="single"/>
        </w:rPr>
        <w:t xml:space="preserve">南京江北新区管理委员会教育局</w:t>
      </w:r>
      <w:r>
        <w:rPr>
          <w:rFonts w:hint="eastAsia" w:ascii="宋体" w:hAnsi="宋体"/>
          <w:color w:val="000000"/>
          <w:sz w:val="22"/>
          <w:szCs w:val="21"/>
        </w:rPr>
      </w:r>
      <w:r/>
    </w:p>
    <w:p>
      <w:pPr>
        <w:pStyle w:val="736"/>
        <w:ind w:firstLine="440"/>
        <w:spacing w:line="360" w:lineRule="exact"/>
        <w:rPr>
          <w:rFonts w:ascii="宋体" w:hAnsi="宋体"/>
          <w:color w:val="000000"/>
          <w:sz w:val="22"/>
          <w:szCs w:val="21"/>
        </w:rPr>
      </w:pPr>
      <w:r>
        <w:rPr>
          <w:rFonts w:ascii="宋体" w:hAnsi="宋体"/>
          <w:color w:val="000000"/>
          <w:sz w:val="22"/>
          <w:szCs w:val="21"/>
        </w:rPr>
        <w:t xml:space="preserve">在参与本次项目</w:t>
      </w:r>
      <w:r>
        <w:rPr>
          <w:rFonts w:hint="eastAsia" w:ascii="宋体" w:hAnsi="宋体"/>
          <w:color w:val="000000"/>
          <w:sz w:val="22"/>
          <w:szCs w:val="21"/>
        </w:rPr>
        <w:t xml:space="preserve">政府采购活动</w:t>
      </w:r>
      <w:r>
        <w:rPr>
          <w:rFonts w:ascii="宋体" w:hAnsi="宋体"/>
          <w:color w:val="000000"/>
          <w:sz w:val="22"/>
          <w:szCs w:val="21"/>
        </w:rPr>
        <w:t xml:space="preserve">中，</w:t>
      </w:r>
      <w:r>
        <w:rPr>
          <w:rFonts w:hint="eastAsia" w:ascii="宋体" w:hAnsi="宋体"/>
          <w:color w:val="000000"/>
          <w:sz w:val="22"/>
          <w:szCs w:val="21"/>
        </w:rPr>
        <w:t xml:space="preserve">我公司</w:t>
      </w:r>
      <w:r>
        <w:rPr>
          <w:rFonts w:hint="eastAsia" w:ascii="宋体" w:hAnsi="宋体"/>
          <w:color w:val="000000"/>
          <w:sz w:val="22"/>
          <w:szCs w:val="21"/>
          <w:u w:val="single"/>
        </w:rPr>
        <w:t xml:space="preserve">        </w:t>
      </w:r>
      <w:r>
        <w:rPr>
          <w:rFonts w:hint="eastAsia" w:ascii="宋体" w:hAnsi="宋体"/>
          <w:color w:val="000000"/>
          <w:sz w:val="22"/>
          <w:szCs w:val="21"/>
        </w:rPr>
        <w:t xml:space="preserve">（供应商名称）郑重承诺：我公司符合下列要求：</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（一）</w:t>
      </w:r>
      <w:r>
        <w:rPr>
          <w:rFonts w:ascii="宋体" w:hAnsi="宋体"/>
          <w:color w:val="000000"/>
          <w:sz w:val="22"/>
          <w:szCs w:val="21"/>
        </w:rPr>
        <w:t xml:space="preserve">具有良好的商业信誉和健全的财务会计制度；</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（二）</w:t>
      </w:r>
      <w:r>
        <w:rPr>
          <w:rFonts w:ascii="宋体" w:hAnsi="宋体"/>
          <w:color w:val="000000"/>
          <w:sz w:val="22"/>
          <w:szCs w:val="21"/>
        </w:rPr>
        <w:t xml:space="preserve">具有履行合同所必需的设备和专业技术能力；</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（三）</w:t>
      </w:r>
      <w:r>
        <w:rPr>
          <w:rFonts w:ascii="宋体" w:hAnsi="宋体"/>
          <w:color w:val="000000"/>
          <w:sz w:val="22"/>
          <w:szCs w:val="21"/>
        </w:rPr>
        <w:t xml:space="preserve">有依法缴纳税收和社会保障资金的良好记录；</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（四）</w:t>
      </w:r>
      <w:r>
        <w:rPr>
          <w:rFonts w:ascii="宋体" w:hAnsi="宋体"/>
          <w:color w:val="000000"/>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rPr>
        <w:t xml:space="preserve">2</w:t>
      </w:r>
      <w:r>
        <w:rPr>
          <w:rFonts w:ascii="宋体" w:hAnsi="宋体"/>
          <w:color w:val="000000"/>
          <w:sz w:val="22"/>
          <w:szCs w:val="21"/>
        </w:rPr>
        <w:t xml:space="preserve">00</w:t>
      </w:r>
      <w:r>
        <w:rPr>
          <w:rFonts w:hint="eastAsia" w:ascii="宋体" w:hAnsi="宋体"/>
          <w:color w:val="000000"/>
          <w:sz w:val="22"/>
          <w:szCs w:val="21"/>
        </w:rPr>
        <w:t xml:space="preserve">万元以上的</w:t>
      </w:r>
      <w:r>
        <w:rPr>
          <w:rFonts w:ascii="宋体" w:hAnsi="宋体"/>
          <w:color w:val="000000"/>
          <w:sz w:val="22"/>
          <w:szCs w:val="21"/>
        </w:rPr>
        <w:t xml:space="preserve">较大数额罚款</w:t>
      </w:r>
      <w:r>
        <w:rPr>
          <w:rFonts w:hint="eastAsia" w:ascii="宋体" w:hAnsi="宋体"/>
          <w:color w:val="000000"/>
          <w:sz w:val="22"/>
          <w:szCs w:val="21"/>
        </w:rPr>
        <w:t xml:space="preserve">等</w:t>
      </w:r>
      <w:r>
        <w:rPr>
          <w:rFonts w:ascii="宋体" w:hAnsi="宋体"/>
          <w:color w:val="000000"/>
          <w:sz w:val="22"/>
          <w:szCs w:val="21"/>
        </w:rPr>
        <w:t xml:space="preserve">行政处罚，不包括因违法经营被禁止在一定期限内参加政府采购活动，但期限已经届满的情形）</w:t>
      </w:r>
      <w:r>
        <w:rPr>
          <w:rFonts w:hint="eastAsia" w:ascii="宋体" w:hAnsi="宋体"/>
          <w:color w:val="000000"/>
          <w:sz w:val="22"/>
          <w:szCs w:val="21"/>
        </w:rPr>
        <w:t xml:space="preserve">；</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（五）</w:t>
      </w:r>
      <w:r>
        <w:rPr>
          <w:rFonts w:ascii="宋体" w:hAnsi="宋体"/>
          <w:color w:val="000000"/>
          <w:sz w:val="22"/>
          <w:szCs w:val="21"/>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（六）</w:t>
      </w:r>
      <w:r>
        <w:rPr>
          <w:rFonts w:ascii="宋体" w:hAnsi="宋体"/>
          <w:color w:val="000000"/>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（七）我单位未被列入失信被执行人、重大税收违法案件当事人名单、政府采购严重违法失信行为记录名单；</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（八）</w:t>
      </w:r>
      <w:r>
        <w:rPr>
          <w:rFonts w:ascii="宋体" w:hAnsi="宋体"/>
          <w:color w:val="000000"/>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序号</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单位名称</w:t>
            </w: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相互关系</w:t>
            </w: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1</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2</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hint="eastAsia" w:ascii="宋体" w:hAnsi="宋体"/>
                <w:color w:val="000000"/>
                <w:sz w:val="22"/>
                <w:szCs w:val="21"/>
                <w:lang w:eastAsia="en-US"/>
              </w:rPr>
              <w:t xml:space="preserve">3</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bl>
    <w:p>
      <w:pPr>
        <w:pStyle w:val="736"/>
        <w:ind w:firstLine="440"/>
        <w:jc w:val="left"/>
        <w:spacing w:line="360" w:lineRule="exact"/>
        <w:rPr>
          <w:rFonts w:ascii="宋体" w:hAnsi="宋体"/>
          <w:color w:val="000000"/>
          <w:sz w:val="22"/>
          <w:szCs w:val="21"/>
          <w:lang w:eastAsia="en-US"/>
        </w:rPr>
      </w:pPr>
      <w:r>
        <w:rPr>
          <w:rFonts w:ascii="宋体" w:hAnsi="宋体"/>
          <w:color w:val="000000"/>
          <w:sz w:val="22"/>
          <w:szCs w:val="21"/>
          <w:lang w:eastAsia="en-US"/>
        </w:rPr>
      </w:r>
      <w:r/>
    </w:p>
    <w:p>
      <w:pPr>
        <w:pStyle w:val="736"/>
        <w:ind w:firstLine="440"/>
        <w:spacing w:line="340" w:lineRule="exact"/>
        <w:rPr>
          <w:rFonts w:ascii="宋体" w:hAnsi="宋体"/>
          <w:color w:val="000000"/>
          <w:sz w:val="22"/>
          <w:szCs w:val="21"/>
        </w:rPr>
      </w:pPr>
      <w:r>
        <w:rPr>
          <w:rFonts w:hint="eastAsia" w:ascii="宋体" w:hAnsi="宋体"/>
          <w:color w:val="000000"/>
          <w:sz w:val="22"/>
          <w:szCs w:val="21"/>
        </w:rPr>
        <w:t xml:space="preserve">如果我公司成交，将在结果公告发布后</w:t>
      </w:r>
      <w:r>
        <w:rPr>
          <w:rFonts w:ascii="宋体" w:hAnsi="宋体"/>
          <w:color w:val="000000"/>
          <w:sz w:val="22"/>
          <w:szCs w:val="21"/>
        </w:rPr>
        <w:t xml:space="preserve">7</w:t>
      </w:r>
      <w:r>
        <w:rPr>
          <w:rFonts w:hint="eastAsia" w:ascii="宋体" w:hAnsi="宋体"/>
          <w:color w:val="000000"/>
          <w:sz w:val="22"/>
          <w:szCs w:val="21"/>
        </w:rPr>
        <w:t xml:space="preserve">个工作日内向（采购代理机构邮箱）提供下列材料核验：</w:t>
      </w:r>
      <w:r>
        <w:rPr>
          <w:rFonts w:ascii="宋体" w:hAnsi="宋体"/>
          <w:color w:val="000000"/>
          <w:sz w:val="22"/>
          <w:szCs w:val="21"/>
        </w:rPr>
      </w:r>
      <w:r/>
    </w:p>
    <w:p>
      <w:pPr>
        <w:pStyle w:val="736"/>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（1）2024年经审计的财务报告或2024年财务报表，或投标文件提交截止时间前六个月内银行出具的资信证明，成立不满一年无需提供；</w:t>
      </w:r>
      <w:r>
        <w:rPr>
          <w:rFonts w:hint="eastAsia" w:ascii="宋体" w:hAnsi="宋体"/>
          <w:color w:val="000000"/>
          <w:sz w:val="22"/>
          <w:szCs w:val="21"/>
        </w:rPr>
      </w:r>
      <w:r/>
    </w:p>
    <w:p>
      <w:pPr>
        <w:pStyle w:val="736"/>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（2）参加本次政府采购活动前半年内至少一个月：</w:t>
      </w:r>
      <w:r>
        <w:rPr>
          <w:rFonts w:hint="eastAsia" w:ascii="宋体" w:hAnsi="宋体"/>
          <w:color w:val="000000"/>
          <w:sz w:val="22"/>
          <w:szCs w:val="21"/>
        </w:rPr>
      </w:r>
      <w:r/>
    </w:p>
    <w:p>
      <w:pPr>
        <w:pStyle w:val="736"/>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rPr>
      </w:r>
      <w:r/>
    </w:p>
    <w:p>
      <w:pPr>
        <w:pStyle w:val="736"/>
        <w:ind w:firstLine="440"/>
        <w:spacing w:line="340" w:lineRule="exact"/>
        <w:rPr>
          <w:rFonts w:ascii="宋体" w:hAnsi="宋体"/>
          <w:color w:val="000000"/>
          <w:sz w:val="22"/>
          <w:szCs w:val="21"/>
        </w:rPr>
      </w:pPr>
      <w:r>
        <w:rPr>
          <w:rFonts w:hint="eastAsia" w:ascii="宋体" w:hAnsi="宋体"/>
          <w:color w:val="000000"/>
          <w:sz w:val="22"/>
          <w:szCs w:val="21"/>
        </w:rPr>
        <w:t xml:space="preserve">（3）履行合同所必需的设备和专业技术能力的书面声明、证明材料；</w:t>
      </w:r>
      <w:r>
        <w:rPr>
          <w:rFonts w:ascii="宋体" w:hAnsi="宋体"/>
          <w:color w:val="000000"/>
          <w:sz w:val="22"/>
          <w:szCs w:val="21"/>
        </w:rPr>
      </w:r>
      <w:r/>
    </w:p>
    <w:p>
      <w:pPr>
        <w:pStyle w:val="736"/>
        <w:ind w:firstLine="440"/>
        <w:spacing w:line="340" w:lineRule="exact"/>
        <w:rPr>
          <w:rFonts w:ascii="宋体" w:hAnsi="宋体"/>
          <w:color w:val="000000"/>
          <w:sz w:val="22"/>
          <w:szCs w:val="21"/>
        </w:rPr>
      </w:pPr>
      <w:r>
        <w:rPr>
          <w:rFonts w:hint="eastAsia" w:ascii="宋体" w:hAnsi="宋体"/>
          <w:color w:val="000000"/>
          <w:sz w:val="22"/>
          <w:szCs w:val="21"/>
        </w:rPr>
        <w:t xml:space="preserve">（4）参加本次政府采购活动前3年内在经营活动中没有重大违法记录的书面声明。</w:t>
      </w:r>
      <w:r>
        <w:rPr>
          <w:rFonts w:ascii="宋体" w:hAnsi="宋体"/>
          <w:color w:val="000000"/>
          <w:sz w:val="22"/>
          <w:szCs w:val="21"/>
        </w:rPr>
      </w:r>
      <w:r/>
    </w:p>
    <w:p>
      <w:pPr>
        <w:pStyle w:val="736"/>
        <w:ind w:firstLine="440"/>
        <w:spacing w:line="340" w:lineRule="exact"/>
        <w:rPr>
          <w:rFonts w:ascii="宋体" w:hAnsi="宋体"/>
          <w:color w:val="000000"/>
          <w:sz w:val="22"/>
          <w:szCs w:val="21"/>
        </w:rPr>
      </w:pPr>
      <w:r>
        <w:rPr>
          <w:rFonts w:hint="eastAsia" w:ascii="宋体" w:hAnsi="宋体"/>
          <w:color w:val="000000"/>
          <w:sz w:val="22"/>
          <w:szCs w:val="21"/>
        </w:rPr>
        <w:t xml:space="preserve">本公司对上述承诺的真实性负责，如有虚假，将依法承担相应责任。</w:t>
      </w:r>
      <w:r>
        <w:rPr>
          <w:rFonts w:ascii="宋体" w:hAnsi="宋体"/>
          <w:color w:val="000000"/>
          <w:sz w:val="22"/>
          <w:szCs w:val="21"/>
        </w:rPr>
      </w:r>
      <w:r/>
    </w:p>
    <w:p>
      <w:pPr>
        <w:pStyle w:val="736"/>
        <w:jc w:val="left"/>
        <w:spacing w:line="360" w:lineRule="exact"/>
        <w:rPr>
          <w:rFonts w:ascii="宋体" w:hAnsi="宋体"/>
          <w:color w:val="000000"/>
          <w:sz w:val="22"/>
          <w:szCs w:val="21"/>
        </w:rPr>
      </w:pPr>
      <w:r>
        <w:rPr>
          <w:rFonts w:ascii="宋体" w:hAnsi="宋体"/>
          <w:color w:val="000000"/>
          <w:sz w:val="22"/>
          <w:szCs w:val="21"/>
        </w:rPr>
      </w:r>
      <w:r/>
    </w:p>
    <w:p>
      <w:pPr>
        <w:pStyle w:val="736"/>
        <w:ind w:right="1480"/>
        <w:jc w:val="left"/>
        <w:spacing w:before="25" w:after="25" w:line="360" w:lineRule="exact"/>
        <w:rPr>
          <w:rFonts w:ascii="宋体" w:hAnsi="宋体"/>
          <w:color w:val="000000"/>
          <w:sz w:val="22"/>
          <w:szCs w:val="21"/>
        </w:rPr>
      </w:pPr>
      <w:r/>
      <w:bookmarkEnd w:id="83"/>
      <w:r>
        <w:rPr>
          <w:rFonts w:ascii="宋体" w:hAnsi="宋体"/>
          <w:color w:val="000000"/>
          <w:sz w:val="22"/>
          <w:szCs w:val="21"/>
        </w:rPr>
        <w:t xml:space="preserve">供应商名称（加盖公章）</w:t>
      </w:r>
      <w:r>
        <w:rPr>
          <w:rFonts w:ascii="宋体" w:hAnsi="宋体"/>
          <w:color w:val="000000"/>
          <w:sz w:val="22"/>
          <w:szCs w:val="21"/>
          <w:lang w:val="zh-CN"/>
        </w:rPr>
        <w:t xml:space="preserve">：</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r>
      <w:r/>
    </w:p>
    <w:p>
      <w:pPr>
        <w:pStyle w:val="736"/>
        <w:ind w:right="1120"/>
        <w:spacing w:line="360" w:lineRule="exact"/>
        <w:rPr>
          <w:rFonts w:ascii="宋体" w:hAnsi="宋体"/>
          <w:color w:val="000000"/>
          <w:sz w:val="22"/>
          <w:szCs w:val="21"/>
        </w:rPr>
      </w:pPr>
      <w:r/>
      <w:bookmarkStart w:id="98" w:name="_Hlk112322441"/>
      <w:r>
        <w:rPr>
          <w:rFonts w:hint="eastAsia" w:ascii="宋体" w:hAnsi="宋体"/>
          <w:color w:val="000000"/>
          <w:sz w:val="22"/>
          <w:szCs w:val="21"/>
        </w:rPr>
        <w:t xml:space="preserve">供应商授权代表（签字）：</w:t>
      </w:r>
      <w:r>
        <w:rPr>
          <w:rFonts w:hint="eastAsia" w:ascii="宋体" w:hAnsi="宋体"/>
          <w:color w:val="000000"/>
          <w:sz w:val="22"/>
          <w:szCs w:val="21"/>
          <w:u w:val="single"/>
        </w:rPr>
        <w:t xml:space="preserve"> </w:t>
      </w:r>
      <w:r>
        <w:rPr>
          <w:rFonts w:ascii="宋体" w:hAnsi="宋体"/>
          <w:color w:val="000000"/>
          <w:sz w:val="22"/>
          <w:szCs w:val="21"/>
          <w:u w:val="single"/>
        </w:rPr>
        <w:t xml:space="preserve">          </w:t>
      </w:r>
      <w:bookmarkEnd w:id="98"/>
      <w:r>
        <w:rPr>
          <w:rFonts w:ascii="宋体" w:hAnsi="宋体"/>
          <w:color w:val="000000"/>
          <w:sz w:val="22"/>
          <w:szCs w:val="21"/>
        </w:rPr>
      </w:r>
      <w:r/>
    </w:p>
    <w:p>
      <w:pPr>
        <w:pStyle w:val="736"/>
        <w:ind w:right="1480"/>
        <w:spacing w:line="360" w:lineRule="exact"/>
        <w:rPr>
          <w:rFonts w:ascii="Arial" w:hAnsi="Arial" w:eastAsia="黑体"/>
          <w:color w:val="000000"/>
          <w:sz w:val="24"/>
          <w:szCs w:val="24"/>
        </w:rPr>
      </w:pPr>
      <w:r>
        <w:rPr>
          <w:rFonts w:ascii="宋体" w:hAnsi="宋体"/>
          <w:color w:val="000000"/>
          <w:sz w:val="22"/>
          <w:szCs w:val="21"/>
        </w:rPr>
        <w:t xml:space="preserve">日期：</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年</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月</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日</w:t>
      </w:r>
      <w:bookmarkEnd w:id="96"/>
      <w:r>
        <w:rPr>
          <w:rFonts w:ascii="Arial" w:hAnsi="Arial" w:eastAsia="黑体"/>
          <w:color w:val="000000"/>
          <w:sz w:val="24"/>
          <w:szCs w:val="24"/>
        </w:rPr>
        <w:t xml:space="preserve"> </w:t>
      </w:r>
      <w:r>
        <w:rPr>
          <w:rFonts w:ascii="Arial" w:hAnsi="Arial" w:eastAsia="黑体"/>
          <w:color w:val="000000"/>
          <w:sz w:val="24"/>
          <w:szCs w:val="24"/>
        </w:rPr>
      </w:r>
      <w:r/>
    </w:p>
    <w:p>
      <w:pPr>
        <w:pStyle w:val="736"/>
        <w:jc w:val="left"/>
        <w:spacing w:line="360" w:lineRule="auto"/>
        <w:widowControl/>
        <w:rPr>
          <w:rFonts w:ascii="宋体" w:hAnsi="宋体" w:cs="宋体"/>
          <w:b/>
          <w:color w:val="000000"/>
          <w:sz w:val="24"/>
          <w:szCs w:val="24"/>
          <w:lang w:val="zh-CN"/>
        </w:rPr>
        <w:outlineLvl w:val="1"/>
      </w:pPr>
      <w:r>
        <w:rPr>
          <w:rFonts w:ascii="宋体" w:hAnsi="宋体" w:cs="宋体"/>
          <w:color w:val="000000"/>
          <w:sz w:val="24"/>
          <w:szCs w:val="24"/>
        </w:rPr>
        <w:br w:type="page" w:clear="all"/>
      </w:r>
      <w:bookmarkStart w:id="99" w:name="_Toc30007"/>
      <w:r>
        <w:rPr>
          <w:rFonts w:hint="eastAsia" w:ascii="宋体" w:hAnsi="宋体" w:cs="宋体"/>
          <w:b/>
          <w:color w:val="000000"/>
          <w:sz w:val="24"/>
          <w:szCs w:val="24"/>
          <w:lang w:val="zh-CN"/>
        </w:rPr>
        <w:t xml:space="preserve">附件十五、联合体协议</w:t>
      </w:r>
      <w:bookmarkEnd w:id="99"/>
      <w:r>
        <w:rPr>
          <w:rFonts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联合体协议</w:t>
      </w:r>
      <w:r>
        <w:rPr>
          <w:rFonts w:ascii="宋体" w:hAnsi="宋体" w:cs="宋体"/>
          <w:b/>
          <w:bCs/>
          <w:color w:val="000000"/>
          <w:sz w:val="28"/>
          <w:szCs w:val="28"/>
          <w:lang w:val="zh-CN"/>
        </w:rPr>
      </w:r>
      <w:r/>
    </w:p>
    <w:p>
      <w:pPr>
        <w:pStyle w:val="736"/>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36"/>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      </w:t>
      </w:r>
      <w:r>
        <w:rPr>
          <w:rFonts w:hint="eastAsia" w:ascii="宋体" w:hAnsi="宋体"/>
          <w:color w:val="000000"/>
          <w:sz w:val="24"/>
        </w:rPr>
        <w:t xml:space="preserve">（供应商名称）为牵头单位。</w:t>
      </w:r>
      <w:r>
        <w:rPr>
          <w:rFonts w:ascii="宋体" w:hAnsi="宋体"/>
          <w:color w:val="000000"/>
          <w:sz w:val="24"/>
        </w:rPr>
      </w:r>
      <w:r/>
    </w:p>
    <w:p>
      <w:pPr>
        <w:pStyle w:val="736"/>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      </w:t>
      </w:r>
      <w:r>
        <w:rPr>
          <w:rFonts w:hint="eastAsia" w:ascii="宋体" w:hAnsi="宋体"/>
          <w:color w:val="000000"/>
          <w:sz w:val="24"/>
        </w:rPr>
        <w:t xml:space="preserve">（供应商名称）实施项目中</w:t>
      </w:r>
      <w:r>
        <w:rPr>
          <w:rFonts w:hint="eastAsia" w:ascii="宋体" w:hAnsi="宋体"/>
          <w:color w:val="000000"/>
          <w:sz w:val="24"/>
          <w:u w:val="single"/>
        </w:rPr>
        <w:t xml:space="preserve">     </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       </w:t>
      </w:r>
      <w:r>
        <w:rPr>
          <w:rFonts w:hint="eastAsia" w:ascii="宋体" w:hAnsi="宋体"/>
          <w:color w:val="000000"/>
          <w:sz w:val="24"/>
        </w:rPr>
        <w:t xml:space="preserve">（供应商名称）实施项目中</w:t>
      </w:r>
      <w:r>
        <w:rPr>
          <w:rFonts w:hint="eastAsia" w:ascii="宋体" w:hAnsi="宋体"/>
          <w:color w:val="000000"/>
          <w:sz w:val="24"/>
          <w:u w:val="single"/>
        </w:rPr>
        <w:t xml:space="preserve">       </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736"/>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      </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r>
      <w:r/>
    </w:p>
    <w:p>
      <w:pPr>
        <w:pStyle w:val="736"/>
        <w:ind w:firstLine="645"/>
        <w:spacing w:line="360" w:lineRule="auto"/>
        <w:rPr>
          <w:rFonts w:ascii="宋体" w:hAnsi="宋体"/>
          <w:color w:val="000000"/>
          <w:sz w:val="24"/>
        </w:rPr>
      </w:pPr>
      <w:r>
        <w:rPr>
          <w:rFonts w:ascii="宋体" w:hAnsi="宋体"/>
          <w:color w:val="000000"/>
          <w:sz w:val="24"/>
        </w:rPr>
      </w:r>
      <w:r/>
    </w:p>
    <w:p>
      <w:pPr>
        <w:pStyle w:val="736"/>
        <w:ind w:firstLine="645"/>
        <w:spacing w:line="360" w:lineRule="auto"/>
        <w:rPr>
          <w:rFonts w:ascii="宋体" w:hAnsi="宋体"/>
          <w:color w:val="000000"/>
          <w:sz w:val="24"/>
        </w:rPr>
      </w:pPr>
      <w:r>
        <w:rPr>
          <w:rFonts w:ascii="宋体" w:hAnsi="宋体"/>
          <w:color w:val="000000"/>
          <w:sz w:val="24"/>
        </w:rPr>
      </w:r>
      <w:r/>
    </w:p>
    <w:p>
      <w:pPr>
        <w:pStyle w:val="736"/>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r>
      <w:r/>
    </w:p>
    <w:p>
      <w:pPr>
        <w:pStyle w:val="736"/>
        <w:ind w:firstLine="5280"/>
        <w:spacing w:line="360" w:lineRule="auto"/>
        <w:rPr>
          <w:rFonts w:ascii="宋体" w:hAnsi="宋体"/>
          <w:color w:val="000000"/>
          <w:sz w:val="24"/>
          <w:szCs w:val="24"/>
        </w:rPr>
      </w:pPr>
      <w:r>
        <w:rPr>
          <w:rFonts w:hint="eastAsia"/>
          <w:color w:val="000000"/>
          <w:sz w:val="24"/>
          <w:szCs w:val="24"/>
        </w:rPr>
        <w:t xml:space="preserve">日  期：</w:t>
      </w:r>
      <w:r>
        <w:rPr>
          <w:rFonts w:ascii="宋体" w:hAnsi="宋体"/>
          <w:color w:val="000000"/>
          <w:sz w:val="24"/>
          <w:szCs w:val="24"/>
        </w:rPr>
      </w:r>
      <w:r/>
    </w:p>
    <w:p>
      <w:pPr>
        <w:pStyle w:val="736"/>
        <w:ind w:firstLine="480"/>
        <w:spacing w:line="360" w:lineRule="auto"/>
        <w:rPr>
          <w:rFonts w:ascii="宋体" w:hAnsi="宋体"/>
          <w:color w:val="000000"/>
          <w:sz w:val="24"/>
        </w:rPr>
      </w:pPr>
      <w:r>
        <w:rPr>
          <w:rFonts w:ascii="宋体" w:hAnsi="宋体"/>
          <w:color w:val="000000"/>
          <w:sz w:val="24"/>
        </w:rPr>
      </w:r>
      <w:r/>
    </w:p>
    <w:p>
      <w:pPr>
        <w:pStyle w:val="736"/>
        <w:ind w:firstLine="480"/>
        <w:spacing w:line="360" w:lineRule="auto"/>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736"/>
        <w:ind w:firstLine="480"/>
        <w:spacing w:line="360" w:lineRule="auto"/>
        <w:rPr>
          <w:rFonts w:ascii="宋体" w:hAnsi="宋体"/>
          <w:color w:val="000000"/>
          <w:sz w:val="24"/>
        </w:rPr>
      </w:pPr>
      <w:r>
        <w:rPr>
          <w:rFonts w:hint="eastAsia" w:ascii="宋体" w:hAnsi="宋体"/>
          <w:color w:val="000000"/>
          <w:sz w:val="24"/>
        </w:rPr>
        <w:t xml:space="preserve">1.牵头单位必须为联合体成员。</w:t>
      </w:r>
      <w:r>
        <w:rPr>
          <w:rFonts w:ascii="宋体" w:hAnsi="宋体"/>
          <w:color w:val="000000"/>
          <w:sz w:val="24"/>
        </w:rPr>
      </w:r>
      <w:r/>
    </w:p>
    <w:p>
      <w:pPr>
        <w:pStyle w:val="73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36"/>
        <w:ind w:firstLine="480"/>
        <w:spacing w:line="360" w:lineRule="auto"/>
        <w:rPr>
          <w:rFonts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ascii="宋体" w:hAnsi="宋体"/>
          <w:color w:val="000000"/>
          <w:sz w:val="24"/>
        </w:rPr>
      </w:r>
      <w:r/>
    </w:p>
    <w:p>
      <w:pPr>
        <w:pStyle w:val="736"/>
        <w:jc w:val="left"/>
        <w:spacing w:line="360" w:lineRule="auto"/>
        <w:widowControl/>
        <w:rPr>
          <w:rFonts w:ascii="宋体" w:hAnsi="宋体" w:cs="宋体"/>
          <w:b/>
          <w:color w:val="000000"/>
          <w:sz w:val="24"/>
          <w:szCs w:val="24"/>
          <w:lang w:val="zh-CN"/>
        </w:rPr>
        <w:outlineLvl w:val="1"/>
      </w:pPr>
      <w:r>
        <w:rPr>
          <w:color w:val="000000"/>
        </w:rPr>
        <w:br w:type="page" w:clear="all"/>
      </w:r>
      <w:bookmarkStart w:id="100" w:name="_Toc4303"/>
      <w:r>
        <w:rPr>
          <w:rFonts w:hint="eastAsia" w:ascii="宋体" w:hAnsi="宋体" w:cs="宋体"/>
          <w:b/>
          <w:color w:val="000000"/>
          <w:sz w:val="24"/>
          <w:szCs w:val="24"/>
          <w:lang w:val="zh-CN"/>
        </w:rPr>
        <w:t xml:space="preserve">附件十六、关于符合本国产品标准的声明函</w:t>
      </w:r>
      <w:bookmarkEnd w:id="100"/>
      <w:r>
        <w:rPr>
          <w:rFonts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关于符合本国产品标准的声明函（采购包号：</w:t>
      </w:r>
      <w:r>
        <w:rPr>
          <w:rFonts w:ascii="宋体" w:hAnsi="宋体" w:cs="宋体"/>
          <w:b/>
          <w:bCs/>
          <w:color w:val="000000"/>
          <w:sz w:val="28"/>
          <w:szCs w:val="28"/>
          <w:lang w:val="zh-CN"/>
        </w:rPr>
        <w:t xml:space="preserve">**）</w:t>
      </w:r>
      <w:r>
        <w:rPr>
          <w:rFonts w:ascii="宋体" w:hAnsi="宋体" w:cs="宋体"/>
          <w:b/>
          <w:bCs/>
          <w:color w:val="000000"/>
          <w:sz w:val="28"/>
          <w:szCs w:val="28"/>
          <w:lang w:val="zh-CN"/>
        </w:rPr>
      </w:r>
      <w:r/>
    </w:p>
    <w:p>
      <w:pPr>
        <w:pStyle w:val="736"/>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shd w:val="clear" w:color="auto" w:fill="ffffff"/>
          <w:lang w:val="zh-CN" w:bidi="zh-CN"/>
        </w:rPr>
        <w:t xml:space="preserve">2025</w:t>
      </w:r>
      <w:r>
        <w:rPr>
          <w:rFonts w:hint="eastAsia" w:ascii="宋体" w:hAnsi="宋体" w:cs="微软雅黑"/>
          <w:color w:val="000000"/>
          <w:sz w:val="24"/>
          <w:szCs w:val="24"/>
          <w:shd w:val="clear" w:color="auto" w:fill="ffffff"/>
          <w:lang w:val="zh-CN" w:bidi="zh-CN"/>
        </w:rPr>
        <w:t xml:space="preserve">〕</w:t>
      </w:r>
      <w:r>
        <w:rPr>
          <w:rFonts w:hint="eastAsia" w:ascii="宋体" w:hAnsi="宋体" w:cs="宋体"/>
          <w:color w:val="000000"/>
          <w:sz w:val="24"/>
          <w:szCs w:val="24"/>
          <w:shd w:val="clear" w:color="auto" w:fill="ffffff"/>
          <w:lang w:val="zh-CN" w:bidi="zh-CN"/>
        </w:rPr>
        <w:t xml:space="preserve">34</w:t>
      </w:r>
      <w:r>
        <w:rPr>
          <w:rFonts w:hint="eastAsia" w:ascii="宋体" w:hAnsi="宋体" w:cs="微软雅黑"/>
          <w:color w:val="000000"/>
          <w:sz w:val="24"/>
          <w:szCs w:val="24"/>
          <w:shd w:val="clear" w:color="auto" w:fill="ffffff"/>
          <w:lang w:val="zh-CN" w:bidi="zh-CN"/>
        </w:rPr>
        <w:t xml:space="preserve">号）的规定，本公司（单位）提供的以下产品属于本国产品。具体情况如下：</w:t>
      </w:r>
      <w:r>
        <w:rPr>
          <w:rFonts w:ascii="宋体" w:hAnsi="宋体" w:cs="宋体"/>
          <w:color w:val="000000"/>
          <w:sz w:val="24"/>
          <w:szCs w:val="24"/>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w:t>
      </w:r>
      <w:r>
        <w:rPr>
          <w:rFonts w:hint="eastAsia" w:ascii="宋体" w:hAnsi="宋体" w:cs="宋体"/>
          <w:i/>
          <w:color w:val="000000"/>
          <w:sz w:val="22"/>
          <w:szCs w:val="22"/>
          <w:shd w:val="clear" w:color="auto" w:fill="ffffff"/>
          <w:vertAlign w:val="superscript"/>
          <w:lang w:val="zh-CN" w:bidi="zh-CN"/>
        </w:rPr>
        <w:t xml:space="preserve">1</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宋体"/>
          <w:i/>
          <w:color w:val="000000"/>
          <w:sz w:val="22"/>
          <w:szCs w:val="22"/>
          <w:shd w:val="clear" w:color="auto" w:fill="ffffff"/>
          <w:vertAlign w:val="superscript"/>
          <w:lang w:val="zh-CN" w:bidi="zh-CN"/>
        </w:rPr>
        <w:t xml:space="preserve">2</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宋体"/>
          <w:i/>
          <w:color w:val="000000"/>
          <w:sz w:val="22"/>
          <w:szCs w:val="22"/>
          <w:shd w:val="clear" w:color="auto" w:fill="ffffff"/>
          <w:vertAlign w:val="superscript"/>
          <w:lang w:val="zh-CN" w:bidi="zh-CN"/>
        </w:rPr>
        <w:t xml:space="preserve">3</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宋体"/>
          <w:i/>
          <w:color w:val="000000"/>
          <w:sz w:val="22"/>
          <w:szCs w:val="22"/>
          <w:shd w:val="clear" w:color="auto" w:fill="ffffff"/>
          <w:vertAlign w:val="superscript"/>
          <w:lang w:val="zh-CN" w:bidi="zh-CN"/>
        </w:rPr>
        <w:t xml:space="preserve">4</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宋体"/>
          <w:i/>
          <w:color w:val="000000"/>
          <w:sz w:val="22"/>
          <w:szCs w:val="22"/>
          <w:shd w:val="clear" w:color="auto" w:fill="ffffff"/>
          <w:vertAlign w:val="superscript"/>
          <w:lang w:val="zh-CN" w:bidi="zh-CN"/>
        </w:rPr>
        <w:t xml:space="preserve">5</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color w:val="000000"/>
          <w:sz w:val="24"/>
          <w:szCs w:val="24"/>
          <w:lang w:val="zh-CN" w:bidi="zh-CN"/>
        </w:rPr>
      </w:r>
      <w:r/>
    </w:p>
    <w:p>
      <w:pPr>
        <w:pStyle w:val="736"/>
        <w:ind w:firstLine="420"/>
        <w:jc w:val="left"/>
        <w:spacing w:before="24" w:after="24" w:line="360" w:lineRule="auto"/>
        <w:shd w:val="clear" w:color="auto" w:fill="ffffff"/>
        <w:widowControl/>
        <w:rPr>
          <w:rFonts w:ascii="宋体" w:hAnsi="宋体" w:cs="宋体"/>
          <w:strike/>
          <w:color w:val="000000"/>
          <w:sz w:val="24"/>
          <w:szCs w:val="24"/>
          <w:lang w:val="zh-CN" w:bidi="zh-CN"/>
        </w:rPr>
      </w:pPr>
      <w:r>
        <w:rPr>
          <w:rFonts w:hint="eastAsia" w:ascii="宋体" w:hAnsi="宋体" w:cs="宋体"/>
          <w:color w:val="000000"/>
          <w:sz w:val="24"/>
          <w:szCs w:val="24"/>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strike/>
          <w:color w:val="000000"/>
          <w:sz w:val="24"/>
          <w:szCs w:val="24"/>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宋体"/>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微软雅黑"/>
          <w:color w:val="000000"/>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shd w:val="clear" w:color="auto" w:fill="ffffff"/>
          <w:lang w:val="zh-CN" w:bidi="zh-CN"/>
        </w:rPr>
        <w:t xml:space="preserve">   </w:t>
      </w:r>
      <w:r>
        <w:rPr>
          <w:rFonts w:hint="eastAsia" w:ascii="宋体" w:hAnsi="宋体" w:cs="宋体"/>
          <w:color w:val="000000"/>
          <w:sz w:val="24"/>
          <w:szCs w:val="24"/>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lang w:val="zh-CN" w:bidi="zh-CN"/>
        </w:rPr>
      </w:r>
      <w:r/>
    </w:p>
    <w:p>
      <w:pPr>
        <w:pStyle w:val="736"/>
        <w:jc w:val="righ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公司（单位）名称（盖章）：</w:t>
      </w:r>
      <w:r>
        <w:rPr>
          <w:rFonts w:hint="eastAsia" w:ascii="宋体" w:hAnsi="宋体" w:cs="宋体"/>
          <w:color w:val="000000"/>
          <w:sz w:val="24"/>
          <w:szCs w:val="24"/>
          <w:shd w:val="clear" w:color="auto" w:fill="ffffff"/>
          <w:lang w:val="zh-CN" w:bidi="zh-CN"/>
        </w:rPr>
        <w:t xml:space="preserve"> </w:t>
      </w:r>
      <w:r>
        <w:rPr>
          <w:rFonts w:ascii="宋体" w:hAnsi="宋体" w:cs="宋体"/>
          <w:color w:val="000000"/>
          <w:sz w:val="24"/>
          <w:szCs w:val="24"/>
          <w:lang w:val="zh-CN" w:bidi="zh-CN"/>
        </w:rPr>
      </w:r>
      <w:r/>
    </w:p>
    <w:p>
      <w:pPr>
        <w:pStyle w:val="736"/>
        <w:jc w:val="righ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微软雅黑"/>
          <w:color w:val="000000"/>
          <w:sz w:val="24"/>
          <w:szCs w:val="24"/>
          <w:shd w:val="clear" w:color="auto" w:fill="ffffff"/>
          <w:lang w:val="zh-CN" w:bidi="zh-CN"/>
        </w:rPr>
        <w:t xml:space="preserve">日期：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年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月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日</w:t>
      </w:r>
      <w:r>
        <w:rPr>
          <w:rFonts w:ascii="宋体" w:hAnsi="宋体" w:cs="宋体"/>
          <w:color w:val="000000"/>
          <w:sz w:val="28"/>
          <w:szCs w:val="28"/>
          <w:lang w:val="zh-CN" w:bidi="zh-CN"/>
        </w:rPr>
      </w:r>
      <w:r/>
    </w:p>
    <w:p>
      <w:pPr>
        <w:pStyle w:val="736"/>
        <w:jc w:val="lef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宋体"/>
          <w:color w:val="000000"/>
          <w:sz w:val="28"/>
          <w:szCs w:val="28"/>
          <w:shd w:val="clear" w:color="auto" w:fill="ffffff"/>
          <w:lang w:val="zh-CN" w:bidi="zh-CN"/>
        </w:rPr>
        <w:t xml:space="preserve">__________________</w:t>
      </w:r>
      <w:r>
        <w:rPr>
          <w:rFonts w:ascii="宋体" w:hAnsi="宋体" w:cs="宋体"/>
          <w:color w:val="000000"/>
          <w:sz w:val="28"/>
          <w:szCs w:val="28"/>
          <w:lang w:val="zh-CN" w:bidi="zh-CN"/>
        </w:rPr>
      </w:r>
      <w:r/>
    </w:p>
    <w:p>
      <w:pPr>
        <w:pStyle w:val="736"/>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1.</w:t>
      </w:r>
      <w:r>
        <w:rPr>
          <w:rFonts w:hint="eastAsia" w:ascii="宋体" w:hAnsi="宋体" w:cs="微软雅黑"/>
          <w:color w:val="000000"/>
          <w:szCs w:val="21"/>
          <w:shd w:val="clear" w:color="auto" w:fill="ffffff"/>
          <w:lang w:val="zh-CN" w:bidi="zh-CN"/>
        </w:rPr>
        <w:t xml:space="preserve">产品如有型号，请在</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产品名称</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栏一并填写。</w:t>
      </w:r>
      <w:r>
        <w:rPr>
          <w:rFonts w:ascii="宋体" w:hAnsi="宋体" w:cs="宋体"/>
          <w:color w:val="000000"/>
          <w:szCs w:val="21"/>
          <w:lang w:val="zh-CN" w:bidi="zh-CN"/>
        </w:rPr>
      </w:r>
      <w:r/>
    </w:p>
    <w:p>
      <w:pPr>
        <w:pStyle w:val="736"/>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2.</w:t>
      </w:r>
      <w:r>
        <w:rPr>
          <w:rFonts w:hint="eastAsia" w:ascii="宋体" w:hAnsi="宋体" w:cs="微软雅黑"/>
          <w:color w:val="000000"/>
          <w:szCs w:val="21"/>
          <w:shd w:val="clear" w:color="auto" w:fill="ffffff"/>
          <w:lang w:val="zh-CN" w:bidi="zh-CN"/>
        </w:rPr>
        <w:t xml:space="preserve">生产厂名与厂址应与生产厂营业执照载明的相关信息保持一致。</w:t>
      </w:r>
      <w:r>
        <w:rPr>
          <w:rFonts w:ascii="宋体" w:hAnsi="宋体" w:cs="宋体"/>
          <w:color w:val="000000"/>
          <w:szCs w:val="21"/>
          <w:lang w:val="zh-CN" w:bidi="zh-CN"/>
        </w:rPr>
      </w:r>
      <w:r/>
    </w:p>
    <w:p>
      <w:pPr>
        <w:pStyle w:val="736"/>
        <w:ind w:firstLine="420"/>
        <w:jc w:val="left"/>
        <w:spacing w:before="24" w:after="24" w:line="360" w:lineRule="auto"/>
        <w:shd w:val="clear" w:color="auto" w:fill="ffffff"/>
        <w:widowControl/>
        <w:rPr>
          <w:rFonts w:ascii="宋体" w:hAnsi="宋体" w:cs="宋体"/>
          <w:b/>
          <w:bCs/>
          <w:color w:val="000000"/>
          <w:szCs w:val="21"/>
          <w:lang w:val="zh-CN" w:bidi="zh-CN"/>
        </w:rPr>
      </w:pPr>
      <w:r>
        <w:rPr>
          <w:rFonts w:hint="eastAsia" w:ascii="宋体" w:hAnsi="宋体" w:cs="宋体"/>
          <w:b/>
          <w:bCs/>
          <w:color w:val="000000"/>
          <w:szCs w:val="21"/>
          <w:shd w:val="clear" w:color="auto" w:fill="ffffff"/>
          <w:lang w:val="zh-CN" w:bidi="zh-CN"/>
        </w:rPr>
        <w:t xml:space="preserve">3.</w:t>
      </w:r>
      <w:r>
        <w:rPr>
          <w:rFonts w:hint="eastAsia" w:ascii="宋体" w:hAnsi="宋体" w:cs="微软雅黑"/>
          <w:b/>
          <w:bCs/>
          <w:color w:val="000000"/>
          <w:szCs w:val="21"/>
          <w:shd w:val="clear" w:color="auto" w:fill="ffffff"/>
          <w:lang w:val="zh-CN" w:bidi="zh-CN"/>
        </w:rPr>
        <w:t xml:space="preserve">该产品的中国境内生产的组件成本占比相关要求实施前，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规定比例</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lang w:val="zh-CN" w:bidi="zh-CN"/>
        </w:rPr>
      </w:r>
      <w:r/>
    </w:p>
    <w:p>
      <w:pPr>
        <w:pStyle w:val="736"/>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4.</w:t>
      </w:r>
      <w:r>
        <w:rPr>
          <w:rFonts w:hint="eastAsia" w:ascii="宋体" w:hAnsi="宋体" w:cs="微软雅黑"/>
          <w:b/>
          <w:bCs/>
          <w:color w:val="000000"/>
          <w:szCs w:val="21"/>
          <w:shd w:val="clear" w:color="auto" w:fill="ffffff"/>
          <w:lang w:val="zh-CN" w:bidi="zh-CN"/>
        </w:rPr>
        <w:t xml:space="preserve">该产品的关键组件要求实施前，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关键组件</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736"/>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5.</w:t>
      </w:r>
      <w:r>
        <w:rPr>
          <w:rFonts w:hint="eastAsia" w:ascii="宋体" w:hAnsi="宋体" w:cs="微软雅黑"/>
          <w:b/>
          <w:bCs/>
          <w:color w:val="000000"/>
          <w:szCs w:val="21"/>
          <w:shd w:val="clear" w:color="auto" w:fill="ffffff"/>
          <w:lang w:val="zh-CN" w:bidi="zh-CN"/>
        </w:rPr>
        <w:t xml:space="preserve">该产品的关键工序要求实施前，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关键工序</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Cs w:val="21"/>
          <w:shd w:val="clear" w:color="auto" w:fill="ffffff"/>
          <w:lang w:val="zh-CN" w:bidi="zh-CN"/>
        </w:rPr>
        <w:t xml:space="preserve">6.</w:t>
      </w:r>
      <w:r>
        <w:rPr>
          <w:rFonts w:hint="eastAsia" w:ascii="宋体" w:hAnsi="宋体" w:cs="微软雅黑"/>
          <w:color w:val="000000"/>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shd w:val="clear" w:color="auto" w:fill="ffffff"/>
          <w:lang w:val="zh-CN" w:bidi="zh-CN"/>
        </w:rPr>
        <w:t xml:space="preserve">20%</w:t>
      </w:r>
      <w:r>
        <w:rPr>
          <w:rFonts w:hint="eastAsia" w:ascii="宋体" w:hAnsi="宋体" w:cs="微软雅黑"/>
          <w:color w:val="000000"/>
          <w:szCs w:val="21"/>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的，将不享受本国产品价格评审优惠。</w:t>
      </w:r>
      <w:r>
        <w:rPr>
          <w:rFonts w:ascii="宋体" w:hAnsi="宋体" w:cs="宋体"/>
          <w:color w:val="000000"/>
          <w:sz w:val="24"/>
          <w:szCs w:val="24"/>
          <w:lang w:val="zh-CN" w:bidi="zh-CN"/>
        </w:rPr>
      </w:r>
      <w:r/>
    </w:p>
    <w:p>
      <w:pPr>
        <w:pStyle w:val="736"/>
        <w:contextualSpacing/>
        <w:ind w:left="720"/>
        <w:jc w:val="left"/>
        <w:widowControl/>
        <w:rPr>
          <w:rFonts w:ascii="Arial" w:hAnsi="Arial" w:eastAsia="黑体"/>
          <w:color w:val="000000"/>
          <w:sz w:val="24"/>
          <w:szCs w:val="24"/>
        </w:rPr>
      </w:pPr>
      <w:r>
        <w:rPr>
          <w:rFonts w:ascii="Arial" w:hAnsi="Arial" w:eastAsia="黑体"/>
          <w:color w:val="000000"/>
          <w:sz w:val="24"/>
          <w:szCs w:val="24"/>
        </w:rPr>
      </w:r>
      <w:r/>
    </w:p>
    <w:p>
      <w:pPr>
        <w:pStyle w:val="826"/>
        <w:rPr>
          <w:color w:val="000000"/>
        </w:rPr>
      </w:pPr>
      <w:r>
        <w:rPr>
          <w:color w:val="000000"/>
        </w:rPr>
      </w:r>
      <w:r/>
    </w:p>
    <w:p>
      <w:pPr>
        <w:pStyle w:val="736"/>
        <w:jc w:val="center"/>
        <w:rPr>
          <w:rFonts w:ascii="方正小标宋简体" w:hAnsi="方正小标宋简体" w:eastAsia="方正小标宋简体" w:cs="方正小标宋简体"/>
          <w:color w:val="000000"/>
          <w:sz w:val="32"/>
          <w:szCs w:val="32"/>
        </w:rPr>
      </w:pPr>
      <w:r>
        <w:rPr>
          <w:color w:val="000000"/>
        </w:rPr>
        <w:br w:type="page" w:clear="all"/>
      </w:r>
      <w:r>
        <w:rPr>
          <w:rFonts w:hint="eastAsia" w:ascii="方正小标宋简体" w:hAnsi="方正小标宋简体" w:eastAsia="方正小标宋简体" w:cs="方正小标宋简体"/>
          <w:color w:val="000000"/>
          <w:sz w:val="32"/>
          <w:szCs w:val="32"/>
        </w:rPr>
        <w:t xml:space="preserve">质疑函范本</w:t>
      </w:r>
      <w:r>
        <w:rPr>
          <w:rFonts w:ascii="方正小标宋简体" w:hAnsi="方正小标宋简体" w:eastAsia="方正小标宋简体" w:cs="方正小标宋简体"/>
          <w:color w:val="000000"/>
          <w:sz w:val="32"/>
          <w:szCs w:val="32"/>
        </w:rPr>
      </w:r>
      <w:r/>
    </w:p>
    <w:p>
      <w:pPr>
        <w:pStyle w:val="736"/>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ascii="方正黑体_GBK" w:hAnsi="方正黑体_GBK" w:eastAsia="方正黑体_GBK" w:cs="方正黑体_GBK"/>
          <w:bCs/>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ascii="宋体" w:hAnsi="宋体" w:cs="仿宋"/>
          <w:color w:val="000000"/>
          <w:sz w:val="24"/>
          <w:szCs w:val="24"/>
          <w:u w:val="single"/>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授权代表：联系电话：</w:t>
      </w:r>
      <w:r>
        <w:rPr>
          <w:rFonts w:ascii="宋体" w:hAnsi="宋体" w:cs="仿宋"/>
          <w:color w:val="000000"/>
          <w:sz w:val="24"/>
          <w:szCs w:val="24"/>
          <w:u w:val="single"/>
        </w:rPr>
      </w:r>
      <w:r/>
    </w:p>
    <w:p>
      <w:pPr>
        <w:pStyle w:val="736"/>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ascii="方正黑体_GBK" w:hAnsi="方正黑体_GBK" w:eastAsia="方正黑体_GBK" w:cs="方正黑体_GBK"/>
          <w:bCs/>
          <w:color w:val="000000"/>
          <w:sz w:val="24"/>
          <w:szCs w:val="24"/>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ascii="宋体" w:hAnsi="宋体" w:cs="仿宋"/>
          <w:color w:val="000000"/>
          <w:sz w:val="24"/>
          <w:szCs w:val="24"/>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项目编号：采购包号：</w:t>
      </w:r>
      <w:r>
        <w:rPr>
          <w:rFonts w:ascii="宋体" w:hAnsi="宋体" w:cs="仿宋"/>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736"/>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ascii="方正黑体_GBK" w:hAnsi="方正黑体_GBK" w:eastAsia="方正黑体_GBK" w:cs="方正黑体_GBK"/>
          <w:bCs/>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736"/>
        <w:spacing w:line="360" w:lineRule="auto"/>
        <w:rPr>
          <w:rFonts w:ascii="宋体" w:hAnsi="宋体" w:cs="仿宋"/>
          <w:color w:val="000000"/>
          <w:sz w:val="24"/>
          <w:szCs w:val="24"/>
        </w:rPr>
      </w:pPr>
      <w:r>
        <w:rPr>
          <w:rFonts w:ascii="宋体" w:hAnsi="宋体" w:cs="仿宋"/>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736"/>
        <w:spacing w:line="360" w:lineRule="auto"/>
        <w:rPr>
          <w:rFonts w:ascii="宋体" w:hAnsi="宋体" w:cs="仿宋"/>
          <w:color w:val="000000"/>
          <w:sz w:val="24"/>
          <w:szCs w:val="24"/>
          <w:u w:val="single"/>
        </w:rPr>
      </w:pPr>
      <w:r>
        <w:rPr>
          <w:rFonts w:ascii="宋体" w:hAnsi="宋体" w:cs="仿宋"/>
          <w:color w:val="000000"/>
          <w:sz w:val="24"/>
          <w:szCs w:val="24"/>
          <w:u w:val="single"/>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36"/>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ascii="方正黑体_GBK" w:hAnsi="方正黑体_GBK" w:eastAsia="方正黑体_GBK" w:cs="方正黑体_GBK"/>
          <w:bCs/>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736"/>
        <w:rPr>
          <w:rFonts w:ascii="宋体" w:hAnsi="宋体"/>
          <w:color w:val="000000"/>
          <w:sz w:val="24"/>
          <w:szCs w:val="24"/>
        </w:rPr>
      </w:pPr>
      <w:r>
        <w:rPr>
          <w:rFonts w:ascii="宋体" w:hAnsi="宋体"/>
          <w:color w:val="000000"/>
          <w:sz w:val="24"/>
          <w:szCs w:val="24"/>
        </w:rPr>
      </w:r>
      <w:r/>
    </w:p>
    <w:p>
      <w:pPr>
        <w:pStyle w:val="73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3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36"/>
        <w:ind w:firstLine="480"/>
        <w:spacing w:line="480" w:lineRule="exact"/>
        <w:rPr>
          <w:rFonts w:ascii="宋体" w:hAnsi="宋体"/>
          <w:bCs/>
          <w:color w:val="000000"/>
          <w:sz w:val="24"/>
          <w:szCs w:val="24"/>
        </w:rPr>
      </w:pPr>
      <w:r>
        <w:rPr>
          <w:rFonts w:ascii="宋体" w:hAnsi="宋体"/>
          <w:bCs/>
          <w:color w:val="000000"/>
          <w:sz w:val="24"/>
          <w:szCs w:val="24"/>
        </w:rPr>
      </w:r>
      <w:r/>
    </w:p>
    <w:p>
      <w:pPr>
        <w:pStyle w:val="736"/>
        <w:ind w:firstLine="480"/>
        <w:spacing w:line="480" w:lineRule="exact"/>
        <w:rPr>
          <w:rFonts w:ascii="宋体" w:hAnsi="宋体"/>
          <w:bCs/>
          <w:color w:val="000000"/>
          <w:sz w:val="24"/>
          <w:szCs w:val="24"/>
        </w:rPr>
      </w:pPr>
      <w:r>
        <w:rPr>
          <w:rFonts w:ascii="宋体" w:hAnsi="宋体"/>
          <w:bCs/>
          <w:color w:val="000000"/>
          <w:sz w:val="24"/>
          <w:szCs w:val="24"/>
        </w:rPr>
      </w:r>
      <w:r/>
    </w:p>
    <w:p>
      <w:pPr>
        <w:pStyle w:val="736"/>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ascii="宋体" w:hAnsi="宋体" w:cs="仿宋"/>
          <w:color w:val="000000"/>
          <w:sz w:val="24"/>
          <w:szCs w:val="24"/>
        </w:rPr>
      </w:r>
      <w:r/>
    </w:p>
    <w:p>
      <w:pPr>
        <w:pStyle w:val="736"/>
        <w:ind w:firstLine="480"/>
        <w:spacing w:line="480" w:lineRule="exact"/>
        <w:rPr>
          <w:rFonts w:hint="eastAsia" w:ascii="宋体" w:hAnsi="宋体" w:cs="仿宋"/>
          <w:b/>
          <w:bCs/>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b/>
          <w:bCs/>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ascii="宋体" w:hAnsi="宋体" w:cs="仿宋"/>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ascii="宋体" w:hAnsi="宋体" w:cs="仿宋"/>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ascii="宋体" w:hAnsi="宋体" w:cs="仿宋"/>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ascii="宋体" w:hAnsi="宋体" w:cs="仿宋"/>
          <w:color w:val="000000"/>
          <w:sz w:val="24"/>
          <w:szCs w:val="24"/>
        </w:rPr>
      </w:r>
      <w:r/>
    </w:p>
    <w:sectPr>
      <w:footnotePr/>
      <w:endnotePr/>
      <w:type w:val="nextPage"/>
      <w:pgSz w:w="11906" w:h="16838" w:orient="portrait"/>
      <w:pgMar w:top="1417" w:right="1191" w:bottom="1417"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
    <w:panose1 w:val="02010609060101010101"/>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7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rPr>
        <w:rStyle w:val="830"/>
      </w:rPr>
      <w:framePr w:wrap="around" w:vAnchor="text" w:hAnchor="margin" w:xAlign="center" w:y="1"/>
    </w:pPr>
    <w:r>
      <w:fldChar w:fldCharType="begin"/>
    </w:r>
    <w:r>
      <w:rPr>
        <w:rStyle w:val="830"/>
      </w:rPr>
      <w:instrText xml:space="preserve">PAGE  </w:instrText>
    </w:r>
    <w:r>
      <w:fldChar w:fldCharType="separate"/>
    </w:r>
    <w:r>
      <w:rPr>
        <w:rStyle w:val="830"/>
      </w:rPr>
      <w:t xml:space="preserve">1</w:t>
    </w:r>
    <w:r>
      <w:fldChar w:fldCharType="end"/>
    </w:r>
    <w:r>
      <w:rPr>
        <w:rStyle w:val="830"/>
      </w:rPr>
    </w:r>
    <w:r/>
  </w:p>
  <w:p>
    <w:pPr>
      <w:pStyle w:val="7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36"/>
        <w:ind w:left="0" w:firstLine="0"/>
      </w:pPr>
      <w:rPr>
        <w:rFonts w:hint="eastAsia"/>
      </w:rPr>
    </w:lvl>
    <w:lvl w:ilvl="1">
      <w:start w:val="1"/>
      <w:numFmt w:val="decimal"/>
      <w:pStyle w:val="1296"/>
      <w:isLgl w:val="false"/>
      <w:suff w:val="space"/>
      <w:lvlText w:val="%1.%2"/>
      <w:lvlJc w:val="left"/>
      <w:pPr>
        <w:pStyle w:val="736"/>
        <w:ind w:left="0" w:firstLine="0"/>
      </w:pPr>
      <w:rPr>
        <w:rFonts w:hint="eastAsia"/>
      </w:rPr>
    </w:lvl>
    <w:lvl w:ilvl="2">
      <w:start w:val="1"/>
      <w:numFmt w:val="decimal"/>
      <w:pStyle w:val="1297"/>
      <w:isLgl w:val="false"/>
      <w:suff w:val="space"/>
      <w:lvlText w:val="%1.%2.%3"/>
      <w:lvlJc w:val="left"/>
      <w:pPr>
        <w:pStyle w:val="736"/>
        <w:ind w:left="0" w:firstLine="0"/>
      </w:pPr>
      <w:rPr>
        <w:color w:val="000000"/>
        <w:sz w:val="21"/>
        <w:szCs w:val="21"/>
      </w:rPr>
    </w:lvl>
    <w:lvl w:ilvl="3">
      <w:start w:val="1"/>
      <w:numFmt w:val="decimal"/>
      <w:pStyle w:val="1298"/>
      <w:isLgl w:val="false"/>
      <w:suff w:val="space"/>
      <w:lvlText w:val="%1.%2.%3.%4"/>
      <w:lvlJc w:val="left"/>
      <w:pPr>
        <w:pStyle w:val="736"/>
        <w:ind w:left="142" w:firstLine="0"/>
      </w:pPr>
      <w:rPr>
        <w:rFonts w:hint="eastAsia"/>
        <w:color w:val="000000"/>
        <w:sz w:val="21"/>
        <w:szCs w:val="21"/>
      </w:rPr>
    </w:lvl>
    <w:lvl w:ilvl="4">
      <w:start w:val="1"/>
      <w:numFmt w:val="decimal"/>
      <w:isLgl w:val="false"/>
      <w:suff w:val="space"/>
      <w:lvlText w:val="%1.%2.%3.%4.%5"/>
      <w:lvlJc w:val="left"/>
      <w:pPr>
        <w:pStyle w:val="736"/>
        <w:ind w:left="0" w:firstLine="0"/>
      </w:pPr>
      <w:rPr>
        <w:rFonts w:hint="eastAsia"/>
        <w:color w:val="000000"/>
        <w:sz w:val="24"/>
        <w:szCs w:val="24"/>
      </w:rPr>
    </w:lvl>
    <w:lvl w:ilvl="5">
      <w:start w:val="1"/>
      <w:numFmt w:val="decimal"/>
      <w:isLgl w:val="false"/>
      <w:suff w:val="tab"/>
      <w:lvlText w:val="%1.%2.%3.%4.%5.%6"/>
      <w:lvlJc w:val="left"/>
      <w:pPr>
        <w:pStyle w:val="736"/>
        <w:ind w:left="3260" w:hanging="1134"/>
      </w:pPr>
      <w:rPr>
        <w:rFonts w:hint="eastAsia"/>
      </w:rPr>
    </w:lvl>
    <w:lvl w:ilvl="6">
      <w:start w:val="1"/>
      <w:numFmt w:val="decimal"/>
      <w:isLgl w:val="false"/>
      <w:suff w:val="tab"/>
      <w:lvlText w:val="%1.%2.%3.%4.%5.%6.%7"/>
      <w:lvlJc w:val="left"/>
      <w:pPr>
        <w:pStyle w:val="736"/>
        <w:ind w:left="3827" w:hanging="1276"/>
      </w:pPr>
      <w:rPr>
        <w:rFonts w:hint="eastAsia"/>
      </w:rPr>
    </w:lvl>
    <w:lvl w:ilvl="7">
      <w:start w:val="1"/>
      <w:numFmt w:val="decimal"/>
      <w:isLgl w:val="false"/>
      <w:suff w:val="tab"/>
      <w:lvlText w:val="%1.%2.%3.%4.%5.%6.%7.%8"/>
      <w:lvlJc w:val="left"/>
      <w:pPr>
        <w:pStyle w:val="736"/>
        <w:ind w:left="4394" w:hanging="1418"/>
      </w:pPr>
      <w:rPr>
        <w:rFonts w:hint="eastAsia"/>
      </w:rPr>
    </w:lvl>
    <w:lvl w:ilvl="8">
      <w:start w:val="1"/>
      <w:numFmt w:val="decimal"/>
      <w:isLgl w:val="false"/>
      <w:suff w:val="tab"/>
      <w:lvlText w:val="%1.%2.%3.%4.%5.%6.%7.%8.%9"/>
      <w:lvlJc w:val="left"/>
      <w:pPr>
        <w:pStyle w:val="736"/>
        <w:ind w:left="5102" w:hanging="1700"/>
      </w:pPr>
      <w:rPr>
        <w:rFonts w:hint="eastAsia"/>
      </w:rPr>
    </w:lvl>
  </w:abstractNum>
  <w:abstractNum w:abstractNumId="1">
    <w:multiLevelType w:val="hybridMultilevel"/>
    <w:lvl w:ilvl="0">
      <w:start w:val="1"/>
      <w:numFmt w:val="bullet"/>
      <w:pStyle w:val="1195"/>
      <w:isLgl w:val="false"/>
      <w:suff w:val="tab"/>
      <w:lvlText w:val=""/>
      <w:lvlJc w:val="left"/>
      <w:pPr>
        <w:pStyle w:val="736"/>
        <w:ind w:left="420" w:hanging="420"/>
        <w:tabs>
          <w:tab w:val="num" w:pos="420" w:leader="none"/>
        </w:tabs>
      </w:pPr>
      <w:rPr>
        <w:rFonts w:ascii="Wingdings" w:hAnsi="Wingdings"/>
      </w:rPr>
    </w:lvl>
    <w:lvl w:ilvl="1">
      <w:start w:val="1"/>
      <w:numFmt w:val="decimal"/>
      <w:isLgl w:val="false"/>
      <w:suff w:val="tab"/>
      <w:lvlText w:val="（%2）"/>
      <w:lvlJc w:val="left"/>
      <w:pPr>
        <w:pStyle w:val="736"/>
        <w:ind w:left="1500" w:hanging="1080"/>
        <w:tabs>
          <w:tab w:val="num" w:pos="1500" w:leader="none"/>
        </w:tabs>
      </w:pPr>
      <w:rPr>
        <w:rFonts w:hint="eastAsia"/>
      </w:rPr>
    </w:lvl>
    <w:lvl w:ilvl="2">
      <w:start w:val="1"/>
      <w:numFmt w:val="decimal"/>
      <w:isLgl w:val="false"/>
      <w:suff w:val="tab"/>
      <w:lvlText w:val="（%3）"/>
      <w:lvlJc w:val="left"/>
      <w:pPr>
        <w:pStyle w:val="736"/>
        <w:ind w:left="1560" w:hanging="720"/>
        <w:tabs>
          <w:tab w:val="num" w:pos="1560" w:leader="none"/>
        </w:tabs>
      </w:pPr>
      <w:rPr>
        <w:rFonts w:hint="eastAsia"/>
      </w:rPr>
    </w:lvl>
    <w:lvl w:ilvl="3">
      <w:start w:val="1"/>
      <w:numFmt w:val="decimal"/>
      <w:isLgl w:val="false"/>
      <w:suff w:val="tab"/>
      <w:lvlText w:val="%4."/>
      <w:lvlJc w:val="left"/>
      <w:pPr>
        <w:pStyle w:val="736"/>
        <w:ind w:left="1680" w:hanging="420"/>
        <w:tabs>
          <w:tab w:val="num" w:pos="1680" w:leader="none"/>
        </w:tabs>
      </w:pPr>
    </w:lvl>
    <w:lvl w:ilvl="4">
      <w:start w:val="1"/>
      <w:numFmt w:val="lowerLetter"/>
      <w:isLgl w:val="false"/>
      <w:suff w:val="tab"/>
      <w:lvlText w:val="%5)"/>
      <w:lvlJc w:val="left"/>
      <w:pPr>
        <w:pStyle w:val="736"/>
        <w:ind w:left="2100" w:hanging="420"/>
        <w:tabs>
          <w:tab w:val="num" w:pos="2100" w:leader="none"/>
        </w:tabs>
      </w:pPr>
    </w:lvl>
    <w:lvl w:ilvl="5">
      <w:start w:val="1"/>
      <w:numFmt w:val="lowerRoman"/>
      <w:isLgl w:val="false"/>
      <w:suff w:val="tab"/>
      <w:lvlText w:val="%6."/>
      <w:lvlJc w:val="right"/>
      <w:pPr>
        <w:pStyle w:val="736"/>
        <w:ind w:left="2520" w:hanging="420"/>
        <w:tabs>
          <w:tab w:val="num" w:pos="2520" w:leader="none"/>
        </w:tabs>
      </w:pPr>
    </w:lvl>
    <w:lvl w:ilvl="6">
      <w:start w:val="1"/>
      <w:numFmt w:val="decimal"/>
      <w:isLgl w:val="false"/>
      <w:suff w:val="tab"/>
      <w:lvlText w:val="%7."/>
      <w:lvlJc w:val="left"/>
      <w:pPr>
        <w:pStyle w:val="736"/>
        <w:ind w:left="2940" w:hanging="420"/>
        <w:tabs>
          <w:tab w:val="num" w:pos="2940" w:leader="none"/>
        </w:tabs>
      </w:pPr>
    </w:lvl>
    <w:lvl w:ilvl="7">
      <w:start w:val="1"/>
      <w:numFmt w:val="lowerLetter"/>
      <w:isLgl w:val="false"/>
      <w:suff w:val="tab"/>
      <w:lvlText w:val="%8)"/>
      <w:lvlJc w:val="left"/>
      <w:pPr>
        <w:pStyle w:val="736"/>
        <w:ind w:left="3360" w:hanging="420"/>
        <w:tabs>
          <w:tab w:val="num" w:pos="3360" w:leader="none"/>
        </w:tabs>
      </w:pPr>
    </w:lvl>
    <w:lvl w:ilvl="8">
      <w:start w:val="1"/>
      <w:numFmt w:val="lowerRoman"/>
      <w:isLgl w:val="false"/>
      <w:suff w:val="tab"/>
      <w:lvlText w:val="%9."/>
      <w:lvlJc w:val="right"/>
      <w:pPr>
        <w:pStyle w:val="736"/>
        <w:ind w:left="3780" w:hanging="420"/>
        <w:tabs>
          <w:tab w:val="num" w:pos="3780" w:leader="none"/>
        </w:tabs>
      </w:pPr>
    </w:lvl>
  </w:abstractNum>
  <w:abstractNum w:abstractNumId="2">
    <w:multiLevelType w:val="hybridMultilevel"/>
    <w:lvl w:ilvl="0">
      <w:start w:val="1"/>
      <w:numFmt w:val="bullet"/>
      <w:pStyle w:val="1161"/>
      <w:isLgl w:val="false"/>
      <w:suff w:val="tab"/>
      <w:lvlText w:val=""/>
      <w:lvlJc w:val="left"/>
      <w:pPr>
        <w:pStyle w:val="736"/>
        <w:ind w:left="360" w:hanging="360"/>
        <w:tabs>
          <w:tab w:val="num" w:pos="360" w:leader="none"/>
        </w:tabs>
      </w:pPr>
      <w:rPr>
        <w:rFonts w:ascii="Symbol" w:hAnsi="Symbol"/>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3">
    <w:multiLevelType w:val="hybridMultilevel"/>
    <w:lvl w:ilvl="0">
      <w:start w:val="1"/>
      <w:numFmt w:val="decimal"/>
      <w:pStyle w:val="1120"/>
      <w:isLgl w:val="false"/>
      <w:suff w:val="tab"/>
      <w:lvlText w:val="%1"/>
      <w:lvlJc w:val="left"/>
      <w:pPr>
        <w:pStyle w:val="736"/>
        <w:ind w:left="567" w:hanging="567"/>
        <w:tabs>
          <w:tab w:val="num" w:pos="567" w:leader="none"/>
        </w:tabs>
      </w:pPr>
      <w:rPr>
        <w:rFonts w:hint="eastAsia"/>
      </w:rPr>
    </w:lvl>
    <w:lvl w:ilvl="1">
      <w:start w:val="1"/>
      <w:numFmt w:val="decimal"/>
      <w:pStyle w:val="1181"/>
      <w:isLgl w:val="false"/>
      <w:suff w:val="tab"/>
      <w:lvlText w:val="%1.%2"/>
      <w:lvlJc w:val="left"/>
      <w:pPr>
        <w:pStyle w:val="736"/>
        <w:ind w:left="567" w:hanging="283"/>
        <w:tabs>
          <w:tab w:val="num" w:pos="1004" w:leader="none"/>
        </w:tabs>
      </w:pPr>
      <w:rPr>
        <w:rFonts w:hint="eastAsia"/>
      </w:rPr>
    </w:lvl>
    <w:lvl w:ilvl="2">
      <w:start w:val="1"/>
      <w:numFmt w:val="decimal"/>
      <w:isLgl w:val="false"/>
      <w:suff w:val="tab"/>
      <w:lvlText w:val="%1.%2.%3"/>
      <w:lvlJc w:val="left"/>
      <w:pPr>
        <w:pStyle w:val="736"/>
        <w:ind w:left="1134" w:hanging="567"/>
        <w:tabs>
          <w:tab w:val="num" w:pos="1647" w:leader="none"/>
        </w:tabs>
      </w:pPr>
      <w:rPr>
        <w:rFonts w:hint="eastAsia"/>
      </w:rPr>
    </w:lvl>
    <w:lvl w:ilvl="3">
      <w:start w:val="1"/>
      <w:numFmt w:val="decimal"/>
      <w:isLgl w:val="false"/>
      <w:suff w:val="tab"/>
      <w:lvlText w:val="%1.%2.%3.%4"/>
      <w:lvlJc w:val="left"/>
      <w:pPr>
        <w:pStyle w:val="736"/>
        <w:ind w:left="2851" w:hanging="708"/>
        <w:tabs>
          <w:tab w:val="num" w:pos="3223" w:leader="none"/>
        </w:tabs>
      </w:pPr>
      <w:rPr>
        <w:rFonts w:hint="eastAsia"/>
      </w:rPr>
    </w:lvl>
    <w:lvl w:ilvl="4">
      <w:start w:val="1"/>
      <w:numFmt w:val="decimal"/>
      <w:isLgl w:val="false"/>
      <w:suff w:val="tab"/>
      <w:lvlText w:val="%1.%2.%3.%4.%5"/>
      <w:lvlJc w:val="left"/>
      <w:pPr>
        <w:pStyle w:val="736"/>
        <w:ind w:left="3418" w:hanging="850"/>
        <w:tabs>
          <w:tab w:val="num" w:pos="3648" w:leader="none"/>
        </w:tabs>
      </w:pPr>
      <w:rPr>
        <w:rFonts w:hint="eastAsia"/>
      </w:rPr>
    </w:lvl>
    <w:lvl w:ilvl="5">
      <w:start w:val="1"/>
      <w:numFmt w:val="decimal"/>
      <w:isLgl w:val="false"/>
      <w:suff w:val="tab"/>
      <w:lvlText w:val="%1.%2.%3.%4.%5.%6"/>
      <w:lvlJc w:val="left"/>
      <w:pPr>
        <w:pStyle w:val="736"/>
        <w:ind w:left="4127" w:hanging="1134"/>
        <w:tabs>
          <w:tab w:val="num" w:pos="4433" w:leader="none"/>
        </w:tabs>
      </w:pPr>
      <w:rPr>
        <w:rFonts w:hint="eastAsia"/>
      </w:rPr>
    </w:lvl>
    <w:lvl w:ilvl="6">
      <w:start w:val="1"/>
      <w:numFmt w:val="decimal"/>
      <w:isLgl w:val="false"/>
      <w:suff w:val="tab"/>
      <w:lvlText w:val="%1.%2.%3.%4.%5.%6.%7"/>
      <w:lvlJc w:val="left"/>
      <w:pPr>
        <w:pStyle w:val="736"/>
        <w:ind w:left="4694" w:hanging="1276"/>
        <w:tabs>
          <w:tab w:val="num" w:pos="4858" w:leader="none"/>
        </w:tabs>
      </w:pPr>
      <w:rPr>
        <w:rFonts w:hint="eastAsia"/>
      </w:rPr>
    </w:lvl>
    <w:lvl w:ilvl="7">
      <w:start w:val="1"/>
      <w:numFmt w:val="decimal"/>
      <w:isLgl w:val="false"/>
      <w:suff w:val="tab"/>
      <w:lvlText w:val="%1.%2.%3.%4.%5.%6.%7.%8"/>
      <w:lvlJc w:val="left"/>
      <w:pPr>
        <w:pStyle w:val="736"/>
        <w:ind w:left="5261" w:hanging="1418"/>
        <w:tabs>
          <w:tab w:val="num" w:pos="5643" w:leader="none"/>
        </w:tabs>
      </w:pPr>
      <w:rPr>
        <w:rFonts w:hint="eastAsia"/>
      </w:rPr>
    </w:lvl>
    <w:lvl w:ilvl="8">
      <w:start w:val="1"/>
      <w:numFmt w:val="decimal"/>
      <w:isLgl w:val="false"/>
      <w:suff w:val="tab"/>
      <w:lvlText w:val="%1.%2.%3.%4.%5.%6.%7.%8.%9"/>
      <w:lvlJc w:val="left"/>
      <w:pPr>
        <w:pStyle w:val="736"/>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5">
    <w:multiLevelType w:val="hybridMultilevel"/>
    <w:lvl w:ilvl="0">
      <w:start w:val="1"/>
      <w:numFmt w:val="decimal"/>
      <w:pStyle w:val="1170"/>
      <w:isLgl w:val="false"/>
      <w:suff w:val="tab"/>
      <w:lvlText w:val="(%1)"/>
      <w:lvlJc w:val="left"/>
      <w:pPr>
        <w:pStyle w:val="73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6"/>
        <w:ind w:left="840" w:hanging="420"/>
        <w:tabs>
          <w:tab w:val="num" w:pos="840" w:leader="none"/>
        </w:tabs>
      </w:pPr>
    </w:lvl>
    <w:lvl w:ilvl="2">
      <w:start w:val="1"/>
      <w:numFmt w:val="lowerRoman"/>
      <w:isLgl w:val="false"/>
      <w:suff w:val="tab"/>
      <w:lvlText w:val="%3."/>
      <w:lvlJc w:val="right"/>
      <w:pPr>
        <w:pStyle w:val="736"/>
        <w:ind w:left="1260" w:hanging="420"/>
        <w:tabs>
          <w:tab w:val="num" w:pos="1260" w:leader="none"/>
        </w:tabs>
      </w:pPr>
    </w:lvl>
    <w:lvl w:ilvl="3">
      <w:start w:val="1"/>
      <w:numFmt w:val="decimal"/>
      <w:isLgl w:val="false"/>
      <w:suff w:val="tab"/>
      <w:lvlText w:val="%4."/>
      <w:lvlJc w:val="left"/>
      <w:pPr>
        <w:pStyle w:val="736"/>
        <w:ind w:left="1680" w:hanging="420"/>
        <w:tabs>
          <w:tab w:val="num" w:pos="1680" w:leader="none"/>
        </w:tabs>
      </w:pPr>
    </w:lvl>
    <w:lvl w:ilvl="4">
      <w:start w:val="1"/>
      <w:numFmt w:val="lowerLetter"/>
      <w:pStyle w:val="1192"/>
      <w:isLgl w:val="false"/>
      <w:suff w:val="tab"/>
      <w:lvlText w:val="%5)"/>
      <w:lvlJc w:val="left"/>
      <w:pPr>
        <w:pStyle w:val="736"/>
        <w:ind w:left="2100" w:hanging="420"/>
        <w:tabs>
          <w:tab w:val="num" w:pos="2100" w:leader="none"/>
        </w:tabs>
      </w:pPr>
    </w:lvl>
    <w:lvl w:ilvl="5">
      <w:start w:val="1"/>
      <w:numFmt w:val="lowerRoman"/>
      <w:isLgl w:val="false"/>
      <w:suff w:val="tab"/>
      <w:lvlText w:val="%6."/>
      <w:lvlJc w:val="right"/>
      <w:pPr>
        <w:pStyle w:val="736"/>
        <w:ind w:left="2520" w:hanging="420"/>
        <w:tabs>
          <w:tab w:val="num" w:pos="2520" w:leader="none"/>
        </w:tabs>
      </w:pPr>
    </w:lvl>
    <w:lvl w:ilvl="6">
      <w:start w:val="1"/>
      <w:numFmt w:val="decimal"/>
      <w:isLgl w:val="false"/>
      <w:suff w:val="tab"/>
      <w:lvlText w:val="%7."/>
      <w:lvlJc w:val="left"/>
      <w:pPr>
        <w:pStyle w:val="736"/>
        <w:ind w:left="2940" w:hanging="420"/>
        <w:tabs>
          <w:tab w:val="num" w:pos="2940" w:leader="none"/>
        </w:tabs>
      </w:pPr>
    </w:lvl>
    <w:lvl w:ilvl="7">
      <w:start w:val="1"/>
      <w:numFmt w:val="lowerLetter"/>
      <w:isLgl w:val="false"/>
      <w:suff w:val="tab"/>
      <w:lvlText w:val="%8)"/>
      <w:lvlJc w:val="left"/>
      <w:pPr>
        <w:pStyle w:val="736"/>
        <w:ind w:left="3360" w:hanging="420"/>
        <w:tabs>
          <w:tab w:val="num" w:pos="3360" w:leader="none"/>
        </w:tabs>
      </w:pPr>
    </w:lvl>
    <w:lvl w:ilvl="8">
      <w:start w:val="1"/>
      <w:numFmt w:val="lowerRoman"/>
      <w:isLgl w:val="false"/>
      <w:suff w:val="tab"/>
      <w:lvlText w:val="%9."/>
      <w:lvlJc w:val="right"/>
      <w:pPr>
        <w:pStyle w:val="736"/>
        <w:ind w:left="3780" w:hanging="420"/>
        <w:tabs>
          <w:tab w:val="num" w:pos="3780"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2"/>
    <w:basedOn w:val="736"/>
    <w:next w:val="736"/>
    <w:link w:val="846"/>
    <w:uiPriority w:val="9"/>
    <w:unhideWhenUsed/>
    <w:qFormat/>
    <w:pPr>
      <w:keepLines/>
      <w:keepNext/>
      <w:spacing w:before="360" w:after="200"/>
      <w:outlineLvl w:val="1"/>
    </w:pPr>
    <w:rPr>
      <w:rFonts w:ascii="Arial" w:hAnsi="Arial" w:eastAsia="Arial" w:cs="Arial"/>
      <w:sz w:val="34"/>
    </w:rPr>
  </w:style>
  <w:style w:type="paragraph" w:styleId="704">
    <w:name w:val="Heading 3"/>
    <w:basedOn w:val="736"/>
    <w:next w:val="736"/>
    <w:link w:val="847"/>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36"/>
    <w:next w:val="736"/>
    <w:link w:val="848"/>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36"/>
    <w:next w:val="736"/>
    <w:link w:val="849"/>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36"/>
    <w:next w:val="736"/>
    <w:link w:val="850"/>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36"/>
    <w:next w:val="736"/>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36"/>
    <w:next w:val="736"/>
    <w:link w:val="85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36"/>
    <w:next w:val="736"/>
    <w:link w:val="853"/>
    <w:uiPriority w:val="9"/>
    <w:unhideWhenUsed/>
    <w:qFormat/>
    <w:pPr>
      <w:keepLines/>
      <w:keepNext/>
      <w:spacing w:before="320" w:after="200"/>
      <w:outlineLvl w:val="8"/>
    </w:pPr>
    <w:rPr>
      <w:rFonts w:ascii="Arial" w:hAnsi="Arial" w:eastAsia="Arial" w:cs="Arial"/>
      <w:i/>
      <w:iCs/>
      <w:sz w:val="21"/>
      <w:szCs w:val="21"/>
    </w:rPr>
  </w:style>
  <w:style w:type="paragraph" w:styleId="711">
    <w:name w:val="List Paragraph"/>
    <w:basedOn w:val="736"/>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36"/>
    <w:next w:val="736"/>
    <w:link w:val="854"/>
    <w:uiPriority w:val="10"/>
    <w:qFormat/>
    <w:pPr>
      <w:contextualSpacing/>
      <w:spacing w:before="300" w:after="200"/>
    </w:pPr>
    <w:rPr>
      <w:sz w:val="48"/>
      <w:szCs w:val="48"/>
    </w:rPr>
  </w:style>
  <w:style w:type="paragraph" w:styleId="714">
    <w:name w:val="Subtitle"/>
    <w:basedOn w:val="736"/>
    <w:next w:val="736"/>
    <w:link w:val="855"/>
    <w:uiPriority w:val="11"/>
    <w:qFormat/>
    <w:pPr>
      <w:spacing w:before="200" w:after="200"/>
    </w:pPr>
    <w:rPr>
      <w:sz w:val="24"/>
      <w:szCs w:val="24"/>
    </w:rPr>
  </w:style>
  <w:style w:type="paragraph" w:styleId="715">
    <w:name w:val="Quote"/>
    <w:basedOn w:val="736"/>
    <w:next w:val="736"/>
    <w:link w:val="856"/>
    <w:uiPriority w:val="29"/>
    <w:qFormat/>
    <w:pPr>
      <w:ind w:left="720" w:right="720"/>
    </w:pPr>
    <w:rPr>
      <w:i/>
    </w:rPr>
  </w:style>
  <w:style w:type="paragraph" w:styleId="716">
    <w:name w:val="Intense Quote"/>
    <w:basedOn w:val="736"/>
    <w:next w:val="736"/>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7">
    <w:name w:val="Header"/>
    <w:basedOn w:val="736"/>
    <w:link w:val="858"/>
    <w:uiPriority w:val="99"/>
    <w:unhideWhenUsed/>
    <w:pPr>
      <w:spacing w:after="0" w:line="240" w:lineRule="auto"/>
      <w:tabs>
        <w:tab w:val="center" w:pos="7143" w:leader="none"/>
        <w:tab w:val="right" w:pos="14287" w:leader="none"/>
      </w:tabs>
    </w:pPr>
  </w:style>
  <w:style w:type="paragraph" w:styleId="718">
    <w:name w:val="Footer"/>
    <w:basedOn w:val="736"/>
    <w:link w:val="860"/>
    <w:uiPriority w:val="99"/>
    <w:unhideWhenUsed/>
    <w:pPr>
      <w:spacing w:after="0" w:line="240" w:lineRule="auto"/>
      <w:tabs>
        <w:tab w:val="center" w:pos="7143" w:leader="none"/>
        <w:tab w:val="right" w:pos="14287" w:leader="none"/>
      </w:tabs>
    </w:pPr>
  </w:style>
  <w:style w:type="paragraph" w:styleId="719">
    <w:name w:val="Caption"/>
    <w:basedOn w:val="736"/>
    <w:next w:val="736"/>
    <w:uiPriority w:val="35"/>
    <w:semiHidden/>
    <w:unhideWhenUsed/>
    <w:qFormat/>
    <w:pPr>
      <w:spacing w:line="276" w:lineRule="auto"/>
    </w:pPr>
    <w:rPr>
      <w:b/>
      <w:bCs/>
      <w:color w:val="4f81bd" w:themeColor="accent1"/>
      <w:sz w:val="18"/>
      <w:szCs w:val="18"/>
    </w:rPr>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Hyperlink"/>
    <w:uiPriority w:val="99"/>
    <w:unhideWhenUsed/>
    <w:rPr>
      <w:color w:val="0000ff" w:themeColor="hyperlink"/>
      <w:u w:val="single"/>
    </w:rPr>
  </w:style>
  <w:style w:type="paragraph" w:styleId="722">
    <w:name w:val="footnote text"/>
    <w:basedOn w:val="736"/>
    <w:link w:val="986"/>
    <w:uiPriority w:val="99"/>
    <w:semiHidden/>
    <w:unhideWhenUsed/>
    <w:pPr>
      <w:spacing w:after="40" w:line="240" w:lineRule="auto"/>
    </w:pPr>
    <w:rPr>
      <w:sz w:val="18"/>
    </w:rPr>
  </w:style>
  <w:style w:type="character" w:styleId="723">
    <w:name w:val="footnote reference"/>
    <w:uiPriority w:val="99"/>
    <w:unhideWhenUsed/>
    <w:rPr>
      <w:vertAlign w:val="superscript"/>
    </w:rPr>
  </w:style>
  <w:style w:type="paragraph" w:styleId="724">
    <w:name w:val="endnote text"/>
    <w:basedOn w:val="736"/>
    <w:link w:val="987"/>
    <w:uiPriority w:val="99"/>
    <w:semiHidden/>
    <w:unhideWhenUsed/>
    <w:pPr>
      <w:spacing w:after="0" w:line="240" w:lineRule="auto"/>
    </w:pPr>
    <w:rPr>
      <w:sz w:val="20"/>
    </w:rPr>
  </w:style>
  <w:style w:type="character" w:styleId="725">
    <w:name w:val="endnote reference"/>
    <w:uiPriority w:val="99"/>
    <w:semiHidden/>
    <w:unhideWhenUsed/>
    <w:rPr>
      <w:vertAlign w:val="superscript"/>
    </w:rPr>
  </w:style>
  <w:style w:type="paragraph" w:styleId="726">
    <w:name w:val="toc 1"/>
    <w:basedOn w:val="736"/>
    <w:next w:val="736"/>
    <w:uiPriority w:val="39"/>
    <w:unhideWhenUsed/>
    <w:pPr>
      <w:ind w:left="0" w:right="0" w:firstLine="0"/>
      <w:spacing w:after="57"/>
    </w:pPr>
  </w:style>
  <w:style w:type="paragraph" w:styleId="727">
    <w:name w:val="toc 2"/>
    <w:basedOn w:val="736"/>
    <w:next w:val="736"/>
    <w:uiPriority w:val="39"/>
    <w:unhideWhenUsed/>
    <w:pPr>
      <w:ind w:left="283" w:right="0" w:firstLine="0"/>
      <w:spacing w:after="57"/>
    </w:pPr>
  </w:style>
  <w:style w:type="paragraph" w:styleId="728">
    <w:name w:val="toc 3"/>
    <w:basedOn w:val="736"/>
    <w:next w:val="736"/>
    <w:uiPriority w:val="39"/>
    <w:unhideWhenUsed/>
    <w:pPr>
      <w:ind w:left="567" w:right="0" w:firstLine="0"/>
      <w:spacing w:after="57"/>
    </w:pPr>
  </w:style>
  <w:style w:type="paragraph" w:styleId="729">
    <w:name w:val="toc 4"/>
    <w:basedOn w:val="736"/>
    <w:next w:val="736"/>
    <w:uiPriority w:val="39"/>
    <w:unhideWhenUsed/>
    <w:pPr>
      <w:ind w:left="850" w:right="0" w:firstLine="0"/>
      <w:spacing w:after="57"/>
    </w:pPr>
  </w:style>
  <w:style w:type="paragraph" w:styleId="730">
    <w:name w:val="toc 5"/>
    <w:basedOn w:val="736"/>
    <w:next w:val="736"/>
    <w:uiPriority w:val="39"/>
    <w:unhideWhenUsed/>
    <w:pPr>
      <w:ind w:left="1134" w:right="0" w:firstLine="0"/>
      <w:spacing w:after="57"/>
    </w:pPr>
  </w:style>
  <w:style w:type="paragraph" w:styleId="731">
    <w:name w:val="toc 6"/>
    <w:basedOn w:val="736"/>
    <w:next w:val="736"/>
    <w:uiPriority w:val="39"/>
    <w:unhideWhenUsed/>
    <w:pPr>
      <w:ind w:left="1417" w:right="0" w:firstLine="0"/>
      <w:spacing w:after="57"/>
    </w:pPr>
  </w:style>
  <w:style w:type="paragraph" w:styleId="732">
    <w:name w:val="toc 7"/>
    <w:basedOn w:val="736"/>
    <w:next w:val="736"/>
    <w:uiPriority w:val="39"/>
    <w:unhideWhenUsed/>
    <w:pPr>
      <w:ind w:left="1701" w:right="0" w:firstLine="0"/>
      <w:spacing w:after="57"/>
    </w:pPr>
  </w:style>
  <w:style w:type="paragraph" w:styleId="733">
    <w:name w:val="toc 8"/>
    <w:basedOn w:val="736"/>
    <w:next w:val="736"/>
    <w:uiPriority w:val="39"/>
    <w:unhideWhenUsed/>
    <w:pPr>
      <w:ind w:left="1984" w:right="0" w:firstLine="0"/>
      <w:spacing w:after="57"/>
    </w:pPr>
  </w:style>
  <w:style w:type="paragraph" w:styleId="734">
    <w:name w:val="toc 9"/>
    <w:basedOn w:val="736"/>
    <w:next w:val="736"/>
    <w:uiPriority w:val="39"/>
    <w:unhideWhenUsed/>
    <w:pPr>
      <w:ind w:left="2268" w:right="0" w:firstLine="0"/>
      <w:spacing w:after="57"/>
    </w:pPr>
  </w:style>
  <w:style w:type="paragraph" w:styleId="735">
    <w:name w:val="table of figures"/>
    <w:basedOn w:val="736"/>
    <w:next w:val="736"/>
    <w:uiPriority w:val="99"/>
    <w:unhideWhenUsed/>
    <w:pPr>
      <w:spacing w:after="0" w:afterAutospacing="0"/>
    </w:pPr>
  </w:style>
  <w:style w:type="paragraph" w:styleId="736" w:default="1">
    <w:name w:val="Normal"/>
    <w:next w:val="748"/>
    <w:link w:val="736"/>
    <w:qFormat/>
    <w:pPr>
      <w:jc w:val="both"/>
      <w:widowControl w:val="off"/>
    </w:pPr>
    <w:rPr>
      <w:sz w:val="21"/>
      <w:lang w:val="en-US" w:eastAsia="zh-CN" w:bidi="ar-SA"/>
    </w:rPr>
  </w:style>
  <w:style w:type="paragraph" w:styleId="737">
    <w:name w:val="标题 1"/>
    <w:basedOn w:val="736"/>
    <w:next w:val="736"/>
    <w:link w:val="736"/>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38">
    <w:name w:val="标题 2"/>
    <w:basedOn w:val="736"/>
    <w:next w:val="736"/>
    <w:link w:val="755"/>
    <w:qFormat/>
    <w:pPr>
      <w:jc w:val="left"/>
      <w:keepLines/>
      <w:keepNext/>
      <w:spacing w:before="120" w:after="120"/>
      <w:outlineLvl w:val="1"/>
    </w:pPr>
    <w:rPr>
      <w:rFonts w:ascii="宋体" w:hAnsi="宋体"/>
      <w:b/>
      <w:szCs w:val="24"/>
    </w:rPr>
  </w:style>
  <w:style w:type="paragraph" w:styleId="739">
    <w:name w:val="标题 3"/>
    <w:basedOn w:val="736"/>
    <w:next w:val="757"/>
    <w:link w:val="756"/>
    <w:qFormat/>
    <w:pPr>
      <w:keepLines/>
      <w:keepNext/>
      <w:spacing w:line="390" w:lineRule="atLeast"/>
      <w:shd w:val="clear" w:color="auto" w:fill="ffffff"/>
      <w:outlineLvl w:val="2"/>
    </w:pPr>
    <w:rPr>
      <w:rFonts w:ascii="宋体" w:hAnsi="宋体"/>
      <w:b/>
      <w:szCs w:val="21"/>
    </w:rPr>
  </w:style>
  <w:style w:type="paragraph" w:styleId="740">
    <w:name w:val="标题 4"/>
    <w:basedOn w:val="736"/>
    <w:next w:val="736"/>
    <w:link w:val="758"/>
    <w:qFormat/>
    <w:pPr>
      <w:keepLines/>
      <w:keepNext/>
      <w:spacing w:before="120" w:after="120"/>
      <w:outlineLvl w:val="3"/>
    </w:pPr>
    <w:rPr>
      <w:rFonts w:ascii="Arial" w:hAnsi="Arial" w:eastAsia="黑体"/>
      <w:b/>
      <w:sz w:val="28"/>
    </w:rPr>
  </w:style>
  <w:style w:type="paragraph" w:styleId="741">
    <w:name w:val="标题 5"/>
    <w:basedOn w:val="736"/>
    <w:next w:val="757"/>
    <w:link w:val="759"/>
    <w:qFormat/>
    <w:pPr>
      <w:keepNext/>
      <w:spacing w:before="145" w:after="145"/>
      <w:outlineLvl w:val="4"/>
    </w:pPr>
    <w:rPr>
      <w:rFonts w:ascii="黑体" w:eastAsia="黑体"/>
      <w:b/>
      <w:color w:val="000000"/>
      <w:sz w:val="28"/>
    </w:rPr>
  </w:style>
  <w:style w:type="paragraph" w:styleId="742">
    <w:name w:val="标题 6"/>
    <w:basedOn w:val="736"/>
    <w:next w:val="736"/>
    <w:link w:val="760"/>
    <w:qFormat/>
    <w:pPr>
      <w:keepLines/>
      <w:keepNext/>
      <w:spacing w:before="240" w:after="64" w:line="320" w:lineRule="auto"/>
      <w:outlineLvl w:val="5"/>
    </w:pPr>
    <w:rPr>
      <w:rFonts w:ascii="Arial" w:hAnsi="Arial" w:eastAsia="黑体"/>
      <w:b/>
      <w:bCs/>
      <w:sz w:val="24"/>
      <w:szCs w:val="24"/>
    </w:rPr>
  </w:style>
  <w:style w:type="paragraph" w:styleId="743">
    <w:name w:val="标题 7"/>
    <w:basedOn w:val="736"/>
    <w:next w:val="736"/>
    <w:link w:val="761"/>
    <w:qFormat/>
    <w:pPr>
      <w:keepLines/>
      <w:keepNext/>
      <w:spacing w:before="240" w:after="64" w:line="320" w:lineRule="auto"/>
      <w:outlineLvl w:val="6"/>
    </w:pPr>
    <w:rPr>
      <w:b/>
      <w:bCs/>
      <w:sz w:val="24"/>
      <w:szCs w:val="24"/>
    </w:rPr>
  </w:style>
  <w:style w:type="paragraph" w:styleId="744">
    <w:name w:val="标题 8"/>
    <w:basedOn w:val="736"/>
    <w:next w:val="736"/>
    <w:link w:val="762"/>
    <w:qFormat/>
    <w:pPr>
      <w:keepLines/>
      <w:keepNext/>
      <w:spacing w:before="240" w:after="64" w:line="320" w:lineRule="auto"/>
      <w:outlineLvl w:val="7"/>
    </w:pPr>
    <w:rPr>
      <w:rFonts w:ascii="Arial" w:hAnsi="Arial" w:eastAsia="黑体"/>
      <w:sz w:val="24"/>
      <w:szCs w:val="24"/>
    </w:rPr>
  </w:style>
  <w:style w:type="paragraph" w:styleId="745">
    <w:name w:val="标题 9"/>
    <w:basedOn w:val="736"/>
    <w:next w:val="736"/>
    <w:link w:val="763"/>
    <w:qFormat/>
    <w:pPr>
      <w:keepLines/>
      <w:keepNext/>
      <w:spacing w:before="240" w:after="64" w:line="320" w:lineRule="auto"/>
      <w:outlineLvl w:val="8"/>
    </w:pPr>
    <w:rPr>
      <w:rFonts w:ascii="Arial" w:hAnsi="Arial" w:eastAsia="黑体"/>
      <w:szCs w:val="21"/>
    </w:rPr>
  </w:style>
  <w:style w:type="character" w:styleId="746">
    <w:name w:val="默认段落字体"/>
    <w:next w:val="746"/>
    <w:link w:val="736"/>
    <w:uiPriority w:val="1"/>
    <w:unhideWhenUsed/>
    <w:qFormat/>
  </w:style>
  <w:style w:type="table" w:styleId="747">
    <w:name w:val="普通表格"/>
    <w:next w:val="747"/>
    <w:link w:val="73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48">
    <w:name w:val="正文首行缩进 21"/>
    <w:basedOn w:val="749"/>
    <w:next w:val="736"/>
    <w:link w:val="736"/>
    <w:qFormat/>
    <w:pPr>
      <w:ind w:firstLine="420"/>
      <w:spacing w:line="360" w:lineRule="auto"/>
    </w:pPr>
    <w:rPr>
      <w:rFonts w:ascii="宋体" w:hAnsi="宋体"/>
      <w:szCs w:val="20"/>
    </w:rPr>
  </w:style>
  <w:style w:type="paragraph" w:styleId="749">
    <w:name w:val="正文文本缩进11"/>
    <w:basedOn w:val="750"/>
    <w:next w:val="754"/>
    <w:link w:val="736"/>
    <w:qFormat/>
    <w:pPr>
      <w:ind w:firstLine="301"/>
      <w:spacing w:line="200" w:lineRule="exact"/>
    </w:pPr>
    <w:rPr>
      <w:rFonts w:ascii="宋体" w:hAnsi="宋体"/>
      <w:spacing w:val="-4"/>
      <w:sz w:val="18"/>
      <w:szCs w:val="20"/>
    </w:rPr>
  </w:style>
  <w:style w:type="paragraph" w:styleId="750">
    <w:name w:val="正文112"/>
    <w:next w:val="751"/>
    <w:link w:val="736"/>
    <w:qFormat/>
    <w:pPr>
      <w:jc w:val="both"/>
      <w:widowControl w:val="off"/>
    </w:pPr>
    <w:rPr>
      <w:sz w:val="21"/>
      <w:szCs w:val="24"/>
      <w:lang w:val="en-US" w:eastAsia="zh-CN" w:bidi="ar-SA"/>
    </w:rPr>
  </w:style>
  <w:style w:type="paragraph" w:styleId="751">
    <w:name w:val="正文首行缩进1"/>
    <w:basedOn w:val="752"/>
    <w:next w:val="751"/>
    <w:link w:val="736"/>
    <w:semiHidden/>
    <w:qFormat/>
    <w:pPr>
      <w:ind w:firstLine="420"/>
    </w:pPr>
    <w:rPr>
      <w:rFonts w:cs="宋体"/>
      <w:szCs w:val="28"/>
    </w:rPr>
  </w:style>
  <w:style w:type="paragraph" w:styleId="752">
    <w:name w:val="正文文本1"/>
    <w:basedOn w:val="753"/>
    <w:next w:val="736"/>
    <w:link w:val="736"/>
    <w:qFormat/>
    <w:pPr>
      <w:spacing w:after="120"/>
    </w:pPr>
  </w:style>
  <w:style w:type="paragraph" w:styleId="753">
    <w:name w:val="正文1"/>
    <w:basedOn w:val="736"/>
    <w:next w:val="752"/>
    <w:link w:val="736"/>
    <w:qFormat/>
    <w:pPr>
      <w:ind w:firstLine="510"/>
      <w:spacing w:before="156" w:line="360" w:lineRule="auto"/>
    </w:pPr>
    <w:rPr>
      <w:sz w:val="24"/>
    </w:rPr>
  </w:style>
  <w:style w:type="paragraph" w:styleId="754">
    <w:name w:val="寄信人地址1"/>
    <w:basedOn w:val="736"/>
    <w:next w:val="754"/>
    <w:link w:val="736"/>
    <w:qFormat/>
    <w:rPr>
      <w:rFonts w:ascii="Arial" w:hAnsi="Arial" w:cs="宋体"/>
      <w:szCs w:val="24"/>
    </w:rPr>
  </w:style>
  <w:style w:type="character" w:styleId="755">
    <w:name w:val="标题 2 Char"/>
    <w:next w:val="755"/>
    <w:link w:val="738"/>
    <w:qFormat/>
    <w:rPr>
      <w:rFonts w:ascii="宋体" w:hAnsi="宋体" w:eastAsia="宋体"/>
      <w:b/>
      <w:sz w:val="21"/>
      <w:szCs w:val="24"/>
      <w:lang w:val="en-US" w:eastAsia="zh-CN" w:bidi="ar-SA"/>
    </w:rPr>
  </w:style>
  <w:style w:type="character" w:styleId="756">
    <w:name w:val="标题 3 Char1"/>
    <w:next w:val="756"/>
    <w:link w:val="739"/>
    <w:qFormat/>
    <w:rPr>
      <w:rFonts w:ascii="宋体" w:hAnsi="宋体" w:eastAsia="宋体"/>
      <w:b/>
      <w:sz w:val="21"/>
      <w:szCs w:val="21"/>
      <w:shd w:val="clear" w:color="auto" w:fill="ffffff"/>
    </w:rPr>
  </w:style>
  <w:style w:type="paragraph" w:styleId="757">
    <w:name w:val="正文缩进"/>
    <w:basedOn w:val="736"/>
    <w:next w:val="757"/>
    <w:link w:val="736"/>
    <w:qFormat/>
    <w:pPr>
      <w:ind w:firstLine="420"/>
    </w:pPr>
  </w:style>
  <w:style w:type="character" w:styleId="758">
    <w:name w:val="标题 4 Char"/>
    <w:next w:val="758"/>
    <w:link w:val="740"/>
    <w:qFormat/>
    <w:rPr>
      <w:rFonts w:ascii="Arial" w:hAnsi="Arial" w:eastAsia="黑体"/>
      <w:b/>
      <w:sz w:val="28"/>
      <w:lang w:val="en-US" w:eastAsia="zh-CN" w:bidi="ar-SA"/>
    </w:rPr>
  </w:style>
  <w:style w:type="character" w:styleId="759">
    <w:name w:val="标题 5 Char"/>
    <w:next w:val="759"/>
    <w:link w:val="741"/>
    <w:qFormat/>
    <w:rPr>
      <w:rFonts w:ascii="黑体" w:eastAsia="黑体"/>
      <w:b/>
      <w:color w:val="000000"/>
      <w:sz w:val="28"/>
      <w:lang w:val="en-US" w:eastAsia="zh-CN" w:bidi="ar-SA"/>
    </w:rPr>
  </w:style>
  <w:style w:type="character" w:styleId="760">
    <w:name w:val="标题 6 Char"/>
    <w:next w:val="760"/>
    <w:link w:val="742"/>
    <w:qFormat/>
    <w:rPr>
      <w:rFonts w:ascii="Arial" w:hAnsi="Arial" w:eastAsia="黑体"/>
      <w:b/>
      <w:bCs/>
      <w:sz w:val="24"/>
      <w:szCs w:val="24"/>
      <w:lang w:val="en-US" w:eastAsia="zh-CN" w:bidi="ar-SA"/>
    </w:rPr>
  </w:style>
  <w:style w:type="character" w:styleId="761">
    <w:name w:val="标题 7 Char"/>
    <w:next w:val="761"/>
    <w:link w:val="743"/>
    <w:qFormat/>
    <w:rPr>
      <w:rFonts w:eastAsia="宋体"/>
      <w:b/>
      <w:bCs/>
      <w:sz w:val="24"/>
      <w:szCs w:val="24"/>
      <w:lang w:val="en-US" w:eastAsia="zh-CN" w:bidi="ar-SA"/>
    </w:rPr>
  </w:style>
  <w:style w:type="character" w:styleId="762">
    <w:name w:val="标题 8 Char"/>
    <w:next w:val="762"/>
    <w:link w:val="744"/>
    <w:qFormat/>
    <w:rPr>
      <w:rFonts w:ascii="Arial" w:hAnsi="Arial" w:eastAsia="黑体"/>
      <w:sz w:val="24"/>
      <w:szCs w:val="24"/>
      <w:lang w:val="en-US" w:eastAsia="zh-CN" w:bidi="ar-SA"/>
    </w:rPr>
  </w:style>
  <w:style w:type="character" w:styleId="763">
    <w:name w:val="标题 9 Char"/>
    <w:next w:val="763"/>
    <w:link w:val="745"/>
    <w:qFormat/>
    <w:rPr>
      <w:rFonts w:ascii="Arial" w:hAnsi="Arial" w:eastAsia="黑体"/>
      <w:sz w:val="21"/>
      <w:szCs w:val="21"/>
      <w:lang w:val="en-US" w:eastAsia="zh-CN" w:bidi="ar-SA"/>
    </w:rPr>
  </w:style>
  <w:style w:type="paragraph" w:styleId="764">
    <w:name w:val="列表 3"/>
    <w:basedOn w:val="736"/>
    <w:next w:val="764"/>
    <w:link w:val="736"/>
    <w:qFormat/>
    <w:pPr>
      <w:ind w:left="1260" w:hanging="420"/>
    </w:pPr>
  </w:style>
  <w:style w:type="paragraph" w:styleId="765">
    <w:name w:val="目录 7"/>
    <w:basedOn w:val="736"/>
    <w:next w:val="736"/>
    <w:link w:val="736"/>
    <w:semiHidden/>
    <w:qFormat/>
    <w:pPr>
      <w:ind w:left="1260"/>
      <w:jc w:val="left"/>
    </w:pPr>
    <w:rPr>
      <w:sz w:val="18"/>
    </w:rPr>
  </w:style>
  <w:style w:type="paragraph" w:styleId="766">
    <w:name w:val="列表编号 2"/>
    <w:basedOn w:val="736"/>
    <w:next w:val="766"/>
    <w:link w:val="736"/>
    <w:qFormat/>
    <w:pPr>
      <w:ind w:left="1440" w:hanging="1440"/>
      <w:spacing w:line="360" w:lineRule="auto"/>
      <w:tabs>
        <w:tab w:val="left" w:pos="1440" w:leader="none"/>
      </w:tabs>
    </w:pPr>
    <w:rPr>
      <w:sz w:val="24"/>
      <w:szCs w:val="24"/>
    </w:rPr>
  </w:style>
  <w:style w:type="paragraph" w:styleId="767">
    <w:name w:val="引文目录"/>
    <w:basedOn w:val="736"/>
    <w:next w:val="736"/>
    <w:link w:val="736"/>
    <w:qFormat/>
    <w:pPr>
      <w:ind w:left="420"/>
    </w:pPr>
  </w:style>
  <w:style w:type="paragraph" w:styleId="768">
    <w:name w:val="索引 8"/>
    <w:basedOn w:val="736"/>
    <w:next w:val="736"/>
    <w:link w:val="736"/>
    <w:semiHidden/>
    <w:qFormat/>
    <w:pPr>
      <w:ind w:left="2940"/>
    </w:pPr>
  </w:style>
  <w:style w:type="paragraph" w:styleId="769">
    <w:name w:val="列表编号"/>
    <w:basedOn w:val="736"/>
    <w:next w:val="769"/>
    <w:link w:val="736"/>
    <w:qFormat/>
    <w:pPr>
      <w:ind w:left="2952" w:hanging="432"/>
      <w:tabs>
        <w:tab w:val="left" w:pos="2952" w:leader="none"/>
      </w:tabs>
    </w:pPr>
    <w:rPr>
      <w:szCs w:val="24"/>
    </w:rPr>
  </w:style>
  <w:style w:type="paragraph" w:styleId="770">
    <w:name w:val="题注"/>
    <w:basedOn w:val="736"/>
    <w:next w:val="736"/>
    <w:link w:val="736"/>
    <w:uiPriority w:val="35"/>
    <w:qFormat/>
    <w:pPr>
      <w:spacing w:line="276" w:lineRule="auto"/>
    </w:pPr>
    <w:rPr>
      <w:b/>
      <w:bCs/>
      <w:color w:val="4472c4"/>
      <w:sz w:val="18"/>
      <w:szCs w:val="18"/>
    </w:rPr>
  </w:style>
  <w:style w:type="paragraph" w:styleId="771">
    <w:name w:val="索引 5"/>
    <w:basedOn w:val="736"/>
    <w:next w:val="736"/>
    <w:link w:val="736"/>
    <w:semiHidden/>
    <w:qFormat/>
    <w:pPr>
      <w:ind w:left="1680"/>
    </w:pPr>
  </w:style>
  <w:style w:type="paragraph" w:styleId="772">
    <w:name w:val="文档结构图"/>
    <w:basedOn w:val="736"/>
    <w:next w:val="772"/>
    <w:link w:val="773"/>
    <w:semiHidden/>
    <w:qFormat/>
    <w:pPr>
      <w:shd w:val="clear" w:color="auto" w:fill="000080"/>
    </w:pPr>
  </w:style>
  <w:style w:type="character" w:styleId="773">
    <w:name w:val="文档结构图 Char"/>
    <w:next w:val="773"/>
    <w:link w:val="772"/>
    <w:qFormat/>
    <w:rPr>
      <w:rFonts w:eastAsia="宋体"/>
      <w:sz w:val="21"/>
      <w:lang w:val="en-US" w:eastAsia="zh-CN" w:bidi="ar-SA"/>
    </w:rPr>
  </w:style>
  <w:style w:type="paragraph" w:styleId="774">
    <w:name w:val="批注文字"/>
    <w:basedOn w:val="736"/>
    <w:next w:val="774"/>
    <w:link w:val="775"/>
    <w:qFormat/>
    <w:pPr>
      <w:jc w:val="left"/>
    </w:pPr>
  </w:style>
  <w:style w:type="character" w:styleId="775">
    <w:name w:val="批注文字 Char"/>
    <w:next w:val="775"/>
    <w:link w:val="774"/>
    <w:qFormat/>
    <w:rPr>
      <w:rFonts w:eastAsia="宋体"/>
      <w:sz w:val="21"/>
      <w:lang w:val="en-US" w:eastAsia="zh-CN" w:bidi="ar-SA"/>
    </w:rPr>
  </w:style>
  <w:style w:type="paragraph" w:styleId="776">
    <w:name w:val="索引 6"/>
    <w:basedOn w:val="736"/>
    <w:next w:val="736"/>
    <w:link w:val="736"/>
    <w:semiHidden/>
    <w:qFormat/>
    <w:pPr>
      <w:ind w:left="2100"/>
    </w:pPr>
  </w:style>
  <w:style w:type="paragraph" w:styleId="777">
    <w:name w:val="称呼"/>
    <w:basedOn w:val="736"/>
    <w:next w:val="736"/>
    <w:link w:val="736"/>
    <w:qFormat/>
    <w:rPr>
      <w:rFonts w:ascii="方正仿宋_GB2312" w:eastAsia="方正仿宋_GB2312"/>
      <w:sz w:val="28"/>
    </w:rPr>
  </w:style>
  <w:style w:type="paragraph" w:styleId="778">
    <w:name w:val="正文文本 3"/>
    <w:basedOn w:val="736"/>
    <w:next w:val="778"/>
    <w:link w:val="736"/>
    <w:qFormat/>
    <w:rPr>
      <w:rFonts w:ascii="方正仿宋_GB2312" w:hAnsi="Arial" w:eastAsia="方正仿宋_GB2312"/>
      <w:sz w:val="32"/>
    </w:rPr>
  </w:style>
  <w:style w:type="paragraph" w:styleId="779">
    <w:name w:val="正文文本"/>
    <w:basedOn w:val="736"/>
    <w:next w:val="736"/>
    <w:link w:val="736"/>
    <w:qFormat/>
    <w:rPr>
      <w:rFonts w:ascii="方正楷体_GB2312" w:hAnsi="Arial" w:eastAsia="方正楷体_GB2312"/>
      <w:sz w:val="28"/>
    </w:rPr>
  </w:style>
  <w:style w:type="paragraph" w:styleId="780">
    <w:name w:val="正文文本缩进"/>
    <w:basedOn w:val="736"/>
    <w:next w:val="782"/>
    <w:link w:val="781"/>
    <w:qFormat/>
    <w:pPr>
      <w:ind w:firstLine="645"/>
    </w:pPr>
    <w:rPr>
      <w:rFonts w:ascii="方正楷体_GB2312" w:eastAsia="方正楷体_GB2312"/>
      <w:sz w:val="32"/>
    </w:rPr>
  </w:style>
  <w:style w:type="character" w:styleId="781">
    <w:name w:val="正文文本缩进 Char"/>
    <w:next w:val="781"/>
    <w:link w:val="780"/>
    <w:qFormat/>
    <w:rPr>
      <w:rFonts w:ascii="方正楷体_GB2312" w:eastAsia="方正楷体_GB2312"/>
      <w:sz w:val="32"/>
      <w:lang w:val="en-US" w:eastAsia="zh-CN" w:bidi="ar-SA"/>
    </w:rPr>
  </w:style>
  <w:style w:type="paragraph" w:styleId="782">
    <w:name w:val="寄信人地址"/>
    <w:basedOn w:val="736"/>
    <w:next w:val="782"/>
    <w:link w:val="736"/>
    <w:qFormat/>
    <w:rPr>
      <w:rFonts w:ascii="Arial" w:hAnsi="Arial"/>
    </w:rPr>
  </w:style>
  <w:style w:type="paragraph" w:styleId="783">
    <w:name w:val="文本块"/>
    <w:basedOn w:val="736"/>
    <w:next w:val="783"/>
    <w:link w:val="736"/>
    <w:uiPriority w:val="99"/>
    <w:unhideWhenUsed/>
    <w:qFormat/>
    <w:pPr>
      <w:ind w:left="1440" w:right="1440"/>
      <w:spacing w:after="120"/>
    </w:pPr>
  </w:style>
  <w:style w:type="paragraph" w:styleId="784">
    <w:name w:val="索引 4"/>
    <w:basedOn w:val="736"/>
    <w:next w:val="736"/>
    <w:link w:val="736"/>
    <w:semiHidden/>
    <w:qFormat/>
    <w:pPr>
      <w:ind w:left="1260"/>
    </w:pPr>
  </w:style>
  <w:style w:type="paragraph" w:styleId="785">
    <w:name w:val="目录 5"/>
    <w:basedOn w:val="736"/>
    <w:next w:val="736"/>
    <w:link w:val="736"/>
    <w:semiHidden/>
    <w:qFormat/>
    <w:pPr>
      <w:ind w:left="840"/>
      <w:jc w:val="left"/>
    </w:pPr>
    <w:rPr>
      <w:sz w:val="18"/>
    </w:rPr>
  </w:style>
  <w:style w:type="paragraph" w:styleId="786">
    <w:name w:val="目录 3"/>
    <w:basedOn w:val="736"/>
    <w:next w:val="736"/>
    <w:link w:val="736"/>
    <w:uiPriority w:val="39"/>
    <w:qFormat/>
    <w:pPr>
      <w:ind w:left="420"/>
      <w:jc w:val="left"/>
    </w:pPr>
    <w:rPr>
      <w:i/>
      <w:sz w:val="20"/>
    </w:rPr>
  </w:style>
  <w:style w:type="paragraph" w:styleId="787">
    <w:name w:val="纯文本"/>
    <w:basedOn w:val="736"/>
    <w:next w:val="736"/>
    <w:link w:val="788"/>
    <w:qFormat/>
    <w:rPr>
      <w:rFonts w:ascii="宋体" w:hAnsi="Courier New"/>
    </w:rPr>
  </w:style>
  <w:style w:type="character" w:styleId="788">
    <w:name w:val="纯文本 Char"/>
    <w:next w:val="788"/>
    <w:link w:val="787"/>
    <w:qFormat/>
    <w:rPr>
      <w:rFonts w:ascii="宋体" w:hAnsi="Courier New" w:eastAsia="宋体"/>
      <w:sz w:val="21"/>
      <w:lang w:val="en-US" w:eastAsia="zh-CN" w:bidi="ar-SA"/>
    </w:rPr>
  </w:style>
  <w:style w:type="paragraph" w:styleId="789">
    <w:name w:val="目录 8"/>
    <w:basedOn w:val="736"/>
    <w:next w:val="736"/>
    <w:link w:val="736"/>
    <w:semiHidden/>
    <w:qFormat/>
    <w:pPr>
      <w:ind w:left="1470"/>
      <w:jc w:val="left"/>
    </w:pPr>
    <w:rPr>
      <w:sz w:val="18"/>
    </w:rPr>
  </w:style>
  <w:style w:type="paragraph" w:styleId="790">
    <w:name w:val="索引 3"/>
    <w:basedOn w:val="736"/>
    <w:next w:val="736"/>
    <w:link w:val="736"/>
    <w:semiHidden/>
    <w:qFormat/>
    <w:pPr>
      <w:ind w:left="840"/>
    </w:pPr>
  </w:style>
  <w:style w:type="paragraph" w:styleId="791">
    <w:name w:val="日期"/>
    <w:basedOn w:val="736"/>
    <w:next w:val="736"/>
    <w:link w:val="736"/>
    <w:qFormat/>
    <w:pPr>
      <w:ind w:left="100"/>
    </w:pPr>
    <w:rPr>
      <w:sz w:val="28"/>
    </w:rPr>
  </w:style>
  <w:style w:type="paragraph" w:styleId="792">
    <w:name w:val="正文文本缩进 2"/>
    <w:basedOn w:val="736"/>
    <w:next w:val="736"/>
    <w:link w:val="793"/>
    <w:qFormat/>
    <w:pPr>
      <w:ind w:left="630" w:firstLine="645"/>
    </w:pPr>
    <w:rPr>
      <w:rFonts w:ascii="Arial" w:hAnsi="Arial" w:eastAsia="方正仿宋_GB2312"/>
      <w:sz w:val="32"/>
    </w:rPr>
  </w:style>
  <w:style w:type="character" w:styleId="793">
    <w:name w:val="正文文本缩进 2 Char"/>
    <w:next w:val="793"/>
    <w:link w:val="792"/>
    <w:qFormat/>
    <w:rPr>
      <w:rFonts w:ascii="Arial" w:hAnsi="Arial" w:eastAsia="方正仿宋_GB2312"/>
      <w:sz w:val="32"/>
      <w:lang w:val="en-US" w:eastAsia="zh-CN" w:bidi="ar-SA"/>
    </w:rPr>
  </w:style>
  <w:style w:type="paragraph" w:styleId="794">
    <w:name w:val="尾注文本"/>
    <w:basedOn w:val="736"/>
    <w:next w:val="794"/>
    <w:link w:val="736"/>
    <w:qFormat/>
    <w:pPr>
      <w:jc w:val="left"/>
    </w:pPr>
    <w:rPr>
      <w:sz w:val="20"/>
      <w:szCs w:val="24"/>
    </w:rPr>
  </w:style>
  <w:style w:type="paragraph" w:styleId="795">
    <w:name w:val="批注框文本"/>
    <w:basedOn w:val="736"/>
    <w:next w:val="795"/>
    <w:link w:val="736"/>
    <w:semiHidden/>
    <w:qFormat/>
    <w:rPr>
      <w:sz w:val="18"/>
      <w:szCs w:val="18"/>
    </w:rPr>
  </w:style>
  <w:style w:type="paragraph" w:styleId="796">
    <w:name w:val="页脚"/>
    <w:basedOn w:val="736"/>
    <w:next w:val="796"/>
    <w:link w:val="797"/>
    <w:qFormat/>
    <w:pPr>
      <w:jc w:val="left"/>
      <w:tabs>
        <w:tab w:val="center" w:pos="4153" w:leader="none"/>
        <w:tab w:val="right" w:pos="8306" w:leader="none"/>
      </w:tabs>
    </w:pPr>
    <w:rPr>
      <w:sz w:val="18"/>
    </w:rPr>
  </w:style>
  <w:style w:type="character" w:styleId="797">
    <w:name w:val="页脚 Char"/>
    <w:next w:val="797"/>
    <w:link w:val="796"/>
    <w:qFormat/>
    <w:rPr>
      <w:sz w:val="18"/>
    </w:rPr>
  </w:style>
  <w:style w:type="paragraph" w:styleId="798">
    <w:name w:val="页眉"/>
    <w:basedOn w:val="736"/>
    <w:next w:val="798"/>
    <w:link w:val="736"/>
    <w:qFormat/>
    <w:pPr>
      <w:jc w:val="center"/>
      <w:tabs>
        <w:tab w:val="center" w:pos="4153" w:leader="none"/>
        <w:tab w:val="right" w:pos="8306" w:leader="none"/>
      </w:tabs>
      <w:pBdr>
        <w:bottom w:val="single" w:color="000000" w:sz="6" w:space="1"/>
      </w:pBdr>
    </w:pPr>
    <w:rPr>
      <w:sz w:val="18"/>
    </w:rPr>
  </w:style>
  <w:style w:type="paragraph" w:styleId="799">
    <w:name w:val="签名"/>
    <w:basedOn w:val="736"/>
    <w:next w:val="799"/>
    <w:link w:val="736"/>
    <w:qFormat/>
    <w:pPr>
      <w:jc w:val="center"/>
      <w:spacing w:after="600" w:line="312" w:lineRule="atLeast"/>
    </w:pPr>
    <w:rPr>
      <w:rFonts w:eastAsia="方正仿宋_GB2312"/>
      <w:sz w:val="24"/>
    </w:rPr>
  </w:style>
  <w:style w:type="paragraph" w:styleId="800">
    <w:name w:val="目录 1"/>
    <w:basedOn w:val="736"/>
    <w:next w:val="736"/>
    <w:link w:val="736"/>
    <w:uiPriority w:val="39"/>
    <w:qFormat/>
    <w:pPr>
      <w:jc w:val="left"/>
      <w:spacing w:before="120" w:after="120"/>
    </w:pPr>
    <w:rPr>
      <w:b/>
      <w:caps/>
      <w:sz w:val="20"/>
    </w:rPr>
  </w:style>
  <w:style w:type="paragraph" w:styleId="801">
    <w:name w:val="目录 4"/>
    <w:basedOn w:val="736"/>
    <w:next w:val="736"/>
    <w:link w:val="736"/>
    <w:semiHidden/>
    <w:qFormat/>
    <w:pPr>
      <w:ind w:left="630"/>
      <w:jc w:val="left"/>
    </w:pPr>
    <w:rPr>
      <w:sz w:val="18"/>
    </w:rPr>
  </w:style>
  <w:style w:type="paragraph" w:styleId="802">
    <w:name w:val="索引标题"/>
    <w:basedOn w:val="736"/>
    <w:next w:val="803"/>
    <w:link w:val="736"/>
    <w:semiHidden/>
    <w:qFormat/>
  </w:style>
  <w:style w:type="paragraph" w:styleId="803">
    <w:name w:val="索引 1"/>
    <w:basedOn w:val="736"/>
    <w:next w:val="736"/>
    <w:link w:val="736"/>
    <w:semiHidden/>
    <w:qFormat/>
    <w:rPr>
      <w:rFonts w:ascii="方正仿宋_GB2312" w:hAnsi="宋体" w:eastAsia="方正仿宋_GB2312"/>
      <w:sz w:val="30"/>
      <w:szCs w:val="24"/>
    </w:rPr>
  </w:style>
  <w:style w:type="paragraph" w:styleId="804">
    <w:name w:val="副标题"/>
    <w:basedOn w:val="736"/>
    <w:next w:val="736"/>
    <w:link w:val="736"/>
    <w:qFormat/>
    <w:pPr>
      <w:jc w:val="left"/>
      <w:spacing w:after="600" w:line="276" w:lineRule="auto"/>
      <w:widowControl/>
    </w:pPr>
    <w:rPr>
      <w:rFonts w:ascii="Cambria" w:hAnsi="Cambria"/>
      <w:i/>
      <w:iCs/>
      <w:spacing w:val="13"/>
      <w:sz w:val="24"/>
      <w:szCs w:val="24"/>
      <w:lang w:eastAsia="en-US" w:bidi="en-US"/>
    </w:rPr>
  </w:style>
  <w:style w:type="paragraph" w:styleId="805">
    <w:name w:val="列表"/>
    <w:basedOn w:val="736"/>
    <w:next w:val="805"/>
    <w:link w:val="736"/>
    <w:qFormat/>
    <w:pPr>
      <w:contextualSpacing/>
      <w:ind w:left="200" w:hanging="200"/>
    </w:pPr>
  </w:style>
  <w:style w:type="paragraph" w:styleId="806">
    <w:name w:val="脚注文本"/>
    <w:basedOn w:val="736"/>
    <w:next w:val="806"/>
    <w:link w:val="736"/>
    <w:qFormat/>
    <w:pPr>
      <w:jc w:val="left"/>
    </w:pPr>
    <w:rPr>
      <w:sz w:val="18"/>
      <w:szCs w:val="18"/>
    </w:rPr>
  </w:style>
  <w:style w:type="paragraph" w:styleId="807">
    <w:name w:val="目录 6"/>
    <w:basedOn w:val="736"/>
    <w:next w:val="736"/>
    <w:link w:val="736"/>
    <w:semiHidden/>
    <w:qFormat/>
    <w:pPr>
      <w:ind w:left="1050"/>
      <w:jc w:val="left"/>
    </w:pPr>
    <w:rPr>
      <w:sz w:val="18"/>
    </w:rPr>
  </w:style>
  <w:style w:type="paragraph" w:styleId="808">
    <w:name w:val="正文文本缩进 3"/>
    <w:basedOn w:val="736"/>
    <w:next w:val="808"/>
    <w:link w:val="809"/>
    <w:qFormat/>
    <w:pPr>
      <w:ind w:left="645" w:firstLine="645"/>
    </w:pPr>
    <w:rPr>
      <w:rFonts w:ascii="Arial" w:hAnsi="Arial" w:eastAsia="方正仿宋_GB2312"/>
      <w:color w:val="ffff00"/>
      <w:sz w:val="32"/>
    </w:rPr>
  </w:style>
  <w:style w:type="character" w:styleId="809">
    <w:name w:val="正文文本缩进 3 Char"/>
    <w:next w:val="809"/>
    <w:link w:val="808"/>
    <w:qFormat/>
    <w:rPr>
      <w:rFonts w:ascii="Arial" w:hAnsi="Arial" w:eastAsia="方正仿宋_GB2312"/>
      <w:color w:val="ffff00"/>
      <w:sz w:val="32"/>
      <w:lang w:val="en-US" w:eastAsia="zh-CN" w:bidi="ar-SA"/>
    </w:rPr>
  </w:style>
  <w:style w:type="paragraph" w:styleId="810">
    <w:name w:val="索引 7"/>
    <w:basedOn w:val="736"/>
    <w:next w:val="736"/>
    <w:link w:val="736"/>
    <w:semiHidden/>
    <w:qFormat/>
    <w:pPr>
      <w:ind w:left="2520"/>
    </w:pPr>
  </w:style>
  <w:style w:type="paragraph" w:styleId="811">
    <w:name w:val="索引 9"/>
    <w:basedOn w:val="736"/>
    <w:next w:val="736"/>
    <w:link w:val="736"/>
    <w:semiHidden/>
    <w:qFormat/>
    <w:pPr>
      <w:ind w:left="3360"/>
    </w:pPr>
  </w:style>
  <w:style w:type="paragraph" w:styleId="812">
    <w:name w:val="图表目录"/>
    <w:basedOn w:val="736"/>
    <w:next w:val="736"/>
    <w:link w:val="736"/>
    <w:semiHidden/>
    <w:qFormat/>
    <w:pPr>
      <w:ind w:left="840" w:hanging="420"/>
    </w:pPr>
  </w:style>
  <w:style w:type="paragraph" w:styleId="813">
    <w:name w:val="目录 2"/>
    <w:basedOn w:val="736"/>
    <w:next w:val="736"/>
    <w:link w:val="736"/>
    <w:uiPriority w:val="39"/>
    <w:qFormat/>
    <w:pPr>
      <w:ind w:left="210"/>
      <w:jc w:val="left"/>
    </w:pPr>
    <w:rPr>
      <w:smallCaps/>
      <w:sz w:val="20"/>
    </w:rPr>
  </w:style>
  <w:style w:type="paragraph" w:styleId="814">
    <w:name w:val="目录 9"/>
    <w:basedOn w:val="736"/>
    <w:next w:val="736"/>
    <w:link w:val="736"/>
    <w:semiHidden/>
    <w:qFormat/>
    <w:pPr>
      <w:ind w:left="1680"/>
      <w:jc w:val="left"/>
    </w:pPr>
    <w:rPr>
      <w:sz w:val="18"/>
    </w:rPr>
  </w:style>
  <w:style w:type="paragraph" w:styleId="815">
    <w:name w:val="正文文本 2"/>
    <w:basedOn w:val="736"/>
    <w:next w:val="815"/>
    <w:link w:val="736"/>
    <w:qFormat/>
    <w:pPr>
      <w:jc w:val="center"/>
      <w:widowControl/>
    </w:pPr>
    <w:rPr>
      <w:rFonts w:ascii="方正楷体_GB2312" w:eastAsia="方正楷体_GB2312"/>
      <w:sz w:val="28"/>
    </w:rPr>
  </w:style>
  <w:style w:type="paragraph" w:styleId="816">
    <w:name w:val="信息标题"/>
    <w:basedOn w:val="736"/>
    <w:next w:val="816"/>
    <w:link w:val="73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7">
    <w:name w:val="HTML 预设格式"/>
    <w:basedOn w:val="736"/>
    <w:next w:val="817"/>
    <w:link w:val="81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8">
    <w:name w:val="HTML 预设格式 Char"/>
    <w:next w:val="818"/>
    <w:link w:val="817"/>
    <w:uiPriority w:val="99"/>
    <w:qFormat/>
    <w:rPr>
      <w:rFonts w:ascii="黑体" w:hAnsi="Courier New" w:eastAsia="黑体" w:cs="Courier New"/>
      <w:lang w:val="en-US" w:eastAsia="zh-CN" w:bidi="ar-SA"/>
    </w:rPr>
  </w:style>
  <w:style w:type="paragraph" w:styleId="819">
    <w:name w:val="普通(网站)"/>
    <w:basedOn w:val="736"/>
    <w:next w:val="819"/>
    <w:link w:val="736"/>
    <w:qFormat/>
    <w:pPr>
      <w:jc w:val="left"/>
      <w:spacing w:before="100" w:beforeAutospacing="1" w:after="100" w:afterAutospacing="1"/>
      <w:widowControl/>
    </w:pPr>
    <w:rPr>
      <w:rFonts w:ascii="Arial" w:hAnsi="Arial" w:eastAsia="Arial Unicode MS" w:cs="Arial"/>
      <w:sz w:val="24"/>
      <w:szCs w:val="24"/>
    </w:rPr>
  </w:style>
  <w:style w:type="paragraph" w:styleId="820">
    <w:name w:val="索引 2"/>
    <w:basedOn w:val="736"/>
    <w:next w:val="736"/>
    <w:link w:val="736"/>
    <w:semiHidden/>
    <w:qFormat/>
    <w:pPr>
      <w:ind w:left="420"/>
    </w:pPr>
  </w:style>
  <w:style w:type="paragraph" w:styleId="821">
    <w:name w:val="标题"/>
    <w:basedOn w:val="736"/>
    <w:next w:val="821"/>
    <w:link w:val="822"/>
    <w:qFormat/>
    <w:pPr>
      <w:jc w:val="center"/>
      <w:spacing w:line="420" w:lineRule="exact"/>
      <w:widowControl/>
    </w:pPr>
    <w:rPr>
      <w:rFonts w:eastAsia="黑体"/>
      <w:b/>
      <w:sz w:val="28"/>
      <w:lang w:val="en-GB"/>
    </w:rPr>
  </w:style>
  <w:style w:type="character" w:styleId="822">
    <w:name w:val="标题 Char"/>
    <w:next w:val="822"/>
    <w:link w:val="821"/>
    <w:qFormat/>
    <w:rPr>
      <w:rFonts w:eastAsia="黑体"/>
      <w:b/>
      <w:sz w:val="28"/>
      <w:lang w:val="en-GB" w:eastAsia="zh-CN" w:bidi="ar-SA"/>
    </w:rPr>
  </w:style>
  <w:style w:type="paragraph" w:styleId="823">
    <w:name w:val="批注主题"/>
    <w:basedOn w:val="774"/>
    <w:next w:val="774"/>
    <w:link w:val="824"/>
    <w:semiHidden/>
    <w:qFormat/>
    <w:rPr>
      <w:b/>
      <w:bCs/>
    </w:rPr>
  </w:style>
  <w:style w:type="character" w:styleId="824">
    <w:name w:val="批注主题 Char"/>
    <w:next w:val="824"/>
    <w:link w:val="823"/>
    <w:qFormat/>
    <w:rPr>
      <w:rFonts w:eastAsia="宋体"/>
      <w:b/>
      <w:bCs/>
      <w:sz w:val="21"/>
      <w:lang w:val="en-US" w:eastAsia="zh-CN" w:bidi="ar-SA"/>
    </w:rPr>
  </w:style>
  <w:style w:type="paragraph" w:styleId="825">
    <w:name w:val="正文首行缩进"/>
    <w:basedOn w:val="779"/>
    <w:next w:val="805"/>
    <w:link w:val="736"/>
    <w:qFormat/>
    <w:pPr>
      <w:ind w:firstLine="420"/>
      <w:spacing w:after="120"/>
    </w:pPr>
    <w:rPr>
      <w:rFonts w:ascii="Times New Roman" w:hAnsi="Times New Roman" w:eastAsia="宋体"/>
      <w:sz w:val="21"/>
      <w:szCs w:val="24"/>
    </w:rPr>
  </w:style>
  <w:style w:type="paragraph" w:styleId="826">
    <w:name w:val="正文首行缩进 2"/>
    <w:basedOn w:val="780"/>
    <w:next w:val="736"/>
    <w:link w:val="736"/>
    <w:qFormat/>
    <w:pPr>
      <w:ind w:firstLine="420"/>
    </w:pPr>
    <w:rPr>
      <w:rFonts w:ascii="Calibri" w:hAnsi="Calibri" w:cs="Calibri"/>
      <w:szCs w:val="24"/>
    </w:rPr>
  </w:style>
  <w:style w:type="table" w:styleId="827">
    <w:name w:val="网格型"/>
    <w:basedOn w:val="747"/>
    <w:next w:val="827"/>
    <w:link w:val="736"/>
    <w:qFormat/>
    <w:pPr>
      <w:jc w:val="both"/>
      <w:widowControl w:val="off"/>
    </w:pPr>
    <w:tblPr/>
  </w:style>
  <w:style w:type="character" w:styleId="828">
    <w:name w:val="要点"/>
    <w:next w:val="828"/>
    <w:link w:val="736"/>
    <w:qFormat/>
    <w:rPr>
      <w:b/>
      <w:bCs/>
    </w:rPr>
  </w:style>
  <w:style w:type="character" w:styleId="829">
    <w:name w:val="尾注引用"/>
    <w:next w:val="829"/>
    <w:link w:val="736"/>
    <w:qFormat/>
    <w:rPr>
      <w:vertAlign w:val="superscript"/>
    </w:rPr>
  </w:style>
  <w:style w:type="character" w:styleId="830">
    <w:name w:val="页码"/>
    <w:basedOn w:val="746"/>
    <w:next w:val="830"/>
    <w:link w:val="736"/>
    <w:qFormat/>
  </w:style>
  <w:style w:type="character" w:styleId="831">
    <w:name w:val="已访问的超链接"/>
    <w:basedOn w:val="746"/>
    <w:next w:val="831"/>
    <w:link w:val="736"/>
    <w:uiPriority w:val="99"/>
    <w:qFormat/>
    <w:rPr>
      <w:color w:val="000000"/>
      <w:u w:val="none"/>
    </w:rPr>
  </w:style>
  <w:style w:type="character" w:styleId="832">
    <w:name w:val="强调"/>
    <w:next w:val="832"/>
    <w:link w:val="736"/>
    <w:qFormat/>
    <w:rPr>
      <w:b/>
      <w:bCs/>
      <w:i/>
      <w:iCs/>
      <w:spacing w:val="10"/>
      <w:shd w:val="clear" w:color="auto" w:fill="auto"/>
    </w:rPr>
  </w:style>
  <w:style w:type="character" w:styleId="833">
    <w:name w:val="行号"/>
    <w:basedOn w:val="746"/>
    <w:next w:val="833"/>
    <w:link w:val="736"/>
    <w:qFormat/>
  </w:style>
  <w:style w:type="character" w:styleId="834">
    <w:name w:val="HTML 打字机"/>
    <w:next w:val="834"/>
    <w:link w:val="736"/>
    <w:qFormat/>
    <w:rPr>
      <w:rFonts w:ascii="宋体" w:hAnsi="宋体" w:eastAsia="宋体" w:cs="宋体"/>
      <w:sz w:val="24"/>
      <w:szCs w:val="24"/>
    </w:rPr>
  </w:style>
  <w:style w:type="character" w:styleId="835">
    <w:name w:val="HTML 缩写"/>
    <w:basedOn w:val="746"/>
    <w:next w:val="835"/>
    <w:link w:val="736"/>
    <w:qFormat/>
  </w:style>
  <w:style w:type="character" w:styleId="836">
    <w:name w:val="超链接"/>
    <w:basedOn w:val="746"/>
    <w:next w:val="836"/>
    <w:link w:val="736"/>
    <w:uiPriority w:val="99"/>
    <w:qFormat/>
    <w:rPr>
      <w:color w:val="000000"/>
      <w:u w:val="none"/>
    </w:rPr>
  </w:style>
  <w:style w:type="character" w:styleId="837">
    <w:name w:val="HTML 代码"/>
    <w:basedOn w:val="746"/>
    <w:next w:val="837"/>
    <w:link w:val="736"/>
    <w:qFormat/>
    <w:rPr>
      <w:rFonts w:ascii="Courier New" w:hAnsi="Courier New"/>
      <w:sz w:val="20"/>
    </w:rPr>
  </w:style>
  <w:style w:type="character" w:styleId="838">
    <w:name w:val="批注引用"/>
    <w:next w:val="838"/>
    <w:link w:val="736"/>
    <w:qFormat/>
    <w:rPr>
      <w:sz w:val="21"/>
    </w:rPr>
  </w:style>
  <w:style w:type="character" w:styleId="839">
    <w:name w:val="脚注引用"/>
    <w:next w:val="839"/>
    <w:link w:val="736"/>
    <w:qFormat/>
    <w:rPr>
      <w:vertAlign w:val="superscript"/>
    </w:rPr>
  </w:style>
  <w:style w:type="character" w:styleId="840">
    <w:name w:val="HTML 键盘"/>
    <w:basedOn w:val="746"/>
    <w:next w:val="840"/>
    <w:link w:val="736"/>
    <w:qFormat/>
    <w:rPr>
      <w:rFonts w:ascii="DejaVu Math TeX Gyre" w:hAnsi="DejaVu Math TeX Gyre" w:eastAsia="DejaVu Math TeX Gyre" w:cs="DejaVu Math TeX Gyre"/>
      <w:sz w:val="20"/>
    </w:rPr>
  </w:style>
  <w:style w:type="character" w:styleId="841">
    <w:name w:val="HTML 样本"/>
    <w:next w:val="841"/>
    <w:link w:val="736"/>
    <w:qFormat/>
    <w:rPr>
      <w:rFonts w:ascii="Courier New" w:hAnsi="宋体" w:eastAsia="宋体" w:cs="Courier New"/>
    </w:rPr>
  </w:style>
  <w:style w:type="paragraph" w:styleId="842">
    <w:name w:val="段"/>
    <w:next w:val="736"/>
    <w:link w:val="736"/>
    <w:qFormat/>
    <w:pPr>
      <w:ind w:firstLine="200"/>
      <w:jc w:val="both"/>
    </w:pPr>
    <w:rPr>
      <w:rFonts w:ascii="宋体"/>
      <w:sz w:val="21"/>
      <w:lang w:val="en-US" w:eastAsia="zh-CN" w:bidi="ar-SA"/>
    </w:rPr>
  </w:style>
  <w:style w:type="paragraph" w:styleId="843">
    <w:name w:val="索引 41"/>
    <w:basedOn w:val="736"/>
    <w:next w:val="736"/>
    <w:link w:val="736"/>
    <w:semiHidden/>
    <w:qFormat/>
    <w:pPr>
      <w:ind w:left="1260"/>
    </w:pPr>
    <w:rPr>
      <w:rFonts w:ascii="Calibri" w:hAnsi="Calibri" w:eastAsia="Calibri" w:cs="宋体"/>
      <w:sz w:val="20"/>
      <w:szCs w:val="22"/>
      <w:lang w:val="zh-CN"/>
    </w:rPr>
  </w:style>
  <w:style w:type="character" w:styleId="844">
    <w:name w:val="Heading 1 Char"/>
    <w:basedOn w:val="746"/>
    <w:next w:val="844"/>
    <w:link w:val="845"/>
    <w:uiPriority w:val="9"/>
    <w:qFormat/>
    <w:rPr>
      <w:rFonts w:ascii="Arial" w:hAnsi="Arial" w:eastAsia="Arial" w:cs="Arial"/>
      <w:sz w:val="40"/>
      <w:szCs w:val="40"/>
    </w:rPr>
  </w:style>
  <w:style w:type="paragraph" w:styleId="845">
    <w:name w:val="Heading 1"/>
    <w:basedOn w:val="736"/>
    <w:next w:val="736"/>
    <w:link w:val="844"/>
    <w:uiPriority w:val="9"/>
    <w:qFormat/>
    <w:pPr>
      <w:keepLines/>
      <w:keepNext/>
      <w:spacing w:before="480" w:after="200"/>
      <w:outlineLvl w:val="0"/>
    </w:pPr>
    <w:rPr>
      <w:rFonts w:ascii="Arial" w:hAnsi="Arial" w:eastAsia="Arial" w:cs="Arial"/>
      <w:sz w:val="40"/>
      <w:szCs w:val="40"/>
    </w:rPr>
  </w:style>
  <w:style w:type="character" w:styleId="846">
    <w:name w:val="Heading 2 Char"/>
    <w:basedOn w:val="746"/>
    <w:next w:val="846"/>
    <w:link w:val="736"/>
    <w:uiPriority w:val="9"/>
    <w:qFormat/>
    <w:rPr>
      <w:rFonts w:ascii="Arial" w:hAnsi="Arial" w:eastAsia="Arial" w:cs="Arial"/>
      <w:sz w:val="34"/>
    </w:rPr>
  </w:style>
  <w:style w:type="character" w:styleId="847">
    <w:name w:val="Heading 3 Char"/>
    <w:basedOn w:val="746"/>
    <w:next w:val="847"/>
    <w:link w:val="736"/>
    <w:uiPriority w:val="9"/>
    <w:qFormat/>
    <w:rPr>
      <w:rFonts w:ascii="Arial" w:hAnsi="Arial" w:eastAsia="Arial" w:cs="Arial"/>
      <w:sz w:val="30"/>
      <w:szCs w:val="30"/>
    </w:rPr>
  </w:style>
  <w:style w:type="character" w:styleId="848">
    <w:name w:val="Heading 4 Char"/>
    <w:basedOn w:val="746"/>
    <w:next w:val="848"/>
    <w:link w:val="736"/>
    <w:uiPriority w:val="9"/>
    <w:qFormat/>
    <w:rPr>
      <w:rFonts w:ascii="Arial" w:hAnsi="Arial" w:eastAsia="Arial" w:cs="Arial"/>
      <w:b/>
      <w:bCs/>
      <w:sz w:val="26"/>
      <w:szCs w:val="26"/>
    </w:rPr>
  </w:style>
  <w:style w:type="character" w:styleId="849">
    <w:name w:val="Heading 5 Char"/>
    <w:basedOn w:val="746"/>
    <w:next w:val="849"/>
    <w:link w:val="736"/>
    <w:uiPriority w:val="9"/>
    <w:qFormat/>
    <w:rPr>
      <w:rFonts w:ascii="Arial" w:hAnsi="Arial" w:eastAsia="Arial" w:cs="Arial"/>
      <w:b/>
      <w:bCs/>
      <w:sz w:val="24"/>
      <w:szCs w:val="24"/>
    </w:rPr>
  </w:style>
  <w:style w:type="character" w:styleId="850">
    <w:name w:val="Heading 6 Char"/>
    <w:basedOn w:val="746"/>
    <w:next w:val="850"/>
    <w:link w:val="736"/>
    <w:uiPriority w:val="9"/>
    <w:qFormat/>
    <w:rPr>
      <w:rFonts w:ascii="Arial" w:hAnsi="Arial" w:eastAsia="Arial" w:cs="Arial"/>
      <w:b/>
      <w:bCs/>
      <w:sz w:val="22"/>
      <w:szCs w:val="22"/>
    </w:rPr>
  </w:style>
  <w:style w:type="character" w:styleId="851">
    <w:name w:val="Heading 7 Char"/>
    <w:basedOn w:val="746"/>
    <w:next w:val="851"/>
    <w:link w:val="736"/>
    <w:uiPriority w:val="9"/>
    <w:qFormat/>
    <w:rPr>
      <w:rFonts w:ascii="Arial" w:hAnsi="Arial" w:eastAsia="Arial" w:cs="Arial"/>
      <w:b/>
      <w:bCs/>
      <w:i/>
      <w:iCs/>
      <w:sz w:val="22"/>
      <w:szCs w:val="22"/>
    </w:rPr>
  </w:style>
  <w:style w:type="character" w:styleId="852">
    <w:name w:val="Heading 8 Char"/>
    <w:basedOn w:val="746"/>
    <w:next w:val="852"/>
    <w:link w:val="736"/>
    <w:uiPriority w:val="9"/>
    <w:qFormat/>
    <w:rPr>
      <w:rFonts w:ascii="Arial" w:hAnsi="Arial" w:eastAsia="Arial" w:cs="Arial"/>
      <w:i/>
      <w:iCs/>
      <w:sz w:val="22"/>
      <w:szCs w:val="22"/>
    </w:rPr>
  </w:style>
  <w:style w:type="character" w:styleId="853">
    <w:name w:val="Heading 9 Char"/>
    <w:basedOn w:val="746"/>
    <w:next w:val="853"/>
    <w:link w:val="736"/>
    <w:uiPriority w:val="9"/>
    <w:qFormat/>
    <w:rPr>
      <w:rFonts w:ascii="Arial" w:hAnsi="Arial" w:eastAsia="Arial" w:cs="Arial"/>
      <w:i/>
      <w:iCs/>
      <w:sz w:val="21"/>
      <w:szCs w:val="21"/>
    </w:rPr>
  </w:style>
  <w:style w:type="character" w:styleId="854">
    <w:name w:val="Title Char"/>
    <w:basedOn w:val="746"/>
    <w:next w:val="854"/>
    <w:link w:val="736"/>
    <w:uiPriority w:val="10"/>
    <w:qFormat/>
    <w:rPr>
      <w:sz w:val="48"/>
      <w:szCs w:val="48"/>
    </w:rPr>
  </w:style>
  <w:style w:type="character" w:styleId="855">
    <w:name w:val="Subtitle Char"/>
    <w:basedOn w:val="746"/>
    <w:next w:val="855"/>
    <w:link w:val="736"/>
    <w:uiPriority w:val="11"/>
    <w:qFormat/>
    <w:rPr>
      <w:sz w:val="24"/>
      <w:szCs w:val="24"/>
    </w:rPr>
  </w:style>
  <w:style w:type="character" w:styleId="856">
    <w:name w:val="Quote Char"/>
    <w:next w:val="856"/>
    <w:link w:val="736"/>
    <w:uiPriority w:val="29"/>
    <w:qFormat/>
    <w:rPr>
      <w:i/>
    </w:rPr>
  </w:style>
  <w:style w:type="character" w:styleId="857">
    <w:name w:val="Intense Quote Char"/>
    <w:next w:val="857"/>
    <w:link w:val="736"/>
    <w:uiPriority w:val="30"/>
    <w:qFormat/>
    <w:rPr>
      <w:i/>
    </w:rPr>
  </w:style>
  <w:style w:type="character" w:styleId="858">
    <w:name w:val="Header Char"/>
    <w:basedOn w:val="746"/>
    <w:next w:val="858"/>
    <w:link w:val="736"/>
    <w:uiPriority w:val="99"/>
  </w:style>
  <w:style w:type="character" w:styleId="859">
    <w:name w:val="Footer Char"/>
    <w:basedOn w:val="746"/>
    <w:next w:val="859"/>
    <w:link w:val="736"/>
    <w:uiPriority w:val="99"/>
    <w:qFormat/>
  </w:style>
  <w:style w:type="character" w:styleId="860">
    <w:name w:val="Caption Char"/>
    <w:next w:val="860"/>
    <w:link w:val="736"/>
    <w:uiPriority w:val="99"/>
  </w:style>
  <w:style w:type="table" w:styleId="861">
    <w:name w:val="Table Grid Light"/>
    <w:basedOn w:val="747"/>
    <w:next w:val="861"/>
    <w:link w:val="736"/>
    <w:uiPriority w:val="59"/>
    <w:pPr>
      <w:spacing w:after="0" w:line="240" w:lineRule="auto"/>
    </w:pPr>
    <w:tblPr/>
  </w:style>
  <w:style w:type="table" w:styleId="862">
    <w:name w:val="Plain Table 1"/>
    <w:basedOn w:val="747"/>
    <w:next w:val="862"/>
    <w:link w:val="736"/>
    <w:uiPriority w:val="59"/>
    <w:pPr>
      <w:spacing w:after="0" w:line="240" w:lineRule="auto"/>
    </w:pPr>
    <w:tblPr/>
  </w:style>
  <w:style w:type="table" w:styleId="863">
    <w:name w:val="Plain Table 2"/>
    <w:basedOn w:val="747"/>
    <w:next w:val="863"/>
    <w:link w:val="736"/>
    <w:uiPriority w:val="59"/>
    <w:pPr>
      <w:spacing w:after="0" w:line="240" w:lineRule="auto"/>
    </w:pPr>
    <w:tblPr/>
  </w:style>
  <w:style w:type="table" w:styleId="864">
    <w:name w:val="Plain Table 3"/>
    <w:basedOn w:val="747"/>
    <w:next w:val="864"/>
    <w:link w:val="736"/>
    <w:uiPriority w:val="99"/>
    <w:qFormat/>
    <w:pPr>
      <w:spacing w:after="0" w:line="240" w:lineRule="auto"/>
    </w:pPr>
    <w:tblPr/>
  </w:style>
  <w:style w:type="table" w:styleId="865">
    <w:name w:val="Plain Table 4"/>
    <w:basedOn w:val="747"/>
    <w:next w:val="865"/>
    <w:link w:val="736"/>
    <w:uiPriority w:val="99"/>
    <w:qFormat/>
    <w:pPr>
      <w:spacing w:after="0" w:line="240" w:lineRule="auto"/>
    </w:pPr>
    <w:tblPr/>
  </w:style>
  <w:style w:type="table" w:styleId="866">
    <w:name w:val="Plain Table 5"/>
    <w:basedOn w:val="747"/>
    <w:next w:val="866"/>
    <w:link w:val="736"/>
    <w:uiPriority w:val="99"/>
    <w:qFormat/>
    <w:pPr>
      <w:spacing w:after="0" w:line="240" w:lineRule="auto"/>
    </w:pPr>
    <w:tblPr/>
  </w:style>
  <w:style w:type="table" w:styleId="867">
    <w:name w:val="Grid Table 1 Light"/>
    <w:basedOn w:val="747"/>
    <w:next w:val="867"/>
    <w:link w:val="736"/>
    <w:uiPriority w:val="99"/>
    <w:qFormat/>
    <w:pPr>
      <w:spacing w:after="0" w:line="240" w:lineRule="auto"/>
    </w:pPr>
    <w:tblPr/>
  </w:style>
  <w:style w:type="table" w:styleId="868">
    <w:name w:val="Grid Table 1 Light - Accent 1"/>
    <w:basedOn w:val="747"/>
    <w:next w:val="868"/>
    <w:link w:val="736"/>
    <w:uiPriority w:val="99"/>
    <w:qFormat/>
    <w:pPr>
      <w:spacing w:after="0" w:line="240" w:lineRule="auto"/>
    </w:pPr>
    <w:tblPr/>
  </w:style>
  <w:style w:type="table" w:styleId="869">
    <w:name w:val="Grid Table 1 Light - Accent 2"/>
    <w:basedOn w:val="747"/>
    <w:next w:val="869"/>
    <w:link w:val="736"/>
    <w:uiPriority w:val="99"/>
    <w:qFormat/>
    <w:pPr>
      <w:spacing w:after="0" w:line="240" w:lineRule="auto"/>
    </w:pPr>
    <w:tblPr/>
  </w:style>
  <w:style w:type="table" w:styleId="870">
    <w:name w:val="Grid Table 1 Light - Accent 3"/>
    <w:basedOn w:val="747"/>
    <w:next w:val="870"/>
    <w:link w:val="736"/>
    <w:uiPriority w:val="99"/>
    <w:qFormat/>
    <w:pPr>
      <w:spacing w:after="0" w:line="240" w:lineRule="auto"/>
    </w:pPr>
    <w:tblPr/>
  </w:style>
  <w:style w:type="table" w:styleId="871">
    <w:name w:val="Grid Table 1 Light - Accent 4"/>
    <w:basedOn w:val="747"/>
    <w:next w:val="871"/>
    <w:link w:val="736"/>
    <w:uiPriority w:val="99"/>
    <w:qFormat/>
    <w:pPr>
      <w:spacing w:after="0" w:line="240" w:lineRule="auto"/>
    </w:pPr>
    <w:tblPr/>
  </w:style>
  <w:style w:type="table" w:styleId="872">
    <w:name w:val="Grid Table 1 Light - Accent 5"/>
    <w:basedOn w:val="747"/>
    <w:next w:val="872"/>
    <w:link w:val="736"/>
    <w:uiPriority w:val="99"/>
    <w:qFormat/>
    <w:pPr>
      <w:spacing w:after="0" w:line="240" w:lineRule="auto"/>
    </w:pPr>
    <w:tblPr/>
  </w:style>
  <w:style w:type="table" w:styleId="873">
    <w:name w:val="Grid Table 1 Light - Accent 6"/>
    <w:basedOn w:val="747"/>
    <w:next w:val="873"/>
    <w:link w:val="736"/>
    <w:uiPriority w:val="99"/>
    <w:qFormat/>
    <w:pPr>
      <w:spacing w:after="0" w:line="240" w:lineRule="auto"/>
    </w:pPr>
    <w:tblPr/>
  </w:style>
  <w:style w:type="table" w:styleId="874">
    <w:name w:val="Grid Table 2"/>
    <w:basedOn w:val="747"/>
    <w:next w:val="874"/>
    <w:link w:val="736"/>
    <w:uiPriority w:val="99"/>
    <w:qFormat/>
    <w:pPr>
      <w:spacing w:after="0" w:line="240" w:lineRule="auto"/>
    </w:pPr>
    <w:tblPr/>
  </w:style>
  <w:style w:type="table" w:styleId="875">
    <w:name w:val="Grid Table 2 - Accent 1"/>
    <w:basedOn w:val="747"/>
    <w:next w:val="875"/>
    <w:link w:val="736"/>
    <w:uiPriority w:val="99"/>
    <w:qFormat/>
    <w:pPr>
      <w:spacing w:after="0" w:line="240" w:lineRule="auto"/>
    </w:pPr>
    <w:tblPr/>
  </w:style>
  <w:style w:type="table" w:styleId="876">
    <w:name w:val="Grid Table 2 - Accent 2"/>
    <w:basedOn w:val="747"/>
    <w:next w:val="876"/>
    <w:link w:val="736"/>
    <w:uiPriority w:val="99"/>
    <w:qFormat/>
    <w:pPr>
      <w:spacing w:after="0" w:line="240" w:lineRule="auto"/>
    </w:pPr>
    <w:tblPr/>
  </w:style>
  <w:style w:type="table" w:styleId="877">
    <w:name w:val="Grid Table 2 - Accent 3"/>
    <w:basedOn w:val="747"/>
    <w:next w:val="877"/>
    <w:link w:val="736"/>
    <w:uiPriority w:val="99"/>
    <w:qFormat/>
    <w:pPr>
      <w:spacing w:after="0" w:line="240" w:lineRule="auto"/>
    </w:pPr>
    <w:tblPr/>
  </w:style>
  <w:style w:type="table" w:styleId="878">
    <w:name w:val="Grid Table 2 - Accent 4"/>
    <w:basedOn w:val="747"/>
    <w:next w:val="878"/>
    <w:link w:val="736"/>
    <w:uiPriority w:val="99"/>
    <w:qFormat/>
    <w:pPr>
      <w:spacing w:after="0" w:line="240" w:lineRule="auto"/>
    </w:pPr>
    <w:tblPr/>
  </w:style>
  <w:style w:type="table" w:styleId="879">
    <w:name w:val="Grid Table 2 - Accent 5"/>
    <w:basedOn w:val="747"/>
    <w:next w:val="879"/>
    <w:link w:val="736"/>
    <w:uiPriority w:val="99"/>
    <w:qFormat/>
    <w:pPr>
      <w:spacing w:after="0" w:line="240" w:lineRule="auto"/>
    </w:pPr>
    <w:tblPr/>
  </w:style>
  <w:style w:type="table" w:styleId="880">
    <w:name w:val="Grid Table 2 - Accent 6"/>
    <w:basedOn w:val="747"/>
    <w:next w:val="880"/>
    <w:link w:val="736"/>
    <w:uiPriority w:val="99"/>
    <w:qFormat/>
    <w:pPr>
      <w:spacing w:after="0" w:line="240" w:lineRule="auto"/>
    </w:pPr>
    <w:tblPr/>
  </w:style>
  <w:style w:type="table" w:styleId="881">
    <w:name w:val="Grid Table 3"/>
    <w:basedOn w:val="747"/>
    <w:next w:val="881"/>
    <w:link w:val="736"/>
    <w:uiPriority w:val="99"/>
    <w:qFormat/>
    <w:pPr>
      <w:spacing w:after="0" w:line="240" w:lineRule="auto"/>
    </w:pPr>
    <w:tblPr/>
  </w:style>
  <w:style w:type="table" w:styleId="882">
    <w:name w:val="Grid Table 3 - Accent 1"/>
    <w:basedOn w:val="747"/>
    <w:next w:val="882"/>
    <w:link w:val="736"/>
    <w:uiPriority w:val="99"/>
    <w:qFormat/>
    <w:pPr>
      <w:spacing w:after="0" w:line="240" w:lineRule="auto"/>
    </w:pPr>
    <w:tblPr/>
  </w:style>
  <w:style w:type="table" w:styleId="883">
    <w:name w:val="Grid Table 3 - Accent 2"/>
    <w:basedOn w:val="747"/>
    <w:next w:val="883"/>
    <w:link w:val="736"/>
    <w:uiPriority w:val="99"/>
    <w:qFormat/>
    <w:pPr>
      <w:spacing w:after="0" w:line="240" w:lineRule="auto"/>
    </w:pPr>
    <w:tblPr/>
  </w:style>
  <w:style w:type="table" w:styleId="884">
    <w:name w:val="Grid Table 3 - Accent 3"/>
    <w:basedOn w:val="747"/>
    <w:next w:val="884"/>
    <w:link w:val="736"/>
    <w:uiPriority w:val="99"/>
    <w:qFormat/>
    <w:pPr>
      <w:spacing w:after="0" w:line="240" w:lineRule="auto"/>
    </w:pPr>
    <w:tblPr/>
  </w:style>
  <w:style w:type="table" w:styleId="885">
    <w:name w:val="Grid Table 3 - Accent 4"/>
    <w:basedOn w:val="747"/>
    <w:next w:val="885"/>
    <w:link w:val="736"/>
    <w:uiPriority w:val="99"/>
    <w:qFormat/>
    <w:pPr>
      <w:spacing w:after="0" w:line="240" w:lineRule="auto"/>
    </w:pPr>
    <w:tblPr/>
  </w:style>
  <w:style w:type="table" w:styleId="886">
    <w:name w:val="Grid Table 3 - Accent 5"/>
    <w:basedOn w:val="747"/>
    <w:next w:val="886"/>
    <w:link w:val="736"/>
    <w:uiPriority w:val="99"/>
    <w:qFormat/>
    <w:pPr>
      <w:spacing w:after="0" w:line="240" w:lineRule="auto"/>
    </w:pPr>
    <w:tblPr/>
  </w:style>
  <w:style w:type="table" w:styleId="887">
    <w:name w:val="Grid Table 3 - Accent 6"/>
    <w:basedOn w:val="747"/>
    <w:next w:val="887"/>
    <w:link w:val="736"/>
    <w:uiPriority w:val="99"/>
    <w:qFormat/>
    <w:pPr>
      <w:spacing w:after="0" w:line="240" w:lineRule="auto"/>
    </w:pPr>
    <w:tblPr/>
  </w:style>
  <w:style w:type="table" w:styleId="888">
    <w:name w:val="Grid Table 4"/>
    <w:basedOn w:val="747"/>
    <w:next w:val="888"/>
    <w:link w:val="736"/>
    <w:uiPriority w:val="59"/>
    <w:qFormat/>
    <w:pPr>
      <w:spacing w:after="0" w:line="240" w:lineRule="auto"/>
    </w:pPr>
    <w:tblPr/>
  </w:style>
  <w:style w:type="table" w:styleId="889">
    <w:name w:val="Grid Table 4 - Accent 1"/>
    <w:basedOn w:val="747"/>
    <w:next w:val="889"/>
    <w:link w:val="736"/>
    <w:uiPriority w:val="59"/>
    <w:qFormat/>
    <w:pPr>
      <w:spacing w:after="0" w:line="240" w:lineRule="auto"/>
    </w:pPr>
    <w:tblPr/>
  </w:style>
  <w:style w:type="table" w:styleId="890">
    <w:name w:val="Grid Table 4 - Accent 2"/>
    <w:basedOn w:val="747"/>
    <w:next w:val="890"/>
    <w:link w:val="736"/>
    <w:uiPriority w:val="59"/>
    <w:qFormat/>
    <w:pPr>
      <w:spacing w:after="0" w:line="240" w:lineRule="auto"/>
    </w:pPr>
    <w:tblPr/>
  </w:style>
  <w:style w:type="table" w:styleId="891">
    <w:name w:val="Grid Table 4 - Accent 3"/>
    <w:basedOn w:val="747"/>
    <w:next w:val="891"/>
    <w:link w:val="736"/>
    <w:uiPriority w:val="59"/>
    <w:qFormat/>
    <w:pPr>
      <w:spacing w:after="0" w:line="240" w:lineRule="auto"/>
    </w:pPr>
    <w:tblPr/>
  </w:style>
  <w:style w:type="table" w:styleId="892">
    <w:name w:val="Grid Table 4 - Accent 4"/>
    <w:basedOn w:val="747"/>
    <w:next w:val="892"/>
    <w:link w:val="736"/>
    <w:uiPriority w:val="59"/>
    <w:qFormat/>
    <w:pPr>
      <w:spacing w:after="0" w:line="240" w:lineRule="auto"/>
    </w:pPr>
    <w:tblPr/>
  </w:style>
  <w:style w:type="table" w:styleId="893">
    <w:name w:val="Grid Table 4 - Accent 5"/>
    <w:basedOn w:val="747"/>
    <w:next w:val="893"/>
    <w:link w:val="736"/>
    <w:uiPriority w:val="59"/>
    <w:qFormat/>
    <w:pPr>
      <w:spacing w:after="0" w:line="240" w:lineRule="auto"/>
    </w:pPr>
    <w:tblPr/>
  </w:style>
  <w:style w:type="table" w:styleId="894">
    <w:name w:val="Grid Table 4 - Accent 6"/>
    <w:basedOn w:val="747"/>
    <w:next w:val="894"/>
    <w:link w:val="736"/>
    <w:uiPriority w:val="59"/>
    <w:qFormat/>
    <w:pPr>
      <w:spacing w:after="0" w:line="240" w:lineRule="auto"/>
    </w:pPr>
    <w:tblPr/>
  </w:style>
  <w:style w:type="table" w:styleId="895">
    <w:name w:val="Grid Table 5 Dark"/>
    <w:basedOn w:val="747"/>
    <w:next w:val="895"/>
    <w:link w:val="736"/>
    <w:uiPriority w:val="99"/>
    <w:qFormat/>
    <w:pPr>
      <w:spacing w:after="0" w:line="240" w:lineRule="auto"/>
    </w:pPr>
    <w:tblPr/>
  </w:style>
  <w:style w:type="table" w:styleId="896">
    <w:name w:val="Grid Table 5 Dark- Accent 1"/>
    <w:basedOn w:val="747"/>
    <w:next w:val="896"/>
    <w:link w:val="736"/>
    <w:uiPriority w:val="99"/>
    <w:qFormat/>
    <w:pPr>
      <w:spacing w:after="0" w:line="240" w:lineRule="auto"/>
    </w:pPr>
    <w:tblPr/>
  </w:style>
  <w:style w:type="table" w:styleId="897">
    <w:name w:val="Grid Table 5 Dark - Accent 2"/>
    <w:basedOn w:val="747"/>
    <w:next w:val="897"/>
    <w:link w:val="736"/>
    <w:uiPriority w:val="99"/>
    <w:qFormat/>
    <w:pPr>
      <w:spacing w:after="0" w:line="240" w:lineRule="auto"/>
    </w:pPr>
    <w:tblPr/>
  </w:style>
  <w:style w:type="table" w:styleId="898">
    <w:name w:val="Grid Table 5 Dark - Accent 3"/>
    <w:basedOn w:val="747"/>
    <w:next w:val="898"/>
    <w:link w:val="736"/>
    <w:uiPriority w:val="99"/>
    <w:qFormat/>
    <w:pPr>
      <w:spacing w:after="0" w:line="240" w:lineRule="auto"/>
    </w:pPr>
    <w:tblPr/>
  </w:style>
  <w:style w:type="table" w:styleId="899">
    <w:name w:val="Grid Table 5 Dark- Accent 4"/>
    <w:basedOn w:val="747"/>
    <w:next w:val="899"/>
    <w:link w:val="736"/>
    <w:uiPriority w:val="99"/>
    <w:qFormat/>
    <w:pPr>
      <w:spacing w:after="0" w:line="240" w:lineRule="auto"/>
    </w:pPr>
    <w:tblPr/>
  </w:style>
  <w:style w:type="table" w:styleId="900">
    <w:name w:val="Grid Table 5 Dark - Accent 5"/>
    <w:basedOn w:val="747"/>
    <w:next w:val="900"/>
    <w:link w:val="736"/>
    <w:uiPriority w:val="99"/>
    <w:qFormat/>
    <w:pPr>
      <w:spacing w:after="0" w:line="240" w:lineRule="auto"/>
    </w:pPr>
    <w:tblPr/>
  </w:style>
  <w:style w:type="table" w:styleId="901">
    <w:name w:val="Grid Table 5 Dark - Accent 6"/>
    <w:basedOn w:val="747"/>
    <w:next w:val="901"/>
    <w:link w:val="736"/>
    <w:uiPriority w:val="99"/>
    <w:qFormat/>
    <w:pPr>
      <w:spacing w:after="0" w:line="240" w:lineRule="auto"/>
    </w:pPr>
    <w:tblPr/>
  </w:style>
  <w:style w:type="table" w:styleId="902">
    <w:name w:val="Grid Table 6 Colorful"/>
    <w:basedOn w:val="747"/>
    <w:next w:val="902"/>
    <w:link w:val="736"/>
    <w:uiPriority w:val="99"/>
    <w:qFormat/>
    <w:pPr>
      <w:spacing w:after="0" w:line="240" w:lineRule="auto"/>
    </w:pPr>
    <w:tblPr/>
  </w:style>
  <w:style w:type="table" w:styleId="903">
    <w:name w:val="Grid Table 6 Colorful - Accent 1"/>
    <w:basedOn w:val="747"/>
    <w:next w:val="903"/>
    <w:link w:val="736"/>
    <w:uiPriority w:val="99"/>
    <w:qFormat/>
    <w:pPr>
      <w:spacing w:after="0" w:line="240" w:lineRule="auto"/>
    </w:pPr>
    <w:tblPr/>
  </w:style>
  <w:style w:type="table" w:styleId="904">
    <w:name w:val="Grid Table 6 Colorful - Accent 2"/>
    <w:basedOn w:val="747"/>
    <w:next w:val="904"/>
    <w:link w:val="736"/>
    <w:uiPriority w:val="99"/>
    <w:qFormat/>
    <w:pPr>
      <w:spacing w:after="0" w:line="240" w:lineRule="auto"/>
    </w:pPr>
    <w:tblPr/>
  </w:style>
  <w:style w:type="table" w:styleId="905">
    <w:name w:val="Grid Table 6 Colorful - Accent 3"/>
    <w:basedOn w:val="747"/>
    <w:next w:val="905"/>
    <w:link w:val="736"/>
    <w:uiPriority w:val="99"/>
    <w:qFormat/>
    <w:pPr>
      <w:spacing w:after="0" w:line="240" w:lineRule="auto"/>
    </w:pPr>
    <w:tblPr/>
  </w:style>
  <w:style w:type="table" w:styleId="906">
    <w:name w:val="Grid Table 6 Colorful - Accent 4"/>
    <w:basedOn w:val="747"/>
    <w:next w:val="906"/>
    <w:link w:val="736"/>
    <w:uiPriority w:val="99"/>
    <w:qFormat/>
    <w:pPr>
      <w:spacing w:after="0" w:line="240" w:lineRule="auto"/>
    </w:pPr>
    <w:tblPr/>
  </w:style>
  <w:style w:type="table" w:styleId="907">
    <w:name w:val="Grid Table 6 Colorful - Accent 5"/>
    <w:basedOn w:val="747"/>
    <w:next w:val="907"/>
    <w:link w:val="736"/>
    <w:uiPriority w:val="99"/>
    <w:qFormat/>
    <w:pPr>
      <w:spacing w:after="0" w:line="240" w:lineRule="auto"/>
    </w:pPr>
    <w:tblPr/>
  </w:style>
  <w:style w:type="table" w:styleId="908">
    <w:name w:val="Grid Table 6 Colorful - Accent 6"/>
    <w:basedOn w:val="747"/>
    <w:next w:val="908"/>
    <w:link w:val="736"/>
    <w:uiPriority w:val="99"/>
    <w:qFormat/>
    <w:pPr>
      <w:spacing w:after="0" w:line="240" w:lineRule="auto"/>
    </w:pPr>
    <w:tblPr/>
  </w:style>
  <w:style w:type="table" w:styleId="909">
    <w:name w:val="Grid Table 7 Colorful"/>
    <w:basedOn w:val="747"/>
    <w:next w:val="909"/>
    <w:link w:val="736"/>
    <w:uiPriority w:val="99"/>
    <w:qFormat/>
    <w:pPr>
      <w:spacing w:after="0" w:line="240" w:lineRule="auto"/>
    </w:pPr>
    <w:tblPr/>
  </w:style>
  <w:style w:type="table" w:styleId="910">
    <w:name w:val="Grid Table 7 Colorful - Accent 1"/>
    <w:basedOn w:val="747"/>
    <w:next w:val="910"/>
    <w:link w:val="736"/>
    <w:uiPriority w:val="99"/>
    <w:qFormat/>
    <w:pPr>
      <w:spacing w:after="0" w:line="240" w:lineRule="auto"/>
    </w:pPr>
    <w:tblPr/>
  </w:style>
  <w:style w:type="table" w:styleId="911">
    <w:name w:val="Grid Table 7 Colorful - Accent 2"/>
    <w:basedOn w:val="747"/>
    <w:next w:val="911"/>
    <w:link w:val="736"/>
    <w:uiPriority w:val="99"/>
    <w:qFormat/>
    <w:pPr>
      <w:spacing w:after="0" w:line="240" w:lineRule="auto"/>
    </w:pPr>
    <w:tblPr/>
  </w:style>
  <w:style w:type="table" w:styleId="912">
    <w:name w:val="Grid Table 7 Colorful - Accent 3"/>
    <w:basedOn w:val="747"/>
    <w:next w:val="912"/>
    <w:link w:val="736"/>
    <w:uiPriority w:val="99"/>
    <w:qFormat/>
    <w:pPr>
      <w:spacing w:after="0" w:line="240" w:lineRule="auto"/>
    </w:pPr>
    <w:tblPr/>
  </w:style>
  <w:style w:type="table" w:styleId="913">
    <w:name w:val="Grid Table 7 Colorful - Accent 4"/>
    <w:basedOn w:val="747"/>
    <w:next w:val="913"/>
    <w:link w:val="736"/>
    <w:uiPriority w:val="99"/>
    <w:qFormat/>
    <w:pPr>
      <w:spacing w:after="0" w:line="240" w:lineRule="auto"/>
    </w:pPr>
    <w:tblPr/>
  </w:style>
  <w:style w:type="table" w:styleId="914">
    <w:name w:val="Grid Table 7 Colorful - Accent 5"/>
    <w:basedOn w:val="747"/>
    <w:next w:val="914"/>
    <w:link w:val="736"/>
    <w:uiPriority w:val="99"/>
    <w:qFormat/>
    <w:pPr>
      <w:spacing w:after="0" w:line="240" w:lineRule="auto"/>
    </w:pPr>
    <w:tblPr/>
  </w:style>
  <w:style w:type="table" w:styleId="915">
    <w:name w:val="Grid Table 7 Colorful - Accent 6"/>
    <w:basedOn w:val="747"/>
    <w:next w:val="915"/>
    <w:link w:val="736"/>
    <w:uiPriority w:val="99"/>
    <w:qFormat/>
    <w:pPr>
      <w:spacing w:after="0" w:line="240" w:lineRule="auto"/>
    </w:pPr>
    <w:tblPr/>
  </w:style>
  <w:style w:type="table" w:styleId="916">
    <w:name w:val="List Table 1 Light"/>
    <w:basedOn w:val="747"/>
    <w:next w:val="916"/>
    <w:link w:val="736"/>
    <w:uiPriority w:val="99"/>
    <w:qFormat/>
    <w:pPr>
      <w:spacing w:after="0" w:line="240" w:lineRule="auto"/>
    </w:pPr>
    <w:tblPr/>
  </w:style>
  <w:style w:type="table" w:styleId="917">
    <w:name w:val="List Table 1 Light - Accent 1"/>
    <w:basedOn w:val="747"/>
    <w:next w:val="917"/>
    <w:link w:val="736"/>
    <w:uiPriority w:val="99"/>
    <w:qFormat/>
    <w:pPr>
      <w:spacing w:after="0" w:line="240" w:lineRule="auto"/>
    </w:pPr>
    <w:tblPr/>
  </w:style>
  <w:style w:type="table" w:styleId="918">
    <w:name w:val="List Table 1 Light - Accent 2"/>
    <w:basedOn w:val="747"/>
    <w:next w:val="918"/>
    <w:link w:val="736"/>
    <w:uiPriority w:val="99"/>
    <w:qFormat/>
    <w:pPr>
      <w:spacing w:after="0" w:line="240" w:lineRule="auto"/>
    </w:pPr>
    <w:tblPr/>
  </w:style>
  <w:style w:type="table" w:styleId="919">
    <w:name w:val="List Table 1 Light - Accent 3"/>
    <w:basedOn w:val="747"/>
    <w:next w:val="919"/>
    <w:link w:val="736"/>
    <w:uiPriority w:val="99"/>
    <w:qFormat/>
    <w:pPr>
      <w:spacing w:after="0" w:line="240" w:lineRule="auto"/>
    </w:pPr>
    <w:tblPr/>
  </w:style>
  <w:style w:type="table" w:styleId="920">
    <w:name w:val="List Table 1 Light - Accent 4"/>
    <w:basedOn w:val="747"/>
    <w:next w:val="920"/>
    <w:link w:val="736"/>
    <w:uiPriority w:val="99"/>
    <w:qFormat/>
    <w:pPr>
      <w:spacing w:after="0" w:line="240" w:lineRule="auto"/>
    </w:pPr>
    <w:tblPr/>
  </w:style>
  <w:style w:type="table" w:styleId="921">
    <w:name w:val="List Table 1 Light - Accent 5"/>
    <w:basedOn w:val="747"/>
    <w:next w:val="921"/>
    <w:link w:val="736"/>
    <w:uiPriority w:val="99"/>
    <w:qFormat/>
    <w:pPr>
      <w:spacing w:after="0" w:line="240" w:lineRule="auto"/>
    </w:pPr>
    <w:tblPr/>
  </w:style>
  <w:style w:type="table" w:styleId="922">
    <w:name w:val="List Table 1 Light - Accent 6"/>
    <w:basedOn w:val="747"/>
    <w:next w:val="922"/>
    <w:link w:val="736"/>
    <w:uiPriority w:val="99"/>
    <w:qFormat/>
    <w:pPr>
      <w:spacing w:after="0" w:line="240" w:lineRule="auto"/>
    </w:pPr>
    <w:tblPr/>
  </w:style>
  <w:style w:type="table" w:styleId="923">
    <w:name w:val="List Table 2"/>
    <w:basedOn w:val="747"/>
    <w:next w:val="923"/>
    <w:link w:val="736"/>
    <w:uiPriority w:val="99"/>
    <w:qFormat/>
    <w:pPr>
      <w:spacing w:after="0" w:line="240" w:lineRule="auto"/>
    </w:pPr>
    <w:tblPr/>
  </w:style>
  <w:style w:type="table" w:styleId="924">
    <w:name w:val="List Table 2 - Accent 1"/>
    <w:basedOn w:val="747"/>
    <w:next w:val="924"/>
    <w:link w:val="736"/>
    <w:uiPriority w:val="99"/>
    <w:qFormat/>
    <w:pPr>
      <w:spacing w:after="0" w:line="240" w:lineRule="auto"/>
    </w:pPr>
    <w:tblPr/>
  </w:style>
  <w:style w:type="table" w:styleId="925">
    <w:name w:val="List Table 2 - Accent 2"/>
    <w:basedOn w:val="747"/>
    <w:next w:val="925"/>
    <w:link w:val="736"/>
    <w:uiPriority w:val="99"/>
    <w:qFormat/>
    <w:pPr>
      <w:spacing w:after="0" w:line="240" w:lineRule="auto"/>
    </w:pPr>
    <w:tblPr/>
  </w:style>
  <w:style w:type="table" w:styleId="926">
    <w:name w:val="List Table 2 - Accent 3"/>
    <w:basedOn w:val="747"/>
    <w:next w:val="926"/>
    <w:link w:val="736"/>
    <w:uiPriority w:val="99"/>
    <w:qFormat/>
    <w:pPr>
      <w:spacing w:after="0" w:line="240" w:lineRule="auto"/>
    </w:pPr>
    <w:tblPr/>
  </w:style>
  <w:style w:type="table" w:styleId="927">
    <w:name w:val="List Table 2 - Accent 4"/>
    <w:basedOn w:val="747"/>
    <w:next w:val="927"/>
    <w:link w:val="736"/>
    <w:uiPriority w:val="99"/>
    <w:qFormat/>
    <w:pPr>
      <w:spacing w:after="0" w:line="240" w:lineRule="auto"/>
    </w:pPr>
    <w:tblPr/>
  </w:style>
  <w:style w:type="table" w:styleId="928">
    <w:name w:val="List Table 2 - Accent 5"/>
    <w:basedOn w:val="747"/>
    <w:next w:val="928"/>
    <w:link w:val="736"/>
    <w:uiPriority w:val="99"/>
    <w:qFormat/>
    <w:pPr>
      <w:spacing w:after="0" w:line="240" w:lineRule="auto"/>
    </w:pPr>
    <w:tblPr/>
  </w:style>
  <w:style w:type="table" w:styleId="929">
    <w:name w:val="List Table 2 - Accent 6"/>
    <w:basedOn w:val="747"/>
    <w:next w:val="929"/>
    <w:link w:val="736"/>
    <w:uiPriority w:val="99"/>
    <w:qFormat/>
    <w:pPr>
      <w:spacing w:after="0" w:line="240" w:lineRule="auto"/>
    </w:pPr>
    <w:tblPr/>
  </w:style>
  <w:style w:type="table" w:styleId="930">
    <w:name w:val="List Table 3"/>
    <w:basedOn w:val="747"/>
    <w:next w:val="930"/>
    <w:link w:val="736"/>
    <w:uiPriority w:val="99"/>
    <w:qFormat/>
    <w:pPr>
      <w:spacing w:after="0" w:line="240" w:lineRule="auto"/>
    </w:pPr>
    <w:tblPr/>
  </w:style>
  <w:style w:type="table" w:styleId="931">
    <w:name w:val="List Table 3 - Accent 1"/>
    <w:basedOn w:val="747"/>
    <w:next w:val="931"/>
    <w:link w:val="736"/>
    <w:uiPriority w:val="99"/>
    <w:qFormat/>
    <w:pPr>
      <w:spacing w:after="0" w:line="240" w:lineRule="auto"/>
    </w:pPr>
    <w:tblPr/>
  </w:style>
  <w:style w:type="table" w:styleId="932">
    <w:name w:val="List Table 3 - Accent 2"/>
    <w:basedOn w:val="747"/>
    <w:next w:val="932"/>
    <w:link w:val="736"/>
    <w:uiPriority w:val="99"/>
    <w:qFormat/>
    <w:pPr>
      <w:spacing w:after="0" w:line="240" w:lineRule="auto"/>
    </w:pPr>
    <w:tblPr/>
  </w:style>
  <w:style w:type="table" w:styleId="933">
    <w:name w:val="List Table 3 - Accent 3"/>
    <w:basedOn w:val="747"/>
    <w:next w:val="933"/>
    <w:link w:val="736"/>
    <w:uiPriority w:val="99"/>
    <w:qFormat/>
    <w:pPr>
      <w:spacing w:after="0" w:line="240" w:lineRule="auto"/>
    </w:pPr>
    <w:tblPr/>
  </w:style>
  <w:style w:type="table" w:styleId="934">
    <w:name w:val="List Table 3 - Accent 4"/>
    <w:basedOn w:val="747"/>
    <w:next w:val="934"/>
    <w:link w:val="736"/>
    <w:uiPriority w:val="99"/>
    <w:qFormat/>
    <w:pPr>
      <w:spacing w:after="0" w:line="240" w:lineRule="auto"/>
    </w:pPr>
    <w:tblPr/>
  </w:style>
  <w:style w:type="table" w:styleId="935">
    <w:name w:val="List Table 3 - Accent 5"/>
    <w:basedOn w:val="747"/>
    <w:next w:val="935"/>
    <w:link w:val="736"/>
    <w:uiPriority w:val="99"/>
    <w:qFormat/>
    <w:pPr>
      <w:spacing w:after="0" w:line="240" w:lineRule="auto"/>
    </w:pPr>
    <w:tblPr/>
  </w:style>
  <w:style w:type="table" w:styleId="936">
    <w:name w:val="List Table 3 - Accent 6"/>
    <w:basedOn w:val="747"/>
    <w:next w:val="936"/>
    <w:link w:val="736"/>
    <w:uiPriority w:val="99"/>
    <w:qFormat/>
    <w:pPr>
      <w:spacing w:after="0" w:line="240" w:lineRule="auto"/>
    </w:pPr>
    <w:tblPr/>
  </w:style>
  <w:style w:type="table" w:styleId="937">
    <w:name w:val="List Table 4"/>
    <w:basedOn w:val="747"/>
    <w:next w:val="937"/>
    <w:link w:val="736"/>
    <w:uiPriority w:val="99"/>
    <w:qFormat/>
    <w:pPr>
      <w:spacing w:after="0" w:line="240" w:lineRule="auto"/>
    </w:pPr>
    <w:tblPr/>
  </w:style>
  <w:style w:type="table" w:styleId="938">
    <w:name w:val="List Table 4 - Accent 1"/>
    <w:basedOn w:val="747"/>
    <w:next w:val="938"/>
    <w:link w:val="736"/>
    <w:uiPriority w:val="99"/>
    <w:qFormat/>
    <w:pPr>
      <w:spacing w:after="0" w:line="240" w:lineRule="auto"/>
    </w:pPr>
    <w:tblPr/>
  </w:style>
  <w:style w:type="table" w:styleId="939">
    <w:name w:val="List Table 4 - Accent 2"/>
    <w:basedOn w:val="747"/>
    <w:next w:val="939"/>
    <w:link w:val="736"/>
    <w:uiPriority w:val="99"/>
    <w:qFormat/>
    <w:pPr>
      <w:spacing w:after="0" w:line="240" w:lineRule="auto"/>
    </w:pPr>
    <w:tblPr/>
  </w:style>
  <w:style w:type="table" w:styleId="940">
    <w:name w:val="List Table 4 - Accent 3"/>
    <w:basedOn w:val="747"/>
    <w:next w:val="940"/>
    <w:link w:val="736"/>
    <w:uiPriority w:val="99"/>
    <w:qFormat/>
    <w:pPr>
      <w:spacing w:after="0" w:line="240" w:lineRule="auto"/>
    </w:pPr>
    <w:tblPr/>
  </w:style>
  <w:style w:type="table" w:styleId="941">
    <w:name w:val="List Table 4 - Accent 4"/>
    <w:basedOn w:val="747"/>
    <w:next w:val="941"/>
    <w:link w:val="736"/>
    <w:uiPriority w:val="99"/>
    <w:qFormat/>
    <w:pPr>
      <w:spacing w:after="0" w:line="240" w:lineRule="auto"/>
    </w:pPr>
    <w:tblPr/>
  </w:style>
  <w:style w:type="table" w:styleId="942">
    <w:name w:val="List Table 4 - Accent 5"/>
    <w:basedOn w:val="747"/>
    <w:next w:val="942"/>
    <w:link w:val="736"/>
    <w:uiPriority w:val="99"/>
    <w:qFormat/>
    <w:pPr>
      <w:spacing w:after="0" w:line="240" w:lineRule="auto"/>
    </w:pPr>
    <w:tblPr/>
  </w:style>
  <w:style w:type="table" w:styleId="943">
    <w:name w:val="List Table 4 - Accent 6"/>
    <w:basedOn w:val="747"/>
    <w:next w:val="943"/>
    <w:link w:val="736"/>
    <w:uiPriority w:val="99"/>
    <w:qFormat/>
    <w:pPr>
      <w:spacing w:after="0" w:line="240" w:lineRule="auto"/>
    </w:pPr>
    <w:tblPr/>
  </w:style>
  <w:style w:type="table" w:styleId="944">
    <w:name w:val="List Table 5 Dark"/>
    <w:basedOn w:val="747"/>
    <w:next w:val="944"/>
    <w:link w:val="736"/>
    <w:uiPriority w:val="99"/>
    <w:qFormat/>
    <w:pPr>
      <w:spacing w:after="0" w:line="240" w:lineRule="auto"/>
    </w:pPr>
    <w:tblPr/>
  </w:style>
  <w:style w:type="table" w:styleId="945">
    <w:name w:val="List Table 5 Dark - Accent 1"/>
    <w:basedOn w:val="747"/>
    <w:next w:val="945"/>
    <w:link w:val="736"/>
    <w:uiPriority w:val="99"/>
    <w:qFormat/>
    <w:pPr>
      <w:spacing w:after="0" w:line="240" w:lineRule="auto"/>
    </w:pPr>
    <w:tblPr/>
  </w:style>
  <w:style w:type="table" w:styleId="946">
    <w:name w:val="List Table 5 Dark - Accent 2"/>
    <w:basedOn w:val="747"/>
    <w:next w:val="946"/>
    <w:link w:val="736"/>
    <w:uiPriority w:val="99"/>
    <w:qFormat/>
    <w:pPr>
      <w:spacing w:after="0" w:line="240" w:lineRule="auto"/>
    </w:pPr>
    <w:tblPr/>
  </w:style>
  <w:style w:type="table" w:styleId="947">
    <w:name w:val="List Table 5 Dark - Accent 3"/>
    <w:basedOn w:val="747"/>
    <w:next w:val="947"/>
    <w:link w:val="736"/>
    <w:uiPriority w:val="99"/>
    <w:qFormat/>
    <w:pPr>
      <w:spacing w:after="0" w:line="240" w:lineRule="auto"/>
    </w:pPr>
    <w:tblPr/>
  </w:style>
  <w:style w:type="table" w:styleId="948">
    <w:name w:val="List Table 5 Dark - Accent 4"/>
    <w:basedOn w:val="747"/>
    <w:next w:val="948"/>
    <w:link w:val="736"/>
    <w:uiPriority w:val="99"/>
    <w:qFormat/>
    <w:pPr>
      <w:spacing w:after="0" w:line="240" w:lineRule="auto"/>
    </w:pPr>
    <w:tblPr/>
  </w:style>
  <w:style w:type="table" w:styleId="949">
    <w:name w:val="List Table 5 Dark - Accent 5"/>
    <w:basedOn w:val="747"/>
    <w:next w:val="949"/>
    <w:link w:val="736"/>
    <w:uiPriority w:val="99"/>
    <w:qFormat/>
    <w:pPr>
      <w:spacing w:after="0" w:line="240" w:lineRule="auto"/>
    </w:pPr>
    <w:tblPr/>
  </w:style>
  <w:style w:type="table" w:styleId="950">
    <w:name w:val="List Table 5 Dark - Accent 6"/>
    <w:basedOn w:val="747"/>
    <w:next w:val="950"/>
    <w:link w:val="736"/>
    <w:uiPriority w:val="99"/>
    <w:qFormat/>
    <w:pPr>
      <w:spacing w:after="0" w:line="240" w:lineRule="auto"/>
    </w:pPr>
    <w:tblPr/>
  </w:style>
  <w:style w:type="table" w:styleId="951">
    <w:name w:val="List Table 6 Colorful"/>
    <w:basedOn w:val="747"/>
    <w:next w:val="951"/>
    <w:link w:val="736"/>
    <w:uiPriority w:val="99"/>
    <w:qFormat/>
    <w:pPr>
      <w:spacing w:after="0" w:line="240" w:lineRule="auto"/>
    </w:pPr>
    <w:tblPr/>
  </w:style>
  <w:style w:type="table" w:styleId="952">
    <w:name w:val="List Table 6 Colorful - Accent 1"/>
    <w:basedOn w:val="747"/>
    <w:next w:val="952"/>
    <w:link w:val="736"/>
    <w:uiPriority w:val="99"/>
    <w:qFormat/>
    <w:pPr>
      <w:spacing w:after="0" w:line="240" w:lineRule="auto"/>
    </w:pPr>
    <w:tblPr/>
  </w:style>
  <w:style w:type="table" w:styleId="953">
    <w:name w:val="List Table 6 Colorful - Accent 2"/>
    <w:basedOn w:val="747"/>
    <w:next w:val="953"/>
    <w:link w:val="736"/>
    <w:uiPriority w:val="99"/>
    <w:qFormat/>
    <w:pPr>
      <w:spacing w:after="0" w:line="240" w:lineRule="auto"/>
    </w:pPr>
    <w:tblPr/>
  </w:style>
  <w:style w:type="table" w:styleId="954">
    <w:name w:val="List Table 6 Colorful - Accent 3"/>
    <w:basedOn w:val="747"/>
    <w:next w:val="954"/>
    <w:link w:val="736"/>
    <w:uiPriority w:val="99"/>
    <w:qFormat/>
    <w:pPr>
      <w:spacing w:after="0" w:line="240" w:lineRule="auto"/>
    </w:pPr>
    <w:tblPr/>
  </w:style>
  <w:style w:type="table" w:styleId="955">
    <w:name w:val="List Table 6 Colorful - Accent 4"/>
    <w:basedOn w:val="747"/>
    <w:next w:val="955"/>
    <w:link w:val="736"/>
    <w:uiPriority w:val="99"/>
    <w:qFormat/>
    <w:pPr>
      <w:spacing w:after="0" w:line="240" w:lineRule="auto"/>
    </w:pPr>
    <w:tblPr/>
  </w:style>
  <w:style w:type="table" w:styleId="956">
    <w:name w:val="List Table 6 Colorful - Accent 5"/>
    <w:basedOn w:val="747"/>
    <w:next w:val="956"/>
    <w:link w:val="736"/>
    <w:uiPriority w:val="99"/>
    <w:qFormat/>
    <w:pPr>
      <w:spacing w:after="0" w:line="240" w:lineRule="auto"/>
    </w:pPr>
    <w:tblPr/>
  </w:style>
  <w:style w:type="table" w:styleId="957">
    <w:name w:val="List Table 6 Colorful - Accent 6"/>
    <w:basedOn w:val="747"/>
    <w:next w:val="957"/>
    <w:link w:val="736"/>
    <w:uiPriority w:val="99"/>
    <w:qFormat/>
    <w:pPr>
      <w:spacing w:after="0" w:line="240" w:lineRule="auto"/>
    </w:pPr>
    <w:tblPr/>
  </w:style>
  <w:style w:type="table" w:styleId="958">
    <w:name w:val="List Table 7 Colorful"/>
    <w:basedOn w:val="747"/>
    <w:next w:val="958"/>
    <w:link w:val="736"/>
    <w:uiPriority w:val="99"/>
    <w:qFormat/>
    <w:pPr>
      <w:spacing w:after="0" w:line="240" w:lineRule="auto"/>
    </w:pPr>
    <w:tblPr/>
  </w:style>
  <w:style w:type="table" w:styleId="959">
    <w:name w:val="List Table 7 Colorful - Accent 1"/>
    <w:basedOn w:val="747"/>
    <w:next w:val="959"/>
    <w:link w:val="736"/>
    <w:uiPriority w:val="99"/>
    <w:qFormat/>
    <w:pPr>
      <w:spacing w:after="0" w:line="240" w:lineRule="auto"/>
    </w:pPr>
    <w:tblPr/>
  </w:style>
  <w:style w:type="table" w:styleId="960">
    <w:name w:val="List Table 7 Colorful - Accent 2"/>
    <w:basedOn w:val="747"/>
    <w:next w:val="960"/>
    <w:link w:val="736"/>
    <w:uiPriority w:val="99"/>
    <w:qFormat/>
    <w:pPr>
      <w:spacing w:after="0" w:line="240" w:lineRule="auto"/>
    </w:pPr>
    <w:tblPr/>
  </w:style>
  <w:style w:type="table" w:styleId="961">
    <w:name w:val="List Table 7 Colorful - Accent 3"/>
    <w:basedOn w:val="747"/>
    <w:next w:val="961"/>
    <w:link w:val="736"/>
    <w:uiPriority w:val="99"/>
    <w:qFormat/>
    <w:pPr>
      <w:spacing w:after="0" w:line="240" w:lineRule="auto"/>
    </w:pPr>
    <w:tblPr/>
  </w:style>
  <w:style w:type="table" w:styleId="962">
    <w:name w:val="List Table 7 Colorful - Accent 4"/>
    <w:basedOn w:val="747"/>
    <w:next w:val="962"/>
    <w:link w:val="736"/>
    <w:uiPriority w:val="99"/>
    <w:qFormat/>
    <w:pPr>
      <w:spacing w:after="0" w:line="240" w:lineRule="auto"/>
    </w:pPr>
    <w:tblPr/>
  </w:style>
  <w:style w:type="table" w:styleId="963">
    <w:name w:val="List Table 7 Colorful - Accent 5"/>
    <w:basedOn w:val="747"/>
    <w:next w:val="963"/>
    <w:link w:val="736"/>
    <w:uiPriority w:val="99"/>
    <w:qFormat/>
    <w:pPr>
      <w:spacing w:after="0" w:line="240" w:lineRule="auto"/>
    </w:pPr>
    <w:tblPr/>
  </w:style>
  <w:style w:type="table" w:styleId="964">
    <w:name w:val="List Table 7 Colorful - Accent 6"/>
    <w:basedOn w:val="747"/>
    <w:next w:val="964"/>
    <w:link w:val="736"/>
    <w:uiPriority w:val="99"/>
    <w:qFormat/>
    <w:pPr>
      <w:spacing w:after="0" w:line="240" w:lineRule="auto"/>
    </w:pPr>
    <w:tblPr/>
  </w:style>
  <w:style w:type="table" w:styleId="965">
    <w:name w:val="Lined - Accent"/>
    <w:basedOn w:val="747"/>
    <w:next w:val="965"/>
    <w:link w:val="736"/>
    <w:uiPriority w:val="99"/>
    <w:qFormat/>
    <w:pPr>
      <w:spacing w:after="0" w:line="240" w:lineRule="auto"/>
    </w:pPr>
    <w:rPr>
      <w:color w:val="404040"/>
    </w:rPr>
    <w:tblPr/>
  </w:style>
  <w:style w:type="table" w:styleId="966">
    <w:name w:val="Lined - Accent 1"/>
    <w:basedOn w:val="747"/>
    <w:next w:val="966"/>
    <w:link w:val="736"/>
    <w:uiPriority w:val="99"/>
    <w:qFormat/>
    <w:pPr>
      <w:spacing w:after="0" w:line="240" w:lineRule="auto"/>
    </w:pPr>
    <w:rPr>
      <w:color w:val="404040"/>
    </w:rPr>
    <w:tblPr/>
  </w:style>
  <w:style w:type="table" w:styleId="967">
    <w:name w:val="Lined - Accent 2"/>
    <w:basedOn w:val="747"/>
    <w:next w:val="967"/>
    <w:link w:val="736"/>
    <w:uiPriority w:val="99"/>
    <w:qFormat/>
    <w:pPr>
      <w:spacing w:after="0" w:line="240" w:lineRule="auto"/>
    </w:pPr>
    <w:rPr>
      <w:color w:val="404040"/>
    </w:rPr>
    <w:tblPr/>
  </w:style>
  <w:style w:type="table" w:styleId="968">
    <w:name w:val="Lined - Accent 3"/>
    <w:basedOn w:val="747"/>
    <w:next w:val="968"/>
    <w:link w:val="736"/>
    <w:uiPriority w:val="99"/>
    <w:qFormat/>
    <w:pPr>
      <w:spacing w:after="0" w:line="240" w:lineRule="auto"/>
    </w:pPr>
    <w:rPr>
      <w:color w:val="404040"/>
    </w:rPr>
    <w:tblPr/>
  </w:style>
  <w:style w:type="table" w:styleId="969">
    <w:name w:val="Lined - Accent 4"/>
    <w:basedOn w:val="747"/>
    <w:next w:val="969"/>
    <w:link w:val="736"/>
    <w:uiPriority w:val="99"/>
    <w:qFormat/>
    <w:pPr>
      <w:spacing w:after="0" w:line="240" w:lineRule="auto"/>
    </w:pPr>
    <w:rPr>
      <w:color w:val="404040"/>
    </w:rPr>
    <w:tblPr/>
  </w:style>
  <w:style w:type="table" w:styleId="970">
    <w:name w:val="Lined - Accent 5"/>
    <w:basedOn w:val="747"/>
    <w:next w:val="970"/>
    <w:link w:val="736"/>
    <w:uiPriority w:val="99"/>
    <w:qFormat/>
    <w:pPr>
      <w:spacing w:after="0" w:line="240" w:lineRule="auto"/>
    </w:pPr>
    <w:rPr>
      <w:color w:val="404040"/>
    </w:rPr>
    <w:tblPr/>
  </w:style>
  <w:style w:type="table" w:styleId="971">
    <w:name w:val="Lined - Accent 6"/>
    <w:basedOn w:val="747"/>
    <w:next w:val="971"/>
    <w:link w:val="736"/>
    <w:uiPriority w:val="99"/>
    <w:qFormat/>
    <w:pPr>
      <w:spacing w:after="0" w:line="240" w:lineRule="auto"/>
    </w:pPr>
    <w:rPr>
      <w:color w:val="404040"/>
    </w:rPr>
    <w:tblPr/>
  </w:style>
  <w:style w:type="table" w:styleId="972">
    <w:name w:val="Bordered &amp; Lined - Accent"/>
    <w:basedOn w:val="747"/>
    <w:next w:val="972"/>
    <w:link w:val="736"/>
    <w:uiPriority w:val="99"/>
    <w:qFormat/>
    <w:pPr>
      <w:spacing w:after="0" w:line="240" w:lineRule="auto"/>
    </w:pPr>
    <w:rPr>
      <w:color w:val="404040"/>
    </w:rPr>
    <w:tblPr/>
  </w:style>
  <w:style w:type="table" w:styleId="973">
    <w:name w:val="Bordered &amp; Lined - Accent 1"/>
    <w:basedOn w:val="747"/>
    <w:next w:val="973"/>
    <w:link w:val="736"/>
    <w:uiPriority w:val="99"/>
    <w:qFormat/>
    <w:pPr>
      <w:spacing w:after="0" w:line="240" w:lineRule="auto"/>
    </w:pPr>
    <w:rPr>
      <w:color w:val="404040"/>
    </w:rPr>
    <w:tblPr/>
  </w:style>
  <w:style w:type="table" w:styleId="974">
    <w:name w:val="Bordered &amp; Lined - Accent 2"/>
    <w:basedOn w:val="747"/>
    <w:next w:val="974"/>
    <w:link w:val="736"/>
    <w:uiPriority w:val="99"/>
    <w:qFormat/>
    <w:pPr>
      <w:spacing w:after="0" w:line="240" w:lineRule="auto"/>
    </w:pPr>
    <w:rPr>
      <w:color w:val="404040"/>
    </w:rPr>
    <w:tblPr/>
  </w:style>
  <w:style w:type="table" w:styleId="975">
    <w:name w:val="Bordered &amp; Lined - Accent 3"/>
    <w:basedOn w:val="747"/>
    <w:next w:val="975"/>
    <w:link w:val="736"/>
    <w:uiPriority w:val="99"/>
    <w:qFormat/>
    <w:pPr>
      <w:spacing w:after="0" w:line="240" w:lineRule="auto"/>
    </w:pPr>
    <w:rPr>
      <w:color w:val="404040"/>
    </w:rPr>
    <w:tblPr/>
  </w:style>
  <w:style w:type="table" w:styleId="976">
    <w:name w:val="Bordered &amp; Lined - Accent 4"/>
    <w:basedOn w:val="747"/>
    <w:next w:val="976"/>
    <w:link w:val="736"/>
    <w:uiPriority w:val="99"/>
    <w:qFormat/>
    <w:pPr>
      <w:spacing w:after="0" w:line="240" w:lineRule="auto"/>
    </w:pPr>
    <w:rPr>
      <w:color w:val="404040"/>
    </w:rPr>
    <w:tblPr/>
  </w:style>
  <w:style w:type="table" w:styleId="977">
    <w:name w:val="Bordered &amp; Lined - Accent 5"/>
    <w:basedOn w:val="747"/>
    <w:next w:val="977"/>
    <w:link w:val="736"/>
    <w:uiPriority w:val="99"/>
    <w:qFormat/>
    <w:pPr>
      <w:spacing w:after="0" w:line="240" w:lineRule="auto"/>
    </w:pPr>
    <w:rPr>
      <w:color w:val="404040"/>
    </w:rPr>
    <w:tblPr/>
  </w:style>
  <w:style w:type="table" w:styleId="978">
    <w:name w:val="Bordered &amp; Lined - Accent 6"/>
    <w:basedOn w:val="747"/>
    <w:next w:val="978"/>
    <w:link w:val="736"/>
    <w:uiPriority w:val="99"/>
    <w:qFormat/>
    <w:pPr>
      <w:spacing w:after="0" w:line="240" w:lineRule="auto"/>
    </w:pPr>
    <w:rPr>
      <w:color w:val="404040"/>
    </w:rPr>
    <w:tblPr/>
  </w:style>
  <w:style w:type="table" w:styleId="979">
    <w:name w:val="Bordered"/>
    <w:basedOn w:val="747"/>
    <w:next w:val="979"/>
    <w:link w:val="736"/>
    <w:uiPriority w:val="99"/>
    <w:qFormat/>
    <w:pPr>
      <w:spacing w:after="0" w:line="240" w:lineRule="auto"/>
    </w:pPr>
    <w:tblPr/>
  </w:style>
  <w:style w:type="table" w:styleId="980">
    <w:name w:val="Bordered - Accent 1"/>
    <w:basedOn w:val="747"/>
    <w:next w:val="980"/>
    <w:link w:val="736"/>
    <w:uiPriority w:val="99"/>
    <w:qFormat/>
    <w:pPr>
      <w:spacing w:after="0" w:line="240" w:lineRule="auto"/>
    </w:pPr>
    <w:tblPr/>
  </w:style>
  <w:style w:type="table" w:styleId="981">
    <w:name w:val="Bordered - Accent 2"/>
    <w:basedOn w:val="747"/>
    <w:next w:val="981"/>
    <w:link w:val="736"/>
    <w:uiPriority w:val="99"/>
    <w:qFormat/>
    <w:pPr>
      <w:spacing w:after="0" w:line="240" w:lineRule="auto"/>
    </w:pPr>
    <w:tblPr/>
  </w:style>
  <w:style w:type="table" w:styleId="982">
    <w:name w:val="Bordered - Accent 3"/>
    <w:basedOn w:val="747"/>
    <w:next w:val="982"/>
    <w:link w:val="736"/>
    <w:uiPriority w:val="99"/>
    <w:qFormat/>
    <w:pPr>
      <w:spacing w:after="0" w:line="240" w:lineRule="auto"/>
    </w:pPr>
    <w:tblPr/>
  </w:style>
  <w:style w:type="table" w:styleId="983">
    <w:name w:val="Bordered - Accent 4"/>
    <w:basedOn w:val="747"/>
    <w:next w:val="983"/>
    <w:link w:val="736"/>
    <w:uiPriority w:val="99"/>
    <w:qFormat/>
    <w:pPr>
      <w:spacing w:after="0" w:line="240" w:lineRule="auto"/>
    </w:pPr>
    <w:tblPr/>
  </w:style>
  <w:style w:type="table" w:styleId="984">
    <w:name w:val="Bordered - Accent 5"/>
    <w:basedOn w:val="747"/>
    <w:next w:val="984"/>
    <w:link w:val="736"/>
    <w:uiPriority w:val="99"/>
    <w:qFormat/>
    <w:pPr>
      <w:spacing w:after="0" w:line="240" w:lineRule="auto"/>
    </w:pPr>
    <w:tblPr/>
  </w:style>
  <w:style w:type="table" w:styleId="985">
    <w:name w:val="Bordered - Accent 6"/>
    <w:basedOn w:val="747"/>
    <w:next w:val="985"/>
    <w:link w:val="736"/>
    <w:uiPriority w:val="99"/>
    <w:qFormat/>
    <w:pPr>
      <w:spacing w:after="0" w:line="240" w:lineRule="auto"/>
    </w:pPr>
    <w:tblPr/>
  </w:style>
  <w:style w:type="character" w:styleId="986">
    <w:name w:val="Footnote Text Char"/>
    <w:next w:val="986"/>
    <w:link w:val="736"/>
    <w:uiPriority w:val="99"/>
    <w:qFormat/>
    <w:rPr>
      <w:sz w:val="18"/>
    </w:rPr>
  </w:style>
  <w:style w:type="character" w:styleId="987">
    <w:name w:val="Endnote Text Char"/>
    <w:next w:val="987"/>
    <w:link w:val="736"/>
    <w:uiPriority w:val="99"/>
    <w:qFormat/>
    <w:rPr>
      <w:sz w:val="20"/>
    </w:rPr>
  </w:style>
  <w:style w:type="paragraph" w:styleId="988">
    <w:name w:val="TOC Heading"/>
    <w:next w:val="988"/>
    <w:link w:val="736"/>
    <w:uiPriority w:val="39"/>
    <w:unhideWhenUsed/>
    <w:qFormat/>
    <w:rPr>
      <w:lang w:val="en-US" w:eastAsia="zh-CN" w:bidi="ar-SA"/>
    </w:rPr>
  </w:style>
  <w:style w:type="character" w:styleId="989">
    <w:name w:val="标题 1 字符"/>
    <w:next w:val="989"/>
    <w:link w:val="990"/>
    <w:qFormat/>
    <w:rPr>
      <w:b/>
      <w:bCs/>
      <w:sz w:val="32"/>
      <w:szCs w:val="44"/>
    </w:rPr>
  </w:style>
  <w:style w:type="paragraph" w:styleId="990">
    <w:name w:val="标题 11"/>
    <w:basedOn w:val="736"/>
    <w:next w:val="736"/>
    <w:link w:val="989"/>
    <w:qFormat/>
    <w:pPr>
      <w:keepLines/>
      <w:keepNext/>
      <w:spacing w:before="340" w:after="330" w:line="578" w:lineRule="auto"/>
      <w:outlineLvl w:val="0"/>
    </w:pPr>
    <w:rPr>
      <w:b/>
      <w:bCs/>
      <w:sz w:val="32"/>
      <w:szCs w:val="44"/>
    </w:rPr>
  </w:style>
  <w:style w:type="character" w:styleId="991">
    <w:name w:val="111111 Char"/>
    <w:next w:val="991"/>
    <w:link w:val="992"/>
    <w:qFormat/>
    <w:rPr>
      <w:rFonts w:ascii="宋体" w:hAnsi="宋体" w:eastAsia="黑体" w:cs="宋体"/>
      <w:b/>
      <w:bCs/>
      <w:sz w:val="21"/>
      <w:szCs w:val="21"/>
      <w:lang w:val="en-US" w:eastAsia="zh-CN" w:bidi="ar-SA"/>
    </w:rPr>
  </w:style>
  <w:style w:type="paragraph" w:styleId="992">
    <w:name w:val="111111"/>
    <w:basedOn w:val="736"/>
    <w:next w:val="992"/>
    <w:link w:val="991"/>
    <w:qFormat/>
    <w:pPr>
      <w:jc w:val="center"/>
      <w:spacing w:before="120" w:after="120"/>
    </w:pPr>
    <w:rPr>
      <w:rFonts w:ascii="宋体" w:hAnsi="宋体" w:eastAsia="黑体" w:cs="宋体"/>
      <w:b/>
      <w:bCs/>
      <w:szCs w:val="21"/>
    </w:rPr>
  </w:style>
  <w:style w:type="character" w:styleId="993">
    <w:name w:val="样式 非加粗"/>
    <w:next w:val="993"/>
    <w:link w:val="736"/>
    <w:qFormat/>
    <w:rPr>
      <w:rFonts w:eastAsia="宋体"/>
      <w:sz w:val="28"/>
    </w:rPr>
  </w:style>
  <w:style w:type="character" w:styleId="994">
    <w:name w:val="引用 Char"/>
    <w:next w:val="994"/>
    <w:link w:val="995"/>
    <w:qFormat/>
    <w:rPr>
      <w:rFonts w:ascii="Calibri" w:hAnsi="Calibri" w:eastAsia="宋体"/>
      <w:i/>
      <w:iCs/>
      <w:sz w:val="22"/>
      <w:szCs w:val="22"/>
      <w:lang w:val="en-US" w:eastAsia="en-US" w:bidi="en-US"/>
    </w:rPr>
  </w:style>
  <w:style w:type="paragraph" w:styleId="995">
    <w:name w:val="引用"/>
    <w:basedOn w:val="736"/>
    <w:next w:val="736"/>
    <w:link w:val="994"/>
    <w:qFormat/>
    <w:pPr>
      <w:ind w:left="360" w:right="360"/>
      <w:jc w:val="left"/>
      <w:spacing w:before="200" w:line="276" w:lineRule="auto"/>
      <w:widowControl/>
    </w:pPr>
    <w:rPr>
      <w:rFonts w:ascii="Calibri" w:hAnsi="Calibri"/>
      <w:i/>
      <w:iCs/>
      <w:sz w:val="22"/>
      <w:szCs w:val="22"/>
      <w:lang w:eastAsia="en-US" w:bidi="en-US"/>
    </w:rPr>
  </w:style>
  <w:style w:type="character" w:styleId="996">
    <w:name w:val="case31"/>
    <w:next w:val="996"/>
    <w:link w:val="736"/>
    <w:qFormat/>
    <w:rPr>
      <w:sz w:val="21"/>
      <w:szCs w:val="21"/>
    </w:rPr>
  </w:style>
  <w:style w:type="character" w:styleId="997">
    <w:name w:val="小四 段落 宋体 Char Char Char Char Char Char"/>
    <w:next w:val="997"/>
    <w:link w:val="736"/>
    <w:qFormat/>
    <w:rPr>
      <w:rFonts w:eastAsia="宋体"/>
      <w:sz w:val="24"/>
      <w:szCs w:val="24"/>
      <w:lang w:val="en-US" w:eastAsia="zh-CN" w:bidi="ar-SA"/>
    </w:rPr>
  </w:style>
  <w:style w:type="character" w:styleId="998">
    <w:name w:val="华宇段落1 Char Char"/>
    <w:next w:val="998"/>
    <w:link w:val="736"/>
    <w:qFormat/>
    <w:rPr>
      <w:rFonts w:eastAsia="宋体"/>
      <w:bCs/>
      <w:sz w:val="24"/>
      <w:szCs w:val="24"/>
      <w:lang w:val="en-US" w:eastAsia="zh-CN" w:bidi="ar-SA"/>
    </w:rPr>
  </w:style>
  <w:style w:type="character" w:styleId="999">
    <w:name w:val="Char Char24"/>
    <w:next w:val="999"/>
    <w:link w:val="736"/>
    <w:qFormat/>
    <w:rPr>
      <w:b/>
      <w:bCs/>
      <w:sz w:val="28"/>
      <w:szCs w:val="28"/>
    </w:rPr>
  </w:style>
  <w:style w:type="character" w:styleId="1000">
    <w:name w:val="para_small"/>
    <w:basedOn w:val="746"/>
    <w:next w:val="1000"/>
    <w:link w:val="736"/>
    <w:qFormat/>
  </w:style>
  <w:style w:type="character" w:styleId="1001">
    <w:name w:val="listbenefit"/>
    <w:next w:val="1001"/>
    <w:link w:val="736"/>
    <w:qFormat/>
  </w:style>
  <w:style w:type="character" w:styleId="1002">
    <w:name w:val="小四 段落 宋体 Char Char Char Char1"/>
    <w:next w:val="1002"/>
    <w:link w:val="736"/>
    <w:qFormat/>
    <w:rPr>
      <w:rFonts w:eastAsia="宋体"/>
      <w:sz w:val="24"/>
      <w:szCs w:val="24"/>
      <w:lang w:val="en-US" w:eastAsia="zh-CN" w:bidi="ar-SA"/>
    </w:rPr>
  </w:style>
  <w:style w:type="character" w:styleId="1003">
    <w:name w:val="textcontents"/>
    <w:basedOn w:val="746"/>
    <w:next w:val="1003"/>
    <w:link w:val="736"/>
    <w:qFormat/>
  </w:style>
  <w:style w:type="character" w:styleId="1004">
    <w:name w:val="Char Char25"/>
    <w:next w:val="1004"/>
    <w:link w:val="736"/>
    <w:qFormat/>
    <w:rPr>
      <w:rFonts w:ascii="Arial" w:hAnsi="Arial" w:eastAsia="黑体"/>
      <w:b/>
      <w:sz w:val="28"/>
    </w:rPr>
  </w:style>
  <w:style w:type="character" w:styleId="1005">
    <w:name w:val="param-value"/>
    <w:basedOn w:val="746"/>
    <w:next w:val="1005"/>
    <w:link w:val="736"/>
    <w:qFormat/>
  </w:style>
  <w:style w:type="character" w:styleId="1006">
    <w:name w:val="Book Title"/>
    <w:next w:val="1006"/>
    <w:link w:val="736"/>
    <w:qFormat/>
    <w:rPr>
      <w:i/>
      <w:iCs/>
      <w:smallCaps/>
      <w:spacing w:val="5"/>
    </w:rPr>
  </w:style>
  <w:style w:type="character" w:styleId="1007">
    <w:name w:val="已访问的超链接1"/>
    <w:next w:val="1007"/>
    <w:link w:val="736"/>
    <w:qFormat/>
    <w:rPr>
      <w:color w:val="000000"/>
      <w:u w:val="none"/>
    </w:rPr>
  </w:style>
  <w:style w:type="character" w:styleId="1008">
    <w:name w:val="Subtle Reference"/>
    <w:next w:val="1008"/>
    <w:link w:val="736"/>
    <w:qFormat/>
    <w:rPr>
      <w:smallCaps/>
    </w:rPr>
  </w:style>
  <w:style w:type="character" w:styleId="1009">
    <w:name w:val="华宇段落1 Char Char Char"/>
    <w:next w:val="1009"/>
    <w:link w:val="736"/>
    <w:qFormat/>
    <w:rPr>
      <w:rFonts w:eastAsia="宋体"/>
      <w:bCs/>
      <w:sz w:val="24"/>
      <w:szCs w:val="24"/>
      <w:lang w:val="en-US" w:eastAsia="zh-CN" w:bidi="ar-SA"/>
    </w:rPr>
  </w:style>
  <w:style w:type="character" w:styleId="1010">
    <w:name w:val="标题 3 Char"/>
    <w:next w:val="1010"/>
    <w:link w:val="736"/>
    <w:qFormat/>
    <w:rPr>
      <w:rFonts w:ascii="宋体" w:hAnsi="宋体" w:eastAsia="宋体"/>
      <w:b/>
      <w:bCs/>
      <w:sz w:val="24"/>
      <w:szCs w:val="32"/>
      <w:lang w:val="en-US" w:eastAsia="zh-CN" w:bidi="ar-SA"/>
    </w:rPr>
  </w:style>
  <w:style w:type="character" w:styleId="1011">
    <w:name w:val="style13"/>
    <w:next w:val="1011"/>
    <w:link w:val="736"/>
    <w:qFormat/>
    <w:rPr>
      <w:sz w:val="18"/>
      <w:szCs w:val="18"/>
    </w:rPr>
  </w:style>
  <w:style w:type="character" w:styleId="1012">
    <w:name w:val="Char Char27"/>
    <w:next w:val="1012"/>
    <w:link w:val="736"/>
    <w:qFormat/>
    <w:rPr>
      <w:b/>
      <w:bCs/>
      <w:sz w:val="44"/>
      <w:szCs w:val="44"/>
    </w:rPr>
  </w:style>
  <w:style w:type="character" w:styleId="1013">
    <w:name w:val="Char Char28"/>
    <w:next w:val="1013"/>
    <w:link w:val="736"/>
    <w:qFormat/>
    <w:rPr>
      <w:rFonts w:ascii="Arial" w:hAnsi="Arial" w:eastAsia="黑体" w:cs="Arial"/>
      <w:b/>
      <w:bCs/>
      <w:sz w:val="32"/>
      <w:szCs w:val="32"/>
    </w:rPr>
  </w:style>
  <w:style w:type="character" w:styleId="1014">
    <w:name w:val="style131"/>
    <w:next w:val="1014"/>
    <w:link w:val="736"/>
    <w:qFormat/>
    <w:rPr>
      <w:rFonts w:cs="Times New Roman"/>
      <w:sz w:val="18"/>
      <w:szCs w:val="18"/>
    </w:rPr>
  </w:style>
  <w:style w:type="character" w:styleId="1015">
    <w:name w:val="concon"/>
    <w:next w:val="1015"/>
    <w:link w:val="736"/>
    <w:qFormat/>
  </w:style>
  <w:style w:type="character" w:styleId="1016">
    <w:name w:val="subtitle1"/>
    <w:next w:val="1016"/>
    <w:link w:val="736"/>
    <w:qFormat/>
    <w:rPr>
      <w:rFonts w:ascii="Georgia" w:hAnsi="Georgia"/>
      <w:b/>
      <w:bCs/>
      <w:color w:val="666666"/>
      <w:sz w:val="18"/>
      <w:szCs w:val="18"/>
    </w:rPr>
  </w:style>
  <w:style w:type="character" w:styleId="101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7"/>
    <w:link w:val="736"/>
    <w:qFormat/>
    <w:rPr>
      <w:rFonts w:eastAsia="宋体"/>
      <w:b/>
      <w:bCs/>
      <w:sz w:val="32"/>
      <w:szCs w:val="32"/>
      <w:lang w:val="en-US" w:eastAsia="zh-CN" w:bidi="ar-SA"/>
    </w:rPr>
  </w:style>
  <w:style w:type="character" w:styleId="1018">
    <w:name w:val="纯文本 Char1"/>
    <w:next w:val="1018"/>
    <w:link w:val="736"/>
    <w:qFormat/>
    <w:rPr>
      <w:rFonts w:ascii="宋体" w:hAnsi="Courier New" w:cs="Courier New"/>
      <w:sz w:val="21"/>
      <w:szCs w:val="21"/>
    </w:rPr>
  </w:style>
  <w:style w:type="character" w:styleId="1019">
    <w:name w:val="小四 段落 宋体 Char Char Char Char Char"/>
    <w:next w:val="1019"/>
    <w:link w:val="736"/>
    <w:qFormat/>
    <w:rPr>
      <w:rFonts w:eastAsia="宋体"/>
      <w:sz w:val="24"/>
      <w:szCs w:val="24"/>
      <w:lang w:val="en-US" w:eastAsia="zh-CN" w:bidi="ar-SA"/>
    </w:rPr>
  </w:style>
  <w:style w:type="character" w:styleId="1020">
    <w:name w:val="明显引用 Char"/>
    <w:next w:val="1020"/>
    <w:link w:val="1021"/>
    <w:qFormat/>
    <w:rPr>
      <w:rFonts w:ascii="Calibri" w:hAnsi="Calibri" w:eastAsia="宋体"/>
      <w:b/>
      <w:bCs/>
      <w:i/>
      <w:iCs/>
      <w:sz w:val="22"/>
      <w:szCs w:val="22"/>
      <w:lang w:val="en-US" w:eastAsia="en-US" w:bidi="en-US"/>
    </w:rPr>
  </w:style>
  <w:style w:type="paragraph" w:styleId="1021">
    <w:name w:val="明显引用"/>
    <w:basedOn w:val="736"/>
    <w:next w:val="736"/>
    <w:link w:val="102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2">
    <w:name w:val="t1"/>
    <w:next w:val="1022"/>
    <w:link w:val="736"/>
    <w:qFormat/>
  </w:style>
  <w:style w:type="character" w:styleId="1023">
    <w:name w:val="Title1 Char"/>
    <w:next w:val="1023"/>
    <w:link w:val="736"/>
    <w:qFormat/>
    <w:rPr>
      <w:rFonts w:eastAsia="宋体"/>
      <w:b/>
      <w:bCs/>
      <w:sz w:val="44"/>
      <w:szCs w:val="44"/>
      <w:lang w:val="en-US" w:eastAsia="zh-CN" w:bidi="ar-SA"/>
    </w:rPr>
  </w:style>
  <w:style w:type="character" w:styleId="1024">
    <w:name w:val="2nd level Char"/>
    <w:next w:val="1024"/>
    <w:link w:val="736"/>
    <w:qFormat/>
    <w:rPr>
      <w:rFonts w:ascii="Arial" w:hAnsi="Arial" w:eastAsia="黑体"/>
      <w:b/>
      <w:bCs/>
      <w:sz w:val="32"/>
      <w:szCs w:val="32"/>
      <w:lang w:val="en-US" w:eastAsia="zh-CN" w:bidi="ar-SA"/>
    </w:rPr>
  </w:style>
  <w:style w:type="character" w:styleId="1025">
    <w:name w:val="彩色列表 - 强调文字颜色 1 Char"/>
    <w:next w:val="1025"/>
    <w:link w:val="1026"/>
    <w:qFormat/>
    <w:rPr>
      <w:rFonts w:ascii="Calibri" w:hAnsi="Calibri"/>
      <w:sz w:val="21"/>
      <w:szCs w:val="22"/>
    </w:rPr>
  </w:style>
  <w:style w:type="paragraph" w:styleId="1026">
    <w:name w:val="彩色列表 - 强调文字颜色 11"/>
    <w:basedOn w:val="736"/>
    <w:next w:val="1026"/>
    <w:link w:val="1025"/>
    <w:qFormat/>
    <w:pPr>
      <w:ind w:firstLine="420"/>
    </w:pPr>
    <w:rPr>
      <w:rFonts w:ascii="Calibri" w:hAnsi="Calibri"/>
      <w:szCs w:val="22"/>
    </w:rPr>
  </w:style>
  <w:style w:type="character" w:styleId="1027">
    <w:name w:val="ih151"/>
    <w:next w:val="1027"/>
    <w:link w:val="736"/>
    <w:qFormat/>
    <w:rPr>
      <w:color w:val="666666"/>
      <w:sz w:val="18"/>
      <w:szCs w:val="18"/>
      <w:u w:val="none"/>
    </w:rPr>
  </w:style>
  <w:style w:type="character" w:styleId="1028">
    <w:name w:val="Char Char26"/>
    <w:next w:val="1028"/>
    <w:link w:val="736"/>
    <w:qFormat/>
    <w:rPr>
      <w:b/>
      <w:bCs/>
      <w:sz w:val="32"/>
      <w:szCs w:val="32"/>
    </w:rPr>
  </w:style>
  <w:style w:type="character" w:styleId="1029">
    <w:name w:val="标题 Char1"/>
    <w:next w:val="1029"/>
    <w:link w:val="736"/>
    <w:qFormat/>
    <w:rPr>
      <w:rFonts w:ascii="Cambria" w:eastAsia="宋体" w:cs="Times New Roman"/>
      <w:b/>
      <w:bCs/>
      <w:sz w:val="32"/>
      <w:szCs w:val="32"/>
    </w:rPr>
  </w:style>
  <w:style w:type="character" w:styleId="1030">
    <w:name w:val="纯文本 Char Char"/>
    <w:next w:val="1030"/>
    <w:link w:val="736"/>
    <w:qFormat/>
    <w:rPr>
      <w:rFonts w:ascii="宋体" w:hAnsi="Courier New" w:eastAsia="宋体"/>
      <w:sz w:val="21"/>
      <w:szCs w:val="21"/>
      <w:lang w:val="en-US" w:eastAsia="zh-CN" w:bidi="ar-SA"/>
    </w:rPr>
  </w:style>
  <w:style w:type="character" w:styleId="1031">
    <w:name w:val="Char Char2"/>
    <w:next w:val="1031"/>
    <w:link w:val="736"/>
    <w:qFormat/>
    <w:rPr>
      <w:rFonts w:ascii="宋体" w:hAnsi="Courier New" w:eastAsia="宋体"/>
      <w:sz w:val="21"/>
      <w:szCs w:val="21"/>
      <w:lang w:val="en-US" w:eastAsia="zh-CN" w:bidi="ar-SA"/>
    </w:rPr>
  </w:style>
  <w:style w:type="character" w:styleId="1032">
    <w:name w:val="Char Char23"/>
    <w:next w:val="1032"/>
    <w:link w:val="736"/>
    <w:qFormat/>
    <w:rPr>
      <w:rFonts w:ascii="Arial" w:hAnsi="Arial" w:eastAsia="黑体"/>
      <w:b/>
      <w:bCs/>
      <w:sz w:val="24"/>
      <w:szCs w:val="24"/>
    </w:rPr>
  </w:style>
  <w:style w:type="character" w:styleId="1033">
    <w:name w:val="表格抬头 Char"/>
    <w:next w:val="1033"/>
    <w:link w:val="1034"/>
    <w:qFormat/>
    <w:rPr>
      <w:rFonts w:ascii="黑体" w:eastAsia="黑体"/>
      <w:b/>
      <w:sz w:val="21"/>
      <w:lang w:bidi="ar-SA"/>
    </w:rPr>
  </w:style>
  <w:style w:type="paragraph" w:styleId="1034">
    <w:name w:val="表格抬头"/>
    <w:basedOn w:val="736"/>
    <w:next w:val="1034"/>
    <w:link w:val="1033"/>
    <w:qFormat/>
    <w:pPr>
      <w:jc w:val="center"/>
    </w:pPr>
    <w:rPr>
      <w:rFonts w:ascii="黑体" w:eastAsia="黑体"/>
      <w:b/>
    </w:rPr>
  </w:style>
  <w:style w:type="character" w:styleId="1035">
    <w:name w:val="样式 首行缩进:  2 字符 Char Char"/>
    <w:next w:val="1035"/>
    <w:link w:val="1036"/>
    <w:qFormat/>
    <w:rPr>
      <w:rFonts w:eastAsia="宋体" w:cs="宋体"/>
      <w:sz w:val="24"/>
      <w:lang w:val="en-US" w:eastAsia="zh-CN" w:bidi="ar-SA"/>
    </w:rPr>
  </w:style>
  <w:style w:type="paragraph" w:styleId="1036">
    <w:name w:val="样式 首行缩进:  2 字符"/>
    <w:basedOn w:val="736"/>
    <w:next w:val="1036"/>
    <w:link w:val="1035"/>
    <w:qFormat/>
    <w:pPr>
      <w:ind w:firstLine="480"/>
      <w:spacing w:line="360" w:lineRule="auto"/>
    </w:pPr>
    <w:rPr>
      <w:rFonts w:cs="宋体"/>
      <w:sz w:val="24"/>
    </w:rPr>
  </w:style>
  <w:style w:type="character" w:styleId="1037">
    <w:name w:val="apple-converted-space"/>
    <w:basedOn w:val="746"/>
    <w:next w:val="1037"/>
    <w:link w:val="736"/>
    <w:qFormat/>
  </w:style>
  <w:style w:type="character" w:styleId="1038">
    <w:name w:val="A2"/>
    <w:next w:val="1038"/>
    <w:link w:val="736"/>
    <w:qFormat/>
    <w:rPr>
      <w:rFonts w:cs="Helvetica LT Pro"/>
      <w:color w:val="000000"/>
      <w:sz w:val="18"/>
      <w:szCs w:val="18"/>
    </w:rPr>
  </w:style>
  <w:style w:type="character" w:styleId="1039">
    <w:name w:val="h Char Char"/>
    <w:next w:val="1039"/>
    <w:link w:val="736"/>
    <w:qFormat/>
    <w:rPr>
      <w:rFonts w:eastAsia="宋体"/>
      <w:sz w:val="18"/>
      <w:szCs w:val="18"/>
      <w:lang w:val="en-US" w:eastAsia="zh-CN" w:bidi="ar-SA"/>
    </w:rPr>
  </w:style>
  <w:style w:type="character" w:styleId="1040">
    <w:name w:val="小四 段落 宋体 Char Char Char1"/>
    <w:next w:val="1040"/>
    <w:link w:val="736"/>
    <w:qFormat/>
    <w:rPr>
      <w:rFonts w:ascii="宋体" w:hAnsi="宋体" w:eastAsia="宋体"/>
      <w:sz w:val="24"/>
      <w:szCs w:val="24"/>
      <w:lang w:val="en-US" w:eastAsia="zh-CN" w:bidi="ar-SA"/>
    </w:rPr>
  </w:style>
  <w:style w:type="character" w:styleId="1041">
    <w:name w:val="标准小四 Char Char"/>
    <w:next w:val="1041"/>
    <w:link w:val="736"/>
    <w:qFormat/>
    <w:rPr>
      <w:rFonts w:ascii="Arial" w:hAnsi="Arial" w:eastAsia="宋体"/>
      <w:sz w:val="24"/>
      <w:szCs w:val="21"/>
      <w:lang w:val="en-US" w:eastAsia="zh-CN" w:bidi="ar-SA"/>
    </w:rPr>
  </w:style>
  <w:style w:type="character" w:styleId="1042">
    <w:name w:val="标准小四 Char"/>
    <w:next w:val="1042"/>
    <w:link w:val="736"/>
    <w:qFormat/>
    <w:rPr>
      <w:rFonts w:ascii="Arial" w:hAnsi="Arial" w:eastAsia="宋体"/>
      <w:sz w:val="24"/>
      <w:szCs w:val="21"/>
      <w:lang w:val="en-US" w:eastAsia="zh-CN" w:bidi="ar-SA"/>
    </w:rPr>
  </w:style>
  <w:style w:type="character" w:styleId="1043">
    <w:name w:val="point_normal1"/>
    <w:next w:val="1043"/>
    <w:link w:val="736"/>
    <w:qFormat/>
    <w:rPr>
      <w:rFonts w:ascii="Arial" w:hAnsi="Arial" w:cs="Arial"/>
      <w:sz w:val="18"/>
      <w:szCs w:val="18"/>
    </w:rPr>
  </w:style>
  <w:style w:type="character" w:styleId="1044">
    <w:name w:val="Char Char21"/>
    <w:next w:val="1044"/>
    <w:link w:val="736"/>
    <w:qFormat/>
    <w:rPr>
      <w:rFonts w:ascii="Arial" w:hAnsi="Arial" w:eastAsia="黑体"/>
      <w:sz w:val="24"/>
      <w:szCs w:val="24"/>
    </w:rPr>
  </w:style>
  <w:style w:type="character" w:styleId="1045">
    <w:name w:val="content_lineheight1"/>
    <w:basedOn w:val="746"/>
    <w:next w:val="1045"/>
    <w:link w:val="736"/>
    <w:qFormat/>
  </w:style>
  <w:style w:type="character" w:styleId="1046">
    <w:name w:val="content"/>
    <w:basedOn w:val="746"/>
    <w:next w:val="1046"/>
    <w:link w:val="736"/>
    <w:qFormat/>
  </w:style>
  <w:style w:type="character" w:styleId="1047">
    <w:name w:val="小四 段落 宋体 Char1"/>
    <w:next w:val="1047"/>
    <w:link w:val="736"/>
    <w:qFormat/>
    <w:rPr>
      <w:rFonts w:eastAsia="宋体"/>
      <w:sz w:val="24"/>
      <w:szCs w:val="24"/>
      <w:lang w:val="en-US" w:eastAsia="zh-CN" w:bidi="ar-SA"/>
    </w:rPr>
  </w:style>
  <w:style w:type="character" w:styleId="1048">
    <w:name w:val="标准文本 Char Char"/>
    <w:next w:val="1048"/>
    <w:link w:val="736"/>
    <w:qFormat/>
    <w:rPr>
      <w:rFonts w:eastAsia="宋体" w:cs="宋体"/>
      <w:sz w:val="24"/>
      <w:szCs w:val="24"/>
      <w:lang w:val="en-US" w:eastAsia="zh-CN" w:bidi="ar-SA"/>
    </w:rPr>
  </w:style>
  <w:style w:type="character" w:styleId="1049">
    <w:name w:val="3zw"/>
    <w:basedOn w:val="746"/>
    <w:next w:val="1049"/>
    <w:link w:val="736"/>
    <w:qFormat/>
  </w:style>
  <w:style w:type="character" w:styleId="1050">
    <w:name w:val="正文缩进 Char1"/>
    <w:next w:val="1050"/>
    <w:link w:val="1051"/>
    <w:qFormat/>
    <w:rPr>
      <w:rFonts w:eastAsia="宋体"/>
      <w:lang w:bidi="ar-SA"/>
    </w:rPr>
  </w:style>
  <w:style w:type="paragraph" w:styleId="1051">
    <w:name w:val="Normal Indent0"/>
    <w:basedOn w:val="736"/>
    <w:next w:val="1051"/>
    <w:link w:val="1050"/>
    <w:qFormat/>
    <w:pPr>
      <w:ind w:firstLine="420"/>
    </w:pPr>
    <w:rPr>
      <w:sz w:val="20"/>
    </w:rPr>
  </w:style>
  <w:style w:type="character" w:styleId="1052">
    <w:name w:val="纯文本 Char Char Char1"/>
    <w:next w:val="1052"/>
    <w:link w:val="736"/>
    <w:qFormat/>
    <w:rPr>
      <w:rFonts w:ascii="宋体" w:hAnsi="Courier New" w:eastAsia="宋体"/>
      <w:sz w:val="21"/>
      <w:szCs w:val="21"/>
      <w:lang w:val="en-US" w:eastAsia="zh-CN" w:bidi="ar-SA"/>
    </w:rPr>
  </w:style>
  <w:style w:type="character" w:styleId="1053">
    <w:name w:val="Char Char20"/>
    <w:next w:val="1053"/>
    <w:link w:val="736"/>
    <w:qFormat/>
    <w:rPr>
      <w:rFonts w:ascii="Arial" w:hAnsi="Arial" w:eastAsia="黑体"/>
      <w:sz w:val="21"/>
      <w:szCs w:val="21"/>
    </w:rPr>
  </w:style>
  <w:style w:type="character" w:styleId="1054">
    <w:name w:val="Subtle Emphasis"/>
    <w:next w:val="1054"/>
    <w:link w:val="736"/>
    <w:qFormat/>
    <w:rPr>
      <w:i/>
      <w:iCs/>
    </w:rPr>
  </w:style>
  <w:style w:type="character" w:styleId="1055">
    <w:name w:val="小四 段落 宋体 Char Char Char Char Char Char Char Char"/>
    <w:next w:val="1055"/>
    <w:link w:val="736"/>
    <w:qFormat/>
    <w:rPr>
      <w:rFonts w:eastAsia="宋体"/>
      <w:sz w:val="24"/>
      <w:szCs w:val="24"/>
      <w:lang w:val="en-US" w:eastAsia="zh-CN" w:bidi="ar-SA"/>
    </w:rPr>
  </w:style>
  <w:style w:type="character" w:styleId="1056">
    <w:name w:val="Intense Emphasis"/>
    <w:next w:val="1056"/>
    <w:link w:val="736"/>
    <w:qFormat/>
    <w:rPr>
      <w:b/>
      <w:bCs/>
    </w:rPr>
  </w:style>
  <w:style w:type="character" w:styleId="1057">
    <w:name w:val="Intense Reference"/>
    <w:next w:val="1057"/>
    <w:link w:val="736"/>
    <w:qFormat/>
    <w:rPr>
      <w:smallCaps/>
      <w:spacing w:val="5"/>
      <w:u w:val="single"/>
    </w:rPr>
  </w:style>
  <w:style w:type="character" w:styleId="1058">
    <w:name w:val="标准文本 Char"/>
    <w:next w:val="1058"/>
    <w:link w:val="736"/>
    <w:qFormat/>
    <w:rPr>
      <w:rFonts w:eastAsia="宋体" w:cs="宋体"/>
      <w:sz w:val="24"/>
      <w:szCs w:val="24"/>
      <w:lang w:val="en-US" w:eastAsia="zh-CN" w:bidi="ar-SA"/>
    </w:rPr>
  </w:style>
  <w:style w:type="character" w:styleId="1059">
    <w:name w:val="标题 3 Char Char"/>
    <w:next w:val="1059"/>
    <w:link w:val="736"/>
    <w:qFormat/>
    <w:rPr>
      <w:rFonts w:eastAsia="方正仿宋_GB2312"/>
      <w:b/>
      <w:bCs/>
      <w:sz w:val="28"/>
      <w:szCs w:val="32"/>
      <w:lang w:val="en-US" w:eastAsia="zh-CN" w:bidi="ar-SA"/>
    </w:rPr>
  </w:style>
  <w:style w:type="character" w:styleId="1060">
    <w:name w:val="Char Char22"/>
    <w:next w:val="1060"/>
    <w:link w:val="736"/>
    <w:qFormat/>
    <w:rPr>
      <w:b/>
      <w:bCs/>
      <w:sz w:val="24"/>
      <w:szCs w:val="24"/>
    </w:rPr>
  </w:style>
  <w:style w:type="character" w:styleId="1061">
    <w:name w:val="Char Char17"/>
    <w:next w:val="1061"/>
    <w:link w:val="736"/>
    <w:qFormat/>
    <w:rPr>
      <w:rFonts w:ascii="宋体" w:hAnsi="Courier New"/>
      <w:sz w:val="21"/>
      <w:szCs w:val="21"/>
    </w:rPr>
  </w:style>
  <w:style w:type="character" w:styleId="1062">
    <w:name w:val="样式 宋体 小四"/>
    <w:next w:val="1062"/>
    <w:link w:val="736"/>
    <w:qFormat/>
    <w:rPr>
      <w:rFonts w:ascii="宋体" w:hAnsi="宋体"/>
      <w:sz w:val="24"/>
    </w:rPr>
  </w:style>
  <w:style w:type="character" w:styleId="1063">
    <w:name w:val="Char Char29"/>
    <w:next w:val="1063"/>
    <w:link w:val="736"/>
    <w:qFormat/>
    <w:rPr>
      <w:rFonts w:ascii="Times New Roman" w:hAnsi="Times New Roman" w:eastAsia="宋体" w:cs="Times New Roman"/>
      <w:b/>
      <w:bCs/>
      <w:sz w:val="44"/>
      <w:szCs w:val="44"/>
    </w:rPr>
  </w:style>
  <w:style w:type="character" w:styleId="1064">
    <w:name w:val="normalfont1"/>
    <w:next w:val="1064"/>
    <w:link w:val="736"/>
    <w:qFormat/>
    <w:rPr>
      <w:rFonts w:ascii="DejaVu Math TeX Gyre" w:hAnsi="DejaVu Math TeX Gyre"/>
      <w:sz w:val="18"/>
      <w:szCs w:val="18"/>
      <w:u w:val="none"/>
    </w:rPr>
  </w:style>
  <w:style w:type="character" w:styleId="1065">
    <w:name w:val="title_emph1"/>
    <w:next w:val="1065"/>
    <w:link w:val="736"/>
    <w:qFormat/>
    <w:rPr>
      <w:rFonts w:ascii="Arial" w:cs="Arial"/>
      <w:b/>
      <w:bCs/>
      <w:sz w:val="18"/>
      <w:szCs w:val="18"/>
    </w:rPr>
  </w:style>
  <w:style w:type="character" w:styleId="1066">
    <w:name w:val="正文 + 宋体 Char"/>
    <w:next w:val="1066"/>
    <w:link w:val="736"/>
    <w:qFormat/>
    <w:rPr>
      <w:rFonts w:eastAsia="宋体"/>
      <w:sz w:val="21"/>
      <w:szCs w:val="24"/>
      <w:lang w:val="en-US" w:eastAsia="zh-CN" w:bidi="ar-SA"/>
    </w:rPr>
  </w:style>
  <w:style w:type="character" w:styleId="1067">
    <w:name w:val="普通文字1 Char"/>
    <w:next w:val="1067"/>
    <w:link w:val="736"/>
    <w:qFormat/>
    <w:rPr>
      <w:rFonts w:ascii="宋体" w:eastAsia="宋体"/>
      <w:sz w:val="21"/>
      <w:szCs w:val="21"/>
      <w:lang w:val="en-US" w:eastAsia="zh-CN" w:bidi="ar-SA"/>
    </w:rPr>
  </w:style>
  <w:style w:type="character" w:styleId="1068">
    <w:name w:val="无间隔 Char"/>
    <w:next w:val="1068"/>
    <w:link w:val="1069"/>
    <w:qFormat/>
    <w:rPr>
      <w:rFonts w:eastAsia="微软雅黑"/>
      <w:sz w:val="24"/>
      <w:szCs w:val="22"/>
      <w:lang w:val="en-US" w:eastAsia="zh-CN" w:bidi="ar-SA"/>
    </w:rPr>
  </w:style>
  <w:style w:type="paragraph" w:styleId="1069">
    <w:name w:val="无间隔"/>
    <w:next w:val="1069"/>
    <w:link w:val="1068"/>
    <w:qFormat/>
    <w:pPr>
      <w:jc w:val="both"/>
      <w:widowControl w:val="off"/>
    </w:pPr>
    <w:rPr>
      <w:rFonts w:eastAsia="微软雅黑"/>
      <w:sz w:val="24"/>
      <w:szCs w:val="22"/>
      <w:lang w:val="en-US" w:eastAsia="zh-CN" w:bidi="ar-SA"/>
    </w:rPr>
  </w:style>
  <w:style w:type="character" w:styleId="1070">
    <w:name w:val="新图表正文 Char Char"/>
    <w:next w:val="1070"/>
    <w:link w:val="1071"/>
    <w:qFormat/>
    <w:rPr>
      <w:rFonts w:ascii="宋体" w:hAnsi="宋体"/>
      <w:sz w:val="18"/>
      <w:szCs w:val="21"/>
      <w:lang w:val="en-US" w:eastAsia="zh-CN" w:bidi="ar-SA"/>
    </w:rPr>
  </w:style>
  <w:style w:type="paragraph" w:styleId="1071">
    <w:name w:val="新图表正文"/>
    <w:next w:val="1071"/>
    <w:link w:val="1070"/>
    <w:qFormat/>
    <w:pPr>
      <w:jc w:val="both"/>
    </w:pPr>
    <w:rPr>
      <w:rFonts w:ascii="宋体" w:hAnsi="宋体"/>
      <w:sz w:val="18"/>
      <w:szCs w:val="21"/>
      <w:lang w:val="en-US" w:eastAsia="zh-CN" w:bidi="ar-SA"/>
    </w:rPr>
  </w:style>
  <w:style w:type="character" w:styleId="1072">
    <w:name w:val="样式 首行缩进:  2 字符 Char"/>
    <w:next w:val="1072"/>
    <w:link w:val="736"/>
    <w:qFormat/>
    <w:rPr>
      <w:rFonts w:eastAsia="宋体" w:cs="宋体"/>
      <w:sz w:val="24"/>
      <w:lang w:val="en-US" w:eastAsia="zh-CN" w:bidi="ar-SA"/>
    </w:rPr>
  </w:style>
  <w:style w:type="character" w:styleId="1073">
    <w:name w:val="纯文本 Char Char Char"/>
    <w:next w:val="1073"/>
    <w:link w:val="736"/>
    <w:qFormat/>
    <w:rPr>
      <w:rFonts w:ascii="宋体" w:hAnsi="Courier New" w:eastAsia="宋体"/>
      <w:sz w:val="21"/>
      <w:szCs w:val="21"/>
      <w:lang w:val="en-US" w:eastAsia="zh-CN" w:bidi="ar-SA"/>
    </w:rPr>
  </w:style>
  <w:style w:type="character" w:styleId="1074">
    <w:name w:val="特点 Char1"/>
    <w:next w:val="1074"/>
    <w:link w:val="736"/>
    <w:qFormat/>
    <w:rPr>
      <w:rFonts w:eastAsia="宋体"/>
      <w:sz w:val="21"/>
      <w:lang w:val="en-US" w:eastAsia="zh-CN" w:bidi="ar-SA"/>
    </w:rPr>
  </w:style>
  <w:style w:type="paragraph" w:styleId="1075">
    <w:name w:val="Char"/>
    <w:basedOn w:val="736"/>
    <w:next w:val="1075"/>
    <w:link w:val="736"/>
    <w:qFormat/>
    <w:pPr>
      <w:spacing w:after="156" w:line="360" w:lineRule="auto"/>
    </w:pPr>
    <w:rPr>
      <w:rFonts w:ascii="Tahoma" w:hAnsi="Tahoma"/>
      <w:sz w:val="24"/>
    </w:rPr>
  </w:style>
  <w:style w:type="paragraph" w:styleId="1076">
    <w:name w:val="Item List Char Char"/>
    <w:next w:val="1076"/>
    <w:link w:val="736"/>
    <w:qFormat/>
    <w:pPr>
      <w:jc w:val="both"/>
      <w:spacing w:line="288" w:lineRule="auto"/>
    </w:pPr>
    <w:rPr>
      <w:rFonts w:ascii="Arial" w:hAnsi="Arial" w:cs="Arial"/>
      <w:b/>
      <w:bCs/>
      <w:sz w:val="21"/>
      <w:szCs w:val="28"/>
      <w:lang w:val="en-US" w:eastAsia="zh-CN" w:bidi="ar-SA"/>
    </w:rPr>
  </w:style>
  <w:style w:type="paragraph" w:styleId="1077">
    <w:name w:val="样式 样式 标题 3H3sect1.2.3BOD 0Heading 3 - oldh3l3CTLevel 3 Head... +..."/>
    <w:basedOn w:val="736"/>
    <w:next w:val="1077"/>
    <w:link w:val="736"/>
    <w:qFormat/>
    <w:pPr>
      <w:jc w:val="left"/>
      <w:keepLines/>
      <w:keepNext/>
      <w:spacing w:before="156" w:after="156"/>
      <w:outlineLvl w:val="2"/>
    </w:pPr>
    <w:rPr>
      <w:rFonts w:cs="宋体"/>
      <w:b/>
      <w:bCs/>
      <w:sz w:val="24"/>
    </w:rPr>
  </w:style>
  <w:style w:type="paragraph" w:styleId="1078">
    <w:name w:val="Body Text 20"/>
    <w:basedOn w:val="736"/>
    <w:next w:val="1078"/>
    <w:link w:val="736"/>
    <w:qFormat/>
    <w:pPr>
      <w:ind w:left="720" w:hanging="720"/>
      <w:widowControl/>
    </w:pPr>
    <w:rPr>
      <w:sz w:val="24"/>
      <w:lang w:val="en-GB"/>
    </w:rPr>
  </w:style>
  <w:style w:type="paragraph" w:styleId="1079">
    <w:name w:val="默认段落字体 Para Char Char Char Char Char Char Char Char Char1 Char Char Char Char Char Char Char"/>
    <w:basedOn w:val="772"/>
    <w:next w:val="1079"/>
    <w:link w:val="736"/>
    <w:qFormat/>
  </w:style>
  <w:style w:type="paragraph" w:styleId="1080">
    <w:name w:val="Normal1"/>
    <w:basedOn w:val="736"/>
    <w:next w:val="1080"/>
    <w:link w:val="736"/>
    <w:qFormat/>
    <w:rPr>
      <w:rFonts w:ascii="Calibri" w:hAnsi="Calibri" w:eastAsia="Calibri" w:cs="宋体"/>
      <w:lang w:val="zh-CN"/>
    </w:rPr>
  </w:style>
  <w:style w:type="paragraph" w:styleId="1081">
    <w:name w:val="xl46"/>
    <w:basedOn w:val="736"/>
    <w:next w:val="1081"/>
    <w:link w:val="736"/>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2">
    <w:name w:val="Char Char Char Char Char Char Char Char Char Char Char Char Char Char Char Char Char Char Char Char Char Char Char"/>
    <w:basedOn w:val="736"/>
    <w:next w:val="1082"/>
    <w:link w:val="736"/>
    <w:qFormat/>
    <w:rPr>
      <w:rFonts w:ascii="Tahoma" w:hAnsi="Tahoma"/>
      <w:sz w:val="24"/>
    </w:rPr>
  </w:style>
  <w:style w:type="paragraph" w:styleId="1083">
    <w:name w:val="马刚标题1"/>
    <w:basedOn w:val="737"/>
    <w:next w:val="736"/>
    <w:link w:val="736"/>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4">
    <w:name w:val="7"/>
    <w:basedOn w:val="736"/>
    <w:next w:val="819"/>
    <w:link w:val="736"/>
    <w:qFormat/>
    <w:pPr>
      <w:jc w:val="left"/>
      <w:spacing w:before="100" w:beforeAutospacing="1" w:after="100" w:afterAutospacing="1"/>
      <w:widowControl/>
    </w:pPr>
    <w:rPr>
      <w:rFonts w:ascii="宋体" w:hAnsi="宋体"/>
      <w:sz w:val="24"/>
    </w:rPr>
  </w:style>
  <w:style w:type="paragraph" w:styleId="1085">
    <w:name w:val="样式 样式 首行缩进:  2 字符 + 行距: 1.5 倍行距"/>
    <w:basedOn w:val="736"/>
    <w:next w:val="1085"/>
    <w:link w:val="736"/>
    <w:qFormat/>
    <w:pPr>
      <w:ind w:firstLine="470"/>
      <w:spacing w:line="360" w:lineRule="auto"/>
    </w:pPr>
    <w:rPr>
      <w:sz w:val="24"/>
    </w:rPr>
  </w:style>
  <w:style w:type="paragraph" w:styleId="1086">
    <w:name w:val="xl44"/>
    <w:basedOn w:val="736"/>
    <w:next w:val="1086"/>
    <w:link w:val="73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7">
    <w:name w:val="中等深浅网格 1 - 强调文字颜色 21"/>
    <w:basedOn w:val="736"/>
    <w:next w:val="1087"/>
    <w:link w:val="736"/>
    <w:qFormat/>
    <w:pPr>
      <w:ind w:firstLine="420"/>
    </w:pPr>
    <w:rPr>
      <w:rFonts w:ascii="Calibri" w:hAnsi="Calibri"/>
      <w:szCs w:val="22"/>
    </w:rPr>
  </w:style>
  <w:style w:type="paragraph" w:styleId="1088">
    <w:name w:val="greytypebeni"/>
    <w:basedOn w:val="736"/>
    <w:next w:val="1088"/>
    <w:link w:val="736"/>
    <w:qFormat/>
    <w:pPr>
      <w:jc w:val="left"/>
      <w:widowControl/>
    </w:pPr>
    <w:rPr>
      <w:rFonts w:ascii="宋体" w:hAnsi="宋体" w:cs="宋体"/>
      <w:sz w:val="24"/>
      <w:szCs w:val="24"/>
    </w:rPr>
  </w:style>
  <w:style w:type="paragraph" w:styleId="1089">
    <w:name w:val="font14"/>
    <w:basedOn w:val="736"/>
    <w:next w:val="1089"/>
    <w:link w:val="736"/>
    <w:qFormat/>
    <w:pPr>
      <w:jc w:val="left"/>
      <w:spacing w:before="100" w:beforeAutospacing="1" w:after="100" w:afterAutospacing="1"/>
      <w:widowControl/>
    </w:pPr>
    <w:rPr>
      <w:sz w:val="36"/>
      <w:szCs w:val="36"/>
    </w:rPr>
  </w:style>
  <w:style w:type="paragraph" w:styleId="1090">
    <w:name w:val="xl36"/>
    <w:basedOn w:val="736"/>
    <w:next w:val="1090"/>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1">
    <w:name w:val="Char Char Char Char Char Char Char Char Char Char Char Char Char Char"/>
    <w:basedOn w:val="736"/>
    <w:next w:val="1091"/>
    <w:link w:val="736"/>
    <w:qFormat/>
    <w:rPr>
      <w:rFonts w:ascii="Tahoma" w:hAnsi="Tahoma"/>
      <w:sz w:val="24"/>
    </w:rPr>
  </w:style>
  <w:style w:type="paragraph" w:styleId="1092">
    <w:name w:val="标准小四"/>
    <w:basedOn w:val="736"/>
    <w:next w:val="1092"/>
    <w:link w:val="736"/>
    <w:qFormat/>
    <w:pPr>
      <w:ind w:firstLine="480"/>
      <w:spacing w:line="360" w:lineRule="auto"/>
    </w:pPr>
    <w:rPr>
      <w:rFonts w:ascii="Arial" w:hAnsi="Arial"/>
      <w:sz w:val="24"/>
      <w:szCs w:val="21"/>
    </w:rPr>
  </w:style>
  <w:style w:type="paragraph" w:styleId="1093">
    <w:name w:val="样式 段后: 0.25 行"/>
    <w:basedOn w:val="736"/>
    <w:next w:val="1093"/>
    <w:link w:val="736"/>
    <w:qFormat/>
    <w:pPr>
      <w:ind w:firstLine="420"/>
      <w:jc w:val="left"/>
      <w:spacing w:after="78" w:line="300" w:lineRule="auto"/>
      <w:widowControl/>
    </w:pPr>
    <w:rPr>
      <w:rFonts w:ascii="Arial" w:hAnsi="Arial" w:cs="宋体"/>
      <w:sz w:val="22"/>
      <w:lang w:eastAsia="en-US" w:bidi="en-US"/>
    </w:rPr>
  </w:style>
  <w:style w:type="paragraph" w:styleId="1094">
    <w:name w:val="Char Char1"/>
    <w:basedOn w:val="736"/>
    <w:next w:val="1094"/>
    <w:link w:val="736"/>
    <w:qFormat/>
    <w:rPr>
      <w:rFonts w:ascii="Tahoma" w:hAnsi="Tahoma"/>
      <w:sz w:val="24"/>
    </w:rPr>
  </w:style>
  <w:style w:type="paragraph" w:styleId="1095">
    <w:name w:val="样式3"/>
    <w:basedOn w:val="736"/>
    <w:next w:val="736"/>
    <w:link w:val="736"/>
    <w:qFormat/>
    <w:pPr>
      <w:spacing w:line="360" w:lineRule="auto"/>
    </w:pPr>
  </w:style>
  <w:style w:type="paragraph" w:styleId="1096">
    <w:name w:val="_Style 42"/>
    <w:basedOn w:val="736"/>
    <w:next w:val="779"/>
    <w:link w:val="736"/>
    <w:qFormat/>
    <w:rPr>
      <w:rFonts w:ascii="方正楷体_GB2312" w:hAnsi="Arial" w:eastAsia="方正楷体_GB2312"/>
      <w:sz w:val="28"/>
    </w:rPr>
  </w:style>
  <w:style w:type="paragraph" w:styleId="1097">
    <w:name w:val="Char1 Char Char Char"/>
    <w:basedOn w:val="736"/>
    <w:next w:val="1097"/>
    <w:link w:val="736"/>
    <w:qFormat/>
    <w:rPr>
      <w:rFonts w:ascii="Tahoma" w:hAnsi="Tahoma" w:cs="Tahoma"/>
      <w:sz w:val="24"/>
    </w:rPr>
  </w:style>
  <w:style w:type="paragraph" w:styleId="1098">
    <w:name w:val="正文 A"/>
    <w:next w:val="1098"/>
    <w:link w:val="736"/>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99">
    <w:name w:val="Char Char1 Char Char Char Char"/>
    <w:basedOn w:val="772"/>
    <w:next w:val="1099"/>
    <w:link w:val="736"/>
    <w:qFormat/>
    <w:pPr>
      <w:ind w:left="357"/>
      <w:jc w:val="left"/>
      <w:spacing w:line="436" w:lineRule="exact"/>
      <w:outlineLvl w:val="3"/>
    </w:pPr>
    <w:rPr>
      <w:rFonts w:ascii="Tahoma" w:hAnsi="Tahoma" w:cs="Tahoma"/>
      <w:b/>
      <w:sz w:val="24"/>
      <w:szCs w:val="24"/>
    </w:rPr>
  </w:style>
  <w:style w:type="paragraph" w:styleId="1100">
    <w:name w:val="标题 4宋体"/>
    <w:basedOn w:val="740"/>
    <w:next w:val="1100"/>
    <w:link w:val="736"/>
    <w:qFormat/>
    <w:pPr>
      <w:jc w:val="left"/>
      <w:keepLines w:val="0"/>
      <w:spacing w:before="0" w:after="0" w:line="360" w:lineRule="auto"/>
    </w:pPr>
    <w:rPr>
      <w:rFonts w:ascii="宋体" w:hAnsi="宋体" w:eastAsia="宋体"/>
      <w:bCs/>
      <w:color w:val="000000"/>
      <w:sz w:val="24"/>
    </w:rPr>
  </w:style>
  <w:style w:type="paragraph" w:styleId="1101">
    <w:name w:val="xl57"/>
    <w:basedOn w:val="736"/>
    <w:next w:val="1101"/>
    <w:link w:val="73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2">
    <w:name w:val="Char Char Char Char Char Char Char Char Char Char Char Char Char Char Char Char Char Char Char Char Char"/>
    <w:basedOn w:val="736"/>
    <w:next w:val="1102"/>
    <w:link w:val="736"/>
    <w:qFormat/>
    <w:rPr>
      <w:rFonts w:ascii="Tahoma" w:hAnsi="Tahoma" w:cs="Tahoma"/>
      <w:sz w:val="24"/>
    </w:rPr>
  </w:style>
  <w:style w:type="paragraph" w:styleId="1103">
    <w:name w:val="xl45"/>
    <w:basedOn w:val="736"/>
    <w:next w:val="1103"/>
    <w:link w:val="73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4">
    <w:name w:val="xl25"/>
    <w:basedOn w:val="736"/>
    <w:next w:val="1104"/>
    <w:link w:val="736"/>
    <w:qFormat/>
    <w:pPr>
      <w:jc w:val="center"/>
      <w:spacing w:before="100" w:beforeAutospacing="1" w:after="100" w:afterAutospacing="1"/>
      <w:widowControl/>
      <w:pBdr>
        <w:right w:val="single" w:color="000000" w:sz="4" w:space="0"/>
      </w:pBdr>
    </w:pPr>
    <w:rPr>
      <w:szCs w:val="21"/>
    </w:rPr>
  </w:style>
  <w:style w:type="paragraph" w:styleId="1105">
    <w:name w:val="丁华正文"/>
    <w:basedOn w:val="808"/>
    <w:next w:val="1105"/>
    <w:link w:val="736"/>
    <w:qFormat/>
    <w:pPr>
      <w:ind w:left="0" w:firstLine="510"/>
      <w:spacing w:line="360" w:lineRule="auto"/>
    </w:pPr>
    <w:rPr>
      <w:rFonts w:ascii="Times New Roman" w:hAnsi="Times New Roman" w:eastAsia="宋体"/>
      <w:color w:val="000000"/>
      <w:sz w:val="24"/>
      <w:szCs w:val="16"/>
    </w:rPr>
  </w:style>
  <w:style w:type="paragraph" w:styleId="1106">
    <w:name w:val="小四 段落 宋体 Char Char"/>
    <w:basedOn w:val="736"/>
    <w:next w:val="1106"/>
    <w:link w:val="736"/>
    <w:qFormat/>
    <w:pPr>
      <w:ind w:firstLine="480"/>
      <w:spacing w:line="360" w:lineRule="auto"/>
    </w:pPr>
    <w:rPr>
      <w:rFonts w:ascii="宋体" w:hAnsi="宋体"/>
      <w:sz w:val="24"/>
      <w:szCs w:val="24"/>
    </w:rPr>
  </w:style>
  <w:style w:type="paragraph" w:styleId="1107">
    <w:name w:val="样式 标题 2第一章 标题 2Heading 2 HiddenHeading 2 CCBSheading 2H2h2..."/>
    <w:basedOn w:val="738"/>
    <w:next w:val="1107"/>
    <w:link w:val="736"/>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8">
    <w:name w:val="段落"/>
    <w:basedOn w:val="736"/>
    <w:next w:val="1108"/>
    <w:link w:val="736"/>
    <w:qFormat/>
    <w:pPr>
      <w:ind w:firstLine="480"/>
      <w:spacing w:line="460" w:lineRule="exact"/>
    </w:pPr>
    <w:rPr>
      <w:sz w:val="24"/>
    </w:rPr>
  </w:style>
  <w:style w:type="paragraph" w:styleId="1109">
    <w:name w:val="Char Char Char Char Char Char Char Char Char Char Char Char Char Char1"/>
    <w:basedOn w:val="736"/>
    <w:next w:val="1109"/>
    <w:link w:val="736"/>
    <w:qFormat/>
    <w:rPr>
      <w:rFonts w:ascii="Tahoma" w:hAnsi="Tahoma" w:cs="Tahoma"/>
      <w:sz w:val="24"/>
    </w:rPr>
  </w:style>
  <w:style w:type="paragraph" w:styleId="1110">
    <w:name w:val="默认段落字体 Para Char Char Char Char Char Char Char"/>
    <w:basedOn w:val="736"/>
    <w:next w:val="1110"/>
    <w:link w:val="736"/>
    <w:qFormat/>
  </w:style>
  <w:style w:type="paragraph" w:styleId="1111">
    <w:name w:val="af17cgridlangnp1033langf"/>
    <w:next w:val="1111"/>
    <w:link w:val="736"/>
    <w:qFormat/>
    <w:pPr>
      <w:ind w:left="567" w:firstLine="510"/>
      <w:jc w:val="both"/>
      <w:spacing w:before="156" w:line="360" w:lineRule="atLeast"/>
      <w:widowControl w:val="off"/>
    </w:pPr>
    <w:rPr>
      <w:lang w:val="en-US" w:eastAsia="zh-CN" w:bidi="ar-SA"/>
    </w:rPr>
  </w:style>
  <w:style w:type="paragraph" w:styleId="1112">
    <w:name w:val="正文 + Arial Char"/>
    <w:basedOn w:val="736"/>
    <w:next w:val="1112"/>
    <w:link w:val="736"/>
    <w:qFormat/>
    <w:pPr>
      <w:ind w:left="315" w:hanging="315"/>
      <w:spacing w:line="300" w:lineRule="auto"/>
      <w:widowControl/>
      <w:tabs>
        <w:tab w:val="left" w:pos="315" w:leader="none"/>
      </w:tabs>
    </w:pPr>
    <w:rPr>
      <w:rFonts w:ascii="Arial" w:hAnsi="Arial" w:cs="Arial"/>
      <w:b/>
      <w:color w:val="000000"/>
    </w:rPr>
  </w:style>
  <w:style w:type="paragraph" w:styleId="1113">
    <w:name w:val="Char1"/>
    <w:basedOn w:val="736"/>
    <w:next w:val="1113"/>
    <w:link w:val="736"/>
    <w:qFormat/>
    <w:pPr>
      <w:jc w:val="left"/>
      <w:spacing w:after="160" w:line="240" w:lineRule="exact"/>
      <w:widowControl/>
    </w:pPr>
    <w:rPr>
      <w:rFonts w:ascii="Verdana" w:hAnsi="Verdana" w:eastAsia="方正仿宋_GB2312"/>
      <w:sz w:val="24"/>
      <w:lang w:eastAsia="en-US"/>
    </w:rPr>
  </w:style>
  <w:style w:type="paragraph" w:styleId="1114">
    <w:name w:val="Pa6"/>
    <w:basedOn w:val="736"/>
    <w:next w:val="736"/>
    <w:link w:val="736"/>
    <w:qFormat/>
    <w:pPr>
      <w:jc w:val="left"/>
      <w:spacing w:line="241" w:lineRule="atLeast"/>
    </w:pPr>
    <w:rPr>
      <w:rFonts w:ascii="DejaVu Math TeX Gyre" w:eastAsia="DejaVu Math TeX Gyre"/>
      <w:sz w:val="24"/>
      <w:szCs w:val="24"/>
    </w:rPr>
  </w:style>
  <w:style w:type="paragraph" w:styleId="1115">
    <w:name w:val="马刚标题3"/>
    <w:basedOn w:val="736"/>
    <w:next w:val="736"/>
    <w:link w:val="73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6">
    <w:name w:val="content_lineheight"/>
    <w:basedOn w:val="736"/>
    <w:next w:val="1116"/>
    <w:link w:val="736"/>
    <w:qFormat/>
    <w:pPr>
      <w:jc w:val="left"/>
      <w:spacing w:before="100" w:beforeAutospacing="1" w:after="100" w:afterAutospacing="1"/>
      <w:widowControl/>
    </w:pPr>
    <w:rPr>
      <w:rFonts w:ascii="宋体" w:hAnsi="宋体"/>
      <w:sz w:val="24"/>
      <w:szCs w:val="24"/>
    </w:rPr>
  </w:style>
  <w:style w:type="paragraph" w:styleId="1117">
    <w:name w:val="默认段落字体 Para Char"/>
    <w:basedOn w:val="736"/>
    <w:next w:val="1117"/>
    <w:link w:val="736"/>
    <w:qFormat/>
    <w:rPr>
      <w:sz w:val="24"/>
      <w:szCs w:val="24"/>
    </w:rPr>
  </w:style>
  <w:style w:type="paragraph" w:styleId="1118">
    <w:name w:val="表格"/>
    <w:basedOn w:val="736"/>
    <w:next w:val="1118"/>
    <w:link w:val="736"/>
    <w:qFormat/>
    <w:pPr>
      <w:ind w:firstLine="21"/>
    </w:pPr>
    <w:rPr>
      <w:rFonts w:ascii="宋体" w:hAnsi="宋体" w:cs="宋体"/>
      <w:sz w:val="20"/>
    </w:rPr>
  </w:style>
  <w:style w:type="paragraph" w:styleId="1119">
    <w:name w:val="Char Char Char Char Char Char Char Char Char Char Char"/>
    <w:basedOn w:val="736"/>
    <w:next w:val="1119"/>
    <w:link w:val="736"/>
    <w:qFormat/>
    <w:rPr>
      <w:rFonts w:ascii="Tahoma" w:hAnsi="Tahoma" w:cs="Tahoma"/>
      <w:sz w:val="24"/>
    </w:rPr>
  </w:style>
  <w:style w:type="paragraph" w:styleId="1120">
    <w:name w:val="丁华标题1"/>
    <w:basedOn w:val="737"/>
    <w:next w:val="1105"/>
    <w:link w:val="736"/>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21">
    <w:name w:val="列出段落"/>
    <w:basedOn w:val="736"/>
    <w:next w:val="1121"/>
    <w:link w:val="736"/>
    <w:uiPriority w:val="34"/>
    <w:qFormat/>
    <w:pPr>
      <w:ind w:firstLine="420"/>
    </w:pPr>
    <w:rPr>
      <w:szCs w:val="24"/>
    </w:rPr>
  </w:style>
  <w:style w:type="paragraph" w:styleId="1122">
    <w:name w:val="正文表标题"/>
    <w:next w:val="842"/>
    <w:link w:val="736"/>
    <w:qFormat/>
    <w:pPr>
      <w:ind w:left="900" w:hanging="420"/>
      <w:jc w:val="center"/>
      <w:tabs>
        <w:tab w:val="left" w:pos="900" w:leader="none"/>
      </w:tabs>
    </w:pPr>
    <w:rPr>
      <w:rFonts w:ascii="黑体" w:eastAsia="黑体"/>
      <w:sz w:val="21"/>
      <w:lang w:val="en-US" w:eastAsia="zh-CN" w:bidi="ar-SA"/>
    </w:rPr>
  </w:style>
  <w:style w:type="paragraph" w:styleId="1123">
    <w:name w:val="样式"/>
    <w:basedOn w:val="736"/>
    <w:next w:val="1123"/>
    <w:link w:val="736"/>
    <w:qFormat/>
    <w:pPr>
      <w:spacing w:before="120" w:after="120" w:line="360" w:lineRule="auto"/>
    </w:pPr>
    <w:rPr>
      <w:rFonts w:ascii="宋体"/>
      <w:sz w:val="24"/>
    </w:rPr>
  </w:style>
  <w:style w:type="paragraph" w:styleId="1124">
    <w:name w:val="Char2"/>
    <w:basedOn w:val="736"/>
    <w:next w:val="1124"/>
    <w:link w:val="736"/>
    <w:semiHidden/>
    <w:qFormat/>
    <w:rPr>
      <w:rFonts w:ascii="Tahoma" w:hAnsi="Tahoma" w:cs="方正仿宋_GB2312"/>
      <w:sz w:val="24"/>
      <w:szCs w:val="28"/>
    </w:rPr>
  </w:style>
  <w:style w:type="paragraph" w:styleId="1125">
    <w:name w:val="xl43"/>
    <w:basedOn w:val="736"/>
    <w:next w:val="1125"/>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6">
    <w:name w:val="font13"/>
    <w:basedOn w:val="736"/>
    <w:next w:val="1126"/>
    <w:link w:val="736"/>
    <w:qFormat/>
    <w:pPr>
      <w:jc w:val="left"/>
      <w:spacing w:before="100" w:beforeAutospacing="1" w:after="100" w:afterAutospacing="1"/>
      <w:widowControl/>
    </w:pPr>
    <w:rPr>
      <w:i/>
      <w:iCs/>
      <w:sz w:val="36"/>
      <w:szCs w:val="36"/>
    </w:rPr>
  </w:style>
  <w:style w:type="paragraph" w:styleId="1127">
    <w:name w:val="a0"/>
    <w:basedOn w:val="736"/>
    <w:next w:val="1127"/>
    <w:link w:val="736"/>
    <w:qFormat/>
    <w:pPr>
      <w:spacing w:before="100" w:beforeAutospacing="1" w:after="100" w:afterAutospacing="1"/>
      <w:widowControl/>
    </w:pPr>
    <w:rPr>
      <w:rFonts w:ascii="宋体" w:hAnsi="宋体" w:cs="宋体"/>
      <w:sz w:val="24"/>
      <w:szCs w:val="24"/>
    </w:rPr>
  </w:style>
  <w:style w:type="paragraph" w:styleId="1128">
    <w:name w:val="项目符号，一级"/>
    <w:basedOn w:val="1129"/>
    <w:next w:val="1129"/>
    <w:link w:val="736"/>
    <w:qFormat/>
    <w:pPr>
      <w:ind w:left="376" w:firstLine="0"/>
      <w:spacing w:line="240" w:lineRule="atLeast"/>
      <w:tabs>
        <w:tab w:val="left" w:pos="1320" w:leader="none"/>
      </w:tabs>
    </w:pPr>
    <w:rPr>
      <w:bCs w:val="0"/>
      <w:color w:val="000000"/>
      <w:szCs w:val="24"/>
    </w:rPr>
  </w:style>
  <w:style w:type="paragraph" w:styleId="1129">
    <w:name w:val="正文格式"/>
    <w:basedOn w:val="736"/>
    <w:next w:val="1129"/>
    <w:link w:val="736"/>
    <w:qFormat/>
    <w:pPr>
      <w:ind w:left="178" w:right="44" w:hanging="178"/>
      <w:jc w:val="left"/>
      <w:spacing w:before="78" w:line="360" w:lineRule="auto"/>
      <w:widowControl/>
    </w:pPr>
    <w:rPr>
      <w:rFonts w:ascii="宋体" w:hAnsi="宋体"/>
      <w:bCs/>
      <w:szCs w:val="21"/>
    </w:rPr>
  </w:style>
  <w:style w:type="paragraph" w:styleId="1130">
    <w:name w:val="Char Char Char Char Char Char Char"/>
    <w:basedOn w:val="736"/>
    <w:next w:val="1130"/>
    <w:link w:val="736"/>
    <w:qFormat/>
    <w:rPr>
      <w:rFonts w:ascii="Tahoma" w:hAnsi="Tahoma"/>
      <w:sz w:val="24"/>
    </w:rPr>
  </w:style>
  <w:style w:type="paragraph" w:styleId="1131">
    <w:name w:val="xl63"/>
    <w:basedOn w:val="736"/>
    <w:next w:val="1131"/>
    <w:link w:val="73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2">
    <w:name w:val="Char Char11"/>
    <w:basedOn w:val="736"/>
    <w:next w:val="1132"/>
    <w:link w:val="736"/>
    <w:qFormat/>
    <w:rPr>
      <w:rFonts w:ascii="Tahoma" w:hAnsi="Tahoma" w:cs="Tahoma"/>
      <w:sz w:val="24"/>
    </w:rPr>
  </w:style>
  <w:style w:type="paragraph" w:styleId="1133">
    <w:name w:val="Char Char Char Char Char"/>
    <w:basedOn w:val="736"/>
    <w:next w:val="1133"/>
    <w:link w:val="736"/>
    <w:qFormat/>
    <w:rPr>
      <w:rFonts w:ascii="Tahoma" w:hAnsi="Tahoma"/>
      <w:sz w:val="24"/>
    </w:rPr>
  </w:style>
  <w:style w:type="paragraph" w:styleId="1134">
    <w:name w:val="正文lzq"/>
    <w:basedOn w:val="736"/>
    <w:next w:val="1134"/>
    <w:link w:val="736"/>
    <w:qFormat/>
    <w:pPr>
      <w:ind w:firstLine="480"/>
      <w:spacing w:line="360" w:lineRule="auto"/>
    </w:pPr>
    <w:rPr>
      <w:sz w:val="24"/>
    </w:rPr>
  </w:style>
  <w:style w:type="paragraph" w:styleId="1135">
    <w:name w:val="xl52"/>
    <w:basedOn w:val="736"/>
    <w:next w:val="1135"/>
    <w:link w:val="73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6">
    <w:name w:val="xl56"/>
    <w:basedOn w:val="736"/>
    <w:next w:val="1136"/>
    <w:link w:val="7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7">
    <w:name w:val="xl62"/>
    <w:basedOn w:val="736"/>
    <w:next w:val="1137"/>
    <w:link w:val="7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8">
    <w:name w:val="列表内容"/>
    <w:basedOn w:val="736"/>
    <w:next w:val="736"/>
    <w:link w:val="736"/>
    <w:qFormat/>
    <w:pPr>
      <w:ind w:left="840" w:hanging="420"/>
      <w:jc w:val="left"/>
      <w:widowControl/>
      <w:tabs>
        <w:tab w:val="left" w:pos="840" w:leader="none"/>
      </w:tabs>
    </w:pPr>
    <w:rPr>
      <w:sz w:val="18"/>
      <w:szCs w:val="24"/>
    </w:rPr>
  </w:style>
  <w:style w:type="paragraph" w:styleId="1139">
    <w:name w:val="xl47"/>
    <w:basedOn w:val="736"/>
    <w:next w:val="1139"/>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40">
    <w:name w:val="xl42"/>
    <w:basedOn w:val="736"/>
    <w:next w:val="1140"/>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1">
    <w:name w:val="xl53"/>
    <w:basedOn w:val="736"/>
    <w:next w:val="1141"/>
    <w:link w:val="7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2">
    <w:name w:val="Default"/>
    <w:next w:val="736"/>
    <w:link w:val="736"/>
    <w:qFormat/>
    <w:pPr>
      <w:widowControl w:val="off"/>
    </w:pPr>
    <w:rPr>
      <w:rFonts w:ascii="宋体" w:cs="宋体"/>
      <w:color w:val="000000"/>
      <w:sz w:val="24"/>
      <w:szCs w:val="24"/>
      <w:lang w:val="en-US" w:eastAsia="zh-CN" w:bidi="ar-SA"/>
    </w:rPr>
  </w:style>
  <w:style w:type="paragraph" w:styleId="1143">
    <w:name w:val="Char Char Char Char Char Char Char Char Char"/>
    <w:basedOn w:val="736"/>
    <w:next w:val="1143"/>
    <w:link w:val="736"/>
    <w:qFormat/>
    <w:pPr>
      <w:ind w:left="200" w:hanging="200"/>
      <w:tabs>
        <w:tab w:val="left" w:pos="360" w:leader="none"/>
      </w:tabs>
    </w:pPr>
    <w:rPr>
      <w:sz w:val="24"/>
      <w:szCs w:val="24"/>
    </w:rPr>
  </w:style>
  <w:style w:type="paragraph" w:styleId="1144">
    <w:name w:val="font9"/>
    <w:basedOn w:val="736"/>
    <w:next w:val="1144"/>
    <w:link w:val="736"/>
    <w:qFormat/>
    <w:pPr>
      <w:jc w:val="left"/>
      <w:spacing w:before="100" w:beforeAutospacing="1" w:after="100" w:afterAutospacing="1"/>
      <w:widowControl/>
    </w:pPr>
    <w:rPr>
      <w:b/>
      <w:bCs/>
      <w:sz w:val="20"/>
    </w:rPr>
  </w:style>
  <w:style w:type="paragraph" w:styleId="1145">
    <w:name w:val="华宇段落1 Char"/>
    <w:basedOn w:val="736"/>
    <w:next w:val="1145"/>
    <w:link w:val="736"/>
    <w:qFormat/>
    <w:pPr>
      <w:ind w:firstLine="200"/>
      <w:spacing w:line="360" w:lineRule="auto"/>
    </w:pPr>
    <w:rPr>
      <w:bCs/>
      <w:sz w:val="24"/>
      <w:szCs w:val="24"/>
    </w:rPr>
  </w:style>
  <w:style w:type="paragraph" w:styleId="1146">
    <w:name w:val="段 Char"/>
    <w:next w:val="1146"/>
    <w:link w:val="736"/>
    <w:qFormat/>
    <w:pPr>
      <w:ind w:firstLine="200"/>
      <w:jc w:val="both"/>
    </w:pPr>
    <w:rPr>
      <w:rFonts w:ascii="宋体"/>
      <w:sz w:val="21"/>
      <w:lang w:val="en-US" w:eastAsia="zh-CN" w:bidi="ar-SA"/>
    </w:rPr>
  </w:style>
  <w:style w:type="paragraph" w:styleId="1147">
    <w:name w:val="xl35"/>
    <w:basedOn w:val="736"/>
    <w:next w:val="1147"/>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8">
    <w:name w:val="表头_5"/>
    <w:basedOn w:val="736"/>
    <w:next w:val="1148"/>
    <w:link w:val="736"/>
    <w:qFormat/>
    <w:pPr>
      <w:spacing w:line="360" w:lineRule="auto"/>
    </w:pPr>
    <w:rPr>
      <w:b/>
      <w:bCs/>
      <w:sz w:val="28"/>
      <w:szCs w:val="21"/>
    </w:rPr>
  </w:style>
  <w:style w:type="paragraph" w:styleId="1149">
    <w:name w:val="xl39"/>
    <w:basedOn w:val="736"/>
    <w:next w:val="1149"/>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0">
    <w:name w:val="样式 样式 首行缩进:  0.74 厘米 行距: 1.5 倍行距 + 段后: 0.5 行"/>
    <w:basedOn w:val="736"/>
    <w:next w:val="1150"/>
    <w:link w:val="736"/>
    <w:qFormat/>
    <w:pPr>
      <w:ind w:firstLine="420"/>
      <w:spacing w:line="360" w:lineRule="auto"/>
    </w:pPr>
    <w:rPr>
      <w:rFonts w:ascii="方正楷体_GB2312" w:eastAsia="方正楷体_GB2312"/>
      <w:bCs/>
      <w:sz w:val="24"/>
    </w:rPr>
  </w:style>
  <w:style w:type="paragraph" w:styleId="1151">
    <w:name w:val="小四 段落 宋体 Char"/>
    <w:basedOn w:val="769"/>
    <w:next w:val="1151"/>
    <w:link w:val="736"/>
    <w:qFormat/>
    <w:pPr>
      <w:ind w:left="0" w:right="-33" w:firstLine="600"/>
      <w:jc w:val="left"/>
      <w:tabs>
        <w:tab w:val="clear" w:pos="2952" w:leader="none"/>
      </w:tabs>
    </w:pPr>
    <w:rPr>
      <w:rFonts w:ascii="方正仿宋_GB2312" w:eastAsia="方正仿宋_GB2312"/>
      <w:sz w:val="30"/>
      <w:szCs w:val="30"/>
    </w:rPr>
  </w:style>
  <w:style w:type="paragraph" w:styleId="1152">
    <w:name w:val="Char Char Char"/>
    <w:basedOn w:val="736"/>
    <w:next w:val="1152"/>
    <w:link w:val="736"/>
    <w:qFormat/>
    <w:rPr>
      <w:rFonts w:ascii="Tahoma" w:hAnsi="Tahoma"/>
      <w:sz w:val="24"/>
    </w:rPr>
  </w:style>
  <w:style w:type="paragraph" w:styleId="1153">
    <w:name w:val="No Spacing0"/>
    <w:next w:val="1153"/>
    <w:link w:val="736"/>
    <w:qFormat/>
    <w:pPr>
      <w:jc w:val="both"/>
      <w:widowControl w:val="off"/>
    </w:pPr>
    <w:rPr>
      <w:rFonts w:eastAsia="微软雅黑"/>
      <w:sz w:val="24"/>
      <w:szCs w:val="22"/>
      <w:lang w:val="en-US" w:eastAsia="zh-CN" w:bidi="ar-SA"/>
    </w:rPr>
  </w:style>
  <w:style w:type="paragraph" w:styleId="1154">
    <w:name w:val="纯文本1"/>
    <w:basedOn w:val="736"/>
    <w:next w:val="1154"/>
    <w:link w:val="736"/>
    <w:qFormat/>
    <w:rPr>
      <w:rFonts w:ascii="宋体" w:hAnsi="宋体" w:eastAsia="方正楷体_GB2312" w:cs="宋体"/>
      <w:sz w:val="28"/>
    </w:rPr>
  </w:style>
  <w:style w:type="paragraph" w:styleId="1155">
    <w:name w:val="Char Char Char Char"/>
    <w:basedOn w:val="772"/>
    <w:next w:val="1155"/>
    <w:link w:val="736"/>
    <w:qFormat/>
    <w:pPr>
      <w:spacing w:line="360" w:lineRule="auto"/>
    </w:pPr>
    <w:rPr>
      <w:rFonts w:ascii="Tahoma" w:hAnsi="Tahoma"/>
      <w:sz w:val="24"/>
      <w:szCs w:val="24"/>
    </w:rPr>
  </w:style>
  <w:style w:type="paragraph" w:styleId="1156">
    <w:name w:val="符号与编号 Char Char"/>
    <w:basedOn w:val="736"/>
    <w:next w:val="1156"/>
    <w:link w:val="736"/>
    <w:qFormat/>
    <w:pPr>
      <w:ind w:left="839" w:hanging="419"/>
      <w:spacing w:after="156" w:line="400" w:lineRule="atLeast"/>
      <w:tabs>
        <w:tab w:val="left" w:pos="840" w:leader="none"/>
      </w:tabs>
    </w:pPr>
    <w:rPr>
      <w:sz w:val="24"/>
      <w:szCs w:val="24"/>
    </w:rPr>
  </w:style>
  <w:style w:type="paragraph" w:styleId="1157">
    <w:name w:val="Pa5"/>
    <w:basedOn w:val="736"/>
    <w:next w:val="736"/>
    <w:link w:val="736"/>
    <w:qFormat/>
    <w:pPr>
      <w:jc w:val="left"/>
      <w:spacing w:line="241" w:lineRule="atLeast"/>
    </w:pPr>
    <w:rPr>
      <w:rFonts w:ascii="DejaVu Math TeX Gyre" w:eastAsia="DejaVu Math TeX Gyre"/>
      <w:sz w:val="24"/>
      <w:szCs w:val="24"/>
    </w:rPr>
  </w:style>
  <w:style w:type="paragraph" w:styleId="1158">
    <w:name w:val="Table Paragraph"/>
    <w:basedOn w:val="736"/>
    <w:next w:val="1158"/>
    <w:link w:val="736"/>
    <w:uiPriority w:val="1"/>
    <w:qFormat/>
    <w:rPr>
      <w:rFonts w:ascii="宋体" w:hAnsi="宋体" w:cs="宋体"/>
      <w:lang w:val="zh-CN" w:bidi="zh-CN"/>
    </w:rPr>
  </w:style>
  <w:style w:type="paragraph" w:styleId="1159">
    <w:name w:val="列出段落1"/>
    <w:basedOn w:val="736"/>
    <w:next w:val="1159"/>
    <w:link w:val="736"/>
    <w:qFormat/>
    <w:pPr>
      <w:contextualSpacing/>
      <w:ind w:left="720"/>
      <w:jc w:val="left"/>
      <w:widowControl/>
    </w:pPr>
    <w:rPr>
      <w:rFonts w:ascii="Arial" w:hAnsi="Arial" w:eastAsia="黑体"/>
      <w:sz w:val="24"/>
      <w:szCs w:val="24"/>
      <w:lang w:eastAsia="en-US"/>
    </w:rPr>
  </w:style>
  <w:style w:type="paragraph" w:styleId="1160">
    <w:name w:val="xl37"/>
    <w:basedOn w:val="736"/>
    <w:next w:val="1160"/>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1">
    <w:name w:val="Bullets L1"/>
    <w:basedOn w:val="736"/>
    <w:next w:val="1161"/>
    <w:link w:val="736"/>
    <w:qFormat/>
    <w:pPr>
      <w:numPr>
        <w:ilvl w:val="0"/>
        <w:numId w:val="2"/>
      </w:numPr>
      <w:jc w:val="left"/>
      <w:spacing w:before="60" w:after="60"/>
      <w:widowControl/>
      <w:tabs>
        <w:tab w:val="left" w:pos="360" w:leader="none"/>
      </w:tabs>
    </w:pPr>
    <w:rPr>
      <w:rFonts w:ascii="Arial" w:hAnsi="Arial"/>
      <w:sz w:val="20"/>
    </w:rPr>
  </w:style>
  <w:style w:type="paragraph" w:styleId="1162">
    <w:name w:val="xl38"/>
    <w:basedOn w:val="736"/>
    <w:next w:val="1162"/>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3">
    <w:name w:val="表格1"/>
    <w:basedOn w:val="736"/>
    <w:next w:val="1163"/>
    <w:link w:val="736"/>
    <w:qFormat/>
    <w:rPr>
      <w:rFonts w:ascii="宋体"/>
      <w:szCs w:val="21"/>
    </w:rPr>
  </w:style>
  <w:style w:type="paragraph" w:styleId="1164">
    <w:name w:val="标题3"/>
    <w:basedOn w:val="739"/>
    <w:next w:val="1164"/>
    <w:link w:val="736"/>
    <w:qFormat/>
    <w:pPr>
      <w:keepLines w:val="0"/>
      <w:keepNext w:val="0"/>
      <w:spacing w:line="360" w:lineRule="auto"/>
    </w:pPr>
    <w:rPr>
      <w:rFonts w:eastAsia="方正仿宋_GB2312"/>
      <w:b w:val="0"/>
      <w:bCs/>
      <w:sz w:val="30"/>
      <w:szCs w:val="32"/>
    </w:rPr>
  </w:style>
  <w:style w:type="paragraph" w:styleId="1165">
    <w:name w:val="xl49"/>
    <w:basedOn w:val="736"/>
    <w:next w:val="1165"/>
    <w:link w:val="736"/>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6">
    <w:name w:val="正文 首行缩进:  2 字符 Char"/>
    <w:basedOn w:val="736"/>
    <w:next w:val="1166"/>
    <w:link w:val="736"/>
    <w:qFormat/>
    <w:pPr>
      <w:ind w:firstLine="480"/>
      <w:spacing w:line="360" w:lineRule="auto"/>
    </w:pPr>
    <w:rPr>
      <w:rFonts w:cs="宋体"/>
      <w:sz w:val="24"/>
    </w:rPr>
  </w:style>
  <w:style w:type="paragraph" w:styleId="1167">
    <w:name w:val="Char Char Char Char Char Char Char1 Char"/>
    <w:basedOn w:val="736"/>
    <w:next w:val="1167"/>
    <w:link w:val="736"/>
    <w:qFormat/>
    <w:rPr>
      <w:rFonts w:ascii="Tahoma" w:hAnsi="Tahoma" w:cs="Tahoma"/>
      <w:sz w:val="24"/>
    </w:rPr>
  </w:style>
  <w:style w:type="paragraph" w:styleId="1168">
    <w:name w:val="标题3，章节第三层"/>
    <w:basedOn w:val="736"/>
    <w:next w:val="1129"/>
    <w:link w:val="736"/>
    <w:qFormat/>
    <w:pPr>
      <w:spacing w:before="78" w:line="300" w:lineRule="auto"/>
      <w:outlineLvl w:val="2"/>
    </w:pPr>
    <w:rPr>
      <w:rFonts w:ascii="Arial" w:hAnsi="Arial" w:eastAsia="华文细黑"/>
      <w:sz w:val="30"/>
      <w:szCs w:val="24"/>
    </w:rPr>
  </w:style>
  <w:style w:type="paragraph" w:styleId="1169">
    <w:name w:val="font6"/>
    <w:basedOn w:val="736"/>
    <w:next w:val="1169"/>
    <w:link w:val="736"/>
    <w:qFormat/>
    <w:pPr>
      <w:jc w:val="left"/>
      <w:spacing w:before="100" w:beforeAutospacing="1" w:after="100" w:afterAutospacing="1"/>
      <w:widowControl/>
    </w:pPr>
    <w:rPr>
      <w:rFonts w:ascii="宋体" w:hAnsi="宋体" w:cs="宋体"/>
      <w:b/>
      <w:bCs/>
      <w:sz w:val="20"/>
    </w:rPr>
  </w:style>
  <w:style w:type="paragraph" w:styleId="1170">
    <w:name w:val="Item Step in Table"/>
    <w:next w:val="1170"/>
    <w:link w:val="736"/>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1">
    <w:name w:val="Char Char Char Char Char Char Char Char Char Char Char Char Char"/>
    <w:basedOn w:val="736"/>
    <w:next w:val="1171"/>
    <w:link w:val="736"/>
    <w:qFormat/>
    <w:pPr>
      <w:jc w:val="left"/>
      <w:spacing w:after="160" w:line="240" w:lineRule="exact"/>
      <w:widowControl/>
    </w:pPr>
    <w:rPr>
      <w:szCs w:val="24"/>
    </w:rPr>
  </w:style>
  <w:style w:type="paragraph" w:styleId="1172">
    <w:name w:val="Char Char Char Char Char Char Char Char Char1"/>
    <w:basedOn w:val="736"/>
    <w:next w:val="1172"/>
    <w:link w:val="736"/>
    <w:qFormat/>
    <w:pPr>
      <w:ind w:left="360" w:hanging="360"/>
      <w:tabs>
        <w:tab w:val="left" w:pos="360" w:leader="none"/>
      </w:tabs>
    </w:pPr>
    <w:rPr>
      <w:sz w:val="24"/>
      <w:szCs w:val="24"/>
    </w:rPr>
  </w:style>
  <w:style w:type="paragraph" w:styleId="1173">
    <w:name w:val="列出段落2"/>
    <w:basedOn w:val="736"/>
    <w:next w:val="1173"/>
    <w:link w:val="736"/>
    <w:qFormat/>
    <w:pPr>
      <w:ind w:left="720"/>
      <w:jc w:val="left"/>
      <w:widowControl/>
    </w:pPr>
    <w:rPr>
      <w:rFonts w:ascii="Arial" w:hAnsi="Arial" w:eastAsia="黑体" w:cs="Arial"/>
      <w:sz w:val="24"/>
      <w:szCs w:val="24"/>
      <w:lang w:eastAsia="en-US"/>
    </w:rPr>
  </w:style>
  <w:style w:type="paragraph" w:styleId="1174">
    <w:name w:val="font5"/>
    <w:basedOn w:val="736"/>
    <w:next w:val="1174"/>
    <w:link w:val="736"/>
    <w:qFormat/>
    <w:pPr>
      <w:jc w:val="left"/>
      <w:spacing w:before="100" w:beforeAutospacing="1" w:after="100" w:afterAutospacing="1"/>
      <w:widowControl/>
    </w:pPr>
    <w:rPr>
      <w:rFonts w:ascii="宋体" w:hAnsi="宋体" w:cs="宋体"/>
      <w:sz w:val="18"/>
      <w:szCs w:val="18"/>
    </w:rPr>
  </w:style>
  <w:style w:type="paragraph" w:styleId="1175">
    <w:name w:val="xl59"/>
    <w:basedOn w:val="736"/>
    <w:next w:val="1175"/>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6">
    <w:name w:val="Char Char"/>
    <w:basedOn w:val="736"/>
    <w:next w:val="1176"/>
    <w:link w:val="736"/>
    <w:qFormat/>
    <w:rPr>
      <w:rFonts w:ascii="Tahoma" w:hAnsi="Tahoma" w:cs="Tahoma"/>
      <w:sz w:val="24"/>
    </w:rPr>
  </w:style>
  <w:style w:type="paragraph" w:styleId="1177">
    <w:name w:val="样式2"/>
    <w:basedOn w:val="736"/>
    <w:next w:val="1177"/>
    <w:link w:val="736"/>
    <w:qFormat/>
    <w:pPr>
      <w:ind w:left="200"/>
      <w:spacing w:line="360" w:lineRule="auto"/>
    </w:pPr>
    <w:rPr>
      <w:rFonts w:ascii="宋体" w:hAnsi="宋体"/>
      <w:b/>
      <w:sz w:val="24"/>
      <w:szCs w:val="24"/>
    </w:rPr>
  </w:style>
  <w:style w:type="paragraph" w:styleId="1178">
    <w:name w:val="正文 居中"/>
    <w:basedOn w:val="736"/>
    <w:next w:val="1178"/>
    <w:link w:val="736"/>
    <w:qFormat/>
    <w:pPr>
      <w:jc w:val="center"/>
      <w:spacing w:line="360" w:lineRule="auto"/>
    </w:pPr>
    <w:rPr>
      <w:sz w:val="24"/>
    </w:rPr>
  </w:style>
  <w:style w:type="paragraph" w:styleId="1179">
    <w:name w:val="xl33"/>
    <w:basedOn w:val="736"/>
    <w:next w:val="1179"/>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0">
    <w:name w:val="Char Char Char Char Char Char Char Char"/>
    <w:basedOn w:val="736"/>
    <w:next w:val="1180"/>
    <w:link w:val="736"/>
    <w:qFormat/>
    <w:rPr>
      <w:rFonts w:ascii="Tahoma" w:hAnsi="Tahoma" w:cs="Tahoma"/>
      <w:sz w:val="24"/>
    </w:rPr>
  </w:style>
  <w:style w:type="paragraph" w:styleId="1181">
    <w:name w:val="丁华标题2"/>
    <w:basedOn w:val="738"/>
    <w:next w:val="1105"/>
    <w:link w:val="736"/>
    <w:qFormat/>
    <w:pPr>
      <w:numPr>
        <w:ilvl w:val="1"/>
        <w:numId w:val="1"/>
      </w:numPr>
      <w:spacing w:line="415" w:lineRule="auto"/>
      <w:tabs>
        <w:tab w:val="left" w:pos="1004" w:leader="none"/>
      </w:tabs>
    </w:pPr>
    <w:rPr>
      <w:rFonts w:ascii="Arial" w:hAnsi="Arial" w:eastAsia="黑体"/>
      <w:b w:val="0"/>
      <w:sz w:val="28"/>
      <w:szCs w:val="20"/>
    </w:rPr>
  </w:style>
  <w:style w:type="paragraph" w:styleId="1182">
    <w:name w:val="flName"/>
    <w:basedOn w:val="1183"/>
    <w:next w:val="1182"/>
    <w:link w:val="736"/>
    <w:qFormat/>
    <w:pPr>
      <w:spacing w:before="0" w:line="113" w:lineRule="atLeast"/>
    </w:pPr>
  </w:style>
  <w:style w:type="paragraph" w:styleId="1183">
    <w:name w:val="flNote"/>
    <w:basedOn w:val="736"/>
    <w:next w:val="1183"/>
    <w:link w:val="736"/>
    <w:qFormat/>
    <w:pPr>
      <w:jc w:val="center"/>
      <w:spacing w:before="567" w:line="360" w:lineRule="atLeast"/>
    </w:pPr>
    <w:rPr>
      <w:rFonts w:eastAsia="黑体"/>
      <w:b/>
      <w:sz w:val="24"/>
    </w:rPr>
  </w:style>
  <w:style w:type="paragraph" w:styleId="1184">
    <w:name w:val="font7"/>
    <w:basedOn w:val="736"/>
    <w:next w:val="1184"/>
    <w:link w:val="736"/>
    <w:qFormat/>
    <w:pPr>
      <w:jc w:val="left"/>
      <w:spacing w:before="100" w:beforeAutospacing="1" w:after="100" w:afterAutospacing="1"/>
      <w:widowControl/>
    </w:pPr>
    <w:rPr>
      <w:rFonts w:hint="eastAsia" w:ascii="宋体" w:hAnsi="宋体"/>
      <w:b/>
      <w:bCs/>
      <w:sz w:val="24"/>
      <w:szCs w:val="24"/>
    </w:rPr>
  </w:style>
  <w:style w:type="paragraph" w:styleId="1185">
    <w:name w:val="xl48"/>
    <w:basedOn w:val="736"/>
    <w:next w:val="1185"/>
    <w:link w:val="73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6">
    <w:name w:val="Char Char Char Char Char Char Char Char Char Char Char1"/>
    <w:basedOn w:val="736"/>
    <w:next w:val="1186"/>
    <w:link w:val="736"/>
    <w:qFormat/>
    <w:rPr>
      <w:rFonts w:ascii="Tahoma" w:hAnsi="Tahoma"/>
      <w:sz w:val="24"/>
    </w:rPr>
  </w:style>
  <w:style w:type="paragraph" w:styleId="1187">
    <w:name w:val="xl61"/>
    <w:basedOn w:val="736"/>
    <w:next w:val="1187"/>
    <w:link w:val="73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8">
    <w:name w:val="Test2"/>
    <w:basedOn w:val="738"/>
    <w:next w:val="1188"/>
    <w:link w:val="736"/>
    <w:qFormat/>
    <w:pPr>
      <w:jc w:val="center"/>
      <w:spacing w:before="156" w:after="156" w:line="480" w:lineRule="exact"/>
      <w:widowControl/>
    </w:pPr>
    <w:rPr>
      <w:rFonts w:ascii="黑体" w:hAnsi="Arial" w:eastAsia="黑体"/>
      <w:bCs/>
      <w:sz w:val="24"/>
    </w:rPr>
  </w:style>
  <w:style w:type="paragraph" w:styleId="1189">
    <w:name w:val="插图"/>
    <w:basedOn w:val="736"/>
    <w:next w:val="1189"/>
    <w:link w:val="736"/>
    <w:qFormat/>
    <w:pPr>
      <w:jc w:val="center"/>
      <w:tabs>
        <w:tab w:val="left" w:pos="1620" w:leader="none"/>
      </w:tabs>
    </w:pPr>
    <w:rPr>
      <w:bCs/>
      <w:color w:val="000000"/>
      <w:szCs w:val="22"/>
    </w:rPr>
  </w:style>
  <w:style w:type="paragraph" w:styleId="1190">
    <w:name w:val="tableau"/>
    <w:basedOn w:val="736"/>
    <w:next w:val="1190"/>
    <w:link w:val="736"/>
    <w:qFormat/>
    <w:pPr>
      <w:jc w:val="center"/>
      <w:spacing w:before="20" w:after="20"/>
      <w:widowControl/>
    </w:pPr>
    <w:rPr>
      <w:rFonts w:ascii="Arial" w:hAnsi="Arial"/>
      <w:sz w:val="16"/>
      <w:lang w:val="en-GB" w:eastAsia="en-US"/>
    </w:rPr>
  </w:style>
  <w:style w:type="paragraph" w:styleId="1191">
    <w:name w:val="正文 首行缩进:  2 字符 Char Char"/>
    <w:basedOn w:val="736"/>
    <w:next w:val="1191"/>
    <w:link w:val="736"/>
    <w:qFormat/>
    <w:pPr>
      <w:ind w:firstLine="480"/>
      <w:spacing w:line="360" w:lineRule="auto"/>
    </w:pPr>
    <w:rPr>
      <w:rFonts w:ascii="方正楷体_GB2312" w:eastAsia="方正楷体_GB2312"/>
      <w:bCs/>
      <w:sz w:val="24"/>
      <w:szCs w:val="24"/>
    </w:rPr>
  </w:style>
  <w:style w:type="paragraph" w:styleId="1192">
    <w:name w:val="标题2，章节第二层"/>
    <w:basedOn w:val="736"/>
    <w:next w:val="1129"/>
    <w:link w:val="736"/>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3">
    <w:name w:val="Char Char Char Char Char Char Char Char Char Char Char Char Char1"/>
    <w:basedOn w:val="772"/>
    <w:next w:val="1193"/>
    <w:link w:val="736"/>
    <w:qFormat/>
    <w:rPr>
      <w:rFonts w:ascii="Tahoma" w:hAnsi="Tahoma"/>
      <w:sz w:val="24"/>
      <w:szCs w:val="24"/>
    </w:rPr>
  </w:style>
  <w:style w:type="paragraph" w:styleId="1194">
    <w:name w:val="二级条标题"/>
    <w:basedOn w:val="736"/>
    <w:next w:val="842"/>
    <w:link w:val="736"/>
    <w:qFormat/>
    <w:pPr>
      <w:ind w:hanging="420"/>
      <w:widowControl/>
      <w:tabs>
        <w:tab w:val="left" w:pos="2240" w:leader="none"/>
      </w:tabs>
      <w:outlineLvl w:val="3"/>
    </w:pPr>
    <w:rPr>
      <w:rFonts w:eastAsia="黑体"/>
    </w:rPr>
  </w:style>
  <w:style w:type="paragraph" w:styleId="1195">
    <w:name w:val="样式 加点正文 + 段前: 0.5 行 段后: 0.5 行1"/>
    <w:basedOn w:val="736"/>
    <w:next w:val="1195"/>
    <w:link w:val="736"/>
    <w:qFormat/>
    <w:pPr>
      <w:numPr>
        <w:ilvl w:val="0"/>
        <w:numId w:val="4"/>
      </w:numPr>
      <w:ind w:left="1268"/>
      <w:spacing w:before="156" w:after="156" w:line="300" w:lineRule="auto"/>
      <w:tabs>
        <w:tab w:val="left" w:pos="420" w:leader="none"/>
        <w:tab w:val="left" w:pos="1268" w:leader="none"/>
      </w:tabs>
    </w:pPr>
    <w:rPr>
      <w:sz w:val="24"/>
    </w:rPr>
  </w:style>
  <w:style w:type="paragraph" w:styleId="1196">
    <w:name w:val="Char Char Char Char Char Char"/>
    <w:basedOn w:val="736"/>
    <w:next w:val="1196"/>
    <w:link w:val="736"/>
    <w:qFormat/>
    <w:rPr>
      <w:rFonts w:ascii="Tahoma" w:hAnsi="Tahoma" w:cs="Tahoma"/>
      <w:sz w:val="24"/>
    </w:rPr>
  </w:style>
  <w:style w:type="paragraph" w:styleId="1197">
    <w:name w:val="Char Char1 Char Char Char Char Char Char Char"/>
    <w:basedOn w:val="736"/>
    <w:next w:val="1197"/>
    <w:link w:val="736"/>
    <w:qFormat/>
    <w:rPr>
      <w:rFonts w:ascii="Tahoma" w:hAnsi="Tahoma" w:cs="Tahoma"/>
      <w:sz w:val="24"/>
    </w:rPr>
  </w:style>
  <w:style w:type="paragraph" w:styleId="1198">
    <w:name w:val="xl30"/>
    <w:basedOn w:val="736"/>
    <w:next w:val="1198"/>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9">
    <w:name w:val="部分1"/>
    <w:basedOn w:val="736"/>
    <w:next w:val="1199"/>
    <w:link w:val="736"/>
    <w:qFormat/>
    <w:pPr>
      <w:jc w:val="center"/>
      <w:keepNext/>
      <w:pageBreakBefore/>
      <w:spacing w:line="360" w:lineRule="auto"/>
      <w:tabs>
        <w:tab w:val="left" w:pos="360" w:leader="none"/>
      </w:tabs>
      <w:outlineLvl w:val="0"/>
    </w:pPr>
    <w:rPr>
      <w:rFonts w:eastAsia="黑体"/>
      <w:b/>
      <w:sz w:val="36"/>
    </w:rPr>
  </w:style>
  <w:style w:type="paragraph" w:styleId="1200">
    <w:name w:val="font12"/>
    <w:basedOn w:val="736"/>
    <w:next w:val="1200"/>
    <w:link w:val="736"/>
    <w:qFormat/>
    <w:pPr>
      <w:jc w:val="left"/>
      <w:spacing w:before="100" w:beforeAutospacing="1" w:after="100" w:afterAutospacing="1"/>
      <w:widowControl/>
    </w:pPr>
    <w:rPr>
      <w:rFonts w:ascii="宋体" w:hAnsi="宋体" w:cs="宋体"/>
      <w:sz w:val="36"/>
      <w:szCs w:val="36"/>
    </w:rPr>
  </w:style>
  <w:style w:type="paragraph" w:styleId="1201">
    <w:name w:val="List Paragraph0"/>
    <w:basedOn w:val="736"/>
    <w:next w:val="1201"/>
    <w:link w:val="736"/>
    <w:qFormat/>
    <w:pPr>
      <w:contextualSpacing/>
      <w:ind w:left="720"/>
      <w:jc w:val="left"/>
      <w:widowControl/>
    </w:pPr>
    <w:rPr>
      <w:rFonts w:ascii="Arial" w:hAnsi="Arial" w:eastAsia="黑体"/>
      <w:sz w:val="24"/>
      <w:szCs w:val="24"/>
      <w:lang w:eastAsia="en-US"/>
    </w:rPr>
  </w:style>
  <w:style w:type="paragraph" w:styleId="1202">
    <w:name w:val="xl40"/>
    <w:basedOn w:val="736"/>
    <w:next w:val="1202"/>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3">
    <w:name w:val="Default Text"/>
    <w:basedOn w:val="736"/>
    <w:next w:val="1203"/>
    <w:link w:val="736"/>
    <w:qFormat/>
    <w:pPr>
      <w:jc w:val="left"/>
      <w:widowControl/>
    </w:pPr>
    <w:rPr>
      <w:sz w:val="24"/>
      <w:lang w:eastAsia="en-US"/>
    </w:rPr>
  </w:style>
  <w:style w:type="paragraph" w:styleId="1204">
    <w:name w:val="Char1 Char Char Char1"/>
    <w:basedOn w:val="736"/>
    <w:next w:val="1204"/>
    <w:link w:val="736"/>
    <w:qFormat/>
    <w:rPr>
      <w:rFonts w:ascii="Tahoma" w:hAnsi="Tahoma"/>
      <w:sz w:val="24"/>
    </w:rPr>
  </w:style>
  <w:style w:type="paragraph" w:styleId="1205">
    <w:name w:val="retrait3"/>
    <w:basedOn w:val="736"/>
    <w:next w:val="1205"/>
    <w:link w:val="736"/>
    <w:qFormat/>
    <w:pPr>
      <w:ind w:left="851"/>
      <w:jc w:val="left"/>
      <w:spacing w:before="20" w:after="20"/>
      <w:widowControl/>
    </w:pPr>
    <w:rPr>
      <w:rFonts w:ascii="Arial" w:hAnsi="Arial"/>
      <w:sz w:val="24"/>
      <w:lang w:val="en-GB"/>
    </w:rPr>
  </w:style>
  <w:style w:type="paragraph" w:styleId="1206">
    <w:name w:val="一级标题"/>
    <w:basedOn w:val="736"/>
    <w:next w:val="1206"/>
    <w:link w:val="736"/>
    <w:qFormat/>
    <w:pPr>
      <w:ind w:left="900" w:hanging="420"/>
      <w:spacing w:line="360" w:lineRule="auto"/>
      <w:tabs>
        <w:tab w:val="left" w:pos="903" w:leader="none"/>
      </w:tabs>
    </w:pPr>
    <w:rPr>
      <w:rFonts w:ascii="Arial" w:hAnsi="Arial" w:cs="Arial"/>
      <w:sz w:val="24"/>
    </w:rPr>
  </w:style>
  <w:style w:type="paragraph" w:styleId="1207">
    <w:name w:val="正文缩进2字符"/>
    <w:basedOn w:val="736"/>
    <w:next w:val="1207"/>
    <w:link w:val="736"/>
    <w:qFormat/>
    <w:pPr>
      <w:ind w:firstLine="200"/>
      <w:spacing w:line="300" w:lineRule="auto"/>
    </w:pPr>
    <w:rPr>
      <w:rFonts w:ascii="方正仿宋_GB2312" w:eastAsia="方正仿宋_GB2312"/>
      <w:sz w:val="32"/>
      <w:szCs w:val="32"/>
    </w:rPr>
  </w:style>
  <w:style w:type="paragraph" w:styleId="1208">
    <w:name w:val="xl60"/>
    <w:basedOn w:val="736"/>
    <w:next w:val="1208"/>
    <w:link w:val="7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9">
    <w:name w:val="xl27"/>
    <w:basedOn w:val="736"/>
    <w:next w:val="1209"/>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0">
    <w:name w:val="表蕊"/>
    <w:basedOn w:val="736"/>
    <w:next w:val="1210"/>
    <w:link w:val="736"/>
    <w:qFormat/>
    <w:pPr>
      <w:jc w:val="left"/>
      <w:spacing w:line="320" w:lineRule="atLeast"/>
    </w:pPr>
    <w:rPr>
      <w:rFonts w:eastAsia="方正楷体_GB2312"/>
      <w:spacing w:val="-10"/>
    </w:rPr>
  </w:style>
  <w:style w:type="paragraph" w:styleId="1211">
    <w:name w:val="样式 段后: 0.5 行 左  0.75 字符"/>
    <w:basedOn w:val="736"/>
    <w:next w:val="1211"/>
    <w:link w:val="736"/>
    <w:qFormat/>
    <w:pPr>
      <w:ind w:firstLine="420"/>
      <w:spacing w:line="360" w:lineRule="auto"/>
      <w:widowControl/>
    </w:pPr>
    <w:rPr>
      <w:rFonts w:hAnsi="Arial" w:cs="Arial"/>
      <w:szCs w:val="21"/>
    </w:rPr>
  </w:style>
  <w:style w:type="paragraph" w:styleId="1212">
    <w:name w:val="符号与编号 Char"/>
    <w:basedOn w:val="736"/>
    <w:next w:val="1212"/>
    <w:link w:val="736"/>
    <w:qFormat/>
    <w:pPr>
      <w:ind w:left="720"/>
      <w:spacing w:after="156" w:line="400" w:lineRule="atLeast"/>
      <w:tabs>
        <w:tab w:val="left" w:pos="720" w:leader="none"/>
      </w:tabs>
    </w:pPr>
    <w:rPr>
      <w:sz w:val="24"/>
      <w:szCs w:val="24"/>
    </w:rPr>
  </w:style>
  <w:style w:type="paragraph" w:styleId="1213">
    <w:name w:val="xl34"/>
    <w:basedOn w:val="736"/>
    <w:next w:val="1213"/>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4">
    <w:name w:val="文档正文"/>
    <w:basedOn w:val="736"/>
    <w:next w:val="1214"/>
    <w:link w:val="736"/>
    <w:qFormat/>
    <w:pPr>
      <w:spacing w:line="360" w:lineRule="auto"/>
    </w:pPr>
    <w:rPr>
      <w:rFonts w:ascii="宋体" w:hAnsi="宋体"/>
      <w:b/>
      <w:bCs/>
      <w:szCs w:val="24"/>
    </w:rPr>
  </w:style>
  <w:style w:type="paragraph" w:styleId="1215">
    <w:name w:val="丁华标题3"/>
    <w:basedOn w:val="1181"/>
    <w:next w:val="1105"/>
    <w:link w:val="736"/>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6">
    <w:name w:val="我的正文"/>
    <w:basedOn w:val="736"/>
    <w:next w:val="1216"/>
    <w:link w:val="736"/>
    <w:qFormat/>
    <w:pPr>
      <w:ind w:firstLine="420"/>
      <w:jc w:val="left"/>
      <w:spacing w:line="360" w:lineRule="auto"/>
      <w:widowControl/>
    </w:pPr>
    <w:rPr>
      <w:rFonts w:ascii="宋体" w:hAnsi="宋体" w:cs="宋体"/>
      <w:szCs w:val="21"/>
    </w:rPr>
  </w:style>
  <w:style w:type="paragraph" w:styleId="1217">
    <w:name w:val="公文标题 2"/>
    <w:basedOn w:val="736"/>
    <w:next w:val="1218"/>
    <w:link w:val="736"/>
    <w:qFormat/>
    <w:pPr>
      <w:outlineLvl w:val="1"/>
    </w:pPr>
    <w:rPr>
      <w:rFonts w:ascii="方正仿宋_GB2312" w:hAnsi="宋体" w:eastAsia="方正仿宋_GB2312"/>
      <w:sz w:val="28"/>
      <w:szCs w:val="24"/>
    </w:rPr>
  </w:style>
  <w:style w:type="paragraph" w:styleId="1218">
    <w:name w:val="公文正文"/>
    <w:basedOn w:val="780"/>
    <w:next w:val="1218"/>
    <w:link w:val="736"/>
    <w:qFormat/>
    <w:pPr>
      <w:ind w:firstLine="200"/>
    </w:pPr>
    <w:rPr>
      <w:rFonts w:ascii="方正仿宋_GB2312" w:hAnsi="宋体" w:eastAsia="方正仿宋_GB2312"/>
      <w:sz w:val="28"/>
      <w:szCs w:val="24"/>
    </w:rPr>
  </w:style>
  <w:style w:type="paragraph" w:styleId="1219">
    <w:name w:val="Char Char1 Char"/>
    <w:basedOn w:val="736"/>
    <w:next w:val="1219"/>
    <w:link w:val="736"/>
    <w:qFormat/>
    <w:pPr>
      <w:jc w:val="left"/>
      <w:spacing w:after="160" w:line="240" w:lineRule="exact"/>
      <w:widowControl/>
    </w:pPr>
    <w:rPr>
      <w:rFonts w:ascii="Verdana" w:hAnsi="Verdana"/>
      <w:sz w:val="20"/>
      <w:lang w:eastAsia="en-US"/>
    </w:rPr>
  </w:style>
  <w:style w:type="paragraph" w:styleId="1220">
    <w:name w:val="xl50"/>
    <w:basedOn w:val="736"/>
    <w:next w:val="1220"/>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1">
    <w:name w:val="zw"/>
    <w:basedOn w:val="736"/>
    <w:next w:val="1221"/>
    <w:link w:val="736"/>
    <w:qFormat/>
    <w:pPr>
      <w:ind w:firstLine="480"/>
      <w:jc w:val="left"/>
      <w:spacing w:line="360" w:lineRule="auto"/>
      <w:widowControl/>
    </w:pPr>
    <w:rPr>
      <w:rFonts w:ascii="宋体" w:hAnsi="宋体"/>
      <w:bCs/>
      <w:sz w:val="24"/>
    </w:rPr>
  </w:style>
  <w:style w:type="paragraph" w:styleId="1222">
    <w:name w:val="xl29"/>
    <w:basedOn w:val="736"/>
    <w:next w:val="1222"/>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3">
    <w:name w:val="马刚标题4"/>
    <w:basedOn w:val="1115"/>
    <w:next w:val="736"/>
    <w:link w:val="736"/>
    <w:qFormat/>
    <w:pPr>
      <w:spacing w:before="100" w:after="40"/>
      <w:tabs>
        <w:tab w:val="left" w:pos="1050" w:leader="none"/>
      </w:tabs>
      <w:outlineLvl w:val="3"/>
    </w:pPr>
    <w:rPr>
      <w:b w:val="0"/>
    </w:rPr>
  </w:style>
  <w:style w:type="paragraph" w:styleId="1224">
    <w:name w:val="标准文本"/>
    <w:basedOn w:val="736"/>
    <w:next w:val="1224"/>
    <w:link w:val="736"/>
    <w:qFormat/>
    <w:pPr>
      <w:ind w:firstLine="480"/>
      <w:spacing w:line="360" w:lineRule="auto"/>
    </w:pPr>
    <w:rPr>
      <w:rFonts w:cs="宋体"/>
      <w:sz w:val="24"/>
      <w:szCs w:val="24"/>
    </w:rPr>
  </w:style>
  <w:style w:type="paragraph" w:styleId="1225">
    <w:name w:val="正文2"/>
    <w:basedOn w:val="736"/>
    <w:next w:val="1225"/>
    <w:link w:val="736"/>
    <w:qFormat/>
    <w:pPr>
      <w:ind w:firstLine="510"/>
      <w:spacing w:before="156" w:line="360" w:lineRule="auto"/>
    </w:pPr>
    <w:rPr>
      <w:sz w:val="24"/>
    </w:rPr>
  </w:style>
  <w:style w:type="paragraph" w:styleId="1226">
    <w:name w:val="样式1"/>
    <w:basedOn w:val="736"/>
    <w:next w:val="1226"/>
    <w:link w:val="736"/>
    <w:qFormat/>
    <w:pPr>
      <w:ind w:firstLine="480"/>
      <w:spacing w:line="300" w:lineRule="auto"/>
    </w:pPr>
    <w:rPr>
      <w:sz w:val="24"/>
      <w:szCs w:val="24"/>
    </w:rPr>
  </w:style>
  <w:style w:type="paragraph" w:styleId="1227">
    <w:name w:val="大标题"/>
    <w:basedOn w:val="736"/>
    <w:next w:val="736"/>
    <w:link w:val="736"/>
    <w:qFormat/>
    <w:pPr>
      <w:ind w:hanging="420"/>
      <w:pageBreakBefore/>
      <w:spacing w:line="360" w:lineRule="auto"/>
      <w:tabs>
        <w:tab w:val="left" w:pos="420" w:leader="none"/>
      </w:tabs>
      <w:outlineLvl w:val="0"/>
    </w:pPr>
    <w:rPr>
      <w:b/>
      <w:iCs/>
      <w:sz w:val="44"/>
      <w:szCs w:val="24"/>
    </w:rPr>
  </w:style>
  <w:style w:type="paragraph" w:styleId="1228">
    <w:name w:val="Char Char Char Char Char Char Char Char1"/>
    <w:basedOn w:val="736"/>
    <w:next w:val="1228"/>
    <w:link w:val="736"/>
    <w:qFormat/>
    <w:rPr>
      <w:rFonts w:ascii="Tahoma" w:hAnsi="Tahoma"/>
      <w:sz w:val="24"/>
    </w:rPr>
  </w:style>
  <w:style w:type="paragraph" w:styleId="1229">
    <w:name w:val="1"/>
    <w:basedOn w:val="736"/>
    <w:next w:val="815"/>
    <w:link w:val="736"/>
    <w:qFormat/>
    <w:pPr>
      <w:spacing w:line="360" w:lineRule="auto"/>
    </w:pPr>
    <w:rPr>
      <w:rFonts w:eastAsia="方正仿宋_GB2312"/>
      <w:sz w:val="24"/>
      <w:szCs w:val="24"/>
    </w:rPr>
  </w:style>
  <w:style w:type="paragraph" w:styleId="1230">
    <w:name w:val="标题6"/>
    <w:basedOn w:val="741"/>
    <w:next w:val="1230"/>
    <w:link w:val="736"/>
    <w:qFormat/>
    <w:pPr>
      <w:ind w:left="420" w:hanging="420"/>
      <w:keepLines/>
      <w:tabs>
        <w:tab w:val="left" w:pos="420" w:leader="none"/>
      </w:tabs>
    </w:pPr>
    <w:rPr>
      <w:rFonts w:ascii="Times New Roman"/>
      <w:b w:val="0"/>
      <w:bCs/>
      <w:color w:val="000000"/>
      <w:sz w:val="24"/>
      <w:szCs w:val="28"/>
    </w:rPr>
  </w:style>
  <w:style w:type="paragraph" w:styleId="1231">
    <w:name w:val="Char Char Char Char1"/>
    <w:basedOn w:val="736"/>
    <w:next w:val="1231"/>
    <w:link w:val="736"/>
    <w:qFormat/>
    <w:pPr>
      <w:jc w:val="center"/>
      <w:spacing w:after="160" w:line="240" w:lineRule="exact"/>
      <w:widowControl/>
    </w:pPr>
    <w:rPr>
      <w:rFonts w:ascii="黑体" w:hAnsi="Verdana" w:eastAsia="黑体"/>
      <w:sz w:val="32"/>
      <w:szCs w:val="32"/>
      <w:lang w:eastAsia="en-US"/>
    </w:rPr>
  </w:style>
  <w:style w:type="paragraph" w:styleId="1232">
    <w:name w:val="qw"/>
    <w:next w:val="1232"/>
    <w:link w:val="736"/>
    <w:qFormat/>
    <w:pPr>
      <w:jc w:val="both"/>
      <w:spacing w:line="312" w:lineRule="atLeast"/>
      <w:widowControl w:val="off"/>
    </w:pPr>
    <w:rPr>
      <w:rFonts w:ascii="宋体"/>
      <w:sz w:val="24"/>
      <w:lang w:val="en-US" w:eastAsia="zh-CN" w:bidi="ar-SA"/>
    </w:rPr>
  </w:style>
  <w:style w:type="paragraph" w:styleId="1233">
    <w:name w:val="正文文本 21"/>
    <w:basedOn w:val="736"/>
    <w:next w:val="1233"/>
    <w:link w:val="736"/>
    <w:qFormat/>
    <w:pPr>
      <w:ind w:left="720" w:hanging="720"/>
      <w:widowControl/>
    </w:pPr>
    <w:rPr>
      <w:sz w:val="24"/>
      <w:lang w:val="en-GB"/>
    </w:rPr>
  </w:style>
  <w:style w:type="paragraph" w:styleId="1234">
    <w:name w:val="xl41"/>
    <w:basedOn w:val="736"/>
    <w:next w:val="1234"/>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5">
    <w:name w:val="标题1，章节第一层"/>
    <w:basedOn w:val="1129"/>
    <w:next w:val="1129"/>
    <w:link w:val="736"/>
    <w:qFormat/>
    <w:pPr>
      <w:ind w:left="482"/>
      <w:spacing w:before="0"/>
      <w:tabs>
        <w:tab w:val="left" w:pos="693" w:leader="none"/>
      </w:tabs>
      <w:outlineLvl w:val="0"/>
    </w:pPr>
    <w:rPr>
      <w:color w:val="000000"/>
      <w:sz w:val="24"/>
      <w:szCs w:val="24"/>
    </w:rPr>
  </w:style>
  <w:style w:type="paragraph" w:styleId="1236">
    <w:name w:val="小四 段落 宋体 Char Char Char Char"/>
    <w:basedOn w:val="736"/>
    <w:next w:val="1236"/>
    <w:link w:val="736"/>
    <w:qFormat/>
    <w:pPr>
      <w:ind w:right="-33" w:firstLine="480"/>
      <w:jc w:val="left"/>
      <w:spacing w:line="360" w:lineRule="auto"/>
    </w:pPr>
    <w:rPr>
      <w:sz w:val="24"/>
      <w:szCs w:val="24"/>
    </w:rPr>
  </w:style>
  <w:style w:type="paragraph" w:styleId="1237">
    <w:name w:val="Char2 Char Char Char Char Char Char1"/>
    <w:basedOn w:val="736"/>
    <w:next w:val="1237"/>
    <w:link w:val="736"/>
    <w:qFormat/>
    <w:pPr>
      <w:ind w:hanging="425"/>
      <w:keepNext/>
      <w:spacing w:before="80" w:after="80"/>
      <w:widowControl/>
      <w:tabs>
        <w:tab w:val="left" w:pos="425" w:leader="none"/>
      </w:tabs>
    </w:pPr>
    <w:rPr>
      <w:rFonts w:ascii="Arial" w:hAnsi="Arial" w:cs="Arial"/>
      <w:sz w:val="20"/>
    </w:rPr>
  </w:style>
  <w:style w:type="paragraph" w:styleId="1238">
    <w:name w:val="小四 段落 宋体"/>
    <w:basedOn w:val="769"/>
    <w:next w:val="1238"/>
    <w:link w:val="736"/>
    <w:qFormat/>
    <w:pPr>
      <w:ind w:left="113" w:right="113" w:firstLine="425"/>
      <w:jc w:val="left"/>
      <w:spacing w:line="360" w:lineRule="auto"/>
      <w:tabs>
        <w:tab w:val="clear" w:pos="2952" w:leader="none"/>
      </w:tabs>
    </w:pPr>
    <w:rPr>
      <w:sz w:val="24"/>
    </w:rPr>
  </w:style>
  <w:style w:type="paragraph" w:styleId="1239">
    <w:name w:val="Char Char1 Char Char Char Char1 Char Char Char Char Char Char"/>
    <w:basedOn w:val="736"/>
    <w:next w:val="1239"/>
    <w:link w:val="736"/>
    <w:qFormat/>
    <w:rPr>
      <w:rFonts w:ascii="Tahoma" w:hAnsi="Tahoma"/>
      <w:sz w:val="24"/>
    </w:rPr>
  </w:style>
  <w:style w:type="paragraph" w:styleId="1240">
    <w:name w:val="font8"/>
    <w:basedOn w:val="736"/>
    <w:next w:val="1240"/>
    <w:link w:val="736"/>
    <w:qFormat/>
    <w:pPr>
      <w:jc w:val="left"/>
      <w:spacing w:before="100" w:beforeAutospacing="1" w:after="100" w:afterAutospacing="1"/>
      <w:widowControl/>
    </w:pPr>
    <w:rPr>
      <w:rFonts w:ascii="宋体" w:hAnsi="宋体" w:cs="宋体"/>
      <w:b/>
      <w:bCs/>
      <w:i/>
      <w:iCs/>
      <w:sz w:val="20"/>
    </w:rPr>
  </w:style>
  <w:style w:type="paragraph" w:styleId="1241">
    <w:name w:val="表格内文字"/>
    <w:basedOn w:val="736"/>
    <w:next w:val="1241"/>
    <w:link w:val="736"/>
    <w:qFormat/>
    <w:pPr>
      <w:spacing w:line="300" w:lineRule="atLeast"/>
    </w:pPr>
    <w:rPr>
      <w:sz w:val="18"/>
      <w:szCs w:val="24"/>
    </w:rPr>
  </w:style>
  <w:style w:type="paragraph" w:styleId="1242">
    <w:name w:val="_Style 1"/>
    <w:basedOn w:val="780"/>
    <w:next w:val="826"/>
    <w:link w:val="736"/>
    <w:qFormat/>
    <w:pPr>
      <w:ind w:firstLine="420"/>
      <w:spacing w:line="360" w:lineRule="auto"/>
    </w:pPr>
    <w:rPr>
      <w:rFonts w:ascii="Calibri" w:hAnsi="Calibri" w:eastAsia="宋体"/>
      <w:sz w:val="24"/>
    </w:rPr>
  </w:style>
  <w:style w:type="paragraph" w:styleId="1243">
    <w:name w:val="xl31"/>
    <w:basedOn w:val="736"/>
    <w:next w:val="1243"/>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4">
    <w:name w:val="标题4，章节第四层"/>
    <w:basedOn w:val="736"/>
    <w:next w:val="736"/>
    <w:link w:val="736"/>
    <w:qFormat/>
    <w:pPr>
      <w:spacing w:line="360" w:lineRule="auto"/>
      <w:tabs>
        <w:tab w:val="left" w:pos="0" w:leader="none"/>
      </w:tabs>
      <w:outlineLvl w:val="3"/>
    </w:pPr>
    <w:rPr>
      <w:rFonts w:ascii="宋体" w:hAnsi="宋体"/>
      <w:b/>
      <w:sz w:val="24"/>
      <w:szCs w:val="24"/>
    </w:rPr>
  </w:style>
  <w:style w:type="paragraph" w:styleId="1245">
    <w:name w:val="xl54"/>
    <w:basedOn w:val="736"/>
    <w:next w:val="1245"/>
    <w:link w:val="7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6">
    <w:name w:val="正文 + 宋体"/>
    <w:basedOn w:val="736"/>
    <w:next w:val="1246"/>
    <w:link w:val="736"/>
    <w:qFormat/>
    <w:pPr>
      <w:ind w:firstLine="420"/>
      <w:spacing w:line="360" w:lineRule="auto"/>
    </w:pPr>
    <w:rPr>
      <w:szCs w:val="24"/>
    </w:rPr>
  </w:style>
  <w:style w:type="paragraph" w:styleId="1247">
    <w:name w:val="Char Char Char Char Char Char Char Char Char Char Char1 Char Char Char1"/>
    <w:basedOn w:val="736"/>
    <w:next w:val="1247"/>
    <w:link w:val="736"/>
    <w:semiHidden/>
    <w:qFormat/>
    <w:pPr>
      <w:ind w:firstLine="200"/>
      <w:jc w:val="left"/>
    </w:pPr>
    <w:rPr>
      <w:rFonts w:ascii="Tahoma" w:hAnsi="Tahoma"/>
      <w:sz w:val="24"/>
      <w:szCs w:val="24"/>
    </w:rPr>
  </w:style>
  <w:style w:type="paragraph" w:styleId="1248">
    <w:name w:val="flType"/>
    <w:basedOn w:val="1182"/>
    <w:next w:val="1248"/>
    <w:link w:val="736"/>
    <w:qFormat/>
    <w:pPr>
      <w:spacing w:after="284"/>
    </w:pPr>
    <w:rPr>
      <w:rFonts w:eastAsia="宋体"/>
      <w:b w:val="0"/>
    </w:rPr>
  </w:style>
  <w:style w:type="paragraph" w:styleId="1249">
    <w:name w:val="正文--表格内正文"/>
    <w:basedOn w:val="736"/>
    <w:next w:val="1249"/>
    <w:link w:val="736"/>
    <w:qFormat/>
    <w:pPr>
      <w:jc w:val="center"/>
      <w:spacing w:before="156" w:line="0" w:lineRule="atLeast"/>
    </w:pPr>
    <w:rPr>
      <w:rFonts w:ascii="宋体" w:hAnsi="宋体"/>
      <w:color w:val="000000"/>
      <w:sz w:val="24"/>
      <w:szCs w:val="24"/>
    </w:rPr>
  </w:style>
  <w:style w:type="paragraph" w:styleId="1250">
    <w:name w:val="小四 段落 宋体 Char Char Char"/>
    <w:basedOn w:val="769"/>
    <w:next w:val="1250"/>
    <w:link w:val="736"/>
    <w:qFormat/>
    <w:pPr>
      <w:ind w:left="0" w:right="-33" w:firstLine="545"/>
      <w:jc w:val="left"/>
      <w:spacing w:line="360" w:lineRule="auto"/>
      <w:tabs>
        <w:tab w:val="clear" w:pos="2952" w:leader="none"/>
      </w:tabs>
    </w:pPr>
    <w:rPr>
      <w:sz w:val="24"/>
    </w:rPr>
  </w:style>
  <w:style w:type="paragraph" w:styleId="1251">
    <w:name w:val="a"/>
    <w:basedOn w:val="736"/>
    <w:next w:val="1251"/>
    <w:link w:val="736"/>
    <w:qFormat/>
    <w:pPr>
      <w:spacing w:before="100" w:beforeAutospacing="1" w:after="100" w:afterAutospacing="1"/>
      <w:widowControl/>
    </w:pPr>
    <w:rPr>
      <w:rFonts w:ascii="宋体" w:hAnsi="宋体" w:cs="宋体"/>
      <w:sz w:val="24"/>
      <w:szCs w:val="24"/>
    </w:rPr>
  </w:style>
  <w:style w:type="paragraph" w:styleId="1252">
    <w:name w:val="font10"/>
    <w:basedOn w:val="736"/>
    <w:next w:val="1252"/>
    <w:link w:val="736"/>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3">
    <w:name w:val="Char Char Char Char Char Char Char Char Char Char Char Char Char Char Char Char Char Char Char Char Char Char Char1"/>
    <w:basedOn w:val="736"/>
    <w:next w:val="1253"/>
    <w:link w:val="736"/>
    <w:qFormat/>
    <w:rPr>
      <w:rFonts w:ascii="Tahoma" w:hAnsi="Tahoma" w:cs="Tahoma"/>
      <w:sz w:val="24"/>
    </w:rPr>
  </w:style>
  <w:style w:type="paragraph" w:styleId="1254">
    <w:name w:val="样式 标题 3H3sect1.2.3BOD 0Heading 3 - oldh3l3CTLevel 3 Head..."/>
    <w:basedOn w:val="739"/>
    <w:next w:val="1254"/>
    <w:link w:val="736"/>
    <w:qFormat/>
    <w:pPr>
      <w:jc w:val="left"/>
      <w:spacing w:before="156" w:after="156"/>
    </w:pPr>
    <w:rPr>
      <w:rFonts w:cs="宋体"/>
      <w:bCs/>
      <w:sz w:val="30"/>
    </w:rPr>
  </w:style>
  <w:style w:type="paragraph" w:styleId="1255">
    <w:name w:val="正文文本 New New"/>
    <w:basedOn w:val="736"/>
    <w:next w:val="1255"/>
    <w:link w:val="736"/>
    <w:qFormat/>
    <w:pPr>
      <w:ind w:firstLine="200"/>
      <w:spacing w:before="60" w:after="60" w:line="360" w:lineRule="auto"/>
      <w:widowControl/>
    </w:pPr>
    <w:rPr>
      <w:rFonts w:eastAsia="华文楷体"/>
      <w:sz w:val="24"/>
      <w:szCs w:val="24"/>
    </w:rPr>
  </w:style>
  <w:style w:type="paragraph" w:styleId="1256">
    <w:name w:val="xl51"/>
    <w:basedOn w:val="736"/>
    <w:next w:val="1256"/>
    <w:link w:val="7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7">
    <w:name w:val="p0"/>
    <w:basedOn w:val="736"/>
    <w:next w:val="1257"/>
    <w:link w:val="736"/>
    <w:qFormat/>
    <w:pPr>
      <w:jc w:val="left"/>
      <w:spacing w:before="100" w:beforeAutospacing="1" w:after="100" w:afterAutospacing="1"/>
      <w:widowControl/>
    </w:pPr>
    <w:rPr>
      <w:rFonts w:ascii="宋体" w:hAnsi="宋体" w:cs="宋体"/>
      <w:sz w:val="24"/>
      <w:szCs w:val="24"/>
    </w:rPr>
  </w:style>
  <w:style w:type="paragraph" w:styleId="1258">
    <w:name w:val="正文文本缩进1"/>
    <w:basedOn w:val="736"/>
    <w:next w:val="1258"/>
    <w:link w:val="736"/>
    <w:qFormat/>
    <w:pPr>
      <w:ind w:left="420"/>
      <w:spacing w:after="120"/>
    </w:pPr>
    <w:rPr>
      <w:szCs w:val="24"/>
    </w:rPr>
  </w:style>
  <w:style w:type="paragraph" w:styleId="1259">
    <w:name w:val="标题5，章节第五层"/>
    <w:basedOn w:val="736"/>
    <w:next w:val="736"/>
    <w:link w:val="736"/>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0">
    <w:name w:val="表格文字"/>
    <w:basedOn w:val="736"/>
    <w:next w:val="1260"/>
    <w:link w:val="736"/>
    <w:qFormat/>
    <w:pPr>
      <w:ind w:firstLine="200"/>
      <w:jc w:val="left"/>
      <w:spacing w:line="360" w:lineRule="auto"/>
    </w:pPr>
    <w:rPr>
      <w:rFonts w:ascii="Arial" w:hAnsi="Arial"/>
      <w:sz w:val="24"/>
    </w:rPr>
  </w:style>
  <w:style w:type="paragraph" w:styleId="1261">
    <w:name w:val="项目符号：一级"/>
    <w:basedOn w:val="1129"/>
    <w:next w:val="1129"/>
    <w:link w:val="736"/>
    <w:qFormat/>
    <w:pPr>
      <w:ind w:right="-134"/>
    </w:pPr>
    <w:rPr>
      <w:bCs w:val="0"/>
    </w:rPr>
  </w:style>
  <w:style w:type="paragraph" w:styleId="1262">
    <w:name w:val="Char Char Char Char Char1"/>
    <w:basedOn w:val="736"/>
    <w:next w:val="1262"/>
    <w:link w:val="736"/>
    <w:qFormat/>
    <w:rPr>
      <w:rFonts w:ascii="Tahoma" w:hAnsi="Tahoma" w:cs="Tahoma"/>
      <w:sz w:val="24"/>
    </w:rPr>
  </w:style>
  <w:style w:type="paragraph" w:styleId="1263">
    <w:name w:val="符号与编号"/>
    <w:basedOn w:val="736"/>
    <w:next w:val="1263"/>
    <w:link w:val="736"/>
    <w:qFormat/>
    <w:pPr>
      <w:ind w:left="900" w:hanging="420"/>
      <w:spacing w:after="156" w:line="400" w:lineRule="atLeast"/>
      <w:tabs>
        <w:tab w:val="left" w:pos="900" w:leader="none"/>
      </w:tabs>
    </w:pPr>
    <w:rPr>
      <w:sz w:val="24"/>
      <w:szCs w:val="24"/>
    </w:rPr>
  </w:style>
  <w:style w:type="paragraph" w:styleId="1264">
    <w:name w:val="font11"/>
    <w:basedOn w:val="736"/>
    <w:next w:val="1264"/>
    <w:link w:val="736"/>
    <w:qFormat/>
    <w:pPr>
      <w:jc w:val="left"/>
      <w:spacing w:before="100" w:beforeAutospacing="1" w:after="100" w:afterAutospacing="1"/>
      <w:widowControl/>
    </w:pPr>
    <w:rPr>
      <w:b/>
      <w:bCs/>
      <w:sz w:val="18"/>
      <w:szCs w:val="18"/>
    </w:rPr>
  </w:style>
  <w:style w:type="paragraph" w:styleId="1265">
    <w:name w:val="普通文字"/>
    <w:basedOn w:val="736"/>
    <w:next w:val="736"/>
    <w:link w:val="736"/>
    <w:qFormat/>
    <w:rPr>
      <w:rFonts w:ascii="宋体" w:hAnsi="宋体" w:cs="宋体"/>
      <w:sz w:val="24"/>
    </w:rPr>
  </w:style>
  <w:style w:type="paragraph" w:styleId="1266">
    <w:name w:val="论文正文"/>
    <w:basedOn w:val="792"/>
    <w:next w:val="1266"/>
    <w:link w:val="736"/>
    <w:qFormat/>
    <w:pPr>
      <w:ind w:left="0" w:firstLine="200"/>
      <w:jc w:val="left"/>
      <w:spacing w:line="360" w:lineRule="auto"/>
    </w:pPr>
    <w:rPr>
      <w:rFonts w:ascii="Times New Roman" w:hAnsi="Times New Roman"/>
      <w:sz w:val="28"/>
      <w:szCs w:val="24"/>
    </w:rPr>
  </w:style>
  <w:style w:type="paragraph" w:styleId="1267">
    <w:name w:val="Revision"/>
    <w:next w:val="1267"/>
    <w:link w:val="736"/>
    <w:semiHidden/>
    <w:qFormat/>
    <w:rPr>
      <w:sz w:val="21"/>
      <w:szCs w:val="24"/>
      <w:lang w:val="en-US" w:eastAsia="zh-CN" w:bidi="ar-SA"/>
    </w:rPr>
  </w:style>
  <w:style w:type="paragraph" w:styleId="1268">
    <w:name w:val="Char Char Char Char Char Char Char Char Char Char Char Char Char Char Char Char Char Char Char Char Char1"/>
    <w:basedOn w:val="736"/>
    <w:next w:val="1268"/>
    <w:link w:val="736"/>
    <w:qFormat/>
    <w:rPr>
      <w:rFonts w:ascii="Tahoma" w:hAnsi="Tahoma"/>
      <w:sz w:val="24"/>
    </w:rPr>
  </w:style>
  <w:style w:type="paragraph" w:styleId="1269">
    <w:name w:val="Table Text Char"/>
    <w:next w:val="1269"/>
    <w:link w:val="736"/>
    <w:qFormat/>
    <w:pPr>
      <w:spacing w:before="80" w:after="80"/>
    </w:pPr>
    <w:rPr>
      <w:rFonts w:ascii="Arial" w:hAnsi="Arial" w:cs="Arial"/>
      <w:sz w:val="18"/>
      <w:szCs w:val="28"/>
      <w:lang w:val="en-US" w:eastAsia="zh-CN" w:bidi="ar-SA"/>
    </w:rPr>
  </w:style>
  <w:style w:type="paragraph" w:styleId="1270">
    <w:name w:val="Char Char1 Char1"/>
    <w:basedOn w:val="736"/>
    <w:next w:val="1270"/>
    <w:link w:val="736"/>
    <w:qFormat/>
    <w:pPr>
      <w:jc w:val="left"/>
      <w:spacing w:after="160" w:line="240" w:lineRule="exact"/>
      <w:widowControl/>
    </w:pPr>
    <w:rPr>
      <w:rFonts w:ascii="Verdana" w:hAnsi="Verdana"/>
      <w:sz w:val="20"/>
      <w:lang w:eastAsia="en-US"/>
    </w:rPr>
  </w:style>
  <w:style w:type="paragraph" w:styleId="1271">
    <w:name w:val="条1"/>
    <w:basedOn w:val="736"/>
    <w:next w:val="1271"/>
    <w:link w:val="736"/>
    <w:qFormat/>
    <w:pPr>
      <w:ind w:left="780" w:hanging="360"/>
      <w:spacing w:before="156" w:line="360" w:lineRule="auto"/>
      <w:tabs>
        <w:tab w:val="left" w:pos="780" w:leader="none"/>
      </w:tabs>
    </w:pPr>
    <w:rPr>
      <w:rFonts w:eastAsia="黑体"/>
      <w:sz w:val="24"/>
    </w:rPr>
  </w:style>
  <w:style w:type="paragraph" w:styleId="1272">
    <w:name w:val="Char Char Char Char Char Char Char1"/>
    <w:basedOn w:val="736"/>
    <w:next w:val="1272"/>
    <w:link w:val="736"/>
    <w:qFormat/>
    <w:pPr>
      <w:jc w:val="left"/>
    </w:pPr>
    <w:rPr>
      <w:rFonts w:ascii="Tahoma" w:hAnsi="Tahoma"/>
      <w:sz w:val="24"/>
    </w:rPr>
  </w:style>
  <w:style w:type="paragraph" w:styleId="1273">
    <w:name w:val="正文 New New New New New New New New New New New New New New"/>
    <w:next w:val="1273"/>
    <w:link w:val="736"/>
    <w:qFormat/>
    <w:pPr>
      <w:jc w:val="both"/>
      <w:widowControl w:val="off"/>
    </w:pPr>
    <w:rPr>
      <w:rFonts w:hint="eastAsia"/>
      <w:sz w:val="21"/>
      <w:lang w:val="en-US" w:eastAsia="zh-CN" w:bidi="ar-SA"/>
    </w:rPr>
  </w:style>
  <w:style w:type="paragraph" w:styleId="1274">
    <w:name w:val="方案正文"/>
    <w:basedOn w:val="736"/>
    <w:next w:val="1274"/>
    <w:link w:val="736"/>
    <w:qFormat/>
    <w:pPr>
      <w:ind w:firstLine="359"/>
      <w:jc w:val="left"/>
      <w:spacing w:before="156" w:line="360" w:lineRule="auto"/>
    </w:pPr>
    <w:rPr>
      <w:rFonts w:ascii="Arial" w:hAnsi="Arial" w:cs="宋体"/>
      <w:sz w:val="24"/>
      <w:szCs w:val="21"/>
    </w:rPr>
  </w:style>
  <w:style w:type="paragraph" w:styleId="1275">
    <w:name w:val="章标题"/>
    <w:next w:val="842"/>
    <w:link w:val="736"/>
    <w:qFormat/>
    <w:pPr>
      <w:jc w:val="both"/>
      <w:spacing w:before="156" w:after="156"/>
      <w:outlineLvl w:val="1"/>
    </w:pPr>
    <w:rPr>
      <w:rFonts w:eastAsia="黑体"/>
      <w:sz w:val="21"/>
      <w:lang w:val="en-US" w:eastAsia="zh-CN" w:bidi="ar-SA"/>
    </w:rPr>
  </w:style>
  <w:style w:type="paragraph" w:styleId="1276">
    <w:name w:val="xl32"/>
    <w:basedOn w:val="736"/>
    <w:next w:val="1276"/>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7">
    <w:name w:val="项目符号，二级"/>
    <w:basedOn w:val="1129"/>
    <w:next w:val="1129"/>
    <w:link w:val="736"/>
    <w:qFormat/>
    <w:pPr>
      <w:ind w:left="1337" w:right="-27" w:firstLine="480"/>
      <w:tabs>
        <w:tab w:val="left" w:pos="567" w:leader="none"/>
        <w:tab w:val="left" w:pos="1211" w:leader="none"/>
        <w:tab w:val="left" w:pos="1337" w:leader="none"/>
      </w:tabs>
    </w:pPr>
    <w:rPr>
      <w:bCs w:val="0"/>
      <w:color w:val="000000"/>
      <w:sz w:val="24"/>
      <w:szCs w:val="24"/>
    </w:rPr>
  </w:style>
  <w:style w:type="paragraph" w:styleId="1278">
    <w:name w:val="xl55"/>
    <w:basedOn w:val="736"/>
    <w:next w:val="1278"/>
    <w:link w:val="73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9">
    <w:name w:val="Normal0"/>
    <w:basedOn w:val="736"/>
    <w:next w:val="1279"/>
    <w:link w:val="736"/>
    <w:qFormat/>
    <w:rPr>
      <w:rFonts w:ascii="Calibri" w:hAnsi="Calibri" w:eastAsia="Calibri" w:cs="宋体"/>
      <w:lang w:val="zh-CN"/>
    </w:rPr>
  </w:style>
  <w:style w:type="paragraph" w:styleId="1280">
    <w:name w:val="正文（文本）"/>
    <w:next w:val="1280"/>
    <w:link w:val="736"/>
    <w:qFormat/>
    <w:pPr>
      <w:jc w:val="center"/>
      <w:spacing w:line="360" w:lineRule="auto"/>
      <w:widowControl w:val="off"/>
    </w:pPr>
    <w:rPr>
      <w:rFonts w:hAnsi="宋体"/>
      <w:sz w:val="28"/>
      <w:szCs w:val="28"/>
      <w:lang w:val="en-US" w:eastAsia="zh-CN" w:bidi="ar-SA"/>
    </w:rPr>
  </w:style>
  <w:style w:type="paragraph" w:styleId="1281">
    <w:name w:val="xl28"/>
    <w:basedOn w:val="736"/>
    <w:next w:val="1281"/>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2">
    <w:name w:val="样式4 Char"/>
    <w:basedOn w:val="736"/>
    <w:next w:val="1282"/>
    <w:link w:val="736"/>
    <w:qFormat/>
    <w:pPr>
      <w:ind w:firstLine="480"/>
      <w:jc w:val="left"/>
      <w:spacing w:line="360" w:lineRule="auto"/>
      <w:widowControl/>
    </w:pPr>
    <w:rPr>
      <w:rFonts w:cs="宋体"/>
      <w:color w:val="000000"/>
      <w:sz w:val="24"/>
      <w:szCs w:val="24"/>
    </w:rPr>
  </w:style>
  <w:style w:type="paragraph" w:styleId="1283">
    <w:name w:val="Char11"/>
    <w:basedOn w:val="736"/>
    <w:next w:val="1283"/>
    <w:link w:val="736"/>
    <w:qFormat/>
    <w:rPr>
      <w:rFonts w:ascii="方正仿宋_GB2312" w:hAnsi="宋体" w:eastAsia="方正仿宋_GB2312" w:cs="宋体"/>
      <w:b/>
      <w:sz w:val="32"/>
      <w:szCs w:val="32"/>
    </w:rPr>
  </w:style>
  <w:style w:type="paragraph" w:styleId="1284">
    <w:name w:val="表格内容"/>
    <w:basedOn w:val="736"/>
    <w:next w:val="1284"/>
    <w:link w:val="736"/>
    <w:qFormat/>
    <w:pPr>
      <w:jc w:val="center"/>
      <w:spacing w:before="60" w:line="300" w:lineRule="auto"/>
      <w:widowControl/>
    </w:pPr>
  </w:style>
  <w:style w:type="paragraph" w:styleId="1285">
    <w:name w:val="xl26"/>
    <w:basedOn w:val="736"/>
    <w:next w:val="1285"/>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6">
    <w:name w:val="Char Char Char1"/>
    <w:basedOn w:val="772"/>
    <w:next w:val="1286"/>
    <w:link w:val="736"/>
    <w:qFormat/>
    <w:pPr>
      <w:spacing w:line="436" w:lineRule="exact"/>
    </w:pPr>
    <w:rPr>
      <w:szCs w:val="24"/>
    </w:rPr>
  </w:style>
  <w:style w:type="paragraph" w:styleId="1287">
    <w:name w:val="xl58"/>
    <w:basedOn w:val="736"/>
    <w:next w:val="1287"/>
    <w:link w:val="736"/>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8">
    <w:name w:val="Body Text 21"/>
    <w:basedOn w:val="736"/>
    <w:next w:val="1288"/>
    <w:link w:val="736"/>
    <w:qFormat/>
    <w:pPr>
      <w:ind w:left="720" w:hanging="720"/>
      <w:widowControl/>
    </w:pPr>
    <w:rPr>
      <w:sz w:val="24"/>
      <w:lang w:val="en-GB"/>
    </w:rPr>
  </w:style>
  <w:style w:type="paragraph" w:styleId="1289">
    <w:name w:val="Char Char3"/>
    <w:basedOn w:val="736"/>
    <w:next w:val="1289"/>
    <w:link w:val="736"/>
    <w:qFormat/>
    <w:rPr>
      <w:rFonts w:ascii="Tahoma" w:hAnsi="Tahoma"/>
      <w:sz w:val="24"/>
    </w:rPr>
  </w:style>
  <w:style w:type="paragraph" w:styleId="1290">
    <w:name w:val="reader-word-layer"/>
    <w:basedOn w:val="736"/>
    <w:next w:val="1290"/>
    <w:link w:val="736"/>
    <w:uiPriority w:val="99"/>
    <w:qFormat/>
    <w:pPr>
      <w:jc w:val="left"/>
      <w:spacing w:before="100" w:beforeAutospacing="1" w:after="100" w:afterAutospacing="1"/>
      <w:widowControl/>
    </w:pPr>
    <w:rPr>
      <w:rFonts w:ascii="宋体" w:hAnsi="宋体" w:cs="宋体"/>
      <w:sz w:val="24"/>
      <w:szCs w:val="24"/>
    </w:rPr>
  </w:style>
  <w:style w:type="paragraph" w:styleId="1291">
    <w:name w:val="xl24"/>
    <w:basedOn w:val="736"/>
    <w:next w:val="1291"/>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2">
    <w:name w:val="font31"/>
    <w:basedOn w:val="746"/>
    <w:next w:val="1292"/>
    <w:link w:val="736"/>
    <w:qFormat/>
    <w:rPr>
      <w:rFonts w:ascii="等线" w:hAnsi="等线" w:eastAsia="等线" w:cs="等线"/>
      <w:color w:val="000000"/>
      <w:sz w:val="21"/>
      <w:szCs w:val="21"/>
      <w:u w:val="none"/>
    </w:rPr>
  </w:style>
  <w:style w:type="character" w:styleId="1293">
    <w:name w:val="NormalCharacter1"/>
    <w:next w:val="1293"/>
    <w:link w:val="736"/>
    <w:semiHidden/>
    <w:qFormat/>
  </w:style>
  <w:style w:type="character" w:styleId="1294">
    <w:name w:val="font51"/>
    <w:basedOn w:val="746"/>
    <w:next w:val="1294"/>
    <w:link w:val="736"/>
    <w:qFormat/>
    <w:rPr>
      <w:rFonts w:hint="eastAsia" w:ascii="宋体" w:hAnsi="宋体" w:eastAsia="宋体" w:cs="宋体"/>
      <w:color w:val="ff0000"/>
      <w:sz w:val="22"/>
      <w:szCs w:val="22"/>
      <w:u w:val="none"/>
    </w:rPr>
  </w:style>
  <w:style w:type="table" w:styleId="1295">
    <w:name w:val="Normal Table0"/>
    <w:next w:val="1295"/>
    <w:link w:val="736"/>
    <w:uiPriority w:val="2"/>
    <w:unhideWhenUsed/>
    <w:qFormat/>
    <w:pPr>
      <w:widowControl w:val="off"/>
    </w:pPr>
    <w:rPr>
      <w:sz w:val="22"/>
      <w:szCs w:val="22"/>
      <w:lang w:val="en-US" w:eastAsia="en-US" w:bidi="ar-SA"/>
    </w:rPr>
    <w:tblPr/>
  </w:style>
  <w:style w:type="paragraph" w:styleId="1296">
    <w:name w:val="二级标题"/>
    <w:next w:val="736"/>
    <w:link w:val="736"/>
    <w:qFormat/>
    <w:pPr>
      <w:numPr>
        <w:ilvl w:val="1"/>
        <w:numId w:val="5"/>
      </w:numPr>
      <w:spacing w:line="360" w:lineRule="auto"/>
      <w:outlineLvl w:val="1"/>
    </w:pPr>
    <w:rPr>
      <w:rFonts w:ascii="宋体" w:hAnsi="宋体" w:cs="宋体"/>
      <w:b/>
      <w:bCs/>
      <w:sz w:val="28"/>
      <w:szCs w:val="30"/>
      <w:lang w:val="en-US" w:eastAsia="zh-CN" w:bidi="ar-SA"/>
    </w:rPr>
  </w:style>
  <w:style w:type="paragraph" w:styleId="1297">
    <w:name w:val="三级标题"/>
    <w:next w:val="736"/>
    <w:link w:val="736"/>
    <w:qFormat/>
    <w:pPr>
      <w:numPr>
        <w:ilvl w:val="2"/>
        <w:numId w:val="5"/>
      </w:numPr>
      <w:spacing w:line="360" w:lineRule="auto"/>
      <w:outlineLvl w:val="2"/>
    </w:pPr>
    <w:rPr>
      <w:rFonts w:ascii="宋体" w:hAnsi="宋体" w:cs="宋体"/>
      <w:bCs/>
      <w:sz w:val="21"/>
      <w:szCs w:val="30"/>
      <w:lang w:val="en-US" w:eastAsia="zh-CN" w:bidi="ar-SA"/>
    </w:rPr>
  </w:style>
  <w:style w:type="paragraph" w:styleId="1298">
    <w:name w:val="四级标题"/>
    <w:next w:val="736"/>
    <w:link w:val="736"/>
    <w:qFormat/>
    <w:pPr>
      <w:numPr>
        <w:ilvl w:val="3"/>
        <w:numId w:val="5"/>
      </w:numPr>
      <w:spacing w:line="360" w:lineRule="auto"/>
      <w:outlineLvl w:val="3"/>
    </w:pPr>
    <w:rPr>
      <w:rFonts w:ascii="宋体" w:hAnsi="宋体" w:cs="宋体"/>
      <w:bCs/>
      <w:sz w:val="21"/>
      <w:szCs w:val="30"/>
      <w:lang w:val="en-US" w:eastAsia="zh-CN" w:bidi="ar-SA"/>
    </w:rPr>
  </w:style>
  <w:style w:type="paragraph" w:styleId="1299">
    <w:name w:val="msonormal"/>
    <w:basedOn w:val="736"/>
    <w:next w:val="1299"/>
    <w:link w:val="736"/>
    <w:qFormat/>
    <w:pPr>
      <w:jc w:val="left"/>
      <w:spacing w:before="100" w:beforeAutospacing="1" w:after="100" w:afterAutospacing="1"/>
      <w:widowControl/>
    </w:pPr>
    <w:rPr>
      <w:rFonts w:ascii="宋体" w:hAnsi="宋体" w:cs="宋体"/>
      <w:sz w:val="24"/>
      <w:szCs w:val="24"/>
    </w:rPr>
  </w:style>
  <w:style w:type="paragraph" w:styleId="1300">
    <w:name w:val="xl71"/>
    <w:basedOn w:val="736"/>
    <w:next w:val="1300"/>
    <w:link w:val="736"/>
    <w:qFormat/>
    <w:pPr>
      <w:jc w:val="left"/>
      <w:spacing w:before="100" w:beforeAutospacing="1" w:after="100" w:afterAutospacing="1"/>
      <w:widowControl/>
    </w:pPr>
    <w:rPr>
      <w:rFonts w:ascii="宋体" w:hAnsi="宋体" w:cs="宋体"/>
      <w:sz w:val="24"/>
      <w:szCs w:val="24"/>
    </w:rPr>
  </w:style>
  <w:style w:type="paragraph" w:styleId="1301">
    <w:name w:val="xl72"/>
    <w:basedOn w:val="736"/>
    <w:next w:val="1301"/>
    <w:link w:val="736"/>
    <w:qFormat/>
    <w:pPr>
      <w:jc w:val="center"/>
      <w:spacing w:before="100" w:beforeAutospacing="1" w:after="100" w:afterAutospacing="1"/>
      <w:widowControl/>
    </w:pPr>
    <w:rPr>
      <w:rFonts w:ascii="宋体" w:hAnsi="宋体" w:cs="宋体"/>
      <w:sz w:val="24"/>
      <w:szCs w:val="24"/>
    </w:rPr>
  </w:style>
  <w:style w:type="paragraph" w:styleId="1302">
    <w:name w:val="xl73"/>
    <w:basedOn w:val="736"/>
    <w:next w:val="1302"/>
    <w:link w:val="736"/>
    <w:qFormat/>
    <w:pPr>
      <w:jc w:val="center"/>
      <w:spacing w:before="100" w:beforeAutospacing="1" w:after="100" w:afterAutospacing="1"/>
      <w:widowControl/>
    </w:pPr>
    <w:rPr>
      <w:rFonts w:ascii="宋体" w:hAnsi="宋体" w:cs="宋体"/>
      <w:sz w:val="24"/>
      <w:szCs w:val="24"/>
    </w:rPr>
  </w:style>
  <w:style w:type="paragraph" w:styleId="1303">
    <w:name w:val="xl74"/>
    <w:basedOn w:val="736"/>
    <w:next w:val="1303"/>
    <w:link w:val="736"/>
    <w:qFormat/>
    <w:pPr>
      <w:jc w:val="center"/>
      <w:spacing w:before="100" w:beforeAutospacing="1" w:after="100" w:afterAutospacing="1"/>
      <w:widowControl/>
    </w:pPr>
    <w:rPr>
      <w:rFonts w:ascii="宋体" w:hAnsi="宋体" w:cs="宋体"/>
      <w:sz w:val="20"/>
    </w:rPr>
  </w:style>
  <w:style w:type="paragraph" w:styleId="1304">
    <w:name w:val="xl75"/>
    <w:basedOn w:val="736"/>
    <w:next w:val="1304"/>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xl76"/>
    <w:basedOn w:val="736"/>
    <w:next w:val="1305"/>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xl77"/>
    <w:basedOn w:val="736"/>
    <w:next w:val="1306"/>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78"/>
    <w:basedOn w:val="736"/>
    <w:next w:val="1307"/>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8">
    <w:name w:val="xl79"/>
    <w:basedOn w:val="736"/>
    <w:next w:val="1308"/>
    <w:link w:val="736"/>
    <w:qFormat/>
    <w:pPr>
      <w:jc w:val="center"/>
      <w:spacing w:before="100" w:beforeAutospacing="1" w:after="100" w:afterAutospacing="1"/>
      <w:shd w:val="clear" w:color="000000" w:fill="ffffff"/>
      <w:widowControl/>
    </w:pPr>
    <w:rPr>
      <w:rFonts w:ascii="宋体" w:hAnsi="宋体" w:cs="宋体"/>
      <w:sz w:val="20"/>
    </w:rPr>
  </w:style>
  <w:style w:type="paragraph" w:styleId="1309">
    <w:name w:val="xl80"/>
    <w:basedOn w:val="736"/>
    <w:next w:val="1309"/>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0">
    <w:name w:val="xl81"/>
    <w:basedOn w:val="736"/>
    <w:next w:val="1310"/>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1">
    <w:name w:val="xl82"/>
    <w:basedOn w:val="736"/>
    <w:next w:val="1311"/>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name w:val="xl83"/>
    <w:basedOn w:val="736"/>
    <w:next w:val="1312"/>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3">
    <w:name w:val="xl84"/>
    <w:basedOn w:val="736"/>
    <w:next w:val="1313"/>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xl85"/>
    <w:basedOn w:val="736"/>
    <w:next w:val="1314"/>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5">
    <w:name w:val="纯文本11"/>
    <w:basedOn w:val="736"/>
    <w:next w:val="1315"/>
    <w:link w:val="736"/>
    <w:qFormat/>
    <w:rPr>
      <w:rFonts w:ascii="宋体" w:hAnsi="Courier New"/>
    </w:rPr>
  </w:style>
  <w:style w:type="paragraph" w:styleId="1316">
    <w:name w:val="_Style 78"/>
    <w:basedOn w:val="736"/>
    <w:next w:val="736"/>
    <w:link w:val="736"/>
    <w:uiPriority w:val="39"/>
    <w:qFormat/>
    <w:pPr>
      <w:ind w:left="1470"/>
      <w:jc w:val="left"/>
    </w:pPr>
    <w:rPr>
      <w:szCs w:val="21"/>
    </w:rPr>
  </w:style>
  <w:style w:type="paragraph" w:styleId="1317">
    <w:name w:val="页脚1"/>
    <w:basedOn w:val="736"/>
    <w:next w:val="1317"/>
    <w:link w:val="736"/>
    <w:qFormat/>
    <w:pPr>
      <w:jc w:val="left"/>
      <w:tabs>
        <w:tab w:val="center" w:pos="4153" w:leader="none"/>
        <w:tab w:val="right" w:pos="8306" w:leader="none"/>
      </w:tabs>
    </w:pPr>
    <w:rPr>
      <w:sz w:val="18"/>
      <w:szCs w:val="18"/>
    </w:rPr>
  </w:style>
  <w:style w:type="character" w:styleId="1318">
    <w:name w:val="font61"/>
    <w:basedOn w:val="746"/>
    <w:next w:val="1318"/>
    <w:link w:val="736"/>
    <w:qFormat/>
    <w:rPr>
      <w:rFonts w:hint="eastAsia" w:ascii="宋体" w:hAnsi="宋体" w:eastAsia="宋体" w:cs="宋体"/>
      <w:color w:val="000000"/>
      <w:sz w:val="20"/>
      <w:szCs w:val="20"/>
      <w:u w:val="none"/>
    </w:rPr>
  </w:style>
  <w:style w:type="character" w:styleId="1319">
    <w:name w:val="font231"/>
    <w:basedOn w:val="746"/>
    <w:next w:val="1319"/>
    <w:link w:val="736"/>
    <w:qFormat/>
    <w:rPr>
      <w:rFonts w:ascii="Calibri" w:hAnsi="Calibri" w:cs="Calibri"/>
      <w:color w:val="000000"/>
      <w:sz w:val="20"/>
      <w:szCs w:val="20"/>
      <w:u w:val="none"/>
    </w:rPr>
  </w:style>
  <w:style w:type="character" w:styleId="1320">
    <w:name w:val="font241"/>
    <w:basedOn w:val="746"/>
    <w:next w:val="1320"/>
    <w:link w:val="736"/>
    <w:qFormat/>
    <w:rPr>
      <w:rFonts w:ascii="Calibri" w:hAnsi="Calibri" w:cs="Calibri"/>
      <w:color w:val="000000"/>
      <w:sz w:val="20"/>
      <w:szCs w:val="20"/>
      <w:u w:val="none"/>
    </w:rPr>
  </w:style>
  <w:style w:type="character" w:styleId="1321">
    <w:name w:val="font81"/>
    <w:basedOn w:val="746"/>
    <w:next w:val="1321"/>
    <w:link w:val="736"/>
    <w:qFormat/>
    <w:rPr>
      <w:rFonts w:ascii="宋体" w:hAnsi="宋体" w:eastAsia="宋体" w:cs="宋体"/>
      <w:color w:val="000000"/>
      <w:sz w:val="20"/>
      <w:szCs w:val="20"/>
      <w:u w:val="none"/>
    </w:rPr>
  </w:style>
  <w:style w:type="character" w:styleId="1322">
    <w:name w:val="font251"/>
    <w:basedOn w:val="746"/>
    <w:next w:val="1322"/>
    <w:link w:val="736"/>
    <w:qFormat/>
    <w:rPr>
      <w:rFonts w:ascii="宋体" w:hAnsi="宋体" w:eastAsia="宋体" w:cs="宋体"/>
      <w:b/>
      <w:bCs/>
      <w:color w:val="000000"/>
      <w:sz w:val="20"/>
      <w:szCs w:val="20"/>
      <w:u w:val="none"/>
    </w:rPr>
  </w:style>
  <w:style w:type="character" w:styleId="1323">
    <w:name w:val="font112"/>
    <w:basedOn w:val="746"/>
    <w:next w:val="1323"/>
    <w:link w:val="736"/>
    <w:qFormat/>
    <w:rPr>
      <w:rFonts w:hint="eastAsia" w:ascii="宋体" w:hAnsi="宋体" w:eastAsia="宋体" w:cs="宋体"/>
      <w:b/>
      <w:bCs/>
      <w:color w:val="000000"/>
      <w:sz w:val="20"/>
      <w:szCs w:val="20"/>
      <w:u w:val="none"/>
    </w:rPr>
  </w:style>
  <w:style w:type="character" w:styleId="1324">
    <w:name w:val="font261"/>
    <w:basedOn w:val="746"/>
    <w:next w:val="1324"/>
    <w:link w:val="736"/>
    <w:qFormat/>
    <w:rPr>
      <w:rFonts w:ascii="微软雅黑" w:hAnsi="微软雅黑" w:eastAsia="微软雅黑" w:cs="微软雅黑"/>
      <w:color w:val="000000"/>
      <w:sz w:val="18"/>
      <w:szCs w:val="18"/>
      <w:u w:val="none"/>
    </w:rPr>
  </w:style>
  <w:style w:type="character" w:styleId="1325">
    <w:name w:val="font271"/>
    <w:basedOn w:val="746"/>
    <w:next w:val="1325"/>
    <w:link w:val="736"/>
    <w:qFormat/>
    <w:rPr>
      <w:rFonts w:ascii="Arial" w:hAnsi="Arial" w:cs="Arial"/>
      <w:color w:val="000000"/>
      <w:sz w:val="20"/>
      <w:szCs w:val="20"/>
      <w:u w:val="none"/>
    </w:rPr>
  </w:style>
  <w:style w:type="character" w:styleId="1326">
    <w:name w:val="font141"/>
    <w:basedOn w:val="746"/>
    <w:next w:val="1326"/>
    <w:link w:val="736"/>
    <w:qFormat/>
    <w:rPr>
      <w:rFonts w:ascii="宋体" w:hAnsi="宋体" w:eastAsia="宋体" w:cs="宋体"/>
      <w:color w:val="000000"/>
      <w:sz w:val="20"/>
      <w:szCs w:val="20"/>
      <w:u w:val="none"/>
    </w:rPr>
  </w:style>
  <w:style w:type="character" w:styleId="1327">
    <w:name w:val="font91"/>
    <w:basedOn w:val="746"/>
    <w:next w:val="1327"/>
    <w:link w:val="736"/>
    <w:qFormat/>
    <w:rPr>
      <w:rFonts w:hint="eastAsia" w:ascii="宋体" w:hAnsi="宋体" w:eastAsia="宋体" w:cs="宋体"/>
      <w:color w:val="000000"/>
      <w:sz w:val="20"/>
      <w:szCs w:val="20"/>
      <w:u w:val="none"/>
    </w:rPr>
  </w:style>
  <w:style w:type="character" w:styleId="1328">
    <w:name w:val="font281"/>
    <w:basedOn w:val="746"/>
    <w:next w:val="1328"/>
    <w:link w:val="736"/>
    <w:qFormat/>
    <w:rPr>
      <w:rFonts w:ascii="Calibri" w:hAnsi="Calibri" w:cs="Calibri"/>
      <w:color w:val="000000"/>
      <w:sz w:val="20"/>
      <w:szCs w:val="20"/>
      <w:u w:val="none"/>
    </w:rPr>
  </w:style>
  <w:style w:type="table" w:styleId="1329">
    <w:name w:val="Table Normal"/>
    <w:basedOn w:val="747"/>
    <w:next w:val="1329"/>
    <w:link w:val="736"/>
    <w:uiPriority w:val="2"/>
    <w:unhideWhenUsed/>
    <w:qFormat/>
    <w:tblPr/>
  </w:style>
  <w:style w:type="character" w:styleId="1330">
    <w:name w:val="font121"/>
    <w:basedOn w:val="746"/>
    <w:next w:val="1330"/>
    <w:link w:val="736"/>
    <w:rPr>
      <w:rFonts w:hint="eastAsia" w:ascii="微软雅黑" w:hAnsi="微软雅黑" w:eastAsia="微软雅黑" w:cs="微软雅黑"/>
      <w:b/>
      <w:bCs/>
      <w:i w:val="0"/>
      <w:iCs w:val="0"/>
      <w:color w:val="ff0000"/>
      <w:sz w:val="18"/>
      <w:szCs w:val="18"/>
      <w:u w:val="none"/>
    </w:rPr>
  </w:style>
  <w:style w:type="character" w:styleId="1331">
    <w:name w:val="font21"/>
    <w:basedOn w:val="746"/>
    <w:next w:val="1331"/>
    <w:link w:val="736"/>
    <w:rPr>
      <w:rFonts w:hint="eastAsia" w:ascii="微软雅黑" w:hAnsi="微软雅黑" w:eastAsia="微软雅黑" w:cs="微软雅黑"/>
      <w:i w:val="0"/>
      <w:iCs w:val="0"/>
      <w:color w:val="000000"/>
      <w:sz w:val="18"/>
      <w:szCs w:val="18"/>
      <w:u w:val="none"/>
    </w:rPr>
  </w:style>
  <w:style w:type="character" w:styleId="1332">
    <w:name w:val="font71"/>
    <w:basedOn w:val="746"/>
    <w:next w:val="1332"/>
    <w:link w:val="736"/>
    <w:rPr>
      <w:rFonts w:hint="eastAsia" w:ascii="微软雅黑" w:hAnsi="微软雅黑" w:eastAsia="微软雅黑" w:cs="微软雅黑"/>
      <w:i w:val="0"/>
      <w:iCs w:val="0"/>
      <w:color w:val="ff0000"/>
      <w:sz w:val="18"/>
      <w:szCs w:val="18"/>
      <w:u w:val="none"/>
    </w:rPr>
  </w:style>
  <w:style w:type="character" w:styleId="1333">
    <w:name w:val="font131"/>
    <w:basedOn w:val="746"/>
    <w:next w:val="1333"/>
    <w:link w:val="736"/>
    <w:rPr>
      <w:rFonts w:ascii="Arial Unicode MS" w:hAnsi="Arial Unicode MS" w:eastAsia="Arial Unicode MS" w:cs="Arial Unicode MS"/>
      <w:i w:val="0"/>
      <w:iCs w:val="0"/>
      <w:color w:val="000000"/>
      <w:sz w:val="18"/>
      <w:szCs w:val="18"/>
      <w:u w:val="none"/>
    </w:rPr>
  </w:style>
  <w:style w:type="paragraph" w:styleId="1334">
    <w:name w:val="正文文本首行缩进 2"/>
    <w:basedOn w:val="780"/>
    <w:next w:val="736"/>
    <w:link w:val="736"/>
    <w:qFormat/>
    <w:pPr>
      <w:ind w:left="0" w:firstLine="420"/>
      <w:spacing w:after="0" w:line="360" w:lineRule="auto"/>
    </w:pPr>
    <w:rPr>
      <w:rFonts w:ascii="宋体" w:hAnsi="宋体"/>
      <w:szCs w:val="20"/>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5</cp:revision>
  <dcterms:created xsi:type="dcterms:W3CDTF">2024-01-04T09:07:00Z</dcterms:created>
  <dcterms:modified xsi:type="dcterms:W3CDTF">2026-07-03T07:21:58Z</dcterms:modified>
</cp:coreProperties>
</file>