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竞争性磋商文件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项目编号：JSZC-320114-NJZZ-C2026-0015</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项目名称：西善桥街道“消防快速处置队”消防安全巡查服务</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rPr>
          <w:rFonts w:ascii="SimSun" w:hAnsi="SimSun" w:eastAsia="SimSun" w:cs="SimSun"/>
          <w:b/>
          <w:color w:val="000000"/>
          <w:sz w:val="76"/>
        </w:rPr>
        <w:t xml:space="preserve"> </w:t>
      </w:r>
      <w:r>
        <w:rPr>
          <w:sz w:val="24"/>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采购人：南京市雨花台区人民政府西善桥街道办事处</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2026年05月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磋商邀请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南京众智工程咨询有限公司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南京市雨花台区人民政府西善桥街道办事处</w:t>
      </w:r>
      <w:r>
        <w:rPr>
          <w:rFonts w:ascii="SimSun" w:hAnsi="SimSun" w:eastAsia="SimSun" w:cs="SimSun"/>
          <w:color w:val="000000"/>
          <w:sz w:val="21"/>
        </w:rPr>
        <w:t xml:space="preserve">(单位名称，以下简</w:t>
      </w:r>
      <w:r>
        <w:rPr>
          <w:rFonts w:ascii="SimSun" w:hAnsi="SimSun" w:eastAsia="SimSun" w:cs="SimSun"/>
          <w:color w:val="000000"/>
          <w:sz w:val="21"/>
          <w:u w:val="none"/>
        </w:rPr>
        <w:t xml:space="preserve">称“采购人”）委托，就</w:t>
      </w:r>
      <w:r>
        <w:rPr>
          <w:rFonts w:ascii="SimSun" w:hAnsi="SimSun" w:eastAsia="SimSun" w:cs="SimSun"/>
          <w:color w:val="000000"/>
          <w:sz w:val="21"/>
          <w:u w:val="single"/>
        </w:rPr>
        <w:t xml:space="preserve">西善桥街道“消防快速处置队”消防安全巡查服务</w:t>
      </w:r>
      <w:r>
        <w:rPr>
          <w:rFonts w:ascii="SimSun" w:hAnsi="SimSun" w:eastAsia="SimSun" w:cs="SimSun"/>
          <w:color w:val="000000"/>
          <w:sz w:val="21"/>
        </w:rPr>
        <w:t xml:space="preserve">（项目名称）进行竞争性磋商采购，兹邀请符合资格条件的供应商提交响应文件。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1.项目编号：JSZC-320114-NJZZ-C2026-0015</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w:t>
      </w:r>
      <w:r>
        <w:rPr>
          <w:rFonts w:ascii="SimSun" w:hAnsi="SimSun" w:eastAsia="SimSun" w:cs="SimSun"/>
          <w:color w:val="000000"/>
          <w:sz w:val="21"/>
          <w:u w:val="single"/>
        </w:rPr>
        <w:t xml:space="preserve">西善桥街道“消防快速处置队”消防安全巡查服务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3.项目预算：</w:t>
      </w:r>
      <w:r>
        <w:rPr>
          <w:rFonts w:ascii="SimSun" w:hAnsi="SimSun" w:eastAsia="SimSun" w:cs="SimSun"/>
          <w:color w:val="000000"/>
          <w:sz w:val="21"/>
          <w:u w:val="single"/>
        </w:rPr>
        <w:t xml:space="preserve">290</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4.本项目设定最高限价为</w:t>
      </w:r>
      <w:r>
        <w:rPr>
          <w:rFonts w:ascii="SimSun" w:hAnsi="SimSun" w:eastAsia="SimSun" w:cs="SimSun"/>
          <w:color w:val="000000"/>
          <w:sz w:val="21"/>
          <w:u w:val="single"/>
        </w:rPr>
        <w:t xml:space="preserve">290</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5.采购需求：为了持续做好辖区消防安全工作，全面提升住宅小区火灾前期处置与防范能力，工作内容主要是消防日常巡查群众宣传等。（具体详见磋商文件第四章内容）。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6.合同履行期限：自合同签订之日起一年。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（4）</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（三）本项目特定资格要求：无</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1.时间：自磋商文件公告发布之日起5个工作日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3.方式：供应商</w:t>
      </w:r>
      <w:r>
        <w:rPr>
          <w:rFonts w:ascii="SimSun" w:hAnsi="SimSun" w:eastAsia="SimSun" w:cs="SimSun"/>
          <w:color w:val="000000"/>
          <w:sz w:val="21"/>
        </w:rPr>
        <w:t xml:space="preserve">登录</w:t>
      </w:r>
      <w:r>
        <w:rPr>
          <w:rFonts w:ascii="SimSun" w:hAnsi="SimSun" w:eastAsia="SimSun" w:cs="SimSun"/>
          <w:color w:val="000000"/>
          <w:sz w:val="21"/>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四、提交响应文件时间、评审时间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1.提交响应文件截止时间：2026年05月18日14点00分（北京时间）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1.本项目采购标的对应的中小企业划分标准所属行业为：租赁和商务服务业。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2.潜在供应商访问政府采购管理交易系统（苏采云）的网络地址和方法：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（5）采购文件（后缀名为“.kedt”）、供应商《苏采云系统供应商操作手册》（以下简称《操作手册》）及政府采购客户端工具也可通过“苏采云”系统--已报名项目--报名详情页面内相应链接进行下载。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关于在政府采购活动中推行信用承诺制的通知》(宁财购通[2021]5号)的规定，申请人的资格要求涉及的证明材料，供应商可以在响应文件中一次性提交，也可以在响应文件中提供满足相应条件的供应商信用承诺函(详见“第六章响应文件格式及附件”)，不再需要提供上述涉及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5.本次招标不收取投标保证金。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6.本项目不组织集中勘察及答疑，供应商如对采购需求有疑问，请咨询采购单位联系人。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10" w:tooltip="http://www.ccgp-jiangsu.gov.cn/jiangsu/zlxz/ee/ee3a4bc5a3454aa2b0d9312230633ce9.html" w:history="1">
        <w:r>
          <w:rPr>
            <w:rStyle w:val="861"/>
            <w:rFonts w:ascii="SimSun" w:hAnsi="SimSun" w:eastAsia="SimSun" w:cs="SimSun"/>
            <w:color w:val="0000ee"/>
            <w:sz w:val="21"/>
            <w:u w:val="single"/>
          </w:rPr>
          <w:t xml:space="preserve">下载地址</w:t>
        </w:r>
      </w:hyperlink>
      <w:r>
        <w:rPr>
          <w:rFonts w:ascii="SimSun" w:hAnsi="SimSun" w:eastAsia="SimSun" w:cs="SimSun"/>
          <w:color w:val="000000"/>
          <w:sz w:val="21"/>
        </w:rPr>
        <w:t xml:space="preserve">（CTRL+鼠标左键）。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8.报价响应人应充分考虑网络环境、网络带宽等因素可能对投标产生的影响，如因供应商自身原因造成的电子响应文件上传不成功的，</w:t>
      </w:r>
      <w:r>
        <w:rPr>
          <w:rFonts w:ascii="SimSun" w:hAnsi="SimSun" w:eastAsia="SimSun" w:cs="SimSun"/>
          <w:color w:val="000000"/>
          <w:sz w:val="21"/>
        </w:rPr>
        <w:t xml:space="preserve">作</w:t>
      </w:r>
      <w:r>
        <w:rPr>
          <w:rFonts w:ascii="SimSun" w:hAnsi="SimSun" w:eastAsia="SimSun" w:cs="SimSun"/>
          <w:color w:val="000000"/>
          <w:sz w:val="21"/>
        </w:rPr>
        <w:t xml:space="preserve">无效响应文件处理。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9.采购代理公司可以按照规定，通过修改采购文件酌情延长投标截止时间，在此情况下，供应商的所有权利和义务均以延长后新的截止时间为准。</w:t>
      </w:r>
      <w:r/>
    </w:p>
    <w:p>
      <w:pPr>
        <w:ind w:left="0" w:right="0" w:firstLine="420"/>
        <w:jc w:val="both"/>
        <w:spacing w:before="240" w:after="240" w:line="85"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10.有关本次招标的事项若存在变动或修改，敬请及时关注“江苏政府采购网”（www.ccgp-jiangsu.gov.cn）发布的信息更正公告。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t xml:space="preserve">11.中标人在领取中标通知书时应提供与苏采云系统中一致的投标文件 2份，交采购代理机构归档使用。</w:t>
      </w:r>
      <w:r>
        <w:rPr>
          <w:rFonts w:ascii="SimSun" w:hAnsi="SimSun" w:eastAsia="SimSun" w:cs="SimSun"/>
          <w:color w:val="000000"/>
          <w:sz w:val="21"/>
          <w:highlight w:val="none"/>
        </w:rPr>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12.对本次采购提出询问，请按以下方式联系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名称：南京市雨花台区人民政府西善桥街道办事处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地址：南京市雨花台区西善桥北路68号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联系方式：钱先生  025-52815090</w:t>
      </w:r>
      <w:r/>
    </w:p>
    <w:p>
      <w:pPr>
        <w:ind w:left="0" w:right="0" w:firstLine="420"/>
        <w:jc w:val="both"/>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20"/>
        <w:jc w:val="both"/>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2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联系方式：谭玲月 任世平 025-52896520-19</w:t>
      </w:r>
      <w:r/>
    </w:p>
    <w:p>
      <w:pPr>
        <w:ind w:left="0" w:right="0" w:firstLine="420"/>
        <w:jc w:val="both"/>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项目联系人：谭玲月 任世平</w:t>
      </w:r>
      <w:r/>
    </w:p>
    <w:p>
      <w:pPr>
        <w:ind w:left="0" w:right="0" w:firstLine="420"/>
        <w:jc w:val="both"/>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电话：025-52896520-19</w:t>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《中华人民共和国政府采购法》、《中华人民共和国政府采购法实施条例》、《政府采购竞争性磋商采购方式管理暂行办法》等法律、规章和规定等。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“供应商”是指参加响应竞争，并符合采购文件规定资格条件的法人、其他组织或者自然人。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“货物和服务”指本采购文件中所述产品及相关服务。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“用户或使用单位”是指使用货物的单位。</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政府采购促进中小企业发展，在政府采购活动中，供应商提供的货物、工程或者服务符合下列情形的，享受中小企业扶持政策：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强制采购节能产品、信息安全产品，优先采购环境标志产品。节能产品是指列入财政部、国家发展和改革委员会制定的节能产品品目政府采购清单，且经过认定的节能产品；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提供的产品属于政府强制采购节能产品的，供应商应当选择经过认证的节能产品投标，并提供有效的节能产品认证证书复印件。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提供的产品属于环境标志产品的，供应商应当选择经过认证的环境标志产品投标，并提供有效的环境标志产品认证证书复印件。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办法、评标标准、无效投标和废标条款、附件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采购的最小单位是包。采购货物数量及技术要求中未分包的，供应商对要求提供的货物不得部分投标；招标货物数量及技术要求中已经分包的，应当以包为单位投标。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采购文件如果要求供应商提交备选投标方案的，供应商可以提交备选方案，否则，不接受备选方案。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6.响应文件的语言、计量单位、货币和技术标准。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供应商所使用的币种位应为人民币，单位为“元”。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7.响应文件的组成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采购文件要求编制响应文件，并根据自己的商务能力、技术水平对采购文件提出的要求和条件逐条标明是否响应。响应文件由商务部分、技术部分、价格部分以及其他部分组成。供应商应将响应文件按顺序编制响应文件资料目录。</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如标书制作工具中格式和内容与“江苏政府采购网”发布的采购文件不一致，以“江苏政府采购网”发布的采购文件为准。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 响应文件的商务部分。</w:t>
      </w:r>
      <w:r>
        <w:rPr>
          <w:rFonts w:ascii="SimSun" w:hAnsi="SimSun" w:eastAsia="SimSun" w:cs="SimSun"/>
          <w:color w:val="000000"/>
          <w:sz w:val="21"/>
        </w:rPr>
        <w:t xml:space="preserve">商务部分是证明供应商有资格参加采购和成交后有能力履行合同的文件，这些文件应能满足采购文件的要求，包括但不限于下列文件，其中加“★”项目不得有缺失或无效：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响应申请及声明；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第一章申请人的资格要求中供应商资质条件、能力和信誉的证明文件；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（4）《商务条款偏离表》；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（5）合同草案条款；</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（6）供应商认为需要提供的其他资格证明文件和商务资料等。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响应文件的技术部分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（3）提供的服务如与采购文件要求有不符之处，应说明其差别之所在，并在《技术条款偏离表》中逐条予以说明。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（4）响应文件应按照采购文件要求提供技术资料、文件和有关证明，其中加“★”项目不得有缺失或无效。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响应文件的价格部分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报价应包含完成本货物和服务项目发生的所有含税费用、伴随服务、技术图纸资料、人员培训发生的所有含税费用、支付给员工的工资和国家强制缴纳的各种社会保障资金，以及供应商认为需要的其他费用等。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供应商应对《需求清单》分别报价。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7.3.3 供应商任何错漏、优惠、报价不得作为减轻责任、减少服务、增加收费、降低质量的理由。</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8.评定成交标准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9.询问和质疑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采购文件、采购过程和成交结果使自己的合法权益受到损害的，可以在知道或者应当知道其权益受到损害之日起七个工作日内，将质疑文件原件送达采购代理机构。(对采购文件质疑的,通过网上下载方式获取采购文件的供应商，应当提供依法获取采购文件的截图或者其他资料，否则质疑将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质疑供应商的质疑行为和质疑函的主要内容应符合财政部94号令相关规定，未参加采购活动的供应商或在采购活动中自身权益未受到损害的供应商所提出的质疑不予受理。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（1）对采购文件提出质疑的，为采购文件公告期限届满之日起计算；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供应商应当按照采购文件的商务、技术等要求逐一响应，编制响应文件，并对其真实性、合法性承担法律责任。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供应商应实质性响应采购文件的各项要求，实质性要求不得负偏离。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供应商提供的服务由小微企业承接的，应在响应文件中说明。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供应商应当按照《操作手册》规定，在磋商公告规定的提交响应文件截止时间前制作并上传电子响应文件。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供应商应充分考虑网络环境、网络带宽、未按要求配置软硬件环境、解密锁用错或其他物理故障、操作熟练程度等因素可能对磋商产生的影响，如因供应商自身原因造成的电子响应文件上传不成功的，按照本磋商文件规定</w:t>
      </w:r>
      <w:r>
        <w:rPr>
          <w:rFonts w:ascii="SimSun" w:hAnsi="SimSun" w:eastAsia="SimSun" w:cs="SimSun"/>
          <w:color w:val="000000"/>
          <w:sz w:val="21"/>
        </w:rPr>
        <w:t xml:space="preserve">作</w:t>
      </w:r>
      <w:r>
        <w:rPr>
          <w:rFonts w:ascii="SimSun" w:hAnsi="SimSun" w:eastAsia="SimSun" w:cs="SimSun"/>
          <w:color w:val="000000"/>
          <w:sz w:val="21"/>
        </w:rPr>
        <w:t xml:space="preserve">无效响应处理。因网上招投标平台发生故障，导致无法按时完成响应文件解密或开、评标工作无法进行的，可根据实际情况相应延迟解密时间或调整开、评标时间。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10.8采购代理机构可以按照规定，通过修改磋商文件酌情延长提交响应文件截止日期，在此情况下，供应商的所有权利和义务均以延长后新的截止日期为准。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11.响应文件的拒收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采购代理机构拒绝接收提交响应文件截止时间后上传的任何电子响应文件。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12.响应文件的修改和撤回</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供应商在规定的提交响应文件截止之时间之前，可以对所提交的响应文件进行补充、修改或撤回。供应商撤回电子响应文件，则认为其不再参与本项目磋商活动。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提交响应文件截止时间后，响应文件不能修改和撤回；如果以书面形式向代理机构申请撤回的，一年内不得参加政府采购活动。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供应商应当按照《操作手册》规定，在苏采云系统规定的时间内对响应文件进行解密。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14.评审组织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 供应商提交响应文件截止时间后，代理机构组织项目评审小组对响应文件进行评审。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 项目评审小组由采购人代表和有关技术、经济等方面的专家组成，并独立履行下列职责：</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（1）审查供应商的响应文件并作出评价；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评审程序</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t xml:space="preserve">评审委员会启动异常低价投标（响应）审查的情形和具体要求：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t xml:space="preserve">（1）采购人应当在采购文件中明确，政府采购评审中出现下列情形之一的，评审委员会应当启动异常低价投标（响应）审查程序：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t xml:space="preserve">③投标（响应）报价低于采购项目最高限价45%的，即投标（响应）报价&lt;采购项目最高限价×45%；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t xml:space="preserve">④评审委员会基于专业判断，认为供应商报价过低，有可能影响产品质量或者不能诚信履约的其他情形。</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t xml:space="preserve">采购人可以结合具体项目实际情况，提高上述第1项至第3项中启动异常低价投标（响应）审查的数值标准，但是最高不得超过65%。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t xml:space="preserve">相关法律法规对供应商报价有规定的，从其规定。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评审小组所有成员应当集中与单一供应商分别进行磋商，并给予所有参加磋商的供应商平等的磋商机会。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14.2.6 其他约定。最后报价是供应商响应文件的有效组成部分。提交响应文件的供应商满三家但经评审实质性响应采购文件只有两家的，经评审小组认定，采购文件没有不合理条款、采购程序符合规定的，竞争性磋商可以继续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14.2.8 响应文件属下列情形之一的，按照无效处理：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（7）参加本次采购活动不同供应商的授权代理人(或法定代表人、项目经理、项目总监、项目负责人等)在采购文件发布日上月至响应截止日当月在同一单位缴纳社会保险的；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（10）未按照采购文件要求盖章的；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（11）报价超出采购项目预算的；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（12）未逐一说明提供的服务响应的；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（13）不符合法律、法规和采购文件规定的其他实质性要求的。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14.3出现下列情形之一的，终止采购活动：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（1）因情况变化，不再符合规定的采购方式适用情形的。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（3）除本磋商文件第二章第14.2.6条第三款规定的情形外，采购过程中符合要求的供应商或者提交最后报价且未超过采购预算（最高限价）的供应商不足3家的。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）在苏采云系统规定时间内成功解密电子响应文件的供应商不足3家的。</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在综合比较与评价后按照得分由高到低顺序对供应商进行排列。得分相同的，按报价由低到高顺序排列。得分且报价相同的，按技术指标和服务标准优劣顺序排列。评审小组根据排名确定3名成交候选人。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按以下第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（1）评审小组直接确定排名第一的成交候选人为成交供应商；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（2）采购人在评审小组推荐的成交候选人中按顺序确定成交供应商。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成交供应商确定之日起2个工作日内，成交供应商应及时支付代理服务费后到代理机构领取《成交通知书》。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成交供应商确定之日起两个工作日内，将在财政部门指定的政府采购信息发布媒体上公告。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成交通知书对采购人和成交供应商具有同等法律效力。</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代理机构和项目评审小组对未成交的供应商不作未成交原因的解释。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所有响应文件都将作为档案保存，不论成交与否，代理机构均不退回。</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项目评审小组根据全体评审成员签字的原始评审记录和评审结果编写评审报告。</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17.评审过程的保密性</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代理机构将采取必要措施，保证评审在严格保密的情况下进行。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任何单位和个人不得非法干预、影响评审办法的确定，以及评审过程和结果。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凡是与审查、澄清、评价和比较响应的有关资料等，均不向供应商及与评审无关的其他人员透露。</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成交供应商应当自成交通知书发出之日起三十日内，按照采购文件确定的事项与采购人签订采购合同，所签订的合同不得对采购文件和成交供应商响应文件作实质性修改。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成交供应商和采购人不得向对方提出任何不合理的要求作为签订合同的条件，不得私下订立背离合同实质性内容的协议。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19.响应有效期</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从响应文件开启之日起60天内有效。</w:t>
      </w:r>
      <w:r>
        <w:rPr>
          <w:rFonts w:ascii="SimSun" w:hAnsi="SimSun" w:eastAsia="SimSun" w:cs="SimSun"/>
          <w:b/>
          <w:color w:val="000000"/>
          <w:sz w:val="21"/>
        </w:rPr>
        <w:t xml:space="preserve">响应文件有效期比规定短的将被视为非实质性响应磋商文件而被拒绝。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在特殊情况下，在原响应有效期内，采购人可征得供应商同意延长响应有效期。这种要求与答复均应为书面形式如电传、传真等。同意延长的供应商既不能被要求也不允许修改其响应文件。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20.代理服务费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本次采购的代理服务费由成交供应商承担；参照《江苏省政府采购代理服务收费指导意见》苏政采协（2024）20号文招标收费基准费率；开具增值税普通发票。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成交供应商向采购代理机构支付所有费用后到采购代理机构领取成交通知书。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w:t>
      </w:r>
      <w:r>
        <w:rPr>
          <w:rFonts w:ascii="SimSun" w:hAnsi="SimSun" w:eastAsia="SimSun" w:cs="SimSun"/>
          <w:color w:val="000000"/>
          <w:sz w:val="21"/>
        </w:rPr>
        <w:t xml:space="preserve">账号</w:t>
      </w:r>
      <w:r>
        <w:rPr>
          <w:rFonts w:ascii="SimSun" w:hAnsi="SimSun" w:eastAsia="SimSun" w:cs="SimSun"/>
          <w:color w:val="000000"/>
          <w:sz w:val="21"/>
        </w:rPr>
        <w:t xml:space="preserve">：10366000000495882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有关发票开具事项：请将开票信息发至财务邮箱：njzz@wisdomzz.cn（开票信息包括公司名称、统一社会信用代码、公司地址、联系电话、开户银行及账号、财务联系人等）。领取发票：电子发票。</w:t>
      </w:r>
      <w:r/>
    </w:p>
    <w:p>
      <w:pPr>
        <w:ind w:left="0" w:right="0" w:firstLine="42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评审办法和标准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综合评分法，将全部评审小组成员评分直接进行算术平均，小数点后保留2位。磋商小组应当根据综合评分情况，按照评审得分由高到低顺序推荐3名以上成交候选人，并编写评审报告。按评审后得分由高到低顺序排列，得分相同的，按报价由低到高顺序排列，得分且报价相同的，响应文件满足采购文件全部实质性要求，且按照评审因素的量化指标评审得分最高的供应商为成交供应商。</w:t>
      </w:r>
      <w:r>
        <w:rPr>
          <w:rFonts w:ascii="SimSun" w:hAnsi="SimSun" w:eastAsia="SimSun" w:cs="SimSun"/>
          <w:color w:val="000000"/>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3.1.对于货物和服务采购项目中，未预留份额项目以及预留份额项目中的非预留部分采购包项目对小微企业报价给予 10%的扣除，并用扣除后的价格参加评审。其中，接受大中型企业与小微企业组成联合体或者大中型企业向小微企业分包的，对联合协议或者分包意向协议约定小微企业合同份额占到合同总金额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小企业（含小型、微型企业）应当符合以下条件：</w:t>
      </w:r>
      <w:r>
        <w:rPr>
          <w:rFonts w:ascii="SimSun" w:hAnsi="SimSun" w:eastAsia="SimSun" w:cs="SimSun"/>
          <w:color w:val="000000"/>
          <w:sz w:val="21"/>
        </w:rPr>
        <w:t xml:space="preserve">服务由小微企业承接，即提供服务的人员为小微企业依照《中华人民共和国劳动合同法》订立劳动合同的从业人员。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 价格扣除比例或者价格分加分比例对小型企业和微型企业同等对待，不作区分。</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残疾人福利单位标准请参照《关于促进残疾人就业政府采购政策的通知》（财库〔2017〕141号）。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6.监狱企业、残疾人福利单位属于小型、微型企业的，不重复享受政策。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7.所有认证、证明和业绩均以有效的证明文件的复印件加盖公章为依据。供应商提供虚假材料的，自行承担相应后果。</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8.综合评标办法：</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6"/>
        <w:gridCol w:w="1143"/>
        <w:gridCol w:w="4991"/>
        <w:gridCol w:w="652"/>
        <w:gridCol w:w="766"/>
      </w:tblGrid>
      <w:tr>
        <w:trPr>
          <w:trHeight w:val="548"/>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序号</w:t>
            </w:r>
            <w:r>
              <w:rPr>
                <w:highlight w:val="white"/>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评分</w:t>
            </w:r>
            <w:r>
              <w:rPr>
                <w:highlight w:val="white"/>
              </w:rPr>
            </w: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因素</w:t>
            </w:r>
            <w:r>
              <w:rPr>
                <w:highlight w:val="white"/>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评审标准</w:t>
            </w:r>
            <w:r>
              <w:rPr>
                <w:highlight w:val="white"/>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分值</w:t>
            </w:r>
            <w:r>
              <w:rPr>
                <w:highlight w:val="white"/>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分值</w:t>
            </w:r>
            <w:r>
              <w:rPr>
                <w:highlight w:val="white"/>
              </w:rPr>
            </w: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类型</w:t>
            </w:r>
            <w:r>
              <w:rPr>
                <w:highlight w:val="white"/>
              </w:rPr>
            </w:r>
            <w:r/>
          </w:p>
        </w:tc>
      </w:tr>
      <w:tr>
        <w:trPr>
          <w:trHeight w:val="108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价格</w:t>
            </w:r>
            <w:r>
              <w:rPr>
                <w:highlight w:val="white"/>
              </w:rPr>
            </w: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用低价优先法计算，即满足磋商文件要求且最后报价最低的供应商的价格为磋商基准价，其价格分为满分。其他供应商的价格分统一按照下列公式计算:磋商报价得分=(磋商基准价/最后磋商报价)×10（小数点留两位）</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计算</w:t>
            </w:r>
            <w:r>
              <w:rPr>
                <w:highlight w:val="white"/>
              </w:rPr>
            </w:r>
            <w:r/>
          </w:p>
        </w:tc>
      </w:tr>
      <w:tr>
        <w:trPr>
          <w:trHeight w:val="297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vMerge w:val="restart"/>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highlight w:val="white"/>
              </w:rPr>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43" w:type="dxa"/>
            <w:vAlign w:val="center"/>
            <w:vMerge w:val="restart"/>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服务方案</w:t>
            </w:r>
            <w:r>
              <w:rPr>
                <w:highlight w:val="white"/>
              </w:rPr>
            </w: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（54分）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2.1实施方案：</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根据供应商针对本项目拟定的服务管理方案，以及组织架构、责任分工方面的科学性、合理性、完整性</w:t>
            </w:r>
            <w:r>
              <w:rPr>
                <w:rFonts w:ascii="SimSun" w:hAnsi="SimSun" w:eastAsia="SimSun" w:cs="SimSun"/>
                <w:color w:val="000000"/>
                <w:sz w:val="21"/>
                <w:highlight w:val="white"/>
              </w:rPr>
              <w:t xml:space="preserve">进行综合评分</w:t>
            </w:r>
            <w:r>
              <w:rPr>
                <w:rFonts w:ascii="SimSun" w:hAnsi="SimSun" w:eastAsia="SimSun" w:cs="SimSun"/>
                <w:color w:val="000000"/>
                <w:sz w:val="21"/>
                <w:highlight w:val="white"/>
              </w:rPr>
              <w:t xml:space="preserve">；</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（1）方案详细、完整、科学，能体现项目实际情况、针对性强得12分；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（2）方案较为完整，科学性及详细性较好，项目实际情况、针对性基本满足项目需求得9分；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（3）方案完整性、科学性、合理性一般、存在遗失疏漏的得6分；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（4）方案简单、科学性、合理性较差、遗失疏漏较多得3分；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（5）未提供不得分。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12</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主观分</w:t>
            </w:r>
            <w:r>
              <w:rPr>
                <w:highlight w:val="white"/>
              </w:rPr>
            </w:r>
            <w:r/>
          </w:p>
        </w:tc>
      </w:tr>
      <w:tr>
        <w:trPr>
          <w:trHeight w:val="2367"/>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2.2人员培训方案：</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根据供应商提供的针对本项目的人员培训方案（包括但不限于培训内容、方式、人员、频次等内容）</w:t>
            </w:r>
            <w:r>
              <w:rPr>
                <w:rFonts w:ascii="SimSun" w:hAnsi="SimSun" w:eastAsia="SimSun" w:cs="SimSun"/>
                <w:color w:val="000000"/>
                <w:sz w:val="21"/>
                <w:highlight w:val="white"/>
              </w:rPr>
              <w:t xml:space="preserve">进行综合评分</w:t>
            </w:r>
            <w:r>
              <w:rPr>
                <w:rFonts w:ascii="SimSun" w:hAnsi="SimSun" w:eastAsia="SimSun" w:cs="SimSun"/>
                <w:color w:val="000000"/>
                <w:sz w:val="21"/>
                <w:highlight w:val="white"/>
              </w:rPr>
              <w:t xml:space="preserve">：</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（1）方案科学合理、切实可行且针对性强得10分；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（2）方案较合理、具有可行性及针对性得7分；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（3）方案针对性、合理性较差，实施困难或无详细说明得4分。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（4）未提供不得分。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主观分</w:t>
            </w:r>
            <w:r>
              <w:rPr>
                <w:highlight w:val="white"/>
              </w:rPr>
            </w:r>
            <w:r/>
          </w:p>
        </w:tc>
      </w:tr>
      <w:tr>
        <w:trPr>
          <w:trHeight w:val="686"/>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2.3工作监督制度及岗位职责方案：</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根据供应商提供的内部管理架构、管理制度、监督机制等方案内容</w:t>
            </w:r>
            <w:r>
              <w:rPr>
                <w:rFonts w:ascii="SimSun" w:hAnsi="SimSun" w:eastAsia="SimSun" w:cs="SimSun"/>
                <w:color w:val="000000"/>
                <w:sz w:val="21"/>
                <w:highlight w:val="white"/>
              </w:rPr>
              <w:t xml:space="preserve">进行综合评分</w:t>
            </w:r>
            <w:r>
              <w:rPr>
                <w:rFonts w:ascii="SimSun" w:hAnsi="SimSun" w:eastAsia="SimSun" w:cs="SimSun"/>
                <w:color w:val="000000"/>
                <w:sz w:val="21"/>
                <w:highlight w:val="white"/>
              </w:rPr>
              <w:t xml:space="preserve">：</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（1）方案科学合理、切实可行且针对性强得10分；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（2）方案较合理、具有可行性及针对性得7分；</w:t>
            </w:r>
            <w:r>
              <w:rPr>
                <w:highlight w:val="white"/>
              </w:rPr>
            </w:r>
            <w:r/>
          </w:p>
          <w:p>
            <w:pPr>
              <w:ind w:left="0" w:right="0" w:firstLine="0"/>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（3）方案针对性、合理性较差，实施困难或无详细说明得4分。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t xml:space="preserve">（4）未提供不得分。</w:t>
            </w:r>
            <w:r>
              <w:rPr>
                <w:rFonts w:ascii="SimSun" w:hAnsi="SimSun" w:eastAsia="SimSun" w:cs="SimSun"/>
                <w:color w:val="000000"/>
                <w:sz w:val="21"/>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vMerge w:val="restart"/>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主观分</w:t>
            </w:r>
            <w:r>
              <w:rPr>
                <w:highlight w:val="white"/>
              </w:rPr>
            </w:r>
            <w:r/>
          </w:p>
        </w:tc>
      </w:tr>
      <w:tr>
        <w:trPr>
          <w:trHeight w:val="270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2.4管理服务质量方案：</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根据供应商针对本项目提供的服务质量方案（包括但不限于各项管理服务指标、达标保障措施、提供具体的员工满意度保证条款、安全服务条款以及处罚措施来确保项目的执行效率等）</w:t>
            </w:r>
            <w:r>
              <w:rPr>
                <w:rFonts w:ascii="SimSun" w:hAnsi="SimSun" w:eastAsia="SimSun" w:cs="SimSun"/>
                <w:color w:val="000000"/>
                <w:sz w:val="21"/>
                <w:highlight w:val="white"/>
              </w:rPr>
              <w:t xml:space="preserve">进行综合评分</w:t>
            </w:r>
            <w:r>
              <w:rPr>
                <w:rFonts w:ascii="SimSun" w:hAnsi="SimSun" w:eastAsia="SimSun" w:cs="SimSun"/>
                <w:color w:val="000000"/>
                <w:sz w:val="21"/>
                <w:highlight w:val="white"/>
              </w:rPr>
              <w:t xml:space="preserve">；</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（1）方案完善、措施可行，详尽、合理、到位、明确，完全满足项目需求得10分；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（2）方案较完善、措施较可行合理得7分；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（3）方案基本满足项目需求得4分；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（4）未提供不得分。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w:t>
            </w:r>
            <w:r>
              <w:rPr>
                <w:highlight w:val="white"/>
              </w:rPr>
            </w:r>
            <w:r/>
          </w:p>
        </w:tc>
        <w:tc>
          <w:tcPr>
            <w:tcBorders>
              <w:bottom w:val="single" w:color="000000" w:sz="4" w:space="0"/>
              <w:right w:val="single" w:color="000000" w:sz="4" w:space="0"/>
            </w:tcBorders>
            <w:vMerge w:val="continue"/>
            <w:textDirection w:val="lrTb"/>
            <w:noWrap w:val="false"/>
          </w:tcPr>
          <w:p>
            <w:r/>
            <w:r/>
          </w:p>
        </w:tc>
      </w:tr>
      <w:tr>
        <w:trPr>
          <w:trHeight w:val="969"/>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2.5应急预案：</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根据供应商提供的应急突发事件（至少包含治安、消防公共安全、极端天气、反恐等因素）保障方案</w:t>
            </w:r>
            <w:r>
              <w:rPr>
                <w:rFonts w:ascii="SimSun" w:hAnsi="SimSun" w:eastAsia="SimSun" w:cs="SimSun"/>
                <w:color w:val="000000"/>
                <w:sz w:val="21"/>
                <w:highlight w:val="white"/>
              </w:rPr>
              <w:t xml:space="preserve">进行综合评分</w:t>
            </w:r>
            <w:r>
              <w:rPr>
                <w:rFonts w:ascii="SimSun" w:hAnsi="SimSun" w:eastAsia="SimSun" w:cs="SimSun"/>
                <w:color w:val="000000"/>
                <w:sz w:val="21"/>
                <w:highlight w:val="white"/>
              </w:rPr>
              <w:t xml:space="preserve">：</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（1）方案针对性强、合理、可行，最能符合项目实际需求得12分；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（2）方案针对性较强、较合理、可行，基本符合项目实际需求得9分；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（3）方案合理、可行性一般、与项目实际需求符合度一般得6分；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（4）方案简单、针对性较弱、可操作性差，难以满足项目需求得3分；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（5）未提供不得分。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12</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主观分</w:t>
            </w:r>
            <w:r>
              <w:rPr>
                <w:highlight w:val="white"/>
              </w:rPr>
            </w:r>
            <w:r/>
          </w:p>
        </w:tc>
      </w:tr>
      <w:tr>
        <w:trPr>
          <w:trHeight w:val="108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企业业绩</w:t>
            </w:r>
            <w:r>
              <w:rPr>
                <w:highlight w:val="white"/>
              </w:rPr>
            </w: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自2023年1月1日（以合同签订时间为准）以来供应商承担过安全保卫或安全巡查或消防巡查等类似项目业绩，每提供一个得3分，满分9分。（提供完整合同的扫描件加盖公章，提供的合同需反映相关数据，否则视为未提供。）</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客观分</w:t>
            </w:r>
            <w:r>
              <w:rPr>
                <w:highlight w:val="white"/>
              </w:rPr>
            </w:r>
            <w:r/>
          </w:p>
        </w:tc>
      </w:tr>
      <w:tr>
        <w:trPr>
          <w:trHeight w:val="144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项目组成员</w:t>
            </w:r>
            <w:r>
              <w:rPr>
                <w:highlight w:val="white"/>
              </w:rPr>
            </w: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（15分）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拟派项目成员（含项目负责人）中具有建（构）筑物消防员证书或消防设施操作员证书的，有一个得3分，最多得15分。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（注：以上人员提供相关证书扫描件加盖公章，不提供不得分。）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15</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客观分</w:t>
            </w:r>
            <w:r>
              <w:rPr>
                <w:highlight w:val="white"/>
              </w:rPr>
            </w:r>
            <w:r/>
          </w:p>
        </w:tc>
      </w:tr>
      <w:tr>
        <w:trPr>
          <w:trHeight w:val="109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项目负责人（3分）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项目负责人具有高级保安师证书的，得3分。</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（注：提供相关证书扫描件加盖公章，不提供不得分。）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客观分</w:t>
            </w:r>
            <w:r>
              <w:rPr>
                <w:highlight w:val="white"/>
              </w:rPr>
            </w:r>
            <w:r/>
          </w:p>
        </w:tc>
      </w:tr>
      <w:tr>
        <w:trPr>
          <w:trHeight w:val="243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服务承诺（9分）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6.1供应商承诺成交后在服务过程中一切因供应商的工作疏忽导致的安全责任问题由供应商自行承担相应责任； </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6.2供应商承诺成交后供应商负责处理所有服务人员劳务、劳动纠纷、工伤等，与采购人无关； </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6.3供应商承诺成交后在服务期间必须自觉遵守国家相关法律法规和业主的各项规章制度，确保服务期内的各项服务内容全面到位。 </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（注：以上供应商提供承诺书加盖公章，格式自拟。满分9分，每缺一项扣3分。）</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客观分</w:t>
            </w:r>
            <w:r>
              <w:rPr>
                <w:highlight w:val="white"/>
              </w:rPr>
            </w:r>
            <w:r/>
          </w:p>
        </w:tc>
      </w:tr>
      <w:tr>
        <w:trPr>
          <w:trHeight w:val="366"/>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合计</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100</w:t>
            </w:r>
            <w:r>
              <w:rPr>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r/>
          </w:p>
        </w:tc>
      </w:tr>
    </w:tbl>
    <w:p>
      <w:pPr>
        <w:shd w:val="nil" w:color="auto"/>
      </w:pPr>
      <w:r>
        <w:rPr>
          <w:rFonts w:ascii="SimSun" w:hAnsi="SimSun" w:eastAsia="SimSun" w:cs="SimSun"/>
          <w:b/>
          <w:color w:val="000000"/>
          <w:sz w:val="36"/>
          <w:highlight w:val="none"/>
        </w:rPr>
        <w:br w:type="page" w:clear="all"/>
      </w:r>
      <w:r>
        <w:rPr>
          <w:rFonts w:ascii="SimSun" w:hAnsi="SimSun" w:eastAsia="SimSun" w:cs="SimSun"/>
          <w:b/>
          <w:color w:val="000000"/>
          <w:sz w:val="36"/>
          <w:highlight w:val="none"/>
        </w:rPr>
      </w:r>
      <w:r/>
    </w:p>
    <w:p>
      <w:pPr>
        <w:ind w:left="0" w:right="0" w:firstLine="723"/>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为持续做好辖区消防安全工作，全面提升住宅小区火灾前期处置与防范能力，街道采用购买服务方式，需供应商提供33人负责辖区消防日常巡查群众宣传等。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（1）本项目标的的所属行业：租赁和商务服务业；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（2）符合国家标准、行业标准、地方标准或者其他标准、规范。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（3）严格遵守《中华人民共和国消防法》《江苏省消防条例》《南京市消防管理若干规定》等相关法律法规要求。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1.项目服务周期及人员要求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早班8:00-20:00，晚班20:00-次日8:00，所有人员执行12小时工作制、上二休一，具体排班由采购人结合现场实际需求统筹安排，确保24小时不间断巡查响应），服务周期为一年，需派驻巡查人员及管理人员不少于33个，根据9个站点实际需求，进行人员调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（2）消防安全巡查人员年龄不超过50周岁（不含项目负责人），高中及以上学历。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（3）消防安全巡查人员基本固定，服务期间人员变动不超过1人；人员更换需提前7个工作日书面报备采购人，经采购人同意后方可调整，新上岗人员须完成全部岗前培训并考核合格。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（4）要求参与消防安全巡查人员服从统一安排，服务机构需派驻管理人员（代理班长），代理班长全面负责现场巡查调度、人员管理，接受项目负责人统一管理。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（5）消防安全巡查人员需参加岗前培训，培训合格后需熟练操作数据平台软件。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（6）消防安全巡查人员工作期间的餐食及住宿由成交供应商承担，自行提供。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（7）在服务期间采取考核制，如考核不通过者需要更换人员，消防安全巡查人员需服从管理，无故脱岗、擅自离岗累计两次及以上，或经教育仍不改正的，采购人有权要求更换相关人员。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2.消防安全巡查服务要求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（1）统一着装，巡查人员标识清晰规范，按规定上岗交接班，忠于职守，在岗时不得与其他无关人员聊天、不得擅自离岗。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（2）负责巡视小区，利用安全小程序等进行消防安全巡查，实行9个站点定点巡查与动态调控相结合，具体量化要求如下：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每日巡查频次：每个小区站点每日巡查不少于4次，其中夜间巡查不少于1次。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重点巡查部位：必须覆盖楼道堆物、消防通道、安全出口、电动车停放与充电区域、消防栓（抽查）、灭火器（抽查）、应急照明、疏散指示标志、天台等关键部位。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巡查记录上传要求：每次巡查须后文字记录、现场照片、点位定位，确保全程留痕、可追溯；当日巡查记录须在当日24:00前完成归档，不得补录、漏录、缺图。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隐患闭环处置时限：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一般隐患（杂物堆放、标识不清等）：当场整改，并上传整改前后对比照。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较大隐患（通道堵塞、设施失效等）：1小时内上报采购人及物业，24小时内跟踪复核。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重大隐患（严重违规充电、锁闭安全出口等）：立即上报并现场管控，12小时内复核闭环。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如遇突发火灾等，3分钟内上报并赶赴现场开展前期处置，确保安全。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（3）因巡查人员故意或重大过失造成损失的，由供应商承担相应赔偿责任；情节严重的，依法追究相关方责任。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三、服务期限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本项目服务期限为自合同签订之日起一年。（具体时间以合同签订为准）。</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四、报价要求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应包括服务人员的工资预算，员工工资不得低于南京市最低工资标准，所有工作人员必须全额缴纳包括养老、工伤、失业、生育、医疗等在内的社会保险。并按照规定给予服务人员发放节假日加班费及工作超时加班费、高温津贴、带薪年假、法定加班费等法律法规规定的薪酬福利。服务所需工具、耗材、车辆使用、办公费、固定资产折旧费、法定税费及保险费和合理利润外，还应包括管理、劳务、服装、培训、保修、通讯、风险及政策性文件规定等各项应有费用，以及为完成采购文件规定的服务工作所涉及到的一切相关费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1.服务费按月实际支付。具体为签订合同并实际服务每满一个月，采购人考核合格后，成交供应商开具符合财务规定的全款正式发票，采购人向成交供应商支付当月服务费。（如有扣款，则扣除相应款项后支付）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2.根据每月的考核成绩按比例支付服务费用，考核支付标准如下：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（1）月度考核得分≥90为优秀等次，全额支付当月服务费；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（2）月度考核得分80（含）-90（不含）为良好等次，支付当月服务费总额的98%；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（3）月度考核得分为70（含）-80（不含）分为合格等次，支付当月服务费总额的95%；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（4）月度考核得分小于70分为不合格等次，支付当月服务费总额的90%；累计达三次不合格，采购人有权无条件终止服务合同。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3.所有款项均以人民币支付，次月月初成交供应商开具的正规发票（增值税普票）后采购人于十五天内支付。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附件：消防安全巡查员现场管理月度考核表</w:t>
      </w:r>
      <w:r/>
    </w:p>
    <w:p>
      <w:pPr>
        <w:ind w:left="0" w:right="0" w:firstLine="48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消防安全巡查员现场管理月度考核表</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0"/>
        <w:gridCol w:w="1784"/>
        <w:gridCol w:w="2698"/>
        <w:gridCol w:w="1048"/>
        <w:gridCol w:w="1018"/>
        <w:gridCol w:w="1459"/>
      </w:tblGrid>
      <w:tr>
        <w:trPr>
          <w:trHeight w:val="4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消防安全巡查员</w:t>
            </w:r>
            <w:r/>
          </w:p>
        </w:tc>
      </w:tr>
      <w:tr>
        <w:trPr>
          <w:trHeight w:val="4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考核期现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日至     年  月  日</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考核项目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工作内容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是否听从部门主管人员的工作安排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对作业人员入场后要进行三级教育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新工人进场后是否做到先教育，后上岗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5"/>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定期开展现场安全隐患排查，建立排查台帐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0"/>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是否主动配合部门主管人员定期组织安全巡查工作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71"/>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对现场发生隐患是否做到跟踪监督，发现问题是否落实人员整改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8"/>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发现安全隐患和安全问题，是否及时向上报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7"/>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服务巡查日志记录连续、简要、不遗漏，日志字迹清晰无涂改，严禁提前记载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对违章施工的作业人员是否及时进行制止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73"/>
        </w:trPr>
        <w:tc>
          <w:tcPr>
            <w:tcBorders>
              <w:left w:val="single" w:color="000000" w:sz="4" w:space="0"/>
              <w:bottom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是否完成领导交办的其它工作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职业素质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具有责任心，工作主动，遇事不推诿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工作勤奋，任劳任怨，竭力完成任务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bottom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具有相应的专业技能，能够完成自身职责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服务意识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对工作主动积极进取，服从工作调动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对本职工作尽职、尽责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bottom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对同志态度真诚热情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团结精神</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积极配合其他部门和其他同事的工作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bottom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顾全大局，以单位利益为重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组织纪律</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遵守单位及项目部的各项规章制度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遵守作息时间，遵守单位日常办公制度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6"/>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上班时间不上网聊天，不玩游戏，不看电视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遵守相关法律法规，未经允许不得向外泄露单位机密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76"/>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pStyle w:val="676"/>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合同草案条款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注：本合同仅为合同的参考文本，若与项目需求书内容有冲突，以项目需求书为准，合同签订双方可根据项目的具体要求进行修订。</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44"/>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964"/>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南京市政府采购合同</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color w:val="000000"/>
          <w:sz w:val="32"/>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合同编号 ：</w:t>
      </w:r>
      <w:r>
        <w:rPr>
          <w:rFonts w:ascii="SimSun" w:hAnsi="SimSun" w:eastAsia="SimSun" w:cs="SimSun"/>
          <w:b/>
          <w:color w:val="000000"/>
          <w:sz w:val="30"/>
          <w:u w:val="single"/>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 ：</w:t>
      </w:r>
      <w:r>
        <w:rPr>
          <w:rFonts w:ascii="SimSun" w:hAnsi="SimSun" w:eastAsia="SimSun" w:cs="SimSun"/>
          <w:b/>
          <w:color w:val="000000"/>
          <w:sz w:val="30"/>
          <w:u w:val="single"/>
        </w:rPr>
        <w:t xml:space="preserve">西善桥街道“消防快速处置队”消防安全巡查服务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采购单位 ：</w:t>
      </w:r>
      <w:r>
        <w:rPr>
          <w:rFonts w:ascii="SimSun" w:hAnsi="SimSun" w:eastAsia="SimSun" w:cs="SimSun"/>
          <w:b/>
          <w:color w:val="000000"/>
          <w:sz w:val="30"/>
          <w:u w:val="single"/>
        </w:rPr>
        <w:t xml:space="preserve">南京市雨花台区人民政府西善桥街道办事处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服务单位 ：</w:t>
      </w:r>
      <w:r>
        <w:rPr>
          <w:rFonts w:ascii="SimSun" w:hAnsi="SimSun" w:eastAsia="SimSun" w:cs="SimSun"/>
          <w:b/>
          <w:color w:val="000000"/>
          <w:sz w:val="30"/>
          <w:u w:val="single"/>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签订日期 ：</w:t>
      </w:r>
      <w:r>
        <w:rPr>
          <w:rFonts w:ascii="SimSun" w:hAnsi="SimSun" w:eastAsia="SimSun" w:cs="SimSun"/>
          <w:b/>
          <w:color w:val="000000"/>
          <w:sz w:val="30"/>
          <w:u w:val="single"/>
        </w:rPr>
        <w:t xml:space="preserve">                    </w:t>
      </w:r>
      <w:r/>
    </w:p>
    <w:p>
      <w:pPr>
        <w:ind w:left="0" w:right="0" w:firstLine="593"/>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93"/>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采购人：(以下称甲方)南京市雨花台区人民政府西善桥街道办事处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根据《中华人民共和国政府采购法》、《中华人民共和国民法典》等法律法规的规定，通过竞争性磋商，乙方成交甲方的</w:t>
      </w:r>
      <w:r>
        <w:rPr>
          <w:rFonts w:ascii="SimSun" w:hAnsi="SimSun" w:eastAsia="SimSun" w:cs="SimSun"/>
          <w:b/>
          <w:color w:val="000000"/>
          <w:sz w:val="21"/>
          <w:u w:val="single"/>
        </w:rPr>
        <w:t xml:space="preserve">西善桥街道“消防快速处置队”消防安全巡查服务</w:t>
      </w:r>
      <w:r>
        <w:rPr>
          <w:rFonts w:ascii="SimSun" w:hAnsi="SimSun" w:eastAsia="SimSun" w:cs="SimSun"/>
          <w:color w:val="000000"/>
          <w:sz w:val="21"/>
        </w:rPr>
        <w:t xml:space="preserve">。为明确双方权利义务关系，保证本项目顺利实施，经甲、乙双方充分协商，签订本合同。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一、甲方将管辖区内的</w:t>
      </w:r>
      <w:r>
        <w:rPr>
          <w:rFonts w:ascii="SimSun" w:hAnsi="SimSun" w:eastAsia="SimSun" w:cs="SimSun"/>
          <w:b/>
          <w:color w:val="000000"/>
          <w:sz w:val="21"/>
          <w:u w:val="single"/>
        </w:rPr>
        <w:t xml:space="preserve">消防安全巡查</w:t>
      </w:r>
      <w:r>
        <w:rPr>
          <w:rFonts w:ascii="SimSun" w:hAnsi="SimSun" w:eastAsia="SimSun" w:cs="SimSun"/>
          <w:color w:val="000000"/>
          <w:sz w:val="21"/>
        </w:rPr>
        <w:t xml:space="preserve">项目发包给乙方服务。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SimSun" w:hAnsi="SimSun" w:eastAsia="SimSun" w:cs="SimSun"/>
          <w:b/>
          <w:color w:val="000000"/>
          <w:sz w:val="21"/>
        </w:rPr>
        <w:t xml:space="preserve">服务期（一年）自</w:t>
      </w:r>
      <w:r>
        <w:rPr>
          <w:rFonts w:ascii="SimSun" w:hAnsi="SimSun" w:eastAsia="SimSun" w:cs="SimSun"/>
          <w:b/>
          <w:color w:val="000000"/>
          <w:sz w:val="21"/>
          <w:u w:val="single"/>
        </w:rPr>
        <w:t xml:space="preserve">   </w:t>
      </w:r>
      <w:r>
        <w:rPr>
          <w:rFonts w:ascii="SimSun" w:hAnsi="SimSun" w:eastAsia="SimSun" w:cs="SimSun"/>
          <w:b/>
          <w:color w:val="000000"/>
          <w:sz w:val="21"/>
        </w:rPr>
        <w:t xml:space="preserve">年</w:t>
      </w:r>
      <w:r>
        <w:rPr>
          <w:rFonts w:ascii="SimSun" w:hAnsi="SimSun" w:eastAsia="SimSun" w:cs="SimSun"/>
          <w:b/>
          <w:color w:val="000000"/>
          <w:sz w:val="21"/>
          <w:u w:val="single"/>
        </w:rPr>
        <w:t xml:space="preserve">  </w:t>
      </w:r>
      <w:r>
        <w:rPr>
          <w:rFonts w:ascii="SimSun" w:hAnsi="SimSun" w:eastAsia="SimSun" w:cs="SimSun"/>
          <w:b/>
          <w:color w:val="000000"/>
          <w:sz w:val="21"/>
        </w:rPr>
        <w:t xml:space="preserve">月</w:t>
      </w:r>
      <w:r>
        <w:rPr>
          <w:rFonts w:ascii="SimSun" w:hAnsi="SimSun" w:eastAsia="SimSun" w:cs="SimSun"/>
          <w:b/>
          <w:color w:val="000000"/>
          <w:sz w:val="21"/>
          <w:u w:val="single"/>
        </w:rPr>
        <w:t xml:space="preserve">  </w:t>
      </w:r>
      <w:r>
        <w:rPr>
          <w:rFonts w:ascii="SimSun" w:hAnsi="SimSun" w:eastAsia="SimSun" w:cs="SimSun"/>
          <w:b/>
          <w:color w:val="000000"/>
          <w:sz w:val="21"/>
        </w:rPr>
        <w:t xml:space="preserve">日到 </w:t>
      </w:r>
      <w:r>
        <w:rPr>
          <w:rFonts w:ascii="SimSun" w:hAnsi="SimSun" w:eastAsia="SimSun" w:cs="SimSun"/>
          <w:b/>
          <w:color w:val="000000"/>
          <w:sz w:val="21"/>
          <w:u w:val="single"/>
        </w:rPr>
        <w:t xml:space="preserve">  </w:t>
      </w:r>
      <w:r>
        <w:rPr>
          <w:rFonts w:ascii="SimSun" w:hAnsi="SimSun" w:eastAsia="SimSun" w:cs="SimSun"/>
          <w:b/>
          <w:color w:val="000000"/>
          <w:sz w:val="21"/>
        </w:rPr>
        <w:t xml:space="preserve">年</w:t>
      </w:r>
      <w:r>
        <w:rPr>
          <w:rFonts w:ascii="SimSun" w:hAnsi="SimSun" w:eastAsia="SimSun" w:cs="SimSun"/>
          <w:b/>
          <w:color w:val="000000"/>
          <w:sz w:val="21"/>
          <w:u w:val="single"/>
        </w:rPr>
        <w:t xml:space="preserve">  </w:t>
      </w:r>
      <w:r>
        <w:rPr>
          <w:rFonts w:ascii="SimSun" w:hAnsi="SimSun" w:eastAsia="SimSun" w:cs="SimSun"/>
          <w:b/>
          <w:color w:val="000000"/>
          <w:sz w:val="21"/>
        </w:rPr>
        <w:t xml:space="preserve">月</w:t>
      </w:r>
      <w:r>
        <w:rPr>
          <w:rFonts w:ascii="SimSun" w:hAnsi="SimSun" w:eastAsia="SimSun" w:cs="SimSun"/>
          <w:b/>
          <w:color w:val="000000"/>
          <w:sz w:val="21"/>
          <w:u w:val="single"/>
        </w:rPr>
        <w:t xml:space="preserve">  </w:t>
      </w:r>
      <w:r>
        <w:rPr>
          <w:rFonts w:ascii="SimSun" w:hAnsi="SimSun" w:eastAsia="SimSun" w:cs="SimSun"/>
          <w:b/>
          <w:color w:val="000000"/>
          <w:sz w:val="21"/>
        </w:rPr>
        <w:t xml:space="preserve">日止。</w:t>
      </w:r>
      <w:r>
        <w:rPr>
          <w:rFonts w:ascii="SimSun" w:hAnsi="SimSun" w:eastAsia="SimSun" w:cs="SimSun"/>
          <w:color w:val="000000"/>
          <w:sz w:val="21"/>
        </w:rPr>
        <w:t xml:space="preserve">在合同期内，如未经双方同意擅自变更或终止，应负违约责任。到期延长或终止，应在合同期满前一个月通知对方，经双方协商延长、续订或终止。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三、根据甲方的委托，乙方承接</w:t>
      </w:r>
      <w:r>
        <w:rPr>
          <w:rFonts w:ascii="SimSun" w:hAnsi="SimSun" w:eastAsia="SimSun" w:cs="SimSun"/>
          <w:color w:val="000000"/>
          <w:sz w:val="21"/>
          <w:u w:val="single"/>
        </w:rPr>
        <w:t xml:space="preserve">西善桥街道“消防快速处置队”消防安全巡查服务</w:t>
      </w:r>
      <w:r>
        <w:rPr>
          <w:rFonts w:ascii="SimSun" w:hAnsi="SimSun" w:eastAsia="SimSun" w:cs="SimSun"/>
          <w:color w:val="000000"/>
          <w:sz w:val="21"/>
        </w:rPr>
        <w:t xml:space="preserve">项目，乙方按照甲方要求负责消防安全巡查服务等。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四、经费结算：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1.本合同价款为：本合同价款为：大写：（元），付款方式为：月度支付，先服务后付款。（如有扣款，则扣除相应款项后支付）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本合同所有款项均以人民币支付，次月月初乙方开具的正规发票（增值税普票）后甲方于十五天内支付。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2.根据每月的考核成绩按比例支付服务费用，考核支付标准如下：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（1）月度考核得分≥90为优秀等次，全额支付当月服务费；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（2）月度考核得分80（含）-90（不含）为良好等次，支付当月服务费总额的98%；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（3）月度考核得分为70（含）-80（不含）分为合格等次，支付当月服务费总额的95%；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（4）月度考核得分小于70分为不合格等次，支付当月服务费总额的90%；累计达三次不合格，甲方有权无条件终止服务合同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五、巡查员的工资、社保、福利待遇、服装配备由乙方负责发放。队员在执勤中工作成绩突出，为服务单位挽回经济损失的，甲、乙双方均可给予当事人适当奖励。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六、甲方权利义务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1.代表和维护产权人、使用人的合法权益；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2.审定乙方拟定的管理制度；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3.检查监督乙方服务工作的实施及制度的执行情况；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4.审定乙方提出的服务年度计划、阶段工作安排；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5.按合同约定的时间和方式向乙方支付消防安全巡查服务费；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6.甲方负责提供消防安全巡查人员工作时必要的基本环境设施，如：值班室、桌、椅等。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7.对乙方投标承诺按程序进行督促、考核，涉及扣款部分的资料、手续做好备案，以供各方查阅；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对不能胜任消防安全巡查工作的乙方现场负责人有权提出更换，对此乙方必须在7天内更换到岗，乙方拒绝或延期更换的，按2000元/人次支付违约金；对乙方不经甲方同意调换现场负责人的，按2000元/人次支付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七、乙方权利义务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1.根据有关法律法规及本合同的约定，制定管理制度；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2.乙方负责编制服务计划，按管理要求编制人员排班表报甲方备案；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3.乙方不得外包或转移服务项目，否则甲方有权解除合同（合同期内，服务过程非乙方实质运作，亦视作服务整体转移）；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4.乙方负责组建管理机构，严格按合同人员配置约定将管理人员和消防巡查人员配备到位，准时上岗，足数到位，保证实际到岗率。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须在合同期限内固定派驻消防安全巡查员及管理人员。巡查人员在合同期内必须保证到岗率,不得虚报人数及擅自从事其他工作（包括外调、借用等）。甲方将不定期检查服务人员的在岗率，检查结果作为考评付款依据；重大活动期间所有服务人员必须服从甲方统一调度。乙方向甲方派出的人员应当附相关的劳动合同及其有关资料。甲方有权要求乙方更换不能胜任的消防安全巡查人员，乙方应在7日内更换；拒绝或延期更换的，按1000元/人次支付违约金；未经甲方同意乙方擅自更换消防安全巡查人员的，按1000元/人次支付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6.乙方选派的消防安全巡查服务人员必须经过正规的安全培训，持证上岗，乙方人员在服务过程中发生安全事故，由乙方自行承担责任。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7.乙方需自觉保障甲方的场所设施及物品的正常使用，不得占用、关闭、损坏房屋、设备资源，并遵守甲方符合法律法规的各项规章制度。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负责管理人员和消防安全巡查服务人员的工资福利。如因劳资纠纷引起的人员短缺应该及时增补，不得影响甲方工作质量。乙方需为消防安全巡查人员购买意外保险，第三方保险，并在签订合同时向甲方提供保险缴纳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9.乙方在签订本合同时已知悉甲方工作性质，乙方要全面配合甲方人员安排, 其消防安全巡查服务人员加班、节假日、病休、增员费用等，全部由乙方自行负责。日常乙方必须保证每天在岗人数符合甲方要求。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负责对拟派驻现场人员进行审查，无违法犯罪前科，并向甲方提供人事档案，经甲方同意后方可进行岗前培训，培训合格后佩戴胸牌上岗。严格履行岗位职责要求，自觉维护甲方的场所及物品，并遵守法律法规和各项规章制度。乙方消防安全巡查人员在工作过程中发生安全事故等，由乙方自行承担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11.发生在执勤区域内的刑事案件、治安案件和治安灾害事故，及时处理并报告甲方和当地公安机关，采取措施保护发案现场，协助公安机关侦查各类治安刑事案件，依法妥善处理责任范围内的其他突发事件；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12.落实防火、防盗、防恐、防破坏等安全防范措施，发现责任区域内的安全隐患，及时报告甲方并协助予以处理；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13.乙方要为岗位人员配备对讲机、制服及必要的装备，负责管理人员和消防安全巡查服务人员的工资福利、社会统筹等；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14.不得利用管理区域从事违法犯罪、危害公共利益和危害他人正当权益的活动；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15.负责应急安全事件处置、公共安全秩序维持等总体安全服务。接到突发事件信息，必须第一时间汇报给甲方并且第一时间赶赴现场，控制事态；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16.特殊雨、雪天气、异常气温情况下，服从甲方抗灾调度需要，避免灾害损失，维护甲方利益、形象；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乙方工作人员在工作期间或在甲方管理范围内，故意或过失造成他人人身、财产损失的由乙方承担责任，如果造成重大影响、性质恶劣的事件，客观上给甲方造成不良影响，甲方有权要求乙方按合同总价的2%支付违约金，造成其他损失的应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乙方不得私自占用甲方房屋（含管理用房）及公共设施，如需使用甲方房屋（含管理用房）的，需经甲方书面同意方可使用，所产生水电等费用由乙方自行承担。甲方根据双方确认的实际使用费用，于每月支付的服务费中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19.乙方负责对甲方的设施、设备的完好情况、文明景观情况进行定期巡检，发现损坏公用设施、设备的行为及时制止或向甲方报告。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20.本合同终止时，乙方必须向甲方移交全部管理用房、所有权为甲方的设备设施，以及消防安全巡查服务管理的全部档案资料。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当乙方违反上述约定时甲方有权要求其整改，若乙方拒绝整改或整改后仍达不到甲方要求的属乙方违约，甲方有权解除合同。</w:t>
      </w:r>
      <w:r/>
    </w:p>
    <w:p>
      <w:p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八</w:t>
      </w:r>
      <w:r>
        <w:rPr>
          <w:rFonts w:ascii="SimSun" w:hAnsi="SimSun" w:eastAsia="SimSun" w:cs="SimSun"/>
          <w:color w:val="000000"/>
          <w:sz w:val="21"/>
        </w:rPr>
        <w:t xml:space="preserve">、</w:t>
      </w:r>
      <w:r>
        <w:rPr>
          <w:rFonts w:ascii="SimSun" w:hAnsi="SimSun" w:eastAsia="SimSun" w:cs="SimSun"/>
          <w:color w:val="000000"/>
          <w:sz w:val="21"/>
        </w:rPr>
        <w:t xml:space="preserve">消防安全巡查人员及服务要求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1.项目服务周期及人员要求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早班8:00-20:00，晚班20:00-次日8:00，所有人员执行12小时工作制、上二休一，具体排班由采购人结合现场实际需求统筹安排，确保24小时不间断巡查响应），服务周期为一年，需派驻巡查人员及管理人员不少于33个，根据9个站点实际需求，进行人员调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（2）消防安全巡查人员年龄不超过50周岁（不含项目负责人），高中及以上学历。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（3）消防安全巡查人员基本固定，服务期间人员变动不超过1人；人员更换需提前7个工作日书面报备采购人，经采购人同意后方可调整，新上岗人员须完成全部岗前培训并考核合格。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（4）要求参与消防安全巡查人员服从统一安排，服务机构需派驻管理人员（代理班长），代理班长全面负责现场巡查调度、人员管理，接受项目负责人统一管理。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（5）消防安全巡查人员需参加岗前培训，培训合格后需熟练操作数据平台软件。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（6）消防安全巡查人员工作期间的餐食及住宿由成交供应商承担，自行提供。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（7）在服务期间采取考核制，如考核不通过者需要更换人员，消防安全巡查人员需服从管理，无故脱岗、擅自离岗累计两次及以上，或经教育仍不改正的，采购人有权要求更换相关人员。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2.消防安全巡查服务要求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（1）统一着装，巡查人员标识清晰规范，按规定上岗交接班，忠于职守，在岗时不得与其他无关人员聊天、不得擅自离岗。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（2）负责巡视小区，利用安全小程序等进行消防安全巡查，实行9个站点定点巡查与动态调控相结合，具体量化要求如下：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每日巡查频次：每个小区站点每日巡查不少于4次，其中夜间巡查不少于1次。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重点巡查部位：必须覆盖楼道堆物、消防通道、安全出口、电动车停放与充电区域、消防栓（抽查）、灭火器（抽查）、应急照明、疏散指示标志、天台等关键部位。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巡查记录上传要求：每次巡查须后文字记录、现场照片、点位定位，确保全程留痕、可追溯；当日巡查记录须在当日24:00前完成归档，不得补录、漏录、缺图。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隐患闭环处置时限：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一般隐患（杂物堆放、标识不清等）：当场整改，并上传整改前后对比照。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较大隐患（通道堵塞、设施失效等）：1小时内上报采购人及物业，24小时内跟踪复核。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重大隐患（严重违规充电、锁闭安全出口等）：立即上报并现场管控，12小时内复核闭环。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如遇突发火灾等，3分钟内上报并赶赴现场开展前期处置，确保安全。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（3）因巡查人员故意或重大过失造成损失的，由供应商承担相应赔偿责任；情节严重的，依法追究相关方责任。</w:t>
      </w:r>
      <w:r>
        <w:rPr>
          <w:sz w:val="24"/>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九、质量保证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1.乙方须按磋商文件中技术服务方案、服务承诺及管理制度和国家有关法律法规的要求进行消防安全巡查服务，实现目标管理。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2.乙方需制定服务管理目标，对所管理的项目在服务期内管理、服务达到或超过甲方要求。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违反本合同的约定，未能达到约定的服务质量标准，甲方有权要求乙方限期整改，逾期未整改或整改后仍不符合约定要求的，甲方有权终止合同；乙方应按照合同价款的5 %向甲方支付违约金，违约金不足以弥补损失的，以损失为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2.任何一方无正当理由终止合同的，应当向对方承担违约责任，违约方按合同价款的5%向对方支付违约金。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3.由于乙方人员消防安全巡查服务工作中的过失或故意行为造成甲方或第三人经济损失的，或因乙方未第一时间通知甲方而扩大责任的，乙方负责承担赔偿责任。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必须要求消防安全巡查服务人员加强公共安全意识，自觉做好自我安全防护、保护设施、设备安全，发生安全事故被公共媒体曝光，造成不良影响或设备造成损坏的，由乙方赔偿或视情节扣除当月管理服务费1000～5000元/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必须要求消防安全巡查服务人员在岗时应加强对岗位周围环境的管理，巡逻人员在巡逻时应及时发现园区内火情，及时处理，如若对问题熟视无睹，经查实，每出现一次，扣除当月管理服务费3000～5000元/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6.违反投标承诺配置人员，服务人员不准时、足数配置到岗，按每人200元/每天扣除。罚款从当月管理服务费中扣除。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7.管理公司应根据投标时确定的各岗位人员构成选派人员上岗，合同履行期间不得缺岗，如无正当理由有擅自缺岗的情形，甲方有权从当月管理服务费扣除相应费用并扣除当月管理服务费的5%作为违约扣款。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8.管理公司各岗位人员工作时出现重大失误或不称职，甲方有权要求管理公司调换相关人员，如管理公司未按甲方要求办理，甲方有权扣除当月管理服务费5﹪的费用作为罚款。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所有管理、服务人员因故离岗（包括回管理公司开会、培训等）需向管理部门有关人员请销假，并采取有效措施保证各岗位安全运转。对未向管理部门有关人员请销假而擅自离岗的行为，甲方有权对乙方按2000元/每人·次进行扣款，罚款从当月管理服务费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10.本项目所有服务人员只能在本项目服务，不得从事本项目以外的其他服务。如发生此行为，甲方有权对乙方按2000元/每人·次进行扣款，罚款从当月管理服务费中扣除。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11.消防安全巡查人员在值班过程中，未及时发现火灾事故、重大事故引发群死群伤、重大设备事故直接影响正常工作，乙方除赔偿甲方损失外，每发生一起，甲方将扣除当月管理服务费10%。同时有权解除合同。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12.凡甲方依据法律规定或合同约定单方解除合同的，乙方应按合同总价的5%向甲方支付违约金。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本合同所称赔偿责任、违约责任包括但不限于守约方的实际损失，偿付第三方的违约金以及守约方为实现权利所支出的调查费、诉讼费、鉴定费、保全费、保全担保费、律师费、公证费、公告费等实际支出的一切费用。守约方因违约方违约而获得的权利与救济在本合同被解除、撤销、终止或完成后仍应有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14.上述乙方应向甲方支付的违约金、赔偿金，甲方有权在应付款项中直接扣除，不足以弥补甲方损失的，甲方有权继续追偿。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十一、合同的变更、终止、转让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1.除《政府釆购法》第50条第二款规定的情形及以上违约责任约定的条款外，本合同一经签订，甲乙双方不得单方面擅自变更、中止或终止合同。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3.乙方不得擅自部分或全部转让其应履行的合同义务，如有，甲方有权单方解除合同。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4.甲乙双方经协商一致，双方均同意合同变更、中止或终止的，可以签订补充协议进行确认。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1.因履行本合同引起的或与本合同有关的争议，甲、乙双方应首先通过友好协商解决，如果协商不能解决争议，则采取以下第（1）种方式解决争议：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（1）向甲方所在地有管辖权雨花台区人民法院提起诉讼；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2.在诉讼期间，本合同应继续履行。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十三、合同生效及其他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1.本合同应按照中华人民共和国的现行法律进行解释。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2.本合同一式肆份，甲乙双方各执贰份，本合同自双方法定代表人或委托代理人签字并加盖单位公章之日起生效。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3.合同履行过程中，乙方承担自身安全防护工作，加强安全管控，因乙方原因产生的安全问题由乙方承担。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双方约定通过特快专递方式邮寄（包括但不限于：催告函、通知书、诉讼法律文书等）到合同中的通讯地址，无论是否有效接收，均视为有效送达。若合同中通讯地址发生变更，须于变更后五日内书面通知对方，变更方未及时通知的，应承担由此产生的不利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甲方送达地址：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乙方送达地址：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甲方（采购人）：乙方（供应商）：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开户行：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账号：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2026年月日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附件：消防安全巡查员现场管理月度考核表</w:t>
      </w:r>
      <w:r/>
    </w:p>
    <w:p>
      <w:pPr>
        <w:ind w:left="0" w:right="0" w:firstLine="48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消防安全巡查员现场管理月度考核表</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0"/>
        <w:gridCol w:w="1784"/>
        <w:gridCol w:w="2698"/>
        <w:gridCol w:w="1048"/>
        <w:gridCol w:w="1018"/>
        <w:gridCol w:w="1459"/>
      </w:tblGrid>
      <w:tr>
        <w:trPr>
          <w:trHeight w:val="4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 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消防安全巡查员</w:t>
            </w:r>
            <w:r/>
          </w:p>
        </w:tc>
      </w:tr>
      <w:tr>
        <w:trPr>
          <w:trHeight w:val="4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考核期现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日至     年  月  日</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考核项目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工作内容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是否听从部门主管人员的工作安排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对作业人员入场后要进行三级教育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新工人进场后是否做到先教育，后上岗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5"/>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定期开展现场安全隐患排查，建立排查台帐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0"/>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是否主动配合部门主管人员定期组织安全巡查工作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71"/>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对现场发生隐患是否做到跟踪监督，发现问题是否落实人员整改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8"/>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发现安全隐患和安全问题，是否及时向上报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7"/>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服务巡查日志记录连续、简要、不遗漏，日志字迹清晰无涂改，严禁提前记载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对违章施工的作业人员是否及时进行制止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73"/>
        </w:trPr>
        <w:tc>
          <w:tcPr>
            <w:tcBorders>
              <w:left w:val="single" w:color="000000" w:sz="4" w:space="0"/>
              <w:bottom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是否完成领导交办的其它工作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职业素质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具有责任心，工作主动，遇事不推诿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工作勤奋，任劳任怨，竭力完成任务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bottom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具有相应的专业技能，能够完成自身职责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服务意识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对工作主动积极进取，服从工作调动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对本职工作尽职、尽责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bottom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对同志态度真诚热情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团结精神</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积极配合其他部门和其他同事的工作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bottom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顾全大局，以单位利益为重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center"/>
              <w:spacing w:before="0" w:after="0"/>
              <w:rPr>
                <w:rFonts w:ascii="Times New Roman" w:hAnsi="Times New Roman" w:eastAsia="Times New Roman" w:cs="Times New Roman"/>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组织纪律</w:t>
            </w:r>
            <w:r>
              <w:rPr>
                <w:rFonts w:ascii="Times New Roman" w:hAnsi="Times New Roman" w:eastAsia="Times New Roman" w:cs="Times New Roman"/>
                <w:sz w:val="24"/>
              </w:rPr>
            </w:r>
            <w:r/>
          </w:p>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遵守单位及项目部的各项规章制度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遵守作息时间，遵守单位日常办公制度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6"/>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上班时间不上网聊天，不玩游戏，不看电视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left w:val="single" w:color="000000" w:sz="4"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遵守相关法律法规，未经允许不得向外泄露单位机密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响应文件格式及附件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（所附格式仅供参考，一切以采购文件要求为准）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rPr>
          <w:rFonts w:ascii="SimSun" w:hAnsi="SimSun" w:eastAsia="SimSun" w:cs="SimSun"/>
          <w:b/>
          <w:color w:val="000000"/>
          <w:sz w:val="36"/>
        </w:rPr>
        <w:t xml:space="preserve"> </w:t>
      </w:r>
      <w:r>
        <w:rPr>
          <w:rFonts w:ascii="SimSun" w:hAnsi="SimSun" w:eastAsia="SimSun" w:cs="SimSun"/>
          <w:b/>
          <w:color w:val="000000"/>
          <w:sz w:val="72"/>
        </w:rPr>
        <w:t xml:space="preserve"> </w:t>
      </w:r>
      <w:r>
        <w:rPr>
          <w:sz w:val="24"/>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rPr>
          <w:rFonts w:ascii="SimSun" w:hAnsi="SimSun" w:eastAsia="SimSun" w:cs="SimSun"/>
          <w:b/>
          <w:color w:val="000000"/>
          <w:sz w:val="36"/>
        </w:rPr>
        <w:t xml:space="preserve"> </w:t>
      </w:r>
      <w:r>
        <w:rPr>
          <w:sz w:val="24"/>
        </w:rPr>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br w:type="page" w:clear="all"/>
      </w:r>
      <w:r>
        <w:rPr>
          <w:sz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w:t>
      </w:r>
      <w:r>
        <w:rPr>
          <w:rFonts w:ascii="SimSun" w:hAnsi="SimSun" w:eastAsia="SimSun" w:cs="SimSun"/>
          <w:b/>
          <w:color w:val="000000"/>
          <w:sz w:val="28"/>
        </w:rPr>
        <w:t xml:space="preserve">、</w:t>
      </w:r>
      <w:r>
        <w:rPr>
          <w:rFonts w:ascii="SimSun" w:hAnsi="SimSun" w:eastAsia="SimSun" w:cs="SimSun"/>
          <w:b/>
          <w:color w:val="000000"/>
          <w:sz w:val="28"/>
        </w:rPr>
        <w:t xml:space="preserve">供应商信用承诺函</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w:t>
      </w:r>
      <w:r>
        <w:rPr>
          <w:rFonts w:ascii="SimSun" w:hAnsi="SimSun" w:eastAsia="SimSun" w:cs="SimSun"/>
          <w:b/>
          <w:color w:val="000000"/>
          <w:sz w:val="28"/>
        </w:rPr>
        <w:t xml:space="preserve">、</w:t>
      </w:r>
      <w:r>
        <w:rPr>
          <w:rFonts w:ascii="SimSun" w:hAnsi="SimSun" w:eastAsia="SimSun" w:cs="SimSun"/>
          <w:b/>
          <w:color w:val="000000"/>
          <w:sz w:val="28"/>
        </w:rPr>
        <w:t xml:space="preserve">法定代表人授权书或法定代表人身份证明书</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w:t>
      </w:r>
      <w:r>
        <w:rPr>
          <w:rFonts w:ascii="SimSun" w:hAnsi="SimSun" w:eastAsia="SimSun" w:cs="SimSun"/>
          <w:b/>
          <w:color w:val="000000"/>
          <w:sz w:val="28"/>
        </w:rPr>
        <w:t xml:space="preserve">、</w:t>
      </w:r>
      <w:r>
        <w:rPr>
          <w:rFonts w:ascii="SimSun" w:hAnsi="SimSun" w:eastAsia="SimSun" w:cs="SimSun"/>
          <w:b/>
          <w:color w:val="000000"/>
          <w:sz w:val="28"/>
        </w:rPr>
        <w:t xml:space="preserve">磋商响应函</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w:t>
      </w:r>
      <w:r>
        <w:rPr>
          <w:rFonts w:ascii="SimSun" w:hAnsi="SimSun" w:eastAsia="SimSun" w:cs="SimSun"/>
          <w:b/>
          <w:color w:val="000000"/>
          <w:sz w:val="28"/>
        </w:rPr>
        <w:t xml:space="preserve">、</w:t>
      </w:r>
      <w:r>
        <w:rPr>
          <w:rFonts w:ascii="SimSun" w:hAnsi="SimSun" w:eastAsia="SimSun" w:cs="SimSun"/>
          <w:b/>
          <w:color w:val="000000"/>
          <w:sz w:val="28"/>
        </w:rPr>
        <w:t xml:space="preserve">磋商报价表</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w:t>
      </w:r>
      <w:r>
        <w:rPr>
          <w:rFonts w:ascii="SimSun" w:hAnsi="SimSun" w:eastAsia="SimSun" w:cs="SimSun"/>
          <w:b/>
          <w:color w:val="000000"/>
          <w:sz w:val="28"/>
        </w:rPr>
        <w:t xml:space="preserve">、</w:t>
      </w:r>
      <w:r>
        <w:rPr>
          <w:rFonts w:ascii="SimSun" w:hAnsi="SimSun" w:eastAsia="SimSun" w:cs="SimSun"/>
          <w:b/>
          <w:color w:val="000000"/>
          <w:sz w:val="28"/>
        </w:rPr>
        <w:t xml:space="preserve">分项报价表</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w:t>
      </w:r>
      <w:r>
        <w:rPr>
          <w:rFonts w:ascii="SimSun" w:hAnsi="SimSun" w:eastAsia="SimSun" w:cs="SimSun"/>
          <w:b/>
          <w:color w:val="000000"/>
          <w:sz w:val="28"/>
        </w:rPr>
        <w:t xml:space="preserve">、</w:t>
      </w:r>
      <w:r>
        <w:rPr>
          <w:rFonts w:ascii="SimSun" w:hAnsi="SimSun" w:eastAsia="SimSun" w:cs="SimSun"/>
          <w:b/>
          <w:color w:val="000000"/>
          <w:sz w:val="28"/>
        </w:rPr>
        <w:t xml:space="preserve">商务条款偏离表（如有）</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w:t>
      </w:r>
      <w:r>
        <w:rPr>
          <w:rFonts w:ascii="SimSun" w:hAnsi="SimSun" w:eastAsia="SimSun" w:cs="SimSun"/>
          <w:b/>
          <w:color w:val="000000"/>
          <w:sz w:val="28"/>
        </w:rPr>
        <w:t xml:space="preserve">、</w:t>
      </w:r>
      <w:r>
        <w:rPr>
          <w:rFonts w:ascii="SimSun" w:hAnsi="SimSun" w:eastAsia="SimSun" w:cs="SimSun"/>
          <w:b/>
          <w:color w:val="000000"/>
          <w:sz w:val="28"/>
        </w:rPr>
        <w:t xml:space="preserve">技术条款偏离表（如有）</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rPr>
        <w:t xml:space="preserve">、</w:t>
      </w:r>
      <w:r>
        <w:rPr>
          <w:rFonts w:ascii="SimSun" w:hAnsi="SimSun" w:eastAsia="SimSun" w:cs="SimSun"/>
          <w:b/>
          <w:color w:val="000000"/>
          <w:sz w:val="28"/>
        </w:rPr>
        <w:t xml:space="preserve">中小企业声明函（如有）</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w:t>
      </w:r>
      <w:r>
        <w:rPr>
          <w:rFonts w:ascii="SimSun" w:hAnsi="SimSun" w:eastAsia="SimSun" w:cs="SimSun"/>
          <w:b/>
          <w:color w:val="000000"/>
          <w:sz w:val="28"/>
        </w:rPr>
        <w:t xml:space="preserve">、</w:t>
      </w:r>
      <w:r>
        <w:rPr>
          <w:rFonts w:ascii="SimSun" w:hAnsi="SimSun" w:eastAsia="SimSun" w:cs="SimSun"/>
          <w:b/>
          <w:color w:val="000000"/>
          <w:sz w:val="28"/>
        </w:rPr>
        <w:t xml:space="preserve">代理服务费承诺书</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w:t>
      </w:r>
      <w:r>
        <w:rPr>
          <w:rFonts w:ascii="SimSun" w:hAnsi="SimSun" w:eastAsia="SimSun" w:cs="SimSun"/>
          <w:b/>
          <w:color w:val="000000"/>
          <w:sz w:val="28"/>
        </w:rPr>
        <w:t xml:space="preserve">、</w:t>
      </w:r>
      <w:r>
        <w:rPr>
          <w:rFonts w:ascii="SimSun" w:hAnsi="SimSun" w:eastAsia="SimSun" w:cs="SimSun"/>
          <w:b/>
          <w:color w:val="000000"/>
          <w:sz w:val="28"/>
        </w:rPr>
        <w:t xml:space="preserve">资格审查材料格式（特殊资格要求需自行提供证明材料）</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w:t>
      </w:r>
      <w:r>
        <w:rPr>
          <w:rFonts w:ascii="SimSun" w:hAnsi="SimSun" w:eastAsia="SimSun" w:cs="SimSun"/>
          <w:b/>
          <w:color w:val="000000"/>
          <w:sz w:val="28"/>
        </w:rPr>
        <w:t xml:space="preserve">一</w:t>
      </w:r>
      <w:r>
        <w:rPr>
          <w:rFonts w:ascii="SimSun" w:hAnsi="SimSun" w:eastAsia="SimSun" w:cs="SimSun"/>
          <w:b/>
          <w:color w:val="000000"/>
          <w:sz w:val="28"/>
        </w:rPr>
        <w:t xml:space="preserve">、</w:t>
      </w:r>
      <w:r>
        <w:rPr>
          <w:rFonts w:ascii="SimSun" w:hAnsi="SimSun" w:eastAsia="SimSun" w:cs="SimSun"/>
          <w:b/>
          <w:color w:val="000000"/>
          <w:sz w:val="28"/>
        </w:rPr>
        <w:t xml:space="preserve">残疾人福利性单位声明函（如有）</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十二</w:t>
      </w:r>
      <w:r>
        <w:rPr>
          <w:rFonts w:ascii="SimSun" w:hAnsi="SimSun" w:eastAsia="SimSun" w:cs="SimSun"/>
          <w:b/>
          <w:color w:val="000000"/>
          <w:sz w:val="28"/>
        </w:rPr>
        <w:t xml:space="preserve">、</w:t>
      </w:r>
      <w:r>
        <w:rPr>
          <w:rFonts w:ascii="SimSun" w:hAnsi="SimSun" w:eastAsia="SimSun" w:cs="SimSun"/>
          <w:b/>
          <w:color w:val="000000"/>
          <w:sz w:val="28"/>
        </w:rPr>
        <w:t xml:space="preserve">附件</w:t>
      </w:r>
      <w:r/>
    </w:p>
    <w:p>
      <w:pPr>
        <w:numPr>
          <w:ilvl w:val="0"/>
          <w:numId w:val="3"/>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十三</w:t>
      </w:r>
      <w:r>
        <w:rPr>
          <w:rFonts w:ascii="SimSun" w:hAnsi="SimSun" w:eastAsia="SimSun" w:cs="SimSun"/>
          <w:b/>
          <w:color w:val="000000"/>
          <w:sz w:val="28"/>
        </w:rPr>
        <w:t xml:space="preserve">、</w:t>
      </w:r>
      <w:r>
        <w:rPr>
          <w:rFonts w:ascii="SimSun" w:hAnsi="SimSun" w:eastAsia="SimSun" w:cs="SimSun"/>
          <w:b/>
          <w:color w:val="000000"/>
          <w:sz w:val="28"/>
        </w:rPr>
        <w:t xml:space="preserve">其他证明文件及材料</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（供应商名称）郑重承诺：</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(三)具有履行合同所必需的设备和专业技术能力；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(四)有依法缴纳税收和社会保障资金的良好记录；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(六)法律、行政法规规定的其他条件（提供项目实施所必须的许可资质证明材料）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如果我公司中标，将在中标结果公示后七个工作日内向采购人提供下列材料核验：</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（1）营业执照副本或事业单位法人登记证书；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（3）履行合同所必需的设备和专业技术能力证明材料；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（4）参加本次政府采购活动前一年内至少一个月依法缴纳税收和社会保障资金的证明材料；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（6）未被列入失信被执行人、重大税收违法案件当事人名单、政府采购严重违法失信行为记录名单的证明材料。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（7）法律、行政法规规定的其他条件（提供项目实施所必须的许可资质证明材料）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本公司对上述承诺内容的真实性、合法性、有效性负责，如有虚假，将依法承担相应责任。</w:t>
      </w:r>
      <w:r/>
    </w:p>
    <w:p>
      <w:pPr>
        <w:ind w:left="0" w:right="180" w:firstLine="0"/>
        <w:jc w:val="both"/>
        <w:spacing w:before="0" w:after="0" w:line="559"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180" w:firstLine="0"/>
        <w:jc w:val="right"/>
        <w:spacing w:before="0" w:after="0" w:line="559"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609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说明：执行南京市财政局《关于在政府采购活动中推行信用承诺制的通知》（宁财购通〔2021〕5号）要求。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二、法定代表人授权书或法定代表人身份证明书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附：法定代表人身份证正反面扫描件</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16"/>
        <w:gridCol w:w="4446"/>
      </w:tblGrid>
      <w:tr>
        <w:trPr>
          <w:trHeight w:val="23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身份证正面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身份证反面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委托代理人身份证正反面扫描件</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16"/>
        <w:gridCol w:w="4446"/>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身份证正面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身份证反面</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shd w:val="nil" w:color="auto"/>
      </w:pPr>
      <w:r>
        <w:rPr>
          <w:rFonts w:ascii="SimSun" w:hAnsi="SimSun" w:eastAsia="SimSun" w:cs="SimSun"/>
          <w:color w:val="000000"/>
          <w:sz w:val="36"/>
          <w:highlight w:val="none"/>
          <w:u w:val="none"/>
        </w:rPr>
        <w:br w:type="page" w:clear="all"/>
      </w:r>
      <w:r>
        <w:rPr>
          <w:rFonts w:ascii="SimSun" w:hAnsi="SimSun" w:eastAsia="SimSun" w:cs="SimSun"/>
          <w:color w:val="000000"/>
          <w:sz w:val="36"/>
          <w:highlight w:val="none"/>
          <w:u w:val="none"/>
        </w:rPr>
      </w:r>
      <w:r/>
    </w:p>
    <w:p>
      <w:pPr>
        <w:ind w:left="0" w:right="0" w:firstLine="0"/>
        <w:jc w:val="center"/>
        <w:spacing w:before="0" w:after="0"/>
        <w:rPr>
          <w:rFonts w:ascii="SimSun" w:hAnsi="SimSun" w:eastAsia="SimSun" w:cs="SimSun"/>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法定代表人身份证明书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兹证明 </w:t>
      </w:r>
      <w:r>
        <w:rPr>
          <w:rFonts w:ascii="SimSun" w:hAnsi="SimSun" w:eastAsia="SimSun" w:cs="SimSun"/>
          <w:color w:val="000000"/>
          <w:sz w:val="21"/>
          <w:u w:val="single"/>
        </w:rPr>
        <w:t xml:space="preserve">    （姓名）</w:t>
      </w:r>
      <w:r>
        <w:rPr>
          <w:rFonts w:ascii="SimSun" w:hAnsi="SimSun" w:eastAsia="SimSun" w:cs="SimSun"/>
          <w:color w:val="000000"/>
          <w:sz w:val="21"/>
        </w:rPr>
        <w:t xml:space="preserve">同志，性别</w:t>
      </w:r>
      <w:r>
        <w:rPr>
          <w:rFonts w:ascii="SimSun" w:hAnsi="SimSun" w:eastAsia="SimSun" w:cs="SimSun"/>
          <w:color w:val="000000"/>
          <w:sz w:val="21"/>
          <w:u w:val="single"/>
        </w:rPr>
        <w:t xml:space="preserve">    </w:t>
      </w:r>
      <w:r>
        <w:rPr>
          <w:rFonts w:ascii="SimSun" w:hAnsi="SimSun" w:eastAsia="SimSun" w:cs="SimSun"/>
          <w:color w:val="000000"/>
          <w:sz w:val="21"/>
        </w:rPr>
        <w:t xml:space="preserve">，居民身份证号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，在我单位任</w:t>
      </w:r>
      <w:r>
        <w:rPr>
          <w:rFonts w:ascii="SimSun" w:hAnsi="SimSun" w:eastAsia="SimSun" w:cs="SimSun"/>
          <w:color w:val="000000"/>
          <w:sz w:val="21"/>
          <w:u w:val="single"/>
        </w:rPr>
        <w:t xml:space="preserve">    </w:t>
      </w:r>
      <w:r>
        <w:rPr>
          <w:rFonts w:ascii="SimSun" w:hAnsi="SimSun" w:eastAsia="SimSun" w:cs="SimSun"/>
          <w:color w:val="000000"/>
          <w:sz w:val="21"/>
        </w:rPr>
        <w:t xml:space="preserve">职务，系我单位主要负责人即法定代表人。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单位全称： （加盖电子公章）</w:t>
      </w: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附：法定代表人居民身份证正反面扫描件</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16"/>
        <w:gridCol w:w="4446"/>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身份证正面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身份证反面</w:t>
            </w:r>
            <w:r/>
          </w:p>
        </w:tc>
      </w:tr>
    </w:tbl>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注：1.“法定代表人”直接参加投标响应活动的填写本身份证明</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的项目磋商文件，我方正式提交投标函，并宣布同意如下内容：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1.按磋商文件规定的各项要求，向买方提供所需服务（包含与服务相关的货物）。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2.我们完全理解贵方不一定将合同授予最低报价的供应商。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3.我们已详细审核全部采购文件及其有效补充文件，我们知道必须放弃提出含糊不清或误解问题的权利。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4.我们同意从规定的开标日期起遵循本响应文件，并在规定的投标有效期期满之前均具有约束力。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6.一旦我方中标，我方将根据采购文件的规定，严格履行合同的责任和义务,并保证在采购文件规定的时间完成项目，交付买方验收、使用。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7.我方为：</w:t>
      </w:r>
      <w:r>
        <w:rPr>
          <w:rFonts w:ascii="Wingdings" w:hAnsi="Wingdings" w:eastAsia="Wingdings" w:cs="Wingdings"/>
          <w:color w:val="000000"/>
          <w:sz w:val="21"/>
        </w:rPr>
        <w:t xml:space="preserve">¨</w:t>
      </w:r>
      <w:r>
        <w:rPr>
          <w:rFonts w:ascii="SimSun" w:hAnsi="SimSun" w:eastAsia="SimSun" w:cs="SimSun"/>
          <w:color w:val="000000"/>
          <w:sz w:val="21"/>
        </w:rPr>
        <w:t xml:space="preserve">大型企业 </w:t>
      </w:r>
      <w:r>
        <w:rPr>
          <w:rFonts w:ascii="Wingdings" w:hAnsi="Wingdings" w:eastAsia="Wingdings" w:cs="Wingdings"/>
          <w:color w:val="000000"/>
          <w:sz w:val="21"/>
        </w:rPr>
        <w:t xml:space="preserve">¨</w:t>
      </w:r>
      <w:r>
        <w:rPr>
          <w:rFonts w:ascii="SimSun" w:hAnsi="SimSun" w:eastAsia="SimSun" w:cs="SimSun"/>
          <w:color w:val="000000"/>
          <w:sz w:val="21"/>
        </w:rPr>
        <w:t xml:space="preserve">中型企业 </w:t>
      </w:r>
      <w:r>
        <w:rPr>
          <w:rFonts w:ascii="Wingdings" w:hAnsi="Wingdings" w:eastAsia="Wingdings" w:cs="Wingdings"/>
          <w:color w:val="000000"/>
          <w:sz w:val="21"/>
        </w:rPr>
        <w:t xml:space="preserve">¨</w:t>
      </w:r>
      <w:r>
        <w:rPr>
          <w:rFonts w:ascii="SimSun" w:hAnsi="SimSun" w:eastAsia="SimSun" w:cs="SimSun"/>
          <w:color w:val="000000"/>
          <w:sz w:val="21"/>
        </w:rPr>
        <w:t xml:space="preserve">小型企业 </w:t>
      </w:r>
      <w:r>
        <w:rPr>
          <w:rFonts w:ascii="Wingdings" w:hAnsi="Wingdings" w:eastAsia="Wingdings" w:cs="Wingdings"/>
          <w:color w:val="000000"/>
          <w:sz w:val="21"/>
        </w:rPr>
        <w:t xml:space="preserve">¨</w:t>
      </w:r>
      <w:r>
        <w:rPr>
          <w:rFonts w:ascii="SimSun" w:hAnsi="SimSun" w:eastAsia="SimSun" w:cs="SimSun"/>
          <w:color w:val="000000"/>
          <w:sz w:val="21"/>
        </w:rPr>
        <w:t xml:space="preserve">微型企业（在对应</w:t>
      </w:r>
      <w:r>
        <w:rPr>
          <w:rFonts w:ascii="Wingdings" w:hAnsi="Wingdings" w:eastAsia="Wingdings" w:cs="Wingdings"/>
          <w:color w:val="000000"/>
          <w:sz w:val="21"/>
        </w:rPr>
        <w:t xml:space="preserve">¨</w:t>
      </w:r>
      <w:r>
        <w:rPr>
          <w:rFonts w:ascii="SimSun" w:hAnsi="SimSun" w:eastAsia="SimSun" w:cs="SimSun"/>
          <w:color w:val="000000"/>
          <w:sz w:val="21"/>
        </w:rPr>
        <w:t xml:space="preserve">内打</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四、磋商报价表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项目编号：分包号：</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8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小写（人民币：元）：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分项报价表</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7"/>
        <w:gridCol w:w="2524"/>
        <w:gridCol w:w="789"/>
        <w:gridCol w:w="1117"/>
        <w:gridCol w:w="1126"/>
        <w:gridCol w:w="1126"/>
        <w:gridCol w:w="1675"/>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总价合计：</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1.供应商的磋商报价应充分考虑服务期间各项市场风险和国家政策性调整风险，其成交总价一旦确定，一律不作调整。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2.供应商的任何错漏、优惠、竞争性报价不得作为减轻责任、减少服务、增加收费、降低质量的理由。</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3.行数不够，可自行添加。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w:t>
      </w:r>
      <w:r>
        <w:rPr>
          <w:rFonts w:ascii="SimSun" w:hAnsi="SimSun" w:eastAsia="SimSun" w:cs="SimSun"/>
          <w:color w:val="000000"/>
          <w:sz w:val="21"/>
        </w:rPr>
        <w:t xml:space="preserve">、商务条款偏离表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2"/>
        <w:gridCol w:w="1822"/>
        <w:gridCol w:w="1822"/>
        <w:gridCol w:w="1822"/>
        <w:gridCol w:w="2257"/>
      </w:tblGrid>
      <w:tr>
        <w:trPr>
          <w:trHeight w:val="935"/>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545"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1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5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6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br w:type="page" w:clear="all"/>
      </w:r>
      <w:r>
        <w:rPr>
          <w:rFonts w:ascii="Times New Roman" w:hAnsi="Times New Roman" w:eastAsia="Times New Roman" w:cs="Times New Roman"/>
          <w:sz w:val="24"/>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w:t>
      </w:r>
      <w:r>
        <w:rPr>
          <w:rFonts w:ascii="SimSun" w:hAnsi="SimSun" w:eastAsia="SimSun" w:cs="SimSun"/>
          <w:color w:val="000000"/>
          <w:sz w:val="21"/>
        </w:rPr>
        <w:t xml:space="preserve">、技术条款偏离表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17"/>
        <w:gridCol w:w="1834"/>
        <w:gridCol w:w="1834"/>
        <w:gridCol w:w="1834"/>
        <w:gridCol w:w="2375"/>
      </w:tblGrid>
      <w:tr>
        <w:trPr>
          <w:trHeight w:val="447"/>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447"/>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7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15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7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w:t>
      </w:r>
      <w:r>
        <w:rPr>
          <w:rFonts w:ascii="SimSun" w:hAnsi="SimSun" w:eastAsia="SimSun" w:cs="SimSun"/>
          <w:color w:val="000000"/>
          <w:sz w:val="21"/>
        </w:rPr>
        <w:t xml:space="preserve">、中小企业声明函格式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XXXXXXXXXXXXXXXXXXXXXXXXX</w:t>
      </w:r>
      <w:r>
        <w:rPr>
          <w:rFonts w:ascii="SimSun" w:hAnsi="SimSun" w:eastAsia="SimSun" w:cs="SimSun"/>
          <w:color w:val="000000"/>
          <w:sz w:val="21"/>
        </w:rPr>
        <w:t xml:space="preserve">（单位名称）采购编号为</w:t>
      </w:r>
      <w:r>
        <w:rPr>
          <w:rFonts w:ascii="SimSun" w:hAnsi="SimSun" w:eastAsia="SimSun" w:cs="SimSun"/>
          <w:color w:val="000000"/>
          <w:sz w:val="21"/>
          <w:u w:val="single"/>
        </w:rPr>
        <w:t xml:space="preserve">XXXXXXXXXXXXXXXXXXXXXXXXX</w:t>
      </w:r>
      <w:r>
        <w:rPr>
          <w:rFonts w:ascii="SimSun" w:hAnsi="SimSun" w:eastAsia="SimSun" w:cs="SimSun"/>
          <w:color w:val="000000"/>
          <w:sz w:val="21"/>
        </w:rPr>
        <w:t xml:space="preserve">项目（采购包号：</w:t>
      </w:r>
      <w:r>
        <w:rPr>
          <w:rFonts w:ascii="SimSun" w:hAnsi="SimSun" w:eastAsia="SimSun" w:cs="SimSun"/>
          <w:color w:val="000000"/>
          <w:sz w:val="21"/>
          <w:u w:val="single"/>
        </w:rPr>
        <w:t xml:space="preserve">XXX</w:t>
      </w:r>
      <w:r>
        <w:rPr>
          <w:rFonts w:ascii="SimSun" w:hAnsi="SimSun" w:eastAsia="SimSun" w:cs="SimSun"/>
          <w:color w:val="000000"/>
          <w:sz w:val="21"/>
        </w:rPr>
        <w:t xml:space="preserve">）的采购活动，</w:t>
      </w:r>
      <w:r>
        <w:rPr>
          <w:rFonts w:ascii="Arial Unicode MS" w:hAnsi="Arial Unicode MS" w:eastAsia="Arial Unicode MS" w:cs="Arial Unicode MS"/>
          <w:color w:val="000000"/>
          <w:sz w:val="21"/>
        </w:rPr>
        <w:t xml:space="preserve">服务全部由符合政策的中小企业承接。根据《工业和信息化部、国家统计局、国家发展和改革委员会、财政部关于印发中小企业划型标准规定的通知》</w:t>
      </w:r>
      <w:r>
        <w:rPr>
          <w:rFonts w:ascii="SimSun" w:hAnsi="SimSun" w:eastAsia="SimSun" w:cs="SimSun"/>
          <w:color w:val="000000"/>
          <w:sz w:val="21"/>
        </w:rPr>
        <w:t xml:space="preserve">(</w:t>
      </w:r>
      <w:r>
        <w:rPr>
          <w:rFonts w:ascii="Arial Unicode MS" w:hAnsi="Arial Unicode MS" w:eastAsia="Arial Unicode MS" w:cs="Arial Unicode MS"/>
          <w:color w:val="000000"/>
          <w:sz w:val="21"/>
        </w:rPr>
        <w:t xml:space="preserve">工信部联企业</w:t>
      </w:r>
      <w:r>
        <w:rPr>
          <w:rFonts w:ascii="FangSong" w:hAnsi="FangSong" w:eastAsia="FangSong" w:cs="FangSong"/>
          <w:color w:val="000000"/>
          <w:sz w:val="21"/>
        </w:rPr>
        <w:t xml:space="preserve">〔</w:t>
      </w:r>
      <w:r>
        <w:rPr>
          <w:rFonts w:ascii="SimSun" w:hAnsi="SimSun" w:eastAsia="SimSun" w:cs="SimSun"/>
          <w:color w:val="000000"/>
          <w:sz w:val="21"/>
        </w:rPr>
        <w:t xml:space="preserve">2011</w:t>
      </w:r>
      <w:r>
        <w:rPr>
          <w:rFonts w:ascii="FangSong" w:hAnsi="FangSong" w:eastAsia="FangSong" w:cs="FangSong"/>
          <w:color w:val="000000"/>
          <w:sz w:val="21"/>
        </w:rPr>
        <w:t xml:space="preserve">〕</w:t>
      </w:r>
      <w:r>
        <w:rPr>
          <w:rFonts w:ascii="SimSun" w:hAnsi="SimSun" w:eastAsia="SimSun" w:cs="SimSun"/>
          <w:color w:val="000000"/>
          <w:sz w:val="21"/>
        </w:rPr>
        <w:t xml:space="preserve">300</w:t>
      </w:r>
      <w:r>
        <w:rPr>
          <w:rFonts w:ascii="Arial Unicode MS" w:hAnsi="Arial Unicode MS" w:eastAsia="Arial Unicode MS" w:cs="Arial Unicode MS"/>
          <w:color w:val="000000"/>
          <w:sz w:val="21"/>
        </w:rPr>
        <w:t xml:space="preserve">号</w:t>
      </w:r>
      <w:r>
        <w:rPr>
          <w:rFonts w:ascii="SimSun" w:hAnsi="SimSun" w:eastAsia="SimSun" w:cs="SimSun"/>
          <w:color w:val="000000"/>
          <w:sz w:val="21"/>
        </w:rPr>
        <w:t xml:space="preserve">)</w:t>
      </w:r>
      <w:r>
        <w:rPr>
          <w:rFonts w:ascii="Arial Unicode MS" w:hAnsi="Arial Unicode MS" w:eastAsia="Arial Unicode MS" w:cs="Arial Unicode MS"/>
          <w:color w:val="000000"/>
          <w:sz w:val="21"/>
        </w:rPr>
        <w:t xml:space="preserve">的规定，相关企业（含联合体中的小微企业、签订分包意向协议的中小企业）的具体情况如下：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（标的名称）属于</w:t>
      </w:r>
      <w:r>
        <w:rPr>
          <w:rFonts w:ascii="Arial Unicode MS" w:hAnsi="Arial Unicode MS" w:eastAsia="Arial Unicode MS" w:cs="Arial Unicode MS"/>
          <w:color w:val="000000"/>
          <w:sz w:val="21"/>
          <w:u w:val="single"/>
        </w:rPr>
        <w:t xml:space="preserve"> </w:t>
      </w:r>
      <w:r>
        <w:rPr>
          <w:rFonts w:ascii="SimSun" w:hAnsi="SimSun" w:eastAsia="SimSun" w:cs="SimSun"/>
          <w:color w:val="000000"/>
          <w:sz w:val="21"/>
          <w:u w:val="single"/>
        </w:rPr>
        <w:t xml:space="preserve">租赁和商务服务业</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行业（磋商文件中明确的所属行业）；承接企业为</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（企业名称），从业人员</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人，营业收入为</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万元，资产总额为</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万元</w:t>
      </w:r>
      <w:r>
        <w:rPr>
          <w:rFonts w:ascii="SimSun" w:hAnsi="SimSun" w:eastAsia="SimSun" w:cs="SimSun"/>
          <w:color w:val="000000"/>
          <w:sz w:val="21"/>
          <w:vertAlign w:val="superscript"/>
        </w:rPr>
        <w:t xml:space="preserve">1</w:t>
      </w:r>
      <w:r>
        <w:rPr>
          <w:rFonts w:ascii="Arial Unicode MS" w:hAnsi="Arial Unicode MS" w:eastAsia="Arial Unicode MS" w:cs="Arial Unicode MS"/>
          <w:color w:val="000000"/>
          <w:sz w:val="21"/>
        </w:rPr>
        <w:t xml:space="preserve">，属于</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中型企业 </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小型企业 </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微型企业。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（标的名称）属于</w:t>
      </w:r>
      <w:r>
        <w:rPr>
          <w:rFonts w:ascii="Arial Unicode MS" w:hAnsi="Arial Unicode MS" w:eastAsia="Arial Unicode MS" w:cs="Arial Unicode MS"/>
          <w:color w:val="000000"/>
          <w:sz w:val="21"/>
          <w:u w:val="single"/>
        </w:rPr>
        <w:t xml:space="preserve">  </w:t>
      </w:r>
      <w:r>
        <w:rPr>
          <w:rFonts w:ascii="SimSun" w:hAnsi="SimSun" w:eastAsia="SimSun" w:cs="SimSun"/>
          <w:color w:val="000000"/>
          <w:sz w:val="21"/>
          <w:u w:val="single"/>
        </w:rPr>
        <w:t xml:space="preserve">租赁和商务服务业</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行业（磋商文件中明确的所属行业）；承接企业为</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（企业名称），从业人员</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人，营业收入为</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万元，资产总额为</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万元</w:t>
      </w:r>
      <w:r>
        <w:rPr>
          <w:rFonts w:ascii="SimSun" w:hAnsi="SimSun" w:eastAsia="SimSun" w:cs="SimSun"/>
          <w:color w:val="000000"/>
          <w:sz w:val="21"/>
          <w:vertAlign w:val="superscript"/>
        </w:rPr>
        <w:t xml:space="preserve">1</w:t>
      </w:r>
      <w:r>
        <w:rPr>
          <w:rFonts w:ascii="Arial Unicode MS" w:hAnsi="Arial Unicode MS" w:eastAsia="Arial Unicode MS" w:cs="Arial Unicode MS"/>
          <w:color w:val="000000"/>
          <w:sz w:val="21"/>
        </w:rPr>
        <w:t xml:space="preserve">，属于</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中型企业 </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小型企业 </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微型企业。</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本企业对上述声明内容的真实性负责，如有虚假，将依法承担相应责任。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企业名称：（加盖电子公章）</w:t>
      </w:r>
      <w:r/>
    </w:p>
    <w:p>
      <w:pPr>
        <w:ind w:left="0" w:right="0" w:firstLine="600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日  期：</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w:t>
      </w:r>
      <w:r>
        <w:rPr>
          <w:rFonts w:ascii="SimSun" w:hAnsi="SimSun" w:eastAsia="SimSun" w:cs="SimSun"/>
          <w:color w:val="000000"/>
          <w:sz w:val="21"/>
        </w:rPr>
        <w:t xml:space="preserve">、代理服务费承诺书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代理服务费承诺书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若我公司中标，我公司同意按采购文件规定的服务费收取标准向贵公司支付本项目代理服务费。</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代理服务费发票信息见下表：</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887"/>
        <w:gridCol w:w="6402"/>
      </w:tblGrid>
      <w:tr>
        <w:trPr>
          <w:trHeight w:val="8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十、资格审查材料格式（特殊资格要求需自行提供证明材料）</w:t>
      </w:r>
      <w:r/>
    </w:p>
    <w:p>
      <w:pPr>
        <w:ind w:left="0" w:right="-17"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7"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下涉及的证明材料，供应商可以在响应文件中一次性提交，也可在响应文件中提供附件格式的信用承诺函。如供应商响应文件中仅提供信用承诺函而未提供涉及的证明材料，须在中标后，另行提供以下由信用承诺函替代的证明材料，材料须加盖公章提交采购人或采购代理机构核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1.法人或者其他组织提供营业执照或法人证书或组织机构代码证，自然人提供身份证，并加盖公章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2.提供参加本次政府采购活动前6个月内至少一个月份的会计报表（至少包括资产负债表和利润表）复印件或其上一年度经审计的财务报告加盖公章，成立不满6个月的无需提供）</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3.根据项目需求提供履行合同所必需的设备和专业技术能力的证明材料或承诺书原件（格式附后）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4.提供参加本次政府采购活动前一年内（至少一个月）依法缴纳税收和社会保障资金的相关材料复印件加盖公章（依法免税或不需要缴纳社会保障资金的供应商，应提供相应的文件证明）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5.提供参加本次政府采购活动前3 年内在经营活动中没有重大违法记录的书面声明（格式附后）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具备履行合同所必需的设备和专业技术能力的书面声明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具备履行合同所必需的设备和专业技术能力的书面声明</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我单位具备履行本项采购合同所必需的设备和专业技术能力，为履行本项采购合同我单位具备如下主要设备和主要专业技术能力：</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w:t>
      </w:r>
      <w:r/>
    </w:p>
    <w:p>
      <w:pPr>
        <w:ind w:left="1440" w:right="1440" w:firstLine="0"/>
        <w:spacing w:before="24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w:t>
      </w:r>
      <w:r>
        <w:rPr>
          <w:rFonts w:ascii="SimSun" w:hAnsi="SimSun" w:eastAsia="SimSun" w:cs="SimSun"/>
          <w:color w:val="000000"/>
          <w:sz w:val="21"/>
        </w:rPr>
        <w:t xml:space="preserve">加盖电子公章</w:t>
      </w:r>
      <w:r>
        <w:rPr>
          <w:rFonts w:ascii="SimSun" w:hAnsi="SimSun" w:eastAsia="SimSun" w:cs="SimSun"/>
          <w:color w:val="000000"/>
          <w:sz w:val="24"/>
        </w:rPr>
        <w:t xml:space="preserve">）</w:t>
      </w:r>
      <w:r/>
    </w:p>
    <w:p>
      <w:pPr>
        <w:ind w:left="0" w:right="0" w:firstLine="0"/>
        <w:jc w:val="center"/>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1440" w:right="144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参加政府采购活动前3年内在经营活动中</w:t>
      </w:r>
      <w:r>
        <w:rPr>
          <w:rFonts w:ascii="SimSun" w:hAnsi="SimSun" w:eastAsia="SimSun" w:cs="SimSun"/>
          <w:color w:val="000000"/>
          <w:sz w:val="24"/>
          <w:u w:val="single"/>
        </w:rPr>
        <w:t xml:space="preserve">        （在下划线上如实填写：有或没有）</w:t>
      </w:r>
      <w:r>
        <w:rPr>
          <w:rFonts w:ascii="SimSun" w:hAnsi="SimSun" w:eastAsia="SimSun" w:cs="SimSun"/>
          <w:color w:val="000000"/>
          <w:sz w:val="24"/>
        </w:rPr>
        <w:t xml:space="preserve">重大违法记录。</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w:t>
      </w:r>
      <w:r>
        <w:rPr>
          <w:rFonts w:ascii="SimSun" w:hAnsi="SimSun" w:eastAsia="SimSun" w:cs="SimSun"/>
          <w:color w:val="000000"/>
          <w:sz w:val="21"/>
        </w:rPr>
        <w:t xml:space="preserve">加盖电子公章</w:t>
      </w:r>
      <w:r>
        <w:rPr>
          <w:rFonts w:ascii="SimSun" w:hAnsi="SimSun" w:eastAsia="SimSun" w:cs="SimSun"/>
          <w:color w:val="000000"/>
          <w:sz w:val="24"/>
        </w:rPr>
        <w:t xml:space="preserve">）</w:t>
      </w:r>
      <w:r/>
    </w:p>
    <w:p>
      <w:pPr>
        <w:ind w:left="0" w:right="0" w:firstLine="69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shd w:val="nil" w:color="auto"/>
      </w:pPr>
      <w:r>
        <w:rPr>
          <w:rFonts w:ascii="SimSun" w:hAnsi="SimSun" w:eastAsia="SimSun" w:cs="SimSun"/>
          <w:color w:val="000000"/>
          <w:sz w:val="21"/>
          <w:highlight w:val="none"/>
        </w:rPr>
        <w:br w:type="page" w:clear="all"/>
      </w:r>
      <w:r>
        <w:rPr>
          <w:rFonts w:ascii="SimSun" w:hAnsi="SimSun" w:eastAsia="SimSun" w:cs="SimSun"/>
          <w:color w:val="000000"/>
          <w:sz w:val="21"/>
          <w:highlight w:val="none"/>
        </w:rPr>
      </w:r>
      <w:r/>
    </w:p>
    <w:p>
      <w:pPr>
        <w:ind w:left="0" w:right="0" w:firstLine="0"/>
        <w:spacing w:before="0" w:after="0" w:line="85"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w:t>
      </w:r>
      <w:r>
        <w:rPr>
          <w:rFonts w:ascii="SimSun" w:hAnsi="SimSun" w:eastAsia="SimSun" w:cs="SimSun"/>
          <w:color w:val="000000"/>
          <w:sz w:val="21"/>
        </w:rPr>
        <w:t xml:space="preserve">一</w:t>
      </w:r>
      <w:r>
        <w:rPr>
          <w:rFonts w:ascii="SimSun" w:hAnsi="SimSun" w:eastAsia="SimSun" w:cs="SimSun"/>
          <w:color w:val="000000"/>
          <w:sz w:val="21"/>
        </w:rPr>
        <w:t xml:space="preserve">、残疾人福利性单位声明函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项目（分包号：</w:t>
      </w:r>
      <w:r>
        <w:rPr>
          <w:rFonts w:ascii="SimSun" w:hAnsi="SimSun" w:eastAsia="SimSun" w:cs="SimSun"/>
          <w:color w:val="000000"/>
          <w:sz w:val="21"/>
          <w:u w:val="single"/>
        </w:rPr>
        <w:t xml:space="preserve">   </w:t>
      </w:r>
      <w:r>
        <w:rPr>
          <w:rFonts w:ascii="SimSun" w:hAnsi="SimSun" w:eastAsia="SimSun" w:cs="SimSun"/>
          <w:color w:val="000000"/>
          <w:sz w:val="21"/>
        </w:rPr>
        <w:t xml:space="preserve">）的采购活动，提供本单位制造的货物，或者提供其他残疾人福利性单位制造的货物（不包括使用非残疾人福利性单位注册商标的货物）。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60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1.供应商如不提供此声明函，价格将不作相应扣除。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2.中标人为残疾人福利性单位的，此声明函将随中标结果同时公告，接受社会监督。</w:t>
      </w:r>
      <w:r/>
    </w:p>
    <w:p>
      <w:pPr>
        <w:ind w:left="0" w:right="0" w:firstLine="62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w:t>
      </w:r>
      <w:r>
        <w:rPr>
          <w:rFonts w:ascii="SimSun" w:hAnsi="SimSun" w:eastAsia="SimSun" w:cs="SimSun"/>
          <w:color w:val="000000"/>
          <w:sz w:val="21"/>
        </w:rPr>
        <w:t xml:space="preserve">二</w:t>
      </w:r>
      <w:r>
        <w:rPr>
          <w:rFonts w:ascii="SimSun" w:hAnsi="SimSun" w:eastAsia="SimSun" w:cs="SimSun"/>
          <w:color w:val="000000"/>
          <w:sz w:val="21"/>
        </w:rPr>
        <w:t xml:space="preserve">、附件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附件1、供应商拟投入本项目服务人员一览表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供应商拟投入本项目服务人员一览表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857"/>
        <w:gridCol w:w="843"/>
        <w:gridCol w:w="707"/>
        <w:gridCol w:w="734"/>
        <w:gridCol w:w="707"/>
        <w:gridCol w:w="1006"/>
        <w:gridCol w:w="802"/>
        <w:gridCol w:w="1058"/>
        <w:gridCol w:w="1006"/>
        <w:gridCol w:w="891"/>
      </w:tblGrid>
      <w:tr>
        <w:trPr>
          <w:trHeight w:val="15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相关工作年限而及工作经历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1、“备注”栏，可填写该人员擅长的工作种类；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3、所有职称、证明均需要提供有效的复印件（扫描件）。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附件2、供应商类似业绩一览表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供应商类似业绩一览表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2"/>
        <w:gridCol w:w="1522"/>
        <w:gridCol w:w="1522"/>
        <w:gridCol w:w="1522"/>
        <w:gridCol w:w="1522"/>
        <w:gridCol w:w="1522"/>
      </w:tblGrid>
      <w:tr>
        <w:trPr>
          <w:trHeight w:val="1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2、所有业绩均需要提供有效的复印件（扫描件）。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w:t>
      </w:r>
      <w:r>
        <w:rPr>
          <w:rFonts w:ascii="SimSun" w:hAnsi="SimSun" w:eastAsia="SimSun" w:cs="SimSun"/>
          <w:color w:val="000000"/>
          <w:sz w:val="24"/>
        </w:rPr>
        <w:t xml:space="preserve">三</w:t>
      </w:r>
      <w:r>
        <w:rPr>
          <w:rFonts w:ascii="SimSun" w:hAnsi="SimSun" w:eastAsia="SimSun" w:cs="SimSun"/>
          <w:color w:val="000000"/>
          <w:sz w:val="24"/>
        </w:rPr>
        <w:t xml:space="preserve">、其他证明文件及材料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供应商认为需要提供的其他证明文件及材料</w:t>
      </w:r>
      <w:r/>
    </w:p>
    <w:p>
      <w:r/>
      <w:r/>
    </w:p>
    <w:sectPr>
      <w:footerReference w:type="default" r:id="rId9"/>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undefined">
    <w:panose1 w:val="020B0503020202020204"/>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SimSun">
    <w:panose1 w:val="02010600030101010101"/>
  </w:font>
  <w:font w:name="宋体">
    <w:panose1 w:val="02010600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1805117"/>
      <w:rPr/>
    </w:sdtPr>
    <w:sdtContent>
      <w:sdt>
        <w:sdtPr>
          <w15:appearance w15:val="boundingBox"/>
          <w:id w:val="171357217"/>
          <w:rPr/>
        </w:sdtPr>
        <w:sdtContent>
          <w:p>
            <w:pPr>
              <w:pStyle w:val="858"/>
              <w:jc w:val="center"/>
            </w:pP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w:t>
            </w:r>
            <w:r>
              <w:rPr>
                <w:b/>
                <w:sz w:val="24"/>
                <w:szCs w:val="24"/>
              </w:rPr>
              <w:fldChar w:fldCharType="end"/>
            </w:r>
            <w:r/>
          </w:p>
        </w:sdtContent>
      </w:sdt>
    </w:sdtContent>
  </w:sdt>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ind w:left="-6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1"/>
      <w:lvlJc w:val="left"/>
      <w:pPr>
        <w:ind w:left="0" w:firstLine="0"/>
      </w:pPr>
      <w:rPr>
        <w:rFonts w:hint="default" w:ascii="undefined" w:hAnsi="undefined" w:eastAsia="undefined" w:cs="undefined"/>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0"/>
    <w:next w:val="850"/>
    <w:link w:val="677"/>
    <w:uiPriority w:val="9"/>
    <w:qFormat/>
    <w:pPr>
      <w:keepLines/>
      <w:keepNext/>
      <w:spacing w:before="480" w:after="200"/>
      <w:outlineLvl w:val="0"/>
    </w:pPr>
    <w:rPr>
      <w:rFonts w:ascii="Arial" w:hAnsi="Arial" w:eastAsia="Arial" w:cs="Arial"/>
      <w:sz w:val="40"/>
      <w:szCs w:val="40"/>
    </w:rPr>
  </w:style>
  <w:style w:type="character" w:styleId="677">
    <w:name w:val="Heading 1 Char"/>
    <w:basedOn w:val="851"/>
    <w:link w:val="676"/>
    <w:uiPriority w:val="9"/>
    <w:rPr>
      <w:rFonts w:ascii="Arial" w:hAnsi="Arial" w:eastAsia="Arial" w:cs="Arial"/>
      <w:sz w:val="40"/>
      <w:szCs w:val="40"/>
    </w:rPr>
  </w:style>
  <w:style w:type="paragraph" w:styleId="678">
    <w:name w:val="Heading 2"/>
    <w:basedOn w:val="850"/>
    <w:next w:val="850"/>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basedOn w:val="851"/>
    <w:link w:val="678"/>
    <w:uiPriority w:val="9"/>
    <w:rPr>
      <w:rFonts w:ascii="Arial" w:hAnsi="Arial" w:eastAsia="Arial" w:cs="Arial"/>
      <w:sz w:val="34"/>
    </w:rPr>
  </w:style>
  <w:style w:type="paragraph" w:styleId="680">
    <w:name w:val="Heading 3"/>
    <w:basedOn w:val="850"/>
    <w:next w:val="850"/>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basedOn w:val="851"/>
    <w:link w:val="680"/>
    <w:uiPriority w:val="9"/>
    <w:rPr>
      <w:rFonts w:ascii="Arial" w:hAnsi="Arial" w:eastAsia="Arial" w:cs="Arial"/>
      <w:sz w:val="30"/>
      <w:szCs w:val="30"/>
    </w:rPr>
  </w:style>
  <w:style w:type="paragraph" w:styleId="682">
    <w:name w:val="Heading 4"/>
    <w:basedOn w:val="850"/>
    <w:next w:val="850"/>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1"/>
    <w:link w:val="682"/>
    <w:uiPriority w:val="9"/>
    <w:rPr>
      <w:rFonts w:ascii="Arial" w:hAnsi="Arial" w:eastAsia="Arial" w:cs="Arial"/>
      <w:b/>
      <w:bCs/>
      <w:sz w:val="26"/>
      <w:szCs w:val="26"/>
    </w:rPr>
  </w:style>
  <w:style w:type="paragraph" w:styleId="684">
    <w:name w:val="Heading 5"/>
    <w:basedOn w:val="850"/>
    <w:next w:val="850"/>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1"/>
    <w:link w:val="684"/>
    <w:uiPriority w:val="9"/>
    <w:rPr>
      <w:rFonts w:ascii="Arial" w:hAnsi="Arial" w:eastAsia="Arial" w:cs="Arial"/>
      <w:b/>
      <w:bCs/>
      <w:sz w:val="24"/>
      <w:szCs w:val="24"/>
    </w:rPr>
  </w:style>
  <w:style w:type="paragraph" w:styleId="686">
    <w:name w:val="Heading 6"/>
    <w:basedOn w:val="850"/>
    <w:next w:val="850"/>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1"/>
    <w:link w:val="686"/>
    <w:uiPriority w:val="9"/>
    <w:rPr>
      <w:rFonts w:ascii="Arial" w:hAnsi="Arial" w:eastAsia="Arial" w:cs="Arial"/>
      <w:b/>
      <w:bCs/>
      <w:sz w:val="22"/>
      <w:szCs w:val="22"/>
    </w:rPr>
  </w:style>
  <w:style w:type="paragraph" w:styleId="688">
    <w:name w:val="Heading 7"/>
    <w:basedOn w:val="850"/>
    <w:next w:val="850"/>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1"/>
    <w:link w:val="688"/>
    <w:uiPriority w:val="9"/>
    <w:rPr>
      <w:rFonts w:ascii="Arial" w:hAnsi="Arial" w:eastAsia="Arial" w:cs="Arial"/>
      <w:b/>
      <w:bCs/>
      <w:i/>
      <w:iCs/>
      <w:sz w:val="22"/>
      <w:szCs w:val="22"/>
    </w:rPr>
  </w:style>
  <w:style w:type="paragraph" w:styleId="690">
    <w:name w:val="Heading 8"/>
    <w:basedOn w:val="850"/>
    <w:next w:val="850"/>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1"/>
    <w:link w:val="690"/>
    <w:uiPriority w:val="9"/>
    <w:rPr>
      <w:rFonts w:ascii="Arial" w:hAnsi="Arial" w:eastAsia="Arial" w:cs="Arial"/>
      <w:i/>
      <w:iCs/>
      <w:sz w:val="22"/>
      <w:szCs w:val="22"/>
    </w:rPr>
  </w:style>
  <w:style w:type="paragraph" w:styleId="692">
    <w:name w:val="Heading 9"/>
    <w:basedOn w:val="850"/>
    <w:next w:val="850"/>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1"/>
    <w:link w:val="692"/>
    <w:uiPriority w:val="9"/>
    <w:rPr>
      <w:rFonts w:ascii="Arial" w:hAnsi="Arial" w:eastAsia="Arial" w:cs="Arial"/>
      <w:i/>
      <w:iCs/>
      <w:sz w:val="21"/>
      <w:szCs w:val="21"/>
    </w:rPr>
  </w:style>
  <w:style w:type="paragraph" w:styleId="694">
    <w:name w:val="List Paragraph"/>
    <w:basedOn w:val="850"/>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0"/>
    <w:next w:val="850"/>
    <w:link w:val="697"/>
    <w:uiPriority w:val="10"/>
    <w:qFormat/>
    <w:pPr>
      <w:contextualSpacing/>
      <w:spacing w:before="300" w:after="200"/>
    </w:pPr>
    <w:rPr>
      <w:sz w:val="48"/>
      <w:szCs w:val="48"/>
    </w:rPr>
  </w:style>
  <w:style w:type="character" w:styleId="697">
    <w:name w:val="Title Char"/>
    <w:basedOn w:val="851"/>
    <w:link w:val="696"/>
    <w:uiPriority w:val="10"/>
    <w:rPr>
      <w:sz w:val="48"/>
      <w:szCs w:val="48"/>
    </w:rPr>
  </w:style>
  <w:style w:type="paragraph" w:styleId="698">
    <w:name w:val="Subtitle"/>
    <w:basedOn w:val="850"/>
    <w:next w:val="850"/>
    <w:link w:val="699"/>
    <w:uiPriority w:val="11"/>
    <w:qFormat/>
    <w:pPr>
      <w:spacing w:before="200" w:after="200"/>
    </w:pPr>
    <w:rPr>
      <w:sz w:val="24"/>
      <w:szCs w:val="24"/>
    </w:rPr>
  </w:style>
  <w:style w:type="character" w:styleId="699">
    <w:name w:val="Subtitle Char"/>
    <w:basedOn w:val="851"/>
    <w:link w:val="698"/>
    <w:uiPriority w:val="11"/>
    <w:rPr>
      <w:sz w:val="24"/>
      <w:szCs w:val="24"/>
    </w:rPr>
  </w:style>
  <w:style w:type="paragraph" w:styleId="700">
    <w:name w:val="Quote"/>
    <w:basedOn w:val="850"/>
    <w:next w:val="850"/>
    <w:link w:val="701"/>
    <w:uiPriority w:val="29"/>
    <w:qFormat/>
    <w:pPr>
      <w:ind w:left="720" w:right="720"/>
    </w:pPr>
    <w:rPr>
      <w:i/>
    </w:rPr>
  </w:style>
  <w:style w:type="character" w:styleId="701">
    <w:name w:val="Quote Char"/>
    <w:link w:val="700"/>
    <w:uiPriority w:val="29"/>
    <w:rPr>
      <w:i/>
    </w:rPr>
  </w:style>
  <w:style w:type="paragraph" w:styleId="702">
    <w:name w:val="Intense Quote"/>
    <w:basedOn w:val="850"/>
    <w:next w:val="850"/>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1"/>
    <w:link w:val="859"/>
    <w:uiPriority w:val="99"/>
  </w:style>
  <w:style w:type="character" w:styleId="705">
    <w:name w:val="Footer Char"/>
    <w:basedOn w:val="851"/>
    <w:link w:val="858"/>
    <w:uiPriority w:val="99"/>
  </w:style>
  <w:style w:type="paragraph" w:styleId="706">
    <w:name w:val="Caption"/>
    <w:basedOn w:val="850"/>
    <w:next w:val="850"/>
    <w:uiPriority w:val="35"/>
    <w:semiHidden/>
    <w:unhideWhenUsed/>
    <w:qFormat/>
    <w:pPr>
      <w:spacing w:line="276" w:lineRule="auto"/>
    </w:pPr>
    <w:rPr>
      <w:b/>
      <w:bCs/>
      <w:color w:val="4f81bd" w:themeColor="accent1"/>
      <w:sz w:val="18"/>
      <w:szCs w:val="18"/>
    </w:rPr>
  </w:style>
  <w:style w:type="character" w:styleId="707">
    <w:name w:val="Caption Char"/>
    <w:basedOn w:val="706"/>
    <w:link w:val="858"/>
    <w:uiPriority w:val="99"/>
  </w:style>
  <w:style w:type="table" w:styleId="708">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1"/>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1"/>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53"/>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851" w:default="1">
    <w:name w:val="Default Paragraph Font"/>
    <w:uiPriority w:val="1"/>
    <w:unhideWhenUsed/>
    <w:qFormat/>
  </w:style>
  <w:style w:type="table" w:styleId="852" w:default="1">
    <w:name w:val="Normal Table"/>
    <w:uiPriority w:val="99"/>
    <w:unhideWhenUsed/>
    <w:qFormat/>
    <w:tblPr>
      <w:tblCellMar>
        <w:left w:w="108" w:type="dxa"/>
        <w:top w:w="0" w:type="dxa"/>
        <w:right w:w="108" w:type="dxa"/>
        <w:bottom w:w="0" w:type="dxa"/>
      </w:tblCellMar>
    </w:tblPr>
  </w:style>
  <w:style w:type="paragraph" w:styleId="853">
    <w:name w:val="Block Text"/>
    <w:basedOn w:val="850"/>
    <w:uiPriority w:val="0"/>
    <w:qFormat/>
    <w:pPr>
      <w:ind w:left="1440" w:right="1440"/>
      <w:spacing w:after="120"/>
    </w:pPr>
  </w:style>
  <w:style w:type="paragraph" w:styleId="854">
    <w:name w:val="Document Map"/>
    <w:basedOn w:val="850"/>
    <w:link w:val="866"/>
    <w:uiPriority w:val="99"/>
    <w:unhideWhenUsed/>
    <w:qFormat/>
    <w:rPr>
      <w:rFonts w:ascii="宋体" w:eastAsia="宋体"/>
      <w:sz w:val="18"/>
      <w:szCs w:val="18"/>
    </w:rPr>
  </w:style>
  <w:style w:type="paragraph" w:styleId="855">
    <w:name w:val="annotation text"/>
    <w:basedOn w:val="850"/>
    <w:uiPriority w:val="99"/>
    <w:unhideWhenUsed/>
    <w:qFormat/>
    <w:pPr>
      <w:jc w:val="left"/>
    </w:pPr>
  </w:style>
  <w:style w:type="paragraph" w:styleId="856">
    <w:name w:val="index 4"/>
    <w:basedOn w:val="850"/>
    <w:next w:val="850"/>
    <w:uiPriority w:val="0"/>
    <w:semiHidden/>
    <w:qFormat/>
    <w:pPr>
      <w:ind w:left="1260"/>
    </w:pPr>
    <w:rPr>
      <w:rFonts w:ascii="Calibri" w:hAnsi="Calibri" w:eastAsia="Calibri" w:cs="宋体"/>
      <w:sz w:val="20"/>
      <w:lang w:val="zh-CN"/>
    </w:rPr>
  </w:style>
  <w:style w:type="paragraph" w:styleId="857">
    <w:name w:val="Balloon Text"/>
    <w:basedOn w:val="850"/>
    <w:link w:val="865"/>
    <w:uiPriority w:val="99"/>
    <w:unhideWhenUsed/>
    <w:qFormat/>
    <w:rPr>
      <w:sz w:val="18"/>
      <w:szCs w:val="18"/>
    </w:rPr>
  </w:style>
  <w:style w:type="paragraph" w:styleId="858">
    <w:name w:val="Footer"/>
    <w:basedOn w:val="850"/>
    <w:link w:val="864"/>
    <w:uiPriority w:val="99"/>
    <w:unhideWhenUsed/>
    <w:qFormat/>
    <w:pPr>
      <w:jc w:val="left"/>
      <w:tabs>
        <w:tab w:val="center" w:pos="4153" w:leader="none"/>
        <w:tab w:val="right" w:pos="8306" w:leader="none"/>
      </w:tabs>
    </w:pPr>
    <w:rPr>
      <w:sz w:val="18"/>
      <w:szCs w:val="18"/>
    </w:rPr>
  </w:style>
  <w:style w:type="paragraph" w:styleId="859">
    <w:name w:val="Header"/>
    <w:basedOn w:val="850"/>
    <w:link w:val="863"/>
    <w:uiPriority w:val="99"/>
    <w:unhideWhenUsed/>
    <w:qFormat/>
    <w:pPr>
      <w:jc w:val="center"/>
      <w:tabs>
        <w:tab w:val="center" w:pos="4153" w:leader="none"/>
        <w:tab w:val="right" w:pos="8306" w:leader="none"/>
      </w:tabs>
      <w:pBdr>
        <w:bottom w:val="single" w:color="auto" w:sz="6" w:space="1"/>
      </w:pBdr>
    </w:pPr>
    <w:rPr>
      <w:sz w:val="18"/>
      <w:szCs w:val="18"/>
    </w:rPr>
  </w:style>
  <w:style w:type="table" w:styleId="860">
    <w:name w:val="Table Grid"/>
    <w:basedOn w:val="85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Hyperlink"/>
    <w:basedOn w:val="851"/>
    <w:uiPriority w:val="99"/>
    <w:unhideWhenUsed/>
    <w:qFormat/>
    <w:rPr>
      <w:color w:val="0000ff"/>
      <w:u w:val="single"/>
    </w:rPr>
  </w:style>
  <w:style w:type="paragraph" w:styleId="862" w:customStyle="1">
    <w:name w:val="reader-word-layer"/>
    <w:basedOn w:val="850"/>
    <w:uiPriority w:val="0"/>
    <w:qFormat/>
    <w:pPr>
      <w:jc w:val="left"/>
      <w:spacing w:before="100" w:beforeAutospacing="1" w:after="100" w:afterAutospacing="1"/>
      <w:widowControl/>
    </w:pPr>
    <w:rPr>
      <w:rFonts w:ascii="宋体" w:hAnsi="宋体" w:eastAsia="宋体" w:cs="宋体"/>
      <w:sz w:val="24"/>
      <w:szCs w:val="24"/>
    </w:rPr>
  </w:style>
  <w:style w:type="character" w:styleId="863" w:customStyle="1">
    <w:name w:val="页眉 Char"/>
    <w:basedOn w:val="851"/>
    <w:link w:val="859"/>
    <w:uiPriority w:val="99"/>
    <w:semiHidden/>
    <w:qFormat/>
    <w:rPr>
      <w:sz w:val="18"/>
      <w:szCs w:val="18"/>
    </w:rPr>
  </w:style>
  <w:style w:type="character" w:styleId="864" w:customStyle="1">
    <w:name w:val="页脚 Char"/>
    <w:basedOn w:val="851"/>
    <w:link w:val="858"/>
    <w:uiPriority w:val="99"/>
    <w:qFormat/>
    <w:rPr>
      <w:sz w:val="18"/>
      <w:szCs w:val="18"/>
    </w:rPr>
  </w:style>
  <w:style w:type="character" w:styleId="865" w:customStyle="1">
    <w:name w:val="批注框文本 Char"/>
    <w:basedOn w:val="851"/>
    <w:link w:val="857"/>
    <w:uiPriority w:val="99"/>
    <w:semiHidden/>
    <w:qFormat/>
    <w:rPr>
      <w:rFonts w:asciiTheme="minorHAnsi" w:hAnsiTheme="minorHAnsi" w:eastAsiaTheme="minorEastAsia" w:cstheme="minorBidi"/>
      <w:sz w:val="18"/>
      <w:szCs w:val="18"/>
    </w:rPr>
  </w:style>
  <w:style w:type="character" w:styleId="866" w:customStyle="1">
    <w:name w:val="文档结构图 Char"/>
    <w:basedOn w:val="851"/>
    <w:link w:val="854"/>
    <w:uiPriority w:val="99"/>
    <w:semiHidden/>
    <w:qFormat/>
    <w:rPr>
      <w:rFonts w:ascii="宋体" w:hAnsiTheme="minorHAnsi" w:cstheme="minorBidi"/>
      <w:sz w:val="18"/>
      <w:szCs w:val="18"/>
    </w:rPr>
  </w:style>
  <w:style w:type="numbering" w:styleId="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马健</dc:creator>
  <cp:lastModifiedBy>谭玲月</cp:lastModifiedBy>
  <cp:revision>27</cp:revision>
  <dcterms:created xsi:type="dcterms:W3CDTF">2017-11-01T02:51:00Z</dcterms:created>
  <dcterms:modified xsi:type="dcterms:W3CDTF">2026-05-07T02:34:23Z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316126A4EE964AA5995B14DD100FCDD0</vt:lpwstr>
  </property>
</Properties>
</file>