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30"/>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t xml:space="preserve">竞争性</w:t>
      </w:r>
      <w:r>
        <w:rPr>
          <w:rFonts w:hint="eastAsia" w:ascii="Arial" w:hAnsi="Arial" w:eastAsia="黑体" w:cs="Times New Roman"/>
          <w:b/>
          <w:bCs/>
          <w:color w:val="auto"/>
          <w:sz w:val="84"/>
          <w:lang w:eastAsia="zh-CN"/>
        </w:rPr>
        <w:t xml:space="preserve">谈判</w:t>
      </w:r>
      <w:r>
        <w:rPr>
          <w:rFonts w:hint="eastAsia" w:ascii="Arial" w:hAnsi="Arial" w:eastAsia="黑体" w:cs="Times New Roman"/>
          <w:b/>
          <w:bCs/>
          <w:color w:val="auto"/>
          <w:sz w:val="84"/>
        </w:rPr>
        <w:t xml:space="preserve">文件</w:t>
      </w:r>
      <w:r/>
    </w:p>
    <w:p>
      <w:pPr>
        <w:ind w:firstLine="1606"/>
        <w:rPr>
          <w:rFonts w:hint="eastAsia" w:ascii="Arial" w:hAnsi="Arial" w:cs="Times New Roman"/>
          <w:b/>
          <w:bCs/>
          <w:color w:val="auto"/>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color w:val="auto"/>
          <w:sz w:val="32"/>
          <w:szCs w:val="24"/>
          <w:lang w:eastAsia="zh-CN"/>
        </w:rPr>
        <w:t xml:space="preserve">：</w:t>
      </w:r>
      <w:r>
        <w:rPr>
          <w:rFonts w:hint="eastAsia" w:ascii="Times New Roman" w:hAnsi="Times New Roman"/>
          <w:b/>
          <w:color w:val="auto"/>
          <w:sz w:val="32"/>
          <w:szCs w:val="32"/>
        </w:rPr>
        <w:t xml:space="preserve">紫金山实验室无蜂窝通信系统BBU前传管理面软件开发服务</w:t>
      </w:r>
      <w:r>
        <w:rPr>
          <w:rFonts w:hint="eastAsia" w:ascii="Times New Roman" w:hAnsi="Times New Roman" w:eastAsia="宋体" w:cs="Times New Roman"/>
          <w:b/>
          <w:bCs w:val="0"/>
          <w:color w:val="auto"/>
          <w:sz w:val="32"/>
          <w:szCs w:val="32"/>
          <w:u w:val="none"/>
          <w:lang w:val="en-US" w:eastAsia="zh-CN"/>
        </w:rPr>
        <w:t xml:space="preserve"> </w:t>
      </w:r>
      <w:r/>
    </w:p>
    <w:p>
      <w:pPr>
        <w:ind w:firstLine="1606"/>
        <w:jc w:val="left"/>
        <w:spacing w:before="120" w:after="120" w:line="360" w:lineRule="auto"/>
        <w:rPr>
          <w:rFonts w:hint="default"/>
          <w:color w:val="auto"/>
          <w:lang w:val="en-US"/>
        </w:rPr>
      </w:pPr>
      <w:r>
        <w:rPr>
          <w:rFonts w:hint="eastAsia" w:ascii="Arial" w:hAnsi="Arial" w:eastAsia="宋体" w:cs="Times New Roman"/>
          <w:b/>
          <w:bCs/>
          <w:color w:val="auto"/>
          <w:sz w:val="32"/>
          <w:szCs w:val="24"/>
          <w:lang w:eastAsia="zh-CN"/>
        </w:rPr>
        <w:t xml:space="preserve">项目编号：</w:t>
      </w:r>
      <w:r>
        <w:rPr>
          <w:rFonts w:hint="eastAsia" w:ascii="Times New Roman" w:hAnsi="Times New Roman" w:eastAsia="宋体" w:cs="Times New Roman"/>
          <w:b/>
          <w:bCs w:val="0"/>
          <w:color w:val="auto"/>
          <w:sz w:val="32"/>
          <w:szCs w:val="32"/>
          <w:u w:val="none"/>
          <w:lang w:val="en-US" w:eastAsia="zh-CN"/>
        </w:rPr>
        <w:t xml:space="preserve">JSZC-320100-JZCG-T2026-0074</w:t>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ascii="Times New Roman" w:hAnsi="Times New Roman" w:eastAsia="宋体" w:cs="Times New Roman"/>
          <w:b/>
          <w:color w:val="auto"/>
          <w:sz w:val="30"/>
          <w:szCs w:val="30"/>
          <w:lang w:eastAsia="zh-CN"/>
        </w:rPr>
        <w:t xml:space="preserve">）</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30"/>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ascii="Times New Roman" w:hAnsi="Times New Roman" w:cs="Times New Roman"/>
          <w:b/>
          <w:bCs w:val="0"/>
          <w:color w:val="auto"/>
          <w:sz w:val="32"/>
          <w:szCs w:val="32"/>
          <w:u w:val="none"/>
          <w:lang w:val="en-US" w:eastAsia="zh-CN"/>
        </w:rPr>
        <w:t xml:space="preserve">5</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谈判邀请……………………………………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供应商须知…………………………………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合同文本……………………………………</w:t>
      </w:r>
      <w:r>
        <w:rPr>
          <w:rFonts w:hint="eastAsia" w:ascii="黑体" w:hAnsi="宋体" w:eastAsia="黑体" w:cs="Times New Roman"/>
          <w:color w:val="auto"/>
          <w:sz w:val="36"/>
          <w:szCs w:val="21"/>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采购需求……………………………………</w:t>
      </w:r>
      <w:r>
        <w:rPr>
          <w:rFonts w:hint="eastAsia" w:ascii="黑体" w:hAnsi="宋体" w:eastAsia="黑体" w:cs="Times New Roman"/>
          <w:color w:val="auto"/>
          <w:sz w:val="36"/>
          <w:szCs w:val="21"/>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成交标准……………………………………</w:t>
      </w:r>
      <w:r>
        <w:rPr>
          <w:rFonts w:hint="eastAsia" w:ascii="黑体" w:hAnsi="宋体" w:eastAsia="黑体" w:cs="Times New Roman"/>
          <w:color w:val="auto"/>
          <w:sz w:val="36"/>
          <w:szCs w:val="21"/>
          <w:lang w:val="en-US" w:eastAsia="zh-CN"/>
        </w:rPr>
        <w:t xml:space="preserve">22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响应文件格式………………………………</w:t>
      </w:r>
      <w:r>
        <w:rPr>
          <w:rFonts w:hint="eastAsia" w:ascii="黑体" w:hAnsi="宋体" w:eastAsia="黑体" w:cs="Times New Roman"/>
          <w:color w:val="auto"/>
          <w:sz w:val="36"/>
          <w:szCs w:val="21"/>
          <w:lang w:val="en-US" w:eastAsia="zh-CN"/>
        </w:rPr>
        <w:t xml:space="preserve">23</w:t>
      </w:r>
      <w:r/>
    </w:p>
    <w:p>
      <w:pPr>
        <w:keepLines w:val="0"/>
        <w:keepNext w:val="0"/>
        <w:pageBreakBefore w:val="0"/>
        <w:spacing w:line="480" w:lineRule="auto"/>
        <w:widowControl w:val="off"/>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谈判邀请</w:t>
      </w:r>
      <w:r/>
    </w:p>
    <w:p>
      <w:pPr>
        <w:ind w:firstLine="480"/>
        <w:pageBreakBefore w:val="0"/>
        <w:spacing w:line="240" w:lineRule="auto"/>
        <w:widowControl w:val="off"/>
        <w:rPr>
          <w:rFonts w:hint="eastAsia" w:ascii="宋体" w:hAnsi="宋体"/>
          <w:sz w:val="24"/>
          <w:szCs w:val="24"/>
        </w:rPr>
      </w:pPr>
      <w:r/>
      <w:bookmarkStart w:id="6" w:name="_Toc35393790"/>
      <w:r/>
      <w:bookmarkStart w:id="7" w:name="_Toc35393621"/>
      <w:r/>
      <w:bookmarkStart w:id="8" w:name="_Toc38985263"/>
      <w:r/>
      <w:bookmarkStart w:id="9" w:name="_Toc28359079"/>
      <w:r/>
      <w:bookmarkStart w:id="10" w:name="_Toc28359002"/>
      <w:r/>
      <w:bookmarkStart w:id="11" w:name="_Hlk24379207"/>
      <w:r/>
      <w:bookmarkStart w:id="12" w:name="_Toc35393622"/>
      <w:r/>
      <w:bookmarkStart w:id="13" w:name="_Toc35393791"/>
      <w:r/>
      <w:bookmarkStart w:id="14" w:name="_Toc28359080"/>
      <w:r/>
      <w:bookmarkStart w:id="15" w:name="_Toc38985264"/>
      <w:r/>
      <w:bookmarkStart w:id="16" w:name="_Toc28359003"/>
      <w:r/>
      <w:r/>
    </w:p>
    <w:p>
      <w:pPr>
        <w:ind w:firstLine="480"/>
        <w:pageBreakBefore w:val="0"/>
        <w:spacing w:line="240" w:lineRule="auto"/>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eastAsia="zh-CN"/>
        </w:rPr>
        <w:t xml:space="preserve">受紫金山实验室委托，南京市公共资源交易中心（</w:t>
      </w:r>
      <w:r>
        <w:rPr>
          <w:rFonts w:hint="eastAsia" w:ascii="宋体" w:hAnsi="宋体" w:eastAsia="宋体" w:cs="Times New Roman"/>
          <w:b w:val="0"/>
          <w:bCs w:val="0"/>
          <w:color w:val="auto"/>
          <w:sz w:val="24"/>
          <w:szCs w:val="24"/>
          <w:lang w:val="en-US" w:eastAsia="zh-CN"/>
        </w:rPr>
        <w:t xml:space="preserve">以下简称“交易中心”</w:t>
      </w:r>
      <w:r>
        <w:rPr>
          <w:rFonts w:hint="eastAsia" w:ascii="宋体" w:hAnsi="宋体" w:eastAsia="宋体" w:cs="Times New Roman"/>
          <w:b w:val="0"/>
          <w:bCs w:val="0"/>
          <w:color w:val="auto"/>
          <w:sz w:val="24"/>
          <w:szCs w:val="24"/>
          <w:lang w:eastAsia="zh-CN"/>
        </w:rPr>
        <w:t xml:space="preserve">）就紫金山实验室无蜂窝通信系统BBU前传管理面软件开发服务进行</w:t>
      </w:r>
      <w:r>
        <w:rPr>
          <w:rFonts w:hint="eastAsia" w:ascii="宋体" w:hAnsi="宋体" w:eastAsia="宋体" w:cs="Times New Roman"/>
          <w:b w:val="0"/>
          <w:bCs w:val="0"/>
          <w:color w:val="auto"/>
          <w:sz w:val="24"/>
          <w:szCs w:val="24"/>
          <w:lang w:val="en-US" w:eastAsia="zh-CN"/>
        </w:rPr>
        <w:t xml:space="preserve">竞争性谈判采购，欢迎符合条件的供应商参加谈判。</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r/>
    </w:p>
    <w:p>
      <w:pPr>
        <w:ind w:firstLine="480"/>
        <w:pageBreakBefore w:val="0"/>
        <w:spacing w:line="240" w:lineRule="auto"/>
        <w:widowControl w:val="off"/>
        <w:rPr>
          <w:rFonts w:hint="default" w:ascii="宋体" w:hAnsi="宋体"/>
          <w:color w:val="auto"/>
          <w:sz w:val="24"/>
          <w:szCs w:val="24"/>
          <w:lang w:val="en-US"/>
        </w:rPr>
      </w:pPr>
      <w:r>
        <w:rPr>
          <w:rFonts w:hint="eastAsia" w:ascii="宋体" w:hAnsi="宋体"/>
          <w:sz w:val="24"/>
          <w:szCs w:val="24"/>
        </w:rPr>
        <w:t xml:space="preserve">1.项目编号：</w:t>
      </w:r>
      <w:r>
        <w:rPr>
          <w:rFonts w:hint="eastAsia" w:ascii="宋体" w:hAnsi="宋体" w:eastAsia="宋体" w:cs="Times New Roman"/>
          <w:color w:val="auto"/>
          <w:sz w:val="24"/>
          <w:szCs w:val="24"/>
          <w:lang w:eastAsia="zh-CN"/>
        </w:rPr>
        <w:t xml:space="preserve">JSZC-3201</w:t>
      </w:r>
      <w:r>
        <w:rPr>
          <w:rFonts w:hint="eastAsia" w:ascii="宋体" w:hAnsi="宋体" w:eastAsia="宋体" w:cs="Times New Roman"/>
          <w:color w:val="auto"/>
          <w:sz w:val="24"/>
          <w:szCs w:val="24"/>
          <w:lang w:val="en-US" w:eastAsia="zh-CN"/>
        </w:rPr>
        <w:t xml:space="preserve">00</w:t>
      </w:r>
      <w:r>
        <w:rPr>
          <w:rFonts w:hint="eastAsia" w:ascii="宋体" w:hAnsi="宋体" w:eastAsia="宋体" w:cs="Times New Roman"/>
          <w:color w:val="auto"/>
          <w:sz w:val="24"/>
          <w:szCs w:val="24"/>
          <w:lang w:eastAsia="zh-CN"/>
        </w:rPr>
        <w:t xml:space="preserve">-JZCG-T20</w:t>
      </w:r>
      <w:r>
        <w:rPr>
          <w:rFonts w:hint="eastAsia" w:ascii="宋体" w:hAnsi="宋体" w:eastAsia="宋体" w:cs="Times New Roman"/>
          <w:color w:val="auto"/>
          <w:sz w:val="24"/>
          <w:szCs w:val="24"/>
          <w:lang w:val="en-US" w:eastAsia="zh-CN"/>
        </w:rPr>
        <w:t xml:space="preserve">26</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0074</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eastAsia="宋体" w:cs="Times New Roman"/>
          <w:b w:val="0"/>
          <w:bCs w:val="0"/>
          <w:color w:val="auto"/>
          <w:sz w:val="24"/>
          <w:szCs w:val="24"/>
          <w:lang w:eastAsia="zh-CN"/>
        </w:rPr>
        <w:t xml:space="preserve">紫金山实验室无蜂窝通信系统BBU前传管理面软件开发服务</w:t>
      </w:r>
      <w:bookmarkEnd w:id="11"/>
      <w:r/>
      <w:r/>
    </w:p>
    <w:p>
      <w:pPr>
        <w:ind w:firstLine="480"/>
        <w:spacing w:line="240"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rPr>
        <w:t xml:space="preserve">3.预算金额：</w:t>
      </w:r>
      <w:r>
        <w:rPr>
          <w:rFonts w:hint="eastAsia" w:ascii="宋体" w:hAnsi="宋体" w:eastAsia="宋体" w:cs="Times New Roman"/>
          <w:color w:val="auto"/>
          <w:sz w:val="24"/>
          <w:szCs w:val="24"/>
          <w:highlight w:val="none"/>
          <w:u w:val="none"/>
          <w:lang w:val="en-US" w:eastAsia="zh-CN"/>
        </w:rPr>
        <w:t xml:space="preserve">45万元</w:t>
      </w:r>
      <w:r/>
    </w:p>
    <w:p>
      <w:pPr>
        <w:ind w:firstLine="480"/>
        <w:pageBreakBefore w:val="0"/>
        <w:spacing w:line="240"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4.</w:t>
      </w:r>
      <w:r>
        <w:rPr>
          <w:rFonts w:hint="eastAsia" w:ascii="宋体" w:hAnsi="宋体" w:eastAsia="宋体" w:cs="Times New Roman"/>
          <w:color w:val="auto"/>
          <w:sz w:val="24"/>
          <w:szCs w:val="24"/>
          <w:lang w:val="en-US" w:eastAsia="zh-CN"/>
        </w:rPr>
        <w:t xml:space="preserve">最高限价：</w:t>
      </w:r>
      <w:r>
        <w:rPr>
          <w:rFonts w:hint="eastAsia" w:ascii="宋体" w:hAnsi="宋体" w:eastAsia="宋体" w:cs="Times New Roman"/>
          <w:color w:val="auto"/>
          <w:sz w:val="24"/>
          <w:szCs w:val="24"/>
          <w:highlight w:val="none"/>
          <w:u w:val="none"/>
          <w:lang w:val="en-US" w:eastAsia="zh-CN"/>
        </w:rPr>
        <w:t xml:space="preserve">45万元</w:t>
      </w:r>
      <w:r/>
    </w:p>
    <w:p>
      <w:pPr>
        <w:ind w:firstLine="480"/>
        <w:pageBreakBefore w:val="0"/>
        <w:spacing w:line="240" w:lineRule="auto"/>
        <w:widowControl w:val="off"/>
        <w:rPr>
          <w:rFonts w:ascii="宋体" w:hAnsi="宋体"/>
          <w:color w:val="auto"/>
          <w:sz w:val="24"/>
          <w:szCs w:val="24"/>
          <w:u w:val="single"/>
        </w:rPr>
      </w:pPr>
      <w:r>
        <w:rPr>
          <w:rFonts w:hint="eastAsia" w:ascii="宋体" w:hAnsi="宋体"/>
          <w:sz w:val="24"/>
          <w:szCs w:val="24"/>
        </w:rPr>
        <w:t xml:space="preserve">5.采购需求（简</w:t>
      </w:r>
      <w:r>
        <w:rPr>
          <w:rFonts w:hint="eastAsia" w:ascii="宋体" w:hAnsi="宋体"/>
          <w:color w:val="auto"/>
          <w:sz w:val="24"/>
          <w:szCs w:val="24"/>
        </w:rPr>
        <w:t xml:space="preserve">介）：</w:t>
      </w:r>
      <w:r>
        <w:rPr>
          <w:rFonts w:hint="eastAsia" w:ascii="宋体" w:hAnsi="宋体" w:cs="宋体"/>
          <w:bCs/>
          <w:color w:val="auto"/>
          <w:sz w:val="24"/>
          <w:szCs w:val="24"/>
        </w:rPr>
        <w:t xml:space="preserve">随着室内外试验系统部署站点数量的持续增加，在运行维护阶段，对远端RRU的参数调整、版本升级与状态监控需求日益频繁。</w:t>
      </w:r>
      <w:r>
        <w:rPr>
          <w:rFonts w:hint="eastAsia" w:ascii="宋体" w:hAnsi="宋体"/>
          <w:color w:val="auto"/>
          <w:sz w:val="24"/>
          <w:szCs w:val="24"/>
          <w:lang w:val="en-US" w:eastAsia="zh-CN"/>
        </w:rPr>
        <w:t xml:space="preserve">本项目拟采</w:t>
      </w:r>
      <w:r>
        <w:rPr>
          <w:rFonts w:hint="eastAsia" w:ascii="宋体" w:hAnsi="宋体" w:eastAsia="宋体" w:cs="宋体"/>
          <w:bCs/>
          <w:color w:val="auto"/>
          <w:sz w:val="24"/>
          <w:szCs w:val="24"/>
          <w:lang w:val="en-US" w:eastAsia="zh-CN"/>
        </w:rPr>
        <w:t xml:space="preserve">购</w:t>
      </w:r>
      <w:r>
        <w:rPr>
          <w:rFonts w:hint="eastAsia" w:ascii="宋体" w:hAnsi="宋体" w:eastAsia="宋体" w:cs="宋体"/>
          <w:bCs/>
          <w:color w:val="auto"/>
          <w:sz w:val="24"/>
          <w:szCs w:val="24"/>
        </w:rPr>
        <w:t xml:space="preserve">RRU管理面数据转发定制开发</w:t>
      </w:r>
      <w:r>
        <w:rPr>
          <w:rFonts w:hint="eastAsia" w:ascii="宋体" w:hAnsi="宋体" w:eastAsia="宋体" w:cs="宋体"/>
          <w:bCs/>
          <w:color w:val="auto"/>
          <w:sz w:val="24"/>
          <w:szCs w:val="24"/>
          <w:lang w:val="en-US" w:eastAsia="zh-CN"/>
        </w:rPr>
        <w:t xml:space="preserve">。</w:t>
      </w:r>
      <w:r>
        <w:rPr>
          <w:rFonts w:hint="eastAsia" w:ascii="宋体" w:hAnsi="宋体" w:cs="宋体"/>
          <w:color w:val="auto"/>
          <w:sz w:val="24"/>
          <w:szCs w:val="24"/>
        </w:rPr>
        <w:t xml:space="preserve">（详细内容见本</w:t>
      </w:r>
      <w:r>
        <w:rPr>
          <w:rFonts w:hint="eastAsia" w:ascii="宋体" w:hAnsi="宋体" w:cs="宋体"/>
          <w:color w:val="auto"/>
          <w:sz w:val="24"/>
          <w:szCs w:val="24"/>
          <w:lang w:eastAsia="zh-CN"/>
        </w:rPr>
        <w:t xml:space="preserve">谈判</w:t>
      </w:r>
      <w:r>
        <w:rPr>
          <w:rFonts w:hint="eastAsia" w:ascii="宋体" w:hAnsi="宋体" w:cs="宋体"/>
          <w:color w:val="auto"/>
          <w:sz w:val="24"/>
          <w:szCs w:val="24"/>
        </w:rPr>
        <w:t xml:space="preserve">文件第四章） </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6.合同履行期限：</w:t>
      </w:r>
      <w:r>
        <w:rPr>
          <w:rFonts w:hint="eastAsia" w:ascii="宋体" w:hAnsi="宋体"/>
          <w:color w:val="auto"/>
          <w:sz w:val="24"/>
          <w:szCs w:val="24"/>
          <w:lang w:val="en-US" w:eastAsia="zh-CN"/>
        </w:rPr>
        <w:t xml:space="preserve">30天</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联合体参加谈判。</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bookmarkEnd w:id="12"/>
      <w:r/>
      <w:bookmarkEnd w:id="13"/>
      <w:r/>
      <w:bookmarkEnd w:id="14"/>
      <w:r/>
      <w:bookmarkEnd w:id="15"/>
      <w:r/>
      <w:bookmarkEnd w:id="16"/>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 w:name="_Toc35393792"/>
      <w:r/>
      <w:bookmarkStart w:id="18" w:name="_Toc28359081"/>
      <w:r/>
      <w:bookmarkStart w:id="19" w:name="_Toc35393623"/>
      <w:r/>
      <w:bookmarkStart w:id="20" w:name="_Toc38985265"/>
      <w:r/>
      <w:bookmarkStart w:id="21" w:name="_Toc28359004"/>
      <w:r>
        <w:rPr>
          <w:rFonts w:hint="eastAsia" w:ascii="方正黑体_GBK" w:hAnsi="方正黑体_GBK" w:eastAsia="方正黑体_GBK" w:cs="方正黑体_GBK"/>
          <w:b w:val="0"/>
          <w:bCs w:val="0"/>
          <w:color w:val="auto"/>
          <w:sz w:val="30"/>
          <w:szCs w:val="30"/>
        </w:rPr>
        <w:t xml:space="preserve">二、申请人的资格要求</w:t>
      </w:r>
      <w:r/>
    </w:p>
    <w:p>
      <w:pPr>
        <w:ind w:firstLine="48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（一）通用资格要求</w:t>
      </w:r>
      <w:r/>
    </w:p>
    <w:p>
      <w:pPr>
        <w:ind w:firstLine="480"/>
        <w:pageBreakBefore w:val="0"/>
        <w:spacing w:line="240"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p>
    <w:p>
      <w:pPr>
        <w:ind w:firstLine="480"/>
        <w:pageBreakBefore w:val="0"/>
        <w:spacing w:line="240"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sz w:val="24"/>
          <w:szCs w:val="24"/>
        </w:rPr>
        <w:t xml:space="preserve">2.落实政府采购政策需满足的资格要</w:t>
      </w:r>
      <w:r>
        <w:rPr>
          <w:rFonts w:hint="eastAsia" w:ascii="宋体" w:hAnsi="宋体"/>
          <w:color w:val="auto"/>
          <w:sz w:val="24"/>
          <w:szCs w:val="24"/>
        </w:rPr>
        <w:t xml:space="preserve">求：</w:t>
      </w:r>
      <w:r>
        <w:rPr>
          <w:rFonts w:hint="eastAsia" w:ascii="宋体" w:hAnsi="宋体" w:eastAsia="宋体" w:cs="Times New Roman"/>
          <w:color w:val="auto"/>
          <w:sz w:val="24"/>
          <w:szCs w:val="24"/>
          <w:highlight w:val="none"/>
          <w:lang w:val="zh-CN" w:eastAsia="zh-CN"/>
        </w:rPr>
        <w:t xml:space="preserve">无</w:t>
      </w:r>
      <w:r>
        <w:rPr>
          <w:rFonts w:hint="eastAsia"/>
          <w:color w:val="auto"/>
          <w:lang w:eastAsia="zh-CN"/>
        </w:rPr>
        <w:t xml:space="preserve">。</w:t>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无</w:t>
      </w:r>
      <w:r>
        <w:rPr>
          <w:rFonts w:hint="eastAsia" w:ascii="宋体" w:hAnsi="宋体"/>
          <w:color w:val="auto"/>
          <w:sz w:val="24"/>
          <w:szCs w:val="24"/>
          <w:lang w:val="en-US" w:eastAsia="zh-CN"/>
        </w:rPr>
        <w:t xml:space="preserve">。</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auto"/>
          <w:sz w:val="30"/>
          <w:szCs w:val="30"/>
        </w:rPr>
        <w:t xml:space="preserve">谈判文件</w:t>
      </w:r>
      <w:r/>
    </w:p>
    <w:p>
      <w:pPr>
        <w:ind w:firstLine="480"/>
        <w:pageBreakBefore w:val="0"/>
        <w:spacing w:line="240" w:lineRule="auto"/>
        <w:widowControl w:val="off"/>
        <w:rPr>
          <w:rFonts w:hint="eastAsia" w:ascii="宋体" w:hAnsi="宋体" w:eastAsia="宋体" w:cs="Times New Roman"/>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eastAsia="宋体" w:cs="Times New Roman"/>
          <w:sz w:val="24"/>
          <w:szCs w:val="24"/>
        </w:rPr>
        <w:t xml:space="preserve">1.时间：自谈判文件公告发布之日起。</w:t>
      </w:r>
      <w:r/>
    </w:p>
    <w:p>
      <w:pPr>
        <w:ind w:firstLine="48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2.方式：在“江苏政府采购网”免费下载。</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w:t>
      </w:r>
      <w:bookmarkEnd w:id="22"/>
      <w:r/>
      <w:bookmarkEnd w:id="23"/>
      <w:r>
        <w:rPr>
          <w:rFonts w:hint="eastAsia" w:ascii="方正黑体_GBK" w:hAnsi="方正黑体_GBK" w:eastAsia="方正黑体_GBK" w:cs="方正黑体_GBK"/>
          <w:b w:val="0"/>
          <w:bCs w:val="0"/>
          <w:color w:val="auto"/>
          <w:sz w:val="30"/>
          <w:szCs w:val="30"/>
        </w:rPr>
        <w:t xml:space="preserve">响应文件截止时间</w:t>
      </w:r>
      <w:bookmarkEnd w:id="24"/>
      <w:r/>
      <w:bookmarkEnd w:id="25"/>
      <w:r/>
      <w:bookmarkEnd w:id="26"/>
      <w:r/>
      <w:r/>
    </w:p>
    <w:p>
      <w:pPr>
        <w:ind w:firstLine="480"/>
        <w:spacing w:line="240" w:lineRule="auto"/>
        <w:rPr>
          <w:rFonts w:hint="eastAsia" w:ascii="宋体" w:hAnsi="宋体" w:eastAsia="宋体" w:cs="Times New Roman"/>
          <w:b w:val="0"/>
          <w:bCs w:val="0"/>
          <w:sz w:val="24"/>
          <w:szCs w:val="24"/>
          <w:lang w:eastAsia="zh-CN"/>
        </w:rPr>
        <w:outlineLvl w:val="9"/>
      </w:pPr>
      <w:r/>
      <w:bookmarkStart w:id="27" w:name="_Toc28359084"/>
      <w:r/>
      <w:bookmarkStart w:id="28" w:name="_Toc35393794"/>
      <w:r/>
      <w:bookmarkStart w:id="29" w:name="_Toc28359007"/>
      <w:r/>
      <w:bookmarkStart w:id="30" w:name="_Toc38985267"/>
      <w:r/>
      <w:bookmarkStart w:id="31" w:name="_Toc35393625"/>
      <w:r>
        <w:rPr>
          <w:rFonts w:hint="eastAsia" w:ascii="宋体" w:hAnsi="宋体" w:eastAsia="宋体" w:cs="Times New Roman"/>
          <w:b w:val="0"/>
          <w:bCs w:val="0"/>
          <w:color w:val="000000" w:themeColor="text1"/>
          <w:sz w:val="24"/>
          <w:szCs w:val="24"/>
          <w:u w:val="none"/>
          <w:lang w:val="en-US" w:eastAsia="zh-CN"/>
        </w:rPr>
        <w:t xml:space="preserve">20</w:t>
      </w:r>
      <w:r>
        <w:rPr>
          <w:rFonts w:hint="eastAsia" w:ascii="宋体" w:hAnsi="宋体" w:eastAsia="宋体" w:cs="Times New Roman"/>
          <w:b w:val="0"/>
          <w:bCs w:val="0"/>
          <w:color w:val="000000" w:themeColor="text1"/>
          <w:sz w:val="24"/>
          <w:szCs w:val="24"/>
          <w:highlight w:val="none"/>
          <w:u w:val="none"/>
          <w:lang w:val="en-US" w:eastAsia="zh-CN"/>
        </w:rPr>
        <w:t xml:space="preserve">26</w:t>
      </w:r>
      <w:r>
        <w:rPr>
          <w:rFonts w:hint="eastAsia" w:ascii="宋体" w:hAnsi="宋体" w:eastAsia="宋体" w:cs="Times New Roman"/>
          <w:b w:val="0"/>
          <w:bCs w:val="0"/>
          <w:color w:val="000000" w:themeColor="text1"/>
          <w:sz w:val="24"/>
          <w:szCs w:val="24"/>
          <w:u w:val="none"/>
        </w:rPr>
        <w:t xml:space="preserve">年</w:t>
      </w:r>
      <w:r>
        <w:rPr>
          <w:rFonts w:hint="eastAsia" w:ascii="宋体" w:hAnsi="宋体" w:eastAsia="宋体" w:cs="Times New Roman"/>
          <w:b w:val="0"/>
          <w:bCs w:val="0"/>
          <w:color w:val="000000" w:themeColor="text1"/>
          <w:sz w:val="24"/>
          <w:szCs w:val="24"/>
          <w:highlight w:val="none"/>
          <w:u w:val="none"/>
          <w:lang w:val="en-US" w:eastAsia="zh-CN"/>
        </w:rPr>
        <w:t xml:space="preserve">5</w:t>
      </w:r>
      <w:r>
        <w:rPr>
          <w:rFonts w:hint="eastAsia" w:ascii="宋体" w:hAnsi="宋体" w:eastAsia="宋体" w:cs="Times New Roman"/>
          <w:b w:val="0"/>
          <w:bCs w:val="0"/>
          <w:color w:val="000000" w:themeColor="text1"/>
          <w:sz w:val="24"/>
          <w:szCs w:val="24"/>
          <w:u w:val="none"/>
        </w:rPr>
        <w:t xml:space="preserve">月</w:t>
      </w:r>
      <w:r>
        <w:rPr>
          <w:rFonts w:hint="eastAsia" w:ascii="宋体" w:hAnsi="宋体" w:eastAsia="宋体" w:cs="Times New Roman"/>
          <w:b w:val="0"/>
          <w:bCs w:val="0"/>
          <w:color w:val="000000" w:themeColor="text1"/>
          <w:sz w:val="24"/>
          <w:szCs w:val="24"/>
          <w:highlight w:val="none"/>
          <w:u w:val="none"/>
          <w:lang w:val="en-US" w:eastAsia="zh-CN"/>
        </w:rPr>
        <w:t xml:space="preserve">22</w:t>
      </w:r>
      <w:r>
        <w:rPr>
          <w:rFonts w:hint="eastAsia" w:ascii="宋体" w:hAnsi="宋体" w:eastAsia="宋体" w:cs="Times New Roman"/>
          <w:b w:val="0"/>
          <w:bCs w:val="0"/>
          <w:color w:val="000000" w:themeColor="text1"/>
          <w:sz w:val="24"/>
          <w:szCs w:val="24"/>
          <w:u w:val="none"/>
        </w:rPr>
        <w:t xml:space="preserve">日14</w:t>
      </w:r>
      <w:r>
        <w:rPr>
          <w:rFonts w:hint="eastAsia" w:ascii="宋体" w:hAnsi="宋体" w:eastAsia="宋体" w:cs="Times New Roman"/>
          <w:b w:val="0"/>
          <w:bCs w:val="0"/>
          <w:color w:val="000000" w:themeColor="text1"/>
          <w:sz w:val="24"/>
          <w:szCs w:val="24"/>
          <w:u w:val="none"/>
          <w:lang w:val="en-US" w:eastAsia="zh-CN"/>
        </w:rPr>
        <w:t xml:space="preserve">时</w:t>
      </w:r>
      <w:r>
        <w:rPr>
          <w:rFonts w:hint="eastAsia" w:ascii="宋体" w:hAnsi="宋体" w:eastAsia="宋体" w:cs="Times New Roman"/>
          <w:b w:val="0"/>
          <w:bCs w:val="0"/>
          <w:color w:val="000000" w:themeColor="text1"/>
          <w:sz w:val="24"/>
          <w:szCs w:val="24"/>
          <w:highlight w:val="none"/>
          <w:u w:val="none"/>
          <w:lang w:val="en-US" w:eastAsia="zh-CN"/>
        </w:rPr>
        <w:t xml:space="preserve">00</w:t>
      </w:r>
      <w:r>
        <w:rPr>
          <w:rFonts w:hint="eastAsia" w:ascii="宋体" w:hAnsi="宋体" w:eastAsia="宋体" w:cs="Times New Roman"/>
          <w:b w:val="0"/>
          <w:bCs w:val="0"/>
          <w:color w:val="000000" w:themeColor="text1"/>
          <w:sz w:val="24"/>
          <w:szCs w:val="24"/>
          <w:u w:val="none"/>
        </w:rPr>
        <w:t xml:space="preserve">分</w:t>
      </w:r>
      <w:r>
        <w:rPr>
          <w:rFonts w:hint="eastAsia" w:ascii="宋体" w:hAnsi="宋体" w:eastAsia="宋体" w:cs="Times New Roman"/>
          <w:b w:val="0"/>
          <w:bCs w:val="0"/>
          <w:color w:val="000000" w:themeColor="text1"/>
          <w:sz w:val="24"/>
          <w:szCs w:val="24"/>
          <w:u w:val="none"/>
        </w:rPr>
        <w:t xml:space="preserve">（</w:t>
      </w:r>
      <w:r>
        <w:rPr>
          <w:rFonts w:hint="eastAsia" w:ascii="宋体" w:hAnsi="宋体" w:eastAsia="宋体" w:cs="Times New Roman"/>
          <w:b w:val="0"/>
          <w:bCs w:val="0"/>
          <w:sz w:val="24"/>
          <w:szCs w:val="24"/>
        </w:rPr>
        <w:t xml:space="preserve">北京时间）</w:t>
      </w:r>
      <w:r>
        <w:rPr>
          <w:rFonts w:hint="eastAsia" w:ascii="宋体" w:hAnsi="宋体" w:eastAsia="宋体" w:cs="Times New Roman"/>
          <w:b w:val="0"/>
          <w:bCs w:val="0"/>
          <w:sz w:val="24"/>
          <w:szCs w:val="24"/>
          <w:lang w:eastAsia="zh-CN"/>
        </w:rPr>
        <w:t xml:space="preserve">。</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eastAsia="宋体" w:cs="Times New Roman"/>
          <w:sz w:val="24"/>
          <w:szCs w:val="24"/>
        </w:rPr>
      </w:pPr>
      <w:r/>
      <w:bookmarkStart w:id="32" w:name="_Toc35393626"/>
      <w:r/>
      <w:bookmarkStart w:id="33" w:name="_Toc38985268"/>
      <w:r/>
      <w:bookmarkStart w:id="34" w:name="_Toc35393795"/>
      <w:r>
        <w:rPr>
          <w:rFonts w:hint="eastAsia" w:ascii="宋体" w:hAnsi="宋体" w:eastAsia="宋体" w:cs="Times New Roman"/>
          <w:sz w:val="24"/>
          <w:szCs w:val="24"/>
        </w:rPr>
        <w:t xml:space="preserve">公告期限为自本公告发布之日起3个工作日。</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六、其他补充事宜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sz w:val="24"/>
          <w:szCs w:val="24"/>
        </w:rPr>
      </w:pPr>
      <w:r/>
      <w:bookmarkStart w:id="35" w:name="_Toc38985269"/>
      <w:r/>
      <w:bookmarkStart w:id="36" w:name="_Toc35393627"/>
      <w:r/>
      <w:bookmarkStart w:id="37" w:name="_Toc28359008"/>
      <w:r/>
      <w:bookmarkStart w:id="38" w:name="_Toc28359085"/>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w:t>
      </w:r>
      <w:r>
        <w:rPr>
          <w:rFonts w:hint="eastAsia" w:ascii="宋体" w:hAnsi="宋体"/>
          <w:bCs/>
          <w:sz w:val="24"/>
          <w:szCs w:val="24"/>
          <w:lang w:eastAsia="zh-CN"/>
        </w:rPr>
        <w:t xml:space="preserve">谈判</w:t>
      </w:r>
      <w:r>
        <w:rPr>
          <w:rFonts w:hint="eastAsia" w:ascii="宋体" w:hAnsi="宋体"/>
          <w:bCs/>
          <w:sz w:val="24"/>
          <w:szCs w:val="24"/>
        </w:rPr>
        <w:t xml:space="preserve">不收取</w:t>
      </w:r>
      <w:r>
        <w:rPr>
          <w:rFonts w:hint="eastAsia" w:ascii="宋体" w:hAnsi="宋体"/>
          <w:bCs/>
          <w:sz w:val="24"/>
          <w:szCs w:val="24"/>
          <w:lang w:eastAsia="zh-CN"/>
        </w:rPr>
        <w:t xml:space="preserve">谈判</w:t>
      </w:r>
      <w:r>
        <w:rPr>
          <w:rFonts w:hint="eastAsia" w:ascii="宋体" w:hAnsi="宋体"/>
          <w:bCs/>
          <w:sz w:val="24"/>
          <w:szCs w:val="24"/>
        </w:rPr>
        <w:t xml:space="preserve">保证金。</w:t>
      </w:r>
      <w:r/>
    </w:p>
    <w:p>
      <w:pPr>
        <w:ind w:firstLine="480"/>
        <w:pageBreakBefore w:val="0"/>
        <w:spacing w:line="240" w:lineRule="auto"/>
        <w:widowControl w:val="off"/>
        <w:tabs>
          <w:tab w:val="left" w:pos="900" w:leader="none"/>
        </w:tabs>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2.</w:t>
      </w:r>
      <w:r>
        <w:rPr>
          <w:rFonts w:hint="eastAsia" w:ascii="宋体" w:hAnsi="宋体" w:eastAsia="宋体" w:cs="Times New Roman"/>
          <w:color w:val="auto"/>
          <w:sz w:val="24"/>
          <w:szCs w:val="24"/>
          <w:lang w:val="en-US" w:eastAsia="zh-CN"/>
        </w:rPr>
        <w:t xml:space="preserve">本项目不组织</w:t>
      </w:r>
      <w:r>
        <w:rPr>
          <w:rFonts w:hint="eastAsia" w:ascii="宋体" w:hAnsi="宋体" w:eastAsia="宋体" w:cs="Times New Roman"/>
          <w:color w:val="auto"/>
          <w:sz w:val="24"/>
          <w:szCs w:val="24"/>
          <w:lang w:eastAsia="zh-CN"/>
        </w:rPr>
        <w:t xml:space="preserve">勘察及答疑</w:t>
      </w:r>
      <w:r>
        <w:rPr>
          <w:rFonts w:hint="eastAsia" w:ascii="宋体" w:hAnsi="宋体" w:eastAsia="宋体" w:cs="Times New Roman"/>
          <w:color w:val="auto"/>
          <w:sz w:val="24"/>
          <w:szCs w:val="24"/>
          <w:lang w:val="en-US" w:eastAsia="zh-CN"/>
        </w:rPr>
        <w:t xml:space="preserve">，供应商如对采购需求有疑问，请咨询采购单位联系人。 </w:t>
      </w:r>
      <w:r/>
    </w:p>
    <w:p>
      <w:pPr>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.有关本次谈判的事项若存在变动或修改，请及时关注“江苏政府采购网”（www.ccgp-jiangsu.gov.cn）更正公告。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w:t>
      </w:r>
      <w:r>
        <w:rPr>
          <w:rFonts w:hint="eastAsia" w:ascii="宋体" w:hAnsi="宋体" w:eastAsia="宋体" w:cs="Times New Roman"/>
          <w:b/>
          <w:bCs/>
          <w:color w:val="auto"/>
          <w:sz w:val="24"/>
          <w:lang w:val="en-US" w:eastAsia="zh-CN"/>
        </w:rPr>
        <w:t xml:space="preserve">成交</w:t>
      </w:r>
      <w:r>
        <w:rPr>
          <w:rFonts w:hint="eastAsia" w:ascii="宋体" w:hAnsi="宋体" w:eastAsia="宋体" w:cs="Times New Roman"/>
          <w:b/>
          <w:bCs/>
          <w:color w:val="auto"/>
          <w:sz w:val="24"/>
          <w:lang w:val="zh-CN"/>
        </w:rPr>
        <w:t xml:space="preserve">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52"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采购人《质疑函》收件人：李工，收件地址：南京市江宁区秣周东路9号B1栋，联系电话：</w:t>
      </w:r>
      <w:r>
        <w:rPr>
          <w:rFonts w:hint="eastAsia" w:ascii="宋体" w:hAnsi="宋体"/>
          <w:sz w:val="24"/>
          <w:szCs w:val="24"/>
        </w:rPr>
        <w:t xml:space="preserve">025-57918372</w:t>
      </w:r>
      <w:r>
        <w:rPr>
          <w:rFonts w:hint="eastAsia" w:ascii="宋体" w:hAnsi="宋体" w:eastAsia="宋体" w:cs="Times New Roman"/>
          <w:b w:val="0"/>
          <w:bCs w:val="0"/>
          <w:color w:val="auto"/>
          <w:sz w:val="24"/>
          <w:lang w:val="en-US" w:eastAsia="zh-CN"/>
        </w:rPr>
        <w:t xml:space="preserve">。</w:t>
      </w:r>
      <w:r/>
    </w:p>
    <w:p>
      <w:pPr>
        <w:ind w:firstLine="480"/>
        <w:spacing w:line="252" w:lineRule="auto"/>
        <w:widowControl/>
        <w:rPr>
          <w:rFonts w:hint="eastAsia" w:ascii="宋体" w:hAnsi="宋体" w:eastAsia="宋体" w:cs="宋体"/>
          <w:b/>
          <w:bCs/>
          <w:color w:val="auto"/>
          <w:sz w:val="24"/>
          <w:szCs w:val="24"/>
          <w:highlight w:val="none"/>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七、本次谈判联系方式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w:t>
      </w:r>
      <w:r>
        <w:rPr>
          <w:rFonts w:hint="eastAsia" w:ascii="宋体" w:hAnsi="宋体"/>
          <w:color w:val="auto"/>
          <w:sz w:val="24"/>
          <w:szCs w:val="24"/>
        </w:rPr>
        <w:t xml:space="preserve">紫金山实验室</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color w:val="auto"/>
          <w:sz w:val="24"/>
          <w:szCs w:val="24"/>
        </w:rPr>
        <w:t xml:space="preserve">南京市江宁区秣周东路9号B1栋</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李工</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sz w:val="24"/>
          <w:szCs w:val="24"/>
        </w:rPr>
        <w:t xml:space="preserve">025-57918372</w:t>
      </w:r>
      <w:r>
        <w:rPr>
          <w:rFonts w:hint="eastAsia" w:ascii="宋体" w:hAnsi="宋体" w:eastAsia="宋体" w:cs="Times New Roman"/>
          <w:color w:val="0000ff"/>
          <w:sz w:val="24"/>
          <w:szCs w:val="24"/>
          <w:u w:val="none"/>
          <w:lang w:val="en-US" w:eastAsia="zh-CN"/>
        </w:rPr>
        <w:t xml:space="preserve"> </w:t>
      </w:r>
      <w:bookmarkStart w:id="40" w:name="_Toc28359009"/>
      <w:r/>
      <w:bookmarkStart w:id="41" w:name="_Toc28359086"/>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p>
    <w:p>
      <w:pPr>
        <w:ind w:firstLine="480"/>
        <w:pageBreakBefore w:val="0"/>
        <w:spacing w:line="240"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sz w:val="24"/>
          <w:szCs w:val="24"/>
          <w:u w:val="none"/>
          <w:lang w:val="en-US" w:eastAsia="zh-CN"/>
        </w:rPr>
        <w:t xml:space="preserve">联系电话：025-68505961</w:t>
      </w:r>
      <w:r/>
    </w:p>
    <w:p>
      <w:pPr>
        <w:ind w:firstLine="480"/>
        <w:pageBreakBefore w:val="0"/>
        <w:spacing w:line="252" w:lineRule="auto"/>
        <w:widowControl w:val="off"/>
        <w:rPr>
          <w:rFonts w:hint="eastAsia"/>
          <w:u w:val="none"/>
        </w:rPr>
      </w:pPr>
      <w:r>
        <w:rPr>
          <w:rFonts w:hint="eastAsia" w:ascii="宋体" w:hAnsi="宋体" w:eastAsia="宋体" w:cs="Times New Roman"/>
          <w:color w:val="0000ff"/>
          <w:sz w:val="24"/>
          <w:szCs w:val="24"/>
          <w:u w:val="none"/>
          <w:lang w:val="en-US" w:eastAsia="zh-CN"/>
        </w:rPr>
        <w:t xml:space="preserve"> </w:t>
      </w:r>
      <w:r/>
    </w:p>
    <w:p>
      <w:pPr>
        <w:ind w:right="840"/>
        <w:jc w:val="center"/>
        <w:rPr>
          <w:rFonts w:hint="eastAsia" w:ascii="方正小标宋简体" w:hAnsi="方正小标宋简体" w:eastAsia="方正小标宋简体" w:cs="方正小标宋简体"/>
          <w:color w:val="000000"/>
          <w:sz w:val="36"/>
          <w:szCs w:val="36"/>
        </w:rPr>
        <w:outlineLvl w:val="0"/>
      </w:pPr>
      <w:r/>
      <w:bookmarkStart w:id="42" w:name="_Toc12061421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rPr>
        <w:t xml:space="preserve">供应商须知</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43" w:name="_Toc16938519"/>
      <w:r/>
      <w:bookmarkStart w:id="44" w:name="_Toc120614214"/>
      <w:r/>
      <w:bookmarkStart w:id="45" w:name="_Toc513029203"/>
      <w:r/>
      <w:bookmarkStart w:id="46" w:name="_Toc20823275"/>
      <w:r>
        <w:rPr>
          <w:rFonts w:hint="eastAsia" w:ascii="方正黑体_GBK" w:hAnsi="方正黑体_GBK" w:eastAsia="方正黑体_GBK" w:cs="方正黑体_GBK"/>
          <w:b w:val="0"/>
          <w:bCs w:val="0"/>
          <w:color w:val="auto"/>
          <w:sz w:val="30"/>
          <w:szCs w:val="30"/>
        </w:rPr>
        <w:t xml:space="preserve">一、总则</w:t>
      </w:r>
      <w:bookmarkEnd w:id="43"/>
      <w:r/>
      <w:bookmarkEnd w:id="44"/>
      <w:r/>
      <w:bookmarkEnd w:id="45"/>
      <w:r/>
      <w:bookmarkEnd w:id="46"/>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47" w:name="_Hlt16619475"/>
      <w:r/>
      <w:bookmarkEnd w:id="47"/>
      <w:r/>
      <w:bookmarkStart w:id="48" w:name="_Toc458694821"/>
      <w:r/>
      <w:bookmarkStart w:id="49" w:name="_Toc513029204"/>
      <w:r/>
      <w:bookmarkStart w:id="50" w:name="_Toc20823276"/>
      <w:r/>
      <w:bookmarkStart w:id="51" w:name="_Toc16938520"/>
      <w:r>
        <w:rPr>
          <w:rFonts w:hint="eastAsia" w:ascii="方正楷体_GBK" w:hAnsi="方正楷体_GBK" w:eastAsia="方正楷体_GBK" w:cs="方正楷体_GBK"/>
          <w:b/>
          <w:bCs/>
        </w:rPr>
        <w:t xml:space="preserve">1</w:t>
      </w:r>
      <w:bookmarkEnd w:id="48"/>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采购方式</w:t>
      </w:r>
      <w:bookmarkEnd w:id="49"/>
      <w:r/>
      <w:bookmarkEnd w:id="50"/>
      <w:r/>
      <w:bookmarkEnd w:id="51"/>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1.1 本次政府采购活动采取竞争性谈判</w:t>
      </w:r>
      <w:r>
        <w:rPr>
          <w:rFonts w:hint="eastAsia" w:ascii="宋体" w:hAnsi="宋体" w:eastAsia="宋体" w:cs="Times New Roman"/>
          <w:color w:val="auto"/>
          <w:sz w:val="24"/>
          <w:szCs w:val="21"/>
        </w:rPr>
        <w:t xml:space="preserve">(以下简称</w:t>
      </w:r>
      <w:r>
        <w:rPr>
          <w:rFonts w:hint="eastAsia" w:ascii="宋体" w:hAnsi="宋体" w:eastAsia="宋体" w:cs="Times New Roman"/>
          <w:color w:val="auto"/>
          <w:sz w:val="24"/>
          <w:szCs w:val="21"/>
          <w:lang w:eastAsia="zh-CN"/>
        </w:rPr>
        <w:t xml:space="preserve">“谈判”</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lang w:eastAsia="zh-CN"/>
        </w:rPr>
        <w:t xml:space="preserve">方式，本文件仅适用于</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eastAsia="zh-CN"/>
        </w:rPr>
        <w:t xml:space="preserve">公告中所述项目。</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52" w:name="_Toc16938521"/>
      <w:r/>
      <w:bookmarkStart w:id="53" w:name="_Toc513029205"/>
      <w:r/>
      <w:bookmarkStart w:id="54"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w:t>
      </w:r>
      <w:bookmarkEnd w:id="52"/>
      <w:r/>
      <w:bookmarkEnd w:id="53"/>
      <w:r/>
      <w:bookmarkEnd w:id="54"/>
      <w:r>
        <w:rPr>
          <w:rFonts w:hint="eastAsia" w:ascii="方正楷体_GBK" w:hAnsi="方正楷体_GBK" w:eastAsia="方正楷体_GBK" w:cs="方正楷体_GBK"/>
          <w:b/>
          <w:bCs/>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满足</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eastAsia="zh-CN"/>
        </w:rPr>
        <w:t xml:space="preserve">公告对供应商资格要求的规定。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2.2 满足谈判文件规定的实质性要求和条件。</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55" w:name="_Toc20823278"/>
      <w:r/>
      <w:bookmarkStart w:id="56" w:name="_Toc513029206"/>
      <w:r/>
      <w:bookmarkStart w:id="57"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55"/>
      <w:r/>
      <w:bookmarkEnd w:id="56"/>
      <w:r/>
      <w:bookmarkEnd w:id="57"/>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3.1 本次</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eastAsia="zh-CN"/>
        </w:rPr>
        <w:t xml:space="preserve">及由此产生的合同受中华人民共和国有关的法律法规制约和保护。</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58" w:name="_Toc462564067"/>
      <w:r/>
      <w:bookmarkStart w:id="59" w:name="_Toc513029207"/>
      <w:r/>
      <w:bookmarkStart w:id="60" w:name="_Toc16938523"/>
      <w:r/>
      <w:bookmarkStart w:id="61"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谈判费用</w:t>
      </w:r>
      <w:bookmarkEnd w:id="58"/>
      <w:r/>
      <w:bookmarkEnd w:id="59"/>
      <w:r/>
      <w:bookmarkEnd w:id="60"/>
      <w:r/>
      <w:bookmarkEnd w:id="61"/>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4.1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供应商应自行承担所有与参加本次</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eastAsia="zh-CN"/>
        </w:rPr>
        <w:t xml:space="preserve">有关的费用，无论</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eastAsia="zh-CN"/>
        </w:rPr>
        <w:t xml:space="preserve">过程中的做法和结果如何，交易中心在任何情况下均无义务和责任承担这些费用。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本次</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eastAsia="zh-CN"/>
        </w:rPr>
        <w:t xml:space="preserve">交易中心和采购人不收取谈判文件工本费与成交服务费。</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供应商一旦参加本项目采购活动，即被认为接受了本文件的规定和约束。</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62" w:name="_Toc513029209"/>
      <w:r/>
      <w:bookmarkStart w:id="63" w:name="_Toc16938525"/>
      <w:r/>
      <w:bookmarkStart w:id="64" w:name="_Toc20823281"/>
      <w:r/>
      <w:bookmarkStart w:id="65" w:name="_Toc120614215"/>
      <w:r>
        <w:rPr>
          <w:rFonts w:hint="eastAsia" w:ascii="方正黑体_GBK" w:hAnsi="方正黑体_GBK" w:eastAsia="方正黑体_GBK" w:cs="方正黑体_GBK"/>
          <w:b w:val="0"/>
          <w:bCs w:val="0"/>
          <w:color w:val="auto"/>
          <w:sz w:val="30"/>
          <w:szCs w:val="30"/>
        </w:rPr>
        <w:t xml:space="preserve">二、</w:t>
      </w:r>
      <w:bookmarkEnd w:id="62"/>
      <w:r/>
      <w:bookmarkEnd w:id="63"/>
      <w:r/>
      <w:bookmarkEnd w:id="64"/>
      <w:r/>
      <w:bookmarkEnd w:id="65"/>
      <w:r>
        <w:rPr>
          <w:rFonts w:hint="eastAsia" w:ascii="方正黑体_GBK" w:hAnsi="方正黑体_GBK" w:eastAsia="方正黑体_GBK" w:cs="方正黑体_GBK"/>
          <w:b w:val="0"/>
          <w:bCs w:val="0"/>
          <w:color w:val="auto"/>
          <w:sz w:val="30"/>
          <w:szCs w:val="30"/>
        </w:rPr>
        <w:t xml:space="preserve">谈判文件</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66" w:name="_Toc16938526"/>
      <w:r/>
      <w:bookmarkStart w:id="67" w:name="_Toc513029210"/>
      <w:r/>
      <w:bookmarkStart w:id="68"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谈判文件构成</w:t>
      </w:r>
      <w:bookmarkEnd w:id="66"/>
      <w:r/>
      <w:bookmarkEnd w:id="67"/>
      <w:r/>
      <w:bookmarkEnd w:id="68"/>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6.1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谈判文件由以下部分组成：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（1）谈判邀请</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（5）成交标准</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供应商应仔细检查谈判文件是否齐全，如有缺漏请立即与交易中心联系解决。</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6.2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69" w:name="_Toc16938527"/>
      <w:r/>
      <w:bookmarkStart w:id="70" w:name="_Toc20823283"/>
      <w:r/>
      <w:bookmarkStart w:id="71" w:name="_Toc462564070"/>
      <w:r/>
      <w:bookmarkStart w:id="72"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谈判文件的澄清</w:t>
      </w:r>
      <w:bookmarkEnd w:id="69"/>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任何要求对谈判文件进行澄清的供应商</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应在谈判截止期</w:t>
      </w:r>
      <w:r>
        <w:rPr>
          <w:rFonts w:hint="eastAsia" w:ascii="宋体" w:hAnsi="宋体" w:eastAsia="宋体" w:cs="Times New Roman"/>
          <w:color w:val="auto"/>
          <w:sz w:val="24"/>
          <w:lang w:eastAsia="zh-CN"/>
        </w:rPr>
        <w:t xml:space="preserve">五</w:t>
      </w:r>
      <w:r>
        <w:rPr>
          <w:rFonts w:hint="eastAsia" w:ascii="宋体" w:hAnsi="宋体" w:eastAsia="宋体" w:cs="Times New Roman"/>
          <w:color w:val="auto"/>
          <w:sz w:val="24"/>
        </w:rPr>
        <w:t xml:space="preserve">日前按</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rPr>
        <w:t xml:space="preserve">公告中的通讯地址</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73" w:name="_Toc16938528"/>
      <w:r/>
      <w:bookmarkStart w:id="74" w:name="_Toc20823284"/>
      <w:r/>
      <w:bookmarkStart w:id="75" w:name="_Toc513029212"/>
      <w:r/>
      <w:bookmarkStart w:id="76"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谈判文件的修改</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bookmarkStart w:id="77" w:name="_Toc20823285"/>
      <w:r/>
      <w:bookmarkStart w:id="78" w:name="_Toc120614216"/>
      <w:r/>
      <w:bookmarkStart w:id="79" w:name="_Toc16938529"/>
      <w:r/>
      <w:bookmarkStart w:id="80" w:name="_Toc462564072"/>
      <w:r/>
      <w:bookmarkStart w:id="81" w:name="_Toc513029213"/>
      <w:r>
        <w:rPr>
          <w:rFonts w:hint="eastAsia" w:ascii="宋体" w:hAnsi="宋体" w:eastAsia="宋体" w:cs="Times New Roman"/>
          <w:color w:val="auto"/>
          <w:sz w:val="24"/>
          <w:lang w:eastAsia="zh-CN"/>
        </w:rPr>
        <w:t xml:space="preserve">8.1 在响应文件提交截止时间前，交易中心可以对谈判文件进行修改。谈判文件的修改将在原公告媒体发布更正公告，更正内容将作为谈判文件的组成部分，并对供应商具有约束力。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供应商应在提交响应文件截止时间前，关注原公告媒体有关本项目的更正公告，根据更正公告内容自行决定是否需要重新制作和提交响应文件，并承担由此产生的相应责任。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eastAsia="zh-CN"/>
        </w:rPr>
        <w:t xml:space="preserve">交易中心有权按照法定要求推迟提交响应文件截止时间，并在原公告媒体发布更正公告。</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bookmarkEnd w:id="77"/>
      <w:r/>
      <w:bookmarkEnd w:id="78"/>
      <w:r/>
      <w:bookmarkEnd w:id="79"/>
      <w:r/>
      <w:bookmarkEnd w:id="80"/>
      <w:r/>
      <w:bookmarkEnd w:id="81"/>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30"/>
      <w:r/>
      <w:bookmarkStart w:id="83" w:name="_Toc20823286"/>
      <w:r/>
      <w:bookmarkStart w:id="84" w:name="_Toc513029214"/>
      <w:r/>
      <w:bookmarkStart w:id="85"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响应文件的语言及度量衡单位</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供应商提交的响应文件以及供应商与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就有关谈判的所有来往通知、函件和文件均应使用简体中文。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9.2 除技术性能另有规定外</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响应文件所使用的度量衡单位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均须采用国家法定计量单位。</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86" w:name="_Toc16938531"/>
      <w:r/>
      <w:bookmarkStart w:id="87" w:name="_Toc462564074"/>
      <w:r/>
      <w:bookmarkStart w:id="88" w:name="_Toc20823287"/>
      <w:r/>
      <w:bookmarkStart w:id="89"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响应文件构成</w:t>
      </w:r>
      <w:bookmarkEnd w:id="86"/>
      <w:r/>
      <w:bookmarkEnd w:id="87"/>
      <w:r/>
      <w:bookmarkEnd w:id="88"/>
      <w:r/>
      <w:bookmarkEnd w:id="89"/>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供应商编写的响应文件应包括资格证明文件、符合性证明文件、分项报价表、响应及偏离表、其他证明文件、谈判响应函等部分。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10.2 如标书制作工具中格式和内容与“江苏政府采购网”发布的谈判文件不一致</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以“江苏政府采购网”发布的谈判文件为准。</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90" w:name="_Hlt26670360"/>
      <w:r/>
      <w:bookmarkEnd w:id="90"/>
      <w:r/>
      <w:bookmarkStart w:id="91" w:name="_Hlt26668975"/>
      <w:r/>
      <w:bookmarkEnd w:id="91"/>
      <w:r/>
      <w:bookmarkStart w:id="92" w:name="_Hlt26954838"/>
      <w:r/>
      <w:bookmarkEnd w:id="92"/>
      <w:r/>
      <w:bookmarkStart w:id="93" w:name="_Toc14577357"/>
      <w:r/>
      <w:bookmarkStart w:id="94" w:name="_Toc49090509"/>
      <w:r/>
      <w:bookmarkStart w:id="95" w:name="_Toc513029219"/>
      <w:r/>
      <w:bookmarkStart w:id="96" w:name="_Toc49090507"/>
      <w:r/>
      <w:bookmarkStart w:id="97" w:name="_Toc14577354"/>
      <w:r/>
      <w:bookmarkStart w:id="98" w:name="_Toc513029216"/>
      <w:r/>
      <w:bookmarkStart w:id="99" w:name="_Toc49090508"/>
      <w:r/>
      <w:bookmarkStart w:id="100" w:name="_Toc14577355"/>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证明谈判响应标的符合谈判文件规定的文件</w:t>
      </w:r>
      <w:bookmarkEnd w:id="93"/>
      <w:r/>
      <w:bookmarkEnd w:id="94"/>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供应商应按照法律、法规、规章和规范性文件以及谈判</w:t>
      </w:r>
      <w:r>
        <w:rPr>
          <w:rFonts w:hint="eastAsia" w:ascii="宋体" w:hAnsi="宋体" w:eastAsia="宋体" w:cs="Times New Roman"/>
          <w:color w:val="auto"/>
          <w:sz w:val="24"/>
          <w:lang w:eastAsia="zh-CN"/>
        </w:rPr>
        <w:t xml:space="preserve">文件</w:t>
      </w:r>
      <w:r>
        <w:rPr>
          <w:rFonts w:hint="eastAsia" w:ascii="宋体" w:hAnsi="宋体" w:eastAsia="宋体" w:cs="Times New Roman"/>
          <w:color w:val="auto"/>
          <w:sz w:val="24"/>
        </w:rPr>
        <w:t xml:space="preserve">要求提交证明文件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证明其响应标的符合</w:t>
      </w:r>
      <w:r>
        <w:rPr>
          <w:rFonts w:hint="eastAsia" w:ascii="宋体" w:hAnsi="宋体" w:eastAsia="宋体" w:cs="Times New Roman"/>
          <w:color w:val="auto"/>
          <w:sz w:val="24"/>
          <w:lang w:eastAsia="zh-CN"/>
        </w:rPr>
        <w:t xml:space="preserve">谈判</w:t>
      </w:r>
      <w:r>
        <w:rPr>
          <w:rFonts w:hint="eastAsia" w:ascii="宋体" w:hAnsi="宋体" w:eastAsia="宋体" w:cs="Times New Roman"/>
          <w:color w:val="auto"/>
          <w:sz w:val="24"/>
        </w:rPr>
        <w:t xml:space="preserve">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谈判文件对证明文件无明确形式要求的</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证明文件可以以文字资料、图纸和数据等形式提交。</w:t>
      </w:r>
      <w:bookmarkEnd w:id="99"/>
      <w:r/>
      <w:bookmarkEnd w:id="100"/>
      <w:r/>
      <w:r/>
    </w:p>
    <w:p>
      <w:pPr>
        <w:pStyle w:val="845"/>
        <w:ind w:firstLine="420"/>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分项报价表</w:t>
      </w:r>
      <w:r>
        <w:rPr>
          <w:rFonts w:hint="eastAsia" w:ascii="方正楷体_GBK" w:hAnsi="方正楷体_GBK" w:eastAsia="方正楷体_GBK" w:cs="方正楷体_GBK"/>
          <w:b/>
          <w:bCs/>
          <w:color w:val="auto"/>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供应商应按照谈判文件规定格式填报分项报价表。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响应文件中的单价和总价无特殊规定的采用人民币报价</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以元为单位标注。谈判文件另有规定的按规定执行。</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101" w:name="_Hlt26954848"/>
      <w:r/>
      <w:bookmarkEnd w:id="101"/>
      <w:r/>
      <w:bookmarkStart w:id="102" w:name="_Hlt26670482"/>
      <w:r/>
      <w:bookmarkEnd w:id="102"/>
      <w:r/>
      <w:bookmarkStart w:id="103" w:name="_Hlt26954846"/>
      <w:r/>
      <w:bookmarkEnd w:id="103"/>
      <w:r/>
      <w:bookmarkStart w:id="104" w:name="_Hlt26954731"/>
      <w:r/>
      <w:bookmarkEnd w:id="104"/>
      <w:r/>
      <w:bookmarkStart w:id="105" w:name="_Hlt26670486"/>
      <w:r/>
      <w:bookmarkEnd w:id="105"/>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供应商需对谈判文件中的技术要求与商务要求逐项作出响应或偏离说明。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供应商可在响应文件中提供认为需要的其他技术文件或说明。</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106" w:name="_Toc49090510"/>
      <w:r/>
      <w:bookmarkStart w:id="107" w:name="_Toc1457735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谈判响应函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供应商应按照谈判文件规定格式完整、正确填报谈判响应函。</w:t>
      </w:r>
      <w:bookmarkEnd w:id="106"/>
      <w:r/>
      <w:bookmarkEnd w:id="107"/>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108" w:name="_Toc49090511"/>
      <w:r/>
      <w:bookmarkStart w:id="109" w:name="_Toc14577360"/>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谈判有效期</w:t>
      </w:r>
      <w:bookmarkEnd w:id="108"/>
      <w:r/>
      <w:bookmarkEnd w:id="10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谈判有效期为</w:t>
      </w:r>
      <w:r>
        <w:rPr>
          <w:rFonts w:hint="eastAsia" w:ascii="宋体" w:hAnsi="宋体" w:eastAsia="宋体" w:cs="Times New Roman"/>
          <w:color w:val="auto"/>
          <w:sz w:val="24"/>
          <w:lang w:val="zh-CN" w:eastAsia="zh-CN"/>
        </w:rPr>
        <w:t xml:space="preserve">谈判公告</w:t>
      </w:r>
      <w:r>
        <w:rPr>
          <w:rFonts w:hint="eastAsia" w:ascii="宋体" w:hAnsi="宋体" w:eastAsia="宋体" w:cs="Times New Roman"/>
          <w:color w:val="auto"/>
          <w:sz w:val="24"/>
          <w:lang w:val="zh-CN"/>
        </w:rPr>
        <w:t xml:space="preserve">规定的提交响应文件截止之日</w:t>
      </w:r>
      <w:r>
        <w:rPr>
          <w:rFonts w:hint="eastAsia" w:ascii="宋体" w:hAnsi="宋体" w:eastAsia="宋体" w:cs="Times New Roman"/>
          <w:color w:val="auto"/>
          <w:sz w:val="24"/>
          <w:lang w:val="zh-CN" w:eastAsia="zh-CN"/>
        </w:rPr>
        <w:t xml:space="preserve">起</w:t>
      </w:r>
      <w:r>
        <w:rPr>
          <w:rFonts w:hint="eastAsia" w:ascii="宋体" w:hAnsi="宋体" w:eastAsia="宋体" w:cs="Times New Roman"/>
          <w:color w:val="auto"/>
          <w:sz w:val="24"/>
          <w:lang w:val="zh-CN"/>
        </w:rPr>
        <w:t xml:space="preserve">六十天。谈判有效期比规定短的将被视为未实质性响应谈判文件而被拒绝。</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6.</w:t>
      </w:r>
      <w:r>
        <w:rPr>
          <w:rFonts w:hint="eastAsia" w:ascii="方正楷体_GBK" w:hAnsi="方正楷体_GBK" w:eastAsia="方正楷体_GBK" w:cs="方正楷体_GBK"/>
          <w:b/>
          <w:bCs/>
        </w:rPr>
        <w:t xml:space="preserve">谈判有效期的延长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的这一要求而放弃谈判</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zh-CN"/>
        </w:rPr>
        <w:t xml:space="preserve">同意延长谈判有效期的供应商既不能要求也不允许修改其响应文件</w:t>
      </w:r>
      <w:r>
        <w:rPr>
          <w:rFonts w:hint="eastAsia" w:ascii="宋体" w:hAnsi="宋体" w:eastAsia="宋体" w:cs="Times New Roman"/>
          <w:color w:val="auto"/>
          <w:sz w:val="24"/>
          <w:lang w:val="zh-CN" w:eastAsia="zh-CN"/>
        </w:rPr>
        <w:t xml:space="preserve">，同时</w:t>
      </w:r>
      <w:r>
        <w:rPr>
          <w:rFonts w:hint="eastAsia" w:ascii="宋体" w:hAnsi="宋体" w:eastAsia="宋体" w:cs="Times New Roman"/>
          <w:color w:val="auto"/>
          <w:sz w:val="24"/>
          <w:lang w:val="zh-CN"/>
        </w:rPr>
        <w:t xml:space="preserve">受谈判有效期约束的所有权利与义务均延长至新的有效期</w:t>
      </w:r>
      <w:r>
        <w:rPr>
          <w:rFonts w:hint="eastAsia" w:ascii="宋体" w:hAnsi="宋体" w:eastAsia="宋体" w:cs="Times New Roman"/>
          <w:color w:val="auto"/>
          <w:sz w:val="24"/>
          <w:lang w:val="zh-CN" w:eastAsia="zh-CN"/>
        </w:rPr>
        <w:t xml:space="preserve">满</w:t>
      </w:r>
      <w:r>
        <w:rPr>
          <w:rFonts w:hint="eastAsia" w:ascii="宋体" w:hAnsi="宋体" w:eastAsia="宋体" w:cs="Times New Roman"/>
          <w:color w:val="auto"/>
          <w:sz w:val="24"/>
          <w:lang w:val="zh-CN"/>
        </w:rPr>
        <w:t xml:space="preserve">。</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10" w:name="_Hlt26954739"/>
      <w:r/>
      <w:bookmarkEnd w:id="110"/>
      <w:r/>
      <w:bookmarkStart w:id="111" w:name="_Hlt26954852"/>
      <w:r/>
      <w:bookmarkEnd w:id="111"/>
      <w:r/>
      <w:bookmarkStart w:id="112" w:name="_Toc120614217"/>
      <w:r/>
      <w:bookmarkStart w:id="113" w:name="_Toc16938540"/>
      <w:r/>
      <w:bookmarkStart w:id="114" w:name="_Toc513029224"/>
      <w:r/>
      <w:bookmarkStart w:id="115" w:name="_Toc20823296"/>
      <w:r>
        <w:rPr>
          <w:rFonts w:hint="eastAsia" w:ascii="方正黑体_GBK" w:hAnsi="方正黑体_GBK" w:eastAsia="方正黑体_GBK" w:cs="方正黑体_GBK"/>
          <w:b w:val="0"/>
          <w:bCs w:val="0"/>
          <w:color w:val="auto"/>
          <w:sz w:val="30"/>
          <w:szCs w:val="30"/>
        </w:rPr>
        <w:t xml:space="preserve">四、响应文件的递交</w:t>
      </w:r>
      <w:bookmarkEnd w:id="112"/>
      <w:r/>
      <w:bookmarkEnd w:id="113"/>
      <w:r/>
      <w:bookmarkEnd w:id="114"/>
      <w:r/>
      <w:bookmarkEnd w:id="115"/>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116" w:name="_Toc16938541"/>
      <w:r/>
      <w:bookmarkStart w:id="117" w:name="_Toc513029225"/>
      <w:r/>
      <w:bookmarkStart w:id="118" w:name="_Toc20823297"/>
      <w:r/>
      <w:bookmarkStart w:id="119" w:name="_Toc462564084"/>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谈判</w:t>
      </w:r>
      <w:bookmarkEnd w:id="116"/>
      <w:r/>
      <w:bookmarkEnd w:id="117"/>
      <w:r/>
      <w:bookmarkEnd w:id="118"/>
      <w:r/>
      <w:bookmarkEnd w:id="119"/>
      <w:r>
        <w:rPr>
          <w:rFonts w:hint="eastAsia" w:ascii="方正楷体_GBK" w:hAnsi="方正楷体_GBK" w:eastAsia="方正楷体_GBK" w:cs="方正楷体_GBK"/>
          <w:b/>
          <w:bCs/>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供应商应当按照《操作手册》规定，在</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val="zh-CN" w:eastAsia="zh-CN"/>
        </w:rPr>
        <w:t xml:space="preserve">公告规定的提交响应文件截止时间前制作并上传电子响应文件。</w:t>
      </w:r>
      <w:bookmarkStart w:id="120" w:name="_Toc20823298"/>
      <w:r/>
      <w:bookmarkStart w:id="121" w:name="_Toc16938542"/>
      <w:r/>
      <w:bookmarkStart w:id="122" w:name="_Toc513029226"/>
      <w:r/>
      <w:bookmarkEnd w:id="120"/>
      <w:r/>
      <w:bookmarkEnd w:id="121"/>
      <w:r/>
      <w:bookmarkEnd w:id="122"/>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eastAsia="zh-CN"/>
        </w:rPr>
        <w:t xml:space="preserve">供应商应充分考虑网络环境、网络带宽等因素</w:t>
      </w:r>
      <w:r>
        <w:rPr>
          <w:rFonts w:hint="eastAsia" w:ascii="宋体" w:hAnsi="宋体" w:eastAsia="宋体" w:cs="Times New Roman"/>
          <w:color w:val="auto"/>
          <w:sz w:val="24"/>
          <w:lang w:val="en-US" w:eastAsia="zh-CN"/>
        </w:rPr>
        <w:t xml:space="preserve">可能产生的影响</w:t>
      </w:r>
      <w:r>
        <w:rPr>
          <w:rFonts w:hint="eastAsia" w:ascii="宋体" w:hAnsi="宋体" w:eastAsia="宋体" w:cs="Times New Roman"/>
          <w:color w:val="auto"/>
          <w:sz w:val="24"/>
          <w:lang w:val="zh-CN" w:eastAsia="zh-CN"/>
        </w:rPr>
        <w:t xml:space="preserve">，如因供应商自身原因造成的电子响应文件上传不成功</w:t>
      </w:r>
      <w:r>
        <w:rPr>
          <w:rFonts w:hint="eastAsia" w:ascii="宋体" w:hAnsi="宋体" w:eastAsia="宋体" w:cs="Times New Roman"/>
          <w:color w:val="auto"/>
          <w:sz w:val="24"/>
          <w:szCs w:val="22"/>
          <w:lang w:val="zh-CN"/>
        </w:rPr>
        <w:t xml:space="preserve">由供应商自行承担全部责任</w:t>
      </w:r>
      <w:r>
        <w:rPr>
          <w:rFonts w:hint="eastAsia" w:ascii="宋体" w:hAnsi="宋体" w:eastAsia="宋体" w:cs="Times New Roman"/>
          <w:color w:val="auto"/>
          <w:sz w:val="24"/>
          <w:lang w:val="zh-CN" w:eastAsia="zh-CN"/>
        </w:rPr>
        <w:t xml:space="preserve">，并按照本谈判文件第二章第2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 交易中心可以按照规定，通过修改谈判文件酌情延长提交响应文件截止时间，在此情况下，供应商的所有权利和义务均以延长后新的截止时间为准。</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513029227"/>
      <w:r/>
      <w:bookmarkStart w:id="124" w:name="_Toc16938543"/>
      <w:r/>
      <w:bookmarkStart w:id="125" w:name="_Toc20823299"/>
      <w:r>
        <w:rPr>
          <w:rFonts w:hint="eastAsia" w:ascii="方正楷体_GBK" w:hAnsi="方正楷体_GBK" w:eastAsia="方正楷体_GBK" w:cs="方正楷体_GBK"/>
          <w:b/>
          <w:bCs/>
          <w:lang w:val="en-US" w:eastAsia="zh-CN"/>
        </w:rPr>
        <w:t xml:space="preserve">18.</w:t>
      </w:r>
      <w:r>
        <w:rPr>
          <w:rFonts w:hint="eastAsia" w:ascii="方正楷体_GBK" w:hAnsi="方正楷体_GBK" w:eastAsia="方正楷体_GBK" w:cs="方正楷体_GBK"/>
          <w:b/>
          <w:bCs/>
        </w:rPr>
        <w:t xml:space="preserve">响应文件</w:t>
      </w:r>
      <w:bookmarkEnd w:id="123"/>
      <w:r/>
      <w:bookmarkEnd w:id="124"/>
      <w:r/>
      <w:bookmarkEnd w:id="125"/>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18</w:t>
      </w:r>
      <w:r>
        <w:rPr>
          <w:rFonts w:hint="eastAsia" w:ascii="宋体" w:hAnsi="宋体" w:eastAsia="宋体" w:cs="Times New Roman"/>
          <w:color w:val="auto"/>
          <w:sz w:val="24"/>
          <w:lang w:val="zh-CN" w:eastAsia="zh-CN"/>
        </w:rPr>
        <w:t xml:space="preserve">.1 提交响应文件截止时间后上传的任何响应文件将被拒绝。</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126" w:name="_Toc20823300"/>
      <w:r/>
      <w:bookmarkStart w:id="127" w:name="_Toc16938544"/>
      <w:r/>
      <w:bookmarkStart w:id="128" w:name="_Toc513029228"/>
      <w:r>
        <w:rPr>
          <w:rFonts w:hint="eastAsia" w:ascii="方正楷体_GBK" w:hAnsi="方正楷体_GBK" w:eastAsia="方正楷体_GBK" w:cs="方正楷体_GBK"/>
          <w:b/>
          <w:bCs/>
          <w:lang w:val="en-US" w:eastAsia="zh-CN"/>
        </w:rPr>
        <w:t xml:space="preserve">19.</w:t>
      </w:r>
      <w:r>
        <w:rPr>
          <w:rFonts w:hint="eastAsia" w:ascii="方正楷体_GBK" w:hAnsi="方正楷体_GBK" w:eastAsia="方正楷体_GBK" w:cs="方正楷体_GBK"/>
          <w:b/>
          <w:bCs/>
        </w:rPr>
        <w:t xml:space="preserve">响应文件的撤回和修改</w:t>
      </w:r>
      <w:bookmarkEnd w:id="126"/>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eastAsia="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供应商可在提交响应文件截止时间前，撤回其电子响应文件，具体操作方法见《操作手册》。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eastAsia="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供应商撤回电子响应文件，则认为其不再参与本项目谈判活动。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19.2.1 </w:t>
      </w:r>
      <w:r>
        <w:rPr>
          <w:rFonts w:hint="eastAsia" w:ascii="宋体" w:hAnsi="宋体" w:eastAsia="宋体" w:cs="Times New Roman"/>
          <w:color w:val="auto"/>
          <w:sz w:val="24"/>
          <w:lang w:val="zh-CN" w:eastAsia="zh-CN"/>
        </w:rPr>
        <w:t xml:space="preserve">供应商可在提交响应文件截止时间前，对其电子响应文件进行修改，具体操作方法见《操作手册》。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19.2.2 </w:t>
      </w:r>
      <w:r>
        <w:rPr>
          <w:rFonts w:hint="eastAsia" w:ascii="宋体" w:hAnsi="宋体" w:eastAsia="宋体" w:cs="Times New Roman"/>
          <w:color w:val="auto"/>
          <w:sz w:val="24"/>
          <w:lang w:val="zh-CN" w:eastAsia="zh-CN"/>
        </w:rPr>
        <w:t xml:space="preserve">在提交响应文件截止时间后，供应商不得对其电子响应文件作任何修改。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 在提交响应文件截止时间至谈判文件中规定的谈判有效期满之间的这段时间内，供应商不得撤回其响应文件。</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29" w:name="_Toc513029229"/>
      <w:r/>
      <w:bookmarkStart w:id="130" w:name="_Toc120614218"/>
      <w:r/>
      <w:bookmarkStart w:id="131" w:name="_Toc20823301"/>
      <w:r/>
      <w:bookmarkStart w:id="132" w:name="_Toc16938545"/>
      <w:r>
        <w:rPr>
          <w:rFonts w:hint="eastAsia" w:ascii="方正黑体_GBK" w:hAnsi="方正黑体_GBK" w:eastAsia="方正黑体_GBK" w:cs="方正黑体_GBK"/>
          <w:b w:val="0"/>
          <w:bCs w:val="0"/>
          <w:color w:val="auto"/>
          <w:sz w:val="30"/>
          <w:szCs w:val="30"/>
        </w:rPr>
        <w:t xml:space="preserve">五、响应文件的解密与评审</w:t>
      </w:r>
      <w:bookmarkEnd w:id="129"/>
      <w:r/>
      <w:bookmarkEnd w:id="130"/>
      <w:r/>
      <w:bookmarkEnd w:id="131"/>
      <w:r/>
      <w:bookmarkEnd w:id="132"/>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20.</w:t>
      </w:r>
      <w:r>
        <w:rPr>
          <w:rFonts w:hint="eastAsia" w:ascii="方正楷体_GBK" w:hAnsi="方正楷体_GBK" w:eastAsia="方正楷体_GBK" w:cs="方正楷体_GBK"/>
          <w:b/>
          <w:bCs/>
        </w:rPr>
        <w:t xml:space="preserve">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供应商应当按照《操作手册》规定，在苏采云系统规定的时间内对响应文件进行解密。</w:t>
      </w:r>
      <w:r/>
    </w:p>
    <w:p>
      <w:pPr>
        <w:pStyle w:val="845"/>
        <w:ind w:firstLine="420"/>
        <w:pageBreakBefore w:val="0"/>
        <w:spacing w:before="0" w:after="0" w:line="240" w:lineRule="auto"/>
        <w:widowControl w:val="off"/>
        <w:rPr>
          <w:rFonts w:hint="eastAsia" w:ascii="方正楷体_GBK" w:hAnsi="方正楷体_GBK" w:eastAsia="方正楷体_GBK" w:cs="方正楷体_GBK"/>
          <w:b/>
          <w:bCs/>
          <w:lang w:val="en-US" w:eastAsia="zh-CN"/>
        </w:rPr>
      </w:pPr>
      <w:r/>
      <w:bookmarkStart w:id="133" w:name="_Toc20823303"/>
      <w:r/>
      <w:bookmarkStart w:id="134" w:name="_Toc16938547"/>
      <w:r/>
      <w:bookmarkStart w:id="135" w:name="_Toc513029231"/>
      <w:r>
        <w:rPr>
          <w:rFonts w:hint="eastAsia" w:ascii="方正楷体_GBK" w:hAnsi="方正楷体_GBK" w:eastAsia="方正楷体_GBK" w:cs="方正楷体_GBK"/>
          <w:b/>
          <w:bCs/>
          <w:lang w:val="en-US" w:eastAsia="zh-CN"/>
        </w:rPr>
        <w:t xml:space="preserve">21.谈判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依法组建的谈判小组对响应文件进行评审。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21.2 </w:t>
      </w:r>
      <w:r>
        <w:rPr>
          <w:rFonts w:hint="eastAsia" w:ascii="宋体" w:hAnsi="宋体" w:eastAsia="宋体" w:cs="Times New Roman"/>
          <w:color w:val="auto"/>
          <w:sz w:val="24"/>
          <w:lang w:val="zh-CN" w:eastAsia="zh-CN"/>
        </w:rPr>
        <w:t xml:space="preserve">谈判小组由采购人代表和有关方面的专家组成，人员构成符合政府采购有关规定。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eastAsia="zh-CN"/>
        </w:rPr>
        <w:t xml:space="preserve">谈判小组独立工作，负责评审所有响应文件并推荐成交候选人，或根据采购人授权直接确定成交供应商。</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2.</w:t>
      </w:r>
      <w:r>
        <w:rPr>
          <w:rFonts w:hint="eastAsia" w:ascii="方正楷体_GBK" w:hAnsi="方正楷体_GBK" w:eastAsia="方正楷体_GBK" w:cs="方正楷体_GBK"/>
          <w:b/>
          <w:bCs/>
        </w:rPr>
        <w:t xml:space="preserve">评审过程的保密与公正</w:t>
      </w:r>
      <w:bookmarkEnd w:id="133"/>
      <w:r/>
      <w:bookmarkEnd w:id="134"/>
      <w:r/>
      <w:bookmarkEnd w:id="135"/>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谈判小组、采购人和交易中心工作人员、相关监督人员等与评审工作有关的人员，对评审情况以及在评审过程中获悉的国家秘密、商业秘密负有保密责任。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供应商不得以任何行为影响评审过程，否则其响应文件将被作为无效响应文件。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交易中心和谈判小组不向未成交的供应商解释未成交原因，也不公布评审过程中的相关细节。</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32"/>
      <w:r/>
      <w:bookmarkStart w:id="137" w:name="_Toc20823304"/>
      <w:r/>
      <w:bookmarkStart w:id="138"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3.</w:t>
      </w:r>
      <w:r>
        <w:rPr>
          <w:rFonts w:hint="eastAsia" w:ascii="方正楷体_GBK" w:hAnsi="方正楷体_GBK" w:eastAsia="方正楷体_GBK" w:cs="方正楷体_GBK"/>
          <w:b/>
          <w:bCs/>
        </w:rPr>
        <w:t xml:space="preserve">评审过程中的的澄清</w:t>
      </w:r>
      <w:bookmarkEnd w:id="136"/>
      <w:r/>
      <w:bookmarkEnd w:id="137"/>
      <w:r/>
      <w:bookmarkEnd w:id="138"/>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项目评审期间，谈判小组</w:t>
      </w:r>
      <w:r>
        <w:rPr>
          <w:rFonts w:hint="eastAsia" w:ascii="宋体" w:hAnsi="宋体" w:eastAsia="宋体" w:cs="Times New Roman"/>
          <w:color w:val="auto"/>
          <w:sz w:val="24"/>
          <w:lang w:val="zh-CN"/>
        </w:rPr>
        <w:t xml:space="preserve">对响应文件中含义不明确、同类问题表述不一致或者有明显文字和计算错误的内容，有权要求供应商作出必要的澄清、说明或者补正。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谈判小组并非对每个供应商都做澄清要求。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需要供应商进行澄清、说明和补正的，谈判小组将通过苏采云系统向供应商发布</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lang w:val="zh-CN" w:eastAsia="zh-CN"/>
        </w:rPr>
        <w:t xml:space="preserve">，接到</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lang w:val="zh-CN" w:eastAsia="zh-CN"/>
        </w:rPr>
        <w:t xml:space="preserve">的供应商应当按照要求在苏采云系统中提交</w:t>
      </w:r>
      <w:r>
        <w:rPr>
          <w:rFonts w:hint="eastAsia" w:ascii="宋体" w:hAnsi="宋体" w:eastAsia="宋体" w:cs="Times New Roman"/>
          <w:color w:val="auto"/>
          <w:sz w:val="24"/>
          <w:lang w:val="zh-CN"/>
        </w:rPr>
        <w:t xml:space="preserve">《澄清响应函》</w:t>
      </w:r>
      <w:r>
        <w:rPr>
          <w:rFonts w:hint="eastAsia" w:ascii="宋体" w:hAnsi="宋体" w:eastAsia="宋体" w:cs="Times New Roman"/>
          <w:color w:val="auto"/>
          <w:sz w:val="24"/>
          <w:lang w:val="zh-CN"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.3 接到谈判小组澄清、说明和补正要求的供应商如未按规定做出澄清、说明和补正，其风险由供应商自行承担。</w:t>
      </w:r>
      <w:r/>
    </w:p>
    <w:p>
      <w:pPr>
        <w:pStyle w:val="845"/>
        <w:ind w:firstLine="420"/>
        <w:pageBreakBefore w:val="0"/>
        <w:spacing w:before="0" w:after="0" w:line="240" w:lineRule="auto"/>
        <w:widowControl w:val="off"/>
        <w:rPr>
          <w:rFonts w:hint="eastAsia" w:ascii="方正楷体_GBK" w:hAnsi="方正楷体_GBK" w:eastAsia="方正楷体_GBK" w:cs="方正楷体_GBK"/>
          <w:b/>
          <w:bCs/>
        </w:rPr>
      </w:pPr>
      <w:r/>
      <w:bookmarkStart w:id="139" w:name="_Toc513029233"/>
      <w:r/>
      <w:bookmarkStart w:id="140" w:name="_Toc16938549"/>
      <w:r/>
      <w:bookmarkStart w:id="141"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响应文件的审</w:t>
      </w:r>
      <w:bookmarkEnd w:id="139"/>
      <w:r/>
      <w:bookmarkEnd w:id="140"/>
      <w:r/>
      <w:bookmarkEnd w:id="141"/>
      <w:r>
        <w:rPr>
          <w:rFonts w:hint="eastAsia" w:ascii="方正楷体_GBK" w:hAnsi="方正楷体_GBK" w:eastAsia="方正楷体_GBK" w:cs="方正楷体_GBK"/>
          <w:b/>
          <w:bCs/>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24.1.1 资格审查。依据法律法规和谈判文件的规定，谈判小组对响应文件中的资格证明文件进行审查，以确定供应商是否具备参加谈判的资格。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谈判小组在进行资格审查的同时，将在“信用中国”网站（www.creditchina.gov.cn）查询供应商的信用记录，以确定供应商是否具备谈判资格，查询结果留存并归档。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rPr>
        <w:t xml:space="preserve">接受联合体的项目</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联合体成员存在不良信用记录的</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视同联合体存在不良应用记录。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24.1.2 符合性审查。依据谈判文件的规定，由谈判小组从响应文件的有效性、完整性和对谈判文件的响应程度进行审查，以确定是否对谈判文件的实质性要求作出响应。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24.1.3 未通过资格审查或符合性审查的供应商，谈判小组</w:t>
      </w:r>
      <w:r>
        <w:rPr>
          <w:rFonts w:hint="eastAsia" w:ascii="宋体" w:hAnsi="宋体" w:eastAsia="宋体" w:cs="Times New Roman"/>
          <w:color w:val="auto"/>
          <w:sz w:val="24"/>
          <w:szCs w:val="22"/>
          <w:lang w:val="en-US" w:eastAsia="zh-CN"/>
        </w:rPr>
        <w:t xml:space="preserve">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szCs w:val="22"/>
          <w:lang w:val="zh-CN"/>
        </w:rPr>
        <w:t xml:space="preserve">异常低价投标审查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rPr>
        <w:t xml:space="preserve">过程中出现下列情形之一的，</w:t>
      </w:r>
      <w:r>
        <w:rPr>
          <w:rFonts w:hint="eastAsia" w:ascii="宋体" w:hAnsi="宋体" w:eastAsia="宋体" w:cs="Times New Roman"/>
          <w:color w:val="auto"/>
          <w:sz w:val="24"/>
          <w:szCs w:val="22"/>
          <w:lang w:val="en-US" w:eastAsia="zh-CN"/>
        </w:rPr>
        <w:t xml:space="preserve">谈判</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rPr>
        <w:t xml:space="preserve">应当启动异常低价投标审查程序：</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（1）</w:t>
      </w:r>
      <w:r>
        <w:rPr>
          <w:rFonts w:hint="eastAsia" w:ascii="宋体" w:hAnsi="宋体" w:eastAsia="宋体" w:cs="Times New Roman"/>
          <w:color w:val="auto"/>
          <w:sz w:val="24"/>
          <w:szCs w:val="21"/>
          <w:lang w:val="en-US" w:eastAsia="zh-CN"/>
        </w:rPr>
        <w:t xml:space="preserve">最后报价</w:t>
      </w:r>
      <w:r>
        <w:rPr>
          <w:rFonts w:hint="eastAsia" w:ascii="宋体" w:hAnsi="宋体" w:eastAsia="宋体" w:cs="Times New Roman"/>
          <w:color w:val="auto"/>
          <w:sz w:val="24"/>
          <w:szCs w:val="22"/>
          <w:lang w:val="zh-CN"/>
        </w:rPr>
        <w:t xml:space="preserve">低于全部通过符合性审查</w:t>
      </w:r>
      <w:r>
        <w:rPr>
          <w:rFonts w:hint="eastAsia" w:ascii="宋体" w:hAnsi="宋体" w:eastAsia="宋体" w:cs="Times New Roman"/>
          <w:color w:val="auto"/>
          <w:sz w:val="24"/>
          <w:szCs w:val="22"/>
          <w:lang w:val="zh-CN" w:eastAsia="zh-CN"/>
        </w:rPr>
        <w:t xml:space="preserve">供应商</w:t>
      </w:r>
      <w:r>
        <w:rPr>
          <w:rFonts w:hint="eastAsia" w:ascii="宋体" w:hAnsi="宋体" w:eastAsia="宋体" w:cs="Times New Roman"/>
          <w:color w:val="auto"/>
          <w:sz w:val="24"/>
          <w:szCs w:val="22"/>
          <w:lang w:val="en-US" w:eastAsia="zh-CN"/>
        </w:rPr>
        <w:t xml:space="preserve">最后报价</w:t>
      </w:r>
      <w:r>
        <w:rPr>
          <w:rFonts w:hint="eastAsia" w:ascii="宋体" w:hAnsi="宋体" w:eastAsia="宋体" w:cs="Times New Roman"/>
          <w:color w:val="auto"/>
          <w:sz w:val="24"/>
          <w:szCs w:val="22"/>
          <w:lang w:val="zh-CN" w:eastAsia="zh-CN"/>
        </w:rPr>
        <w:t xml:space="preserve">平均值</w:t>
      </w:r>
      <w:r>
        <w:rPr>
          <w:rFonts w:hint="eastAsia" w:ascii="宋体" w:hAnsi="宋体" w:cs="Times New Roman"/>
          <w:color w:val="auto"/>
          <w:sz w:val="24"/>
          <w:szCs w:val="22"/>
          <w:lang w:val="en-US" w:eastAsia="zh-CN"/>
        </w:rPr>
        <w:t xml:space="preserve">50</w:t>
      </w:r>
      <w:r>
        <w:rPr>
          <w:rFonts w:hint="eastAsia" w:ascii="宋体" w:hAnsi="宋体" w:eastAsia="宋体" w:cs="Times New Roman"/>
          <w:color w:val="auto"/>
          <w:sz w:val="24"/>
          <w:szCs w:val="22"/>
          <w:lang w:val="zh-CN" w:eastAsia="zh-CN"/>
        </w:rPr>
        <w:t xml:space="preserve">%的，即</w:t>
      </w:r>
      <w:r>
        <w:rPr>
          <w:rFonts w:hint="eastAsia" w:ascii="宋体" w:hAnsi="宋体" w:eastAsia="宋体" w:cs="Times New Roman"/>
          <w:color w:val="auto"/>
          <w:sz w:val="24"/>
          <w:szCs w:val="22"/>
          <w:lang w:val="en-US" w:eastAsia="zh-CN"/>
        </w:rPr>
        <w:t xml:space="preserve">最后报价</w:t>
      </w:r>
      <w:r>
        <w:rPr>
          <w:rFonts w:hint="eastAsia" w:ascii="宋体" w:hAnsi="宋体" w:eastAsia="宋体" w:cs="Times New Roman"/>
          <w:color w:val="auto"/>
          <w:sz w:val="24"/>
          <w:szCs w:val="22"/>
          <w:lang w:val="zh-CN" w:eastAsia="zh-CN"/>
        </w:rPr>
        <w:t xml:space="preserve">&lt;全部通过符合性审查供应商</w:t>
      </w:r>
      <w:r>
        <w:rPr>
          <w:rFonts w:hint="eastAsia" w:ascii="宋体" w:hAnsi="宋体" w:eastAsia="宋体" w:cs="Times New Roman"/>
          <w:color w:val="auto"/>
          <w:sz w:val="24"/>
          <w:szCs w:val="22"/>
          <w:lang w:val="en-US" w:eastAsia="zh-CN"/>
        </w:rPr>
        <w:t xml:space="preserve">最后报价</w:t>
      </w:r>
      <w:r>
        <w:rPr>
          <w:rFonts w:hint="eastAsia" w:ascii="宋体" w:hAnsi="宋体" w:eastAsia="宋体" w:cs="Times New Roman"/>
          <w:color w:val="auto"/>
          <w:sz w:val="24"/>
          <w:szCs w:val="22"/>
          <w:lang w:val="zh-CN" w:eastAsia="zh-CN"/>
        </w:rPr>
        <w:t xml:space="preserve">平均值×</w:t>
      </w:r>
      <w:r>
        <w:rPr>
          <w:rFonts w:hint="eastAsia" w:ascii="宋体" w:hAnsi="宋体" w:cs="Times New Roman"/>
          <w:color w:val="auto"/>
          <w:sz w:val="24"/>
          <w:szCs w:val="22"/>
          <w:lang w:val="en-US" w:eastAsia="zh-CN"/>
        </w:rPr>
        <w:t xml:space="preserve">50</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（2）</w:t>
      </w:r>
      <w:r>
        <w:rPr>
          <w:rFonts w:hint="eastAsia" w:ascii="宋体" w:hAnsi="宋体" w:eastAsia="宋体" w:cs="Times New Roman"/>
          <w:color w:val="auto"/>
          <w:sz w:val="24"/>
          <w:szCs w:val="22"/>
          <w:lang w:val="en-US" w:eastAsia="zh-CN"/>
        </w:rPr>
        <w:t xml:space="preserve">最后报价</w:t>
      </w:r>
      <w:r>
        <w:rPr>
          <w:rFonts w:hint="eastAsia" w:ascii="宋体" w:hAnsi="宋体" w:eastAsia="宋体" w:cs="Times New Roman"/>
          <w:color w:val="auto"/>
          <w:sz w:val="24"/>
          <w:szCs w:val="22"/>
          <w:lang w:val="zh-CN" w:eastAsia="zh-CN"/>
        </w:rPr>
        <w:t xml:space="preserve">低于通过符合性审查的次低报价供应商</w:t>
      </w:r>
      <w:r>
        <w:rPr>
          <w:rFonts w:hint="eastAsia" w:ascii="宋体" w:hAnsi="宋体" w:eastAsia="宋体" w:cs="Times New Roman"/>
          <w:color w:val="auto"/>
          <w:sz w:val="24"/>
          <w:szCs w:val="22"/>
          <w:lang w:val="en-US" w:eastAsia="zh-CN"/>
        </w:rPr>
        <w:t xml:space="preserve">最后报价</w:t>
      </w:r>
      <w:r>
        <w:rPr>
          <w:rFonts w:hint="eastAsia" w:ascii="宋体" w:hAnsi="宋体" w:cs="Times New Roman"/>
          <w:color w:val="auto"/>
          <w:sz w:val="24"/>
          <w:szCs w:val="22"/>
          <w:lang w:val="en-US" w:eastAsia="zh-CN"/>
        </w:rPr>
        <w:t xml:space="preserve">50</w:t>
      </w:r>
      <w:r>
        <w:rPr>
          <w:rFonts w:hint="eastAsia" w:ascii="宋体" w:hAnsi="宋体" w:eastAsia="宋体" w:cs="Times New Roman"/>
          <w:color w:val="auto"/>
          <w:sz w:val="24"/>
          <w:szCs w:val="22"/>
          <w:lang w:val="zh-CN" w:eastAsia="zh-CN"/>
        </w:rPr>
        <w:t xml:space="preserve">%的，即</w:t>
      </w:r>
      <w:r>
        <w:rPr>
          <w:rFonts w:hint="eastAsia" w:ascii="宋体" w:hAnsi="宋体" w:eastAsia="宋体" w:cs="Times New Roman"/>
          <w:color w:val="auto"/>
          <w:sz w:val="24"/>
          <w:szCs w:val="22"/>
          <w:lang w:val="en-US" w:eastAsia="zh-CN"/>
        </w:rPr>
        <w:t xml:space="preserve">最后报价</w:t>
      </w:r>
      <w:r>
        <w:rPr>
          <w:rFonts w:hint="eastAsia" w:ascii="宋体" w:hAnsi="宋体" w:eastAsia="宋体" w:cs="Times New Roman"/>
          <w:color w:val="auto"/>
          <w:sz w:val="24"/>
          <w:szCs w:val="22"/>
          <w:lang w:val="zh-CN" w:eastAsia="zh-CN"/>
        </w:rPr>
        <w:t xml:space="preserve">&lt;通过符合性审查的次低报价供应商</w:t>
      </w:r>
      <w:r>
        <w:rPr>
          <w:rFonts w:hint="eastAsia" w:ascii="宋体" w:hAnsi="宋体" w:eastAsia="宋体" w:cs="Times New Roman"/>
          <w:color w:val="auto"/>
          <w:sz w:val="24"/>
          <w:szCs w:val="22"/>
          <w:lang w:val="en-US" w:eastAsia="zh-CN"/>
        </w:rPr>
        <w:t xml:space="preserve">最后报价</w:t>
      </w:r>
      <w:r>
        <w:rPr>
          <w:rFonts w:hint="eastAsia" w:ascii="宋体" w:hAnsi="宋体" w:eastAsia="宋体" w:cs="Times New Roman"/>
          <w:color w:val="auto"/>
          <w:sz w:val="24"/>
          <w:szCs w:val="22"/>
          <w:lang w:val="zh-CN" w:eastAsia="zh-CN"/>
        </w:rPr>
        <w:t xml:space="preserve">×</w:t>
      </w:r>
      <w:r>
        <w:rPr>
          <w:rFonts w:hint="eastAsia" w:ascii="宋体" w:hAnsi="宋体" w:cs="Times New Roman"/>
          <w:color w:val="auto"/>
          <w:sz w:val="24"/>
          <w:szCs w:val="22"/>
          <w:lang w:val="en-US" w:eastAsia="zh-CN"/>
        </w:rPr>
        <w:t xml:space="preserve">50</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w:t>
      </w:r>
      <w:r>
        <w:rPr>
          <w:rFonts w:hint="eastAsia" w:ascii="宋体" w:hAnsi="宋体" w:eastAsia="宋体" w:cs="Times New Roman"/>
          <w:color w:val="auto"/>
          <w:sz w:val="24"/>
          <w:szCs w:val="22"/>
          <w:lang w:val="en-US" w:eastAsia="zh-CN"/>
        </w:rPr>
        <w:t xml:space="preserve">最后报价</w:t>
      </w:r>
      <w:r>
        <w:rPr>
          <w:rFonts w:hint="eastAsia" w:ascii="宋体" w:hAnsi="宋体" w:eastAsia="宋体" w:cs="Times New Roman"/>
          <w:color w:val="auto"/>
          <w:sz w:val="24"/>
          <w:szCs w:val="22"/>
          <w:lang w:val="zh-CN" w:eastAsia="zh-CN"/>
        </w:rPr>
        <w:t xml:space="preserve">低于采购项目最高限价</w:t>
      </w:r>
      <w:r>
        <w:rPr>
          <w:rFonts w:hint="eastAsia" w:ascii="宋体" w:hAnsi="宋体" w:eastAsia="宋体" w:cs="Times New Roman"/>
          <w:color w:val="auto"/>
          <w:sz w:val="24"/>
          <w:szCs w:val="22"/>
          <w:lang w:val="en-US" w:eastAsia="zh-CN"/>
        </w:rPr>
        <w:t xml:space="preserve">50</w:t>
      </w:r>
      <w:r>
        <w:rPr>
          <w:rFonts w:hint="eastAsia" w:ascii="宋体" w:hAnsi="宋体" w:eastAsia="宋体" w:cs="Times New Roman"/>
          <w:color w:val="auto"/>
          <w:sz w:val="24"/>
          <w:szCs w:val="22"/>
          <w:lang w:val="zh-CN" w:eastAsia="zh-CN"/>
        </w:rPr>
        <w:t xml:space="preserve">%的，即</w:t>
      </w:r>
      <w:r>
        <w:rPr>
          <w:rFonts w:hint="eastAsia" w:ascii="宋体" w:hAnsi="宋体" w:eastAsia="宋体" w:cs="Times New Roman"/>
          <w:color w:val="auto"/>
          <w:sz w:val="24"/>
          <w:szCs w:val="22"/>
          <w:lang w:val="en-US" w:eastAsia="zh-CN"/>
        </w:rPr>
        <w:t xml:space="preserve">最后报价</w:t>
      </w:r>
      <w:r>
        <w:rPr>
          <w:rFonts w:hint="eastAsia" w:ascii="宋体" w:hAnsi="宋体" w:eastAsia="宋体" w:cs="Times New Roman"/>
          <w:color w:val="auto"/>
          <w:sz w:val="24"/>
          <w:szCs w:val="22"/>
          <w:lang w:val="zh-CN" w:eastAsia="zh-CN"/>
        </w:rPr>
        <w:t xml:space="preserve">&lt;采购项目最高限价×</w:t>
      </w:r>
      <w:r>
        <w:rPr>
          <w:rFonts w:hint="eastAsia" w:ascii="宋体" w:hAnsi="宋体" w:eastAsia="宋体" w:cs="Times New Roman"/>
          <w:color w:val="auto"/>
          <w:sz w:val="24"/>
          <w:szCs w:val="22"/>
          <w:lang w:val="en-US" w:eastAsia="zh-CN"/>
        </w:rPr>
        <w:t xml:space="preserve">50</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谈判</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rPr>
        <w:t xml:space="preserve">基于专业判断，认为供应商</w:t>
      </w:r>
      <w:r>
        <w:rPr>
          <w:rFonts w:hint="eastAsia" w:ascii="宋体" w:hAnsi="宋体" w:eastAsia="宋体" w:cs="Times New Roman"/>
          <w:color w:val="auto"/>
          <w:sz w:val="24"/>
          <w:szCs w:val="22"/>
          <w:lang w:val="en-US" w:eastAsia="zh-CN"/>
        </w:rPr>
        <w:t xml:space="preserve">最后</w:t>
      </w:r>
      <w:r>
        <w:rPr>
          <w:rFonts w:hint="eastAsia" w:ascii="宋体" w:hAnsi="宋体" w:eastAsia="宋体" w:cs="Times New Roman"/>
          <w:color w:val="auto"/>
          <w:sz w:val="24"/>
          <w:szCs w:val="22"/>
          <w:lang w:val="zh-CN"/>
        </w:rPr>
        <w:t xml:space="preserve">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2谈判</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auto"/>
          <w:sz w:val="24"/>
          <w:szCs w:val="21"/>
          <w:lang w:val="en-US" w:eastAsia="zh-CN"/>
        </w:rPr>
        <w:t xml:space="preserve">最后报价</w:t>
      </w:r>
      <w:r>
        <w:rPr>
          <w:rFonts w:hint="eastAsia" w:ascii="宋体" w:hAnsi="宋体" w:eastAsia="宋体" w:cs="Times New Roman"/>
          <w:color w:val="auto"/>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42" w:name="OLE_LINK2"/>
      <w:r>
        <w:rPr>
          <w:rFonts w:hint="eastAsia" w:ascii="宋体" w:hAnsi="宋体" w:eastAsia="宋体" w:cs="Times New Roman"/>
          <w:color w:val="auto"/>
          <w:sz w:val="24"/>
          <w:szCs w:val="22"/>
          <w:lang w:val="zh-CN" w:eastAsia="zh-CN"/>
        </w:rPr>
        <w:t xml:space="preserve">供应商已随</w:t>
      </w:r>
      <w:r>
        <w:rPr>
          <w:rFonts w:hint="eastAsia" w:ascii="宋体" w:hAnsi="宋体" w:eastAsia="宋体" w:cs="Times New Roman"/>
          <w:color w:val="auto"/>
          <w:sz w:val="24"/>
          <w:szCs w:val="22"/>
          <w:lang w:val="en-US" w:eastAsia="zh-CN"/>
        </w:rPr>
        <w:t xml:space="preserve">响应</w:t>
      </w:r>
      <w:r>
        <w:rPr>
          <w:rFonts w:hint="eastAsia" w:ascii="宋体" w:hAnsi="宋体" w:eastAsia="宋体" w:cs="Times New Roman"/>
          <w:color w:val="auto"/>
          <w:sz w:val="24"/>
          <w:szCs w:val="22"/>
          <w:lang w:val="zh-CN" w:eastAsia="zh-CN"/>
        </w:rPr>
        <w:t xml:space="preserve">文件一并提交相关书面说明及必要的证明材料的，在评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eastAsia="zh-CN"/>
        </w:rPr>
        <w:t xml:space="preserve">现场可不再重复提交</w:t>
      </w:r>
      <w:bookmarkEnd w:id="142"/>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1"/>
          <w:lang w:val="en-US" w:eastAsia="zh-CN"/>
        </w:rPr>
        <w:t xml:space="preserve">谈判小组</w:t>
      </w:r>
      <w:r>
        <w:rPr>
          <w:rFonts w:hint="eastAsia" w:ascii="宋体" w:hAnsi="宋体" w:eastAsia="宋体" w:cs="Times New Roman"/>
          <w:color w:val="auto"/>
          <w:sz w:val="24"/>
          <w:szCs w:val="22"/>
          <w:lang w:val="zh-CN" w:eastAsia="zh-CN"/>
        </w:rPr>
        <w:t xml:space="preserve">依据专业经验，参考同类项目</w:t>
      </w:r>
      <w:r>
        <w:rPr>
          <w:rFonts w:hint="eastAsia" w:ascii="宋体" w:hAnsi="宋体" w:eastAsia="宋体" w:cs="Times New Roman"/>
          <w:color w:val="auto"/>
          <w:sz w:val="24"/>
          <w:szCs w:val="22"/>
          <w:lang w:val="en-US" w:eastAsia="zh-CN"/>
        </w:rPr>
        <w:t xml:space="preserve">成交</w:t>
      </w:r>
      <w:r>
        <w:rPr>
          <w:rFonts w:hint="eastAsia" w:ascii="宋体" w:hAnsi="宋体" w:eastAsia="宋体" w:cs="Times New Roman"/>
          <w:color w:val="auto"/>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lang w:val="en-US" w:eastAsia="zh-CN"/>
        </w:rPr>
        <w:t xml:space="preserve">谈判小组</w:t>
      </w:r>
      <w:r>
        <w:rPr>
          <w:rFonts w:hint="eastAsia" w:ascii="宋体" w:hAnsi="宋体" w:eastAsia="宋体" w:cs="Times New Roman"/>
          <w:color w:val="auto"/>
          <w:sz w:val="24"/>
          <w:szCs w:val="22"/>
          <w:lang w:val="zh-CN" w:eastAsia="zh-CN"/>
        </w:rPr>
        <w:t xml:space="preserve">应当将其作为</w:t>
      </w:r>
      <w:r>
        <w:rPr>
          <w:rFonts w:hint="eastAsia" w:ascii="宋体" w:hAnsi="宋体" w:eastAsia="宋体" w:cs="Times New Roman"/>
          <w:color w:val="auto"/>
          <w:sz w:val="24"/>
          <w:szCs w:val="22"/>
          <w:lang w:val="en-US" w:eastAsia="zh-CN"/>
        </w:rPr>
        <w:t xml:space="preserve">未实质性响应谈判文件</w:t>
      </w:r>
      <w:r>
        <w:rPr>
          <w:rFonts w:hint="eastAsia" w:ascii="宋体" w:hAnsi="宋体" w:eastAsia="宋体" w:cs="Times New Roman"/>
          <w:color w:val="auto"/>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24.4 未实质性响应谈判文件的情形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供应商未按照谈判文件要求上传电子响应文件。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供应商不具备谈判文件中规定的资格要求。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供应商的最后报价超过了采购预算</w:t>
      </w:r>
      <w:r>
        <w:rPr>
          <w:rFonts w:hint="eastAsia" w:ascii="宋体" w:hAnsi="宋体" w:eastAsia="宋体" w:cs="Times New Roman"/>
          <w:color w:val="auto"/>
          <w:sz w:val="24"/>
          <w:szCs w:val="22"/>
          <w:lang w:val="zh-CN" w:eastAsia="zh-CN"/>
        </w:rPr>
        <w:t xml:space="preserve">或最高限价</w:t>
      </w:r>
      <w:r>
        <w:rPr>
          <w:rFonts w:hint="eastAsia" w:ascii="宋体" w:hAnsi="宋体" w:eastAsia="宋体" w:cs="Times New Roman"/>
          <w:color w:val="auto"/>
          <w:sz w:val="24"/>
          <w:szCs w:val="22"/>
          <w:lang w:val="en-US" w:eastAsia="zh-CN"/>
        </w:rPr>
        <w:t xml:space="preserve">或单价上限</w:t>
      </w:r>
      <w:r>
        <w:rPr>
          <w:rFonts w:hint="eastAsia" w:ascii="宋体" w:hAnsi="宋体" w:eastAsia="宋体" w:cs="Times New Roman"/>
          <w:color w:val="auto"/>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不符合谈判文件中规定的实质性要求和条件</w:t>
      </w:r>
      <w:r>
        <w:rPr>
          <w:rFonts w:hint="eastAsia" w:ascii="宋体" w:hAnsi="宋体" w:eastAsia="宋体" w:cs="Times New Roman"/>
          <w:b w:val="0"/>
          <w:bCs w:val="0"/>
          <w:color w:val="auto"/>
          <w:sz w:val="24"/>
          <w:lang w:val="zh-CN" w:eastAsia="zh-CN"/>
        </w:rPr>
        <w:t xml:space="preserve">（</w:t>
      </w:r>
      <w:r>
        <w:rPr>
          <w:rFonts w:hint="eastAsia" w:ascii="宋体" w:hAnsi="宋体" w:eastAsia="宋体" w:cs="Times New Roman"/>
          <w:b/>
          <w:bCs/>
          <w:color w:val="auto"/>
          <w:sz w:val="24"/>
          <w:lang w:val="zh-CN" w:eastAsia="zh-CN"/>
        </w:rPr>
        <w:t xml:space="preserve">本文件中</w:t>
      </w:r>
      <w:r>
        <w:rPr>
          <w:rFonts w:hint="eastAsia" w:ascii="宋体" w:hAnsi="宋体" w:eastAsia="宋体" w:cs="Times New Roman"/>
          <w:b/>
          <w:bCs/>
          <w:i w:val="0"/>
          <w:iCs w:val="0"/>
          <w:color w:val="auto"/>
          <w:sz w:val="24"/>
          <w:szCs w:val="21"/>
          <w:u w:val="none"/>
          <w:lang w:val="en-US" w:eastAsia="zh-CN"/>
        </w:rPr>
        <w:t xml:space="preserve">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b w:val="0"/>
          <w:bCs w:val="0"/>
          <w:color w:val="auto"/>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.9</w:t>
      </w:r>
      <w:r>
        <w:rPr>
          <w:rFonts w:hint="eastAsia" w:ascii="宋体" w:hAnsi="宋体" w:eastAsia="宋体" w:cs="Times New Roman"/>
          <w:color w:val="auto"/>
          <w:sz w:val="24"/>
          <w:lang w:val="en-US" w:eastAsia="zh-CN"/>
        </w:rPr>
        <w:t xml:space="preserve"> 谈判</w:t>
      </w:r>
      <w:r>
        <w:rPr>
          <w:rFonts w:hint="eastAsia" w:ascii="宋体" w:hAnsi="宋体" w:eastAsia="宋体" w:cs="Times New Roman"/>
          <w:sz w:val="24"/>
          <w:szCs w:val="21"/>
          <w:lang w:val="en-US" w:eastAsia="zh-CN"/>
        </w:rPr>
        <w:t xml:space="preserve">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进行异常低价投标审查后，认为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10 </w:t>
      </w:r>
      <w:r>
        <w:rPr>
          <w:rFonts w:hint="eastAsia" w:ascii="宋体" w:hAnsi="宋体" w:eastAsia="宋体" w:cs="Times New Roman"/>
          <w:color w:val="auto"/>
          <w:sz w:val="24"/>
          <w:szCs w:val="21"/>
          <w:lang w:val="zh-CN" w:eastAsia="zh-CN"/>
        </w:rPr>
        <w:t xml:space="preserve">采购产品被财政部、国家发改委、生态环境部等列入“节能产品品目清单”、“环境标志产品品目清单”强制采购范围，</w:t>
      </w:r>
      <w:r>
        <w:rPr>
          <w:rFonts w:hint="eastAsia" w:ascii="宋体" w:hAnsi="宋体" w:eastAsia="宋体" w:cs="Times New Roman"/>
          <w:color w:val="auto"/>
          <w:sz w:val="24"/>
          <w:szCs w:val="21"/>
          <w:lang w:val="en-US" w:eastAsia="zh-CN"/>
        </w:rPr>
        <w:t xml:space="preserve">而供应商提供的产品不在强制采购范围内</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1 </w:t>
      </w:r>
      <w:r>
        <w:rPr>
          <w:rFonts w:hint="eastAsia" w:ascii="宋体" w:hAnsi="宋体" w:eastAsia="宋体" w:cs="Times New Roman"/>
          <w:color w:val="auto"/>
          <w:sz w:val="24"/>
          <w:lang w:val="zh-CN" w:eastAsia="zh-CN"/>
        </w:rPr>
        <w:t xml:space="preserve">响应文件未按照谈判文件要求加盖电子公章。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szCs w:val="21"/>
          <w:lang w:val="en-US" w:eastAsia="zh-CN"/>
        </w:rPr>
        <w:t xml:space="preserve">法律法规及本谈判文件规定的其他无效响应情形。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 </w:t>
      </w:r>
      <w:r>
        <w:rPr>
          <w:rFonts w:hint="eastAsia" w:ascii="宋体" w:hAnsi="宋体" w:eastAsia="宋体" w:cs="Times New Roman"/>
          <w:color w:val="auto"/>
          <w:sz w:val="24"/>
          <w:lang w:val="zh-CN" w:eastAsia="zh-CN"/>
        </w:rPr>
        <w:t xml:space="preserve">未实质性响应谈判文件的响应文件按无效响应处理。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 </w:t>
      </w:r>
      <w:r>
        <w:rPr>
          <w:rFonts w:hint="eastAsia" w:ascii="宋体" w:hAnsi="宋体" w:eastAsia="宋体" w:cs="Times New Roman"/>
          <w:color w:val="auto"/>
          <w:sz w:val="24"/>
          <w:lang w:val="zh-CN" w:eastAsia="zh-CN"/>
        </w:rPr>
        <w:t xml:space="preserve">如果响应文件实质上没有响应谈判文件的要求，谈判小组将予以拒绝，供应商不得通过修改或撤销不合理要求的偏离或保留而使其成为实质性响应的文件。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7 </w:t>
      </w:r>
      <w:r>
        <w:rPr>
          <w:rFonts w:hint="eastAsia" w:ascii="宋体" w:hAnsi="宋体" w:eastAsia="宋体" w:cs="Times New Roman"/>
          <w:color w:val="auto"/>
          <w:sz w:val="24"/>
          <w:lang w:val="zh-CN" w:eastAsia="zh-CN"/>
        </w:rPr>
        <w:t xml:space="preserve">供应商在项目评审全过程中应保持通讯畅通，</w:t>
      </w:r>
      <w:r>
        <w:rPr>
          <w:rFonts w:hint="eastAsia" w:ascii="宋体" w:hAnsi="宋体" w:eastAsia="宋体" w:cs="Times New Roman"/>
          <w:color w:val="auto"/>
          <w:sz w:val="24"/>
          <w:lang w:val="zh-CN"/>
        </w:rPr>
        <w:t xml:space="preserve">及时登录苏采云系统查阅、答复相关信息，</w:t>
      </w:r>
      <w:r>
        <w:rPr>
          <w:rFonts w:hint="eastAsia" w:ascii="宋体" w:hAnsi="宋体" w:eastAsia="宋体" w:cs="Times New Roman"/>
          <w:color w:val="auto"/>
          <w:sz w:val="24"/>
          <w:lang w:val="zh-CN" w:eastAsia="zh-CN"/>
        </w:rPr>
        <w:t xml:space="preserve">并安排专人与交易中心及谈判小组联系。</w:t>
      </w:r>
      <w:r/>
    </w:p>
    <w:p>
      <w:pPr>
        <w:pStyle w:val="845"/>
        <w:ind w:firstLine="420"/>
        <w:pageBreakBefore w:val="0"/>
        <w:spacing w:before="0" w:after="0" w:line="240" w:lineRule="auto"/>
        <w:widowControl w:val="off"/>
        <w:rPr>
          <w:rFonts w:hint="eastAsia" w:ascii="方正楷体_GBK" w:hAnsi="方正楷体_GBK" w:eastAsia="方正楷体_GBK" w:cs="方正楷体_GBK"/>
          <w:b/>
          <w:bCs/>
          <w:lang w:val="zh-CN" w:eastAsia="zh-CN"/>
        </w:rPr>
      </w:pPr>
      <w:r/>
      <w:bookmarkStart w:id="143" w:name="_Toc16938550"/>
      <w:r/>
      <w:bookmarkStart w:id="144" w:name="_Toc20823306"/>
      <w:r/>
      <w:bookmarkStart w:id="145" w:name="_Toc513029234"/>
      <w:r>
        <w:rPr>
          <w:rFonts w:hint="eastAsia" w:ascii="方正楷体_GBK" w:hAnsi="方正楷体_GBK" w:eastAsia="方正楷体_GBK" w:cs="方正楷体_GBK"/>
          <w:b/>
          <w:bCs/>
          <w:lang w:val="zh-CN" w:eastAsia="zh-CN"/>
        </w:rPr>
        <w:t xml:space="preserve">2</w:t>
      </w:r>
      <w:bookmarkEnd w:id="143"/>
      <w:r/>
      <w:bookmarkEnd w:id="144"/>
      <w:r/>
      <w:bookmarkEnd w:id="145"/>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lang w:val="zh-CN" w:eastAsia="zh-CN"/>
        </w:rPr>
        <w:t xml:space="preserve">谈判程序及成交标准</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lang w:val="zh-CN" w:eastAsia="zh-CN"/>
        </w:rPr>
      </w:pPr>
      <w:r>
        <w:rPr>
          <w:rFonts w:hint="eastAsia" w:ascii="宋体" w:hAnsi="宋体" w:eastAsia="宋体" w:cs="Times New Roman"/>
          <w:b w:val="0"/>
          <w:bCs w:val="0"/>
          <w:color w:val="auto"/>
          <w:sz w:val="24"/>
          <w:lang w:val="zh-CN" w:eastAsia="zh-CN"/>
        </w:rPr>
        <w:t xml:space="preserve">2</w:t>
      </w:r>
      <w:r>
        <w:rPr>
          <w:rFonts w:hint="eastAsia" w:ascii="宋体" w:hAnsi="宋体" w:eastAsia="宋体" w:cs="Times New Roman"/>
          <w:b w:val="0"/>
          <w:bCs w:val="0"/>
          <w:color w:val="auto"/>
          <w:sz w:val="24"/>
          <w:lang w:val="en-US" w:eastAsia="zh-CN"/>
        </w:rPr>
        <w:t xml:space="preserve">5</w:t>
      </w:r>
      <w:r>
        <w:rPr>
          <w:rFonts w:hint="eastAsia" w:ascii="宋体" w:hAnsi="宋体" w:eastAsia="宋体" w:cs="Times New Roman"/>
          <w:b w:val="0"/>
          <w:bCs w:val="0"/>
          <w:color w:val="auto"/>
          <w:sz w:val="24"/>
          <w:lang w:val="zh-CN" w:eastAsia="zh-CN"/>
        </w:rPr>
        <w:t xml:space="preserve">.1</w:t>
      </w:r>
      <w:r>
        <w:rPr>
          <w:rFonts w:hint="eastAsia" w:ascii="宋体" w:hAnsi="宋体" w:eastAsia="宋体" w:cs="Times New Roman"/>
          <w:b w:val="0"/>
          <w:bCs w:val="0"/>
          <w:color w:val="auto"/>
          <w:sz w:val="24"/>
          <w:lang w:val="en-US" w:eastAsia="zh-CN"/>
        </w:rPr>
        <w:t xml:space="preserve"> </w:t>
      </w:r>
      <w:r>
        <w:rPr>
          <w:rFonts w:hint="eastAsia" w:ascii="宋体" w:hAnsi="宋体" w:eastAsia="宋体" w:cs="Times New Roman"/>
          <w:b w:val="0"/>
          <w:bCs w:val="0"/>
          <w:color w:val="auto"/>
          <w:sz w:val="24"/>
          <w:lang w:val="zh-CN" w:eastAsia="zh-CN"/>
        </w:rPr>
        <w:t xml:space="preserve">谈判程序</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谈判</w:t>
      </w:r>
      <w:r>
        <w:rPr>
          <w:rFonts w:hint="eastAsia" w:ascii="宋体" w:hAnsi="宋体" w:eastAsia="宋体" w:cs="Times New Roman"/>
          <w:color w:val="auto"/>
          <w:sz w:val="24"/>
          <w:szCs w:val="21"/>
          <w:lang w:val="en-US" w:eastAsia="zh-CN"/>
        </w:rPr>
        <w:t xml:space="preserve">小组将与通过资格审查和符合性审查的供应商分别进行</w:t>
      </w:r>
      <w:r>
        <w:rPr>
          <w:rFonts w:hint="eastAsia" w:ascii="宋体" w:hAnsi="宋体" w:eastAsia="宋体" w:cs="Times New Roman"/>
          <w:color w:val="auto"/>
          <w:sz w:val="24"/>
          <w:lang w:val="zh-CN" w:eastAsia="zh-CN"/>
        </w:rPr>
        <w:t xml:space="preserve">谈判。谈判小组通过苏采云系统向供应商发布《谈判函》，供应商应当按照要求在苏采云系统提交《谈判响应函》并加盖电子公章。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auto"/>
          <w:sz w:val="24"/>
          <w:lang w:val="en-US" w:eastAsia="zh-CN"/>
        </w:rPr>
        <w:t xml:space="preserve">最后报价是供应商响应文件的有效组成部分。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b w:val="0"/>
          <w:bCs w:val="0"/>
          <w:color w:val="auto"/>
          <w:sz w:val="24"/>
          <w:lang w:val="zh-CN" w:eastAsia="zh-CN"/>
        </w:rPr>
        <w:t xml:space="preserve">2</w:t>
      </w:r>
      <w:r>
        <w:rPr>
          <w:rFonts w:hint="eastAsia" w:ascii="宋体" w:hAnsi="宋体" w:eastAsia="宋体" w:cs="Times New Roman"/>
          <w:b w:val="0"/>
          <w:bCs w:val="0"/>
          <w:color w:val="auto"/>
          <w:sz w:val="24"/>
          <w:lang w:val="en-US" w:eastAsia="zh-CN"/>
        </w:rPr>
        <w:t xml:space="preserve">5</w:t>
      </w:r>
      <w:r>
        <w:rPr>
          <w:rFonts w:hint="eastAsia" w:ascii="宋体" w:hAnsi="宋体" w:eastAsia="宋体" w:cs="Times New Roman"/>
          <w:b w:val="0"/>
          <w:bCs w:val="0"/>
          <w:color w:val="auto"/>
          <w:sz w:val="24"/>
          <w:lang w:val="zh-CN" w:eastAsia="zh-CN"/>
        </w:rPr>
        <w:t xml:space="preserve">.2 成交标准。</w:t>
      </w:r>
      <w:r>
        <w:rPr>
          <w:rFonts w:hint="eastAsia" w:ascii="宋体" w:hAnsi="宋体" w:eastAsia="宋体" w:cs="Times New Roman"/>
          <w:color w:val="auto"/>
          <w:sz w:val="24"/>
          <w:lang w:val="zh-CN" w:eastAsia="zh-CN"/>
        </w:rPr>
        <w:t xml:space="preserve">见谈判文件第五章</w:t>
      </w:r>
      <w:r>
        <w:rPr>
          <w:rFonts w:hint="eastAsia" w:ascii="宋体" w:hAnsi="宋体" w:eastAsia="宋体" w:cs="Times New Roman"/>
          <w:color w:val="auto"/>
          <w:sz w:val="24"/>
          <w:szCs w:val="22"/>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.1因情况变化，不再符合规定的竞争性谈判采购方式适用情形。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szCs w:val="21"/>
          <w:lang w:val="en-US" w:eastAsia="zh-CN"/>
        </w:rPr>
        <w:t xml:space="preserve">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bookmarkStart w:id="146" w:name="_Toc513029235"/>
      <w:r/>
      <w:bookmarkStart w:id="147" w:name="_Toc16938551"/>
      <w:r/>
      <w:bookmarkStart w:id="148" w:name="_Toc20823307"/>
      <w:r/>
      <w:bookmarkStart w:id="149" w:name="_Toc120614219"/>
      <w:r/>
      <w:bookmarkStart w:id="150" w:name="_Toc513029238"/>
      <w:r/>
      <w:bookmarkStart w:id="151" w:name="_Toc20823310"/>
      <w:r/>
      <w:bookmarkStart w:id="152" w:name="_Toc16938554"/>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.3.4在谈判过程中符合要求的供应商或者最后报价未超过采购预算</w:t>
      </w:r>
      <w:r>
        <w:rPr>
          <w:rFonts w:hint="eastAsia" w:ascii="宋体" w:hAnsi="宋体" w:eastAsia="宋体" w:cs="Times New Roman"/>
          <w:color w:val="auto"/>
          <w:sz w:val="24"/>
          <w:szCs w:val="21"/>
          <w:lang w:val="en-US" w:eastAsia="zh-CN"/>
        </w:rPr>
        <w:t xml:space="preserve">或最高限价</w:t>
      </w:r>
      <w:r>
        <w:rPr>
          <w:rFonts w:hint="eastAsia" w:ascii="宋体" w:hAnsi="宋体" w:eastAsia="宋体" w:cs="Times New Roman"/>
          <w:color w:val="auto"/>
          <w:sz w:val="24"/>
          <w:lang w:val="zh-CN" w:eastAsia="zh-CN"/>
        </w:rPr>
        <w:t xml:space="preserve">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.3.5法律法规规定的其他应当终止情形。</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或25.3</w:t>
      </w:r>
      <w:r>
        <w:rPr>
          <w:rFonts w:hint="eastAsia" w:ascii="宋体" w:hAnsi="宋体" w:eastAsia="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情形，</w:t>
      </w:r>
      <w:r>
        <w:rPr>
          <w:rFonts w:hint="eastAsia" w:ascii="宋体" w:hAnsi="宋体" w:eastAsia="宋体" w:cs="Times New Roman"/>
          <w:b/>
          <w:bCs/>
          <w:color w:val="auto"/>
          <w:sz w:val="24"/>
          <w:lang w:val="en-US" w:eastAsia="zh-CN"/>
        </w:rPr>
        <w:t xml:space="preserve">采购</w:t>
      </w:r>
      <w:r>
        <w:rPr>
          <w:rFonts w:hint="eastAsia" w:ascii="宋体" w:hAnsi="宋体" w:eastAsia="宋体" w:cs="Times New Roman"/>
          <w:b/>
          <w:bCs/>
          <w:color w:val="auto"/>
          <w:sz w:val="24"/>
          <w:lang w:val="zh-CN" w:eastAsia="zh-CN"/>
        </w:rPr>
        <w:t xml:space="preserve">活动失败，</w:t>
      </w:r>
      <w:r>
        <w:rPr>
          <w:rFonts w:hint="eastAsia" w:ascii="宋体" w:hAnsi="宋体" w:eastAsia="宋体" w:cs="Times New Roman"/>
          <w:b/>
          <w:bCs/>
          <w:color w:val="auto"/>
          <w:sz w:val="24"/>
          <w:lang w:val="en-US" w:eastAsia="zh-CN"/>
        </w:rPr>
        <w:t xml:space="preserve">谈判小组应</w:t>
      </w:r>
      <w:r>
        <w:rPr>
          <w:rFonts w:hint="eastAsia" w:ascii="宋体" w:hAnsi="宋体" w:eastAsia="宋体" w:cs="Times New Roman"/>
          <w:b/>
          <w:bCs/>
          <w:color w:val="auto"/>
          <w:sz w:val="24"/>
          <w:szCs w:val="22"/>
          <w:lang w:val="en-US" w:eastAsia="zh-CN" w:bidi="ar"/>
        </w:rPr>
        <w:t xml:space="preserve">对谈判</w:t>
      </w:r>
      <w:r>
        <w:rPr>
          <w:rFonts w:hint="eastAsia" w:ascii="宋体" w:hAnsi="宋体" w:eastAsia="宋体" w:cs="Times New Roman"/>
          <w:b/>
          <w:bCs/>
          <w:color w:val="auto"/>
          <w:sz w:val="24"/>
          <w:szCs w:val="22"/>
          <w:lang w:val="zh-CN" w:eastAsia="zh-CN" w:bidi="ar"/>
        </w:rPr>
        <w:t xml:space="preserve">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46"/>
      <w:r/>
      <w:bookmarkEnd w:id="147"/>
      <w:r/>
      <w:bookmarkEnd w:id="148"/>
      <w:r/>
      <w:bookmarkEnd w:id="149"/>
      <w:r>
        <w:rPr>
          <w:rFonts w:hint="eastAsia" w:ascii="方正黑体_GBK" w:hAnsi="方正黑体_GBK" w:eastAsia="方正黑体_GBK" w:cs="方正黑体_GBK"/>
          <w:b w:val="0"/>
          <w:bCs w:val="0"/>
          <w:color w:val="auto"/>
          <w:sz w:val="30"/>
          <w:szCs w:val="30"/>
        </w:rPr>
        <w:t xml:space="preserve">成交</w:t>
      </w:r>
      <w:r/>
    </w:p>
    <w:p>
      <w:pPr>
        <w:pStyle w:val="845"/>
        <w:ind w:firstLine="420"/>
        <w:pageBreakBefore w:val="0"/>
        <w:spacing w:before="0" w:after="0" w:line="240" w:lineRule="auto"/>
        <w:widowControl w:val="off"/>
        <w:rPr>
          <w:rFonts w:hint="eastAsia" w:ascii="方正楷体_GBK" w:hAnsi="方正楷体_GBK" w:eastAsia="方正楷体_GBK" w:cs="方正楷体_GBK"/>
          <w:b/>
          <w:bCs/>
          <w:lang w:val="en-US" w:eastAsia="zh-CN"/>
        </w:rPr>
      </w:pPr>
      <w:r>
        <w:rPr>
          <w:rFonts w:hint="eastAsia" w:ascii="方正楷体_GBK" w:hAnsi="方正楷体_GBK" w:eastAsia="方正楷体_GBK" w:cs="方正楷体_GBK"/>
          <w:b/>
          <w:bCs/>
          <w:lang w:val="en-US" w:eastAsia="zh-CN"/>
        </w:rPr>
        <w:t xml:space="preserve">26</w:t>
      </w:r>
      <w:bookmarkEnd w:id="150"/>
      <w:r>
        <w:rPr>
          <w:rFonts w:hint="eastAsia" w:ascii="方正楷体_GBK" w:hAnsi="方正楷体_GBK" w:eastAsia="方正楷体_GBK" w:cs="方正楷体_GBK"/>
          <w:b/>
          <w:bCs/>
          <w:lang w:val="en-US" w:eastAsia="zh-CN"/>
        </w:rPr>
        <w:t xml:space="preserve">.确定</w:t>
      </w:r>
      <w:bookmarkEnd w:id="151"/>
      <w:r/>
      <w:bookmarkEnd w:id="152"/>
      <w:r>
        <w:rPr>
          <w:rFonts w:hint="eastAsia" w:ascii="方正楷体_GBK" w:hAnsi="方正楷体_GBK" w:eastAsia="方正楷体_GBK" w:cs="方正楷体_GBK"/>
          <w:b/>
          <w:bCs/>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en-US" w:eastAsia="zh-CN"/>
        </w:rPr>
        <w:t xml:space="preserve">26.1</w:t>
      </w:r>
      <w:r>
        <w:rPr>
          <w:rFonts w:hint="eastAsia" w:ascii="宋体" w:hAnsi="宋体" w:eastAsia="宋体" w:cs="Times New Roman"/>
          <w:color w:val="auto"/>
          <w:sz w:val="24"/>
          <w:szCs w:val="21"/>
          <w:lang w:val="en-US" w:eastAsia="zh-CN"/>
        </w:rPr>
        <w:t xml:space="preserve"> 成交候选供应商的确定原则和数量见谈判文件第五章。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）种方式确定成交供应商</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（1）谈判小组直接确定排名第一的成交候选供应商为成交供应商。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（2）采购人在谈判小组推荐的成交候选供应商中按顺序确定成交供应商。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按第二种方式确定成交供应商的，交易中心自评审结束之日起两个工作日内将评审报告送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采购人，采购人自收到评审报告之日起五个工作日内，在评审报告推荐的成交候选供应商中按顺序确定成交供应商。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26.3</w:t>
      </w:r>
      <w:r>
        <w:rPr>
          <w:rFonts w:hint="eastAsia" w:ascii="宋体" w:hAnsi="宋体" w:eastAsia="宋体" w:cs="Times New Roman"/>
          <w:color w:val="auto"/>
          <w:sz w:val="24"/>
          <w:lang w:val="zh-CN" w:eastAsia="zh-CN"/>
        </w:rPr>
        <w:t xml:space="preserve">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26.4 </w:t>
      </w:r>
      <w:r>
        <w:rPr>
          <w:rFonts w:hint="eastAsia" w:ascii="宋体" w:hAnsi="宋体" w:eastAsia="宋体" w:cs="Times New Roman"/>
          <w:b/>
          <w:bCs/>
          <w:color w:val="auto"/>
          <w:sz w:val="24"/>
          <w:lang w:val="zh-CN" w:eastAsia="zh-CN"/>
        </w:rPr>
        <w:t xml:space="preserve">若有充分证据证明成交供应商出现下列情况之一的，一经查实将被取消成交资格：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szCs w:val="22"/>
          <w:lang w:val="zh-CN"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26.4.4 不满足本谈判文件规定的实质性要求，但在评审过程中未被谈判小组发现。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26.4.5 </w:t>
      </w:r>
      <w:r>
        <w:rPr>
          <w:rFonts w:hint="eastAsia" w:ascii="宋体" w:hAnsi="宋体" w:eastAsia="宋体" w:cs="Times New Roman"/>
          <w:color w:val="auto"/>
          <w:sz w:val="24"/>
          <w:lang w:val="zh-CN"/>
        </w:rPr>
        <w:t xml:space="preserve">采取不正当手段诋毁、排挤其他供应商。</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53" w:name="_Hlt16619369"/>
      <w:r/>
      <w:bookmarkEnd w:id="153"/>
      <w:r/>
      <w:bookmarkStart w:id="154" w:name="_Hlt16619350"/>
      <w:r/>
      <w:bookmarkStart w:id="155" w:name="_Toc16938590"/>
      <w:r/>
      <w:bookmarkStart w:id="156" w:name="_Toc120614244"/>
      <w:r/>
      <w:bookmarkStart w:id="157" w:name="_Toc20823346"/>
      <w:r/>
      <w:bookmarkStart w:id="158" w:name="_Toc462564139"/>
      <w:r/>
      <w:bookmarkStart w:id="159" w:name="_Toc479757211"/>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28.l 成交供应商应当在《成交通知书》发出之日起三十日内，按照谈判文件确定的事项与采购人签订政府采购合同。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谈判文件、成交供应商的响应文件及谈判过程中有关澄清、承诺文件均作为合同附件。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29.1 政府采购合同履行中，采购人需追加与合同标的相同的</w:t>
      </w:r>
      <w:r>
        <w:rPr>
          <w:rFonts w:hint="eastAsia" w:ascii="宋体" w:hAnsi="宋体" w:eastAsia="宋体" w:cs="Courier New"/>
          <w:color w:val="000000"/>
          <w:sz w:val="24"/>
          <w:szCs w:val="24"/>
          <w:lang w:val="zh-CN" w:eastAsia="zh-CN"/>
        </w:rPr>
        <w:t xml:space="preserve">货物或服务（包含与货物相关的服务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Times New Roman"/>
          <w:color w:val="auto"/>
          <w:sz w:val="24"/>
          <w:szCs w:val="21"/>
          <w:lang w:val="en-US" w:eastAsia="zh-CN"/>
        </w:rPr>
        <w:t xml:space="preserve">，在不改变合同其他条款的前提下，可以与成交供应商协商签订补充合同，但所有补充合同的金额不超过原合同金额10%。</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Times New Roman"/>
          <w:color w:val="auto"/>
          <w:sz w:val="24"/>
          <w:szCs w:val="22"/>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w:t>
      </w:r>
      <w:r>
        <w:rPr>
          <w:rFonts w:hint="eastAsia" w:ascii="宋体" w:hAnsi="宋体" w:cs="Times New Roman"/>
          <w:b/>
          <w:bCs/>
          <w:color w:val="auto"/>
          <w:sz w:val="24"/>
          <w:szCs w:val="22"/>
          <w:lang w:val="en-US" w:eastAsia="zh-CN"/>
        </w:rPr>
        <w:t xml:space="preserve">《质疑函》</w:t>
      </w:r>
      <w:r>
        <w:rPr>
          <w:rFonts w:hint="eastAsia" w:ascii="宋体" w:hAnsi="宋体" w:eastAsia="宋体" w:cs="Times New Roman"/>
          <w:b/>
          <w:bCs/>
          <w:color w:val="auto"/>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844"/>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45"/>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color w:val="auto"/>
          <w:sz w:val="24"/>
          <w:lang w:val="zh-CN"/>
        </w:rPr>
        <w:t xml:space="preserve">在政府采购活动中，供应商提供的货物或者服务符合下列情形的，享受中小企业扶持政策：</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（1）在货物</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val="zh-CN"/>
        </w:rPr>
        <w:t xml:space="preserve">项目中，</w:t>
      </w:r>
      <w:r>
        <w:rPr>
          <w:rFonts w:hint="eastAsia" w:ascii="宋体" w:hAnsi="宋体" w:eastAsia="宋体" w:cs="Times New Roman"/>
          <w:color w:val="auto"/>
          <w:sz w:val="24"/>
          <w:lang w:val="en-US" w:eastAsia="zh-CN"/>
        </w:rPr>
        <w:t xml:space="preserve">全部</w:t>
      </w:r>
      <w:r>
        <w:rPr>
          <w:rFonts w:hint="eastAsia" w:ascii="宋体" w:hAnsi="宋体" w:eastAsia="宋体" w:cs="Times New Roman"/>
          <w:color w:val="auto"/>
          <w:sz w:val="24"/>
          <w:lang w:val="zh-CN"/>
        </w:rPr>
        <w:t xml:space="preserve">货物由中小企业制造；</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（2）在服务</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val="zh-CN"/>
        </w:rPr>
        <w:t xml:space="preserve">项目中，服务由中小企业承接。</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845"/>
        <w:ind w:firstLine="420"/>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auto"/>
          <w:sz w:val="24"/>
          <w:lang w:val="en-US" w:eastAsia="zh-CN"/>
        </w:rPr>
        <w:t xml:space="preserve">第五章成交标准</w:t>
      </w:r>
      <w:r>
        <w:rPr>
          <w:rFonts w:hint="eastAsia" w:ascii="宋体" w:hAnsi="宋体" w:eastAsia="宋体" w:cs="Times New Roman"/>
          <w:color w:val="auto"/>
          <w:sz w:val="24"/>
          <w:lang w:val="zh-CN"/>
        </w:rPr>
        <w:t xml:space="preserve">）。</w:t>
      </w:r>
      <w:r/>
    </w:p>
    <w:p>
      <w:pPr>
        <w:pStyle w:val="845"/>
        <w:ind w:firstLine="420"/>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必要时可以委托依法取得检测、认证资质的机构进行检测、认证。</w:t>
      </w:r>
      <w:r/>
    </w:p>
    <w:p>
      <w:pPr>
        <w:pStyle w:val="845"/>
        <w:ind w:firstLine="420"/>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45"/>
        <w:ind w:firstLine="420"/>
        <w:pageBreakBefore w:val="0"/>
        <w:spacing w:before="0" w:after="0" w:line="240" w:lineRule="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45"/>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合同文本</w:t>
      </w:r>
      <w:r/>
    </w:p>
    <w:p>
      <w:pPr>
        <w:ind w:firstLine="480"/>
        <w:keepLines w:val="0"/>
        <w:keepNext w:val="0"/>
        <w:pageBreakBefore w:val="0"/>
        <w:spacing w:line="240" w:lineRule="auto"/>
        <w:widowControl w:val="off"/>
        <w:rPr>
          <w:rFonts w:hint="eastAsia" w:ascii="宋体" w:hAnsi="宋体"/>
          <w:bCs/>
          <w:color w:val="000000"/>
          <w:sz w:val="24"/>
          <w:szCs w:val="21"/>
        </w:rPr>
      </w:pPr>
      <w:r/>
      <w:bookmarkStart w:id="160" w:name="_Toc20823315"/>
      <w:r/>
      <w:bookmarkStart w:id="161" w:name="_Toc16938559"/>
      <w:r/>
      <w:bookmarkStart w:id="162" w:name="_Toc513029243"/>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合同双方不得对谈判、响应文件内容作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lang w:eastAsia="zh-CN"/>
        </w:rPr>
        <w:outlineLvl w:val="9"/>
      </w:pPr>
      <w:r>
        <w:rPr>
          <w:rFonts w:hint="eastAsia" w:ascii="方正小标宋简体" w:hAnsi="方正小标宋简体" w:eastAsia="方正小标宋简体" w:cs="方正小标宋简体"/>
          <w:b w:val="0"/>
          <w:bCs/>
          <w:color w:val="000000"/>
          <w:sz w:val="32"/>
          <w:szCs w:val="32"/>
        </w:rPr>
        <w:t xml:space="preserve">政府采购合同</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ascii="宋体" w:hAnsi="宋体" w:eastAsia="宋体" w:cs="宋体"/>
          <w:sz w:val="24"/>
          <w:szCs w:val="24"/>
          <w:u w:val="single"/>
          <w:lang w:val="en-US" w:eastAsia="zh-CN"/>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竞争性谈判</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auto"/>
          <w:sz w:val="24"/>
          <w:szCs w:val="24"/>
        </w:rPr>
        <w:t xml:space="preserve">：</w:t>
      </w:r>
      <w:r>
        <w:rPr>
          <w:rFonts w:hint="eastAsia" w:ascii="宋体" w:hAnsi="宋体" w:eastAsia="宋体" w:cs="Courier New"/>
          <w:color w:val="auto"/>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按谈判文件及响应文件执行。</w:t>
      </w:r>
      <w:r/>
    </w:p>
    <w:p>
      <w:pPr>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谈判</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865"/>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本合同金额为（大写）：人民币____________________元，（大写：_____________________）。</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文件规定的时间向甲方提供</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865"/>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865"/>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auto"/>
          <w:sz w:val="24"/>
          <w:szCs w:val="24"/>
          <w:highlight w:val="none"/>
          <w:lang w:val="en-US" w:eastAsia="zh-CN"/>
        </w:rPr>
        <w:t xml:space="preserve">合同签订后，甲方支付合同总价款的30%作为预付款。</w:t>
      </w:r>
      <w:r/>
    </w:p>
    <w:p>
      <w:pPr>
        <w:pStyle w:val="865"/>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系统开发完成并验收合格后，甲方支付合同总价款的70%。</w:t>
      </w:r>
      <w:r/>
    </w:p>
    <w:p>
      <w:pPr>
        <w:pStyle w:val="865"/>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p>
    <w:p>
      <w:pPr>
        <w:pStyle w:val="865"/>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865"/>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谈判</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auto"/>
          <w:sz w:val="24"/>
          <w:szCs w:val="24"/>
        </w:rPr>
        <w:t xml:space="preserve">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w:t>
      </w:r>
      <w:r>
        <w:rPr>
          <w:rFonts w:hint="eastAsia" w:ascii="宋体" w:hAnsi="宋体" w:eastAsia="宋体" w:cs="Courier New"/>
          <w:color w:val="auto"/>
          <w:sz w:val="24"/>
          <w:szCs w:val="24"/>
          <w:lang w:val="en-US" w:eastAsia="zh-CN"/>
        </w:rPr>
        <w:t xml:space="preserve">款项</w:t>
      </w:r>
      <w:r>
        <w:rPr>
          <w:rFonts w:hint="eastAsia" w:ascii="宋体" w:hAnsi="宋体" w:eastAsia="宋体" w:cs="Courier New"/>
          <w:color w:val="auto"/>
          <w:sz w:val="24"/>
          <w:szCs w:val="24"/>
        </w:rPr>
        <w:t xml:space="preserve">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万分之五</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1‰  </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000000"/>
          <w:sz w:val="24"/>
          <w:szCs w:val="24"/>
        </w:rPr>
        <w:t xml:space="preserve">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5‰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25%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rPr>
          <w:rFonts w:hint="eastAsia" w:ascii="宋体" w:hAnsi="宋体" w:eastAsia="宋体" w:cs="Courier New"/>
          <w:color w:val="000000"/>
          <w:sz w:val="24"/>
          <w:szCs w:val="24"/>
        </w:rPr>
        <w:t xml:space="preserve"> </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或服务的</w:t>
      </w:r>
      <w:r>
        <w:rPr>
          <w:rFonts w:hint="eastAsia" w:ascii="宋体" w:hAnsi="宋体" w:eastAsia="宋体" w:cs="Courier New"/>
          <w:color w:val="000000"/>
          <w:sz w:val="24"/>
          <w:szCs w:val="24"/>
        </w:rPr>
        <w:t xml:space="preserve">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文件规定标准的，甲方有权拒收该货物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，乙方愿意更换货物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但逾期交货的，按乙方逾期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处理。乙方拒绝更换货物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的，甲方可单方面解除合同。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60"/>
      <w:r/>
      <w:bookmarkEnd w:id="161"/>
      <w:r/>
      <w:bookmarkEnd w:id="162"/>
      <w:r/>
      <w:r/>
    </w:p>
    <w:p>
      <w:pPr>
        <w:pStyle w:val="865"/>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65"/>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65"/>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865"/>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65"/>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65"/>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65"/>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865"/>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154"/>
      <w:r>
        <w:rPr>
          <w:rFonts w:hint="eastAsia" w:ascii="方正小标宋简体" w:hAnsi="方正小标宋简体" w:eastAsia="方正小标宋简体" w:cs="方正小标宋简体"/>
          <w:color w:val="000000"/>
          <w:sz w:val="36"/>
          <w:szCs w:val="36"/>
          <w:lang w:val="en-US"/>
        </w:rPr>
        <w:t xml:space="preserve">四章 采购需求</w:t>
      </w:r>
      <w:bookmarkEnd w:id="155"/>
      <w:r/>
      <w:bookmarkEnd w:id="156"/>
      <w:r/>
      <w:bookmarkEnd w:id="157"/>
      <w:r/>
      <w:bookmarkStart w:id="163" w:name="_Toc49090575"/>
      <w:r/>
      <w:bookmarkStart w:id="164" w:name="_Toc26554093"/>
      <w:r/>
      <w:r/>
    </w:p>
    <w:p>
      <w:pPr>
        <w:ind w:firstLine="480"/>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黑体" w:hAnsi="黑体" w:eastAsia="黑体" w:cs="黑体"/>
          <w:bCs w:val="0"/>
          <w:color w:val="000000"/>
          <w:sz w:val="24"/>
          <w:szCs w:val="24"/>
          <w:lang w:val="en-US" w:eastAsia="zh-CN"/>
        </w:rPr>
        <w:t xml:space="preserve">一、项目属性：</w:t>
      </w:r>
      <w:r>
        <w:rPr>
          <w:rFonts w:hint="eastAsia" w:ascii="宋体" w:hAnsi="宋体" w:cs="宋体"/>
          <w:b w:val="0"/>
          <w:bCs/>
          <w:color w:val="auto"/>
          <w:sz w:val="24"/>
          <w:szCs w:val="24"/>
          <w:highlight w:val="none"/>
          <w:lang w:val="en-US" w:eastAsia="zh-CN"/>
        </w:rPr>
        <w:t xml:space="preserve">服务</w:t>
      </w:r>
      <w:r>
        <w:rPr>
          <w:rFonts w:hint="eastAsia" w:ascii="宋体" w:hAnsi="宋体" w:eastAsia="宋体" w:cs="宋体"/>
          <w:b w:val="0"/>
          <w:bCs/>
          <w:color w:val="auto"/>
          <w:sz w:val="24"/>
          <w:szCs w:val="24"/>
          <w:highlight w:val="none"/>
          <w:lang w:val="en-US" w:eastAsia="zh-CN"/>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cs="宋体"/>
          <w:bCs/>
          <w:sz w:val="24"/>
          <w:szCs w:val="24"/>
        </w:rPr>
        <w:t xml:space="preserve">紫金山实验室采用开放的无线云网络作为综合试验平台，支撑B5G/6G关键技术试验验证，是实现B5G/6G关键技术试验验证的基础试验平台。针对实际运维需求基于无线云试验系统平台的软硬件架构，对前传卡软件进行升级，在驱动层新增RRU管理面数据转发接口，将光纤链路从单纯的数据面通道升级为集数据传输与管理于一体的综合链路，同时支持时分复用制式，实现对RRU的远程管理，后续RRU开站、日常运维等均可远程操作或由网管中心远程自动完成等。</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957"/>
        <w:tblW w:w="5486" w:type="pct"/>
        <w:tblInd w:w="-5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89"/>
        <w:gridCol w:w="1642"/>
        <w:gridCol w:w="650"/>
        <w:gridCol w:w="755"/>
        <w:gridCol w:w="1287"/>
        <w:gridCol w:w="1310"/>
        <w:gridCol w:w="1512"/>
        <w:gridCol w:w="952"/>
        <w:gridCol w:w="1100"/>
        <w:gridCol w:w="911"/>
      </w:tblGrid>
      <w:tr>
        <w:trPr>
          <w:trHeight w:val="470"/>
        </w:trPr>
        <w:tc>
          <w:tcPr>
            <w:tcBorders>
              <w:top w:val="single" w:color="000000" w:sz="2" w:space="0"/>
              <w:bottom w:val="single" w:color="000000" w:sz="2" w:space="0"/>
            </w:tcBorders>
            <w:tcW w:w="27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000000" w:sz="2" w:space="0"/>
              <w:bottom w:val="single" w:color="000000" w:sz="2" w:space="0"/>
            </w:tcBorders>
            <w:tcW w:w="76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p>
        </w:tc>
        <w:tc>
          <w:tcPr>
            <w:tcBorders>
              <w:top w:val="single" w:color="000000" w:sz="2" w:space="0"/>
              <w:bottom w:val="single" w:color="000000" w:sz="2" w:space="0"/>
            </w:tcBorders>
            <w:tcW w:w="30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Borders>
              <w:top w:val="single" w:color="000000" w:sz="2" w:space="0"/>
              <w:bottom w:val="single" w:color="000000" w:sz="2" w:space="0"/>
            </w:tcBorders>
            <w:tcW w:w="35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p>
        </w:tc>
        <w:tc>
          <w:tcPr>
            <w:tcBorders>
              <w:top w:val="single" w:color="000000" w:sz="2" w:space="0"/>
              <w:bottom w:val="single" w:color="000000" w:sz="2" w:space="0"/>
            </w:tcBorders>
            <w:tcW w:w="60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p>
          <w:p>
            <w:pPr>
              <w:jc w:val="center"/>
              <w:keepLines w:val="0"/>
              <w:keepNext w:val="0"/>
              <w:pageBreakBefore w:val="0"/>
              <w:spacing w:line="264" w:lineRule="auto"/>
              <w:widowControl w:val="off"/>
              <w:rPr>
                <w:rFonts w:hint="eastAsia"/>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p>
        </w:tc>
        <w:tc>
          <w:tcPr>
            <w:tcBorders>
              <w:top w:val="single" w:color="000000" w:sz="2" w:space="0"/>
              <w:bottom w:val="single" w:color="000000" w:sz="2" w:space="0"/>
            </w:tcBorders>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p>
        </w:tc>
        <w:tc>
          <w:tcPr>
            <w:tcBorders>
              <w:top w:val="single" w:color="000000" w:sz="2" w:space="0"/>
              <w:bottom w:val="single" w:color="000000" w:sz="2" w:space="0"/>
            </w:tcBorders>
            <w:tcW w:w="7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p>
        </w:tc>
        <w:tc>
          <w:tcPr>
            <w:tcBorders>
              <w:top w:val="single" w:color="000000" w:sz="2" w:space="0"/>
              <w:bottom w:val="single" w:color="000000" w:sz="2" w:space="0"/>
              <w:right w:val="single" w:color="auto" w:sz="4" w:space="0"/>
            </w:tcBorders>
            <w:tcW w:w="44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p>
        </w:tc>
        <w:tc>
          <w:tcPr>
            <w:shd w:val="clear" w:color="auto" w:fill="auto"/>
            <w:tcBorders>
              <w:top w:val="single" w:color="000000" w:sz="2" w:space="0"/>
              <w:bottom w:val="single" w:color="000000" w:sz="2" w:space="0"/>
              <w:right w:val="single" w:color="auto" w:sz="4" w:space="0"/>
            </w:tcBorders>
            <w:tcW w:w="513" w:type="pct"/>
            <w:vAlign w:val="center"/>
            <w:textDirection w:val="lrTb"/>
            <w:noWrap w:val="false"/>
          </w:tcPr>
          <w:p>
            <w:pPr>
              <w:jc w:val="center"/>
              <w:spacing w:line="264" w:lineRule="auto"/>
              <w:rPr>
                <w:rFonts w:hint="eastAsia" w:ascii="宋体" w:hAnsi="宋体" w:eastAsia="宋体" w:cs="宋体"/>
                <w:bCs/>
                <w:sz w:val="24"/>
                <w:szCs w:val="24"/>
                <w:lang w:val="en-US" w:eastAsia="zh-CN" w:bidi="ar-SA"/>
              </w:rPr>
            </w:pPr>
            <w:r>
              <w:rPr>
                <w:rFonts w:hint="eastAsia" w:ascii="宋体" w:hAnsi="宋体" w:cs="宋体"/>
                <w:bCs/>
                <w:sz w:val="24"/>
                <w:szCs w:val="24"/>
              </w:rPr>
              <w:t xml:space="preserve">数据交易类型（如有）</w:t>
            </w:r>
            <w:r/>
          </w:p>
        </w:tc>
        <w:tc>
          <w:tcPr>
            <w:shd w:val="clear" w:color="auto" w:fill="auto"/>
            <w:tcBorders>
              <w:top w:val="single" w:color="000000" w:sz="2" w:space="0"/>
              <w:bottom w:val="single" w:color="000000" w:sz="2" w:space="0"/>
              <w:right w:val="single" w:color="auto" w:sz="4" w:space="0"/>
            </w:tcBorders>
            <w:tcW w:w="425" w:type="pct"/>
            <w:vAlign w:val="center"/>
            <w:textDirection w:val="lrTb"/>
            <w:noWrap w:val="false"/>
          </w:tcPr>
          <w:p>
            <w:pPr>
              <w:jc w:val="center"/>
              <w:spacing w:line="264" w:lineRule="auto"/>
              <w:rPr>
                <w:rFonts w:hint="eastAsia" w:ascii="宋体" w:hAnsi="宋体" w:eastAsia="宋体" w:cs="宋体"/>
                <w:bCs/>
                <w:sz w:val="24"/>
                <w:szCs w:val="24"/>
                <w:lang w:val="en-US" w:eastAsia="zh-CN" w:bidi="ar-SA"/>
              </w:rPr>
            </w:pPr>
            <w:r>
              <w:rPr>
                <w:rFonts w:hint="eastAsia" w:ascii="宋体" w:hAnsi="宋体" w:cs="宋体"/>
                <w:bCs/>
                <w:sz w:val="24"/>
                <w:szCs w:val="24"/>
              </w:rPr>
              <w:t xml:space="preserve">政府强制采购节能产品（如有）</w:t>
            </w:r>
            <w:r/>
          </w:p>
        </w:tc>
      </w:tr>
      <w:tr>
        <w:trPr>
          <w:trHeight w:val="414"/>
        </w:trPr>
        <w:tc>
          <w:tcPr>
            <w:tcBorders>
              <w:top w:val="single" w:color="000000" w:sz="2" w:space="0"/>
              <w:bottom w:val="single" w:color="000000" w:sz="2" w:space="0"/>
            </w:tcBorders>
            <w:tcW w:w="27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Borders>
              <w:top w:val="single" w:color="000000" w:sz="2" w:space="0"/>
              <w:bottom w:val="single" w:color="000000" w:sz="2" w:space="0"/>
            </w:tcBorders>
            <w:tcW w:w="766" w:type="pct"/>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0000ff"/>
                <w:sz w:val="24"/>
                <w:szCs w:val="24"/>
              </w:rPr>
            </w:pPr>
            <w:r>
              <w:rPr>
                <w:rFonts w:hint="eastAsia" w:ascii="宋体" w:hAnsi="宋体" w:cs="宋体"/>
                <w:bCs/>
                <w:color w:val="auto"/>
                <w:sz w:val="24"/>
                <w:szCs w:val="24"/>
                <w:lang w:val="en-US" w:eastAsia="zh-CN"/>
              </w:rPr>
              <w:t xml:space="preserve">BB</w:t>
            </w:r>
            <w:r>
              <w:rPr>
                <w:rFonts w:hint="eastAsia" w:ascii="宋体" w:hAnsi="宋体" w:eastAsia="宋体" w:cs="宋体"/>
                <w:bCs/>
                <w:color w:val="auto"/>
                <w:sz w:val="24"/>
                <w:szCs w:val="24"/>
                <w:lang w:val="en-US" w:eastAsia="zh-CN"/>
              </w:rPr>
              <w:t xml:space="preserve">U管理面数据转发定制开发</w:t>
            </w:r>
            <w:r/>
          </w:p>
        </w:tc>
        <w:tc>
          <w:tcPr>
            <w:tcBorders>
              <w:top w:val="single" w:color="000000" w:sz="2" w:space="0"/>
              <w:bottom w:val="single" w:color="000000" w:sz="2" w:space="0"/>
            </w:tcBorders>
            <w:tcW w:w="30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5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项</w:t>
            </w:r>
            <w:r/>
          </w:p>
        </w:tc>
        <w:tc>
          <w:tcPr>
            <w:tcBorders>
              <w:top w:val="single" w:color="000000" w:sz="2" w:space="0"/>
            </w:tcBorders>
            <w:tcW w:w="600"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450000</w:t>
            </w:r>
            <w:r/>
          </w:p>
        </w:tc>
        <w:tc>
          <w:tcPr>
            <w:tcBorders>
              <w:top w:val="single" w:color="000000" w:sz="2" w:space="0"/>
              <w:bottom w:val="single" w:color="000000" w:sz="2" w:space="0"/>
            </w:tcBorders>
            <w:tcW w:w="611"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主要产品</w:t>
            </w:r>
            <w:r/>
          </w:p>
        </w:tc>
        <w:tc>
          <w:tcPr>
            <w:tcBorders>
              <w:top w:val="single" w:color="000000" w:sz="2" w:space="0"/>
              <w:bottom w:val="single" w:color="000000" w:sz="2" w:space="0"/>
            </w:tcBorders>
            <w:tcW w:w="7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Times New Roman"/>
                <w:color w:val="auto"/>
                <w:sz w:val="24"/>
                <w:szCs w:val="24"/>
                <w:u w:val="none"/>
                <w:lang w:val="en-US" w:eastAsia="zh-CN"/>
              </w:rPr>
              <w:t xml:space="preserve">软件和信息技术服务业</w:t>
            </w:r>
            <w:r/>
          </w:p>
        </w:tc>
        <w:tc>
          <w:tcPr>
            <w:tcBorders>
              <w:top w:val="single" w:color="000000" w:sz="2" w:space="0"/>
              <w:bottom w:val="single" w:color="000000" w:sz="2" w:space="0"/>
              <w:right w:val="single" w:color="auto" w:sz="4" w:space="0"/>
            </w:tcBorders>
            <w:tcW w:w="44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服务</w:t>
            </w:r>
            <w:r/>
          </w:p>
        </w:tc>
        <w:tc>
          <w:tcPr>
            <w:shd w:val="clear" w:color="auto" w:fill="auto"/>
            <w:tcBorders>
              <w:top w:val="single" w:color="000000" w:sz="2" w:space="0"/>
              <w:bottom w:val="single" w:color="000000" w:sz="2" w:space="0"/>
              <w:right w:val="single" w:color="auto" w:sz="4" w:space="0"/>
            </w:tcBorders>
            <w:tcW w:w="513" w:type="pct"/>
            <w:vAlign w:val="center"/>
            <w:textDirection w:val="lrTb"/>
            <w:noWrap w:val="false"/>
          </w:tcPr>
          <w:p>
            <w:pPr>
              <w:jc w:val="center"/>
              <w:spacing w:line="264" w:lineRule="auto"/>
              <w:rPr>
                <w:rFonts w:hint="eastAsia" w:ascii="宋体" w:hAnsi="宋体" w:eastAsia="宋体" w:cs="宋体"/>
                <w:bCs/>
                <w:sz w:val="24"/>
                <w:szCs w:val="24"/>
                <w:lang w:val="en-US" w:eastAsia="zh-CN" w:bidi="ar-SA"/>
              </w:rPr>
            </w:pPr>
            <w:r>
              <w:rPr>
                <w:rFonts w:hint="eastAsia" w:ascii="宋体" w:hAnsi="宋体" w:cs="宋体"/>
                <w:bCs/>
                <w:sz w:val="24"/>
                <w:szCs w:val="24"/>
              </w:rPr>
              <w:t xml:space="preserve">/</w:t>
            </w:r>
            <w:r/>
          </w:p>
        </w:tc>
        <w:tc>
          <w:tcPr>
            <w:shd w:val="clear" w:color="auto" w:fill="auto"/>
            <w:tcBorders>
              <w:top w:val="single" w:color="000000" w:sz="2" w:space="0"/>
              <w:bottom w:val="single" w:color="000000" w:sz="2" w:space="0"/>
              <w:right w:val="single" w:color="auto" w:sz="4" w:space="0"/>
            </w:tcBorders>
            <w:tcW w:w="425" w:type="pct"/>
            <w:vAlign w:val="center"/>
            <w:textDirection w:val="lrTb"/>
            <w:noWrap w:val="false"/>
          </w:tcPr>
          <w:p>
            <w:pPr>
              <w:jc w:val="center"/>
              <w:spacing w:line="264" w:lineRule="auto"/>
              <w:rPr>
                <w:rFonts w:hint="eastAsia" w:ascii="宋体" w:hAnsi="宋体" w:eastAsia="宋体" w:cs="宋体"/>
                <w:bCs/>
                <w:sz w:val="24"/>
                <w:szCs w:val="24"/>
                <w:lang w:val="en-US" w:eastAsia="zh-CN" w:bidi="ar-SA"/>
              </w:rPr>
            </w:pPr>
            <w:r>
              <w:rPr>
                <w:rFonts w:hint="eastAsia" w:ascii="宋体" w:hAnsi="宋体" w:cs="宋体"/>
                <w:bCs/>
                <w:sz w:val="24"/>
                <w:szCs w:val="24"/>
              </w:rPr>
              <w:t xml:space="preserve">/</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w:t>
      </w:r>
      <w:r>
        <w:rPr>
          <w:rFonts w:hint="eastAsia" w:ascii="黑体" w:hAnsi="黑体" w:eastAsia="黑体" w:cs="黑体"/>
          <w:bCs w:val="0"/>
          <w:color w:val="auto"/>
          <w:sz w:val="24"/>
          <w:szCs w:val="24"/>
          <w:lang w:eastAsia="zh-CN"/>
        </w:rPr>
        <w:t xml:space="preserve">产品</w:t>
      </w:r>
      <w:r>
        <w:rPr>
          <w:rFonts w:hint="eastAsia" w:ascii="黑体" w:hAnsi="黑体" w:eastAsia="黑体" w:cs="黑体"/>
          <w:bCs w:val="0"/>
          <w:color w:val="auto"/>
          <w:sz w:val="24"/>
          <w:szCs w:val="24"/>
        </w:rPr>
        <w:t xml:space="preserve">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（一）技术</w:t>
      </w:r>
      <w:r>
        <w:rPr>
          <w:rFonts w:hint="eastAsia" w:ascii="宋体" w:hAnsi="宋体" w:eastAsia="宋体" w:cs="宋体"/>
          <w:bCs/>
          <w:color w:val="auto"/>
          <w:sz w:val="24"/>
          <w:szCs w:val="24"/>
          <w:lang w:val="en-US" w:eastAsia="zh-CN"/>
        </w:rPr>
        <w:t xml:space="preserve">不低于以下</w:t>
      </w:r>
      <w:r>
        <w:rPr>
          <w:rFonts w:hint="eastAsia" w:ascii="宋体" w:hAnsi="宋体" w:eastAsia="宋体" w:cs="宋体"/>
          <w:bCs/>
          <w:color w:val="auto"/>
          <w:sz w:val="24"/>
          <w:szCs w:val="24"/>
        </w:rPr>
        <w:t xml:space="preserve">要求</w:t>
      </w:r>
      <w:r/>
    </w:p>
    <w:p>
      <w:pPr>
        <w:ind w:firstLine="480"/>
        <w:spacing w:line="264" w:lineRule="auto"/>
        <w:rPr>
          <w:rFonts w:hint="eastAsia" w:ascii="宋体" w:hAnsi="宋体" w:cs="宋体"/>
          <w:bCs/>
          <w:sz w:val="24"/>
          <w:szCs w:val="24"/>
          <w:lang w:eastAsia="zh-Hans"/>
        </w:rPr>
        <w:outlineLvl w:val="2"/>
      </w:pPr>
      <w:r/>
      <w:bookmarkStart w:id="165" w:name="OLE_LINK10"/>
      <w:r/>
      <w:bookmarkStart w:id="166" w:name="OLE_LINK9"/>
      <w:r>
        <w:rPr>
          <w:rFonts w:hint="eastAsia" w:ascii="宋体" w:hAnsi="宋体" w:cs="宋体"/>
          <w:bCs/>
          <w:sz w:val="24"/>
          <w:szCs w:val="24"/>
          <w:lang w:eastAsia="zh-Hans"/>
        </w:rPr>
        <w:t xml:space="preserve">1. 基站 FH 前传卡定制（FPGA 逻辑深度开发与重构）</w:t>
      </w:r>
      <w:r/>
    </w:p>
    <w:p>
      <w:pPr>
        <w:ind w:firstLine="480"/>
        <w:spacing w:line="264" w:lineRule="auto"/>
        <w:rPr>
          <w:rFonts w:hint="eastAsia" w:ascii="宋体" w:hAnsi="宋体" w:cs="宋体"/>
          <w:bCs/>
          <w:sz w:val="24"/>
          <w:szCs w:val="24"/>
          <w:lang w:eastAsia="zh-Hans"/>
        </w:rPr>
        <w:outlineLvl w:val="2"/>
      </w:pPr>
      <w:r>
        <w:rPr>
          <w:rFonts w:hint="eastAsia" w:ascii="宋体" w:hAnsi="宋体" w:cs="宋体"/>
          <w:bCs/>
          <w:sz w:val="24"/>
          <w:szCs w:val="24"/>
          <w:lang w:eastAsia="zh-Hans"/>
        </w:rPr>
        <w:t xml:space="preserve">面向 BBU-RRU 前传架构，完成FH 前</w:t>
      </w:r>
      <w:r>
        <w:rPr>
          <w:rFonts w:hint="eastAsia" w:ascii="宋体" w:hAnsi="宋体" w:cs="宋体"/>
          <w:bCs/>
          <w:sz w:val="24"/>
          <w:szCs w:val="24"/>
          <w:lang w:eastAsia="zh-Hans"/>
        </w:rPr>
        <w:t xml:space="preserve">传卡 FPGA 逻辑全功能定制与协议栈改造。实现前传卡对RRU 与 BBU 之间管理面报文的完整处理能力，包括管理帧路由转发、实时流量统计、配置参数写入、报文收发计数、状态寄存器读取与回传等；通过通道复用与 QoS 调度机制，实现RRU 管理面与用户数据面（IR / 业务数据）共享同一前传物理口，逻辑隔离、互不抢占。支撑 BBU 对远端 RRU 实现集中统一管控，包括：制式 / 时隙 / 通道配置下发、运行参数在线修改、实时性能数据采集、单板状态监控、远程软件版本升级、故障上报与复位控制等基站运维核心功能。</w:t>
      </w:r>
      <w:r/>
    </w:p>
    <w:p>
      <w:pPr>
        <w:ind w:firstLine="480"/>
        <w:spacing w:line="264" w:lineRule="auto"/>
        <w:rPr>
          <w:rFonts w:hint="eastAsia" w:ascii="宋体" w:hAnsi="宋体" w:cs="宋体"/>
          <w:bCs/>
          <w:sz w:val="24"/>
          <w:szCs w:val="24"/>
          <w:lang w:eastAsia="zh-Hans"/>
        </w:rPr>
        <w:outlineLvl w:val="2"/>
      </w:pPr>
      <w:r>
        <w:rPr>
          <w:rFonts w:hint="eastAsia" w:ascii="宋体" w:hAnsi="宋体" w:cs="宋体"/>
          <w:bCs/>
          <w:sz w:val="24"/>
          <w:szCs w:val="24"/>
          <w:lang w:eastAsia="zh-Hans"/>
        </w:rPr>
        <w:t xml:space="preserve">2. 软件 SDK 开发（FH 前传卡驱动与转发中间件）</w:t>
      </w:r>
      <w:r/>
    </w:p>
    <w:p>
      <w:pPr>
        <w:ind w:firstLine="480"/>
        <w:spacing w:line="264" w:lineRule="auto"/>
        <w:rPr>
          <w:rFonts w:ascii="宋体" w:hAnsi="宋体" w:cs="宋体"/>
          <w:bCs/>
          <w:sz w:val="24"/>
          <w:szCs w:val="24"/>
          <w:lang w:eastAsia="zh-Hans"/>
        </w:rPr>
        <w:outlineLvl w:val="2"/>
      </w:pPr>
      <w:r>
        <w:rPr>
          <w:rFonts w:hint="eastAsia" w:ascii="宋体" w:hAnsi="宋体" w:cs="宋体"/>
          <w:bCs/>
          <w:sz w:val="24"/>
          <w:szCs w:val="24"/>
          <w:lang w:eastAsia="zh-Hans"/>
        </w:rPr>
        <w:t xml:space="preserve">负责FH 前传卡驱动软件架构设计、编码实现与集成。基于 eCPRI 协议扩展管理面封装 / 解封装能力，新增管理面数据转发模块与专用逻辑通道，实现 RRU 管理报文通过 eCPRI 前传接口可靠收发。驱动层完成数据帧校验、序列号维护、DMA 搬运、中断处理、缓存调度与流控；向上提供标准化 SDK 接口，支持统计信息上报、通道状态查询、配置下发、版本读取、异常告警等能力；实现与BBU 侧协议栈、物理层（PHY）、基带处理单元的高效交互与数据互通，构建端到端、可运维的基站管理通道，支撑完整基站管理面业务闭环。</w:t>
      </w:r>
      <w:r/>
    </w:p>
    <w:p>
      <w:pPr>
        <w:ind w:firstLine="480"/>
        <w:spacing w:line="264" w:lineRule="auto"/>
        <w:rPr>
          <w:rFonts w:hint="eastAsia" w:ascii="宋体" w:hAnsi="宋体" w:cs="宋体"/>
          <w:bCs/>
          <w:sz w:val="24"/>
          <w:szCs w:val="24"/>
          <w:lang w:eastAsia="zh-Hans"/>
        </w:rPr>
        <w:outlineLvl w:val="2"/>
      </w:pPr>
      <w:r>
        <w:rPr>
          <w:rFonts w:hint="eastAsia" w:ascii="宋体" w:hAnsi="宋体" w:cs="宋体"/>
          <w:bCs/>
          <w:sz w:val="24"/>
          <w:szCs w:val="24"/>
          <w:lang w:eastAsia="zh-Hans"/>
        </w:rPr>
        <w:t xml:space="preserve">3. FPGA 技术支撑：FH 前传接口对接与问题定位</w:t>
      </w:r>
      <w:r/>
    </w:p>
    <w:p>
      <w:pPr>
        <w:ind w:firstLine="480"/>
        <w:spacing w:line="264" w:lineRule="auto"/>
        <w:rPr>
          <w:rFonts w:hint="eastAsia" w:ascii="宋体" w:hAnsi="宋体" w:cs="宋体"/>
          <w:bCs/>
          <w:sz w:val="24"/>
          <w:szCs w:val="24"/>
          <w:lang w:eastAsia="zh-Hans"/>
        </w:rPr>
        <w:outlineLvl w:val="2"/>
      </w:pPr>
      <w:r>
        <w:rPr>
          <w:rFonts w:hint="eastAsia" w:ascii="宋体" w:hAnsi="宋体" w:cs="宋体"/>
          <w:bCs/>
          <w:sz w:val="24"/>
          <w:szCs w:val="24"/>
          <w:lang w:eastAsia="zh-Hans"/>
        </w:rPr>
        <w:t xml:space="preserve">提供 FH 前传卡FPGA 全流程技术支撑。负责前传接口（eCPRI/光口）物理层对接、时序同步、建链协商与协议对齐；支撑硬件 bringup、逻辑版本烧录、寄存器调试、时序分析与眼图优化。负责接口类问题定位：包括链路不通、光口失锁、帧同步失败、CRC 错误、时延超标、统计异常等；通过 ILA 抓包、时序回环、日志分析、流量镜像等手段定位并闭环问题，保障前传接口稳定可靠。</w:t>
      </w:r>
      <w:r/>
    </w:p>
    <w:p>
      <w:pPr>
        <w:ind w:firstLine="480"/>
        <w:spacing w:line="264" w:lineRule="auto"/>
        <w:rPr>
          <w:rFonts w:hint="eastAsia" w:ascii="宋体" w:hAnsi="宋体" w:cs="宋体"/>
          <w:bCs/>
          <w:sz w:val="24"/>
          <w:szCs w:val="24"/>
          <w:lang w:eastAsia="zh-Hans"/>
        </w:rPr>
        <w:outlineLvl w:val="2"/>
      </w:pPr>
      <w:r>
        <w:rPr>
          <w:rFonts w:hint="eastAsia" w:ascii="宋体" w:hAnsi="宋体" w:cs="宋体"/>
          <w:bCs/>
          <w:sz w:val="24"/>
          <w:szCs w:val="24"/>
          <w:lang w:eastAsia="zh-Hans"/>
        </w:rPr>
        <w:t xml:space="preserve">4. 软件技术支撑：RRU 管理面转发联调与问题解决</w:t>
      </w:r>
      <w:r/>
    </w:p>
    <w:p>
      <w:pPr>
        <w:ind w:firstLine="480"/>
        <w:spacing w:line="264" w:lineRule="auto"/>
        <w:rPr>
          <w:rFonts w:hint="eastAsia" w:ascii="宋体" w:hAnsi="宋体" w:cs="宋体"/>
          <w:bCs/>
          <w:sz w:val="24"/>
          <w:szCs w:val="24"/>
          <w:lang w:eastAsia="zh-Hans"/>
        </w:rPr>
        <w:outlineLvl w:val="2"/>
      </w:pPr>
      <w:r>
        <w:rPr>
          <w:rFonts w:hint="eastAsia" w:ascii="宋体" w:hAnsi="宋体" w:cs="宋体"/>
          <w:bCs/>
          <w:sz w:val="24"/>
          <w:szCs w:val="24"/>
          <w:lang w:eastAsia="zh-Hans"/>
        </w:rPr>
        <w:t xml:space="preserve">负责BBU—FH 前传卡 —RRU管理面数据转发路径联调。保障管理配置、查询、升级、控制等信令正常转发、时序正确、应答可靠；针对转发不通、丢包、应答超时、配置不生效、计数不更新、通道抢占等对接问题，提供深度定位手段：驱动日志解析、报文抓包分析、通道状态比对、回环测试、软硬件协同定位。支撑多 RRU 并发接入场景下管理面稳定性，确保端到端可通、可控、可管。</w:t>
      </w:r>
      <w:r/>
    </w:p>
    <w:p>
      <w:pPr>
        <w:ind w:firstLine="480"/>
        <w:spacing w:line="264" w:lineRule="auto"/>
        <w:rPr>
          <w:rFonts w:hint="eastAsia" w:ascii="宋体" w:hAnsi="宋体" w:cs="宋体"/>
          <w:bCs/>
          <w:sz w:val="24"/>
          <w:szCs w:val="24"/>
          <w:lang w:eastAsia="zh-Hans"/>
        </w:rPr>
        <w:outlineLvl w:val="2"/>
      </w:pPr>
      <w:r>
        <w:rPr>
          <w:rFonts w:hint="eastAsia" w:ascii="宋体" w:hAnsi="宋体" w:cs="宋体"/>
          <w:bCs/>
          <w:sz w:val="24"/>
          <w:szCs w:val="24"/>
          <w:lang w:eastAsia="zh-Hans"/>
        </w:rPr>
        <w:t xml:space="preserve">5. 双模扩展：新增 FDD 工作模式与 20MHz 小带宽通道</w:t>
      </w:r>
      <w:r/>
    </w:p>
    <w:p>
      <w:pPr>
        <w:ind w:firstLine="480"/>
        <w:spacing w:line="264" w:lineRule="auto"/>
        <w:rPr>
          <w:rFonts w:hint="eastAsia" w:ascii="宋体" w:hAnsi="宋体" w:cs="宋体"/>
          <w:bCs/>
          <w:sz w:val="24"/>
          <w:szCs w:val="24"/>
          <w:lang w:eastAsia="zh-Hans"/>
        </w:rPr>
        <w:outlineLvl w:val="2"/>
      </w:pPr>
      <w:r>
        <w:rPr>
          <w:rFonts w:hint="eastAsia" w:ascii="宋体" w:hAnsi="宋体" w:cs="宋体"/>
          <w:bCs/>
          <w:sz w:val="24"/>
          <w:szCs w:val="24"/>
          <w:lang w:eastAsia="zh-Hans"/>
        </w:rPr>
        <w:t xml:space="preserve">在原有TDD 模式基础上，扩展支持FDD 模式，实现 FH 前传卡对TDD RRU/FDD RRU双模兼容与管理数据统一下发。FH 前传卡新增FDD 模式控制逻辑、上下行带宽配置、频点 / 时隙 / 帧结构适配；新增FDD 20MHz 小带宽专用数据通道，完成带宽调度、缓存深度优化、通道仲裁与速率适配。同步完成FPGA 逻辑改动与软件驱动适配：模式切换、参数映射、双模式共存、资源冲突规避、统计区分上报，实现一套前传硬件同时支持 TDD/FDD 两种制式接入。</w:t>
      </w:r>
      <w:r/>
    </w:p>
    <w:p>
      <w:pPr>
        <w:ind w:firstLine="480"/>
        <w:spacing w:line="264" w:lineRule="auto"/>
        <w:rPr>
          <w:rFonts w:hint="eastAsia" w:ascii="宋体" w:hAnsi="宋体" w:cs="宋体"/>
          <w:bCs/>
          <w:sz w:val="24"/>
          <w:szCs w:val="24"/>
          <w:lang w:eastAsia="zh-Hans"/>
        </w:rPr>
        <w:outlineLvl w:val="2"/>
      </w:pPr>
      <w:r>
        <w:rPr>
          <w:rFonts w:hint="eastAsia" w:ascii="宋体" w:hAnsi="宋体" w:cs="宋体"/>
          <w:bCs/>
          <w:sz w:val="24"/>
          <w:szCs w:val="24"/>
          <w:lang w:eastAsia="zh-Hans"/>
        </w:rPr>
        <w:t xml:space="preserve">6. 软件适配与整机系统联调</w:t>
      </w:r>
      <w:r/>
    </w:p>
    <w:p>
      <w:pPr>
        <w:ind w:firstLine="480"/>
        <w:spacing w:line="264" w:lineRule="auto"/>
        <w:rPr>
          <w:rFonts w:hint="eastAsia" w:ascii="宋体" w:hAnsi="宋体"/>
          <w:sz w:val="24"/>
        </w:rPr>
        <w:outlineLvl w:val="2"/>
      </w:pPr>
      <w:r>
        <w:rPr>
          <w:rFonts w:hint="eastAsia" w:ascii="宋体" w:hAnsi="宋体" w:cs="宋体"/>
          <w:bCs/>
          <w:sz w:val="24"/>
          <w:szCs w:val="24"/>
          <w:lang w:eastAsia="zh-Hans"/>
        </w:rPr>
        <w:t xml:space="preserve">完成 FH 前传卡与基站服务器整机集成与系统调测：前传卡通过PCIe 接口接入基站主控，实现基带业务数据与管理面控制信令的高速交换；完成驱动与基带软件、协议栈、网管平台的适配联调；完成参数配置、板间通信、中断 / 内存资源协调、版本匹配。将系统调试至商用可用状态，完成BBU—FH 前传卡 —RRU— 终端端到端业务打通，实现信令接入、用户面承载、网管监控、业务互通与长时间稳定性验证，确保基站功能完整、性能达标、可上线部署。</w:t>
      </w:r>
      <w:bookmarkEnd w:id="165"/>
      <w:r/>
      <w:bookmarkEnd w:id="166"/>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outlineLvl w:val="2"/>
      </w:pPr>
      <w:r>
        <w:rPr>
          <w:rFonts w:hint="eastAsia" w:ascii="宋体" w:hAnsi="宋体" w:eastAsia="宋体" w:cs="Times New Roman"/>
          <w:b w:val="0"/>
          <w:bCs w:val="0"/>
          <w:i w:val="0"/>
          <w:iCs w:val="0"/>
          <w:color w:val="auto"/>
          <w:sz w:val="24"/>
          <w:u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lang w:val="en-US" w:eastAsia="zh-CN"/>
        </w:rPr>
        <w:t xml:space="preserve">（3）供应商报价除包含谈判文件中列明的项目外，还应包括保障产品正常使用应当具有的物资和服务，对产品正常使用应当具有的物资和服务理解不一致的以采购单位理解为准。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2.实施要求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（1）质量要求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①供应商提供软件的技术规格需与响应文件、技术偏离表一致，无特殊说明的按国家相关标准规范执行。</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②供应商为采购人提供技术培训，使采购</w:t>
      </w:r>
      <w:r>
        <w:rPr>
          <w:rFonts w:hint="eastAsia" w:ascii="宋体" w:hAnsi="宋体" w:cs="宋体"/>
          <w:sz w:val="24"/>
          <w:szCs w:val="24"/>
          <w:lang w:val="en-US" w:eastAsia="zh-CN"/>
        </w:rPr>
        <w:t xml:space="preserve">单位</w:t>
      </w:r>
      <w:r>
        <w:rPr>
          <w:rFonts w:hint="eastAsia" w:ascii="宋体" w:hAnsi="宋体" w:cs="宋体"/>
          <w:sz w:val="24"/>
          <w:szCs w:val="24"/>
        </w:rPr>
        <w:t xml:space="preserve">人员熟练使用系统、维护人员掌握运行维护方法。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①验收由采购人负责实施。</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验收依据：合同、招标文件、投标文件，供应商提供的技术规格、经采购人认可的合同货物的有效检验文件，供应商投标文件中提供的经采购人认可的合同货物的验收标准(符合中国有关的国家、地方、行业标准)和检测办法及相应检测手段。</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cs="宋体"/>
          <w:sz w:val="24"/>
          <w:szCs w:val="24"/>
          <w:lang w:val="en-US" w:eastAsia="zh-CN"/>
        </w:rPr>
        <w:t xml:space="preserve">运维</w:t>
      </w:r>
      <w:r>
        <w:rPr>
          <w:rFonts w:hint="eastAsia" w:ascii="宋体" w:hAnsi="宋体" w:cs="宋体"/>
          <w:sz w:val="24"/>
          <w:szCs w:val="24"/>
        </w:rPr>
        <w:t xml:space="preserve">及售后要求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lang w:val="en-US" w:eastAsia="zh-CN"/>
        </w:rPr>
        <w:t xml:space="preserve">运维</w:t>
      </w:r>
      <w:r>
        <w:rPr>
          <w:rFonts w:hint="eastAsia" w:ascii="宋体" w:hAnsi="宋体" w:cs="宋体"/>
          <w:sz w:val="24"/>
          <w:szCs w:val="24"/>
        </w:rPr>
        <w:t xml:space="preserve">期1年内供应商提供7*8小时技术支持：一般问题4小时内通过电话/远程解决，远程/电话无法解决的，技术人员24小时内到现场解决，相关费用由供应商承担。</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lang w:val="en-US" w:eastAsia="zh-CN"/>
        </w:rPr>
        <w:t xml:space="preserve">运维</w:t>
      </w:r>
      <w:r>
        <w:rPr>
          <w:rFonts w:hint="eastAsia" w:ascii="宋体" w:hAnsi="宋体" w:cs="宋体"/>
          <w:sz w:val="24"/>
          <w:szCs w:val="24"/>
        </w:rPr>
        <w:t xml:space="preserve">期1年内供应商未按约提供维护服务，或紧急情况无法取得联系/及时安排的，采购人可委托第三方维护/租用设备，费用由供应商承担（可从应付费用中扣除或供应商另行支付）。</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lang w:val="en-US" w:eastAsia="zh-CN"/>
        </w:rPr>
        <w:t xml:space="preserve">运维</w:t>
      </w:r>
      <w:r>
        <w:rPr>
          <w:rFonts w:hint="eastAsia" w:ascii="宋体" w:hAnsi="宋体" w:cs="宋体"/>
          <w:sz w:val="24"/>
          <w:szCs w:val="24"/>
        </w:rPr>
        <w:t xml:space="preserve">期后软件维护由双方协商确定。</w:t>
      </w:r>
      <w:r/>
    </w:p>
    <w:p>
      <w:pPr>
        <w:ind w:firstLine="480"/>
        <w:spacing w:line="264" w:lineRule="auto"/>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cs="宋体"/>
          <w:sz w:val="24"/>
          <w:szCs w:val="24"/>
        </w:rPr>
        <w:t xml:space="preserve">知识产权及保密要求</w:t>
      </w:r>
      <w:r/>
    </w:p>
    <w:p>
      <w:pPr>
        <w:ind w:firstLine="480"/>
        <w:spacing w:line="264" w:lineRule="auto"/>
        <w:rPr>
          <w:rFonts w:hint="eastAsia" w:ascii="宋体" w:hAnsi="宋体" w:cs="宋体"/>
          <w:sz w:val="24"/>
          <w:szCs w:val="24"/>
        </w:rPr>
      </w:pPr>
      <w:r>
        <w:rPr>
          <w:rFonts w:hint="eastAsia" w:ascii="宋体" w:hAnsi="宋体" w:cs="宋体"/>
          <w:sz w:val="24"/>
          <w:szCs w:val="24"/>
          <w:lang w:val="en-US" w:eastAsia="zh-CN"/>
        </w:rPr>
        <w:t xml:space="preserve">供应商</w:t>
      </w:r>
      <w:r>
        <w:rPr>
          <w:rFonts w:hint="eastAsia" w:ascii="宋体" w:hAnsi="宋体" w:cs="宋体"/>
          <w:sz w:val="24"/>
          <w:szCs w:val="24"/>
        </w:rPr>
        <w:t xml:space="preserve">所交付的成果的所有权利，包括但不限于所有源代码及开发文档、定制化开发部分的知识产权等均归</w:t>
      </w:r>
      <w:r>
        <w:rPr>
          <w:rFonts w:hint="eastAsia" w:ascii="宋体" w:hAnsi="宋体" w:cs="宋体"/>
          <w:sz w:val="24"/>
          <w:szCs w:val="24"/>
          <w:lang w:val="en-US" w:eastAsia="zh-CN"/>
        </w:rPr>
        <w:t xml:space="preserve">采购人</w:t>
      </w:r>
      <w:r>
        <w:rPr>
          <w:rFonts w:hint="eastAsia" w:ascii="宋体" w:hAnsi="宋体" w:cs="宋体"/>
          <w:sz w:val="24"/>
          <w:szCs w:val="24"/>
        </w:rPr>
        <w:t xml:space="preserve">所有。</w:t>
      </w:r>
      <w:r>
        <w:rPr>
          <w:rFonts w:hint="eastAsia" w:ascii="宋体" w:hAnsi="宋体" w:cs="宋体"/>
          <w:sz w:val="24"/>
          <w:szCs w:val="24"/>
          <w:lang w:val="en-US" w:eastAsia="zh-CN"/>
        </w:rPr>
        <w:t xml:space="preserve">采购人</w:t>
      </w:r>
      <w:r>
        <w:rPr>
          <w:rFonts w:hint="eastAsia" w:ascii="宋体" w:hAnsi="宋体" w:cs="宋体"/>
          <w:sz w:val="24"/>
          <w:szCs w:val="24"/>
        </w:rPr>
        <w:t xml:space="preserve">有权对源代码进行研究、修改，以及优化后进行商业用途。</w:t>
      </w:r>
      <w:r>
        <w:rPr>
          <w:rFonts w:hint="eastAsia" w:ascii="宋体" w:hAnsi="宋体" w:cs="宋体"/>
          <w:sz w:val="24"/>
          <w:szCs w:val="24"/>
          <w:lang w:val="en-US" w:eastAsia="zh-CN"/>
        </w:rPr>
        <w:t xml:space="preserve">供应商</w:t>
      </w:r>
      <w:r>
        <w:rPr>
          <w:rFonts w:hint="eastAsia" w:ascii="宋体" w:hAnsi="宋体" w:cs="宋体"/>
          <w:sz w:val="24"/>
          <w:szCs w:val="24"/>
        </w:rPr>
        <w:t xml:space="preserve">应该积极配合</w:t>
      </w:r>
      <w:r>
        <w:rPr>
          <w:rFonts w:hint="eastAsia" w:ascii="宋体" w:hAnsi="宋体" w:cs="宋体"/>
          <w:sz w:val="24"/>
          <w:szCs w:val="24"/>
          <w:lang w:val="en-US" w:eastAsia="zh-CN"/>
        </w:rPr>
        <w:t xml:space="preserve">采购人</w:t>
      </w:r>
      <w:r>
        <w:rPr>
          <w:rFonts w:hint="eastAsia" w:ascii="宋体" w:hAnsi="宋体" w:cs="宋体"/>
          <w:sz w:val="24"/>
          <w:szCs w:val="24"/>
        </w:rPr>
        <w:t xml:space="preserve">开展专利申请、软件著作权登记等工作，提供所需资料。</w:t>
      </w:r>
      <w:r/>
    </w:p>
    <w:p>
      <w:pPr>
        <w:ind w:firstLine="480"/>
        <w:spacing w:line="264" w:lineRule="auto"/>
        <w:rPr>
          <w:rFonts w:hint="eastAsia" w:ascii="宋体" w:hAnsi="宋体" w:eastAsia="宋体" w:cs="宋体"/>
          <w:sz w:val="24"/>
          <w:szCs w:val="24"/>
        </w:rPr>
      </w:pPr>
      <w:r>
        <w:rPr>
          <w:rFonts w:hint="eastAsia" w:ascii="宋体" w:hAnsi="宋体" w:cs="宋体"/>
          <w:sz w:val="24"/>
          <w:szCs w:val="24"/>
          <w:lang w:val="en-US" w:eastAsia="zh-CN"/>
        </w:rPr>
        <w:t xml:space="preserve">供应商</w:t>
      </w:r>
      <w:r>
        <w:rPr>
          <w:rFonts w:hint="eastAsia" w:ascii="宋体" w:hAnsi="宋体" w:cs="宋体"/>
          <w:sz w:val="24"/>
          <w:szCs w:val="24"/>
        </w:rPr>
        <w:t xml:space="preserve">保证所提供的软件产品及许可不侵犯任何第三方的专利权、著作权、商标专用权、商业秘密及其他权属权利，并可根据</w:t>
      </w:r>
      <w:r>
        <w:rPr>
          <w:rFonts w:hint="eastAsia" w:ascii="宋体" w:hAnsi="宋体" w:cs="宋体"/>
          <w:sz w:val="24"/>
          <w:szCs w:val="24"/>
          <w:lang w:val="en-US" w:eastAsia="zh-CN"/>
        </w:rPr>
        <w:t xml:space="preserve">采购人</w:t>
      </w:r>
      <w:r>
        <w:rPr>
          <w:rFonts w:hint="eastAsia" w:ascii="宋体" w:hAnsi="宋体" w:cs="宋体"/>
          <w:sz w:val="24"/>
          <w:szCs w:val="24"/>
        </w:rPr>
        <w:t xml:space="preserve">需求提供相关的知识产权官方文件。因本</w:t>
      </w:r>
      <w:r>
        <w:rPr>
          <w:rFonts w:hint="eastAsia" w:ascii="宋体" w:hAnsi="宋体" w:cs="宋体"/>
          <w:sz w:val="24"/>
          <w:szCs w:val="24"/>
          <w:lang w:val="en-US" w:eastAsia="zh-CN"/>
        </w:rPr>
        <w:t xml:space="preserve">项目中</w:t>
      </w:r>
      <w:r>
        <w:rPr>
          <w:rFonts w:hint="eastAsia" w:ascii="宋体" w:hAnsi="宋体" w:cs="宋体"/>
          <w:sz w:val="24"/>
          <w:szCs w:val="24"/>
        </w:rPr>
        <w:t xml:space="preserve">的软件及文档而产生的知识产权法律纠纷由</w:t>
      </w:r>
      <w:r>
        <w:rPr>
          <w:rFonts w:hint="eastAsia" w:ascii="宋体" w:hAnsi="宋体" w:cs="宋体"/>
          <w:sz w:val="24"/>
          <w:szCs w:val="24"/>
          <w:lang w:val="en-US" w:eastAsia="zh-CN"/>
        </w:rPr>
        <w:t xml:space="preserve">供应商</w:t>
      </w:r>
      <w:r>
        <w:rPr>
          <w:rFonts w:hint="eastAsia" w:ascii="宋体" w:hAnsi="宋体" w:cs="宋体"/>
          <w:sz w:val="24"/>
          <w:szCs w:val="24"/>
        </w:rPr>
        <w:t xml:space="preserve">负责承担全部责任，且</w:t>
      </w:r>
      <w:r>
        <w:rPr>
          <w:rFonts w:hint="eastAsia" w:ascii="宋体" w:hAnsi="宋体" w:cs="宋体"/>
          <w:sz w:val="24"/>
          <w:szCs w:val="24"/>
          <w:lang w:val="en-US" w:eastAsia="zh-CN"/>
        </w:rPr>
        <w:t xml:space="preserve">采购人</w:t>
      </w:r>
      <w:r>
        <w:rPr>
          <w:rFonts w:hint="eastAsia" w:ascii="宋体" w:hAnsi="宋体" w:cs="宋体"/>
          <w:sz w:val="24"/>
          <w:szCs w:val="24"/>
        </w:rPr>
        <w:t xml:space="preserve">有权解除合同，</w:t>
      </w:r>
      <w:r>
        <w:rPr>
          <w:rFonts w:hint="eastAsia" w:ascii="宋体" w:hAnsi="宋体" w:cs="宋体"/>
          <w:sz w:val="24"/>
          <w:szCs w:val="24"/>
          <w:lang w:val="en-US" w:eastAsia="zh-CN"/>
        </w:rPr>
        <w:t xml:space="preserve">供应商</w:t>
      </w:r>
      <w:r>
        <w:rPr>
          <w:rFonts w:hint="eastAsia" w:ascii="宋体" w:hAnsi="宋体" w:cs="宋体"/>
          <w:sz w:val="24"/>
          <w:szCs w:val="24"/>
        </w:rPr>
        <w:t xml:space="preserve">应向</w:t>
      </w:r>
      <w:r>
        <w:rPr>
          <w:rFonts w:hint="eastAsia" w:ascii="宋体" w:hAnsi="宋体" w:cs="宋体"/>
          <w:sz w:val="24"/>
          <w:szCs w:val="24"/>
          <w:lang w:val="en-US" w:eastAsia="zh-CN"/>
        </w:rPr>
        <w:t xml:space="preserve">采购人</w:t>
      </w:r>
      <w:r>
        <w:rPr>
          <w:rFonts w:hint="eastAsia" w:ascii="宋体" w:hAnsi="宋体" w:cs="宋体"/>
          <w:sz w:val="24"/>
          <w:szCs w:val="24"/>
        </w:rPr>
        <w:t xml:space="preserve">支付合同总价款的20%作为违约金并承担造成</w:t>
      </w:r>
      <w:r>
        <w:rPr>
          <w:rFonts w:hint="eastAsia" w:ascii="宋体" w:hAnsi="宋体" w:cs="宋体"/>
          <w:sz w:val="24"/>
          <w:szCs w:val="24"/>
          <w:lang w:val="en-US" w:eastAsia="zh-CN"/>
        </w:rPr>
        <w:t xml:space="preserve">采购人</w:t>
      </w:r>
      <w:r>
        <w:rPr>
          <w:rFonts w:hint="eastAsia" w:ascii="宋体" w:hAnsi="宋体" w:cs="宋体"/>
          <w:sz w:val="24"/>
          <w:szCs w:val="24"/>
        </w:rPr>
        <w:t xml:space="preserve">的一切损失（包括但不限于对第三方权</w:t>
      </w:r>
      <w:r>
        <w:rPr>
          <w:rFonts w:hint="eastAsia" w:ascii="宋体" w:hAnsi="宋体" w:eastAsia="宋体" w:cs="宋体"/>
          <w:sz w:val="24"/>
          <w:szCs w:val="24"/>
        </w:rPr>
        <w:t xml:space="preserve">利人的赔偿、对甲方客户的赔偿、继续使用的费用、</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因此产生的律师费、诉讼费用等）。</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对其向</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提供/披露的各类技术和商业资料、规格说明、图纸、文件及专有技术享有合法所有权及/或其他权利。除</w:t>
      </w:r>
      <w:r>
        <w:rPr>
          <w:rFonts w:hint="eastAsia" w:ascii="宋体" w:hAnsi="宋体" w:eastAsia="宋体" w:cs="宋体"/>
          <w:sz w:val="24"/>
          <w:szCs w:val="24"/>
          <w:lang w:val="en-US" w:eastAsia="zh-CN"/>
        </w:rPr>
        <w:t xml:space="preserve">本项目</w:t>
      </w:r>
      <w:r>
        <w:rPr>
          <w:rFonts w:hint="eastAsia" w:ascii="宋体" w:hAnsi="宋体" w:eastAsia="宋体" w:cs="宋体"/>
          <w:sz w:val="24"/>
          <w:szCs w:val="24"/>
        </w:rPr>
        <w:t xml:space="preserve">授权实施的行为外，</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不得部分或全部地对外披露。</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仅可为本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向其确有知悉必要的雇员披露</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提供的资料，但同时须指示其雇员遵守本条规定的保密及不披露义务。</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仅得为履行本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之目的对</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提供的资料进行复制，</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应当妥善保管，并对在</w:t>
      </w:r>
      <w:r>
        <w:rPr>
          <w:rFonts w:hint="eastAsia" w:ascii="宋体" w:hAnsi="宋体" w:cs="宋体"/>
          <w:sz w:val="24"/>
          <w:szCs w:val="24"/>
          <w:lang w:val="en-US" w:eastAsia="zh-CN"/>
        </w:rPr>
        <w:t xml:space="preserve">供应商服务</w:t>
      </w:r>
      <w:r>
        <w:rPr>
          <w:rFonts w:hint="eastAsia" w:ascii="宋体" w:hAnsi="宋体" w:eastAsia="宋体" w:cs="宋体"/>
          <w:sz w:val="24"/>
          <w:szCs w:val="24"/>
        </w:rPr>
        <w:t xml:space="preserve">期间发生的被盗、泄露或其他有损保密资料保密性的事件承担全部责任，因此造成</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损失的，</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应赔偿一切损失。本保密条款长期有效。</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w:t>
      </w:r>
      <w:r>
        <w:rPr>
          <w:rFonts w:hint="eastAsia" w:ascii="宋体" w:hAnsi="宋体" w:eastAsia="宋体" w:cs="宋体"/>
          <w:bCs/>
          <w:color w:val="auto"/>
          <w:sz w:val="24"/>
          <w:szCs w:val="24"/>
          <w:highlight w:val="none"/>
          <w:lang w:val="en-US" w:eastAsia="zh-CN"/>
        </w:rPr>
        <w:t xml:space="preserve">30</w:t>
      </w:r>
      <w:r>
        <w:rPr>
          <w:rFonts w:hint="default" w:ascii="宋体" w:hAnsi="宋体" w:eastAsia="宋体" w:cs="宋体"/>
          <w:color w:val="auto"/>
          <w:sz w:val="24"/>
          <w:szCs w:val="24"/>
        </w:rPr>
        <w:t xml:space="preserve">天内交付</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bookmarkStart w:id="167" w:name="OLE_LINK1"/>
      <w:r>
        <w:rPr>
          <w:rFonts w:hint="eastAsia" w:ascii="宋体" w:hAnsi="宋体" w:eastAsia="宋体" w:cs="宋体"/>
          <w:color w:val="auto"/>
          <w:sz w:val="24"/>
          <w:szCs w:val="24"/>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采购文件成交标准中涉及的相关证明材料，应在响应文件中提供，由评审小组在评审现场予以确认。签订合同时供应商应按采购人要求提供上述证明材料原件供采购人核验。</w:t>
      </w:r>
      <w:bookmarkEnd w:id="167"/>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spacing w:line="0" w:lineRule="atLeast"/>
        <w:rPr>
          <w:rFonts w:hint="eastAsia" w:ascii="宋体" w:hAnsi="宋体"/>
          <w:sz w:val="24"/>
          <w:szCs w:val="24"/>
        </w:rPr>
      </w:pPr>
      <w:r>
        <w:rPr>
          <w:rFonts w:hint="eastAsia" w:ascii="宋体" w:hAnsi="宋体"/>
          <w:sz w:val="24"/>
          <w:szCs w:val="24"/>
        </w:rPr>
      </w:r>
      <w:r/>
    </w:p>
    <w:p>
      <w:pPr>
        <w:pStyle w:val="885"/>
        <w:rPr>
          <w:rFonts w:hint="eastAsia"/>
        </w:rPr>
      </w:pPr>
      <w:r>
        <w:rPr>
          <w:rFonts w:hint="eastAsia"/>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bookmarkStart w:id="168" w:name="_Toc120614281"/>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成交标准</w:t>
      </w:r>
      <w:r/>
    </w:p>
    <w:p>
      <w:pPr>
        <w:ind w:firstLine="420"/>
        <w:keepLines w:val="0"/>
        <w:keepNext w:val="0"/>
        <w:pageBreakBefore w:val="0"/>
        <w:spacing w:line="288" w:lineRule="auto"/>
        <w:widowControl w:val="off"/>
        <w:rPr>
          <w:rFonts w:hint="eastAsia" w:ascii="Times New Roman" w:hAnsi="Times New Roman" w:eastAsia="宋体" w:cs="Times New Roman"/>
          <w:b w:val="0"/>
          <w:bCs w:val="0"/>
          <w:sz w:val="21"/>
          <w:szCs w:val="21"/>
          <w:lang w:eastAsia="zh-CN"/>
        </w:rPr>
      </w:pPr>
      <w:r>
        <w:rPr>
          <w:rFonts w:hint="eastAsia" w:ascii="Times New Roman" w:hAnsi="Times New Roman" w:eastAsia="宋体" w:cs="Times New Roman"/>
          <w:b w:val="0"/>
          <w:bCs w:val="0"/>
          <w:sz w:val="21"/>
          <w:szCs w:val="21"/>
          <w:lang w:eastAsia="zh-CN"/>
        </w:rPr>
      </w:r>
      <w:r/>
    </w:p>
    <w:p>
      <w:pPr>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p>
    <w:p>
      <w:pPr>
        <w:ind w:firstLine="480"/>
        <w:keepLines w:val="0"/>
        <w:keepNext w:val="0"/>
        <w:pageBreakBefore w:val="0"/>
        <w:spacing w:line="288" w:lineRule="auto"/>
        <w:widowControl w:val="off"/>
        <w:rPr>
          <w:rFonts w:hint="eastAsia" w:ascii="宋体" w:hAnsi="宋体" w:eastAsia="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zh-CN" w:eastAsia="zh-CN"/>
        </w:rPr>
        <w:t xml:space="preserve">谈判小组从质量和服务均能满足谈判文件实质性要求的供应商中，按照</w:t>
      </w:r>
      <w:r>
        <w:rPr>
          <w:rFonts w:hint="eastAsia" w:ascii="宋体" w:hAnsi="宋体" w:eastAsia="宋体" w:cs="宋体"/>
          <w:sz w:val="24"/>
          <w:szCs w:val="24"/>
          <w:lang w:val="en-US" w:eastAsia="zh-CN"/>
        </w:rPr>
        <w:t xml:space="preserve">评审价格</w:t>
      </w:r>
      <w:r>
        <w:rPr>
          <w:rFonts w:hint="eastAsia" w:ascii="宋体" w:hAnsi="宋体" w:eastAsia="宋体" w:cs="宋体"/>
          <w:sz w:val="24"/>
          <w:szCs w:val="24"/>
          <w:lang w:val="zh-CN" w:eastAsia="zh-CN"/>
        </w:rPr>
        <w:t xml:space="preserve">由低到高顺序推荐</w:t>
      </w:r>
      <w:r>
        <w:rPr>
          <w:rFonts w:hint="eastAsia" w:ascii="宋体" w:hAnsi="宋体" w:eastAsia="宋体" w:cs="Times New Roman"/>
          <w:b w:val="0"/>
          <w:bCs w:val="0"/>
          <w:color w:val="auto"/>
          <w:sz w:val="24"/>
          <w:szCs w:val="24"/>
          <w:highlight w:val="none"/>
          <w:u w:val="none"/>
          <w:lang w:val="en-US" w:eastAsia="zh-CN"/>
        </w:rPr>
        <w:t xml:space="preserve">3</w:t>
      </w:r>
      <w:r>
        <w:rPr>
          <w:rFonts w:hint="eastAsia" w:ascii="宋体" w:hAnsi="宋体" w:eastAsia="宋体" w:cs="Times New Roman"/>
          <w:b w:val="0"/>
          <w:bCs w:val="0"/>
          <w:color w:val="auto"/>
          <w:sz w:val="24"/>
          <w:szCs w:val="24"/>
          <w:highlight w:val="none"/>
          <w:u w:val="none"/>
          <w:lang w:val="zh-CN" w:eastAsia="zh-CN"/>
        </w:rPr>
        <w:t xml:space="preserve">名</w:t>
      </w:r>
      <w:r>
        <w:rPr>
          <w:rFonts w:hint="eastAsia" w:ascii="宋体" w:hAnsi="宋体" w:eastAsia="宋体" w:cs="宋体"/>
          <w:color w:val="auto"/>
          <w:sz w:val="24"/>
          <w:szCs w:val="24"/>
          <w:lang w:val="zh-CN" w:eastAsia="zh-CN"/>
        </w:rPr>
        <w:t xml:space="preserve">成</w:t>
      </w:r>
      <w:r>
        <w:rPr>
          <w:rFonts w:hint="eastAsia" w:ascii="宋体" w:hAnsi="宋体" w:eastAsia="宋体" w:cs="宋体"/>
          <w:sz w:val="24"/>
          <w:szCs w:val="24"/>
          <w:lang w:val="zh-CN" w:eastAsia="zh-CN"/>
        </w:rPr>
        <w:t xml:space="preserve">交候选供应商。</w:t>
      </w:r>
      <w:r/>
    </w:p>
    <w:p>
      <w:pPr>
        <w:pStyle w:val="857"/>
        <w:ind w:firstLine="480"/>
        <w:spacing w:line="288" w:lineRule="auto"/>
        <w:rPr>
          <w:rFonts w:hint="eastAsia" w:ascii="宋体" w:hAnsi="宋体" w:eastAsia="宋体" w:cs="宋体"/>
          <w:color w:val="0000ff"/>
          <w:sz w:val="24"/>
          <w:szCs w:val="24"/>
          <w:lang w:val="en-US" w:eastAsia="zh-CN"/>
        </w:rPr>
      </w:pPr>
      <w:r>
        <w:rPr>
          <w:rFonts w:hint="eastAsia" w:ascii="宋体" w:hAnsi="宋体" w:eastAsia="宋体" w:cs="宋体"/>
          <w:sz w:val="24"/>
          <w:szCs w:val="24"/>
          <w:lang w:val="zh-CN" w:eastAsia="zh-CN"/>
        </w:rPr>
        <w:t xml:space="preserve">2.</w:t>
      </w:r>
      <w:r>
        <w:rPr>
          <w:rFonts w:hint="eastAsia" w:ascii="宋体" w:hAnsi="宋体" w:eastAsia="宋体" w:cs="宋体"/>
          <w:color w:val="auto"/>
          <w:sz w:val="24"/>
          <w:szCs w:val="24"/>
          <w:lang w:val="en-US" w:eastAsia="zh-CN"/>
        </w:rPr>
        <w:t xml:space="preserve">供应商的评审价格如相同，按照供应商在“苏采云系统”最终递交响应文件的先后顺序进行排名。</w:t>
      </w:r>
      <w:r/>
    </w:p>
    <w:p>
      <w:pPr>
        <w:ind w:firstLine="480"/>
        <w:spacing w:line="288"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20"/>
        <w:keepLines w:val="0"/>
        <w:keepNext w:val="0"/>
        <w:pageBreakBefore w:val="0"/>
        <w:spacing w:line="288" w:lineRule="auto"/>
        <w:widowControl w:val="off"/>
        <w:rPr>
          <w:rFonts w:hint="eastAsia" w:ascii="宋体" w:hAnsi="宋体" w:eastAsia="宋体" w:cs="Times New Roman"/>
          <w:color w:val="auto"/>
          <w:sz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Times New Roman"/>
          <w:b w:val="0"/>
          <w:bCs w:val="0"/>
          <w:color w:val="auto"/>
          <w:sz w:val="24"/>
          <w:szCs w:val="24"/>
          <w:highlight w:val="none"/>
          <w:u w:val="none"/>
          <w:lang w:val="zh-CN" w:eastAsia="zh-CN"/>
        </w:rPr>
        <w:t xml:space="preserve">本项目服务的承接商为小微企业的，</w:t>
      </w:r>
      <w:r>
        <w:rPr>
          <w:rFonts w:hint="eastAsia" w:ascii="宋体" w:hAnsi="宋体" w:eastAsia="宋体" w:cs="Times New Roman"/>
          <w:b w:val="0"/>
          <w:bCs w:val="0"/>
          <w:color w:val="auto"/>
          <w:sz w:val="24"/>
          <w:szCs w:val="24"/>
          <w:highlight w:val="none"/>
          <w:u w:val="none"/>
          <w:lang w:val="en-US" w:eastAsia="zh-CN"/>
        </w:rPr>
        <w:t xml:space="preserve">对报价给予</w:t>
      </w:r>
      <w:r>
        <w:rPr>
          <w:rFonts w:hint="eastAsia" w:ascii="宋体" w:hAnsi="宋体" w:eastAsia="宋体" w:cs="Times New Roman"/>
          <w:b w:val="0"/>
          <w:bCs w:val="0"/>
          <w:color w:val="auto"/>
          <w:sz w:val="24"/>
          <w:szCs w:val="24"/>
          <w:highlight w:val="none"/>
          <w:u w:val="none"/>
          <w:lang w:val="zh-CN" w:eastAsia="zh-CN"/>
        </w:rPr>
        <w:t xml:space="preserve">10%</w:t>
      </w:r>
      <w:r>
        <w:rPr>
          <w:rFonts w:hint="eastAsia" w:ascii="宋体" w:hAnsi="宋体" w:eastAsia="宋体" w:cs="Times New Roman"/>
          <w:b w:val="0"/>
          <w:bCs w:val="0"/>
          <w:color w:val="auto"/>
          <w:sz w:val="24"/>
          <w:szCs w:val="24"/>
          <w:highlight w:val="none"/>
          <w:u w:val="none"/>
          <w:lang w:val="en-US" w:eastAsia="zh-CN"/>
        </w:rPr>
        <w:t xml:space="preserve">的扣除，用扣除后的价格参与评审。</w:t>
      </w:r>
      <w:r/>
    </w:p>
    <w:p>
      <w:pPr>
        <w:ind w:firstLine="480"/>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六</w:t>
      </w:r>
      <w:r>
        <w:rPr>
          <w:rFonts w:hint="eastAsia" w:ascii="方正小标宋简体" w:hAnsi="方正小标宋简体" w:eastAsia="方正小标宋简体" w:cs="方正小标宋简体"/>
          <w:color w:val="000000"/>
          <w:sz w:val="36"/>
          <w:szCs w:val="36"/>
          <w:lang w:val="en-US"/>
        </w:rPr>
        <w:t xml:space="preserve">章  </w:t>
      </w:r>
      <w:bookmarkEnd w:id="163"/>
      <w:r/>
      <w:bookmarkEnd w:id="164"/>
      <w:r/>
      <w:bookmarkEnd w:id="168"/>
      <w:r>
        <w:rPr>
          <w:rFonts w:hint="eastAsia" w:ascii="方正小标宋简体" w:hAnsi="方正小标宋简体" w:eastAsia="方正小标宋简体" w:cs="方正小标宋简体"/>
          <w:color w:val="000000"/>
          <w:sz w:val="36"/>
          <w:szCs w:val="36"/>
          <w:lang w:val="en-US"/>
        </w:rPr>
        <w:t xml:space="preserve">响应文件格式 </w:t>
      </w:r>
      <w:r/>
    </w:p>
    <w:p>
      <w:pPr>
        <w:jc w:val="center"/>
        <w:rPr>
          <w:rFonts w:hint="eastAsia" w:ascii="宋体" w:hAnsi="宋体"/>
          <w:b/>
          <w:sz w:val="72"/>
          <w:szCs w:val="21"/>
        </w:rPr>
      </w:pPr>
      <w:r/>
      <w:bookmarkStart w:id="169" w:name="_Hlt26671244"/>
      <w:r/>
      <w:bookmarkEnd w:id="169"/>
      <w:r/>
      <w:bookmarkStart w:id="170" w:name="_Hlt26955039"/>
      <w:r/>
      <w:bookmarkEnd w:id="170"/>
      <w:r/>
      <w:bookmarkStart w:id="171" w:name="_Toc26554094"/>
      <w:r/>
      <w:bookmarkStart w:id="172" w:name="_Toc49090576"/>
      <w:r/>
      <w:bookmarkStart w:id="173"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四、谈判响应函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五、谈判报价表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六、分项报价表（</w:t>
      </w:r>
      <w:r>
        <w:rPr>
          <w:rFonts w:hint="eastAsia" w:ascii="宋体" w:hAnsi="宋体" w:eastAsia="宋体" w:cs="宋体"/>
          <w:b w:val="0"/>
          <w:bCs w:val="0"/>
          <w:i w:val="0"/>
          <w:sz w:val="28"/>
          <w:szCs w:val="28"/>
          <w:u w:val="none"/>
          <w:lang w:val="en-US" w:eastAsia="zh-CN"/>
        </w:rPr>
        <w:t xml:space="preserve">本项目</w:t>
      </w:r>
      <w:r>
        <w:rPr>
          <w:rFonts w:hint="eastAsia" w:ascii="宋体" w:hAnsi="宋体" w:eastAsia="宋体" w:cs="宋体"/>
          <w:b w:val="0"/>
          <w:bCs w:val="0"/>
          <w:i w:val="0"/>
          <w:sz w:val="28"/>
          <w:szCs w:val="28"/>
          <w:u w:val="none"/>
          <w:lang w:val="en-US" w:eastAsia="zh-CN"/>
        </w:rPr>
        <w:t xml:space="preserve">无需提供</w:t>
      </w:r>
      <w:r>
        <w:rPr>
          <w:rFonts w:hint="eastAsia" w:ascii="宋体" w:hAnsi="宋体" w:eastAsia="宋体" w:cs="宋体"/>
          <w:b w:val="0"/>
          <w:bCs w:val="0"/>
          <w:i w:val="0"/>
          <w:sz w:val="28"/>
          <w:szCs w:val="28"/>
          <w:u w:val="none"/>
          <w:lang w:val="en-US"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4"/>
        </w:rPr>
      </w:pPr>
      <w:r>
        <w:rPr>
          <w:rFonts w:ascii="宋体" w:hAnsi="宋体"/>
          <w:sz w:val="24"/>
          <w:szCs w:val="21"/>
        </w:rPr>
      </w:r>
      <w:r>
        <w:rPr>
          <w:rFonts w:ascii="宋体" w:hAnsi="宋体"/>
          <w:sz w:val="24"/>
          <w:szCs w:val="21"/>
        </w:rPr>
      </w:r>
      <w:r/>
    </w:p>
    <w:p>
      <w:pPr>
        <w:ind w:firstLine="480"/>
        <w:spacing w:line="440" w:lineRule="exact"/>
        <w:rPr>
          <w:rFonts w:ascii="宋体" w:hAnsi="宋体"/>
          <w:sz w:val="24"/>
          <w:szCs w:val="24"/>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58"/>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48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rPr>
          <w:rFonts w:hint="eastAsia" w:ascii="黑体" w:hAnsi="黑体" w:eastAsia="黑体" w:cs="Times New Roman"/>
          <w:bCs/>
          <w:i/>
          <w:color w:val="auto"/>
          <w:sz w:val="32"/>
          <w:szCs w:val="32"/>
          <w:u w:val="single"/>
        </w:rPr>
      </w:pPr>
      <w:r>
        <w:rPr>
          <w:rFonts w:hint="eastAsia" w:ascii="黑体" w:hAnsi="黑体" w:eastAsia="黑体" w:cs="Times New Roman"/>
          <w:i w:val="0"/>
          <w:color w:val="auto"/>
          <w:sz w:val="32"/>
          <w:szCs w:val="32"/>
          <w:highlight w:val="none"/>
          <w:u w:val="none"/>
        </w:rPr>
      </w:r>
      <w:r>
        <w:rPr>
          <w:rFonts w:hint="eastAsia" w:ascii="黑体" w:hAnsi="黑体" w:eastAsia="黑体" w:cs="Times New Roman"/>
          <w:i w:val="0"/>
          <w:color w:val="auto"/>
          <w:sz w:val="32"/>
          <w:szCs w:val="32"/>
          <w:highlight w:val="none"/>
          <w:u w:val="none"/>
        </w:rPr>
      </w:r>
      <w:r/>
    </w:p>
    <w:p>
      <w:pPr>
        <w:rPr>
          <w:rFonts w:hint="eastAsia" w:ascii="黑体" w:hAnsi="黑体" w:eastAsia="黑体" w:cs="Times New Roman"/>
          <w:bCs w:val="0"/>
          <w:i w:val="0"/>
          <w:color w:val="auto"/>
          <w:sz w:val="32"/>
          <w:szCs w:val="32"/>
          <w:highlight w:val="none"/>
          <w:u w:val="non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28"/>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i/>
          <w:sz w:val="32"/>
          <w:szCs w:val="32"/>
          <w:u w:val="single"/>
        </w:rPr>
      </w:pPr>
      <w:r>
        <w:rPr>
          <w:rFonts w:hint="eastAsia" w:ascii="黑体" w:hAnsi="黑体" w:eastAsia="黑体"/>
          <w:i/>
          <w:sz w:val="32"/>
          <w:szCs w:val="32"/>
          <w:u w:val="single"/>
        </w:rPr>
      </w:r>
      <w:bookmarkEnd w:id="171"/>
      <w:r/>
      <w:bookmarkEnd w:id="172"/>
      <w:r/>
      <w:bookmarkEnd w:id="173"/>
      <w:r/>
      <w:r/>
    </w:p>
    <w:p>
      <w:pPr>
        <w:jc w:val="left"/>
        <w:spacing w:line="360" w:lineRule="auto"/>
        <w:rPr>
          <w:rFonts w:hint="eastAsia" w:ascii="黑体" w:hAnsi="黑体" w:eastAsia="黑体" w:cs="Times New Roman"/>
          <w:i w:val="0"/>
          <w:sz w:val="32"/>
          <w:szCs w:val="32"/>
          <w:u w:val="none"/>
          <w:lang w:eastAsia="zh-CN"/>
        </w:rPr>
      </w:pPr>
      <w:r/>
      <w:bookmarkStart w:id="174" w:name="_Toc120614284"/>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28"/>
        <w:ind w:firstLine="480"/>
        <w:spacing w:line="420" w:lineRule="exact"/>
        <w:rPr>
          <w:rFonts w:hint="eastAsia"/>
          <w:sz w:val="24"/>
          <w:szCs w:val="24"/>
        </w:rPr>
      </w:pPr>
      <w:r>
        <w:rPr>
          <w:rFonts w:hint="eastAsia"/>
          <w:sz w:val="24"/>
          <w:szCs w:val="24"/>
        </w:rPr>
      </w:r>
      <w:r/>
    </w:p>
    <w:p>
      <w:pPr>
        <w:pStyle w:val="928"/>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28"/>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928"/>
        <w:ind w:firstLine="480"/>
        <w:spacing w:line="480" w:lineRule="exact"/>
        <w:rPr>
          <w:rFonts w:hint="eastAsia"/>
          <w:sz w:val="24"/>
          <w:szCs w:val="24"/>
        </w:rPr>
      </w:pPr>
      <w:r>
        <w:rPr>
          <w:rFonts w:hint="eastAsia"/>
          <w:sz w:val="24"/>
          <w:szCs w:val="24"/>
        </w:rPr>
        <w:t xml:space="preserve">被授权人身份证号码：</w:t>
      </w:r>
      <w:r/>
    </w:p>
    <w:p>
      <w:pPr>
        <w:pStyle w:val="928"/>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2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28"/>
        <w:ind w:firstLine="480"/>
        <w:spacing w:line="480" w:lineRule="exact"/>
        <w:rPr>
          <w:rFonts w:hint="eastAsia"/>
          <w:sz w:val="24"/>
          <w:szCs w:val="24"/>
          <w:u w:val="single"/>
        </w:rPr>
      </w:pPr>
      <w:r>
        <w:rPr>
          <w:rFonts w:hint="eastAsia"/>
          <w:sz w:val="24"/>
          <w:szCs w:val="24"/>
        </w:rPr>
        <w:t xml:space="preserve">单位地址：</w:t>
      </w:r>
      <w:r/>
    </w:p>
    <w:p>
      <w:pPr>
        <w:pStyle w:val="928"/>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75" w:name="_Hlt26955070"/>
      <w:r/>
      <w:bookmarkEnd w:id="175"/>
      <w:r/>
      <w:bookmarkStart w:id="176" w:name="_Hlt26671380"/>
      <w:r/>
      <w:bookmarkEnd w:id="176"/>
      <w:r/>
      <w:bookmarkStart w:id="177" w:name="_格式3__银行出具的资信证明"/>
      <w:r/>
      <w:bookmarkEnd w:id="177"/>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四、谈判响应函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谈判响应函</w:t>
      </w:r>
      <w:r/>
    </w:p>
    <w:p>
      <w:pPr>
        <w:pStyle w:val="930"/>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3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谈判</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交谈判响应函，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30"/>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1.按谈判文件规定的各项要求</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向买方提供所需货物、服务（包含与货物相关的服务</w:t>
      </w:r>
      <w:r>
        <w:rPr>
          <w:rFonts w:hint="eastAsia" w:ascii="宋体" w:hAnsi="宋体" w:eastAsia="宋体" w:cs="Times New Roman"/>
          <w:szCs w:val="21"/>
          <w:lang w:val="en-US" w:eastAsia="zh-CN"/>
        </w:rPr>
        <w:t xml:space="preserve">或</w:t>
      </w:r>
      <w:r>
        <w:rPr>
          <w:rFonts w:hint="eastAsia" w:ascii="宋体" w:hAnsi="宋体" w:eastAsia="宋体" w:cs="Times New Roman"/>
          <w:szCs w:val="21"/>
        </w:rPr>
        <w:t xml:space="preserve">与服务相关的货物）。</w:t>
      </w:r>
      <w:r/>
    </w:p>
    <w:p>
      <w:pPr>
        <w:pStyle w:val="930"/>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2.我们已详细审核全部谈判文件及其有效补充文件</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我们知道必须放弃提出含糊不清或误解问题的权利。</w:t>
      </w:r>
      <w:r/>
    </w:p>
    <w:p>
      <w:pPr>
        <w:pStyle w:val="930"/>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3.我们同意从规定的</w:t>
      </w:r>
      <w:r>
        <w:rPr>
          <w:rFonts w:hint="eastAsia" w:ascii="宋体" w:hAnsi="宋体" w:eastAsia="宋体" w:cs="Times New Roman"/>
          <w:szCs w:val="21"/>
          <w:lang w:eastAsia="zh-CN"/>
        </w:rPr>
        <w:t xml:space="preserve">谈判</w:t>
      </w:r>
      <w:r>
        <w:rPr>
          <w:rFonts w:hint="eastAsia" w:ascii="宋体" w:hAnsi="宋体" w:eastAsia="宋体" w:cs="Times New Roman"/>
          <w:szCs w:val="21"/>
        </w:rPr>
        <w:t xml:space="preserve">日期起遵循本响应文件</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并在规定的谈判有效期期满之前均具有约束力。</w:t>
      </w:r>
      <w:r/>
    </w:p>
    <w:p>
      <w:pPr>
        <w:pStyle w:val="930"/>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4.同意向贵方提供贵方可能另外要求的与谈判有关的任何证据或资料</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并保证我方已提供和将要提供的文件是真实的、准确的。</w:t>
      </w:r>
      <w:r/>
    </w:p>
    <w:p>
      <w:pPr>
        <w:pStyle w:val="930"/>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5.一旦我方成交,我方将根据谈判文件的规定</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严格履行合同的责任和义务,并保证在谈判文件规定的时间完成项目</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交付买方验收、使用。</w:t>
      </w:r>
      <w:r/>
    </w:p>
    <w:p>
      <w:pPr>
        <w:pStyle w:val="930"/>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6.</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930"/>
        <w:spacing w:before="0" w:after="0" w:line="420" w:lineRule="exact"/>
        <w:rPr>
          <w:rFonts w:hint="eastAsia" w:ascii="宋体" w:hAnsi="宋体"/>
          <w:sz w:val="24"/>
          <w:szCs w:val="24"/>
        </w:rPr>
      </w:pPr>
      <w:r>
        <w:rPr>
          <w:rFonts w:hint="eastAsia" w:ascii="宋体" w:hAnsi="宋体" w:eastAsia="宋体" w:cs="Times New Roman"/>
          <w:szCs w:val="21"/>
          <w:lang w:val="en-US" w:eastAsia="zh-CN"/>
        </w:rPr>
        <w:t xml:space="preserve">7.我</w:t>
      </w:r>
      <w:r>
        <w:rPr>
          <w:rFonts w:hint="eastAsia"/>
          <w:sz w:val="24"/>
          <w:szCs w:val="24"/>
          <w:lang w:val="en-US" w:eastAsia="zh-CN"/>
        </w:rPr>
        <w:t xml:space="preserve">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0"/>
        <w:spacing w:before="0" w:after="0" w:line="420" w:lineRule="exact"/>
        <w:rPr>
          <w:rFonts w:hint="eastAsia" w:ascii="宋体" w:hAnsi="宋体" w:eastAsia="宋体" w:cs="Times New Roman"/>
          <w:szCs w:val="21"/>
        </w:rPr>
      </w:pPr>
      <w:r>
        <w:rPr>
          <w:rFonts w:hint="eastAsia" w:ascii="宋体" w:hAnsi="宋体" w:cs="Times New Roman"/>
          <w:szCs w:val="21"/>
          <w:lang w:val="en-US" w:eastAsia="zh-CN"/>
        </w:rPr>
        <w:t xml:space="preserve">8</w:t>
      </w:r>
      <w:r>
        <w:rPr>
          <w:rFonts w:hint="eastAsia" w:ascii="宋体" w:hAnsi="宋体" w:eastAsia="宋体" w:cs="Times New Roman"/>
          <w:szCs w:val="21"/>
        </w:rPr>
        <w:t xml:space="preserve">.我方与本谈判有关的正式通讯地址为：</w:t>
      </w:r>
      <w:r/>
    </w:p>
    <w:p>
      <w:pPr>
        <w:pStyle w:val="930"/>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3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3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3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3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3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0"/>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sz w:val="24"/>
          <w:szCs w:val="24"/>
        </w:rPr>
      </w:pPr>
      <w:r>
        <w:rPr>
          <w:rFonts w:hint="eastAsia" w:ascii="宋体" w:hAnsi="宋体"/>
          <w:bCs/>
          <w:sz w:val="24"/>
          <w:szCs w:val="21"/>
        </w:rPr>
      </w:r>
      <w:r>
        <w:rPr>
          <w:rFonts w:hint="eastAsia" w:ascii="宋体" w:hAnsi="宋体"/>
          <w:bCs/>
          <w:sz w:val="24"/>
          <w:szCs w:val="21"/>
        </w:rPr>
      </w:r>
      <w:r/>
    </w:p>
    <w:p>
      <w:pPr>
        <w:ind w:firstLine="240"/>
        <w:jc w:val="center"/>
        <w:spacing w:line="560" w:lineRule="exact"/>
        <w:rPr>
          <w:rFonts w:hint="eastAsia" w:ascii="宋体" w:hAnsi="宋体"/>
          <w:sz w:val="24"/>
          <w:szCs w:val="24"/>
        </w:rPr>
      </w:pPr>
      <w:r>
        <w:rPr>
          <w:rFonts w:hint="eastAsia" w:ascii="宋体" w:hAnsi="宋体"/>
          <w:bCs/>
          <w:sz w:val="24"/>
          <w:szCs w:val="21"/>
        </w:rPr>
      </w:r>
      <w:bookmarkEnd w:id="158"/>
      <w:r/>
      <w:bookmarkEnd w:id="159"/>
      <w:r/>
      <w:bookmarkEnd w:id="174"/>
      <w:r/>
      <w:r/>
    </w:p>
    <w:p>
      <w:pPr>
        <w:ind w:firstLine="420"/>
        <w:rPr>
          <w:rFonts w:ascii="Times New Roman" w:hAnsi="Times New Roman"/>
          <w:sz w:val="24"/>
          <w:szCs w:val="24"/>
        </w:rPr>
      </w:pPr>
      <w:r>
        <w:rPr>
          <w:rFonts w:ascii="Times New Roman" w:hAnsi="Times New Roman"/>
          <w:sz w:val="24"/>
          <w:szCs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五、谈判报价表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谈判报价表</w:t>
      </w:r>
      <w:r/>
    </w:p>
    <w:p>
      <w:pPr>
        <w:ind w:firstLine="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30"/>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rPr>
          <w:rFonts w:ascii="Times New Roman" w:hAnsi="Times New Roman"/>
          <w:sz w:val="24"/>
          <w:szCs w:val="24"/>
        </w:rPr>
      </w:pPr>
      <w:r>
        <w:rPr>
          <w:rFonts w:ascii="Times New Roman" w:hAnsi="Times New Roman"/>
          <w:sz w:val="24"/>
          <w:szCs w:val="24"/>
        </w:rPr>
      </w:r>
      <w:r/>
    </w:p>
    <w:p>
      <w:r/>
      <w:r/>
    </w:p>
    <w:p>
      <w:r/>
      <w:r/>
    </w:p>
    <w:p>
      <w:pPr>
        <w:pStyle w:val="885"/>
      </w:pPr>
      <w:r/>
      <w:r/>
    </w:p>
    <w:p>
      <w:r/>
      <w:r/>
    </w:p>
    <w:p>
      <w:pPr>
        <w:pStyle w:val="885"/>
      </w:pPr>
      <w:r/>
      <w:r/>
    </w:p>
    <w:p>
      <w:r/>
      <w:r/>
    </w:p>
    <w:p>
      <w:pPr>
        <w:pStyle w:val="885"/>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黑体" w:hAnsi="Calibri" w:eastAsia="黑体" w:cs="Times New Roman"/>
          <w:color w:val="000000"/>
          <w:sz w:val="32"/>
          <w:szCs w:val="32"/>
          <w:lang w:val="en-US" w:eastAsia="zh-CN"/>
        </w:rPr>
        <w:outlineLvl w:val="2"/>
      </w:pPr>
      <w:r>
        <w:rPr>
          <w:rFonts w:hint="eastAsia" w:ascii="黑体" w:hAnsi="Calibri" w:eastAsia="黑体" w:cs="Times New Roman"/>
          <w:color w:val="000000"/>
          <w:sz w:val="32"/>
          <w:szCs w:val="32"/>
          <w:lang w:val="en-US" w:eastAsia="zh-CN"/>
        </w:rPr>
        <w:t xml:space="preserve">分项报价表</w:t>
      </w:r>
      <w:r/>
    </w:p>
    <w:tbl>
      <w:tblPr>
        <w:tblStyle w:val="852"/>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38"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322"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38"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322"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p>
        </w:tc>
      </w:tr>
    </w:tbl>
    <w:p>
      <w:pPr>
        <w:jc w:val="center"/>
        <w:keepLines w:val="0"/>
        <w:keepNext w:val="0"/>
        <w:pageBreakBefore w:val="0"/>
        <w:widowControl w:val="off"/>
        <w:rPr>
          <w:rFonts w:hint="eastAsia" w:ascii="黑体" w:hAnsi="黑体" w:eastAsia="黑体"/>
          <w:b/>
          <w:color w:val="auto"/>
          <w:sz w:val="24"/>
          <w:szCs w:val="24"/>
        </w:rPr>
      </w:pPr>
      <w:r>
        <w:rPr>
          <w:rFonts w:hint="eastAsia" w:ascii="黑体" w:hAnsi="黑体" w:eastAsia="黑体"/>
          <w:b/>
          <w:color w:val="auto"/>
          <w:sz w:val="24"/>
          <w:szCs w:val="24"/>
        </w:rPr>
      </w:r>
      <w:r/>
    </w:p>
    <w:p>
      <w:pPr>
        <w:ind w:firstLine="48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keepLines w:val="0"/>
        <w:keepNext w:val="0"/>
        <w:pageBreakBefore w:val="0"/>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8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88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88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2.《分项报价表中》“总报价”应当与《谈判报价表》中“总报价”一致。</w:t>
      </w:r>
      <w:r/>
    </w:p>
    <w:p>
      <w:pPr>
        <w:pStyle w:val="88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88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852"/>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5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7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keepLines w:val="0"/>
        <w:keepNext w:val="0"/>
        <w:pageBreakBefore w:val="0"/>
        <w:widowControl w:val="off"/>
        <w:rPr>
          <w:rFonts w:ascii="宋体" w:hAnsi="宋体" w:eastAsia="宋体" w:cs="宋体"/>
          <w:color w:val="000000"/>
          <w:sz w:val="24"/>
          <w:szCs w:val="24"/>
        </w:rPr>
      </w:pPr>
      <w:r>
        <w:rPr>
          <w:rFonts w:ascii="宋体" w:hAnsi="宋体" w:eastAsia="宋体" w:cs="宋体"/>
          <w:color w:val="000000"/>
          <w:sz w:val="24"/>
          <w:szCs w:val="24"/>
        </w:rPr>
      </w:r>
      <w:r/>
    </w:p>
    <w:p>
      <w:r/>
      <w:r/>
    </w:p>
    <w:p>
      <w:pPr>
        <w:pStyle w:val="881"/>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1.供应商须对谈判文件技术要求中的实质性要求（斜体下划线内容或打“★”内容）及其他要求做出明确响应，否则视为无效响应。</w:t>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r/>
      <w:r/>
    </w:p>
    <w:p>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852"/>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2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81"/>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1.供应商须对谈判文件商务要求中的实质性要求（斜体下划线内容或打“★”内容）做出明确响应，否则视为无效响应。</w:t>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r/>
      <w:r/>
    </w:p>
    <w:p>
      <w:r/>
      <w:r/>
    </w:p>
    <w:p>
      <w:r/>
      <w:r/>
    </w:p>
    <w:p>
      <w:r/>
      <w:r/>
    </w:p>
    <w:p>
      <w:r/>
      <w:r/>
    </w:p>
    <w:p>
      <w:r/>
      <w:r/>
    </w:p>
    <w:p>
      <w:r/>
      <w:r/>
    </w:p>
    <w:p>
      <w:r/>
      <w:r/>
    </w:p>
    <w:p>
      <w:r/>
      <w:r/>
    </w:p>
    <w:p>
      <w:r/>
      <w:r/>
    </w:p>
    <w:p>
      <w:r/>
      <w:r/>
    </w:p>
    <w:p>
      <w:r/>
      <w:r/>
    </w:p>
    <w:p>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中小企业声明函（服务）</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本公司（联合体）郑重声明</w:t>
      </w:r>
      <w:r>
        <w:rPr>
          <w:rFonts w:hint="eastAsia" w:ascii="宋体" w:hAnsi="宋体"/>
          <w:color w:val="auto"/>
          <w:sz w:val="24"/>
          <w:szCs w:val="24"/>
          <w:lang w:eastAsia="zh-CN"/>
        </w:rPr>
        <w:t xml:space="preserve">，</w:t>
      </w:r>
      <w:r>
        <w:rPr>
          <w:rFonts w:hint="eastAsia" w:ascii="宋体" w:hAnsi="宋体"/>
          <w:color w:val="auto"/>
          <w:sz w:val="24"/>
          <w:szCs w:val="24"/>
        </w:rPr>
        <w:t xml:space="preserve">根据《政府采购促进中小企业发展管理办法》(财库[2020]46号)的规定</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rPr>
        <w:t xml:space="preserve">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szCs w:val="24"/>
          <w:lang w:eastAsia="zh-CN"/>
        </w:rPr>
        <w:t xml:space="preserve">，</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w:t>
      </w:r>
      <w:r>
        <w:rPr>
          <w:rFonts w:hint="eastAsia" w:ascii="宋体" w:hAnsi="宋体"/>
          <w:color w:val="auto"/>
          <w:sz w:val="24"/>
          <w:szCs w:val="24"/>
          <w:lang w:eastAsia="zh-CN"/>
        </w:rPr>
        <w:t xml:space="preserve">，</w:t>
      </w:r>
      <w:r>
        <w:rPr>
          <w:rFonts w:hint="eastAsia" w:ascii="宋体" w:hAnsi="宋体"/>
          <w:color w:val="auto"/>
          <w:sz w:val="24"/>
          <w:szCs w:val="24"/>
        </w:rPr>
        <w:t xml:space="preserve">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p>
    <w:p>
      <w:pPr>
        <w:ind w:firstLine="360"/>
        <w:keepLines w:val="0"/>
        <w:keepNext w:val="0"/>
        <w:pageBreakBefore w:val="0"/>
        <w:spacing w:line="360" w:lineRule="auto"/>
        <w:widowControl w:val="off"/>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（谈判文件中明确的所属行业）</w:t>
      </w:r>
      <w:r>
        <w:rPr>
          <w:rFonts w:hint="eastAsia" w:ascii="宋体" w:hAnsi="宋体"/>
          <w:color w:val="auto"/>
          <w:sz w:val="24"/>
          <w:szCs w:val="24"/>
        </w:rPr>
        <w:t xml:space="preserve">；</w:t>
      </w:r>
      <w:r>
        <w:rPr>
          <w:rFonts w:hint="eastAsia" w:ascii="宋体" w:hAnsi="宋体"/>
          <w:color w:val="auto"/>
          <w:sz w:val="24"/>
          <w:szCs w:val="24"/>
          <w:lang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w:t>
      </w:r>
      <w:r>
        <w:rPr>
          <w:rFonts w:hint="eastAsia" w:ascii="宋体" w:hAnsi="宋体"/>
          <w:color w:val="auto"/>
          <w:sz w:val="24"/>
          <w:szCs w:val="24"/>
          <w:lang w:eastAsia="zh-CN"/>
        </w:rPr>
        <w:t xml:space="preserve">，</w:t>
      </w:r>
      <w:r>
        <w:rPr>
          <w:rFonts w:hint="eastAsia" w:ascii="宋体" w:hAnsi="宋体"/>
          <w:color w:val="auto"/>
          <w:sz w:val="24"/>
          <w:szCs w:val="24"/>
        </w:rPr>
        <w:t xml:space="preserve">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lang w:eastAsia="zh-CN"/>
        </w:rPr>
        <w:t xml:space="preserve">，</w:t>
      </w:r>
      <w:r>
        <w:rPr>
          <w:rFonts w:hint="eastAsia" w:ascii="宋体" w:hAnsi="宋体"/>
          <w:color w:val="auto"/>
          <w:sz w:val="24"/>
          <w:szCs w:val="24"/>
        </w:rPr>
        <w:t xml:space="preserve">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lang w:eastAsia="zh-CN"/>
        </w:rPr>
        <w:t xml:space="preserve">，</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（谈判文件中明确的所属行业）</w:t>
      </w:r>
      <w:r>
        <w:rPr>
          <w:rFonts w:hint="eastAsia" w:ascii="宋体" w:hAnsi="宋体"/>
          <w:color w:val="auto"/>
          <w:sz w:val="24"/>
          <w:szCs w:val="24"/>
        </w:rPr>
        <w:t xml:space="preserve">；</w:t>
      </w:r>
      <w:r>
        <w:rPr>
          <w:rFonts w:hint="eastAsia" w:ascii="宋体" w:hAnsi="宋体"/>
          <w:color w:val="auto"/>
          <w:sz w:val="24"/>
          <w:szCs w:val="24"/>
          <w:lang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w:t>
      </w:r>
      <w:r>
        <w:rPr>
          <w:rFonts w:hint="eastAsia" w:ascii="宋体" w:hAnsi="宋体"/>
          <w:color w:val="auto"/>
          <w:sz w:val="24"/>
          <w:szCs w:val="24"/>
          <w:lang w:eastAsia="zh-CN"/>
        </w:rPr>
        <w:t xml:space="preserve">，</w:t>
      </w:r>
      <w:r>
        <w:rPr>
          <w:rFonts w:hint="eastAsia" w:ascii="宋体" w:hAnsi="宋体"/>
          <w:color w:val="auto"/>
          <w:sz w:val="24"/>
          <w:szCs w:val="24"/>
        </w:rPr>
        <w:t xml:space="preserve">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lang w:eastAsia="zh-CN"/>
        </w:rPr>
        <w:t xml:space="preserve">，</w:t>
      </w:r>
      <w:r>
        <w:rPr>
          <w:rFonts w:hint="eastAsia" w:ascii="宋体" w:hAnsi="宋体"/>
          <w:color w:val="auto"/>
          <w:sz w:val="24"/>
          <w:szCs w:val="24"/>
        </w:rPr>
        <w:t xml:space="preserve">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lang w:eastAsia="zh-CN"/>
        </w:rPr>
        <w:t xml:space="preserve">，</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w:t>
      </w:r>
      <w:r>
        <w:rPr>
          <w:rFonts w:hint="eastAsia" w:ascii="宋体" w:hAnsi="宋体"/>
          <w:color w:val="auto"/>
          <w:sz w:val="24"/>
          <w:szCs w:val="24"/>
          <w:lang w:eastAsia="zh-CN"/>
        </w:rPr>
        <w:t xml:space="preserve">，</w:t>
      </w:r>
      <w:r>
        <w:rPr>
          <w:rFonts w:hint="eastAsia" w:ascii="宋体" w:hAnsi="宋体"/>
          <w:color w:val="auto"/>
          <w:sz w:val="24"/>
          <w:szCs w:val="24"/>
        </w:rPr>
        <w:t xml:space="preserve">不属于大企业的分支机构</w:t>
      </w:r>
      <w:r>
        <w:rPr>
          <w:rFonts w:hint="eastAsia" w:ascii="宋体" w:hAnsi="宋体"/>
          <w:color w:val="auto"/>
          <w:sz w:val="24"/>
          <w:szCs w:val="24"/>
          <w:lang w:eastAsia="zh-CN"/>
        </w:rPr>
        <w:t xml:space="preserve">，</w:t>
      </w:r>
      <w:r>
        <w:rPr>
          <w:rFonts w:hint="eastAsia" w:ascii="宋体" w:hAnsi="宋体"/>
          <w:color w:val="auto"/>
          <w:sz w:val="24"/>
          <w:szCs w:val="24"/>
        </w:rPr>
        <w:t xml:space="preserve">不存在控股股东为大企业的情形</w:t>
      </w:r>
      <w:r>
        <w:rPr>
          <w:rFonts w:hint="eastAsia" w:ascii="宋体" w:hAnsi="宋体"/>
          <w:color w:val="auto"/>
          <w:sz w:val="24"/>
          <w:szCs w:val="24"/>
          <w:lang w:eastAsia="zh-CN"/>
        </w:rPr>
        <w:t xml:space="preserve">，</w:t>
      </w:r>
      <w:r>
        <w:rPr>
          <w:rFonts w:hint="eastAsia" w:ascii="宋体" w:hAnsi="宋体"/>
          <w:color w:val="auto"/>
          <w:sz w:val="24"/>
          <w:szCs w:val="24"/>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本企业对上述声明内容的真实性负责。如有虚假</w:t>
      </w:r>
      <w:r>
        <w:rPr>
          <w:rFonts w:hint="eastAsia" w:ascii="宋体" w:hAnsi="宋体"/>
          <w:color w:val="auto"/>
          <w:sz w:val="24"/>
          <w:szCs w:val="24"/>
          <w:lang w:eastAsia="zh-CN"/>
        </w:rPr>
        <w:t xml:space="preserve">，</w:t>
      </w:r>
      <w:r>
        <w:rPr>
          <w:rFonts w:hint="eastAsia" w:ascii="宋体" w:hAnsi="宋体"/>
          <w:color w:val="auto"/>
          <w:sz w:val="24"/>
          <w:szCs w:val="24"/>
        </w:rPr>
        <w:t xml:space="preserve">将依法承担相应责任</w:t>
      </w:r>
      <w:r>
        <w:rPr>
          <w:rFonts w:hint="eastAsia" w:ascii="宋体" w:hAnsi="宋体"/>
          <w:color w:val="auto"/>
          <w:sz w:val="24"/>
          <w:szCs w:val="24"/>
          <w:lang w:eastAsia="zh-CN"/>
        </w:rPr>
        <w:t xml:space="preserve">。</w:t>
      </w:r>
      <w:r/>
    </w:p>
    <w:p>
      <w:pPr>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480" w:lineRule="exact"/>
        <w:widowControl w:val="off"/>
        <w:rPr>
          <w:rFonts w:hint="eastAsia" w:ascii="宋体" w:hAnsi="宋体" w:eastAsia="宋体" w:cs="Times New Roman"/>
          <w:color w:val="auto"/>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b/>
          <w:bCs/>
          <w:sz w:val="24"/>
          <w:szCs w:val="24"/>
          <w:lang w:val="en-US" w:eastAsia="zh-CN"/>
        </w:rPr>
        <w:t xml:space="preserve">4.</w:t>
      </w:r>
      <w:r>
        <w:rPr>
          <w:rFonts w:hint="eastAsia" w:ascii="宋体" w:hAnsi="宋体" w:eastAsia="宋体" w:cs="Times New Roman"/>
          <w:b w:val="0"/>
          <w:bCs w:val="0"/>
          <w:sz w:val="24"/>
          <w:szCs w:val="24"/>
          <w:lang w:val="en-US" w:eastAsia="zh-CN"/>
        </w:rPr>
        <w:t xml:space="preserve">服务</w:t>
      </w:r>
      <w:r>
        <w:rPr>
          <w:rFonts w:hint="eastAsia" w:ascii="宋体" w:hAnsi="宋体" w:eastAsia="宋体" w:cs="Times New Roman"/>
          <w:b w:val="0"/>
          <w:bCs w:val="0"/>
          <w:sz w:val="24"/>
          <w:szCs w:val="24"/>
          <w:lang w:eastAsia="zh-CN"/>
        </w:rPr>
        <w:t xml:space="preserve">采购项目中，服务的承接商应当为中小企业（</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十、残疾人福利性单位声明函</w:t>
      </w:r>
      <w:r/>
    </w:p>
    <w:p>
      <w:pPr>
        <w:ind w:firstLine="5760"/>
        <w:spacing w:line="560" w:lineRule="exact"/>
        <w:rPr>
          <w:rFonts w:hint="eastAsia" w:ascii="宋体" w:hAnsi="宋体"/>
          <w:color w:val="0000ff"/>
          <w:sz w:val="24"/>
          <w:szCs w:val="24"/>
        </w:rPr>
      </w:pPr>
      <w:r>
        <w:rPr>
          <w:rFonts w:hint="eastAsia" w:ascii="宋体" w:hAnsi="宋体"/>
          <w:color w:val="0000ff"/>
          <w:sz w:val="24"/>
          <w:szCs w:val="24"/>
          <w:lang w:val="en-US" w:eastAsia="zh-CN"/>
        </w:rPr>
        <w:t xml:space="preserve">    </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9"/>
      </w:pPr>
      <w:r>
        <w:rPr>
          <w:rFonts w:hint="eastAsia" w:ascii="方正小标宋简体" w:hAnsi="方正小标宋简体" w:eastAsia="方正小标宋简体" w:cs="方正小标宋简体"/>
          <w:color w:val="auto"/>
          <w:sz w:val="32"/>
          <w:szCs w:val="32"/>
          <w:lang w:val="en-US" w:eastAsia="zh-CN"/>
        </w:rPr>
        <w:t xml:space="preserve">残疾人福利性单位声明函（服务）</w:t>
      </w:r>
      <w:r/>
    </w:p>
    <w:p>
      <w:pPr>
        <w:ind w:firstLine="480"/>
        <w:spacing w:line="360" w:lineRule="auto"/>
        <w:rPr>
          <w:rFonts w:hint="eastAsia" w:ascii="宋体" w:hAnsi="宋体" w:eastAsia="宋体"/>
          <w:color w:val="auto"/>
          <w:sz w:val="24"/>
          <w:szCs w:val="21"/>
          <w:lang w:eastAsia="zh-CN"/>
        </w:rPr>
      </w:pPr>
      <w:r>
        <w:rPr>
          <w:rFonts w:hint="eastAsia" w:ascii="宋体" w:hAnsi="宋体"/>
          <w:color w:val="auto"/>
          <w:sz w:val="24"/>
        </w:rPr>
        <w:t xml:space="preserve">本单位郑重声明</w:t>
      </w:r>
      <w:r>
        <w:rPr>
          <w:rFonts w:hint="eastAsia" w:ascii="宋体" w:hAnsi="宋体"/>
          <w:color w:val="auto"/>
          <w:sz w:val="24"/>
          <w:lang w:eastAsia="zh-CN"/>
        </w:rPr>
        <w:t xml:space="preserve">，</w:t>
      </w:r>
      <w:r>
        <w:rPr>
          <w:rFonts w:hint="eastAsia" w:ascii="宋体" w:hAnsi="宋体"/>
          <w:color w:val="auto"/>
          <w:sz w:val="24"/>
        </w:rPr>
        <w:t xml:space="preserve">根据《财政部 民政部 中国残疾人联合会关于促进残疾人就业政府采购政策的通知》（财库〔2017〕141号）的规定</w:t>
      </w:r>
      <w:r>
        <w:rPr>
          <w:rFonts w:hint="eastAsia" w:ascii="宋体" w:hAnsi="宋体"/>
          <w:color w:val="auto"/>
          <w:sz w:val="24"/>
          <w:lang w:eastAsia="zh-CN"/>
        </w:rPr>
        <w:t xml:space="preserve">，</w:t>
      </w:r>
      <w:r>
        <w:rPr>
          <w:rFonts w:hint="eastAsia" w:ascii="宋体" w:hAnsi="宋体"/>
          <w:color w:val="auto"/>
          <w:sz w:val="24"/>
        </w:rPr>
        <w:t xml:space="preserve">本单位为符合条件的残疾人福利性单位</w:t>
      </w:r>
      <w:r>
        <w:rPr>
          <w:rFonts w:hint="eastAsia" w:ascii="宋体" w:hAnsi="宋体"/>
          <w:color w:val="auto"/>
          <w:sz w:val="24"/>
          <w:lang w:eastAsia="zh-CN"/>
        </w:rPr>
        <w:t xml:space="preserve">，</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，服务全部由本单位提供。</w:t>
      </w:r>
      <w:r/>
    </w:p>
    <w:p>
      <w:pPr>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w:t>
      </w:r>
      <w:r>
        <w:rPr>
          <w:rFonts w:hint="eastAsia" w:ascii="宋体" w:hAnsi="宋体"/>
          <w:color w:val="auto"/>
          <w:sz w:val="24"/>
          <w:lang w:eastAsia="zh-CN"/>
        </w:rPr>
        <w:t xml:space="preserve">，</w:t>
      </w:r>
      <w:r>
        <w:rPr>
          <w:rFonts w:hint="eastAsia" w:ascii="宋体" w:hAnsi="宋体"/>
          <w:color w:val="auto"/>
          <w:sz w:val="24"/>
        </w:rPr>
        <w:t xml:space="preserve">将依法承担相应责任。</w:t>
      </w:r>
      <w:r/>
    </w:p>
    <w:p>
      <w:pPr>
        <w:pStyle w:val="919"/>
        <w:rPr>
          <w:rFonts w:hint="eastAsia" w:ascii="宋体" w:hAnsi="宋体"/>
          <w:color w:val="auto"/>
          <w:sz w:val="24"/>
          <w:szCs w:val="24"/>
          <w:lang w:eastAsia="zh-CN"/>
        </w:rPr>
      </w:pPr>
      <w:r>
        <w:rPr>
          <w:rFonts w:hint="eastAsia" w:ascii="宋体" w:hAnsi="宋体"/>
          <w:color w:val="auto"/>
          <w:sz w:val="24"/>
          <w:szCs w:val="24"/>
          <w:lang w:eastAsia="zh-CN"/>
        </w:rPr>
      </w:r>
      <w:r/>
    </w:p>
    <w:p>
      <w:pPr>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spacing w:line="588" w:lineRule="exact"/>
        <w:rPr>
          <w:rFonts w:hint="eastAsia" w:ascii="宋体" w:hAnsi="宋体"/>
          <w:color w:val="auto"/>
          <w:sz w:val="24"/>
        </w:rPr>
      </w:pPr>
      <w:r>
        <w:rPr>
          <w:rFonts w:hint="eastAsia" w:ascii="宋体" w:hAnsi="宋体"/>
          <w:color w:val="auto"/>
          <w:sz w:val="24"/>
        </w:rPr>
      </w:r>
      <w:r/>
    </w:p>
    <w:p>
      <w:pPr>
        <w:ind w:firstLine="480"/>
        <w:spacing w:line="480" w:lineRule="exact"/>
        <w:rPr>
          <w:rFonts w:hint="eastAsia" w:ascii="宋体" w:hAnsi="宋体"/>
          <w:color w:val="auto"/>
          <w:sz w:val="24"/>
        </w:rPr>
      </w:pPr>
      <w:r>
        <w:rPr>
          <w:rFonts w:hint="eastAsia" w:ascii="宋体" w:hAnsi="宋体"/>
          <w:color w:val="auto"/>
          <w:sz w:val="24"/>
        </w:rPr>
        <w:t xml:space="preserve">备注：</w:t>
      </w:r>
      <w:r/>
    </w:p>
    <w:p>
      <w:pPr>
        <w:ind w:firstLine="480"/>
        <w:spacing w:line="480" w:lineRule="exact"/>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rPr>
        <w:t xml:space="preserve">供应商如不提供此声明函</w:t>
      </w:r>
      <w:r>
        <w:rPr>
          <w:rFonts w:hint="eastAsia" w:ascii="宋体" w:hAnsi="宋体"/>
          <w:color w:val="auto"/>
          <w:sz w:val="24"/>
          <w:lang w:eastAsia="zh-CN"/>
        </w:rPr>
        <w:t xml:space="preserve">，</w:t>
      </w:r>
      <w:r>
        <w:rPr>
          <w:rFonts w:hint="eastAsia" w:ascii="宋体" w:hAnsi="宋体"/>
          <w:color w:val="auto"/>
          <w:sz w:val="24"/>
        </w:rPr>
        <w:t xml:space="preserve">价格将不做相应扣除。</w:t>
      </w:r>
      <w:r/>
    </w:p>
    <w:p>
      <w:pPr>
        <w:ind w:firstLine="480"/>
        <w:spacing w:line="480" w:lineRule="exact"/>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.成交供应商</w:t>
      </w:r>
      <w:r>
        <w:rPr>
          <w:rFonts w:hint="eastAsia" w:ascii="宋体" w:hAnsi="宋体"/>
          <w:color w:val="auto"/>
          <w:sz w:val="24"/>
        </w:rPr>
        <w:t xml:space="preserve">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w:t>
      </w:r>
      <w:r>
        <w:rPr>
          <w:rFonts w:hint="eastAsia" w:ascii="宋体" w:hAnsi="宋体"/>
          <w:color w:val="auto"/>
          <w:sz w:val="24"/>
          <w:lang w:eastAsia="zh-CN"/>
        </w:rPr>
        <w:t xml:space="preserve">，</w:t>
      </w:r>
      <w:r>
        <w:rPr>
          <w:rFonts w:hint="eastAsia" w:ascii="宋体" w:hAnsi="宋体"/>
          <w:color w:val="auto"/>
          <w:sz w:val="24"/>
        </w:rPr>
        <w:t xml:space="preserve">此声明函将随</w:t>
      </w:r>
      <w:r>
        <w:rPr>
          <w:rFonts w:hint="eastAsia" w:ascii="宋体" w:hAnsi="宋体"/>
          <w:color w:val="auto"/>
          <w:sz w:val="24"/>
          <w:lang w:eastAsia="zh-CN"/>
        </w:rPr>
        <w:t xml:space="preserve">成交</w:t>
      </w:r>
      <w:r>
        <w:rPr>
          <w:rFonts w:hint="eastAsia" w:ascii="宋体" w:hAnsi="宋体"/>
          <w:color w:val="auto"/>
          <w:sz w:val="24"/>
        </w:rPr>
        <w:t xml:space="preserve">结果同时公告</w:t>
      </w:r>
      <w:r>
        <w:rPr>
          <w:rFonts w:hint="eastAsia" w:ascii="宋体" w:hAnsi="宋体"/>
          <w:color w:val="auto"/>
          <w:sz w:val="24"/>
          <w:lang w:eastAsia="zh-CN"/>
        </w:rPr>
        <w:t xml:space="preserve">，</w:t>
      </w:r>
      <w:r>
        <w:rPr>
          <w:rFonts w:hint="eastAsia" w:ascii="宋体" w:hAnsi="宋体"/>
          <w:color w:val="auto"/>
          <w:sz w:val="24"/>
        </w:rPr>
        <w:t xml:space="preserve">接受社会监督</w:t>
      </w:r>
      <w:r>
        <w:rPr>
          <w:rFonts w:hint="eastAsia" w:ascii="宋体" w:hAnsi="宋体"/>
          <w:color w:val="auto"/>
          <w:sz w:val="24"/>
          <w:lang w:eastAsia="zh-CN"/>
        </w:rPr>
        <w:t xml:space="preserve">。</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5"/>
        <w:ind w:firstLine="0"/>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bookmarkStart w:id="178" w:name="_GoBack"/>
      <w:r/>
      <w:bookmarkEnd w:id="178"/>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8"/>
        <w:rFonts w:ascii="宋体" w:hAnsi="宋体"/>
      </w:rPr>
      <w:framePr w:wrap="around" w:vAnchor="text" w:hAnchor="margin" w:xAlign="center" w:y="1"/>
    </w:pPr>
    <w:r>
      <w:rPr>
        <w:rFonts w:ascii="宋体" w:hAnsi="宋体"/>
      </w:rPr>
      <w:fldChar w:fldCharType="begin"/>
    </w:r>
    <w:r>
      <w:rPr>
        <w:rStyle w:val="888"/>
        <w:rFonts w:ascii="宋体" w:hAnsi="宋体"/>
      </w:rPr>
      <w:instrText xml:space="preserve">PAGE  </w:instrText>
    </w:r>
    <w:r>
      <w:rPr>
        <w:rFonts w:ascii="宋体" w:hAnsi="宋体"/>
      </w:rPr>
      <w:fldChar w:fldCharType="separate"/>
    </w:r>
    <w:r>
      <w:rPr>
        <w:rStyle w:val="888"/>
        <w:rFonts w:ascii="宋体" w:hAnsi="宋体"/>
      </w:rPr>
      <w:t xml:space="preserve">２８</w:t>
    </w:r>
    <w:r>
      <w:rPr>
        <w:rFonts w:ascii="宋体" w:hAnsi="宋体"/>
      </w:rPr>
      <w:fldChar w:fldCharType="end"/>
    </w:r>
    <w:r/>
  </w:p>
  <w:p>
    <w:pPr>
      <w:pStyle w:val="87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1"/>
    <w:uiPriority w:val="99"/>
  </w:style>
  <w:style w:type="character" w:styleId="706">
    <w:name w:val="Footer Char"/>
    <w:basedOn w:val="851"/>
    <w:link w:val="870"/>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0"/>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42">
    <w:name w:val="Heading 1"/>
    <w:basedOn w:val="841"/>
    <w:next w:val="841"/>
    <w:link w:val="895"/>
    <w:uiPriority w:val="0"/>
    <w:qFormat/>
    <w:pPr>
      <w:jc w:val="center"/>
      <w:keepNext/>
      <w:outlineLvl w:val="0"/>
    </w:pPr>
    <w:rPr>
      <w:rFonts w:ascii="楷体_GB2312" w:hAnsi="Times New Roman" w:eastAsia="楷体_GB2312" w:cs="Times New Roman"/>
      <w:sz w:val="28"/>
      <w:szCs w:val="28"/>
    </w:rPr>
  </w:style>
  <w:style w:type="paragraph" w:styleId="843">
    <w:name w:val="Heading 2"/>
    <w:basedOn w:val="841"/>
    <w:next w:val="841"/>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3"/>
    <w:link w:val="89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5">
    <w:name w:val="Heading 4"/>
    <w:basedOn w:val="841"/>
    <w:next w:val="853"/>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3"/>
    <w:link w:val="900"/>
    <w:uiPriority w:val="0"/>
    <w:qFormat/>
    <w:pPr>
      <w:keepNext/>
      <w:outlineLvl w:val="4"/>
    </w:pPr>
    <w:rPr>
      <w:rFonts w:ascii="宋体" w:hAnsi="Times New Roman" w:eastAsia="宋体" w:cs="Times New Roman"/>
      <w:color w:val="000000"/>
      <w:sz w:val="28"/>
      <w:szCs w:val="28"/>
    </w:rPr>
  </w:style>
  <w:style w:type="paragraph" w:styleId="847">
    <w:name w:val="Heading 6"/>
    <w:basedOn w:val="841"/>
    <w:next w:val="841"/>
    <w:link w:val="90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8">
    <w:name w:val="Heading 7"/>
    <w:basedOn w:val="841"/>
    <w:next w:val="841"/>
    <w:link w:val="90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9">
    <w:name w:val="Heading 8"/>
    <w:basedOn w:val="841"/>
    <w:next w:val="841"/>
    <w:link w:val="90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0">
    <w:name w:val="Heading 9"/>
    <w:basedOn w:val="841"/>
    <w:next w:val="841"/>
    <w:link w:val="90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1" w:default="1">
    <w:name w:val="Default Paragraph Font"/>
    <w:uiPriority w:val="1"/>
    <w:unhideWhenUsed/>
    <w:qFormat/>
  </w:style>
  <w:style w:type="table" w:styleId="852" w:default="1">
    <w:name w:val="Normal Table"/>
    <w:uiPriority w:val="99"/>
    <w:unhideWhenUsed/>
    <w:qFormat/>
    <w:tblPr>
      <w:tblCellMar>
        <w:left w:w="108" w:type="dxa"/>
        <w:top w:w="0" w:type="dxa"/>
        <w:right w:w="108" w:type="dxa"/>
        <w:bottom w:w="0" w:type="dxa"/>
      </w:tblCellMar>
    </w:tblPr>
  </w:style>
  <w:style w:type="paragraph" w:styleId="853">
    <w:name w:val="Normal Indent"/>
    <w:basedOn w:val="841"/>
    <w:link w:val="898"/>
    <w:uiPriority w:val="0"/>
    <w:qFormat/>
    <w:pPr>
      <w:ind w:firstLine="420"/>
    </w:pPr>
    <w:rPr>
      <w:szCs w:val="21"/>
    </w:rPr>
  </w:style>
  <w:style w:type="paragraph" w:styleId="854">
    <w:name w:val="List 3"/>
    <w:basedOn w:val="841"/>
    <w:uiPriority w:val="0"/>
    <w:qFormat/>
    <w:pPr>
      <w:ind w:left="100" w:hanging="200"/>
    </w:pPr>
    <w:rPr>
      <w:rFonts w:ascii="Times New Roman" w:hAnsi="Times New Roman" w:eastAsia="宋体" w:cs="Times New Roman"/>
      <w:szCs w:val="21"/>
    </w:rPr>
  </w:style>
  <w:style w:type="paragraph" w:styleId="855">
    <w:name w:val="toc 7"/>
    <w:basedOn w:val="841"/>
    <w:next w:val="841"/>
    <w:uiPriority w:val="0"/>
    <w:semiHidden/>
    <w:qFormat/>
    <w:pPr>
      <w:ind w:left="1260"/>
      <w:jc w:val="left"/>
    </w:pPr>
    <w:rPr>
      <w:rFonts w:ascii="Times New Roman" w:hAnsi="Times New Roman" w:eastAsia="宋体" w:cs="Times New Roman"/>
      <w:szCs w:val="21"/>
    </w:rPr>
  </w:style>
  <w:style w:type="paragraph" w:styleId="856">
    <w:name w:val="Document Map"/>
    <w:basedOn w:val="841"/>
    <w:link w:val="905"/>
    <w:uiPriority w:val="0"/>
    <w:semiHidden/>
    <w:qFormat/>
    <w:pPr>
      <w:shd w:val="clear" w:color="auto" w:fill="000080"/>
    </w:pPr>
    <w:rPr>
      <w:rFonts w:ascii="Times New Roman" w:hAnsi="Times New Roman" w:eastAsia="宋体" w:cs="Times New Roman"/>
      <w:szCs w:val="21"/>
    </w:rPr>
  </w:style>
  <w:style w:type="paragraph" w:styleId="857">
    <w:name w:val="annotation text"/>
    <w:basedOn w:val="841"/>
    <w:link w:val="906"/>
    <w:uiPriority w:val="0"/>
    <w:unhideWhenUsed/>
    <w:qFormat/>
    <w:pPr>
      <w:jc w:val="left"/>
    </w:pPr>
  </w:style>
  <w:style w:type="paragraph" w:styleId="858">
    <w:name w:val="Body Text 3"/>
    <w:basedOn w:val="841"/>
    <w:link w:val="907"/>
    <w:uiPriority w:val="0"/>
    <w:qFormat/>
    <w:rPr>
      <w:rFonts w:ascii="仿宋_GB2312" w:hAnsi="Arial" w:eastAsia="仿宋_GB2312" w:cs="Times New Roman"/>
      <w:sz w:val="32"/>
      <w:szCs w:val="32"/>
    </w:rPr>
  </w:style>
  <w:style w:type="paragraph" w:styleId="859">
    <w:name w:val="Body Text"/>
    <w:basedOn w:val="841"/>
    <w:link w:val="908"/>
    <w:uiPriority w:val="0"/>
    <w:qFormat/>
    <w:rPr>
      <w:rFonts w:ascii="楷体_GB2312" w:hAnsi="Arial" w:eastAsia="楷体_GB2312" w:cs="Times New Roman"/>
      <w:sz w:val="28"/>
      <w:szCs w:val="28"/>
    </w:rPr>
  </w:style>
  <w:style w:type="paragraph" w:styleId="860">
    <w:name w:val="Body Text Indent"/>
    <w:basedOn w:val="841"/>
    <w:next w:val="861"/>
    <w:link w:val="893"/>
    <w:uiPriority w:val="0"/>
    <w:unhideWhenUsed/>
    <w:qFormat/>
    <w:pPr>
      <w:ind w:left="420"/>
      <w:spacing w:after="120"/>
    </w:pPr>
  </w:style>
  <w:style w:type="paragraph" w:styleId="861">
    <w:name w:val="envelope return"/>
    <w:basedOn w:val="841"/>
    <w:uiPriority w:val="0"/>
    <w:qFormat/>
    <w:rPr>
      <w:rFonts w:ascii="Arial" w:hAnsi="Arial" w:eastAsia="宋体" w:cs="宋体"/>
    </w:rPr>
  </w:style>
  <w:style w:type="paragraph" w:styleId="862">
    <w:name w:val="List 2"/>
    <w:basedOn w:val="841"/>
    <w:uiPriority w:val="0"/>
    <w:qFormat/>
    <w:pPr>
      <w:ind w:left="100" w:hanging="200"/>
    </w:pPr>
    <w:rPr>
      <w:rFonts w:ascii="Times New Roman" w:hAnsi="Times New Roman" w:eastAsia="宋体" w:cs="Times New Roman"/>
      <w:szCs w:val="21"/>
    </w:rPr>
  </w:style>
  <w:style w:type="paragraph" w:styleId="863">
    <w:name w:val="toc 5"/>
    <w:basedOn w:val="841"/>
    <w:next w:val="841"/>
    <w:uiPriority w:val="0"/>
    <w:semiHidden/>
    <w:qFormat/>
    <w:pPr>
      <w:ind w:left="840"/>
      <w:jc w:val="left"/>
    </w:pPr>
    <w:rPr>
      <w:rFonts w:ascii="Times New Roman" w:hAnsi="Times New Roman" w:eastAsia="宋体" w:cs="Times New Roman"/>
      <w:szCs w:val="21"/>
    </w:rPr>
  </w:style>
  <w:style w:type="paragraph" w:styleId="864">
    <w:name w:val="toc 3"/>
    <w:basedOn w:val="841"/>
    <w:next w:val="841"/>
    <w:uiPriority w:val="0"/>
    <w:semiHidden/>
    <w:qFormat/>
    <w:pPr>
      <w:ind w:left="420"/>
      <w:jc w:val="left"/>
    </w:pPr>
    <w:rPr>
      <w:rFonts w:ascii="Times New Roman" w:hAnsi="Times New Roman" w:eastAsia="宋体" w:cs="Times New Roman"/>
      <w:i/>
      <w:iCs/>
      <w:szCs w:val="24"/>
    </w:rPr>
  </w:style>
  <w:style w:type="paragraph" w:styleId="865">
    <w:name w:val="Plain Text"/>
    <w:basedOn w:val="841"/>
    <w:link w:val="909"/>
    <w:uiPriority w:val="0"/>
    <w:qFormat/>
    <w:rPr>
      <w:rFonts w:ascii="宋体" w:hAnsi="Courier New" w:eastAsia="宋体" w:cs="Courier New"/>
      <w:szCs w:val="21"/>
    </w:rPr>
  </w:style>
  <w:style w:type="paragraph" w:styleId="866">
    <w:name w:val="toc 8"/>
    <w:basedOn w:val="841"/>
    <w:next w:val="841"/>
    <w:uiPriority w:val="0"/>
    <w:semiHidden/>
    <w:qFormat/>
    <w:pPr>
      <w:ind w:left="1470"/>
      <w:jc w:val="left"/>
    </w:pPr>
    <w:rPr>
      <w:rFonts w:ascii="Times New Roman" w:hAnsi="Times New Roman" w:eastAsia="宋体" w:cs="Times New Roman"/>
      <w:szCs w:val="21"/>
    </w:rPr>
  </w:style>
  <w:style w:type="paragraph" w:styleId="867">
    <w:name w:val="Date"/>
    <w:basedOn w:val="841"/>
    <w:next w:val="841"/>
    <w:link w:val="910"/>
    <w:uiPriority w:val="0"/>
    <w:qFormat/>
    <w:rPr>
      <w:rFonts w:ascii="Times New Roman" w:hAnsi="Times New Roman" w:eastAsia="宋体" w:cs="Times New Roman"/>
      <w:sz w:val="24"/>
      <w:szCs w:val="24"/>
    </w:rPr>
  </w:style>
  <w:style w:type="paragraph" w:styleId="868">
    <w:name w:val="Body Text Indent 2"/>
    <w:basedOn w:val="841"/>
    <w:link w:val="911"/>
    <w:uiPriority w:val="0"/>
    <w:qFormat/>
    <w:pPr>
      <w:ind w:left="630" w:firstLine="645"/>
    </w:pPr>
    <w:rPr>
      <w:rFonts w:ascii="Arial" w:hAnsi="Arial" w:eastAsia="仿宋_GB2312" w:cs="Arial"/>
      <w:sz w:val="32"/>
      <w:szCs w:val="32"/>
    </w:rPr>
  </w:style>
  <w:style w:type="paragraph" w:styleId="869">
    <w:name w:val="Balloon Text"/>
    <w:basedOn w:val="841"/>
    <w:link w:val="912"/>
    <w:uiPriority w:val="0"/>
    <w:semiHidden/>
    <w:qFormat/>
    <w:rPr>
      <w:rFonts w:ascii="Times New Roman" w:hAnsi="Times New Roman" w:eastAsia="宋体" w:cs="Times New Roman"/>
      <w:sz w:val="18"/>
      <w:szCs w:val="18"/>
    </w:rPr>
  </w:style>
  <w:style w:type="paragraph" w:styleId="870">
    <w:name w:val="Footer"/>
    <w:basedOn w:val="841"/>
    <w:link w:val="91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1">
    <w:name w:val="Header"/>
    <w:basedOn w:val="841"/>
    <w:link w:val="914"/>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2">
    <w:name w:val="toc 1"/>
    <w:basedOn w:val="841"/>
    <w:next w:val="84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3">
    <w:name w:val="toc 4"/>
    <w:basedOn w:val="841"/>
    <w:next w:val="841"/>
    <w:uiPriority w:val="0"/>
    <w:semiHidden/>
    <w:qFormat/>
    <w:pPr>
      <w:ind w:left="630"/>
      <w:jc w:val="left"/>
    </w:pPr>
    <w:rPr>
      <w:rFonts w:ascii="Times New Roman" w:hAnsi="Times New Roman" w:eastAsia="宋体" w:cs="Times New Roman"/>
      <w:szCs w:val="21"/>
    </w:rPr>
  </w:style>
  <w:style w:type="paragraph" w:styleId="874">
    <w:name w:val="List"/>
    <w:basedOn w:val="841"/>
    <w:uiPriority w:val="0"/>
    <w:qFormat/>
    <w:pPr>
      <w:ind w:left="200" w:hanging="200"/>
    </w:pPr>
    <w:rPr>
      <w:rFonts w:ascii="Times New Roman" w:hAnsi="Times New Roman" w:eastAsia="宋体" w:cs="Times New Roman"/>
      <w:szCs w:val="21"/>
    </w:rPr>
  </w:style>
  <w:style w:type="paragraph" w:styleId="875">
    <w:name w:val="toc 6"/>
    <w:basedOn w:val="841"/>
    <w:next w:val="841"/>
    <w:uiPriority w:val="0"/>
    <w:semiHidden/>
    <w:qFormat/>
    <w:pPr>
      <w:ind w:left="1050"/>
      <w:jc w:val="left"/>
    </w:pPr>
    <w:rPr>
      <w:rFonts w:ascii="Times New Roman" w:hAnsi="Times New Roman" w:eastAsia="宋体" w:cs="Times New Roman"/>
      <w:szCs w:val="21"/>
    </w:rPr>
  </w:style>
  <w:style w:type="paragraph" w:styleId="876">
    <w:name w:val="Body Text Indent 3"/>
    <w:basedOn w:val="841"/>
    <w:link w:val="915"/>
    <w:uiPriority w:val="0"/>
    <w:qFormat/>
    <w:pPr>
      <w:ind w:left="645" w:firstLine="645"/>
    </w:pPr>
    <w:rPr>
      <w:rFonts w:ascii="Arial" w:hAnsi="Arial" w:eastAsia="仿宋_GB2312" w:cs="Arial"/>
      <w:color w:val="ffff00"/>
      <w:sz w:val="32"/>
      <w:szCs w:val="32"/>
    </w:rPr>
  </w:style>
  <w:style w:type="paragraph" w:styleId="877">
    <w:name w:val="table of figures"/>
    <w:basedOn w:val="841"/>
    <w:next w:val="841"/>
    <w:uiPriority w:val="0"/>
    <w:semiHidden/>
    <w:qFormat/>
    <w:pPr>
      <w:ind w:left="840" w:hanging="420"/>
    </w:pPr>
    <w:rPr>
      <w:rFonts w:ascii="Times New Roman" w:hAnsi="Times New Roman" w:eastAsia="宋体" w:cs="Times New Roman"/>
      <w:szCs w:val="21"/>
    </w:rPr>
  </w:style>
  <w:style w:type="paragraph" w:styleId="878">
    <w:name w:val="toc 2"/>
    <w:basedOn w:val="841"/>
    <w:next w:val="841"/>
    <w:uiPriority w:val="0"/>
    <w:semiHidden/>
    <w:qFormat/>
    <w:pPr>
      <w:ind w:left="210"/>
      <w:jc w:val="left"/>
    </w:pPr>
    <w:rPr>
      <w:rFonts w:ascii="Times New Roman" w:hAnsi="Times New Roman" w:eastAsia="宋体" w:cs="Times New Roman"/>
      <w:smallCaps/>
      <w:szCs w:val="24"/>
    </w:rPr>
  </w:style>
  <w:style w:type="paragraph" w:styleId="879">
    <w:name w:val="toc 9"/>
    <w:basedOn w:val="841"/>
    <w:next w:val="841"/>
    <w:uiPriority w:val="0"/>
    <w:semiHidden/>
    <w:qFormat/>
    <w:pPr>
      <w:ind w:left="1680"/>
      <w:jc w:val="left"/>
    </w:pPr>
    <w:rPr>
      <w:rFonts w:ascii="Times New Roman" w:hAnsi="Times New Roman" w:eastAsia="宋体" w:cs="Times New Roman"/>
      <w:szCs w:val="21"/>
    </w:rPr>
  </w:style>
  <w:style w:type="paragraph" w:styleId="880">
    <w:name w:val="Body Text 2"/>
    <w:basedOn w:val="841"/>
    <w:link w:val="916"/>
    <w:uiPriority w:val="0"/>
    <w:qFormat/>
    <w:pPr>
      <w:jc w:val="center"/>
      <w:widowControl/>
    </w:pPr>
    <w:rPr>
      <w:rFonts w:ascii="楷体_GB2312" w:hAnsi="Times New Roman" w:eastAsia="楷体_GB2312" w:cs="Times New Roman"/>
      <w:sz w:val="28"/>
      <w:szCs w:val="28"/>
    </w:rPr>
  </w:style>
  <w:style w:type="paragraph" w:styleId="881">
    <w:name w:val="Normal (Web)"/>
    <w:basedOn w:val="841"/>
    <w:uiPriority w:val="99"/>
    <w:qFormat/>
    <w:pPr>
      <w:jc w:val="left"/>
      <w:spacing w:before="100" w:beforeAutospacing="1" w:after="100" w:afterAutospacing="1"/>
      <w:widowControl/>
    </w:pPr>
    <w:rPr>
      <w:rFonts w:ascii="宋体" w:hAnsi="宋体" w:eastAsia="宋体" w:cs="宋体"/>
      <w:sz w:val="24"/>
      <w:szCs w:val="24"/>
    </w:rPr>
  </w:style>
  <w:style w:type="paragraph" w:styleId="882">
    <w:name w:val="index 1"/>
    <w:basedOn w:val="841"/>
    <w:next w:val="841"/>
    <w:uiPriority w:val="0"/>
    <w:semiHidden/>
    <w:qFormat/>
    <w:pPr>
      <w:spacing w:line="240" w:lineRule="atLeast"/>
    </w:pPr>
    <w:rPr>
      <w:rFonts w:ascii="Times New Roman" w:hAnsi="Times New Roman" w:eastAsia="宋体" w:cs="Times New Roman"/>
      <w:b/>
      <w:bCs/>
      <w:szCs w:val="21"/>
    </w:rPr>
  </w:style>
  <w:style w:type="paragraph" w:styleId="883">
    <w:name w:val="annotation subject"/>
    <w:basedOn w:val="857"/>
    <w:next w:val="857"/>
    <w:link w:val="917"/>
    <w:uiPriority w:val="0"/>
    <w:semiHidden/>
    <w:qFormat/>
    <w:rPr>
      <w:rFonts w:ascii="Times New Roman" w:hAnsi="Times New Roman" w:eastAsia="宋体" w:cs="Times New Roman"/>
      <w:b/>
      <w:bCs/>
      <w:szCs w:val="21"/>
    </w:rPr>
  </w:style>
  <w:style w:type="paragraph" w:styleId="884">
    <w:name w:val="Body Text First Indent"/>
    <w:basedOn w:val="841"/>
    <w:link w:val="918"/>
    <w:uiPriority w:val="0"/>
    <w:qFormat/>
    <w:pPr>
      <w:ind w:firstLine="200"/>
      <w:spacing w:line="360" w:lineRule="auto"/>
    </w:pPr>
    <w:rPr>
      <w:rFonts w:ascii="仿宋_GB2312" w:hAnsi="Times New Roman" w:eastAsia="仿宋_GB2312" w:cs="Times New Roman"/>
      <w:sz w:val="30"/>
      <w:szCs w:val="30"/>
    </w:rPr>
  </w:style>
  <w:style w:type="paragraph" w:styleId="885">
    <w:name w:val="Body Text First Indent 2"/>
    <w:basedOn w:val="860"/>
    <w:next w:val="841"/>
    <w:link w:val="894"/>
    <w:uiPriority w:val="0"/>
    <w:qFormat/>
    <w:pPr>
      <w:ind w:left="0" w:firstLine="420"/>
      <w:spacing w:after="0" w:line="360" w:lineRule="auto"/>
    </w:pPr>
    <w:rPr>
      <w:rFonts w:ascii="宋体" w:hAnsi="宋体" w:eastAsia="宋体" w:cs="Times New Roman"/>
      <w:szCs w:val="20"/>
    </w:rPr>
  </w:style>
  <w:style w:type="table" w:styleId="886">
    <w:name w:val="Table Grid"/>
    <w:basedOn w:val="85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uiPriority w:val="0"/>
    <w:qFormat/>
    <w:rPr>
      <w:b/>
      <w:bCs/>
    </w:rPr>
  </w:style>
  <w:style w:type="character" w:styleId="888">
    <w:name w:val="page number"/>
    <w:uiPriority w:val="0"/>
    <w:qFormat/>
  </w:style>
  <w:style w:type="character" w:styleId="889">
    <w:name w:val="FollowedHyperlink"/>
    <w:uiPriority w:val="0"/>
    <w:qFormat/>
    <w:rPr>
      <w:color w:val="800080"/>
      <w:u w:val="single"/>
    </w:rPr>
  </w:style>
  <w:style w:type="character" w:styleId="890">
    <w:name w:val="Emphasis"/>
    <w:uiPriority w:val="0"/>
    <w:qFormat/>
    <w:rPr>
      <w:i/>
    </w:rPr>
  </w:style>
  <w:style w:type="character" w:styleId="891">
    <w:name w:val="Hyperlink"/>
    <w:uiPriority w:val="0"/>
    <w:qFormat/>
    <w:rPr>
      <w:color w:val="0000ff"/>
      <w:u w:val="single"/>
    </w:rPr>
  </w:style>
  <w:style w:type="character" w:styleId="892">
    <w:name w:val="annotation reference"/>
    <w:uiPriority w:val="0"/>
    <w:semiHidden/>
    <w:qFormat/>
    <w:rPr>
      <w:sz w:val="21"/>
      <w:szCs w:val="21"/>
    </w:rPr>
  </w:style>
  <w:style w:type="character" w:styleId="893" w:customStyle="1">
    <w:name w:val="正文文本缩进 Char"/>
    <w:basedOn w:val="851"/>
    <w:link w:val="860"/>
    <w:uiPriority w:val="99"/>
    <w:semiHidden/>
    <w:qFormat/>
  </w:style>
  <w:style w:type="character" w:styleId="894" w:customStyle="1">
    <w:name w:val="正文首行缩进 2 Char"/>
    <w:link w:val="885"/>
    <w:uiPriority w:val="0"/>
    <w:qFormat/>
    <w:rPr>
      <w:rFonts w:ascii="宋体" w:hAnsi="宋体" w:eastAsia="宋体" w:cs="Times New Roman"/>
      <w:szCs w:val="20"/>
    </w:rPr>
  </w:style>
  <w:style w:type="character" w:styleId="895" w:customStyle="1">
    <w:name w:val="标题 1 Char"/>
    <w:link w:val="842"/>
    <w:uiPriority w:val="0"/>
    <w:qFormat/>
    <w:rPr>
      <w:rFonts w:ascii="楷体_GB2312" w:hAnsi="Times New Roman" w:eastAsia="楷体_GB2312" w:cs="Times New Roman"/>
      <w:sz w:val="28"/>
      <w:szCs w:val="28"/>
    </w:rPr>
  </w:style>
  <w:style w:type="character" w:styleId="896" w:customStyle="1">
    <w:name w:val="标题 2 Char"/>
    <w:link w:val="843"/>
    <w:uiPriority w:val="0"/>
    <w:qFormat/>
    <w:rPr>
      <w:rFonts w:ascii="Arial" w:hAnsi="Arial" w:eastAsia="幼圆" w:cs="Arial"/>
      <w:b/>
      <w:bCs/>
      <w:sz w:val="44"/>
      <w:szCs w:val="44"/>
    </w:rPr>
  </w:style>
  <w:style w:type="character" w:styleId="897" w:customStyle="1">
    <w:name w:val="标题 3 Char"/>
    <w:link w:val="844"/>
    <w:uiPriority w:val="0"/>
    <w:qFormat/>
    <w:rPr>
      <w:rFonts w:ascii="Times New Roman" w:hAnsi="Times New Roman" w:eastAsia="宋体" w:cs="Times New Roman"/>
      <w:b/>
      <w:bCs/>
      <w:sz w:val="32"/>
      <w:szCs w:val="32"/>
    </w:rPr>
  </w:style>
  <w:style w:type="character" w:styleId="898" w:customStyle="1">
    <w:name w:val="正文缩进 Char"/>
    <w:link w:val="853"/>
    <w:uiPriority w:val="0"/>
    <w:qFormat/>
    <w:rPr>
      <w:szCs w:val="21"/>
    </w:rPr>
  </w:style>
  <w:style w:type="character" w:styleId="899" w:customStyle="1">
    <w:name w:val="标题 4 Char"/>
    <w:link w:val="845"/>
    <w:uiPriority w:val="0"/>
    <w:qFormat/>
    <w:rPr>
      <w:rFonts w:ascii="Arial" w:hAnsi="Arial" w:eastAsia="黑体" w:cs="Arial"/>
      <w:b/>
      <w:bCs/>
      <w:sz w:val="28"/>
      <w:szCs w:val="28"/>
    </w:rPr>
  </w:style>
  <w:style w:type="character" w:styleId="900" w:customStyle="1">
    <w:name w:val="标题 5 Char"/>
    <w:link w:val="846"/>
    <w:uiPriority w:val="0"/>
    <w:qFormat/>
    <w:rPr>
      <w:rFonts w:ascii="宋体" w:hAnsi="Times New Roman" w:eastAsia="宋体" w:cs="Times New Roman"/>
      <w:color w:val="000000"/>
      <w:sz w:val="28"/>
      <w:szCs w:val="28"/>
    </w:rPr>
  </w:style>
  <w:style w:type="character" w:styleId="901" w:customStyle="1">
    <w:name w:val="标题 6 Char"/>
    <w:link w:val="847"/>
    <w:uiPriority w:val="0"/>
    <w:qFormat/>
    <w:rPr>
      <w:rFonts w:ascii="Arial" w:hAnsi="Arial" w:eastAsia="黑体" w:cs="Times New Roman"/>
      <w:b/>
      <w:bCs/>
      <w:sz w:val="24"/>
      <w:szCs w:val="24"/>
    </w:rPr>
  </w:style>
  <w:style w:type="character" w:styleId="902" w:customStyle="1">
    <w:name w:val="标题 7 Char"/>
    <w:link w:val="848"/>
    <w:uiPriority w:val="0"/>
    <w:qFormat/>
    <w:rPr>
      <w:rFonts w:ascii="Times New Roman" w:hAnsi="Times New Roman" w:eastAsia="宋体" w:cs="Times New Roman"/>
      <w:b/>
      <w:bCs/>
      <w:sz w:val="24"/>
      <w:szCs w:val="24"/>
    </w:rPr>
  </w:style>
  <w:style w:type="character" w:styleId="903" w:customStyle="1">
    <w:name w:val="标题 8 Char"/>
    <w:link w:val="849"/>
    <w:uiPriority w:val="0"/>
    <w:qFormat/>
    <w:rPr>
      <w:rFonts w:ascii="Arial" w:hAnsi="Arial" w:eastAsia="黑体" w:cs="Times New Roman"/>
      <w:sz w:val="24"/>
      <w:szCs w:val="24"/>
    </w:rPr>
  </w:style>
  <w:style w:type="character" w:styleId="904" w:customStyle="1">
    <w:name w:val="标题 9 Char"/>
    <w:link w:val="850"/>
    <w:uiPriority w:val="0"/>
    <w:qFormat/>
    <w:rPr>
      <w:rFonts w:ascii="Arial" w:hAnsi="Arial" w:eastAsia="黑体" w:cs="Times New Roman"/>
      <w:szCs w:val="21"/>
    </w:rPr>
  </w:style>
  <w:style w:type="character" w:styleId="905" w:customStyle="1">
    <w:name w:val="文档结构图 Char"/>
    <w:link w:val="856"/>
    <w:uiPriority w:val="0"/>
    <w:semiHidden/>
    <w:qFormat/>
    <w:rPr>
      <w:rFonts w:ascii="Times New Roman" w:hAnsi="Times New Roman" w:eastAsia="宋体" w:cs="Times New Roman"/>
      <w:szCs w:val="21"/>
      <w:shd w:val="clear" w:color="auto" w:fill="000080"/>
    </w:rPr>
  </w:style>
  <w:style w:type="character" w:styleId="906" w:customStyle="1">
    <w:name w:val="批注文字 Char"/>
    <w:basedOn w:val="851"/>
    <w:link w:val="857"/>
    <w:uiPriority w:val="99"/>
    <w:semiHidden/>
    <w:qFormat/>
  </w:style>
  <w:style w:type="character" w:styleId="907" w:customStyle="1">
    <w:name w:val="正文文本 3 Char"/>
    <w:link w:val="858"/>
    <w:uiPriority w:val="0"/>
    <w:qFormat/>
    <w:rPr>
      <w:rFonts w:ascii="仿宋_GB2312" w:hAnsi="Arial" w:eastAsia="仿宋_GB2312" w:cs="Times New Roman"/>
      <w:sz w:val="32"/>
      <w:szCs w:val="32"/>
    </w:rPr>
  </w:style>
  <w:style w:type="character" w:styleId="908" w:customStyle="1">
    <w:name w:val="正文文本 Char"/>
    <w:link w:val="859"/>
    <w:uiPriority w:val="0"/>
    <w:qFormat/>
    <w:rPr>
      <w:rFonts w:ascii="楷体_GB2312" w:hAnsi="Arial" w:eastAsia="楷体_GB2312" w:cs="Times New Roman"/>
      <w:sz w:val="28"/>
      <w:szCs w:val="28"/>
    </w:rPr>
  </w:style>
  <w:style w:type="character" w:styleId="909" w:customStyle="1">
    <w:name w:val="纯文本 Char"/>
    <w:link w:val="865"/>
    <w:uiPriority w:val="0"/>
    <w:qFormat/>
    <w:rPr>
      <w:rFonts w:ascii="宋体" w:hAnsi="Courier New" w:eastAsia="宋体" w:cs="Courier New"/>
      <w:szCs w:val="21"/>
    </w:rPr>
  </w:style>
  <w:style w:type="character" w:styleId="910" w:customStyle="1">
    <w:name w:val="日期 Char"/>
    <w:link w:val="867"/>
    <w:uiPriority w:val="0"/>
    <w:qFormat/>
    <w:rPr>
      <w:rFonts w:ascii="Times New Roman" w:hAnsi="Times New Roman" w:eastAsia="宋体" w:cs="Times New Roman"/>
      <w:sz w:val="24"/>
      <w:szCs w:val="24"/>
    </w:rPr>
  </w:style>
  <w:style w:type="character" w:styleId="911" w:customStyle="1">
    <w:name w:val="正文文本缩进 2 Char"/>
    <w:link w:val="868"/>
    <w:uiPriority w:val="0"/>
    <w:qFormat/>
    <w:rPr>
      <w:rFonts w:ascii="Arial" w:hAnsi="Arial" w:eastAsia="仿宋_GB2312" w:cs="Arial"/>
      <w:sz w:val="32"/>
      <w:szCs w:val="32"/>
    </w:rPr>
  </w:style>
  <w:style w:type="character" w:styleId="912" w:customStyle="1">
    <w:name w:val="批注框文本 Char"/>
    <w:link w:val="869"/>
    <w:uiPriority w:val="0"/>
    <w:semiHidden/>
    <w:qFormat/>
    <w:rPr>
      <w:rFonts w:ascii="Times New Roman" w:hAnsi="Times New Roman" w:eastAsia="宋体" w:cs="Times New Roman"/>
      <w:sz w:val="18"/>
      <w:szCs w:val="18"/>
    </w:rPr>
  </w:style>
  <w:style w:type="character" w:styleId="913" w:customStyle="1">
    <w:name w:val="页脚 Char"/>
    <w:link w:val="870"/>
    <w:uiPriority w:val="0"/>
    <w:qFormat/>
    <w:rPr>
      <w:rFonts w:ascii="Times New Roman" w:hAnsi="Times New Roman" w:eastAsia="宋体" w:cs="Times New Roman"/>
      <w:sz w:val="18"/>
      <w:szCs w:val="18"/>
    </w:rPr>
  </w:style>
  <w:style w:type="character" w:styleId="914" w:customStyle="1">
    <w:name w:val="页眉 Char"/>
    <w:link w:val="871"/>
    <w:uiPriority w:val="0"/>
    <w:qFormat/>
    <w:rPr>
      <w:rFonts w:ascii="Times New Roman" w:hAnsi="Times New Roman" w:eastAsia="宋体" w:cs="Times New Roman"/>
      <w:sz w:val="18"/>
      <w:szCs w:val="18"/>
    </w:rPr>
  </w:style>
  <w:style w:type="character" w:styleId="915" w:customStyle="1">
    <w:name w:val="正文文本缩进 3 Char"/>
    <w:link w:val="876"/>
    <w:uiPriority w:val="0"/>
    <w:qFormat/>
    <w:rPr>
      <w:rFonts w:ascii="Arial" w:hAnsi="Arial" w:eastAsia="仿宋_GB2312" w:cs="Arial"/>
      <w:color w:val="ffff00"/>
      <w:sz w:val="32"/>
      <w:szCs w:val="32"/>
    </w:rPr>
  </w:style>
  <w:style w:type="character" w:styleId="916" w:customStyle="1">
    <w:name w:val="正文文本 2 Char"/>
    <w:link w:val="880"/>
    <w:uiPriority w:val="0"/>
    <w:qFormat/>
    <w:rPr>
      <w:rFonts w:ascii="楷体_GB2312" w:hAnsi="Times New Roman" w:eastAsia="楷体_GB2312" w:cs="Times New Roman"/>
      <w:sz w:val="28"/>
      <w:szCs w:val="28"/>
    </w:rPr>
  </w:style>
  <w:style w:type="character" w:styleId="917" w:customStyle="1">
    <w:name w:val="批注主题 Char"/>
    <w:link w:val="883"/>
    <w:uiPriority w:val="0"/>
    <w:semiHidden/>
    <w:qFormat/>
    <w:rPr>
      <w:rFonts w:ascii="Times New Roman" w:hAnsi="Times New Roman" w:eastAsia="宋体" w:cs="Times New Roman"/>
      <w:b/>
      <w:bCs/>
      <w:szCs w:val="21"/>
    </w:rPr>
  </w:style>
  <w:style w:type="character" w:styleId="918" w:customStyle="1">
    <w:name w:val="正文首行缩进 Char"/>
    <w:link w:val="884"/>
    <w:uiPriority w:val="0"/>
    <w:qFormat/>
    <w:rPr>
      <w:rFonts w:ascii="仿宋_GB2312" w:hAnsi="Times New Roman" w:eastAsia="仿宋_GB2312" w:cs="Times New Roman"/>
      <w:sz w:val="30"/>
      <w:szCs w:val="30"/>
    </w:rPr>
  </w:style>
  <w:style w:type="paragraph" w:styleId="919" w:customStyle="1">
    <w:name w:val="索引 41"/>
    <w:basedOn w:val="841"/>
    <w:next w:val="841"/>
    <w:uiPriority w:val="0"/>
    <w:semiHidden/>
    <w:qFormat/>
    <w:pPr>
      <w:ind w:left="1260"/>
    </w:pPr>
    <w:rPr>
      <w:rFonts w:ascii="Calibri" w:hAnsi="Calibri" w:eastAsia="Calibri" w:cs="宋体"/>
      <w:sz w:val="20"/>
      <w:lang w:val="zh-CN"/>
    </w:rPr>
  </w:style>
  <w:style w:type="character" w:styleId="920" w:customStyle="1">
    <w:name w:val="font5 Char"/>
    <w:uiPriority w:val="0"/>
    <w:qFormat/>
    <w:rPr>
      <w:rFonts w:ascii="宋体" w:hAnsi="宋体" w:eastAsia="宋体"/>
      <w:sz w:val="28"/>
      <w:szCs w:val="28"/>
      <w:lang w:val="en-US" w:eastAsia="zh-CN" w:bidi="ar-SA"/>
    </w:rPr>
  </w:style>
  <w:style w:type="character" w:styleId="921" w:customStyle="1">
    <w:name w:val="二级目录 Char"/>
    <w:link w:val="922"/>
    <w:uiPriority w:val="0"/>
    <w:qFormat/>
    <w:rPr>
      <w:b/>
      <w:sz w:val="30"/>
      <w:szCs w:val="28"/>
    </w:rPr>
  </w:style>
  <w:style w:type="paragraph" w:styleId="922" w:customStyle="1">
    <w:name w:val="二级目录"/>
    <w:next w:val="841"/>
    <w:link w:val="921"/>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23" w:customStyle="1">
    <w:name w:val="列出段落 Char"/>
    <w:link w:val="924"/>
    <w:uiPriority w:val="0"/>
    <w:qFormat/>
    <w:rPr>
      <w:rFonts w:ascii="Calibri" w:hAnsi="Calibri"/>
      <w:sz w:val="24"/>
      <w:szCs w:val="24"/>
      <w:lang w:eastAsia="en-US" w:bidi="en-US"/>
    </w:rPr>
  </w:style>
  <w:style w:type="paragraph" w:styleId="924" w:customStyle="1">
    <w:name w:val="列出段落1"/>
    <w:basedOn w:val="841"/>
    <w:link w:val="923"/>
    <w:uiPriority w:val="0"/>
    <w:qFormat/>
    <w:pPr>
      <w:contextualSpacing/>
      <w:ind w:left="720"/>
      <w:jc w:val="left"/>
      <w:widowControl/>
    </w:pPr>
    <w:rPr>
      <w:rFonts w:ascii="Calibri" w:hAnsi="Calibri"/>
      <w:sz w:val="24"/>
      <w:szCs w:val="24"/>
      <w:lang w:eastAsia="en-US" w:bidi="en-US"/>
    </w:rPr>
  </w:style>
  <w:style w:type="paragraph" w:styleId="925" w:customStyle="1">
    <w:name w:val="Body Text(ch)"/>
    <w:basedOn w:val="841"/>
    <w:next w:val="859"/>
    <w:uiPriority w:val="0"/>
    <w:qFormat/>
    <w:pPr>
      <w:spacing w:after="120"/>
    </w:pPr>
    <w:rPr>
      <w:rFonts w:ascii="宋体" w:hAnsi="Arial" w:eastAsia="宋体" w:cs="Times New Roman"/>
      <w:bCs/>
      <w:iCs/>
      <w:szCs w:val="24"/>
    </w:rPr>
  </w:style>
  <w:style w:type="paragraph" w:styleId="926"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7"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8" w:customStyle="1">
    <w:name w:val="Char"/>
    <w:basedOn w:val="841"/>
    <w:uiPriority w:val="0"/>
    <w:qFormat/>
    <w:pPr>
      <w:ind w:firstLine="200"/>
      <w:tabs>
        <w:tab w:val="left" w:pos="360" w:leader="none"/>
      </w:tabs>
    </w:pPr>
    <w:rPr>
      <w:rFonts w:ascii="Times New Roman" w:hAnsi="Times New Roman" w:eastAsia="宋体" w:cs="Times New Roman"/>
      <w:sz w:val="28"/>
      <w:szCs w:val="30"/>
    </w:rPr>
  </w:style>
  <w:style w:type="paragraph" w:styleId="929" w:customStyle="1">
    <w:name w:val=" Char"/>
    <w:basedOn w:val="856"/>
    <w:uiPriority w:val="0"/>
    <w:qFormat/>
    <w:rPr>
      <w:rFonts w:ascii="Tahoma" w:hAnsi="Tahoma"/>
      <w:sz w:val="24"/>
      <w:szCs w:val="24"/>
    </w:rPr>
  </w:style>
  <w:style w:type="paragraph" w:styleId="930" w:customStyle="1">
    <w:name w:val="普通正文"/>
    <w:basedOn w:val="931"/>
    <w:uiPriority w:val="0"/>
    <w:qFormat/>
    <w:pPr>
      <w:ind w:firstLine="480"/>
      <w:jc w:val="left"/>
      <w:spacing w:before="120" w:after="120" w:line="360" w:lineRule="auto"/>
    </w:pPr>
    <w:rPr>
      <w:rFonts w:ascii="Arial" w:hAnsi="Arial" w:eastAsia="宋体" w:cs="Times New Roman"/>
      <w:sz w:val="24"/>
      <w:szCs w:val="24"/>
    </w:rPr>
  </w:style>
  <w:style w:type="paragraph" w:styleId="931"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32" w:customStyle="1">
    <w:name w:val="table_lines"/>
    <w:basedOn w:val="841"/>
    <w:uiPriority w:val="0"/>
    <w:qFormat/>
    <w:pPr>
      <w:jc w:val="left"/>
      <w:widowControl/>
    </w:pPr>
    <w:rPr>
      <w:rFonts w:ascii="Times New Roman" w:hAnsi="Times New Roman" w:eastAsia="宋体" w:cs="Times New Roman"/>
      <w:sz w:val="20"/>
      <w:szCs w:val="20"/>
      <w:lang w:val="de-DE" w:eastAsia="de-DE"/>
    </w:rPr>
  </w:style>
  <w:style w:type="paragraph" w:styleId="93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4" w:customStyle="1">
    <w:name w:val="font7"/>
    <w:basedOn w:val="84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5" w:customStyle="1">
    <w:name w:val=" Char Char Char Char"/>
    <w:basedOn w:val="856"/>
    <w:uiPriority w:val="0"/>
    <w:qFormat/>
    <w:pPr>
      <w:spacing w:line="360" w:lineRule="auto"/>
    </w:pPr>
    <w:rPr>
      <w:rFonts w:ascii="Tahoma" w:hAnsi="Tahoma"/>
      <w:sz w:val="24"/>
      <w:szCs w:val="24"/>
    </w:rPr>
  </w:style>
  <w:style w:type="paragraph" w:styleId="936">
    <w:name w:val="List Paragraph"/>
    <w:basedOn w:val="841"/>
    <w:uiPriority w:val="0"/>
    <w:qFormat/>
    <w:pPr>
      <w:contextualSpacing/>
      <w:ind w:left="720"/>
      <w:jc w:val="left"/>
      <w:widowControl/>
    </w:pPr>
    <w:rPr>
      <w:rFonts w:ascii="Calibri" w:hAnsi="Calibri" w:eastAsia="宋体" w:cs="Times New Roman"/>
      <w:sz w:val="24"/>
      <w:szCs w:val="24"/>
      <w:lang w:eastAsia="en-US" w:bidi="en-US"/>
    </w:rPr>
  </w:style>
  <w:style w:type="paragraph" w:styleId="937" w:customStyle="1">
    <w:name w:val="4"/>
    <w:basedOn w:val="841"/>
    <w:next w:val="876"/>
    <w:uiPriority w:val="0"/>
    <w:qFormat/>
    <w:pPr>
      <w:ind w:firstLine="420"/>
      <w:spacing w:line="360" w:lineRule="auto"/>
    </w:pPr>
    <w:rPr>
      <w:rFonts w:ascii="Times New Roman" w:hAnsi="Times New Roman" w:eastAsia="宋体" w:cs="Times New Roman"/>
      <w:color w:val="ff0000"/>
      <w:sz w:val="24"/>
      <w:szCs w:val="24"/>
    </w:rPr>
  </w:style>
  <w:style w:type="paragraph" w:styleId="938" w:customStyle="1">
    <w:name w:val="普通 (Web)"/>
    <w:basedOn w:val="841"/>
    <w:uiPriority w:val="0"/>
    <w:qFormat/>
    <w:pPr>
      <w:jc w:val="left"/>
      <w:spacing w:before="100" w:beforeAutospacing="1" w:after="100" w:afterAutospacing="1"/>
      <w:widowControl/>
    </w:pPr>
    <w:rPr>
      <w:rFonts w:ascii="宋体" w:hAnsi="宋体" w:eastAsia="宋体" w:cs="Times New Roman"/>
      <w:sz w:val="24"/>
      <w:szCs w:val="24"/>
    </w:rPr>
  </w:style>
  <w:style w:type="paragraph" w:styleId="939" w:customStyle="1">
    <w:name w:val=" Char Char Char Char Char Char Char Char Char Char"/>
    <w:basedOn w:val="841"/>
    <w:uiPriority w:val="0"/>
    <w:qFormat/>
    <w:pPr>
      <w:spacing w:line="360" w:lineRule="auto"/>
    </w:pPr>
    <w:rPr>
      <w:rFonts w:ascii="Times New Roman" w:hAnsi="Times New Roman" w:eastAsia="宋体" w:cs="Times New Roman"/>
      <w:sz w:val="24"/>
      <w:szCs w:val="20"/>
    </w:rPr>
  </w:style>
  <w:style w:type="paragraph" w:styleId="940" w:customStyle="1">
    <w:name w:val="样式1"/>
    <w:basedOn w:val="841"/>
    <w:uiPriority w:val="0"/>
    <w:qFormat/>
    <w:pPr>
      <w:numPr>
        <w:ilvl w:val="0"/>
        <w:numId w:val="3"/>
      </w:numPr>
    </w:pPr>
    <w:rPr>
      <w:rFonts w:ascii="宋体" w:hAnsi="宋体" w:eastAsia="宋体" w:cs="Times New Roman"/>
      <w:szCs w:val="21"/>
    </w:rPr>
  </w:style>
  <w:style w:type="paragraph" w:styleId="941" w:customStyle="1">
    <w:name w:val="font6"/>
    <w:basedOn w:val="84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2"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3"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4" w:customStyle="1">
    <w:name w:val="标题3"/>
    <w:basedOn w:val="841"/>
    <w:next w:val="841"/>
    <w:uiPriority w:val="0"/>
    <w:qFormat/>
    <w:pPr>
      <w:ind w:firstLine="624"/>
      <w:spacing w:line="590" w:lineRule="atLeast"/>
    </w:pPr>
    <w:rPr>
      <w:rFonts w:ascii="方正黑体_GBK" w:hAnsi="Times New Roman" w:eastAsia="方正黑体_GBK" w:cs="Times New Roman"/>
      <w:sz w:val="32"/>
      <w:szCs w:val="32"/>
    </w:rPr>
  </w:style>
  <w:style w:type="paragraph" w:styleId="945"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6"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47" w:customStyle="1">
    <w:name w:val="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48"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49" w:customStyle="1">
    <w:name w:val=" 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50" w:customStyle="1">
    <w:name w:val="xl30"/>
    <w:basedOn w:val="84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1" w:customStyle="1">
    <w:name w:val="Char Char Char Char"/>
    <w:basedOn w:val="856"/>
    <w:uiPriority w:val="0"/>
    <w:qFormat/>
    <w:pPr>
      <w:spacing w:line="360" w:lineRule="auto"/>
    </w:pPr>
    <w:rPr>
      <w:rFonts w:ascii="Tahoma" w:hAnsi="Tahoma"/>
      <w:sz w:val="24"/>
      <w:szCs w:val="24"/>
    </w:rPr>
  </w:style>
  <w:style w:type="paragraph" w:styleId="952" w:customStyle="1">
    <w:name w:val="table_1stline"/>
    <w:basedOn w:val="841"/>
    <w:uiPriority w:val="0"/>
    <w:qFormat/>
    <w:pPr>
      <w:jc w:val="left"/>
      <w:spacing w:before="120"/>
      <w:widowControl/>
    </w:pPr>
    <w:rPr>
      <w:rFonts w:ascii="Times New Roman" w:hAnsi="Times New Roman" w:eastAsia="宋体" w:cs="Times New Roman"/>
      <w:bCs/>
      <w:sz w:val="20"/>
      <w:szCs w:val="20"/>
      <w:lang w:val="de-DE" w:eastAsia="de-DE"/>
    </w:rPr>
  </w:style>
  <w:style w:type="paragraph" w:styleId="953" w:customStyle="1">
    <w:name w:val="font5"/>
    <w:basedOn w:val="84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4" w:customStyle="1">
    <w:name w:val="标题1"/>
    <w:basedOn w:val="841"/>
    <w:next w:val="84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5" w:customStyle="1">
    <w:name w:val="_Style 114"/>
    <w:uiPriority w:val="99"/>
    <w:semiHidden/>
    <w:qFormat/>
    <w:rPr>
      <w:rFonts w:ascii="Times New Roman" w:hAnsi="Times New Roman" w:eastAsia="宋体" w:cs="Times New Roman"/>
      <w:sz w:val="21"/>
      <w:szCs w:val="21"/>
      <w:lang w:val="en-US" w:eastAsia="zh-CN" w:bidi="ar-SA"/>
    </w:rPr>
  </w:style>
  <w:style w:type="paragraph" w:styleId="956">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57" w:customStyle="1">
    <w:name w:val="Table Normal"/>
    <w:uiPriority w:val="0"/>
    <w:qFormat/>
    <w:tblPr>
      <w:tblCellMar>
        <w:left w:w="0" w:type="dxa"/>
        <w:top w:w="0" w:type="dxa"/>
        <w:right w:w="0" w:type="dxa"/>
        <w:bottom w:w="0" w:type="dxa"/>
      </w:tblCellMar>
    </w:tblPr>
  </w:style>
  <w:style w:type="paragraph" w:styleId="958" w:customStyle="1">
    <w:name w:val="正文文本 211"/>
    <w:basedOn w:val="841"/>
    <w:uiPriority w:val="99"/>
    <w:qFormat/>
    <w:pPr>
      <w:jc w:val="center"/>
    </w:pPr>
    <w:rPr>
      <w:b/>
      <w:bCs/>
      <w:sz w:val="20"/>
      <w:szCs w:val="20"/>
    </w:rPr>
  </w:style>
  <w:style w:type="paragraph" w:styleId="959" w:customStyle="1">
    <w:name w:val="正文文本12"/>
    <w:basedOn w:val="841"/>
    <w:uiPriority w:val="1"/>
    <w:qFormat/>
    <w:pPr>
      <w:ind w:left="120"/>
    </w:pPr>
    <w:rPr>
      <w:rFonts w:ascii="宋体" w:hAnsi="宋体" w:eastAsia="宋体" w:cs="宋体"/>
      <w:sz w:val="21"/>
      <w:szCs w:val="21"/>
      <w:lang w:val="zh-CN" w:eastAsia="zh-CN" w:bidi="zh-CN"/>
    </w:rPr>
  </w:style>
  <w:style w:type="table" w:styleId="960" w:customStyle="1">
    <w:name w:val="网格型1"/>
    <w:basedOn w:val="961"/>
    <w:uiPriority w:val="0"/>
    <w:qFormat/>
    <w:pPr>
      <w:jc w:val="both"/>
      <w:widowControl w:val="off"/>
    </w:pPr>
    <w:tblPr/>
  </w:style>
  <w:style w:type="table" w:styleId="961" w:customStyle="1">
    <w:name w:val="普通表格1"/>
    <w:uiPriority w:val="99"/>
    <w:unhideWhenUsed/>
    <w:qFormat/>
    <w:tbl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马婷</cp:lastModifiedBy>
  <cp:revision>22</cp:revision>
  <dcterms:created xsi:type="dcterms:W3CDTF">2023-03-27T07:28:00Z</dcterms:created>
  <dcterms:modified xsi:type="dcterms:W3CDTF">2026-05-18T08:25:59Z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9FADF12EDF5E45BF9FCB7623A429F4DF</vt:lpwstr>
  </property>
  <property fmtid="{D5CDD505-2E9C-101B-9397-08002B2CF9AE}" pid="4" name="KSOTemplateDocerSaveRecord">
    <vt:lpwstr>eyJoZGlkIjoiODAxMjkxMGI3NWI1MmIyYjRkYzg5ZjAwYjQ1ZTMyMjYiLCJ1c2VySWQiOiIxNTA5MDYzNTA4In0=</vt:lpwstr>
  </property>
</Properties>
</file>