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974"/>
        <w:ind w:firstLine="0"/>
        <w:jc w:val="center"/>
        <w:rPr>
          <w:rFonts w:hint="eastAsia" w:eastAsia="黑体"/>
          <w:b/>
          <w:bCs/>
          <w:color w:val="auto"/>
          <w:sz w:val="84"/>
          <w:highlight w:val="none"/>
        </w:rPr>
      </w:pPr>
      <w:r>
        <w:rPr>
          <w:rFonts w:hint="eastAsia" w:eastAsia="黑体"/>
          <w:b/>
          <w:bCs/>
          <w:color w:val="auto"/>
          <w:sz w:val="84"/>
          <w:highlight w:val="none"/>
        </w:rPr>
        <w:t xml:space="preserve">竞争性磋商文件</w:t>
      </w:r>
      <w:r/>
    </w:p>
    <w:p>
      <w:pPr>
        <w:ind w:firstLine="1606"/>
        <w:rPr>
          <w:rFonts w:hint="eastAsia" w:ascii="Arial" w:hAnsi="Arial"/>
          <w:b/>
          <w:bCs/>
          <w:color w:val="auto"/>
          <w:sz w:val="32"/>
          <w:szCs w:val="24"/>
          <w:highlight w:val="none"/>
          <w:u w:val="single"/>
        </w:rPr>
      </w:pPr>
      <w:r>
        <w:rPr>
          <w:rFonts w:hint="eastAsia" w:ascii="Arial" w:hAnsi="Arial"/>
          <w:b/>
          <w:bCs/>
          <w:color w:val="auto"/>
          <w:sz w:val="32"/>
          <w:szCs w:val="24"/>
          <w:highlight w:val="none"/>
        </w:rPr>
        <w:t xml:space="preserve">项目名称：六合区人民医院智慧化体检系统</w:t>
      </w:r>
      <w:r/>
    </w:p>
    <w:p>
      <w:pPr>
        <w:ind w:firstLine="1606"/>
        <w:jc w:val="left"/>
        <w:spacing w:before="120" w:after="120" w:line="360" w:lineRule="auto"/>
        <w:rPr>
          <w:color w:val="auto"/>
          <w:highlight w:val="none"/>
        </w:rPr>
      </w:pPr>
      <w:r>
        <w:rPr>
          <w:rFonts w:hint="eastAsia" w:ascii="Arial" w:hAnsi="Arial"/>
          <w:b/>
          <w:bCs/>
          <w:color w:val="auto"/>
          <w:sz w:val="32"/>
          <w:szCs w:val="24"/>
          <w:highlight w:val="none"/>
        </w:rPr>
        <w:t xml:space="preserve">项目编号：</w:t>
      </w:r>
      <w:r>
        <w:rPr>
          <w:b/>
          <w:color w:val="auto"/>
          <w:sz w:val="32"/>
          <w:szCs w:val="32"/>
          <w:highlight w:val="none"/>
        </w:rPr>
        <w:t xml:space="preserve">JSZC-320116-JZCG-C2026-0011</w:t>
      </w:r>
      <w:r/>
    </w:p>
    <w:p>
      <w:pPr>
        <w:jc w:val="center"/>
        <w:rPr>
          <w:rFonts w:hint="eastAsia"/>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74"/>
        <w:ind w:firstLine="0"/>
        <w:jc w:val="center"/>
        <w:rPr>
          <w:b/>
          <w:bCs/>
          <w:color w:val="auto"/>
          <w:sz w:val="32"/>
          <w:highlight w:val="none"/>
        </w:rPr>
      </w:pPr>
      <w:r>
        <w:rPr>
          <w:rFonts w:hint="eastAsia"/>
          <w:b/>
          <w:bCs/>
          <w:color w:val="auto"/>
          <w:sz w:val="32"/>
          <w:highlight w:val="none"/>
        </w:rPr>
        <w:t xml:space="preserve">南京市公共资源交易中心六合分中心</w:t>
      </w:r>
      <w:r/>
    </w:p>
    <w:p>
      <w:pPr>
        <w:jc w:val="center"/>
        <w:rPr>
          <w:rFonts w:hint="eastAsia"/>
          <w:b/>
          <w:color w:val="auto"/>
          <w:sz w:val="32"/>
          <w:szCs w:val="32"/>
          <w:highlight w:val="none"/>
        </w:rPr>
      </w:pPr>
      <w:r>
        <w:rPr>
          <w:rFonts w:hint="eastAsia"/>
          <w:b/>
          <w:color w:val="auto"/>
          <w:sz w:val="32"/>
          <w:szCs w:val="32"/>
          <w:highlight w:val="none"/>
        </w:rPr>
        <w:t xml:space="preserve">2026年</w:t>
      </w:r>
      <w:r>
        <w:rPr>
          <w:rFonts w:hint="eastAsia"/>
          <w:b/>
          <w:color w:val="auto"/>
          <w:sz w:val="32"/>
          <w:szCs w:val="32"/>
          <w:highlight w:val="none"/>
          <w:lang w:val="en-US" w:eastAsia="zh-CN"/>
        </w:rPr>
        <w:t xml:space="preserve">6</w:t>
      </w:r>
      <w:r>
        <w:rPr>
          <w:rFonts w:hint="eastAsia"/>
          <w:b/>
          <w:color w:val="auto"/>
          <w:sz w:val="32"/>
          <w:szCs w:val="32"/>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80" w:lineRule="auto"/>
        <w:rPr>
          <w:rFonts w:hint="eastAsia" w:ascii="黑体" w:hAnsi="Arial" w:eastAsia="黑体"/>
          <w:b/>
          <w:color w:val="auto"/>
          <w:sz w:val="44"/>
          <w:szCs w:val="21"/>
          <w:highlight w:val="none"/>
        </w:rPr>
        <w:outlineLvl w:val="0"/>
      </w:pPr>
      <w:r>
        <w:rPr>
          <w:color w:val="auto"/>
          <w:szCs w:val="21"/>
          <w:highlight w:val="none"/>
        </w:rPr>
        <w:br w:type="page" w:clear="all"/>
      </w:r>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bookmarkStart w:id="0" w:name="_Toc479757206"/>
      <w:r/>
      <w:bookmarkStart w:id="1" w:name="_Toc20823272"/>
      <w:r/>
      <w:bookmarkStart w:id="2" w:name="_Toc16938516"/>
      <w:r/>
      <w:bookmarkStart w:id="3" w:name="_Toc120614210"/>
      <w:r/>
      <w:bookmarkStart w:id="4" w:name="_Toc513029200"/>
      <w:r/>
      <w:bookmarkStart w:id="5" w:name="_Toc523127445"/>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磋商邀请…………………………………… </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供应商须知………………………………… </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合同文本……………………………………</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采购需求……………………………………</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评审方法与评审标准………………………</w:t>
      </w:r>
      <w:r/>
    </w:p>
    <w:p>
      <w:pPr>
        <w:numPr>
          <w:ilvl w:val="0"/>
          <w:numId w:val="4"/>
        </w:numPr>
        <w:jc w:val="center"/>
        <w:spacing w:line="960" w:lineRule="auto"/>
        <w:rPr>
          <w:rFonts w:hint="eastAsia"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响应文件格式………………………………</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磋商邀请</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受南京市六合区人民医院（采购单位）委托，南京市公共资源交易中心六合分中心（以下简称“交易中心”）就六合区人民医院智慧化体检系统（项目名称）进行竞争性磋商采购，欢迎符合条件的供应商参加磋商。</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ascii="宋体" w:hAnsi="宋体"/>
          <w:color w:val="auto"/>
          <w:sz w:val="24"/>
          <w:szCs w:val="24"/>
          <w:highlight w:val="none"/>
        </w:rPr>
        <w:t xml:space="preserve">JSZC-320116-JZCG-C2026-0011</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2.项目名称：六合区人民医院智慧化体检系统</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s="宋体"/>
          <w:color w:val="auto"/>
          <w:sz w:val="24"/>
          <w:szCs w:val="24"/>
          <w:highlight w:val="none"/>
        </w:rPr>
        <w:t xml:space="preserve">120万元</w:t>
      </w:r>
      <w:r/>
    </w:p>
    <w:p>
      <w:pPr>
        <w:ind w:firstLine="480"/>
        <w:rPr>
          <w:rFonts w:hint="eastAsia" w:ascii="宋体" w:hAnsi="宋体" w:cs="宋体"/>
          <w:color w:val="auto"/>
          <w:sz w:val="24"/>
          <w:szCs w:val="24"/>
          <w:highlight w:val="none"/>
        </w:rPr>
      </w:pPr>
      <w:r>
        <w:rPr>
          <w:rFonts w:hint="eastAsia" w:ascii="宋体" w:hAnsi="宋体"/>
          <w:color w:val="auto"/>
          <w:sz w:val="24"/>
          <w:szCs w:val="24"/>
          <w:highlight w:val="none"/>
        </w:rPr>
        <w:t xml:space="preserve">4.最高限价：</w:t>
      </w:r>
      <w:r>
        <w:rPr>
          <w:rFonts w:hint="eastAsia" w:ascii="宋体" w:hAnsi="宋体" w:cs="宋体"/>
          <w:color w:val="auto"/>
          <w:sz w:val="24"/>
          <w:szCs w:val="24"/>
          <w:highlight w:val="none"/>
        </w:rPr>
        <w:t xml:space="preserve">116万元</w:t>
      </w:r>
      <w:r/>
    </w:p>
    <w:p>
      <w:pPr>
        <w:ind w:firstLine="480"/>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5.采购需求（简介）：采购智慧化体检系统一套，建设内容包括：检前预约排期、全流程智能导诊、检中体检系统、检后随访等。</w:t>
      </w:r>
      <w:r>
        <w:rPr>
          <w:rFonts w:hint="eastAsia" w:ascii="宋体" w:hAnsi="宋体" w:cs="宋体"/>
          <w:color w:val="auto"/>
          <w:sz w:val="24"/>
          <w:szCs w:val="24"/>
          <w:highlight w:val="none"/>
        </w:rPr>
        <w:t xml:space="preserve">（详细内容见本磋商文件第四章） </w:t>
      </w:r>
      <w:r/>
    </w:p>
    <w:p>
      <w:pPr>
        <w:ind w:firstLine="480"/>
        <w:rPr>
          <w:rFonts w:ascii="宋体" w:hAnsi="宋体" w:cs="宋体"/>
          <w:color w:val="auto"/>
          <w:sz w:val="24"/>
          <w:szCs w:val="24"/>
          <w:highlight w:val="none"/>
        </w:rPr>
      </w:pPr>
      <w:r>
        <w:rPr>
          <w:rFonts w:hint="eastAsia" w:ascii="宋体" w:hAnsi="宋体"/>
          <w:color w:val="auto"/>
          <w:sz w:val="24"/>
          <w:szCs w:val="24"/>
          <w:highlight w:val="none"/>
        </w:rPr>
        <w:t xml:space="preserve">6.合同履行期限：90天</w:t>
      </w:r>
      <w:r/>
    </w:p>
    <w:p>
      <w:pPr>
        <w:ind w:firstLine="480"/>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本项目不接受联合体参加磋商。</w:t>
      </w:r>
      <w:r/>
    </w:p>
    <w:p>
      <w:pPr>
        <w:ind w:firstLine="480"/>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8.本项目不接受进口产品。</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1.满足《中华人民共和国政府采购法》第二十二条规定，并提供下列材料：</w:t>
      </w:r>
      <w:r/>
    </w:p>
    <w:p>
      <w:pPr>
        <w:ind w:firstLine="480"/>
        <w:rPr>
          <w:rFonts w:hint="eastAsia" w:ascii="宋体" w:hAnsi="宋体"/>
          <w:color w:val="auto"/>
          <w:sz w:val="24"/>
          <w:szCs w:val="24"/>
          <w:highlight w:val="none"/>
          <w:lang w:val="zh-CN"/>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lang w:val="zh-CN"/>
        </w:rPr>
        <w:t xml:space="preserve">2.落实政府采购政策需满足的资格要求：无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三、获取磋商文件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1.时间：自磋商文件公告发布之日起。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2.方式：在“江苏政府采购网”免费下载。</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四、提交响应文件截止时间</w:t>
      </w:r>
      <w:r/>
    </w:p>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2026</w:t>
      </w:r>
      <w:r>
        <w:rPr>
          <w:rFonts w:hint="eastAsia" w:ascii="宋体" w:hAnsi="宋体"/>
          <w:color w:val="auto"/>
          <w:sz w:val="24"/>
          <w:szCs w:val="24"/>
          <w:highlight w:val="none"/>
        </w:rPr>
        <w:t xml:space="preserve">年</w:t>
      </w:r>
      <w:r>
        <w:rPr>
          <w:rFonts w:hint="eastAsia" w:ascii="宋体" w:hAnsi="宋体" w:cs="宋体"/>
          <w:color w:val="auto"/>
          <w:sz w:val="24"/>
          <w:szCs w:val="24"/>
          <w:highlight w:val="none"/>
        </w:rPr>
        <w:t xml:space="preserve">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日</w:t>
      </w:r>
      <w:r>
        <w:rPr>
          <w:rFonts w:hint="eastAsia" w:ascii="宋体" w:hAnsi="宋体" w:cs="宋体"/>
          <w:color w:val="auto"/>
          <w:sz w:val="24"/>
          <w:szCs w:val="24"/>
          <w:highlight w:val="none"/>
        </w:rPr>
        <w:t xml:space="preserve">09</w:t>
      </w:r>
      <w:r>
        <w:rPr>
          <w:rFonts w:hint="eastAsia"/>
          <w:color w:val="auto"/>
          <w:sz w:val="24"/>
          <w:szCs w:val="24"/>
          <w:highlight w:val="none"/>
        </w:rPr>
        <w:t xml:space="preserve">时</w:t>
      </w:r>
      <w:r>
        <w:rPr>
          <w:rFonts w:hint="eastAsia" w:ascii="宋体" w:hAnsi="宋体" w:cs="宋体"/>
          <w:color w:val="auto"/>
          <w:sz w:val="24"/>
          <w:szCs w:val="24"/>
          <w:highlight w:val="none"/>
        </w:rPr>
        <w:t xml:space="preserve">00</w:t>
      </w:r>
      <w:r>
        <w:rPr>
          <w:rFonts w:hint="eastAsia" w:ascii="宋体" w:hAnsi="宋体"/>
          <w:color w:val="auto"/>
          <w:sz w:val="24"/>
          <w:szCs w:val="24"/>
          <w:highlight w:val="none"/>
        </w:rPr>
        <w:t xml:space="preserve">分（北京时间）。</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公告期限为自本公告发布之日起3个工作日。</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1.本次磋商不收取磋商保证金。</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2.本项目不组织勘察及答疑，供应商如对采购需求有疑问，请咨询采购单位联系人。 </w:t>
      </w:r>
      <w:r/>
    </w:p>
    <w:p>
      <w:pPr>
        <w:ind w:firstLine="480"/>
        <w:rPr>
          <w:color w:val="auto"/>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4.有关本次采购的事项若存在变动或修改，请及时关注“江苏政府采购网”（www.ccgp-jiangsu.gov.cn）更正公告。</w:t>
      </w:r>
      <w:r/>
    </w:p>
    <w:p>
      <w:pPr>
        <w:ind w:firstLine="482"/>
        <w:rPr>
          <w:rFonts w:hint="eastAsia" w:ascii="宋体" w:hAnsi="宋体"/>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lang w:val="zh-CN"/>
        </w:rPr>
        <w:t xml:space="preserve">供应商（含潜在供应商）对采购方式、采购需求、供应商资格条件、评</w:t>
      </w:r>
      <w:r>
        <w:rPr>
          <w:rFonts w:hint="eastAsia" w:ascii="宋体" w:hAnsi="宋体"/>
          <w:b/>
          <w:bCs/>
          <w:color w:val="auto"/>
          <w:sz w:val="24"/>
          <w:highlight w:val="none"/>
        </w:rPr>
        <w:t xml:space="preserve">审</w:t>
      </w:r>
      <w:r>
        <w:rPr>
          <w:rFonts w:hint="eastAsia" w:ascii="宋体" w:hAnsi="宋体"/>
          <w:b/>
          <w:bCs/>
          <w:color w:val="auto"/>
          <w:sz w:val="24"/>
          <w:highlight w:val="none"/>
          <w:lang w:val="zh-CN"/>
        </w:rPr>
        <w:t xml:space="preserve">方法和评</w:t>
      </w:r>
      <w:r>
        <w:rPr>
          <w:rFonts w:hint="eastAsia" w:ascii="宋体" w:hAnsi="宋体"/>
          <w:b/>
          <w:bCs/>
          <w:color w:val="auto"/>
          <w:sz w:val="24"/>
          <w:highlight w:val="none"/>
        </w:rPr>
        <w:t xml:space="preserve">审</w:t>
      </w:r>
      <w:r>
        <w:rPr>
          <w:rFonts w:hint="eastAsia" w:ascii="宋体" w:hAnsi="宋体"/>
          <w:b/>
          <w:bCs/>
          <w:color w:val="auto"/>
          <w:sz w:val="24"/>
          <w:highlight w:val="none"/>
          <w:lang w:val="zh-CN"/>
        </w:rPr>
        <w:t xml:space="preserve">标准、合同文本的询问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rFonts w:hint="eastAsia" w:ascii="宋体" w:hAnsi="宋体"/>
          <w:b/>
          <w:bCs/>
          <w:color w:val="auto"/>
          <w:sz w:val="24"/>
          <w:highlight w:val="none"/>
        </w:rPr>
        <w:t xml:space="preserve">供应商对上述事项以外</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质疑向交易中心提出，由交易中心负责答复。</w:t>
      </w:r>
      <w:r/>
    </w:p>
    <w:p>
      <w:pPr>
        <w:ind w:firstLine="480"/>
        <w:spacing w:line="252" w:lineRule="auto"/>
        <w:rPr>
          <w:rFonts w:ascii="宋体" w:hAnsi="宋体"/>
          <w:color w:val="auto"/>
          <w:sz w:val="24"/>
          <w:highlight w:val="none"/>
        </w:rPr>
      </w:pPr>
      <w:r>
        <w:rPr>
          <w:rFonts w:hint="eastAsia" w:ascii="宋体" w:hAnsi="宋体"/>
          <w:color w:val="auto"/>
          <w:sz w:val="24"/>
          <w:highlight w:val="none"/>
        </w:rPr>
        <w:t xml:space="preserve">采购人《质疑函》收件人：伍丹丹，收件地址：</w:t>
      </w:r>
      <w:r>
        <w:rPr>
          <w:rFonts w:hint="eastAsia" w:ascii="宋体" w:hAnsi="宋体" w:cs="宋体"/>
          <w:color w:val="auto"/>
          <w:sz w:val="24"/>
          <w:szCs w:val="24"/>
          <w:highlight w:val="none"/>
        </w:rPr>
        <w:t xml:space="preserve">南京市</w:t>
      </w:r>
      <w:r>
        <w:rPr>
          <w:rFonts w:hint="eastAsia" w:ascii="宋体" w:hAnsi="宋体"/>
          <w:color w:val="auto"/>
          <w:sz w:val="24"/>
          <w:szCs w:val="24"/>
          <w:highlight w:val="none"/>
        </w:rPr>
        <w:t xml:space="preserve">六合</w:t>
      </w:r>
      <w:r>
        <w:rPr>
          <w:rFonts w:hint="eastAsia" w:ascii="宋体" w:hAnsi="宋体" w:cs="宋体"/>
          <w:color w:val="auto"/>
          <w:sz w:val="24"/>
          <w:szCs w:val="24"/>
          <w:highlight w:val="none"/>
        </w:rPr>
        <w:t xml:space="preserve">区</w:t>
      </w:r>
      <w:r>
        <w:rPr>
          <w:rFonts w:hint="eastAsia" w:ascii="宋体" w:hAnsi="宋体"/>
          <w:color w:val="auto"/>
          <w:sz w:val="24"/>
          <w:szCs w:val="24"/>
          <w:highlight w:val="none"/>
        </w:rPr>
        <w:t xml:space="preserve">雄州街道健康巷9号</w:t>
      </w:r>
      <w:r>
        <w:rPr>
          <w:rFonts w:hint="eastAsia" w:ascii="宋体" w:hAnsi="宋体" w:cs="宋体"/>
          <w:color w:val="auto"/>
          <w:sz w:val="24"/>
          <w:szCs w:val="24"/>
          <w:highlight w:val="none"/>
        </w:rPr>
        <w:t xml:space="preserve">，</w:t>
      </w:r>
      <w:r>
        <w:rPr>
          <w:rFonts w:hint="eastAsia" w:ascii="宋体" w:hAnsi="宋体"/>
          <w:color w:val="auto"/>
          <w:sz w:val="24"/>
          <w:highlight w:val="none"/>
        </w:rPr>
        <w:t xml:space="preserve">联系电话：57123713。</w:t>
      </w:r>
      <w:r/>
    </w:p>
    <w:p>
      <w:pPr>
        <w:ind w:firstLine="480"/>
        <w:widowControl/>
        <w:rPr>
          <w:rFonts w:hint="eastAsia" w:ascii="宋体" w:hAnsi="宋体"/>
          <w:color w:val="auto"/>
          <w:sz w:val="24"/>
          <w:highlight w:val="none"/>
          <w:lang w:val="zh-CN"/>
        </w:rPr>
      </w:pPr>
      <w:r>
        <w:rPr>
          <w:rFonts w:hint="eastAsia" w:ascii="宋体" w:hAnsi="宋体"/>
          <w:color w:val="auto"/>
          <w:sz w:val="24"/>
          <w:highlight w:val="none"/>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七、本次磋商联系方式</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称：南京市六合区人民医院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w:t>
      </w:r>
      <w:r>
        <w:rPr>
          <w:rFonts w:hint="eastAsia" w:ascii="宋体" w:hAnsi="宋体"/>
          <w:color w:val="auto"/>
          <w:sz w:val="24"/>
          <w:szCs w:val="24"/>
          <w:highlight w:val="none"/>
        </w:rPr>
        <w:t xml:space="preserve">六合</w:t>
      </w:r>
      <w:r>
        <w:rPr>
          <w:rFonts w:hint="eastAsia" w:ascii="宋体" w:hAnsi="宋体" w:cs="宋体"/>
          <w:color w:val="auto"/>
          <w:sz w:val="24"/>
          <w:szCs w:val="24"/>
          <w:highlight w:val="none"/>
        </w:rPr>
        <w:t xml:space="preserve">区</w:t>
      </w:r>
      <w:r>
        <w:rPr>
          <w:rFonts w:hint="eastAsia" w:ascii="宋体" w:hAnsi="宋体"/>
          <w:color w:val="auto"/>
          <w:sz w:val="24"/>
          <w:szCs w:val="24"/>
          <w:highlight w:val="none"/>
        </w:rPr>
        <w:t xml:space="preserve">雄州街道健康巷9</w:t>
      </w:r>
      <w:r>
        <w:rPr>
          <w:rFonts w:hint="eastAsia" w:ascii="宋体" w:hAnsi="宋体" w:cs="宋体"/>
          <w:color w:val="auto"/>
          <w:sz w:val="24"/>
          <w:szCs w:val="24"/>
          <w:highlight w:val="none"/>
        </w:rPr>
        <w:t xml:space="preserve">号</w:t>
      </w:r>
      <w:r>
        <w:rPr>
          <w:rFonts w:hint="eastAsia" w:ascii="宋体" w:hAnsi="宋体"/>
          <w:color w:val="auto"/>
          <w:sz w:val="24"/>
          <w:szCs w:val="24"/>
          <w:highlight w:val="none"/>
        </w:rPr>
        <w:t xml:space="preserve">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联系人：伍丹丹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联系电话：025-</w:t>
      </w:r>
      <w:bookmarkStart w:id="6" w:name="_Toc28359009"/>
      <w:r/>
      <w:bookmarkStart w:id="7" w:name="_Toc28359086"/>
      <w:r>
        <w:rPr>
          <w:rFonts w:hint="eastAsia" w:ascii="宋体" w:hAnsi="宋体"/>
          <w:color w:val="auto"/>
          <w:sz w:val="24"/>
          <w:szCs w:val="24"/>
          <w:highlight w:val="none"/>
        </w:rPr>
        <w:t xml:space="preserve">57123713</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2.交易中心</w:t>
      </w:r>
      <w:bookmarkEnd w:id="6"/>
      <w:r/>
      <w:bookmarkEnd w:id="7"/>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址：南京市六合区雄州街道龙池路333号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联系人：温老师</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联系电话：025-57130501</w:t>
      </w:r>
      <w:r/>
    </w:p>
    <w:p>
      <w:pPr>
        <w:pStyle w:val="732"/>
        <w:rPr>
          <w:color w:val="auto"/>
          <w:highlight w:val="none"/>
        </w:rPr>
      </w:pPr>
      <w:r>
        <w:rPr>
          <w:color w:val="auto"/>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第二章  供应商须知</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bookmarkStart w:id="8" w:name="_Toc20823275"/>
      <w:r/>
      <w:bookmarkStart w:id="9" w:name="_Toc16938519"/>
      <w:r/>
      <w:bookmarkStart w:id="10" w:name="_Toc120614214"/>
      <w:r/>
      <w:bookmarkStart w:id="11" w:name="_Toc513029203"/>
      <w:r>
        <w:rPr>
          <w:rFonts w:hint="eastAsia" w:ascii="方正黑体_GBK" w:hAnsi="方正黑体_GBK" w:eastAsia="方正黑体_GBK" w:cs="方正黑体_GBK"/>
          <w:b w:val="0"/>
          <w:bCs w:val="0"/>
          <w:color w:val="auto"/>
          <w:sz w:val="30"/>
          <w:szCs w:val="30"/>
          <w:highlight w:val="none"/>
        </w:rPr>
        <w:t xml:space="preserve">一、总则</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1.采购方式</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本次政府采购活动采取竞争性磋商(以下简称“磋商”)方式，本文件仅适用于采购公告中所述项目。</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2.合格的供应商</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2.1 满足采购公告对供应商资格要求的规定。</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2.2 满足磋商文件规定的实质性要求和条件。</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3.适用法律</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3.1 本次采购及由此产生的合同受中华人民共和国有关的法律法规制约和保护</w:t>
      </w:r>
      <w:r>
        <w:rPr>
          <w:rFonts w:ascii="宋体" w:hAnsi="宋体"/>
          <w:color w:val="auto"/>
          <w:sz w:val="24"/>
          <w:szCs w:val="21"/>
          <w:highlight w:val="none"/>
        </w:rPr>
        <w:t xml:space="preserve">。</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4.磋商费用</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4.1 供应商应自行承担所有与参加采购有关的费用，无论采购过程中的做法和结果如何，</w:t>
      </w:r>
      <w:r>
        <w:rPr>
          <w:rFonts w:hint="eastAsia" w:ascii="宋体" w:hAnsi="宋体"/>
          <w:color w:val="auto"/>
          <w:sz w:val="24"/>
          <w:highlight w:val="none"/>
        </w:rPr>
        <w:t xml:space="preserve">交易中心</w:t>
      </w:r>
      <w:r>
        <w:rPr>
          <w:rFonts w:hint="eastAsia" w:ascii="宋体" w:hAnsi="宋体"/>
          <w:color w:val="auto"/>
          <w:sz w:val="24"/>
          <w:szCs w:val="21"/>
          <w:highlight w:val="none"/>
        </w:rPr>
        <w:t xml:space="preserve">在任何情况下均无义务和责任承担这些费用。</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4.2 本次采购交易中心和采购人不收取磋商文件工本费与成交服务费。</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5.磋商文件的约束力</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5.1 供应商一旦参加本项目采购活动，即被认为接受了本文件的规定和约束。</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二、磋商文件</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6.磋商文件构成</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6.1 磋商文件由以下部分组成：</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（1）磋商邀请</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（2）供应商须知</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（3）合同文本</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（4）采购需求</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（5）评审方法与评审标准</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（6）响应文件格式</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供应商应仔细检查磋商文件是否齐全，如有缺漏请立即与交易中心联系。</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7.磋商文件的澄清</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7.1 任何要求对磋商文件进行澄清的供应商，应在磋商截止期五日前按采购公告中的通讯地址，以书面形式通知交易中心。</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8.磋商文件的修改</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8.3 交易中心有权按照法定的要求推迟提交响应文件截止时间，并在原公告媒体发布更正公告。</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9.响应文件的语言及度量衡单位</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9.1 供应商提交的响应文件以及供应商与交易中心就有关磋商的所有来往通知、函件和文件均应使用简体中文。</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9.2 除技术性能另有规定外，响应文件所使用的度量衡单位，均须采用国家法定计量单位。</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10.响应文件构成</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10.1 供应商编写的响应文件应包括资格证明文件、符合性证明文件、分项报价表、响应及偏离表、其他证明文件、磋商响应函等部分。</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如标书制作工具中格式和内容与“江苏政府采购网”发布的磋商文件不一致，以“江苏政府采购网”发布的磋商文件为准。</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11.证明磋商响应标的符合磋商文件规定的文件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11.1 供应商</w:t>
      </w:r>
      <w:r>
        <w:rPr>
          <w:rFonts w:hint="eastAsia" w:ascii="宋体" w:hAnsi="宋体"/>
          <w:color w:val="auto"/>
          <w:sz w:val="24"/>
          <w:highlight w:val="none"/>
        </w:rPr>
        <w:t xml:space="preserve">应按照法律、法规、规章和规范性文件以及</w:t>
      </w:r>
      <w:r>
        <w:rPr>
          <w:rFonts w:hint="eastAsia" w:ascii="宋体" w:hAnsi="宋体"/>
          <w:color w:val="auto"/>
          <w:sz w:val="24"/>
          <w:szCs w:val="21"/>
          <w:highlight w:val="none"/>
        </w:rPr>
        <w:t xml:space="preserve">磋商文件要求提交证明文件，证明其响应标的符合磋商文件规定。</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11.2 磋商文件对证明文件无明确形式要求的，证明文件可以以文字资料、图纸和数据等形式提交。</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12.分项报价表</w:t>
      </w:r>
      <w:r>
        <w:rPr>
          <w:rFonts w:hint="eastAsia" w:ascii="方正楷体_GBK" w:hAnsi="方正楷体_GBK" w:eastAsia="方正楷体_GBK" w:cs="方正楷体_GBK"/>
          <w:color w:val="auto"/>
          <w:highlight w:val="none"/>
          <w:lang w:val="zh-CN"/>
        </w:rPr>
        <w:t xml:space="preserve">（如有）</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12.1 供应商应按照磋商文件规定格式填报分项报价表。</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12.2 响应文件中的单价和总价无特殊规定的采用人民币报价，以元为单位标注。磋商文件另有规定的按规定执行。</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13.响应及偏离表</w:t>
      </w:r>
      <w:r/>
    </w:p>
    <w:p>
      <w:pPr>
        <w:ind w:firstLine="42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13.1</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供应商需对磋商文件中的技术要求与商务要求逐项作出响应或偏离说明。</w:t>
      </w:r>
      <w:r/>
    </w:p>
    <w:p>
      <w:pPr>
        <w:ind w:firstLine="42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13.2</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供应商可在响应文件中提供认为需要的其他技术文件或说明。</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14.磋商响应函</w:t>
      </w:r>
      <w:r/>
    </w:p>
    <w:p>
      <w:pPr>
        <w:ind w:firstLine="42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rPr>
        <w:t xml:space="preserve">4</w:t>
      </w: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供应商应按照磋商文件规定格式完整、正确填报磋商响应函。</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15.磋商有效期</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15.1 磋商有效期为采购公告规定的提交响应文件截止之日起</w:t>
      </w:r>
      <w:r>
        <w:rPr>
          <w:rFonts w:hint="eastAsia" w:ascii="宋体" w:hAnsi="宋体"/>
          <w:color w:val="auto"/>
          <w:sz w:val="24"/>
          <w:szCs w:val="21"/>
          <w:highlight w:val="none"/>
          <w:lang w:val="zh-CN"/>
        </w:rPr>
        <w:t xml:space="preserve">六十天</w:t>
      </w:r>
      <w:r>
        <w:rPr>
          <w:rFonts w:hint="eastAsia" w:ascii="宋体" w:hAnsi="宋体"/>
          <w:color w:val="auto"/>
          <w:sz w:val="24"/>
          <w:szCs w:val="21"/>
          <w:highlight w:val="none"/>
        </w:rPr>
        <w:t xml:space="preserve">。磋商有效期比规定短的将被视为非实质性响应磋商文件而被拒绝。</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16.磋商有效期的延长</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四、响应文件的递交</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17.响应文件的递交</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17.1 供应商应当按照《操作手册》规定，在采购公告规定的提交响应文件截止时间前制作并上传电子响应文件。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17.2 供应商应充分考虑网络环境、网络带宽等因素</w:t>
      </w:r>
      <w:r>
        <w:rPr>
          <w:rFonts w:hint="eastAsia" w:ascii="宋体" w:hAnsi="宋体"/>
          <w:color w:val="auto"/>
          <w:sz w:val="24"/>
          <w:highlight w:val="none"/>
        </w:rPr>
        <w:t xml:space="preserve">可能产生的影响</w:t>
      </w:r>
      <w:r>
        <w:rPr>
          <w:rFonts w:hint="eastAsia" w:ascii="宋体" w:hAnsi="宋体"/>
          <w:color w:val="auto"/>
          <w:sz w:val="24"/>
          <w:szCs w:val="21"/>
          <w:highlight w:val="none"/>
        </w:rPr>
        <w:t xml:space="preserve">，如因供应商自身原因造成的电子响应文件上传不成功的，按照本磋商文件第二章第24.3条规定做无效响应处理。</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17.3 交易中心可以按照规定，通过修改磋商文件酌情延长提交响应文件截止日期，在此情况下，供应商的所有权利和义务均以延长后新的截止日期为准。</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18.响应文件的拒收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18.1 提交响应文件截止时间后上传的任何响应文件将被拒绝。</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19.响应文件的撤回和修改</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19.1 响应文件的撤回</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19.1.1 供应商可在提交响应文件截止时间前撤回其电子响应文件，具体操作方法见《操作手册》。</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19.1.2 供应商撤回电子响应文件，则认为其不再参与本项目磋商活动。</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19.2 响应文件的修改</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19.2.1 供应商可在提交响应文件截止时间前对其电子响应文件进行修改，具体操作方法见《操作手册》。</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19.2.2 提交响应文件截止时间之后，供应商不得对其电子响应文件作任何修改。</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19.3 在提交响应文件截止时间至磋商文件中规定的磋商有效期满之间的这段时间内，供应商不得撤回其响应文件。</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五、响应文件的解密与评审</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20.响应文件解密</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20.1 供应商应当按照《操作手册》规定，在苏采云系统规定的时间内对响应文件进行解密。</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21.磋商</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21.1 依法组建的磋商小组对响应文件进行评审。</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21.2 磋商小组由采购人代表和有关方面专家组成，人员构成符合政府采购有关规定。</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21.3 磋商小组独立工作，负责评审所有响应文件并推荐成交候选人，或根据采购人授权直接确定成交供应商。</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22.评审过程的保密与公正</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22.1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22.2 供应商不得以任何方式影响评审过程，否则其响应文件将被作为无效响应文件。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22.3 交易中心和磋商小组不向未成交的供应商解释未成交原因，也不公布评审过程中的相关细节。</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23.评审过程中的澄清</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供应商的澄清、说明或者补正不得超出响应文件的范围或者改变响应文件的实质性内容。</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磋商小组并非对每个供应商都做澄清要求。</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23.2 需要供应商进行澄清、说明和补正的，磋商小组将通过苏采云系统向供应商发出</w:t>
      </w:r>
      <w:r>
        <w:rPr>
          <w:rFonts w:hint="eastAsia" w:ascii="宋体" w:hAnsi="宋体"/>
          <w:color w:val="auto"/>
          <w:sz w:val="24"/>
          <w:highlight w:val="none"/>
          <w:lang w:val="zh-CN"/>
        </w:rPr>
        <w:t xml:space="preserve">《澄清要求函》</w:t>
      </w:r>
      <w:r>
        <w:rPr>
          <w:rFonts w:hint="eastAsia" w:ascii="宋体" w:hAnsi="宋体"/>
          <w:color w:val="auto"/>
          <w:sz w:val="24"/>
          <w:szCs w:val="21"/>
          <w:highlight w:val="none"/>
        </w:rPr>
        <w:t xml:space="preserve">，接到</w:t>
      </w:r>
      <w:r>
        <w:rPr>
          <w:rFonts w:hint="eastAsia" w:ascii="宋体" w:hAnsi="宋体"/>
          <w:color w:val="auto"/>
          <w:sz w:val="24"/>
          <w:highlight w:val="none"/>
          <w:lang w:val="zh-CN"/>
        </w:rPr>
        <w:t xml:space="preserve">《澄清要求函》</w:t>
      </w:r>
      <w:r>
        <w:rPr>
          <w:rFonts w:hint="eastAsia" w:ascii="宋体" w:hAnsi="宋体"/>
          <w:color w:val="auto"/>
          <w:sz w:val="24"/>
          <w:szCs w:val="21"/>
          <w:highlight w:val="none"/>
        </w:rPr>
        <w:t xml:space="preserve">的供应商应当按照要求在苏采云系统中提交</w:t>
      </w:r>
      <w:r>
        <w:rPr>
          <w:rFonts w:hint="eastAsia" w:ascii="宋体" w:hAnsi="宋体"/>
          <w:color w:val="auto"/>
          <w:sz w:val="24"/>
          <w:highlight w:val="none"/>
          <w:lang w:val="zh-CN"/>
        </w:rPr>
        <w:t xml:space="preserve">《澄清响应函》</w:t>
      </w:r>
      <w:r>
        <w:rPr>
          <w:rFonts w:hint="eastAsia" w:ascii="宋体" w:hAnsi="宋体"/>
          <w:color w:val="auto"/>
          <w:sz w:val="24"/>
          <w:szCs w:val="21"/>
          <w:highlight w:val="none"/>
        </w:rPr>
        <w:t xml:space="preserve">并加盖电子公章。澄清、说明和补正的内容作为响应文件的补充部分，具体操作方式见《操作手册》。</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23.3 接到磋商小组澄清、说明和补正要求的供应商如未按规定做出澄清、说明和补正，其风险由供应商自行承担。</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24.响应文件的审查</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24.1 响应文件审查分为资格审查和符合性审查。</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磋商小组进行资格审查时，将在“信用中国”网站（www.creditchina.gov.cn）查询供应商的信用记录，以确定供应商是否具备磋商资格,查询结果留存并归档。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24.1.3 未通过资格审查或符合性审查的供应商，磋商小组将通过苏采云系统告知具体原因，评审结束后将不再接受有关询问。</w:t>
      </w:r>
      <w:r/>
    </w:p>
    <w:p>
      <w:pPr>
        <w:ind w:firstLine="420"/>
        <w:rPr>
          <w:rFonts w:hint="eastAsia" w:ascii="宋体" w:hAnsi="宋体"/>
          <w:color w:val="auto"/>
          <w:sz w:val="24"/>
          <w:highlight w:val="none"/>
          <w:lang w:val="zh-CN"/>
        </w:rPr>
      </w:pPr>
      <w:r>
        <w:rPr>
          <w:rFonts w:hint="eastAsia" w:ascii="宋体" w:hAnsi="宋体"/>
          <w:color w:val="auto"/>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磋商小组</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w:t>
      </w:r>
      <w:r>
        <w:rPr>
          <w:rFonts w:hint="eastAsia" w:ascii="宋体" w:hAnsi="宋体"/>
          <w:color w:val="auto"/>
          <w:sz w:val="24"/>
          <w:szCs w:val="21"/>
          <w:highlight w:val="none"/>
        </w:rPr>
        <w:t xml:space="preserve">磋商小组</w:t>
      </w:r>
      <w:r>
        <w:rPr>
          <w:rFonts w:hint="eastAsia" w:ascii="宋体" w:hAnsi="宋体"/>
          <w:color w:val="auto"/>
          <w:sz w:val="24"/>
          <w:highlight w:val="none"/>
        </w:rPr>
        <w:t xml:space="preserve">认</w:t>
      </w:r>
      <w:r>
        <w:rPr>
          <w:rFonts w:hint="eastAsia" w:ascii="宋体" w:hAnsi="宋体"/>
          <w:color w:val="auto"/>
          <w:sz w:val="24"/>
          <w:highlight w:val="none"/>
          <w:lang w:val="zh-CN"/>
        </w:rPr>
        <w:t xml:space="preserve">定响应文件的响应性只根据响应文件本身的内容，而不寻求外部的证据。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24.</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异常低价审查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评</w:t>
      </w:r>
      <w:r>
        <w:rPr>
          <w:rFonts w:hint="eastAsia" w:ascii="宋体" w:hAnsi="宋体"/>
          <w:color w:val="auto"/>
          <w:sz w:val="24"/>
          <w:highlight w:val="none"/>
        </w:rPr>
        <w:t xml:space="preserve">审</w:t>
      </w:r>
      <w:r>
        <w:rPr>
          <w:rFonts w:hint="eastAsia" w:ascii="宋体" w:hAnsi="宋体"/>
          <w:color w:val="auto"/>
          <w:sz w:val="24"/>
          <w:highlight w:val="none"/>
          <w:lang w:val="zh-CN"/>
        </w:rPr>
        <w:t xml:space="preserve">过程中出现下列情形之一的，</w:t>
      </w:r>
      <w:r>
        <w:rPr>
          <w:rFonts w:hint="eastAsia" w:ascii="宋体" w:hAnsi="宋体"/>
          <w:color w:val="auto"/>
          <w:sz w:val="24"/>
          <w:szCs w:val="21"/>
          <w:highlight w:val="none"/>
        </w:rPr>
        <w:t xml:space="preserve">磋商小组</w:t>
      </w:r>
      <w:r>
        <w:rPr>
          <w:rFonts w:hint="eastAsia" w:ascii="宋体" w:hAnsi="宋体"/>
          <w:color w:val="auto"/>
          <w:sz w:val="24"/>
          <w:highlight w:val="none"/>
          <w:lang w:val="zh-CN"/>
        </w:rPr>
        <w:t xml:space="preserve">应当启动异常低价审查程序：</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低于全部通过符合性审查供应商</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平均值</w:t>
      </w:r>
      <w:r>
        <w:rPr>
          <w:rFonts w:hint="eastAsia" w:ascii="宋体" w:hAnsi="宋体"/>
          <w:color w:val="auto"/>
          <w:sz w:val="24"/>
          <w:highlight w:val="none"/>
          <w:u w:val="single"/>
        </w:rPr>
        <w:t xml:space="preserve">50</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&lt;全部通过符合性审查供应商</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平均值×</w:t>
      </w:r>
      <w:r>
        <w:rPr>
          <w:rFonts w:hint="eastAsia" w:ascii="宋体" w:hAnsi="宋体"/>
          <w:color w:val="auto"/>
          <w:sz w:val="24"/>
          <w:highlight w:val="none"/>
          <w:u w:val="single"/>
        </w:rPr>
        <w:t xml:space="preserve">50</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低于通过符合性审查的次低报价供应商</w:t>
      </w:r>
      <w:r>
        <w:rPr>
          <w:rFonts w:hint="eastAsia" w:ascii="宋体" w:hAnsi="宋体"/>
          <w:color w:val="auto"/>
          <w:sz w:val="24"/>
          <w:szCs w:val="21"/>
          <w:highlight w:val="none"/>
        </w:rPr>
        <w:t xml:space="preserve">报价</w:t>
      </w:r>
      <w:r>
        <w:rPr>
          <w:rFonts w:hint="eastAsia" w:ascii="宋体" w:hAnsi="宋体"/>
          <w:color w:val="auto"/>
          <w:sz w:val="24"/>
          <w:highlight w:val="none"/>
          <w:u w:val="single"/>
        </w:rPr>
        <w:t xml:space="preserve">50</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&lt;通过符合性审查的次低报价供应商</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w:t>
      </w:r>
      <w:r>
        <w:rPr>
          <w:rFonts w:hint="eastAsia" w:ascii="宋体" w:hAnsi="宋体"/>
          <w:color w:val="auto"/>
          <w:sz w:val="24"/>
          <w:highlight w:val="none"/>
          <w:u w:val="single"/>
        </w:rPr>
        <w:t xml:space="preserve">50</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低于采购项目最高限价</w:t>
      </w:r>
      <w:r>
        <w:rPr>
          <w:rFonts w:hint="eastAsia" w:ascii="宋体" w:hAnsi="宋体"/>
          <w:color w:val="auto"/>
          <w:sz w:val="24"/>
          <w:highlight w:val="none"/>
          <w:u w:val="single"/>
        </w:rPr>
        <w:t xml:space="preserve">45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&lt;采购项目最高限价×</w:t>
      </w:r>
      <w:r>
        <w:rPr>
          <w:rFonts w:hint="eastAsia" w:ascii="宋体" w:hAnsi="宋体"/>
          <w:color w:val="auto"/>
          <w:sz w:val="24"/>
          <w:highlight w:val="none"/>
          <w:u w:val="single"/>
        </w:rPr>
        <w:t xml:space="preserve">45</w:t>
      </w:r>
      <w:r>
        <w:rPr>
          <w:rFonts w:hint="eastAsia"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szCs w:val="21"/>
          <w:highlight w:val="none"/>
        </w:rPr>
        <w:t xml:space="preserve">磋商小组</w:t>
      </w:r>
      <w:r>
        <w:rPr>
          <w:rFonts w:hint="eastAsia" w:ascii="宋体" w:hAnsi="宋体"/>
          <w:color w:val="auto"/>
          <w:sz w:val="24"/>
          <w:highlight w:val="none"/>
          <w:lang w:val="zh-CN"/>
        </w:rPr>
        <w:t xml:space="preserve">基于专业判断，认为供应商</w:t>
      </w:r>
      <w:r>
        <w:rPr>
          <w:rFonts w:hint="eastAsia" w:ascii="宋体" w:hAnsi="宋体"/>
          <w:color w:val="auto"/>
          <w:sz w:val="24"/>
          <w:highlight w:val="none"/>
        </w:rPr>
        <w:t xml:space="preserve">报价</w:t>
      </w:r>
      <w:r>
        <w:rPr>
          <w:rFonts w:hint="eastAsia" w:ascii="宋体" w:hAnsi="宋体"/>
          <w:color w:val="auto"/>
          <w:sz w:val="24"/>
          <w:highlight w:val="none"/>
          <w:lang w:val="zh-CN"/>
        </w:rPr>
        <w:t xml:space="preserve">过低，有可能影响产品质量或者不能诚信履约的其他情形。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szCs w:val="21"/>
          <w:highlight w:val="none"/>
        </w:rPr>
        <w:t xml:space="preserve">磋商小组</w:t>
      </w:r>
      <w:r>
        <w:rPr>
          <w:rFonts w:hint="eastAsia" w:ascii="宋体" w:hAnsi="宋体"/>
          <w:color w:val="auto"/>
          <w:sz w:val="24"/>
          <w:highlight w:val="none"/>
          <w:lang w:val="zh-CN"/>
        </w:rPr>
        <w:t xml:space="preserve">启动异常低价审查后，属于前述第（1）项至第（4）项情形的，应当要求相关供应商在评审现场合理的时间内对</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color w:val="auto"/>
          <w:sz w:val="24"/>
          <w:highlight w:val="none"/>
          <w:lang w:val="zh-CN"/>
        </w:rPr>
        <w:t xml:space="preserve">供应商已随</w:t>
      </w:r>
      <w:r>
        <w:rPr>
          <w:rFonts w:hint="eastAsia" w:ascii="宋体" w:hAnsi="宋体"/>
          <w:color w:val="auto"/>
          <w:sz w:val="24"/>
          <w:highlight w:val="none"/>
        </w:rPr>
        <w:t xml:space="preserve">响应</w:t>
      </w:r>
      <w:r>
        <w:rPr>
          <w:rFonts w:hint="eastAsia" w:ascii="宋体" w:hAnsi="宋体"/>
          <w:color w:val="auto"/>
          <w:sz w:val="24"/>
          <w:highlight w:val="none"/>
          <w:lang w:val="zh-CN"/>
        </w:rPr>
        <w:t xml:space="preserve">文件一并提交相关书面说明及必要的证明材料的，在评</w:t>
      </w:r>
      <w:r>
        <w:rPr>
          <w:rFonts w:hint="eastAsia" w:ascii="宋体" w:hAnsi="宋体"/>
          <w:color w:val="auto"/>
          <w:sz w:val="24"/>
          <w:highlight w:val="none"/>
        </w:rPr>
        <w:t xml:space="preserve">审</w:t>
      </w:r>
      <w:r>
        <w:rPr>
          <w:rFonts w:hint="eastAsia" w:ascii="宋体" w:hAnsi="宋体"/>
          <w:color w:val="auto"/>
          <w:sz w:val="24"/>
          <w:highlight w:val="none"/>
          <w:lang w:val="zh-CN"/>
        </w:rPr>
        <w:t xml:space="preserve">现场可不再重复提交</w:t>
      </w:r>
      <w:bookmarkEnd w:id="12"/>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szCs w:val="21"/>
          <w:highlight w:val="none"/>
        </w:rPr>
        <w:t xml:space="preserve">磋商小组</w:t>
      </w:r>
      <w:r>
        <w:rPr>
          <w:rFonts w:hint="eastAsia" w:ascii="宋体" w:hAnsi="宋体"/>
          <w:color w:val="auto"/>
          <w:sz w:val="24"/>
          <w:highlight w:val="none"/>
          <w:lang w:val="zh-CN"/>
        </w:rPr>
        <w:t xml:space="preserve">依据专业经验，参考同类项目</w:t>
      </w:r>
      <w:r>
        <w:rPr>
          <w:rFonts w:hint="eastAsia" w:ascii="宋体" w:hAnsi="宋体"/>
          <w:color w:val="auto"/>
          <w:sz w:val="24"/>
          <w:highlight w:val="none"/>
        </w:rPr>
        <w:t xml:space="preserve">成交</w:t>
      </w:r>
      <w:r>
        <w:rPr>
          <w:rFonts w:hint="eastAsia" w:ascii="宋体" w:hAnsi="宋体"/>
          <w:color w:val="auto"/>
          <w:sz w:val="24"/>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auto"/>
          <w:sz w:val="24"/>
          <w:highlight w:val="none"/>
        </w:rPr>
        <w:t xml:space="preserve">磋商小组</w:t>
      </w:r>
      <w:r>
        <w:rPr>
          <w:rFonts w:hint="eastAsia" w:ascii="宋体" w:hAnsi="宋体"/>
          <w:color w:val="auto"/>
          <w:sz w:val="24"/>
          <w:highlight w:val="none"/>
          <w:lang w:val="zh-CN"/>
        </w:rPr>
        <w:t xml:space="preserve">应当将其作为</w:t>
      </w:r>
      <w:r>
        <w:rPr>
          <w:rFonts w:hint="eastAsia" w:ascii="宋体" w:hAnsi="宋体"/>
          <w:color w:val="auto"/>
          <w:sz w:val="24"/>
          <w:highlight w:val="none"/>
        </w:rPr>
        <w:t xml:space="preserve">未实质性响应磋商文件</w:t>
      </w:r>
      <w:r>
        <w:rPr>
          <w:rFonts w:hint="eastAsia" w:ascii="宋体" w:hAnsi="宋体"/>
          <w:color w:val="auto"/>
          <w:sz w:val="24"/>
          <w:highlight w:val="none"/>
          <w:lang w:val="zh-CN"/>
        </w:rPr>
        <w:t xml:space="preserve">处理。</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 未实质性响应磋商文件的情形</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24.4.1 供应商在苏采云系统规定的时间内未成功解密电子响应文件。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24.4.2 供应商未按照磋商文件要求上传电子响应文件。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24.4.3 同一供应商提交两个（含两个）以上不同的响应文件或者最后报价。</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24.4.4 供应商不具备磋商文件中规定的资格要求。</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24.4.5 供应商的最后报价超过了采购预算或最高限价或单价上限。</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24.4.6 不符合磋商文件中规定的实质性要求和条件（</w:t>
      </w:r>
      <w:r>
        <w:rPr>
          <w:rFonts w:hint="eastAsia" w:ascii="宋体" w:hAnsi="宋体"/>
          <w:b/>
          <w:bCs/>
          <w:color w:val="auto"/>
          <w:sz w:val="24"/>
          <w:szCs w:val="21"/>
          <w:highlight w:val="none"/>
        </w:rPr>
        <w:t xml:space="preserve">本文件中斜体且有下划线部分</w:t>
      </w:r>
      <w:r>
        <w:rPr>
          <w:rFonts w:hint="eastAsia" w:ascii="宋体" w:hAnsi="宋体"/>
          <w:b/>
          <w:bCs/>
          <w:color w:val="auto"/>
          <w:sz w:val="24"/>
          <w:szCs w:val="21"/>
          <w:highlight w:val="none"/>
          <w:lang w:val="zh-CN"/>
        </w:rPr>
        <w:t xml:space="preserve">或者打“</w:t>
      </w:r>
      <w:r>
        <w:rPr>
          <w:rFonts w:hint="eastAsia" w:ascii="宋体" w:hAnsi="宋体"/>
          <w:b/>
          <w:bCs/>
          <w:color w:val="auto"/>
          <w:sz w:val="24"/>
          <w:szCs w:val="21"/>
          <w:highlight w:val="none"/>
        </w:rPr>
        <w:t xml:space="preserve">★</w:t>
      </w:r>
      <w:r>
        <w:rPr>
          <w:rFonts w:hint="eastAsia" w:ascii="宋体" w:hAnsi="宋体"/>
          <w:b/>
          <w:bCs/>
          <w:color w:val="auto"/>
          <w:sz w:val="24"/>
          <w:szCs w:val="21"/>
          <w:highlight w:val="none"/>
          <w:lang w:val="zh-CN"/>
        </w:rPr>
        <w:t xml:space="preserve">”内容，</w:t>
      </w:r>
      <w:r>
        <w:rPr>
          <w:rFonts w:hint="eastAsia" w:ascii="宋体" w:hAnsi="宋体"/>
          <w:b/>
          <w:bCs/>
          <w:color w:val="auto"/>
          <w:sz w:val="24"/>
          <w:szCs w:val="21"/>
          <w:highlight w:val="none"/>
        </w:rPr>
        <w:t xml:space="preserve">为实质性要求和条件</w:t>
      </w:r>
      <w:r>
        <w:rPr>
          <w:rFonts w:hint="eastAsia" w:ascii="宋体" w:hAnsi="宋体"/>
          <w:color w:val="auto"/>
          <w:sz w:val="24"/>
          <w:szCs w:val="21"/>
          <w:highlight w:val="none"/>
        </w:rPr>
        <w:t xml:space="preserve">）。</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24.4.8 响应文件含有采购人不能接受的附加条件。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24.4.9 磋商小组按照本采购文件规定对供应商进行异常低价审查后，认为供应商不能证明其报价合理性的。</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24.4.10 </w:t>
      </w:r>
      <w:r>
        <w:rPr>
          <w:rFonts w:hint="eastAsia" w:ascii="宋体" w:hAnsi="宋体"/>
          <w:color w:val="auto"/>
          <w:sz w:val="24"/>
          <w:szCs w:val="21"/>
          <w:highlight w:val="none"/>
          <w:lang w:val="zh-CN"/>
        </w:rPr>
        <w:t xml:space="preserve">采购产品被财政部、国家发改委、生态环境部等列入“节能产品品目清单”强制采购范围，而供应商提供的产品不在强制采购范围内。</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24.4.11 响应文件未按照磋商文件要求加盖电子公章。</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24.4.12 法律法规及本磋商文件规定的其他无效响应的情形。</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24.5 未实质性响应磋商文件的响应文件按无效响应处理。</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24.6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24.7 供应商在项目评审全过程中应保持通讯畅通，</w:t>
      </w:r>
      <w:r>
        <w:rPr>
          <w:rFonts w:hint="eastAsia" w:ascii="宋体" w:hAnsi="宋体"/>
          <w:color w:val="auto"/>
          <w:sz w:val="24"/>
          <w:highlight w:val="none"/>
          <w:lang w:val="zh-CN"/>
        </w:rPr>
        <w:t xml:space="preserve">及时登录苏采云系统查阅、答复相关信息，并安排专人与交易中心及磋商小组联系。</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25.磋商程序及评审方法与评审标准</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25.1 磋商程序</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25.2 评审方法与评审标准</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25.2.1 评审方法。见磋商文件第五章。</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25.2.2 评审标准。见磋商文件第五章。</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25.3 采购活动终止</w:t>
      </w:r>
      <w:r/>
    </w:p>
    <w:p>
      <w:pPr>
        <w:ind w:firstLine="422"/>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出现下列情形之一的，本次采购活动终止：</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25.3.1 因情况变化，不再符合竞争性磋商采购方式适用情形。</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25.3.2 出现影响采购公正的违法、违规行为。</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25.3.3 在苏采云系统规定时间内成功解密电子响应文件的供应商不足三家。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w:t>
      </w:r>
      <w:r>
        <w:rPr>
          <w:rFonts w:hint="eastAsia" w:ascii="宋体" w:hAnsi="宋体"/>
          <w:color w:val="auto"/>
          <w:sz w:val="24"/>
          <w:szCs w:val="21"/>
          <w:highlight w:val="none"/>
        </w:rPr>
        <w:t xml:space="preserve">5</w:t>
      </w:r>
      <w:r>
        <w:rPr>
          <w:rFonts w:hint="eastAsia" w:ascii="宋体" w:hAnsi="宋体"/>
          <w:color w:val="auto"/>
          <w:sz w:val="24"/>
          <w:szCs w:val="21"/>
          <w:highlight w:val="none"/>
          <w:lang w:val="zh-CN"/>
        </w:rPr>
        <w:t xml:space="preserve">.3.5</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法律法规规定的其他应当终止情形。</w:t>
      </w:r>
      <w:r/>
    </w:p>
    <w:p>
      <w:pPr>
        <w:ind w:firstLine="422"/>
        <w:rPr>
          <w:rFonts w:ascii="宋体" w:hAnsi="宋体"/>
          <w:b/>
          <w:bCs/>
          <w:color w:val="auto"/>
          <w:sz w:val="24"/>
          <w:highlight w:val="none"/>
        </w:rPr>
      </w:pPr>
      <w:r>
        <w:rPr>
          <w:rFonts w:hint="eastAsia" w:ascii="宋体" w:hAnsi="宋体"/>
          <w:b/>
          <w:bCs/>
          <w:color w:val="auto"/>
          <w:sz w:val="24"/>
          <w:highlight w:val="none"/>
          <w:lang w:val="zh-CN"/>
        </w:rPr>
        <w:t xml:space="preserve">25.4 如出现25.</w:t>
      </w:r>
      <w:r>
        <w:rPr>
          <w:rFonts w:hint="eastAsia" w:ascii="宋体" w:hAnsi="宋体"/>
          <w:b/>
          <w:bCs/>
          <w:color w:val="auto"/>
          <w:sz w:val="24"/>
          <w:highlight w:val="none"/>
        </w:rPr>
        <w:t xml:space="preserve">3</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3</w:t>
      </w:r>
      <w:r>
        <w:rPr>
          <w:rFonts w:hint="eastAsia" w:ascii="宋体" w:hAnsi="宋体"/>
          <w:b/>
          <w:bCs/>
          <w:color w:val="auto"/>
          <w:sz w:val="24"/>
          <w:highlight w:val="none"/>
          <w:lang w:val="zh-CN"/>
        </w:rPr>
        <w:t xml:space="preserve">或25.3</w:t>
      </w:r>
      <w:r>
        <w:rPr>
          <w:rFonts w:hint="eastAsia" w:ascii="宋体" w:hAnsi="宋体"/>
          <w:b/>
          <w:bCs/>
          <w:color w:val="auto"/>
          <w:sz w:val="24"/>
          <w:highlight w:val="none"/>
        </w:rPr>
        <w:t xml:space="preserve">.4</w:t>
      </w:r>
      <w:r>
        <w:rPr>
          <w:rFonts w:hint="eastAsia" w:ascii="宋体" w:hAnsi="宋体"/>
          <w:b/>
          <w:bCs/>
          <w:color w:val="auto"/>
          <w:sz w:val="24"/>
          <w:highlight w:val="none"/>
          <w:lang w:val="zh-CN"/>
        </w:rPr>
        <w:t xml:space="preserve">情形，</w:t>
      </w:r>
      <w:r>
        <w:rPr>
          <w:rFonts w:hint="eastAsia" w:ascii="宋体" w:hAnsi="宋体"/>
          <w:b/>
          <w:bCs/>
          <w:color w:val="auto"/>
          <w:sz w:val="24"/>
          <w:highlight w:val="none"/>
        </w:rPr>
        <w:t xml:space="preserve">采购</w:t>
      </w:r>
      <w:r>
        <w:rPr>
          <w:rFonts w:hint="eastAsia" w:ascii="宋体" w:hAnsi="宋体"/>
          <w:b/>
          <w:bCs/>
          <w:color w:val="auto"/>
          <w:sz w:val="24"/>
          <w:highlight w:val="none"/>
          <w:lang w:val="zh-CN"/>
        </w:rPr>
        <w:t xml:space="preserve">活动失败，</w:t>
      </w:r>
      <w:r>
        <w:rPr>
          <w:rFonts w:hint="eastAsia" w:ascii="宋体" w:hAnsi="宋体"/>
          <w:b/>
          <w:bCs/>
          <w:color w:val="auto"/>
          <w:sz w:val="24"/>
          <w:highlight w:val="none"/>
        </w:rPr>
        <w:t xml:space="preserve">磋商小组应</w:t>
      </w:r>
      <w:r>
        <w:rPr>
          <w:rFonts w:hint="eastAsia" w:ascii="宋体" w:hAnsi="宋体"/>
          <w:b/>
          <w:bCs/>
          <w:color w:val="auto"/>
          <w:sz w:val="24"/>
          <w:highlight w:val="none"/>
          <w:lang w:bidi="ar"/>
        </w:rPr>
        <w:t xml:space="preserve">对磋商</w:t>
      </w:r>
      <w:r>
        <w:rPr>
          <w:rFonts w:hint="eastAsia" w:ascii="宋体" w:hAnsi="宋体"/>
          <w:b/>
          <w:bCs/>
          <w:color w:val="auto"/>
          <w:sz w:val="24"/>
          <w:highlight w:val="none"/>
          <w:lang w:val="zh-CN" w:bidi="ar"/>
        </w:rPr>
        <w:t xml:space="preserve">文件是否存在不合理条款</w:t>
      </w:r>
      <w:r>
        <w:rPr>
          <w:rFonts w:hint="eastAsia" w:ascii="宋体" w:hAnsi="宋体"/>
          <w:b/>
          <w:bCs/>
          <w:color w:val="auto"/>
          <w:sz w:val="24"/>
          <w:highlight w:val="none"/>
          <w:lang w:bidi="ar"/>
        </w:rPr>
        <w:t xml:space="preserve">进行论证，并在评审报告中写明</w:t>
      </w:r>
      <w:r>
        <w:rPr>
          <w:rFonts w:hint="eastAsia" w:ascii="宋体" w:hAnsi="宋体"/>
          <w:b/>
          <w:bCs/>
          <w:color w:val="auto"/>
          <w:sz w:val="24"/>
          <w:highlight w:val="none"/>
          <w:lang w:val="zh-CN" w:bidi="ar"/>
        </w:rPr>
        <w:t xml:space="preserve">论证意见。</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六、成交</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26.确定成交单位</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26.1 成交候选供应商的确定原则和数量见磋商文件第五章。</w:t>
      </w:r>
      <w:r/>
    </w:p>
    <w:p>
      <w:pPr>
        <w:ind w:firstLine="420"/>
        <w:rPr>
          <w:rFonts w:ascii="宋体" w:hAnsi="宋体"/>
          <w:color w:val="auto"/>
          <w:sz w:val="24"/>
          <w:szCs w:val="24"/>
          <w:highlight w:val="none"/>
        </w:rPr>
      </w:pPr>
      <w:r>
        <w:rPr>
          <w:rFonts w:hint="eastAsia" w:ascii="宋体" w:hAnsi="宋体"/>
          <w:color w:val="auto"/>
          <w:sz w:val="24"/>
          <w:szCs w:val="21"/>
          <w:highlight w:val="none"/>
        </w:rPr>
        <w:t xml:space="preserve">26.2 </w:t>
      </w:r>
      <w:r>
        <w:rPr>
          <w:rFonts w:hint="eastAsia" w:ascii="宋体" w:hAnsi="宋体"/>
          <w:color w:val="auto"/>
          <w:sz w:val="24"/>
          <w:szCs w:val="21"/>
          <w:highlight w:val="none"/>
          <w:lang w:val="zh-CN"/>
        </w:rPr>
        <w:t xml:space="preserve">按以下第（</w:t>
      </w:r>
      <w:r>
        <w:rPr>
          <w:rFonts w:hint="eastAsia" w:ascii="宋体" w:hAnsi="宋体"/>
          <w:color w:val="auto"/>
          <w:sz w:val="24"/>
          <w:szCs w:val="21"/>
          <w:highlight w:val="none"/>
        </w:rPr>
        <w:t xml:space="preserve">2</w:t>
      </w:r>
      <w:r>
        <w:rPr>
          <w:rFonts w:hint="eastAsia" w:ascii="宋体" w:hAnsi="宋体"/>
          <w:color w:val="auto"/>
          <w:sz w:val="24"/>
          <w:szCs w:val="21"/>
          <w:highlight w:val="none"/>
          <w:lang w:val="zh-CN"/>
        </w:rPr>
        <w:t xml:space="preserve">）种方式确定</w:t>
      </w:r>
      <w:r>
        <w:rPr>
          <w:rFonts w:hint="eastAsia" w:ascii="宋体" w:hAnsi="宋体"/>
          <w:color w:val="auto"/>
          <w:sz w:val="24"/>
          <w:szCs w:val="21"/>
          <w:highlight w:val="none"/>
        </w:rPr>
        <w:t xml:space="preserve">成交供应商</w:t>
      </w:r>
      <w:r/>
    </w:p>
    <w:p>
      <w:pPr>
        <w:ind w:firstLine="42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rPr>
        <w:t xml:space="preserve">磋商小组</w:t>
      </w:r>
      <w:r>
        <w:rPr>
          <w:rFonts w:hint="eastAsia" w:ascii="宋体" w:hAnsi="宋体"/>
          <w:color w:val="auto"/>
          <w:sz w:val="24"/>
          <w:szCs w:val="21"/>
          <w:highlight w:val="none"/>
          <w:lang w:val="zh-CN"/>
        </w:rPr>
        <w:t xml:space="preserve">直接确定排名第一的</w:t>
      </w:r>
      <w:r>
        <w:rPr>
          <w:rFonts w:hint="eastAsia" w:ascii="宋体" w:hAnsi="宋体"/>
          <w:color w:val="auto"/>
          <w:sz w:val="24"/>
          <w:szCs w:val="21"/>
          <w:highlight w:val="none"/>
        </w:rPr>
        <w:t xml:space="preserve">成交候选供应商</w:t>
      </w:r>
      <w:r>
        <w:rPr>
          <w:rFonts w:hint="eastAsia" w:ascii="宋体" w:hAnsi="宋体"/>
          <w:color w:val="auto"/>
          <w:sz w:val="24"/>
          <w:szCs w:val="21"/>
          <w:highlight w:val="none"/>
          <w:lang w:val="zh-CN"/>
        </w:rPr>
        <w:t xml:space="preserve">为</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w:t>
      </w:r>
      <w:r/>
    </w:p>
    <w:p>
      <w:pPr>
        <w:ind w:firstLine="42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（2）采购人在</w:t>
      </w:r>
      <w:r>
        <w:rPr>
          <w:rFonts w:hint="eastAsia" w:ascii="宋体" w:hAnsi="宋体"/>
          <w:color w:val="auto"/>
          <w:sz w:val="24"/>
          <w:szCs w:val="21"/>
          <w:highlight w:val="none"/>
        </w:rPr>
        <w:t xml:space="preserve">磋商小组</w:t>
      </w:r>
      <w:r>
        <w:rPr>
          <w:rFonts w:hint="eastAsia" w:ascii="宋体" w:hAnsi="宋体"/>
          <w:color w:val="auto"/>
          <w:sz w:val="24"/>
          <w:szCs w:val="21"/>
          <w:highlight w:val="none"/>
          <w:lang w:val="zh-CN"/>
        </w:rPr>
        <w:t xml:space="preserve">推荐的</w:t>
      </w:r>
      <w:r>
        <w:rPr>
          <w:rFonts w:hint="eastAsia" w:ascii="宋体" w:hAnsi="宋体"/>
          <w:color w:val="auto"/>
          <w:sz w:val="24"/>
          <w:szCs w:val="21"/>
          <w:highlight w:val="none"/>
        </w:rPr>
        <w:t xml:space="preserve">成交候选供应商</w:t>
      </w:r>
      <w:r>
        <w:rPr>
          <w:rFonts w:hint="eastAsia" w:ascii="宋体" w:hAnsi="宋体"/>
          <w:color w:val="auto"/>
          <w:sz w:val="24"/>
          <w:szCs w:val="21"/>
          <w:highlight w:val="none"/>
          <w:lang w:val="zh-CN"/>
        </w:rPr>
        <w:t xml:space="preserve">中按顺序确定</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w:t>
      </w:r>
      <w:r/>
    </w:p>
    <w:p>
      <w:pPr>
        <w:ind w:firstLine="42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按第二种方式确定</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auto"/>
          <w:sz w:val="24"/>
          <w:szCs w:val="21"/>
          <w:highlight w:val="none"/>
        </w:rPr>
        <w:t xml:space="preserve">成交候选供应商</w:t>
      </w:r>
      <w:r>
        <w:rPr>
          <w:rFonts w:hint="eastAsia" w:ascii="宋体" w:hAnsi="宋体"/>
          <w:color w:val="auto"/>
          <w:sz w:val="24"/>
          <w:szCs w:val="21"/>
          <w:highlight w:val="none"/>
          <w:lang w:val="zh-CN"/>
        </w:rPr>
        <w:t xml:space="preserve">中按顺序确定</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26.3 交易中心将在“江苏政府采购网”发布成交结果公告，公告期限为1个工作日。</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26.4 </w:t>
      </w:r>
      <w:r>
        <w:rPr>
          <w:rFonts w:hint="eastAsia" w:ascii="宋体" w:hAnsi="宋体"/>
          <w:b/>
          <w:bCs/>
          <w:color w:val="auto"/>
          <w:sz w:val="24"/>
          <w:szCs w:val="21"/>
          <w:highlight w:val="none"/>
        </w:rPr>
        <w:t xml:space="preserve">若有充分证据证明成交供应商有下列情况之一的，一经查实将被取消成交资格：</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26.4.1 提供虚假材料谋取成交。</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26.4.2 向评审专家、采购人或交易中心工作人员行贿或者提供其他不正当利益。</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26.4.3 与其他供应商、评审专家、采购人或交易中心工作人员恶意串通。</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26.4.4 不满足本磋商文件规定的实质性要求，但在评审过程中未被磋商小组发现。</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26.4.5 采取不正当手段诋毁、排挤其他供应商。</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27.成交通知书</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27.1 成交结果确定后，交易中心将向成交供应商发出《成交通知书》。成交供应商可在成交结果公告届满之日起三十日内，登录苏采云系统下载。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28.签订合同</w:t>
      </w:r>
      <w:r/>
    </w:p>
    <w:p>
      <w:pPr>
        <w:ind w:firstLine="420"/>
        <w:rPr>
          <w:rFonts w:ascii="宋体" w:hAnsi="宋体"/>
          <w:color w:val="auto"/>
          <w:sz w:val="24"/>
          <w:highlight w:val="none"/>
        </w:rPr>
      </w:pPr>
      <w:r>
        <w:rPr>
          <w:rFonts w:hint="eastAsia" w:ascii="宋体" w:hAnsi="宋体"/>
          <w:color w:val="auto"/>
          <w:sz w:val="24"/>
          <w:szCs w:val="21"/>
          <w:highlight w:val="none"/>
        </w:rPr>
        <w:t xml:space="preserve">28.l 成交供应商应当在《成交通知书》发出之日起三十日内，按照磋商文件确定的事项与采购人签订政府采购合同。</w:t>
      </w:r>
      <w:r>
        <w:rPr>
          <w:rFonts w:hint="eastAsia" w:ascii="宋体" w:hAnsi="宋体"/>
          <w:color w:val="auto"/>
          <w:sz w:val="24"/>
          <w:highlight w:val="none"/>
        </w:rPr>
        <w:t xml:space="preserve">采购人于合同签订后2个工作日内通过苏采云系统进行公示。</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28.2 磋商文件、成交供应商的响应文件及磋商过程中有关澄清、承诺文件均作为合同附件。</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28.4 成交供应商因自身原因拒绝与采购人签订合同的，</w:t>
      </w:r>
      <w:r>
        <w:rPr>
          <w:rFonts w:hint="eastAsia" w:ascii="宋体" w:hAnsi="宋体"/>
          <w:color w:val="auto"/>
          <w:sz w:val="24"/>
          <w:highlight w:val="none"/>
          <w:lang w:val="zh-CN"/>
        </w:rPr>
        <w:t xml:space="preserve">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8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szCs w:val="21"/>
          <w:highlight w:val="none"/>
        </w:rPr>
        <w:t xml:space="preserve">30.1 成交供应商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w:t>
      </w:r>
      <w:r>
        <w:rPr>
          <w:rFonts w:hint="eastAsia" w:ascii="宋体" w:hAnsi="宋体"/>
          <w:color w:val="auto"/>
          <w:sz w:val="24"/>
          <w:highlight w:val="none"/>
        </w:rPr>
        <w:t xml:space="preserve">平台</w:t>
      </w:r>
      <w:r>
        <w:rPr>
          <w:rFonts w:hint="eastAsia" w:ascii="宋体" w:hAnsi="宋体"/>
          <w:color w:val="auto"/>
          <w:sz w:val="24"/>
          <w:highlight w:val="none"/>
          <w:lang w:val="zh-CN"/>
        </w:rPr>
        <w:t xml:space="preserve">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rFonts w:hint="eastAsia"/>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150号），需要缴纳履约保证金的，成交供应商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88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对采购文件提出质疑的，为收到采购文件之日或者采购文件公告期限届满之日。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对成交结果提出质疑的，为成交结果公告期限届满之日。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采购人将只对供应商第一次质疑作出答复。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auto"/>
          <w:sz w:val="24"/>
          <w:highlight w:val="none"/>
          <w:lang w:val="zh-CN"/>
        </w:rPr>
      </w:pPr>
      <w:r>
        <w:rPr>
          <w:rFonts w:hint="eastAsia" w:ascii="宋体" w:hAnsi="宋体"/>
          <w:color w:val="auto"/>
          <w:sz w:val="24"/>
          <w:highlight w:val="none"/>
        </w:rPr>
        <w:t xml:space="preserve">35.</w:t>
      </w:r>
      <w:r>
        <w:rPr>
          <w:rFonts w:hint="eastAsia" w:ascii="宋体" w:hAnsi="宋体"/>
          <w:b/>
          <w:bCs/>
          <w:color w:val="auto"/>
          <w:sz w:val="24"/>
          <w:highlight w:val="none"/>
        </w:rPr>
        <w:t xml:space="preserve">供应商根据质疑事项向相应的质疑答复主体提出质疑，具体详见采购文件第一章。由采购人负责答复的质疑，采购人将《质疑函》《质疑答复函》抄送交易中心。</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36.</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w:t>
      </w:r>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37</w:t>
      </w:r>
      <w:r>
        <w:rPr>
          <w:rFonts w:hint="eastAsia" w:ascii="宋体" w:hAnsi="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86"/>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887"/>
        <w:ind w:firstLine="420"/>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38.1 本项目</w:t>
      </w:r>
      <w:r>
        <w:rPr>
          <w:rFonts w:hint="eastAsia" w:ascii="宋体" w:hAnsi="宋体"/>
          <w:color w:val="auto"/>
          <w:sz w:val="24"/>
          <w:highlight w:val="none"/>
          <w:lang w:val="zh-CN"/>
        </w:rPr>
        <w:t xml:space="preserve">服务由中小企业承接的，</w:t>
      </w:r>
      <w:r>
        <w:rPr>
          <w:rFonts w:hint="eastAsia" w:ascii="宋体" w:hAnsi="宋体"/>
          <w:color w:val="auto"/>
          <w:sz w:val="24"/>
          <w:highlight w:val="none"/>
        </w:rPr>
        <w:t xml:space="preserve">参与磋商的供应商</w:t>
      </w:r>
      <w:r>
        <w:rPr>
          <w:rFonts w:hint="eastAsia" w:ascii="宋体" w:hAnsi="宋体"/>
          <w:color w:val="auto"/>
          <w:sz w:val="24"/>
          <w:highlight w:val="none"/>
          <w:lang w:val="zh-CN"/>
        </w:rPr>
        <w:t xml:space="preserve">享受中小企业扶持政策：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bookmarkEnd w:id="8"/>
      <w:r/>
      <w:bookmarkEnd w:id="9"/>
      <w:r/>
      <w:bookmarkEnd w:id="10"/>
      <w:r/>
      <w:bookmarkEnd w:id="11"/>
      <w:r/>
      <w:r/>
    </w:p>
    <w:p>
      <w:pPr>
        <w:pStyle w:val="887"/>
        <w:ind w:firstLine="420"/>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39.节能环保产品</w:t>
      </w:r>
      <w:r/>
    </w:p>
    <w:p>
      <w:pPr>
        <w:ind w:firstLine="420"/>
        <w:rPr>
          <w:rFonts w:hint="eastAsia" w:ascii="宋体" w:hAnsi="宋体"/>
          <w:color w:val="auto"/>
          <w:sz w:val="24"/>
          <w:highlight w:val="none"/>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rPr>
      </w:pPr>
      <w:r>
        <w:rPr>
          <w:rFonts w:hint="eastAsia" w:ascii="宋体" w:hAnsi="宋体"/>
          <w:color w:val="auto"/>
          <w:sz w:val="24"/>
          <w:highlight w:val="none"/>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887"/>
        <w:ind w:firstLine="420"/>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40.绿色采购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87"/>
        <w:ind w:firstLine="420"/>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41.创新产品采购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887"/>
        <w:ind w:firstLine="420"/>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42.网络产品、市场准入类产品采购</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42.1 本</w:t>
      </w:r>
      <w:r>
        <w:rPr>
          <w:rFonts w:hint="eastAsia" w:ascii="宋体" w:hAnsi="宋体"/>
          <w:color w:val="auto"/>
          <w:sz w:val="24"/>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87"/>
        <w:ind w:firstLine="420"/>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43.实施本国产品标准及相关政策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43.2本国产品应当符合以下条件：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（3）特定产品的关键组件、关键工序符合相关要求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43.3本国产品标准的适用范围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43.4对本国产品的支持政策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43.5政策执行要求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87"/>
        <w:ind w:firstLine="420"/>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rPr>
        <w:t xml:space="preserve">4</w:t>
      </w:r>
      <w:r>
        <w:rPr>
          <w:rFonts w:hint="eastAsia" w:ascii="方正楷体_GBK" w:hAnsi="方正楷体_GBK" w:eastAsia="方正楷体_GBK" w:cs="方正楷体_GBK"/>
          <w:color w:val="auto"/>
          <w:highlight w:val="none"/>
          <w:lang w:val="zh-CN"/>
        </w:rPr>
        <w:t xml:space="preserve">.数据交易说明</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数据交易标的包括数据产品、数据服务、数据工具。</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数据产品是指用于交易的数据和数据衍生产品，包括但不限于数据集、数据分析报告、数据可视化产品、数据指数、API 数据、加密数据等。</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数据工具是指可实现数据服务的软硬件工具，包括但不限于数据存储和管理工具、数据采集工具、数据清洗工具、数据分析工具、数据可视化工具、数据安全工具等。</w:t>
      </w:r>
      <w:r/>
    </w:p>
    <w:p>
      <w:pPr>
        <w:pStyle w:val="952"/>
        <w:ind w:firstLine="480"/>
        <w:rPr>
          <w:rFonts w:hint="eastAsia"/>
          <w:color w:val="auto"/>
          <w:sz w:val="24"/>
          <w:highlight w:val="none"/>
          <w:lang w:val="zh-CN"/>
        </w:rPr>
      </w:pPr>
      <w:r>
        <w:rPr>
          <w:rFonts w:hint="eastAsia"/>
          <w:color w:val="auto"/>
          <w:sz w:val="24"/>
          <w:highlight w:val="none"/>
          <w:lang w:val="zh-CN"/>
        </w:rPr>
      </w:r>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pStyle w:val="952"/>
        <w:ind w:firstLine="480"/>
        <w:rPr>
          <w:rFonts w:hint="eastAsia"/>
          <w:color w:val="auto"/>
          <w:sz w:val="24"/>
          <w:highlight w:val="none"/>
          <w:lang w:val="zh-CN"/>
        </w:rPr>
      </w:pPr>
      <w:r>
        <w:rPr>
          <w:rFonts w:hint="eastAsia"/>
          <w:color w:val="auto"/>
          <w:sz w:val="24"/>
          <w:highlight w:val="none"/>
          <w:lang w:val="zh-CN"/>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第三章  合同文本</w:t>
      </w:r>
      <w:r/>
    </w:p>
    <w:p>
      <w:pPr>
        <w:jc w:val="center"/>
        <w:spacing w:before="145" w:after="145"/>
        <w:rPr>
          <w:rFonts w:hint="eastAsia" w:ascii="宋体" w:hAnsi="宋体"/>
          <w:bCs/>
          <w:color w:val="auto"/>
          <w:sz w:val="24"/>
          <w:szCs w:val="21"/>
          <w:highlight w:val="none"/>
        </w:rPr>
      </w:pPr>
      <w:r>
        <w:rPr>
          <w:rFonts w:hint="eastAsia" w:ascii="宋体" w:hAnsi="宋体"/>
          <w:bCs/>
          <w:color w:val="auto"/>
          <w:sz w:val="24"/>
          <w:szCs w:val="21"/>
          <w:highlight w:val="none"/>
        </w:rPr>
        <w:t xml:space="preserve">以下为本项目的合同条款，合同双方不得对磋商、响应文件内容作实质性修改。</w:t>
      </w:r>
      <w:r/>
    </w:p>
    <w:p>
      <w:pPr>
        <w:pStyle w:val="961"/>
        <w:ind w:left="0"/>
        <w:rPr>
          <w:rFonts w:hint="eastAsia"/>
          <w:color w:val="auto"/>
          <w:highlight w:val="none"/>
        </w:rPr>
      </w:pPr>
      <w:r>
        <w:rPr>
          <w:rFonts w:hint="eastAsia"/>
          <w:color w:val="auto"/>
          <w:highlight w:val="none"/>
        </w:rPr>
      </w:r>
      <w:r/>
    </w:p>
    <w:p>
      <w:pPr>
        <w:jc w:val="center"/>
        <w:spacing w:before="145" w:after="145"/>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南京市政府采购合同（服务）</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南京市公共资源交易中心六合分中心组织的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w:t>
      </w:r>
      <w:r>
        <w:rPr>
          <w:rFonts w:hint="eastAsia" w:ascii="宋体" w:hAnsi="宋体" w:cs="Courier New"/>
          <w:color w:val="auto"/>
          <w:sz w:val="24"/>
          <w:szCs w:val="24"/>
          <w:highlight w:val="none"/>
        </w:rPr>
        <w:t xml:space="preserve">竞争性磋商</w:t>
      </w:r>
      <w:r>
        <w:rPr>
          <w:rFonts w:ascii="宋体" w:hAnsi="宋体" w:cs="Courier New"/>
          <w:color w:val="auto"/>
          <w:sz w:val="24"/>
          <w:szCs w:val="24"/>
          <w:highlight w:val="none"/>
        </w:rPr>
        <w:t xml:space="preserve">结果，签署本合同。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标的质量：按磋商文件及响应文件执行。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标的数量（规模）：按磋商文件及响应文件执行。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履行时间（期限）：按磋商文件及响应文件执行。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履行方式：按磋商文件及响应文件执行。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包装方式：按磋商文件及响应文件执行。</w:t>
      </w:r>
      <w:r/>
    </w:p>
    <w:p>
      <w:pPr>
        <w:rPr>
          <w:rFonts w:hint="eastAsia" w:ascii="宋体" w:hAnsi="宋体" w:cs="Courier New"/>
          <w:color w:val="auto"/>
          <w:sz w:val="24"/>
          <w:szCs w:val="24"/>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w:t>
      </w:r>
      <w:r>
        <w:rPr>
          <w:rFonts w:hint="eastAsia" w:ascii="宋体" w:hAnsi="宋体" w:cs="宋体"/>
          <w:color w:val="auto"/>
          <w:sz w:val="24"/>
          <w:szCs w:val="24"/>
          <w:highlight w:val="none"/>
        </w:rPr>
        <w:t xml:space="preserve">磋商</w:t>
      </w:r>
      <w:r>
        <w:rPr>
          <w:rFonts w:ascii="宋体" w:hAnsi="宋体" w:cs="宋体"/>
          <w:color w:val="auto"/>
          <w:sz w:val="24"/>
          <w:szCs w:val="24"/>
          <w:highlight w:val="none"/>
        </w:rPr>
        <w:t xml:space="preserve">文件、</w:t>
      </w:r>
      <w:r>
        <w:rPr>
          <w:rFonts w:hint="eastAsia" w:ascii="宋体" w:hAnsi="宋体" w:cs="宋体"/>
          <w:color w:val="auto"/>
          <w:sz w:val="24"/>
          <w:szCs w:val="24"/>
          <w:highlight w:val="none"/>
        </w:rPr>
        <w:t xml:space="preserve">响应</w:t>
      </w:r>
      <w:r>
        <w:rPr>
          <w:rFonts w:ascii="宋体" w:hAnsi="宋体" w:cs="宋体"/>
          <w:color w:val="auto"/>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922"/>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本合同金额为：人民币____________________元，（大写：_____________________）。</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乙方应按磋商文件规定的时间向甲方提供服务（包含与服务相关的货物）的有关技术资料。</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rPr>
          <w:rFonts w:hint="eastAsia" w:ascii="宋体" w:hAnsi="宋体" w:cs="Courier New"/>
          <w:color w:val="auto"/>
          <w:sz w:val="24"/>
          <w:szCs w:val="24"/>
          <w:highlight w:val="none"/>
        </w:rPr>
        <w:outlineLvl w:val="2"/>
      </w:pPr>
      <w:r>
        <w:rPr>
          <w:rFonts w:hint="eastAsia" w:ascii="宋体" w:hAnsi="宋体" w:cs="Courier New"/>
          <w:color w:val="auto"/>
          <w:sz w:val="24"/>
          <w:szCs w:val="24"/>
          <w:highlight w:val="none"/>
        </w:rPr>
        <w:t xml:space="preserve">6.1 本项目乙方无需缴纳履约保证金。</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除磋商文件接受分包并经甲方同意，乙方可按分包意向协议分包情况外，乙方不得将合同标的分包给他人履行。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22"/>
        <w:rPr>
          <w:rFonts w:hint="eastAsia" w:hAnsi="宋体"/>
          <w:color w:val="auto"/>
          <w:sz w:val="24"/>
          <w:szCs w:val="24"/>
          <w:highlight w:val="none"/>
        </w:rPr>
        <w:outlineLvl w:val="2"/>
      </w:pPr>
      <w:r/>
      <w:bookmarkStart w:id="13" w:name="OLE_LINK11"/>
      <w:r/>
      <w:bookmarkStart w:id="14" w:name="OLE_LINK10"/>
      <w:r>
        <w:rPr>
          <w:rFonts w:hint="eastAsia" w:hAnsi="宋体"/>
          <w:color w:val="auto"/>
          <w:sz w:val="24"/>
          <w:szCs w:val="24"/>
          <w:highlight w:val="none"/>
        </w:rPr>
        <w:t xml:space="preserve">8.1 合同款项的支付方式及时间</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8.1.1 合同签订且服务团队人员到位后，甲方支付合同总价款的30%作为预付款，</w:t>
      </w:r>
      <w:r>
        <w:rPr>
          <w:rFonts w:hint="eastAsia" w:hAnsi="宋体"/>
          <w:color w:val="auto"/>
          <w:sz w:val="24"/>
          <w:szCs w:val="24"/>
          <w:highlight w:val="none"/>
        </w:rPr>
        <w:t xml:space="preserve">系统开发完成并验收合格后支付合同总价款的</w:t>
      </w:r>
      <w:r>
        <w:rPr>
          <w:rFonts w:hint="eastAsia" w:ascii="宋体" w:hAnsi="宋体" w:cs="Courier New"/>
          <w:color w:val="auto"/>
          <w:sz w:val="24"/>
          <w:szCs w:val="24"/>
          <w:highlight w:val="none"/>
        </w:rPr>
        <w:t xml:space="preserve">60%</w:t>
      </w:r>
      <w:r>
        <w:rPr>
          <w:rFonts w:hint="eastAsia" w:hAnsi="宋体"/>
          <w:color w:val="auto"/>
          <w:sz w:val="24"/>
          <w:szCs w:val="24"/>
          <w:highlight w:val="none"/>
        </w:rPr>
        <w:t xml:space="preserve">。</w:t>
      </w:r>
      <w:r/>
    </w:p>
    <w:p>
      <w:pPr>
        <w:pStyle w:val="922"/>
        <w:spacing w:line="264" w:lineRule="auto"/>
        <w:rPr>
          <w:rFonts w:hint="eastAsia"/>
          <w:color w:val="auto"/>
          <w:highlight w:val="none"/>
        </w:rPr>
      </w:pPr>
      <w:r>
        <w:rPr>
          <w:rFonts w:hint="eastAsia" w:hAnsi="宋体"/>
          <w:color w:val="auto"/>
          <w:sz w:val="24"/>
          <w:szCs w:val="24"/>
          <w:highlight w:val="none"/>
        </w:rPr>
        <w:t xml:space="preserve">8.1.2 免费维保期满后，甲方支付合同总价款的10%。</w:t>
      </w:r>
      <w:bookmarkEnd w:id="13"/>
      <w:r/>
      <w:bookmarkEnd w:id="14"/>
      <w:r/>
      <w:r/>
    </w:p>
    <w:p>
      <w:pPr>
        <w:pStyle w:val="922"/>
        <w:rPr>
          <w:rFonts w:hint="eastAsia" w:hAnsi="宋体"/>
          <w:color w:val="auto"/>
          <w:sz w:val="24"/>
          <w:szCs w:val="24"/>
          <w:highlight w:val="none"/>
        </w:rPr>
      </w:pPr>
      <w:r>
        <w:rPr>
          <w:rFonts w:hint="eastAsia" w:hAnsi="宋体"/>
          <w:color w:val="auto"/>
          <w:sz w:val="24"/>
          <w:szCs w:val="24"/>
          <w:highlight w:val="none"/>
        </w:rPr>
        <w:t xml:space="preserve">8.1.3 满足合同约定支付条件的，甲方收到乙方发票后10个工作日内，将资金支付到合同约定的乙方账户。 </w:t>
      </w:r>
      <w:r/>
    </w:p>
    <w:p>
      <w:pPr>
        <w:pStyle w:val="922"/>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十、项目验收</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甲方依法组织履约验收工作。</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对于实际使用人和甲方分离的项目，甲方邀请实际使用人参与验收。</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lang w:val="zh-CN"/>
        </w:rPr>
        <w:t xml:space="preserve">10.7 网络安全、</w:t>
      </w:r>
      <w:r>
        <w:rPr>
          <w:rFonts w:hint="eastAsia" w:ascii="宋体" w:hAnsi="宋体" w:cs="Courier New"/>
          <w:color w:val="auto"/>
          <w:sz w:val="24"/>
          <w:szCs w:val="24"/>
          <w:highlight w:val="none"/>
        </w:rPr>
        <w:t xml:space="preserve">市场准入</w:t>
      </w:r>
      <w:r>
        <w:rPr>
          <w:rFonts w:hint="eastAsia" w:ascii="宋体" w:hAnsi="宋体" w:cs="Courier New"/>
          <w:color w:val="auto"/>
          <w:sz w:val="24"/>
          <w:szCs w:val="24"/>
          <w:highlight w:val="none"/>
          <w:lang w:val="zh-CN"/>
        </w:rPr>
        <w:t xml:space="preserve">要求（</w:t>
      </w:r>
      <w:r>
        <w:rPr>
          <w:rFonts w:hint="eastAsia" w:ascii="宋体" w:hAnsi="宋体" w:cs="Courier New"/>
          <w:color w:val="auto"/>
          <w:sz w:val="24"/>
          <w:szCs w:val="24"/>
          <w:highlight w:val="none"/>
        </w:rPr>
        <w:t xml:space="preserve">如有</w:t>
      </w:r>
      <w:r>
        <w:rPr>
          <w:rFonts w:hint="eastAsia" w:ascii="宋体" w:hAnsi="宋体" w:cs="Courier New"/>
          <w:color w:val="auto"/>
          <w:sz w:val="24"/>
          <w:szCs w:val="24"/>
          <w:highlight w:val="none"/>
          <w:lang w:val="zh-CN"/>
        </w:rPr>
        <w:t xml:space="preserve">）：无。</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十一、违约责任</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甲方无正当理由拒绝接受乙方提供服务的，应向乙方偿付拒绝接受服务合同总额</w:t>
      </w:r>
      <w:r/>
    </w:p>
    <w:p>
      <w:pPr>
        <w:rPr>
          <w:rFonts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w:t>
      </w:r>
      <w:r>
        <w:rPr>
          <w:rFonts w:ascii="宋体" w:hAnsi="宋体" w:cs="宋体"/>
          <w:color w:val="auto"/>
          <w:sz w:val="24"/>
          <w:szCs w:val="24"/>
          <w:highlight w:val="none"/>
        </w:rPr>
        <w:t xml:space="preserve">%。</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乙方所提供服务的标准不符合合同规定及磋商文件规定标准的，甲方有权拒绝接受服务，并可单方面解除合同。</w:t>
      </w:r>
      <w:r/>
    </w:p>
    <w:p>
      <w:pPr>
        <w:rPr>
          <w:rFonts w:hint="eastAsia"/>
          <w:color w:val="auto"/>
          <w:highlight w:val="none"/>
        </w:rPr>
      </w:pPr>
      <w:r>
        <w:rPr>
          <w:rFonts w:hint="eastAsia" w:ascii="宋体" w:hAnsi="宋体" w:cs="Courier New"/>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十二、不可抗力事件处理</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12.1 在合同有效期内，任何一方因不可抗力事件导致不能履行合同，则合同履行期可延长，其延长期与不可抗力影响期相同。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不可抗力事件发生后，应立即通知对方并寄送有关权威机构出具的证明。</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不可抗力事件延续120天以上，双方应通过友好协商，确定是否继续履行合同。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十三、解决争议的方法</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十四、合同生效及其它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本合同经双方加盖单位公章后生效。</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本合同未尽事宜，遵照《中华人民共和国民法典》《中华人民共和国政府采购法》有关条文执行。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本合同正本一式两份，具有同等法律效力，甲方、乙方各执一份。</w:t>
      </w:r>
      <w:r/>
    </w:p>
    <w:p>
      <w:pPr>
        <w:pStyle w:val="922"/>
        <w:spacing w:before="120" w:after="120"/>
        <w:rPr>
          <w:rFonts w:hint="eastAsia" w:hAnsi="宋体"/>
          <w:color w:val="auto"/>
          <w:sz w:val="24"/>
          <w:szCs w:val="24"/>
          <w:highlight w:val="none"/>
        </w:rPr>
      </w:pPr>
      <w:r>
        <w:rPr>
          <w:rFonts w:hint="eastAsia" w:hAnsi="宋体"/>
          <w:color w:val="auto"/>
          <w:sz w:val="24"/>
          <w:szCs w:val="24"/>
          <w:highlight w:val="none"/>
        </w:rPr>
        <w:t xml:space="preserve">  </w:t>
      </w:r>
      <w:r/>
    </w:p>
    <w:p>
      <w:pPr>
        <w:pStyle w:val="922"/>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甲方：（公章）                       乙方：（公章） </w:t>
      </w:r>
      <w:r/>
    </w:p>
    <w:p>
      <w:pPr>
        <w:pStyle w:val="922"/>
        <w:spacing w:before="120" w:after="120"/>
        <w:rPr>
          <w:rFonts w:hint="eastAsia" w:hAnsi="宋体"/>
          <w:color w:val="auto"/>
          <w:sz w:val="24"/>
          <w:szCs w:val="24"/>
          <w:highlight w:val="none"/>
        </w:rPr>
      </w:pPr>
      <w:r>
        <w:rPr>
          <w:rFonts w:hint="eastAsia" w:hAnsi="宋体"/>
          <w:color w:val="auto"/>
          <w:sz w:val="24"/>
          <w:szCs w:val="24"/>
          <w:highlight w:val="none"/>
        </w:rPr>
        <w:t xml:space="preserve">  地址：                               地址： </w:t>
      </w:r>
      <w:r/>
    </w:p>
    <w:p>
      <w:pPr>
        <w:pStyle w:val="922"/>
        <w:spacing w:before="120" w:after="120"/>
        <w:rPr>
          <w:rFonts w:hint="eastAsia"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p>
    <w:p>
      <w:pPr>
        <w:pStyle w:val="922"/>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922"/>
        <w:spacing w:before="120" w:after="120"/>
        <w:rPr>
          <w:rFonts w:hint="eastAsia" w:hAnsi="宋体"/>
          <w:color w:val="auto"/>
          <w:sz w:val="24"/>
          <w:szCs w:val="24"/>
          <w:highlight w:val="none"/>
        </w:rPr>
      </w:pPr>
      <w:r>
        <w:rPr>
          <w:rFonts w:hint="eastAsia" w:hAnsi="宋体"/>
          <w:color w:val="auto"/>
          <w:sz w:val="24"/>
          <w:szCs w:val="24"/>
          <w:highlight w:val="none"/>
        </w:rPr>
        <w:t xml:space="preserve">                                          </w:t>
      </w:r>
      <w:r/>
    </w:p>
    <w:p>
      <w:pPr>
        <w:pStyle w:val="922"/>
        <w:ind w:firstLine="5280"/>
        <w:spacing w:before="120" w:after="120"/>
        <w:rPr>
          <w:rFonts w:hint="eastAsia" w:hAnsi="宋体"/>
          <w:color w:val="auto"/>
          <w:sz w:val="24"/>
          <w:szCs w:val="24"/>
          <w:highlight w:val="none"/>
        </w:rPr>
      </w:pPr>
      <w:r>
        <w:rPr>
          <w:rFonts w:hint="eastAsia" w:hAnsi="宋体"/>
          <w:color w:val="auto"/>
          <w:sz w:val="24"/>
          <w:szCs w:val="24"/>
          <w:highlight w:val="none"/>
        </w:rPr>
        <w:t xml:space="preserve">签订日期：      年    月   日</w:t>
      </w:r>
      <w:r/>
    </w:p>
    <w:p>
      <w:pPr>
        <w:pStyle w:val="922"/>
        <w:ind w:firstLine="4800"/>
        <w:spacing w:before="120" w:after="120"/>
        <w:rPr>
          <w:rFonts w:hint="eastAsia" w:hAnsi="宋体"/>
          <w:color w:val="auto"/>
          <w:sz w:val="24"/>
          <w:szCs w:val="24"/>
          <w:highlight w:val="none"/>
        </w:rPr>
      </w:pPr>
      <w:r>
        <w:rPr>
          <w:rFonts w:hint="eastAsia" w:hAnsi="宋体"/>
          <w:color w:val="auto"/>
          <w:sz w:val="24"/>
          <w:szCs w:val="24"/>
          <w:highlight w:val="none"/>
        </w:rPr>
      </w:r>
      <w:r/>
    </w:p>
    <w:p>
      <w:pPr>
        <w:jc w:val="center"/>
        <w:spacing w:before="145" w:after="145"/>
        <w:rPr>
          <w:rFonts w:hint="eastAsia" w:ascii="宋体" w:hAnsi="宋体"/>
          <w:b/>
          <w:color w:val="auto"/>
          <w:sz w:val="30"/>
          <w:szCs w:val="21"/>
          <w:highlight w:val="none"/>
        </w:rPr>
        <w:outlineLvl w:val="1"/>
      </w:pPr>
      <w:r>
        <w:rPr>
          <w:rFonts w:hint="eastAsia" w:ascii="宋体" w:hAnsi="宋体"/>
          <w:b/>
          <w:color w:val="auto"/>
          <w:sz w:val="30"/>
          <w:szCs w:val="21"/>
          <w:highlight w:val="none"/>
        </w:rPr>
        <w:t xml:space="preserve">《*******合同》补充协议（合同附件）</w:t>
      </w:r>
      <w:r/>
    </w:p>
    <w:p>
      <w:pPr>
        <w:pStyle w:val="922"/>
        <w:jc w:val="left"/>
        <w:spacing w:before="120" w:after="120"/>
        <w:rPr>
          <w:rFonts w:hAnsi="宋体"/>
          <w:color w:val="auto"/>
          <w:sz w:val="24"/>
          <w:szCs w:val="24"/>
          <w:highlight w:val="none"/>
        </w:rPr>
      </w:pPr>
      <w:r>
        <w:rPr>
          <w:rFonts w:hint="eastAsia" w:hAnsi="宋体"/>
          <w:color w:val="auto"/>
          <w:sz w:val="24"/>
          <w:szCs w:val="24"/>
          <w:highlight w:val="none"/>
        </w:rPr>
        <w:t xml:space="preserve">    如遇磋商文件及合同未约定事项，双方可友好协商签订补充协议。</w:t>
      </w:r>
      <w:bookmarkEnd w:id="0"/>
      <w:r/>
      <w:bookmarkEnd w:id="1"/>
      <w:r/>
      <w:bookmarkEnd w:id="2"/>
      <w:r/>
      <w:bookmarkEnd w:id="3"/>
      <w:r/>
      <w:bookmarkEnd w:id="4"/>
      <w:r/>
      <w:bookmarkEnd w:id="5"/>
      <w:r/>
      <w:r/>
    </w:p>
    <w:p>
      <w:pPr>
        <w:pStyle w:val="1004"/>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bookmarkStart w:id="15" w:name="_Toc16938590"/>
      <w:r/>
      <w:bookmarkStart w:id="16" w:name="_Toc120614244"/>
      <w:r/>
      <w:bookmarkStart w:id="17" w:name="_Hlt16619350"/>
      <w:r/>
      <w:bookmarkStart w:id="18" w:name="_Toc20823346"/>
      <w:r/>
      <w:bookmarkStart w:id="19" w:name="_Toc462564139"/>
      <w:r/>
      <w:bookmarkStart w:id="20" w:name="_Toc479757211"/>
      <w:r>
        <w:rPr>
          <w:rFonts w:hint="eastAsia" w:hAnsi="宋体"/>
          <w:color w:val="auto"/>
          <w:sz w:val="24"/>
          <w:szCs w:val="24"/>
          <w:highlight w:val="none"/>
        </w:rPr>
        <w:br w:type="page" w:clear="all"/>
      </w:r>
      <w:bookmarkEnd w:id="15"/>
      <w:r/>
      <w:bookmarkEnd w:id="16"/>
      <w:r/>
      <w:bookmarkEnd w:id="17"/>
      <w:r/>
      <w:bookmarkEnd w:id="18"/>
      <w:r/>
      <w:bookmarkStart w:id="21" w:name="_Toc26554093"/>
      <w:r/>
      <w:bookmarkStart w:id="22" w:name="_Toc49090575"/>
      <w:r>
        <w:rPr>
          <w:rFonts w:hint="eastAsia" w:ascii="方正小标宋简体" w:hAnsi="方正小标宋简体" w:eastAsia="方正小标宋简体" w:cs="方正小标宋简体"/>
          <w:color w:val="auto"/>
          <w:sz w:val="36"/>
          <w:szCs w:val="36"/>
          <w:highlight w:val="none"/>
        </w:rPr>
        <w:t xml:space="preserve">第四章  采购需求</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olor w:val="auto"/>
          <w:sz w:val="24"/>
          <w:szCs w:val="24"/>
          <w:highlight w:val="none"/>
        </w:rPr>
        <w:t xml:space="preserve">服务类项目。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（一）项目背景</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江苏省卫健委《关于进一步规范健康体检机构管理工作的通知》（苏卫医发〔2018〕33号）：健康体检机构需通过信息化建设实现核心目标：一是体检流程标准化，要求机构建立统一的操作规范和数据采集标准，确保服务流程可追溯、质量可控，二是数据管理规范化，强调体检信息的电子化存储与安全传输，需符合《健康体检管理暂行规定》中关于数据完整性和隐私保护的要求；《“健康中国2030”规划纲要》：明确提出“发展基于互联网的健康服务，促进个性化健康管理服务发展”。</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目前医院的体检中心发展需要更便捷的预约（如在线选时段/套餐）、更短的等待时间、更易懂的报告解读与持续的健康跟踪”；同时需要降低漏检和误检率、通过检后服务增强用户粘性；公立医院体检中心与民营机构均在向“智慧体检”转型。</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（二）项目建设遵循标准</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遵循国家、行业及地方现行的规范和标准要求，包括中华医学会健康管理学会《健康体检质量控制指南》要求。</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以上标准如有更新，按更新后的标准执行。</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或：遵循国家、行业及地方现行的规范和标准。</w:t>
      </w:r>
      <w:r/>
    </w:p>
    <w:p>
      <w:p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709"/>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14"/>
        <w:gridCol w:w="1273"/>
        <w:gridCol w:w="707"/>
        <w:gridCol w:w="671"/>
        <w:gridCol w:w="988"/>
        <w:gridCol w:w="1614"/>
        <w:gridCol w:w="1242"/>
        <w:gridCol w:w="1027"/>
        <w:gridCol w:w="1060"/>
        <w:gridCol w:w="945"/>
      </w:tblGrid>
      <w:tr>
        <w:trPr>
          <w:trHeight w:val="470"/>
        </w:trPr>
        <w:tc>
          <w:tcPr>
            <w:tcW w:w="273"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675"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分项名称</w:t>
            </w:r>
            <w:r/>
          </w:p>
        </w:tc>
        <w:tc>
          <w:tcPr>
            <w:tcW w:w="375"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数量</w:t>
            </w:r>
            <w:r/>
          </w:p>
        </w:tc>
        <w:tc>
          <w:tcPr>
            <w:tcW w:w="356"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w:t>
            </w:r>
            <w:r/>
          </w:p>
        </w:tc>
        <w:tc>
          <w:tcPr>
            <w:tcW w:w="524"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产品类型</w:t>
            </w:r>
            <w:r/>
          </w:p>
        </w:tc>
        <w:tc>
          <w:tcPr>
            <w:tcW w:w="530"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单价上限</w:t>
            </w:r>
            <w:r/>
          </w:p>
          <w:p>
            <w:pPr>
              <w:jc w:val="center"/>
              <w:spacing w:line="264"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（元）</w:t>
            </w:r>
            <w:r/>
          </w:p>
        </w:tc>
        <w:tc>
          <w:tcPr>
            <w:tcW w:w="659"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所属行业</w:t>
            </w:r>
            <w:r/>
          </w:p>
        </w:tc>
        <w:tc>
          <w:tcPr>
            <w:tcW w:w="545"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属性</w:t>
            </w:r>
            <w:r/>
          </w:p>
        </w:tc>
        <w:tc>
          <w:tcPr>
            <w:tcW w:w="56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数据交易类型（如有）</w:t>
            </w:r>
            <w:r/>
          </w:p>
        </w:tc>
        <w:tc>
          <w:tcPr>
            <w:tcW w:w="50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政府强制采购节能产品（如有）</w:t>
            </w:r>
            <w:r/>
          </w:p>
        </w:tc>
      </w:tr>
      <w:tr>
        <w:trPr>
          <w:trHeight w:val="597"/>
        </w:trPr>
        <w:tc>
          <w:tcPr>
            <w:tcW w:w="273"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1</w:t>
            </w:r>
            <w:r/>
          </w:p>
        </w:tc>
        <w:tc>
          <w:tcPr>
            <w:tcW w:w="675" w:type="dxa"/>
            <w:vAlign w:val="center"/>
            <w:textDirection w:val="lrTb"/>
            <w:noWrap w:val="false"/>
          </w:tcPr>
          <w:p>
            <w:pPr>
              <w:spacing w:line="264"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智慧化体检系统</w:t>
            </w:r>
            <w:r/>
          </w:p>
        </w:tc>
        <w:tc>
          <w:tcPr>
            <w:tcW w:w="375"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1</w:t>
            </w:r>
            <w:r/>
          </w:p>
        </w:tc>
        <w:tc>
          <w:tcPr>
            <w:tcW w:w="35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524"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主要产品</w:t>
            </w:r>
            <w:r/>
          </w:p>
        </w:tc>
        <w:tc>
          <w:tcPr>
            <w:tcW w:w="530" w:type="dxa"/>
            <w:vAlign w:val="center"/>
            <w:textDirection w:val="lrTb"/>
            <w:noWrap w:val="false"/>
          </w:tcPr>
          <w:p>
            <w:pPr>
              <w:jc w:val="center"/>
              <w:spacing w:line="264"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1160000</w:t>
            </w:r>
            <w:r/>
          </w:p>
        </w:tc>
        <w:tc>
          <w:tcPr>
            <w:tcW w:w="65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W w:w="545"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w:t>
            </w:r>
            <w:r/>
          </w:p>
        </w:tc>
        <w:tc>
          <w:tcPr>
            <w:tcW w:w="56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数据工具</w:t>
            </w:r>
            <w:r/>
          </w:p>
        </w:tc>
        <w:tc>
          <w:tcPr>
            <w:tcW w:w="50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r>
    </w:tbl>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264" w:lineRule="auto"/>
        <w:rPr>
          <w:rFonts w:hint="eastAsia" w:ascii="宋体" w:hAnsi="宋体" w:cs="宋体"/>
          <w:bCs/>
          <w:color w:val="auto"/>
          <w:sz w:val="24"/>
          <w:szCs w:val="24"/>
          <w:highlight w:val="none"/>
        </w:rPr>
        <w:outlineLvl w:val="2"/>
      </w:pPr>
      <w:r/>
      <w:bookmarkStart w:id="23" w:name="_Toc120614281"/>
      <w:r>
        <w:rPr>
          <w:rFonts w:hint="eastAsia" w:ascii="宋体" w:hAnsi="宋体" w:cs="宋体"/>
          <w:bCs/>
          <w:color w:val="auto"/>
          <w:sz w:val="24"/>
          <w:szCs w:val="24"/>
          <w:highlight w:val="none"/>
        </w:rPr>
        <w:t xml:space="preserve">（一）技术要求</w:t>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系统框架总体要求</w:t>
      </w:r>
      <w:r/>
    </w:p>
    <w:p>
      <w:pPr>
        <w:numPr>
          <w:ilvl w:val="0"/>
          <w:numId w:val="5"/>
        </w:numPr>
        <w:ind w:left="425" w:hanging="425"/>
        <w:spacing w:line="264" w:lineRule="auto"/>
        <w:rPr>
          <w:rFonts w:hint="eastAsia" w:ascii="宋体" w:hAnsi="宋体"/>
          <w:color w:val="auto"/>
          <w:sz w:val="24"/>
          <w:szCs w:val="24"/>
          <w:highlight w:val="none"/>
        </w:rPr>
      </w:pPr>
      <w:r>
        <w:rPr>
          <w:rFonts w:hint="eastAsia" w:ascii="黑体" w:hAnsi="黑体" w:eastAsia="黑体" w:cs="黑体"/>
          <w:color w:val="auto"/>
          <w:sz w:val="24"/>
          <w:szCs w:val="24"/>
          <w:highlight w:val="none"/>
        </w:rPr>
        <w:t xml:space="preserve">★</w:t>
      </w:r>
      <w:r>
        <w:rPr>
          <w:rFonts w:hint="eastAsia" w:ascii="宋体" w:hAnsi="宋体"/>
          <w:color w:val="auto"/>
          <w:sz w:val="24"/>
          <w:szCs w:val="24"/>
          <w:highlight w:val="none"/>
        </w:rPr>
        <w:t xml:space="preserve">国产化及性能要求：整个系统能够适配使用安全可控的国有知识产权的操作系统和数据库系统和中间件，支持平台保存20年的体检数据量的环境下，保证软件正常稳定、高效运行。</w:t>
      </w:r>
      <w:r>
        <w:rPr>
          <w:rFonts w:hint="eastAsia" w:ascii="宋体" w:hAnsi="宋体"/>
          <w:b/>
          <w:bCs/>
          <w:color w:val="auto"/>
          <w:sz w:val="24"/>
          <w:szCs w:val="24"/>
          <w:highlight w:val="none"/>
        </w:rPr>
        <w:t xml:space="preserve">（备注：出具国产化数据库适配证书，否则作无效投标处理。）</w:t>
      </w:r>
      <w:r/>
    </w:p>
    <w:p>
      <w:pPr>
        <w:numPr>
          <w:ilvl w:val="0"/>
          <w:numId w:val="5"/>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三级等保：满足医院三级等保要求，具备三级信息系统安全等级保护备案证明。（</w:t>
      </w:r>
      <w:r>
        <w:rPr>
          <w:rFonts w:hint="eastAsia" w:ascii="宋体" w:hAnsi="宋体"/>
          <w:b/>
          <w:color w:val="auto"/>
          <w:sz w:val="24"/>
          <w:szCs w:val="24"/>
          <w:highlight w:val="none"/>
        </w:rPr>
        <w:t xml:space="preserve">备注：需提供三级等保证书。</w:t>
      </w:r>
      <w:r>
        <w:rPr>
          <w:rFonts w:hint="eastAsia" w:ascii="宋体" w:hAnsi="宋体"/>
          <w:color w:val="auto"/>
          <w:sz w:val="24"/>
          <w:szCs w:val="24"/>
          <w:highlight w:val="none"/>
        </w:rPr>
        <w:t xml:space="preserve">）</w:t>
      </w:r>
      <w:r/>
    </w:p>
    <w:p>
      <w:pPr>
        <w:numPr>
          <w:ilvl w:val="0"/>
          <w:numId w:val="5"/>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开发框架：系统基于B/S架构开发，所有体检流程能够在浏览器和客户端上运行，并完成所有功能。</w:t>
      </w:r>
      <w:r/>
    </w:p>
    <w:p>
      <w:pPr>
        <w:numPr>
          <w:ilvl w:val="0"/>
          <w:numId w:val="5"/>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分区管理模式：</w:t>
      </w:r>
      <w:r/>
    </w:p>
    <w:p>
      <w:pPr>
        <w:numPr>
          <w:ilvl w:val="1"/>
          <w:numId w:val="5"/>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系统支持体检中心分区管理模式，实现不同的人员在不同的区域体检，如VIP一、二、三区、普检区等，方便体检中心管理体检者。</w:t>
      </w:r>
      <w:r/>
    </w:p>
    <w:p>
      <w:pPr>
        <w:numPr>
          <w:ilvl w:val="1"/>
          <w:numId w:val="5"/>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实现微信端根据不同区域设置不同的预约号源数。预约完成后通知用户在哪个区域体检。能实现体检人员跨区体检，跨区体检者需要提示医生。工作量统计可以按照不同的分区来统计。</w:t>
      </w:r>
      <w:r/>
    </w:p>
    <w:p>
      <w:pPr>
        <w:numPr>
          <w:ilvl w:val="0"/>
          <w:numId w:val="5"/>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大数据可视化平台（</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1"/>
          <w:numId w:val="5"/>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支持通过大数据可视化平台，展示体检现场实时数据，为医院管理者提供实时可视化的导检现场监控平台。</w:t>
      </w:r>
      <w:r/>
    </w:p>
    <w:p>
      <w:pPr>
        <w:numPr>
          <w:ilvl w:val="1"/>
          <w:numId w:val="5"/>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个性化定制显示健康管理中心当天体检数据、月/季/年度报表，如登记人员套餐比例、年龄分布、体检者分类人数统计（团检个检人数、vip客户普通客户人数、登记人数、交表人数），人员密度、科室实时已检人数、当天体检者流量趋势、近期体检者趋势、财务月/季/年报表/实时目标完成率等。</w:t>
      </w:r>
      <w:r/>
    </w:p>
    <w:p>
      <w:pPr>
        <w:numPr>
          <w:ilvl w:val="0"/>
          <w:numId w:val="5"/>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数据统计：可通过自定义字段灵活生成各种统计报表，满足不同场景的统计需求。</w:t>
      </w:r>
      <w:r/>
    </w:p>
    <w:p>
      <w:pPr>
        <w:numPr>
          <w:ilvl w:val="0"/>
          <w:numId w:val="5"/>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操作日志：记录重点业务功能的操作日志，便于追溯。</w:t>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检前预约排期</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预约套餐，加项，改项</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支持进行加项，改项，改期，撤单操作。</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支持通过“1+X“问卷自动推荐体检项目或套餐。</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支持配置用户在同一天可预约的体检订单数量。</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可控制微信预约开放天数，开放30天表示体检者只能预约30天内的有效日期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不能超过设置天数。</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套餐对比：支持选择最多5个套餐进行横向对比套餐差异，包括套餐信息差异，金额差异，项目差异。</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按科室，病症筛选项目：加项时，支持按照科室或按照病症筛查相关项目信息，并支持给项目信息配置解读，告知客户项目意义等信息。</w:t>
      </w:r>
      <w:r/>
    </w:p>
    <w:p>
      <w:pPr>
        <w:numPr>
          <w:ilvl w:val="0"/>
          <w:numId w:val="6"/>
        </w:numPr>
        <w:ind w:left="425" w:hanging="425"/>
        <w:keepLines w:val="0"/>
        <w:keepNext w:val="0"/>
        <w:pageBreakBefore w:val="0"/>
        <w:spacing w:line="240" w:lineRule="auto"/>
        <w:widowControl w:val="off"/>
        <w:rPr>
          <w:color w:val="auto"/>
          <w:highlight w:val="none"/>
        </w:rPr>
      </w:pPr>
      <w:r>
        <w:rPr>
          <w:rFonts w:ascii="宋体" w:hAnsi="宋体" w:cs="宋体"/>
          <w:color w:val="auto"/>
          <w:sz w:val="22"/>
          <w:highlight w:val="none"/>
        </w:rPr>
        <w:t xml:space="preserve">▲</w:t>
      </w:r>
      <w:r>
        <w:rPr>
          <w:b/>
          <w:bCs/>
          <w:color w:val="auto"/>
          <w:spacing w:val="-7"/>
          <w:highlight w:val="none"/>
        </w:rPr>
        <w:t xml:space="preserve">预约支付</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pStyle w:val="712"/>
        <w:numPr>
          <w:ilvl w:val="1"/>
          <w:numId w:val="6"/>
        </w:numPr>
        <w:ind w:left="850" w:right="211" w:hanging="454"/>
        <w:keepLines w:val="0"/>
        <w:keepNext w:val="0"/>
        <w:pageBreakBefore w:val="0"/>
        <w:spacing w:before="182"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微信端预约体检</w:t>
      </w:r>
      <w:r>
        <w:rPr>
          <w:rFonts w:hint="eastAsia" w:ascii="宋体" w:hAnsi="宋体" w:eastAsia="宋体" w:cs="Times New Roman"/>
          <w:color w:val="auto"/>
          <w:sz w:val="24"/>
          <w:szCs w:val="24"/>
          <w:highlight w:val="none"/>
          <w:lang w:val="en-US" w:eastAsia="zh-CN" w:bidi="ar-SA"/>
        </w:rPr>
        <w:t xml:space="preserve">可设置支付方式（移动支付或现场支付），可设置适用的订单类型（个人订单或单位订单）。</w:t>
      </w:r>
      <w:r/>
    </w:p>
    <w:p>
      <w:pPr>
        <w:pStyle w:val="712"/>
        <w:numPr>
          <w:ilvl w:val="1"/>
          <w:numId w:val="6"/>
        </w:numPr>
        <w:ind w:left="850" w:hanging="454"/>
        <w:keepLines w:val="0"/>
        <w:keepNext w:val="0"/>
        <w:pageBreakBefore w:val="0"/>
        <w:spacing w:before="1"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预约完成后支持选择线上支付或线下支付。</w:t>
      </w:r>
      <w:r/>
    </w:p>
    <w:p>
      <w:pPr>
        <w:pStyle w:val="712"/>
        <w:numPr>
          <w:ilvl w:val="1"/>
          <w:numId w:val="6"/>
        </w:numPr>
        <w:ind w:left="850" w:hanging="454"/>
        <w:keepLines w:val="0"/>
        <w:keepNext w:val="0"/>
        <w:pageBreakBefore w:val="0"/>
        <w:spacing w:before="1"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个人预约支持微信完成预约，在线下进行缴费；也可以在微信端选择到院支付后并提交预约，可设置是否允许继续使用微信支付。</w:t>
      </w:r>
      <w:r/>
    </w:p>
    <w:p>
      <w:pPr>
        <w:pStyle w:val="712"/>
        <w:numPr>
          <w:ilvl w:val="1"/>
          <w:numId w:val="6"/>
        </w:numPr>
        <w:ind w:left="850" w:right="208" w:hanging="454"/>
        <w:keepLines w:val="0"/>
        <w:keepNext w:val="0"/>
        <w:pageBreakBefore w:val="0"/>
        <w:spacing w:before="3"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highlight w:val="none"/>
        </w:rPr>
        <w:t xml:space="preserve">单位预约可根据单位</w:t>
      </w:r>
      <w:r>
        <w:rPr>
          <w:rFonts w:hint="eastAsia" w:ascii="宋体" w:hAnsi="宋体" w:eastAsia="宋体" w:cs="宋体"/>
          <w:color w:val="auto"/>
          <w:spacing w:val="-2"/>
          <w:highlight w:val="none"/>
          <w:lang w:val="en-US" w:eastAsia="zh-CN"/>
        </w:rPr>
        <w:t xml:space="preserve">情况设定</w:t>
      </w:r>
      <w:r>
        <w:rPr>
          <w:rFonts w:hint="eastAsia" w:ascii="宋体" w:hAnsi="宋体" w:eastAsia="宋体" w:cs="宋体"/>
          <w:color w:val="auto"/>
          <w:spacing w:val="-2"/>
          <w:highlight w:val="none"/>
        </w:rPr>
        <w:t xml:space="preserve">收费模式，支持在订单总金额超出定额时客户</w:t>
      </w:r>
      <w:r>
        <w:rPr>
          <w:rFonts w:hint="eastAsia" w:ascii="宋体" w:hAnsi="宋体" w:eastAsia="宋体" w:cs="宋体"/>
          <w:color w:val="auto"/>
          <w:spacing w:val="-4"/>
          <w:highlight w:val="none"/>
        </w:rPr>
        <w:t xml:space="preserve">直接在微信缴纳超出费用。</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预约提醒：预约完成，预约改期，以及预约到期前，可发送微信消息推送提醒，或手机短信提醒（需体检中心具备短信平台）</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ascii="宋体" w:hAnsi="宋体" w:cs="宋体"/>
          <w:color w:val="auto"/>
          <w:sz w:val="24"/>
          <w:szCs w:val="24"/>
          <w:highlight w:val="none"/>
        </w:rPr>
        <w:t xml:space="preserve">▲</w:t>
      </w:r>
      <w:r>
        <w:rPr>
          <w:color w:val="auto"/>
          <w:spacing w:val="-37"/>
          <w:sz w:val="24"/>
          <w:szCs w:val="24"/>
          <w:highlight w:val="none"/>
        </w:rPr>
        <w:t xml:space="preserve"> </w:t>
      </w:r>
      <w:r>
        <w:rPr>
          <w:color w:val="auto"/>
          <w:spacing w:val="-2"/>
          <w:sz w:val="24"/>
          <w:szCs w:val="24"/>
          <w:highlight w:val="none"/>
        </w:rPr>
        <w:t xml:space="preserve">单位预约发布提醒及二维码</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color w:val="auto"/>
          <w:spacing w:val="-37"/>
          <w:sz w:val="24"/>
          <w:szCs w:val="24"/>
          <w:highlight w:val="none"/>
        </w:rPr>
        <w:t xml:space="preserve"> </w:t>
      </w:r>
      <w:r>
        <w:rPr>
          <w:color w:val="auto"/>
          <w:spacing w:val="-2"/>
          <w:sz w:val="24"/>
          <w:szCs w:val="24"/>
          <w:highlight w:val="none"/>
        </w:rPr>
        <w:t xml:space="preserve">单位预约排期发布后，系统</w:t>
      </w:r>
      <w:r>
        <w:rPr>
          <w:rFonts w:hint="eastAsia"/>
          <w:color w:val="auto"/>
          <w:spacing w:val="-2"/>
          <w:sz w:val="24"/>
          <w:szCs w:val="24"/>
          <w:highlight w:val="none"/>
          <w:lang w:val="en-US" w:eastAsia="zh-CN"/>
        </w:rPr>
        <w:t xml:space="preserve">可</w:t>
      </w:r>
      <w:r>
        <w:rPr>
          <w:color w:val="auto"/>
          <w:spacing w:val="-2"/>
          <w:sz w:val="24"/>
          <w:szCs w:val="24"/>
          <w:highlight w:val="none"/>
        </w:rPr>
        <w:t xml:space="preserve">发送短</w:t>
      </w:r>
      <w:r>
        <w:rPr>
          <w:color w:val="auto"/>
          <w:spacing w:val="-3"/>
          <w:sz w:val="24"/>
          <w:szCs w:val="24"/>
          <w:highlight w:val="none"/>
        </w:rPr>
        <w:t xml:space="preserve">信消息给单位人员，系统将自动生成单位预约二维码和预约详</w:t>
      </w:r>
      <w:r>
        <w:rPr>
          <w:color w:val="auto"/>
          <w:spacing w:val="-4"/>
          <w:sz w:val="24"/>
          <w:szCs w:val="24"/>
          <w:highlight w:val="none"/>
        </w:rPr>
        <w:t xml:space="preserve">情，客户扫描二维</w:t>
      </w:r>
      <w:r>
        <w:rPr>
          <w:color w:val="auto"/>
          <w:spacing w:val="-3"/>
          <w:sz w:val="24"/>
          <w:szCs w:val="24"/>
          <w:highlight w:val="none"/>
        </w:rPr>
        <w:t xml:space="preserve">码后可立即进入微信单位预约界面。</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亲属预约</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团检订单，支持帮亲属预约，亲属可以选择单位开放给亲属的套餐，可设置亲属是否享受单位折扣自费、单位付费或者完全自费。</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可支持客户为自己亲属预约个人体检套餐。</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报告查询</w:t>
      </w:r>
      <w:r/>
    </w:p>
    <w:p>
      <w:pPr>
        <w:numPr>
          <w:ilvl w:val="1"/>
          <w:numId w:val="6"/>
        </w:numPr>
        <w:ind w:left="850" w:hanging="453"/>
        <w:keepLines w:val="0"/>
        <w:keepNext w:val="0"/>
        <w:pageBreakBefore w:val="0"/>
        <w:spacing w:line="240" w:lineRule="auto"/>
        <w:widowControl w:val="off"/>
        <w:rPr>
          <w:rFonts w:hint="eastAsia" w:ascii="宋体" w:hAnsi="宋体"/>
          <w:b/>
          <w:bCs/>
          <w:color w:val="auto"/>
          <w:sz w:val="24"/>
          <w:szCs w:val="24"/>
          <w:highlight w:val="none"/>
        </w:rPr>
      </w:pPr>
      <w:r>
        <w:rPr>
          <w:rFonts w:hint="eastAsia" w:ascii="黑体" w:hAnsi="黑体" w:eastAsia="黑体" w:cs="黑体"/>
          <w:color w:val="auto"/>
          <w:sz w:val="24"/>
          <w:szCs w:val="24"/>
          <w:highlight w:val="none"/>
        </w:rPr>
        <w:t xml:space="preserve">★</w:t>
      </w:r>
      <w:r>
        <w:rPr>
          <w:rFonts w:hint="eastAsia" w:ascii="宋体" w:hAnsi="宋体"/>
          <w:color w:val="auto"/>
          <w:sz w:val="24"/>
          <w:szCs w:val="24"/>
          <w:highlight w:val="none"/>
        </w:rPr>
        <w:t xml:space="preserve">支持微信端查询客户本人或他人电子报告，并支持将体检报告PDF文件保存在手机中，可图文显示。</w:t>
      </w:r>
      <w:r>
        <w:rPr>
          <w:rFonts w:hint="eastAsia" w:ascii="宋体" w:hAnsi="宋体"/>
          <w:b/>
          <w:bCs/>
          <w:color w:val="auto"/>
          <w:sz w:val="24"/>
          <w:szCs w:val="24"/>
          <w:highlight w:val="none"/>
        </w:rPr>
        <w:t xml:space="preserve">（备注：内容需提供系统截图证明，否则作无效投标处理。）</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支持展示客户历年体检结果进行横向对比，并针对数值类型结果生成趋势图。</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支持设置微信端第三方查询报告详情的页签名称。</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“我的订单”支持查看报告的出具状态。</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项目互斥：选择了A项目，就不能选择B项目，比如选择了生化32项，就不允许选择生化16项。</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项目依赖：选择了A项目，必须选择B项目，比如做了血常规，必须选择耗材。</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预约详情：可设置微信端预约详情页面中字段填写规则，是否需要必填，支持与体检类型关联。</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预约流程设置价格隐藏：可设置微信端个检流程和团检流程中套餐或项目的价格是否隐藏。</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开发票</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微信端个人订单和单位订单支付完成后可设置是否允许开具电子发票。</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微信支持对个人完成支付的记录开具发票。</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支持查看未开发票的记录和开票历史。</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支持重新开票和重新发送发票至邮箱。</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支持维护抬头模版</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预约渠道</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支持通过支付宝小程序预约，预约完成之后支持支付宝缴费</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支持通过微信小程序，微信公众号预约，预约完成之后支持微信缴费</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预约设置（</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可设置每日及每个时间段可预约的个检人数，单位人数以及单位。</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可设置特殊日期的可约个检人数及单位人数。</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可设置项目上限和特殊项目。</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可设置不同年龄段可约人数。</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可设置不同套餐的可约人数及周期。</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可针对不同体检类型设置可约人数及周期。</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可针对不同用户等级设置可约人数及周期。</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单位预约发布提醒及二维码</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单位预约排期发布后，系统支持发送短信消息给单位人员。系统将自动生成单位预约二维码和预约详情，可直接复制，发送给单位负责人。客户扫描二维码后可立即进入微信单位预约界面</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支持批量取消发布预约时间，该操作不影响已预约订单。</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团检信息批量导入</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团检预约信息可通过Excel，批量的导入到系统，并支持对导入名单的证件号格式作标准校验，同时支持对人员的婚姻状况、性别、分组、年龄与对应套餐进行校验。</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提供自动匹配导入模式，对人员的基础信息做匹配，自动将人员导入条件适配的套餐中。</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预约工作台</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日历形式查看预约的已约、可约情况；支持查看具体日期中个人和单位已约人数，预留人数，个人余量，单位余量；支持添加备注；支持新增预约登记人员；支持对新增人员进行导医分配；支持可视化统计今日就餐人数和明日预约人数。</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在体检安排表中，支持查看单位订单的预约情况，同时支持查看个人体检的预约情况。</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可以查看未来一周的项目预约情况，以及每一天、每个时段的明细情况。</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可查看科室或分类的预约情况，支持按人数、按部位进行查看。</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支持自定义设置分类名称，在分类下添加组合项目，体检订单含有此组合项目后，可计入预约统计。</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预约管理（</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所有预约的用户信息，都可以在后台用户管理页面查询到。管理医院的预约情况，同时可以增加新的预约。</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单位导入的人员信息都可以在预约管理页面查询到，支持对人员进行预约，改期，批量预约，批量改期。</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检前改项：系统支持查看所有的预约详情记录，并支持医护人员查看人员问卷，病史，提前联系客户对订单进行加项，减项处理，加项会在微信端体现，用户可直接在手机进行支付。</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放号规则：可设置单位客户和个人客户预约的日期范围和时间范围，处于对应的日期范围或者时间范围内才可预约</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单位预约加项</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可设置加项金额是否能超过定额金额。</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可设置加项模式（禁用加项，使用加项，加项提示）。</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可设置不需要加项提醒的套餐类型。</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可设置禁止加项科室。</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 xml:space="preserve">改期规则</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可设置用户改期时间及改期次数。</w:t>
      </w:r>
      <w:r/>
    </w:p>
    <w:p>
      <w:pPr>
        <w:numPr>
          <w:ilvl w:val="1"/>
          <w:numId w:val="6"/>
        </w:numPr>
        <w:ind w:left="850" w:hanging="453"/>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可设置改期时是否提醒客户剩余改期次数和最迟改期时间</w:t>
      </w:r>
      <w:r/>
    </w:p>
    <w:p>
      <w:pPr>
        <w:numPr>
          <w:ilvl w:val="0"/>
          <w:numId w:val="6"/>
        </w:numPr>
        <w:ind w:left="425" w:hanging="425"/>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撤单规则：可设置周期内可撤单次数。</w:t>
      </w:r>
      <w:r/>
    </w:p>
    <w:p>
      <w:pPr>
        <w:numPr>
          <w:ilvl w:val="0"/>
          <w:numId w:val="6"/>
        </w:numPr>
        <w:ind w:left="425" w:hanging="425"/>
        <w:keepLines w:val="0"/>
        <w:keepNext w:val="0"/>
        <w:pageBreakBefore w:val="0"/>
        <w:spacing w:line="240" w:lineRule="auto"/>
        <w:widowControl w:val="off"/>
        <w:rPr>
          <w:rFonts w:hint="eastAsia" w:ascii="宋体" w:hAnsi="宋体"/>
          <w:b/>
          <w:color w:val="auto"/>
          <w:sz w:val="24"/>
          <w:szCs w:val="24"/>
          <w:highlight w:val="none"/>
        </w:rPr>
      </w:pPr>
      <w:r>
        <w:rPr>
          <w:rFonts w:hint="eastAsia" w:ascii="宋体" w:hAnsi="宋体"/>
          <w:color w:val="auto"/>
          <w:sz w:val="24"/>
          <w:szCs w:val="24"/>
          <w:highlight w:val="none"/>
        </w:rPr>
        <w:t xml:space="preserve">干保预约： “干保预约记录” 页签，列表字段按对方传参字段创建，同时有关联体检号、体检状态、干保订单状态、操作等字段，支持通过姓名、证件号等字段进行检索。操作列可触发各种同步和确认接口，如确认预约、取消确认预约等，且所有按钮需二次确认。</w:t>
      </w:r>
      <w:r/>
    </w:p>
    <w:p>
      <w:pPr>
        <w:numPr>
          <w:ilvl w:val="0"/>
          <w:numId w:val="0"/>
        </w:numPr>
        <w:keepLines w:val="0"/>
        <w:keepNext w:val="0"/>
        <w:pageBreakBefore w:val="0"/>
        <w:spacing w:line="24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检中体检系统</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提供多种字体</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系统提供至少两种字体选择，可以让医生按需求选择字体的大小，以适应老年医生的操作习惯。并且整个系统界面支持无极缩放功能，可放大，缩小显示的界面。</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字号大小记录用户习惯，重新登录后仍保持上次设置。</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个性化首页显示：首页支持展示多种数据，多种样式的可视化统计图表，如未来七天体检人数，报告逾期统计，数据接收逾期统计，过去一周应收统计。并可按照角色权限，或者个人喜好调整图表是否展示以及展示顺序。</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多屏展示数据：开单医生操作的信息，可通过第二个屏幕向体检者展示个人登记信息，套餐信息，体检项目信息，体检者可以对本人信息，项目及金额进行确认。</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多等级VIP </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支持自定义客户等级，可按照业务需求自由设置多个等级的VIP；</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订单等级根据用户档案等级、套餐等级、价格范围等级综合考量；</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等级优先级从高到低依次为，“vip”，“优先级”，“编码”；</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用户档案等级支持同步更新。</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可视化配置：系统提供多个功能模块的高自由自定义设置，适应不同医生的需求。</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结果特殊字符提示：支持针对性别，婚姻情况设置结果中不能出现的关键字，一旦出现将进行错误提醒不允许保存。如男性项目结果不能出现子宫。</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数据同步</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支持系统提供数据同步模块，自动检测HIS科室信息，人员信息，物价数据变动。</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支持在列表查看数据更新前后的内容。</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支持手动或自动同步体检项目价格，名称，编码等信息，并同步更新体检套餐。</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支持在基本信息-组合项目中将其状态变更为启用，数据同步-组合项目中启用状态（原值）列将显示为启用</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支持消息预警和报错，针对如Lis、pacs的第三方平台的数据回传，如超期未收到或者接口异常将针对指定用户发送邮件预警消息。 </w:t>
      </w:r>
      <w:r/>
    </w:p>
    <w:p>
      <w:pPr>
        <w:numPr>
          <w:ilvl w:val="0"/>
          <w:numId w:val="7"/>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结果/报告逾期提醒（</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系统可自由配置不同体检类型的报告逾期天数，超过未出总检报告将在系统内提醒相关人员及时处理，逾期天数统计跳过节假日。</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系统可自由配置每个体检项目的结果逾期天数，如果超期未接收或录入项目结果将在系统内提醒相关人员及时处理，逾期天数统计跳过节假日。</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预总检、体检总检、总检审核三个体检流程支持配置逾期天数，若超过时间未处理完成，将在系统内提醒相关人员及时处理，该逻辑跳过节假日；</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危重提醒：消息列表中可查看危急值消息。支持通过危重等级筛选消息。支持配置不同等级的危急值消息通知不通知。</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 xml:space="preserve">护士工作台</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体检轨迹：可在系统记录中自动记录客户的体检轨迹信息，针对如登记，选套餐，加减项，结算，收费，数据录入，总检，换套餐、报告出入柜各节点中的操作人员，操作时间以及操作内容信息。</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 xml:space="preserve">体检报告：体检后支持查看生成的pdf报告地址，在列表中，支持点击按钮查看pdf报告内容，同时也支持扫描二维码来查看pdf报告。</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登记信息</w:t>
      </w:r>
      <w:r/>
    </w:p>
    <w:p>
      <w:pPr>
        <w:pStyle w:val="712"/>
        <w:numPr>
          <w:ilvl w:val="1"/>
          <w:numId w:val="7"/>
        </w:numPr>
        <w:ind w:left="850" w:hanging="453"/>
        <w:spacing w:line="216" w:lineRule="auto"/>
        <w:rPr>
          <w:rFonts w:hint="eastAsia" w:ascii="宋体" w:hAnsi="宋体" w:eastAsia="宋体" w:cs="宋体"/>
          <w:color w:val="auto"/>
          <w:spacing w:val="-6"/>
          <w:highlight w:val="none"/>
        </w:rPr>
      </w:pPr>
      <w:r>
        <w:rPr>
          <w:rFonts w:hint="eastAsia" w:ascii="宋体" w:hAnsi="宋体" w:eastAsia="宋体" w:cs="宋体"/>
          <w:color w:val="auto"/>
          <w:spacing w:val="-2"/>
          <w:highlight w:val="none"/>
        </w:rPr>
        <w:t xml:space="preserve">可通过读取身份证、网络预约信息、</w:t>
      </w:r>
      <w:r>
        <w:rPr>
          <w:rFonts w:hint="eastAsia" w:ascii="宋体" w:hAnsi="宋体" w:eastAsia="宋体" w:cs="宋体"/>
          <w:color w:val="auto"/>
          <w:spacing w:val="-3"/>
          <w:highlight w:val="none"/>
        </w:rPr>
        <w:t xml:space="preserve">手工登记等</w:t>
      </w:r>
      <w:r>
        <w:rPr>
          <w:rFonts w:hint="eastAsia" w:ascii="宋体" w:hAnsi="宋体" w:eastAsia="宋体" w:cs="宋体"/>
          <w:color w:val="auto"/>
          <w:spacing w:val="-6"/>
          <w:highlight w:val="none"/>
        </w:rPr>
        <w:t xml:space="preserve">多种方式获取体检者信息。</w:t>
      </w:r>
      <w:r/>
    </w:p>
    <w:p>
      <w:pPr>
        <w:pStyle w:val="712"/>
        <w:numPr>
          <w:ilvl w:val="1"/>
          <w:numId w:val="7"/>
        </w:numPr>
        <w:ind w:left="850" w:hanging="453"/>
        <w:spacing w:line="216" w:lineRule="auto"/>
        <w:rPr>
          <w:rFonts w:hint="eastAsia" w:ascii="宋体" w:hAnsi="宋体" w:eastAsia="宋体" w:cs="宋体"/>
          <w:color w:val="auto"/>
          <w:spacing w:val="-3"/>
          <w:highlight w:val="none"/>
        </w:rPr>
      </w:pPr>
      <w:r>
        <w:rPr>
          <w:rFonts w:hint="eastAsia" w:ascii="宋体" w:hAnsi="宋体" w:eastAsia="宋体" w:cs="宋体"/>
          <w:color w:val="auto"/>
          <w:spacing w:val="-6"/>
          <w:highlight w:val="none"/>
        </w:rPr>
        <w:t xml:space="preserve">身份证识别：</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6"/>
          <w:highlight w:val="none"/>
        </w:rPr>
        <w:t xml:space="preserve">提供第二代身份证信息识别与读取功能</w:t>
      </w:r>
      <w:r>
        <w:rPr>
          <w:rFonts w:hint="eastAsia" w:ascii="宋体" w:hAnsi="宋体" w:eastAsia="宋体" w:cs="宋体"/>
          <w:color w:val="auto"/>
          <w:spacing w:val="-3"/>
          <w:highlight w:val="none"/>
        </w:rPr>
        <w:t xml:space="preserve">接口，自动提取电子照片、姓名、性别、出生年月等相关信息。</w:t>
      </w:r>
      <w:r/>
    </w:p>
    <w:p>
      <w:pPr>
        <w:pStyle w:val="712"/>
        <w:numPr>
          <w:ilvl w:val="1"/>
          <w:numId w:val="7"/>
        </w:numPr>
        <w:ind w:left="850" w:hanging="453"/>
        <w:spacing w:line="216" w:lineRule="auto"/>
        <w:rPr>
          <w:rFonts w:hint="eastAsia" w:ascii="宋体" w:hAnsi="宋体" w:eastAsia="宋体" w:cs="宋体"/>
          <w:color w:val="auto"/>
          <w:spacing w:val="-6"/>
          <w:highlight w:val="none"/>
        </w:rPr>
      </w:pPr>
      <w:r>
        <w:rPr>
          <w:rFonts w:hint="eastAsia" w:ascii="宋体" w:hAnsi="宋体" w:eastAsia="宋体" w:cs="宋体"/>
          <w:color w:val="auto"/>
          <w:spacing w:val="-3"/>
          <w:highlight w:val="none"/>
        </w:rPr>
        <w:t xml:space="preserve">电子</w:t>
      </w:r>
      <w:r>
        <w:rPr>
          <w:rFonts w:hint="eastAsia" w:ascii="宋体" w:hAnsi="宋体" w:eastAsia="宋体" w:cs="宋体"/>
          <w:color w:val="auto"/>
          <w:spacing w:val="-4"/>
          <w:highlight w:val="none"/>
        </w:rPr>
        <w:t xml:space="preserve">相片</w:t>
      </w:r>
      <w:r>
        <w:rPr>
          <w:rFonts w:hint="eastAsia" w:ascii="宋体" w:hAnsi="宋体" w:eastAsia="宋体" w:cs="宋体"/>
          <w:color w:val="auto"/>
          <w:spacing w:val="-3"/>
          <w:highlight w:val="none"/>
        </w:rPr>
        <w:t xml:space="preserve">摄取：提供电子相片摄取功能，照相环节可以自动设置是否需要照相</w:t>
      </w:r>
      <w:r>
        <w:rPr>
          <w:rFonts w:hint="eastAsia" w:ascii="宋体" w:hAnsi="宋体" w:eastAsia="宋体" w:cs="宋体"/>
          <w:color w:val="auto"/>
          <w:spacing w:val="-3"/>
          <w:highlight w:val="none"/>
          <w:lang w:eastAsia="zh-CN"/>
        </w:rPr>
        <w:t xml:space="preserve">，</w:t>
      </w:r>
      <w:r>
        <w:rPr>
          <w:rFonts w:hint="eastAsia" w:ascii="宋体" w:hAnsi="宋体" w:eastAsia="宋体" w:cs="宋体"/>
          <w:color w:val="auto"/>
          <w:spacing w:val="-6"/>
          <w:highlight w:val="none"/>
        </w:rPr>
        <w:t xml:space="preserve">避免替检情况发生。</w:t>
      </w:r>
      <w:r/>
    </w:p>
    <w:p>
      <w:pPr>
        <w:pStyle w:val="712"/>
        <w:numPr>
          <w:ilvl w:val="1"/>
          <w:numId w:val="7"/>
        </w:numPr>
        <w:ind w:left="850" w:hanging="453"/>
        <w:spacing w:line="216" w:lineRule="auto"/>
        <w:rPr>
          <w:rFonts w:hint="eastAsia" w:ascii="宋体" w:hAnsi="宋体" w:eastAsia="宋体" w:cs="宋体"/>
          <w:color w:val="auto"/>
          <w:sz w:val="24"/>
          <w:szCs w:val="24"/>
          <w:highlight w:val="none"/>
        </w:rPr>
      </w:pPr>
      <w:r>
        <w:rPr>
          <w:rFonts w:hint="eastAsia" w:ascii="宋体" w:hAnsi="宋体" w:eastAsia="宋体" w:cs="宋体"/>
          <w:color w:val="auto"/>
          <w:spacing w:val="-6"/>
          <w:highlight w:val="none"/>
        </w:rPr>
        <w:t xml:space="preserve">档案挂接： 提</w:t>
      </w:r>
      <w:r>
        <w:rPr>
          <w:rFonts w:hint="eastAsia" w:ascii="宋体" w:hAnsi="宋体" w:eastAsia="宋体" w:cs="宋体"/>
          <w:color w:val="auto"/>
          <w:spacing w:val="-7"/>
          <w:highlight w:val="none"/>
        </w:rPr>
        <w:t xml:space="preserve">供体检者电子健康档案自动生成，支持</w:t>
      </w:r>
      <w:r>
        <w:rPr>
          <w:rFonts w:hint="eastAsia" w:ascii="宋体" w:hAnsi="宋体" w:eastAsia="宋体" w:cs="宋体"/>
          <w:color w:val="auto"/>
          <w:spacing w:val="-3"/>
          <w:highlight w:val="none"/>
        </w:rPr>
        <w:t xml:space="preserve">查看及完善健康档案内容。</w:t>
      </w:r>
      <w:r/>
    </w:p>
    <w:p>
      <w:pPr>
        <w:pStyle w:val="712"/>
        <w:numPr>
          <w:ilvl w:val="1"/>
          <w:numId w:val="7"/>
        </w:numPr>
        <w:ind w:left="850" w:hanging="453"/>
        <w:spacing w:line="216" w:lineRule="auto"/>
        <w:rPr>
          <w:rFonts w:hint="eastAsia" w:ascii="宋体" w:hAnsi="宋体" w:eastAsia="宋体" w:cs="宋体"/>
          <w:color w:val="auto"/>
          <w:sz w:val="24"/>
          <w:szCs w:val="24"/>
          <w:highlight w:val="none"/>
        </w:rPr>
      </w:pPr>
      <w:r>
        <w:rPr>
          <w:rFonts w:hint="eastAsia" w:ascii="宋体" w:hAnsi="宋体" w:eastAsia="宋体" w:cs="宋体"/>
          <w:color w:val="auto"/>
          <w:spacing w:val="-3"/>
          <w:highlight w:val="none"/>
        </w:rPr>
        <w:t xml:space="preserve">对已登记或预约成功人员同时批量</w:t>
      </w:r>
      <w:r>
        <w:rPr>
          <w:rFonts w:hint="eastAsia" w:ascii="宋体" w:hAnsi="宋体" w:eastAsia="宋体" w:cs="宋体"/>
          <w:color w:val="auto"/>
          <w:spacing w:val="-4"/>
          <w:highlight w:val="none"/>
        </w:rPr>
        <w:t xml:space="preserve">打印指引单、申请单及条形码，并提供补打功能。</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登记信息校验</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体检项目数据会根据体检者性别，婚姻、状态、年龄进行过滤及校验。</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针对项目互斥，相互关联提供自动校验及提醒，并且自动过滤重复项目，防止开单错误。</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支持在登记时，对客户电话，身份证号码格式进行校验，并在错误时进行提醒，防止登记错误客户信息。</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支持配置开单人员最低折扣，并低于折扣权限时给与提醒，防止误操作或乱开单。</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登记页面收费时，支持对付款方式做账号校验，只有授权成功，才能使用这种特殊付款方式付款</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敏感信息保密</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可对特殊客户进行标记，隐藏敏感信息（包括姓名，电话号码，身份证号），并且只有特殊授权的账号才能够查看该敏感信息。</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可以选择在某些环节或者系统全局隐藏用户订单，只有特殊授权账号可以看到这些订单。</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打印功能</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支持单张条码的补打、查看、拆分、合并与重新生成；</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支持批量打印；</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校验提醒规则：针对未预约、提前报到、有多张未体检订单的客户与未收费的订单进行相关提醒。</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到检管理</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备单单位体检人员可通过登记管理进行扫描导引单条码进行导检排队。</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支持回收已完成体检人员导引单的功能；</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支持对体检人员组合项目进行来检、延检、弃检、补检操作。</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检中加项：可在科室检查过程中，支持医生在数据录入页面直接进行加项操作。并且检中加项项目支持先付费后体检或先体检后付费。</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检中加项提供线上缴费通道：体检者在检中加项后，提供即时的微信收费通道在手机上完成缴费，避免加项后需要折返到前台做登记，再到收费窗口缴费的过程，大大提高体检者检中加项的方便性，提升体检中心的运营效率。</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协同会诊：医生在检查时，如发现体检者有异常情况，可以设置诊断提醒，如在内科检查时医生发现有问题，但不能确诊，可以设置提醒信息，提醒其它科室在检查时着重注意。</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独占性：数据录入支持开启项目独占性，项目记录专有的检查医生和录入医生，后续该项目只能由对应的检查医生和录入医生修改、提交、取消提交</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历史信息：数据录入中支持查看历史诊断、历史项目及结果、历史体检总结信息。</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采样管理：</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针对采血台提供专门的采样确认模块，支持自动打印样本条码。并针对条码信息可手动编辑，包括重新生成，拆分及合并。</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支持对二次采血原因进行备注记录并进行报表统计。</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支持进行样本交接，样本核收并记录详细时间及相关人员，管理样本流转记录。</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体检系统内可以统计各科采样标本数据（血、白带、尿、大便、支原体衣原体等）。</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条码号支持单独取消交接。</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支持自动打印、自动采样确认、自动交接。</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预总检：</w:t>
      </w:r>
      <w:r/>
    </w:p>
    <w:p>
      <w:pPr>
        <w:pStyle w:val="712"/>
        <w:numPr>
          <w:ilvl w:val="1"/>
          <w:numId w:val="7"/>
        </w:numPr>
        <w:ind w:left="850" w:right="127" w:hanging="454"/>
        <w:keepLines w:val="0"/>
        <w:keepNext w:val="0"/>
        <w:pageBreakBefore w:val="0"/>
        <w:spacing w:before="188"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总检分级：系统提供有预总检、总检、总审三级总检审核机制。</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7"/>
          <w:sz w:val="24"/>
          <w:szCs w:val="24"/>
          <w:highlight w:val="none"/>
        </w:rPr>
        <w:t xml:space="preserve">一级</w:t>
      </w:r>
      <w:r>
        <w:rPr>
          <w:rFonts w:hint="eastAsia" w:ascii="宋体" w:hAnsi="宋体" w:eastAsia="宋体" w:cs="宋体"/>
          <w:color w:val="auto"/>
          <w:spacing w:val="-3"/>
          <w:sz w:val="24"/>
          <w:szCs w:val="24"/>
          <w:highlight w:val="none"/>
        </w:rPr>
        <w:t xml:space="preserve">预总检：医护可在预总检页面对客户结果数据进行第一次审核；二</w:t>
      </w:r>
      <w:r>
        <w:rPr>
          <w:rFonts w:hint="eastAsia" w:ascii="宋体" w:hAnsi="宋体" w:eastAsia="宋体" w:cs="宋体"/>
          <w:color w:val="auto"/>
          <w:spacing w:val="-4"/>
          <w:sz w:val="24"/>
          <w:szCs w:val="24"/>
          <w:highlight w:val="none"/>
        </w:rPr>
        <w:t xml:space="preserve">级总检：总检</w:t>
      </w:r>
      <w:r>
        <w:rPr>
          <w:rFonts w:hint="eastAsia" w:ascii="宋体" w:hAnsi="宋体" w:eastAsia="宋体" w:cs="宋体"/>
          <w:color w:val="auto"/>
          <w:spacing w:val="-8"/>
          <w:sz w:val="24"/>
          <w:szCs w:val="24"/>
          <w:highlight w:val="none"/>
        </w:rPr>
        <w:t xml:space="preserve">医生将在总检界面对体检者进行初检，填写相关诊断及健康建议信息；三级审核：</w:t>
      </w:r>
      <w:r>
        <w:rPr>
          <w:rFonts w:hint="eastAsia" w:ascii="宋体" w:hAnsi="宋体" w:eastAsia="宋体" w:cs="宋体"/>
          <w:color w:val="auto"/>
          <w:spacing w:val="-1"/>
          <w:sz w:val="24"/>
          <w:szCs w:val="24"/>
          <w:highlight w:val="none"/>
        </w:rPr>
        <w:t xml:space="preserve">初检完成后将需要审核医生对总检报告进行审</w:t>
      </w:r>
      <w:r>
        <w:rPr>
          <w:rFonts w:hint="eastAsia" w:ascii="宋体" w:hAnsi="宋体" w:eastAsia="宋体" w:cs="宋体"/>
          <w:color w:val="auto"/>
          <w:spacing w:val="-2"/>
          <w:sz w:val="24"/>
          <w:szCs w:val="24"/>
          <w:highlight w:val="none"/>
        </w:rPr>
        <w:t xml:space="preserve">核，审核通过后方可发放报告。</w:t>
      </w:r>
      <w:r/>
    </w:p>
    <w:p>
      <w:pPr>
        <w:pStyle w:val="712"/>
        <w:numPr>
          <w:ilvl w:val="1"/>
          <w:numId w:val="7"/>
        </w:numPr>
        <w:ind w:left="850" w:right="191" w:hanging="454"/>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提供在总检前将订单数据统计查询，由体检中心的人员确认该体检者</w:t>
      </w:r>
      <w:r>
        <w:rPr>
          <w:rFonts w:hint="eastAsia" w:ascii="宋体" w:hAnsi="宋体" w:eastAsia="宋体" w:cs="宋体"/>
          <w:color w:val="auto"/>
          <w:spacing w:val="-4"/>
          <w:sz w:val="24"/>
          <w:szCs w:val="24"/>
          <w:highlight w:val="none"/>
        </w:rPr>
        <w:t xml:space="preserve">的项目结果是否正确，图文报告是否出错及各科室体检进度，同时提供操作项目</w:t>
      </w:r>
      <w:r>
        <w:rPr>
          <w:rFonts w:hint="eastAsia" w:ascii="宋体" w:hAnsi="宋体" w:eastAsia="宋体" w:cs="宋体"/>
          <w:color w:val="auto"/>
          <w:spacing w:val="-6"/>
          <w:sz w:val="24"/>
          <w:szCs w:val="24"/>
          <w:highlight w:val="none"/>
        </w:rPr>
        <w:t xml:space="preserve">的弃检，延检，补检。</w:t>
      </w:r>
      <w:r/>
    </w:p>
    <w:p>
      <w:pPr>
        <w:pStyle w:val="712"/>
        <w:numPr>
          <w:ilvl w:val="1"/>
          <w:numId w:val="7"/>
        </w:numPr>
        <w:ind w:left="850" w:right="191" w:hanging="454"/>
        <w:keepLines w:val="0"/>
        <w:keepNext w:val="0"/>
        <w:pageBreakBefore w:val="0"/>
        <w:spacing w:before="1"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审核通过后才生成预总检任务，并在出错时可操作退</w:t>
      </w:r>
      <w:r>
        <w:rPr>
          <w:rFonts w:hint="eastAsia" w:ascii="宋体" w:hAnsi="宋体" w:eastAsia="宋体" w:cs="宋体"/>
          <w:color w:val="auto"/>
          <w:spacing w:val="-3"/>
          <w:sz w:val="24"/>
          <w:szCs w:val="24"/>
          <w:highlight w:val="none"/>
        </w:rPr>
        <w:t xml:space="preserve">回至相关的结果</w:t>
      </w:r>
      <w:r>
        <w:rPr>
          <w:rFonts w:hint="eastAsia" w:ascii="宋体" w:hAnsi="宋体" w:eastAsia="宋体" w:cs="宋体"/>
          <w:color w:val="auto"/>
          <w:spacing w:val="-5"/>
          <w:sz w:val="24"/>
          <w:szCs w:val="24"/>
          <w:highlight w:val="none"/>
        </w:rPr>
        <w:t xml:space="preserve">录入员同时进行消息提醒。</w:t>
      </w:r>
      <w:r/>
    </w:p>
    <w:p>
      <w:pPr>
        <w:pStyle w:val="712"/>
        <w:numPr>
          <w:ilvl w:val="1"/>
          <w:numId w:val="7"/>
        </w:numPr>
        <w:ind w:left="850" w:hanging="454"/>
        <w:keepLines w:val="0"/>
        <w:keepNext w:val="0"/>
        <w:pageBreakBefore w:val="0"/>
        <w:spacing w:before="1"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
          <w:sz w:val="24"/>
          <w:szCs w:val="24"/>
          <w:highlight w:val="none"/>
        </w:rPr>
        <w:t xml:space="preserve">提供撤销预检的功能，对误操作通过预</w:t>
      </w:r>
      <w:r>
        <w:rPr>
          <w:rFonts w:hint="eastAsia" w:ascii="宋体" w:hAnsi="宋体" w:eastAsia="宋体" w:cs="宋体"/>
          <w:color w:val="auto"/>
          <w:sz w:val="24"/>
          <w:szCs w:val="24"/>
          <w:highlight w:val="none"/>
        </w:rPr>
        <w:t xml:space="preserve">备总检的人员进行撤销操作。</w:t>
      </w:r>
      <w:r/>
    </w:p>
    <w:p>
      <w:pPr>
        <w:pStyle w:val="712"/>
        <w:numPr>
          <w:ilvl w:val="1"/>
          <w:numId w:val="7"/>
        </w:numPr>
        <w:ind w:left="850" w:hanging="454"/>
        <w:keepLines w:val="0"/>
        <w:keepNext w:val="0"/>
        <w:pageBreakBefore w:val="0"/>
        <w:spacing w:before="1"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2"/>
          <w:sz w:val="24"/>
          <w:szCs w:val="24"/>
          <w:highlight w:val="none"/>
        </w:rPr>
        <w:t xml:space="preserve">提供指派会诊科室的功能，能根据当前体检人员的体检项目，同时</w:t>
      </w:r>
      <w:r>
        <w:rPr>
          <w:rFonts w:hint="eastAsia" w:ascii="宋体" w:hAnsi="宋体" w:eastAsia="宋体" w:cs="宋体"/>
          <w:color w:val="auto"/>
          <w:spacing w:val="-3"/>
          <w:sz w:val="24"/>
          <w:szCs w:val="24"/>
          <w:highlight w:val="none"/>
        </w:rPr>
        <w:t xml:space="preserve">勾选多个可以指派的会诊科室，相关会诊科室的医生就能在专家</w:t>
      </w:r>
      <w:r>
        <w:rPr>
          <w:rFonts w:hint="eastAsia" w:ascii="宋体" w:hAnsi="宋体" w:eastAsia="宋体" w:cs="宋体"/>
          <w:color w:val="auto"/>
          <w:spacing w:val="-4"/>
          <w:sz w:val="24"/>
          <w:szCs w:val="24"/>
          <w:highlight w:val="none"/>
        </w:rPr>
        <w:t xml:space="preserve">会诊界面查看到</w:t>
      </w:r>
      <w:r>
        <w:rPr>
          <w:rFonts w:hint="eastAsia" w:ascii="宋体" w:hAnsi="宋体" w:eastAsia="宋体" w:cs="宋体"/>
          <w:color w:val="auto"/>
          <w:spacing w:val="-2"/>
          <w:sz w:val="24"/>
          <w:szCs w:val="24"/>
          <w:highlight w:val="none"/>
        </w:rPr>
        <w:t xml:space="preserve">体检中心推送过来的人员及和本科室相关的体检项目结果。</w:t>
      </w:r>
      <w:r/>
    </w:p>
    <w:p>
      <w:pPr>
        <w:pStyle w:val="712"/>
        <w:numPr>
          <w:ilvl w:val="1"/>
          <w:numId w:val="7"/>
        </w:numPr>
        <w:ind w:left="850" w:right="191" w:hanging="454"/>
        <w:keepLines w:val="0"/>
        <w:keepNext w:val="0"/>
        <w:pageBreakBefore w:val="0"/>
        <w:spacing w:before="1" w:line="24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对部分体检项目还没有结束的人员或者不需要体检报告的人，要有强制结束到科室结束、审核通过、已发报告、领取报告的功能。</w:t>
      </w:r>
      <w:r/>
    </w:p>
    <w:p>
      <w:pPr>
        <w:pStyle w:val="712"/>
        <w:numPr>
          <w:ilvl w:val="1"/>
          <w:numId w:val="7"/>
        </w:numPr>
        <w:ind w:left="850" w:right="191" w:hanging="454"/>
        <w:keepLines w:val="0"/>
        <w:keepNext w:val="0"/>
        <w:pageBreakBefore w:val="0"/>
        <w:spacing w:before="1"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2"/>
          <w:sz w:val="24"/>
          <w:szCs w:val="24"/>
          <w:highlight w:val="none"/>
        </w:rPr>
        <w:t xml:space="preserve">提供延检处理的功能，对没有完成全部体检项目检查，离开体检中心</w:t>
      </w:r>
      <w:r>
        <w:rPr>
          <w:rFonts w:hint="eastAsia" w:ascii="宋体" w:hAnsi="宋体" w:eastAsia="宋体" w:cs="宋体"/>
          <w:color w:val="auto"/>
          <w:spacing w:val="-3"/>
          <w:sz w:val="24"/>
          <w:szCs w:val="24"/>
          <w:highlight w:val="none"/>
        </w:rPr>
        <w:t xml:space="preserve">时没有交导检单的体检人员，可以在该界面进行延检操作。</w:t>
      </w:r>
      <w:r/>
    </w:p>
    <w:p>
      <w:pPr>
        <w:numPr>
          <w:ilvl w:val="1"/>
          <w:numId w:val="7"/>
        </w:numPr>
        <w:ind w:left="850" w:hanging="454"/>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分配规则：支持设置预总检医生是否自动分配以及自动分配的规则是否按照体检类型来分配。支持设置预总检医生自动分配起止时间。支持设置触发预总检医生自动分配的订单体检状态。</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总检任务分配多样化：</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自动分配：所有体检者的总检任务，将按照当天每个医生的任务数量，和总检医生排班进行自动平均分配，确保每位总检老师工作量一致。</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手动分配：可以批量选择总检任务，进行批量分配。</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重新分配：针对已分配的任务支持进行重新分配，选择其他总检老师。</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手动领取：总检老师可自行查询，领取某位体检者的总检任务进行总检。</w:t>
      </w:r>
      <w:r/>
    </w:p>
    <w:p>
      <w:pPr>
        <w:numPr>
          <w:ilvl w:val="0"/>
          <w:numId w:val="7"/>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总检：</w:t>
      </w:r>
      <w:r>
        <w:rPr>
          <w:rFonts w:hint="eastAsia" w:ascii="宋体" w:hAnsi="宋体" w:cs="宋体"/>
          <w:color w:val="auto"/>
          <w:sz w:val="22"/>
          <w:highlight w:val="none"/>
        </w:rPr>
        <w:t xml:space="preserve">（</w:t>
      </w:r>
      <w:r>
        <w:rPr>
          <w:rFonts w:hint="eastAsia" w:ascii="宋体" w:hAnsi="宋体"/>
          <w:b/>
          <w:color w:val="auto"/>
          <w:sz w:val="24"/>
          <w:szCs w:val="24"/>
          <w:highlight w:val="none"/>
        </w:rPr>
        <w:t xml:space="preserve">备注：内容需提供系统截图证明。</w:t>
      </w:r>
      <w:r>
        <w:rPr>
          <w:rFonts w:hint="eastAsia" w:ascii="宋体" w:hAnsi="宋体" w:cs="宋体"/>
          <w:color w:val="auto"/>
          <w:sz w:val="22"/>
          <w:highlight w:val="none"/>
        </w:rPr>
        <w:t xml:space="preserve">）</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支持根据体检结果自动产生综述和建议，并且诊断建议能够根据科室排序或按照诊断的严重程度进行自动排序。</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若诊断关联重要异常结果将被标红进行区分提醒。</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支持将体检结果符合的多个相关诊断自动替换为一条合并诊断，确保诊断“一元论”。同时支持手动合并诊断。</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手动添加的诊断支持手动关联体检结果。</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支持通过AI大模型自动进行诊断建议生成及优化，结合客户档案，病史等情况输出个性化诊断内容。并自动检验总检中出现的错误诊断，错误关键字给与诊断优化建议。（甲方提供AI本地化部署设备及算力）</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自动将生成诊断建议的总结文本内容进行特殊颜色标注，确保医生不会遗漏重要异常指标。</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支持手动调整（增、删、改）建议，修改建议顺序，以及合并建议。</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支持查询历次的体检结果，近三年体检图片并进行横向预览对比。在体检结果中支持查看弃检的组合项目。</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编辑区域支持鼠标拖动，自由放大缩小，方便总检医师编辑。</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总检退回：</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支持将总检订单退回，退回可选择多个分科检查医生、总检医生，并在退回时填写退回原因一次性对多个医生进行消息提醒。</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具有完备的总检退回和重做功能，在总检未退回到检查前，各科室不能随意修改体检结果。</w:t>
      </w:r>
      <w:r/>
    </w:p>
    <w:p>
      <w:pPr>
        <w:numPr>
          <w:ilvl w:val="0"/>
          <w:numId w:val="7"/>
        </w:numPr>
        <w:ind w:left="425" w:hanging="425"/>
        <w:spacing w:line="264"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★智能生成就诊建议：</w:t>
      </w:r>
      <w:r>
        <w:rPr>
          <w:rFonts w:hint="eastAsia" w:ascii="宋体" w:hAnsi="宋体"/>
          <w:b/>
          <w:bCs/>
          <w:color w:val="auto"/>
          <w:sz w:val="24"/>
          <w:szCs w:val="24"/>
          <w:highlight w:val="none"/>
        </w:rPr>
        <w:t xml:space="preserve">（备注：内容需提供系统截图证明，否则作无效投标处理。）</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总检时，支持医生手动选择就诊科室、医生或根据体检诊断智能自动推荐就诊科室、医生。</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就诊建议内容支持展示在微信查询报告界面，并和院内挂号平台、互联网医院快速跳转。</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远程总检：若院内网络允许，支持总检老师远程通过浏览器登录进入体检系统，完成总检操作。</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总检审核：</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初检完成后可由审核老师进行总审，可批量分配总检审核医生。在审核时支持对该份报告操作退回到总检或结果录入流程，在退回时可选择多个退回人，填写退回原因，并在退回后给与相关人员消息提醒。</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总检退回次数和原因支持进行记录和统计，作为绩效考核参考。</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支持汇总查看职业体检结论和建议。</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多种总检操作界面：为总检医生提供三种总检操作界面，适应不同医生的习惯</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多种功能兼容三种总检模式，如“显示规则”新增“显示弃检项目” </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乙肝检查：提供乙肝项目专用的总检建议，支持单独维护乙肝诊断建议，并打印单独的乙肝诊断报告。</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报告多样化：支持个性化定制各种报告，包括个人报告，乙肝报告，健康证报告等等。</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收费管理：</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多种方式实现收费、退费功能如支付宝，微信，Pos机等；支持整体、单项打折，可以设置诊疗项目的最低价格、组合项目的最低折扣；团检可换项目并自动补差价，超出统收金额自动转自费，具有发票管理功能；退项、退费、增项、增费严格又灵活，能跟踪到责任人，杜绝团体结算漏洞；团体支持中途结算、预结算，结算后禁检操作。</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可以管理消费卡、会员卡</w:t>
      </w:r>
      <w:r/>
    </w:p>
    <w:p>
      <w:pPr>
        <w:pStyle w:val="712"/>
        <w:numPr>
          <w:ilvl w:val="0"/>
          <w:numId w:val="7"/>
        </w:numPr>
        <w:ind w:left="425" w:hanging="425"/>
        <w:keepLines w:val="0"/>
        <w:keepNext w:val="0"/>
        <w:pageBreakBefore w:val="0"/>
        <w:spacing w:before="187"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按照单位套餐收费.</w:t>
      </w:r>
      <w:r/>
    </w:p>
    <w:p>
      <w:pPr>
        <w:pStyle w:val="712"/>
        <w:numPr>
          <w:ilvl w:val="1"/>
          <w:numId w:val="7"/>
        </w:numPr>
        <w:ind w:left="850" w:right="98" w:hanging="453"/>
        <w:keepLines w:val="0"/>
        <w:keepNext w:val="0"/>
        <w:pageBreakBefore w:val="0"/>
        <w:spacing w:before="186"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按照实际所做项目收费，支持加项，加项项目可以配置为用户自</w:t>
      </w:r>
      <w:r>
        <w:rPr>
          <w:rFonts w:hint="eastAsia" w:ascii="宋体" w:hAnsi="宋体" w:eastAsia="宋体" w:cs="宋体"/>
          <w:color w:val="auto"/>
          <w:spacing w:val="-6"/>
          <w:highlight w:val="none"/>
        </w:rPr>
        <w:t xml:space="preserve">付或者单位结算。</w:t>
      </w:r>
      <w:r/>
    </w:p>
    <w:p>
      <w:pPr>
        <w:pStyle w:val="712"/>
        <w:numPr>
          <w:ilvl w:val="1"/>
          <w:numId w:val="7"/>
        </w:numPr>
        <w:ind w:left="850" w:right="15" w:hanging="453"/>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按照单位人员对应的定额值进行收费。如果未达到定额值可以按</w:t>
      </w:r>
      <w:r>
        <w:rPr>
          <w:rFonts w:hint="eastAsia" w:ascii="宋体" w:hAnsi="宋体" w:eastAsia="宋体" w:cs="宋体"/>
          <w:color w:val="auto"/>
          <w:spacing w:val="-3"/>
          <w:highlight w:val="none"/>
        </w:rPr>
        <w:t xml:space="preserve">实际项目收费也可按照定额值收费，超出定额值可</w:t>
      </w:r>
      <w:r>
        <w:rPr>
          <w:rFonts w:hint="eastAsia" w:ascii="宋体" w:hAnsi="宋体" w:eastAsia="宋体" w:cs="宋体"/>
          <w:color w:val="auto"/>
          <w:spacing w:val="-4"/>
          <w:highlight w:val="none"/>
        </w:rPr>
        <w:t xml:space="preserve">由用户自付，也可配置由单位</w:t>
      </w:r>
      <w:r>
        <w:rPr>
          <w:rFonts w:hint="eastAsia" w:ascii="宋体" w:hAnsi="宋体" w:eastAsia="宋体" w:cs="宋体"/>
          <w:color w:val="auto"/>
          <w:spacing w:val="-9"/>
          <w:highlight w:val="none"/>
        </w:rPr>
        <w:t xml:space="preserve">统一结算。</w:t>
      </w:r>
      <w:r/>
    </w:p>
    <w:p>
      <w:pPr>
        <w:pStyle w:val="712"/>
        <w:numPr>
          <w:ilvl w:val="1"/>
          <w:numId w:val="7"/>
        </w:numPr>
        <w:ind w:left="850" w:right="99" w:hanging="453"/>
        <w:keepLines w:val="0"/>
        <w:keepNext w:val="0"/>
        <w:pageBreakBefore w:val="0"/>
        <w:spacing w:before="3"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单位套餐定额，将套餐总金额作为定额金额。加项和减项获取差</w:t>
      </w:r>
      <w:r>
        <w:rPr>
          <w:rFonts w:hint="eastAsia" w:ascii="宋体" w:hAnsi="宋体" w:eastAsia="宋体" w:cs="宋体"/>
          <w:color w:val="auto"/>
          <w:spacing w:val="-3"/>
          <w:highlight w:val="none"/>
        </w:rPr>
        <w:t xml:space="preserve">额。更换套餐则定额金额也会随套餐改变。</w:t>
      </w:r>
      <w:r/>
    </w:p>
    <w:p>
      <w:pPr>
        <w:pStyle w:val="712"/>
        <w:numPr>
          <w:ilvl w:val="1"/>
          <w:numId w:val="7"/>
        </w:numPr>
        <w:ind w:left="850" w:right="15" w:hanging="453"/>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可以设置免单额度，针对加项类型的项目，将使用免单额度进行</w:t>
      </w:r>
      <w:r>
        <w:rPr>
          <w:rFonts w:hint="eastAsia" w:ascii="宋体" w:hAnsi="宋体" w:eastAsia="宋体" w:cs="宋体"/>
          <w:color w:val="auto"/>
          <w:spacing w:val="-3"/>
          <w:highlight w:val="none"/>
        </w:rPr>
        <w:t xml:space="preserve">抵扣，并根据实际添加的项目金额进行结算收费，超出免单额</w:t>
      </w:r>
      <w:r>
        <w:rPr>
          <w:rFonts w:hint="eastAsia" w:ascii="宋体" w:hAnsi="宋体" w:eastAsia="宋体" w:cs="宋体"/>
          <w:color w:val="auto"/>
          <w:spacing w:val="-4"/>
          <w:highlight w:val="none"/>
        </w:rPr>
        <w:t xml:space="preserve">度的金额需要用户</w:t>
      </w:r>
      <w:r>
        <w:rPr>
          <w:rFonts w:hint="eastAsia" w:ascii="宋体" w:hAnsi="宋体" w:eastAsia="宋体" w:cs="宋体"/>
          <w:color w:val="auto"/>
          <w:spacing w:val="-8"/>
          <w:highlight w:val="none"/>
        </w:rPr>
        <w:t xml:space="preserve">进行自费。</w:t>
      </w:r>
      <w:r/>
    </w:p>
    <w:p>
      <w:pPr>
        <w:pStyle w:val="712"/>
        <w:numPr>
          <w:ilvl w:val="1"/>
          <w:numId w:val="7"/>
        </w:numPr>
        <w:ind w:left="850" w:right="99" w:hanging="453"/>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同一单位可支持多次结算，可以按照最小单位收费项目、按单个</w:t>
      </w:r>
      <w:r>
        <w:rPr>
          <w:rFonts w:hint="eastAsia" w:ascii="宋体" w:hAnsi="宋体" w:eastAsia="宋体" w:cs="宋体"/>
          <w:color w:val="auto"/>
          <w:spacing w:val="-3"/>
          <w:highlight w:val="none"/>
        </w:rPr>
        <w:t xml:space="preserve">人、任意多个人组合、任意项目组合进行结算。</w:t>
      </w:r>
      <w:r/>
    </w:p>
    <w:p>
      <w:pPr>
        <w:pStyle w:val="712"/>
        <w:numPr>
          <w:ilvl w:val="1"/>
          <w:numId w:val="7"/>
        </w:numPr>
        <w:ind w:left="850" w:right="15" w:hanging="453"/>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系统可区分自费、公费项目，可打印清晰详细的团体结算单，包</w:t>
      </w:r>
      <w:r>
        <w:rPr>
          <w:rFonts w:hint="eastAsia" w:ascii="宋体" w:hAnsi="宋体" w:eastAsia="宋体" w:cs="宋体"/>
          <w:color w:val="auto"/>
          <w:spacing w:val="-3"/>
          <w:highlight w:val="none"/>
        </w:rPr>
        <w:t xml:space="preserve">含套餐金额、组内套餐项目明细、分组人数、公费加项金</w:t>
      </w:r>
      <w:r>
        <w:rPr>
          <w:rFonts w:hint="eastAsia" w:ascii="宋体" w:hAnsi="宋体" w:eastAsia="宋体" w:cs="宋体"/>
          <w:color w:val="auto"/>
          <w:spacing w:val="-4"/>
          <w:highlight w:val="none"/>
        </w:rPr>
        <w:t xml:space="preserve">额、公费加项明细、放弃项目金额、放弃项目明细等。</w:t>
      </w:r>
      <w:r/>
    </w:p>
    <w:p>
      <w:pPr>
        <w:pStyle w:val="712"/>
        <w:numPr>
          <w:ilvl w:val="1"/>
          <w:numId w:val="7"/>
        </w:numPr>
        <w:ind w:left="850" w:hanging="453"/>
        <w:keepLines w:val="0"/>
        <w:keepNext w:val="0"/>
        <w:pageBreakBefore w:val="0"/>
        <w:spacing w:before="2"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highlight w:val="none"/>
        </w:rPr>
        <w:t xml:space="preserve">防漏费功能，可以很清晰的看到</w:t>
      </w:r>
      <w:r>
        <w:rPr>
          <w:rFonts w:hint="eastAsia" w:ascii="宋体" w:hAnsi="宋体" w:eastAsia="宋体" w:cs="宋体"/>
          <w:color w:val="auto"/>
          <w:spacing w:val="-3"/>
          <w:highlight w:val="none"/>
        </w:rPr>
        <w:t xml:space="preserve">单位人员的缴费情况。</w:t>
      </w:r>
      <w:r/>
    </w:p>
    <w:p>
      <w:pPr>
        <w:pStyle w:val="712"/>
        <w:numPr>
          <w:ilvl w:val="1"/>
          <w:numId w:val="7"/>
        </w:numPr>
        <w:ind w:left="850" w:hanging="453"/>
        <w:keepLines w:val="0"/>
        <w:keepNext w:val="0"/>
        <w:pageBreakBefore w:val="0"/>
        <w:spacing w:before="2"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highlight w:val="none"/>
        </w:rPr>
        <w:t xml:space="preserve">财务统计：按日期、检查科室、收费项目进行分类查询、统计并打</w:t>
      </w:r>
      <w:r>
        <w:rPr>
          <w:rFonts w:hint="eastAsia" w:ascii="宋体" w:hAnsi="宋体" w:eastAsia="宋体" w:cs="宋体"/>
          <w:color w:val="auto"/>
          <w:spacing w:val="-13"/>
          <w:highlight w:val="none"/>
        </w:rPr>
        <w:t xml:space="preserve">印报表。</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消费卡：提供批量制作消费卡功能，消费卡可以当作一种支付方式抵扣体检费用。系统支持提供消费卡明细报表，方便体检中心对账。</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会员卡：</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支持建立客户个人会员卡，建卡后该客户在进行团检、个检、微信预约时都可以使用会员卡余额进行支付。</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微信端可以看到会员卡使用记录。</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会员卡退费支持模拟整收整退。</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发票管理：每个收费员领取的发票号码会进行登记，在收费时,系统会自动显示该收费员领取的还未使用的发票号（以顺序自动增加）。收费员使用发票收费的时候，系统自动根据该收费号检索最近的发票号，收费后发票号自动与收据号对应。</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支持对接发票系统，多人合并开票：支持对接第三方发票系统，在系统内可以多个订单合并开一张发票，支持退款自动冲红发票，查看历史发票记录。</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配置付款方式不开发票：开发票支持配置付款方式不需要开发票，如消费卡付款的金额可以选择不需要开发票，则在开发票的时候可以开剩余金额的发票</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餐厅管理：支持录入客户体检号校验客户是否可以领取早餐，如：餐前项目是否做完，是否领取过早餐。</w:t>
      </w:r>
      <w:r/>
    </w:p>
    <w:p>
      <w:pPr>
        <w:numPr>
          <w:ilvl w:val="0"/>
          <w:numId w:val="7"/>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短信管理：（</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可以与医院短信管理平台对接，实现短信发送，体检中心管理员可以看到所有体检者发出的短信内容，及短信的发送时间及状态。支持一键批量重新发送，以及手动批量发送短信。</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支持新增手机号批量发送短信。</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短信模版支持文本搜索。</w:t>
      </w:r>
      <w:r/>
    </w:p>
    <w:p>
      <w:pPr>
        <w:numPr>
          <w:ilvl w:val="0"/>
          <w:numId w:val="7"/>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定制化报表：（</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可以快速的定制化报表，不用改动程序，使用配置的方式展示报表内容，可以把一些简单的汇总数据显示在报表内，并且和数据一起导出。</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报表可进行多条件筛选，根据需求自定义报表。</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报表个性化显示，可以通过图表等形式展示。</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报表内超链接支持跳转与生成对应二维码</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针对多个表格的报表，按报表查询结果导出Excel文件后，可以在Excel表格中对齐多个表格。</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结节管理：</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体检者如果检出结节，系统会自动在结节数据管理页面显示相关结果。支持医生管理维护结节数据包括结节形态，结节大小等各种属性以及随访记录、结果。结节数据可支持统计导出，用于科研数据支持。</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支持在个人信息栏中维护“吸烟史”“既往史”“家族史”内容。</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在可视化配置中维护项目后，支持在结节信息中获取并展示本次体检的对应项目的体检结果。</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报告柜管理：可按实际需求建立电子报告柜，存取报告，对每份报告的存放位置，存取时间做记录，以便取报告时，可以查询出报告的所在位置，提高效率，降低出错率。方便工作人员管理报告和快速拿取。</w:t>
      </w:r>
      <w:r/>
    </w:p>
    <w:p>
      <w:pPr>
        <w:pStyle w:val="712"/>
        <w:numPr>
          <w:ilvl w:val="0"/>
          <w:numId w:val="7"/>
        </w:numPr>
        <w:ind w:left="0" w:right="125" w:firstLine="425"/>
        <w:keepLines w:val="0"/>
        <w:keepNext w:val="0"/>
        <w:pageBreakBefore w:val="0"/>
        <w:spacing w:before="184" w:line="24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重阳审核：</w:t>
      </w:r>
      <w:r/>
    </w:p>
    <w:p>
      <w:pPr>
        <w:pStyle w:val="712"/>
        <w:numPr>
          <w:ilvl w:val="1"/>
          <w:numId w:val="7"/>
        </w:numPr>
        <w:ind w:left="420" w:right="125" w:firstLine="425"/>
        <w:keepLines w:val="0"/>
        <w:keepNext w:val="0"/>
        <w:pageBreakBefore w:val="0"/>
        <w:spacing w:before="184"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提供重阳配置功能，能实现临床类科室体检结果是</w:t>
      </w:r>
      <w:r>
        <w:rPr>
          <w:rFonts w:hint="eastAsia" w:ascii="宋体" w:hAnsi="宋体" w:eastAsia="宋体" w:cs="宋体"/>
          <w:color w:val="auto"/>
          <w:spacing w:val="-57"/>
          <w:highlight w:val="none"/>
        </w:rPr>
        <w:t xml:space="preserve"> </w:t>
      </w:r>
      <w:r>
        <w:rPr>
          <w:rFonts w:hint="eastAsia" w:ascii="宋体" w:hAnsi="宋体" w:eastAsia="宋体" w:cs="宋体"/>
          <w:color w:val="auto"/>
          <w:spacing w:val="-3"/>
          <w:highlight w:val="none"/>
        </w:rPr>
        <w:t xml:space="preserve">A</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3"/>
          <w:highlight w:val="none"/>
        </w:rPr>
        <w:t xml:space="preserve">类或</w:t>
      </w:r>
      <w:r>
        <w:rPr>
          <w:rFonts w:hint="eastAsia" w:ascii="宋体" w:hAnsi="宋体" w:eastAsia="宋体" w:cs="宋体"/>
          <w:color w:val="auto"/>
          <w:spacing w:val="-57"/>
          <w:highlight w:val="none"/>
        </w:rPr>
        <w:t xml:space="preserve"> </w:t>
      </w:r>
      <w:r>
        <w:rPr>
          <w:rFonts w:hint="eastAsia" w:ascii="宋体" w:hAnsi="宋体" w:eastAsia="宋体" w:cs="宋体"/>
          <w:color w:val="auto"/>
          <w:spacing w:val="-3"/>
          <w:highlight w:val="none"/>
        </w:rPr>
        <w:t xml:space="preserve">B</w:t>
      </w:r>
      <w:r>
        <w:rPr>
          <w:rFonts w:hint="eastAsia" w:ascii="宋体" w:hAnsi="宋体" w:eastAsia="宋体" w:cs="宋体"/>
          <w:color w:val="auto"/>
          <w:spacing w:val="-41"/>
          <w:highlight w:val="none"/>
        </w:rPr>
        <w:t xml:space="preserve"> </w:t>
      </w:r>
      <w:r>
        <w:rPr>
          <w:rFonts w:hint="eastAsia" w:ascii="宋体" w:hAnsi="宋体" w:eastAsia="宋体" w:cs="宋体"/>
          <w:color w:val="auto"/>
          <w:spacing w:val="-3"/>
          <w:highlight w:val="none"/>
        </w:rPr>
        <w:t xml:space="preserve">类的结果；通过检验知识库能配置自动判断检验项目结果是</w:t>
      </w:r>
      <w:r>
        <w:rPr>
          <w:rFonts w:hint="eastAsia" w:ascii="宋体" w:hAnsi="宋体" w:eastAsia="宋体" w:cs="宋体"/>
          <w:color w:val="auto"/>
          <w:spacing w:val="-50"/>
          <w:highlight w:val="none"/>
        </w:rPr>
        <w:t xml:space="preserve"> </w:t>
      </w:r>
      <w:r>
        <w:rPr>
          <w:rFonts w:hint="eastAsia" w:ascii="宋体" w:hAnsi="宋体" w:eastAsia="宋体" w:cs="宋体"/>
          <w:color w:val="auto"/>
          <w:spacing w:val="-3"/>
          <w:highlight w:val="none"/>
        </w:rPr>
        <w:t xml:space="preserve">A</w:t>
      </w:r>
      <w:r>
        <w:rPr>
          <w:rFonts w:hint="eastAsia" w:ascii="宋体" w:hAnsi="宋体" w:eastAsia="宋体" w:cs="宋体"/>
          <w:color w:val="auto"/>
          <w:spacing w:val="-39"/>
          <w:highlight w:val="none"/>
        </w:rPr>
        <w:t xml:space="preserve"> </w:t>
      </w:r>
      <w:r>
        <w:rPr>
          <w:rFonts w:hint="eastAsia" w:ascii="宋体" w:hAnsi="宋体" w:eastAsia="宋体" w:cs="宋体"/>
          <w:color w:val="auto"/>
          <w:spacing w:val="-3"/>
          <w:highlight w:val="none"/>
        </w:rPr>
        <w:t xml:space="preserve">类或</w:t>
      </w:r>
      <w:r>
        <w:rPr>
          <w:rFonts w:hint="eastAsia" w:ascii="宋体" w:hAnsi="宋体" w:eastAsia="宋体" w:cs="宋体"/>
          <w:color w:val="auto"/>
          <w:spacing w:val="-54"/>
          <w:highlight w:val="none"/>
        </w:rPr>
        <w:t xml:space="preserve"> </w:t>
      </w:r>
      <w:r>
        <w:rPr>
          <w:rFonts w:hint="eastAsia" w:ascii="宋体" w:hAnsi="宋体" w:eastAsia="宋体" w:cs="宋体"/>
          <w:color w:val="auto"/>
          <w:spacing w:val="-3"/>
          <w:highlight w:val="none"/>
        </w:rPr>
        <w:t xml:space="preserve">B</w:t>
      </w:r>
      <w:r>
        <w:rPr>
          <w:rFonts w:hint="eastAsia" w:ascii="宋体" w:hAnsi="宋体" w:eastAsia="宋体" w:cs="宋体"/>
          <w:color w:val="auto"/>
          <w:spacing w:val="-39"/>
          <w:highlight w:val="none"/>
        </w:rPr>
        <w:t xml:space="preserve"> </w:t>
      </w:r>
      <w:r>
        <w:rPr>
          <w:rFonts w:hint="eastAsia" w:ascii="宋体" w:hAnsi="宋体" w:eastAsia="宋体" w:cs="宋体"/>
          <w:color w:val="auto"/>
          <w:spacing w:val="-3"/>
          <w:highlight w:val="none"/>
        </w:rPr>
        <w:t xml:space="preserve">类的判断条件；</w:t>
      </w:r>
      <w:r>
        <w:rPr>
          <w:rFonts w:hint="eastAsia" w:ascii="宋体" w:hAnsi="宋体" w:eastAsia="宋体" w:cs="宋体"/>
          <w:color w:val="auto"/>
          <w:spacing w:val="-2"/>
          <w:highlight w:val="none"/>
        </w:rPr>
        <w:t xml:space="preserve">通过检查知识库能配置</w:t>
      </w:r>
      <w:r>
        <w:rPr>
          <w:rFonts w:hint="eastAsia" w:ascii="宋体" w:hAnsi="宋体" w:eastAsia="宋体" w:cs="宋体"/>
          <w:color w:val="auto"/>
          <w:spacing w:val="-51"/>
          <w:highlight w:val="none"/>
        </w:rPr>
        <w:t xml:space="preserve"> </w:t>
      </w:r>
      <w:r>
        <w:rPr>
          <w:rFonts w:hint="eastAsia" w:ascii="宋体" w:hAnsi="宋体" w:eastAsia="宋体" w:cs="宋体"/>
          <w:color w:val="auto"/>
          <w:spacing w:val="-2"/>
          <w:highlight w:val="none"/>
        </w:rPr>
        <w:t xml:space="preserve">B</w:t>
      </w:r>
      <w:r>
        <w:rPr>
          <w:rFonts w:hint="eastAsia" w:ascii="宋体" w:hAnsi="宋体" w:eastAsia="宋体" w:cs="宋体"/>
          <w:color w:val="auto"/>
          <w:spacing w:val="-43"/>
          <w:highlight w:val="none"/>
        </w:rPr>
        <w:t xml:space="preserve"> </w:t>
      </w:r>
      <w:r>
        <w:rPr>
          <w:rFonts w:hint="eastAsia" w:ascii="宋体" w:hAnsi="宋体" w:eastAsia="宋体" w:cs="宋体"/>
          <w:color w:val="auto"/>
          <w:spacing w:val="-2"/>
          <w:highlight w:val="none"/>
        </w:rPr>
        <w:t xml:space="preserve">超、放射、心电等检查项目结果关键字，是</w:t>
      </w:r>
      <w:r>
        <w:rPr>
          <w:rFonts w:hint="eastAsia" w:ascii="宋体" w:hAnsi="宋体" w:eastAsia="宋体" w:cs="宋体"/>
          <w:color w:val="auto"/>
          <w:spacing w:val="-58"/>
          <w:highlight w:val="none"/>
        </w:rPr>
        <w:t xml:space="preserve"> </w:t>
      </w:r>
      <w:r>
        <w:rPr>
          <w:rFonts w:hint="eastAsia" w:ascii="宋体" w:hAnsi="宋体" w:eastAsia="宋体" w:cs="宋体"/>
          <w:color w:val="auto"/>
          <w:spacing w:val="-2"/>
          <w:highlight w:val="none"/>
        </w:rPr>
        <w:t xml:space="preserve">A</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2"/>
          <w:highlight w:val="none"/>
        </w:rPr>
        <w:t xml:space="preserve">类或</w:t>
      </w:r>
      <w:r>
        <w:rPr>
          <w:rFonts w:hint="eastAsia" w:ascii="宋体" w:hAnsi="宋体" w:eastAsia="宋体" w:cs="宋体"/>
          <w:color w:val="auto"/>
          <w:spacing w:val="-56"/>
          <w:highlight w:val="none"/>
        </w:rPr>
        <w:t xml:space="preserve"> </w:t>
      </w:r>
      <w:r>
        <w:rPr>
          <w:rFonts w:hint="eastAsia" w:ascii="宋体" w:hAnsi="宋体" w:eastAsia="宋体" w:cs="宋体"/>
          <w:color w:val="auto"/>
          <w:spacing w:val="-2"/>
          <w:highlight w:val="none"/>
        </w:rPr>
        <w:t xml:space="preserve">B</w:t>
      </w:r>
      <w:r>
        <w:rPr>
          <w:rFonts w:hint="eastAsia" w:ascii="宋体" w:hAnsi="宋体" w:eastAsia="宋体" w:cs="宋体"/>
          <w:color w:val="auto"/>
          <w:spacing w:val="-5"/>
          <w:highlight w:val="none"/>
        </w:rPr>
        <w:t xml:space="preserve">类的判断条件；通过阳性配置功能设置多条件下，体检结果是</w:t>
      </w:r>
      <w:r>
        <w:rPr>
          <w:rFonts w:hint="eastAsia" w:ascii="宋体" w:hAnsi="宋体" w:eastAsia="宋体" w:cs="宋体"/>
          <w:color w:val="auto"/>
          <w:spacing w:val="-40"/>
          <w:highlight w:val="none"/>
        </w:rPr>
        <w:t xml:space="preserve"> </w:t>
      </w:r>
      <w:r>
        <w:rPr>
          <w:rFonts w:hint="eastAsia" w:ascii="宋体" w:hAnsi="宋体" w:eastAsia="宋体" w:cs="宋体"/>
          <w:color w:val="auto"/>
          <w:spacing w:val="-5"/>
          <w:highlight w:val="none"/>
        </w:rPr>
        <w:t xml:space="preserve">A</w:t>
      </w:r>
      <w:r>
        <w:rPr>
          <w:rFonts w:hint="eastAsia" w:ascii="宋体" w:hAnsi="宋体" w:eastAsia="宋体" w:cs="宋体"/>
          <w:color w:val="auto"/>
          <w:spacing w:val="-41"/>
          <w:highlight w:val="none"/>
        </w:rPr>
        <w:t xml:space="preserve"> </w:t>
      </w:r>
      <w:r>
        <w:rPr>
          <w:rFonts w:hint="eastAsia" w:ascii="宋体" w:hAnsi="宋体" w:eastAsia="宋体" w:cs="宋体"/>
          <w:color w:val="auto"/>
          <w:spacing w:val="-5"/>
          <w:highlight w:val="none"/>
        </w:rPr>
        <w:t xml:space="preserve">类或</w:t>
      </w:r>
      <w:r>
        <w:rPr>
          <w:rFonts w:hint="eastAsia" w:ascii="宋体" w:hAnsi="宋体" w:eastAsia="宋体" w:cs="宋体"/>
          <w:color w:val="auto"/>
          <w:spacing w:val="-57"/>
          <w:highlight w:val="none"/>
        </w:rPr>
        <w:t xml:space="preserve"> </w:t>
      </w:r>
      <w:r>
        <w:rPr>
          <w:rFonts w:hint="eastAsia" w:ascii="宋体" w:hAnsi="宋体" w:eastAsia="宋体" w:cs="宋体"/>
          <w:color w:val="auto"/>
          <w:spacing w:val="-5"/>
          <w:highlight w:val="none"/>
        </w:rPr>
        <w:t xml:space="preserve">B</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5"/>
          <w:highlight w:val="none"/>
        </w:rPr>
        <w:t xml:space="preserve">类的判断</w:t>
      </w:r>
      <w:r>
        <w:rPr>
          <w:rFonts w:hint="eastAsia" w:ascii="宋体" w:hAnsi="宋体" w:eastAsia="宋体" w:cs="宋体"/>
          <w:color w:val="auto"/>
          <w:spacing w:val="-12"/>
          <w:highlight w:val="none"/>
        </w:rPr>
        <w:t xml:space="preserve">条件。</w:t>
      </w:r>
      <w:r/>
    </w:p>
    <w:p>
      <w:pPr>
        <w:pStyle w:val="712"/>
        <w:numPr>
          <w:ilvl w:val="1"/>
          <w:numId w:val="7"/>
        </w:numPr>
        <w:ind w:left="420" w:firstLine="425"/>
        <w:keepLines w:val="0"/>
        <w:keepNext w:val="0"/>
        <w:pageBreakBefore w:val="0"/>
        <w:spacing w:before="2"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提供系统自动列出所有已经自动判断出来的</w:t>
      </w:r>
      <w:r>
        <w:rPr>
          <w:rFonts w:hint="eastAsia" w:ascii="宋体" w:hAnsi="宋体" w:eastAsia="宋体" w:cs="宋体"/>
          <w:color w:val="auto"/>
          <w:spacing w:val="-65"/>
          <w:highlight w:val="none"/>
        </w:rPr>
        <w:t xml:space="preserve"> </w:t>
      </w:r>
      <w:r>
        <w:rPr>
          <w:rFonts w:hint="eastAsia" w:ascii="宋体" w:hAnsi="宋体" w:eastAsia="宋体" w:cs="宋体"/>
          <w:color w:val="auto"/>
          <w:spacing w:val="-3"/>
          <w:highlight w:val="none"/>
        </w:rPr>
        <w:t xml:space="preserve">A</w:t>
      </w:r>
      <w:r>
        <w:rPr>
          <w:rFonts w:hint="eastAsia" w:ascii="宋体" w:hAnsi="宋体" w:eastAsia="宋体" w:cs="宋体"/>
          <w:color w:val="auto"/>
          <w:spacing w:val="-48"/>
          <w:highlight w:val="none"/>
        </w:rPr>
        <w:t xml:space="preserve"> </w:t>
      </w:r>
      <w:r>
        <w:rPr>
          <w:rFonts w:hint="eastAsia" w:ascii="宋体" w:hAnsi="宋体" w:eastAsia="宋体" w:cs="宋体"/>
          <w:color w:val="auto"/>
          <w:spacing w:val="-3"/>
          <w:highlight w:val="none"/>
        </w:rPr>
        <w:t xml:space="preserve">类或</w:t>
      </w:r>
      <w:r>
        <w:rPr>
          <w:rFonts w:hint="eastAsia" w:ascii="宋体" w:hAnsi="宋体" w:eastAsia="宋体" w:cs="宋体"/>
          <w:color w:val="auto"/>
          <w:spacing w:val="-64"/>
          <w:highlight w:val="none"/>
        </w:rPr>
        <w:t xml:space="preserve"> </w:t>
      </w:r>
      <w:r>
        <w:rPr>
          <w:rFonts w:hint="eastAsia" w:ascii="宋体" w:hAnsi="宋体" w:eastAsia="宋体" w:cs="宋体"/>
          <w:color w:val="auto"/>
          <w:spacing w:val="-3"/>
          <w:highlight w:val="none"/>
        </w:rPr>
        <w:t xml:space="preserve">B</w:t>
      </w:r>
      <w:r>
        <w:rPr>
          <w:rFonts w:hint="eastAsia" w:ascii="宋体" w:hAnsi="宋体" w:eastAsia="宋体" w:cs="宋体"/>
          <w:color w:val="auto"/>
          <w:spacing w:val="-49"/>
          <w:highlight w:val="none"/>
        </w:rPr>
        <w:t xml:space="preserve"> </w:t>
      </w:r>
      <w:r>
        <w:rPr>
          <w:rFonts w:hint="eastAsia" w:ascii="宋体" w:hAnsi="宋体" w:eastAsia="宋体" w:cs="宋体"/>
          <w:color w:val="auto"/>
          <w:spacing w:val="-4"/>
          <w:highlight w:val="none"/>
        </w:rPr>
        <w:t xml:space="preserve">类体检结果的人，</w:t>
      </w:r>
      <w:r>
        <w:rPr>
          <w:rFonts w:hint="eastAsia" w:ascii="宋体" w:hAnsi="宋体" w:eastAsia="宋体" w:cs="宋体"/>
          <w:color w:val="auto"/>
          <w:spacing w:val="-3"/>
          <w:highlight w:val="none"/>
        </w:rPr>
        <w:t xml:space="preserve">生成随访任务，指派给随访医生后期进行随访处理。</w:t>
      </w:r>
      <w:r/>
    </w:p>
    <w:p>
      <w:pPr>
        <w:pStyle w:val="712"/>
        <w:numPr>
          <w:ilvl w:val="1"/>
          <w:numId w:val="7"/>
        </w:numPr>
        <w:ind w:left="420" w:right="191" w:firstLine="425"/>
        <w:keepLines w:val="0"/>
        <w:keepNext w:val="0"/>
        <w:pageBreakBefore w:val="0"/>
        <w:spacing w:before="2"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当体检人员此项目结果又回到正常值时，自动删除重阳和对应随访计</w:t>
      </w:r>
      <w:r>
        <w:rPr>
          <w:rFonts w:hint="eastAsia" w:ascii="宋体" w:hAnsi="宋体" w:eastAsia="宋体" w:cs="宋体"/>
          <w:color w:val="auto"/>
          <w:spacing w:val="-13"/>
          <w:highlight w:val="none"/>
        </w:rPr>
        <w:t xml:space="preserve">划。</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危急值：</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统产生的危急值都会在危急值页面展示，支持手动新增危急值；支持批量处理危急值，处理方式包含四种（电话，短信，现场，忽略），处理完成的危急值会展示在危急值历史页签中；支持查看通知记录；支持批量发送短信。</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危急值支持选择对应的随访计划模板，生成危急值时会生成对应的随访计划。</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当用户这个项目结果又回到正常值时，自动删除危急值和对应随访计划</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公告管理：支持新增公告信息；支持选择提醒人员在公告发布后给与相关账户进行消息提醒。</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延检复查：</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支持在复查管理中进行人员复查和通知操作；</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支持在延检管理中对人员进行延检通知；</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交接管理：支持记录交接导引单的接收人、操作人、交接时间等信息</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现场录音：能够进行现场声音录制，上传到服务器。提供两个维度的录音播放功能：可在检查科室进行现场录音；可在登记台进行录音；支持电话录音保存、下载和播放，再次进入相关界面仍可查看录音。</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支持接入特定型号的高拍仪：</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支持使用高拍仪对引导单进行拍照保存到客户档案。</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支持使用高拍仪对弃检单进行拍照保存到客户档案。</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支持使用高拍仪对收费凭证进行拍照保存到客户档案。</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支持使用高拍仪对单位的合同或各种收费证据进行拍照保存到单位客户档案。</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支持接入特定型号的电子签字笔：体检者弃检、拿报告、做特殊项目需要签署【知情同意书】时，可以用签字板电子签字确认，确认后的凭证保存到后台数据库的用户档案里面，以备查询，打印。</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单位询价单管理：</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针对单位订单提供专门的询价单制定模块，可自定义维护体检项目，调整折扣，项目意义，并导出Excel，PDF格式的询价单内容。</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系统支持通过将单位询价单项目自动转化为套餐，无需二次维护套餐信息。</w:t>
      </w:r>
      <w:r/>
    </w:p>
    <w:p>
      <w:pPr>
        <w:numPr>
          <w:ilvl w:val="0"/>
          <w:numId w:val="7"/>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CRM客户管理：（</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统支持配置单位订单管理阶段，自定义制定如：立项，洽谈，签约，体检，结算等单位订单阶段。每个阶段支持上传附件，备注等内容。完成阶段时支持配置是否需要审核，相关人员收到审核提醒并审核通过后才可进入下一阶段。</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提供单位拜访记录维护界面，记录销售和单位的沟通拜访信息。</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提供单位联系人通讯录，支持维护所有单位的联系人通讯录，并分配专门的负责人员。</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单位信息变更，订单属性变更，编辑套餐，导入人员均有详细的操作记录。</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为单位订单管理提供多种筛选方式</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单位订单支持单独设置折扣，区别于个人订单。</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支持限制业务员编辑非本人负责的单位订单信息。</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单位套餐推荐包：</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支持设置套餐推荐包，并在微信预约，体检登记界面选择推荐包项目内容。</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推荐包项目支持灵活定制多种方案，可选数量，是否必选属性。</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单位订单自选包：</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支持设置订单自选包模式，在单位订单下配置导入包和选择包。</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导入包支持自动匹配导入模式匹配校验人员信息导入自选包。</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支持通过excel设置人员信息和对应的自选包名单，通过自动匹配导入的方式将人员直接导入对应套餐和自选包下，如后续需要更换，支持更换人员的套餐和自选包</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团体备单：</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团体备单功能，通过新建团体单位，设置多种单位套餐方式（如单位套餐、单位定额、单位实收、单位套餐定额、公费自定义、单位定额小值、单位套餐（免单额度）等），系统配置体检模板，填写后直接批量导入单位人员信息及套餐分配，提高了工作效率，单位套餐设置后可生成预约二维码直接预约。订单下支持新建询价单来直接生成套餐</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支持设置不同的自选包模式创建不同逻辑自选包选择的单位订单。</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指定加项支持批量操作，设置折扣、折扣优先和套餐折扣优先。</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单位替检管理：支持单位订单替检功能，可以将体检名额让给他人，系统会记录谁替检了谁，并支持统计相关替检数据。替检订单可以进行项目变动。</w:t>
      </w:r>
      <w:r/>
    </w:p>
    <w:p>
      <w:pPr>
        <w:numPr>
          <w:ilvl w:val="0"/>
          <w:numId w:val="7"/>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ab/>
      </w:r>
      <w:r>
        <w:rPr>
          <w:rFonts w:hint="eastAsia" w:ascii="宋体" w:hAnsi="宋体"/>
          <w:color w:val="auto"/>
          <w:sz w:val="24"/>
          <w:szCs w:val="24"/>
          <w:highlight w:val="none"/>
        </w:rPr>
        <w:t xml:space="preserve">单位账号：支持独立的单位账号，支持单位预交金的充值，消费，退费操作。（</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人员管理：</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支持根据分组名称和套餐名称进行筛选人员列表。</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单位订单自选包模式下支持通过“换套餐”按钮对人员自选包方式、套餐、自选包进行修改。</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支持人员列表显示人员选择自选包。</w:t>
      </w:r>
      <w:r/>
    </w:p>
    <w:p>
      <w:pPr>
        <w:numPr>
          <w:ilvl w:val="0"/>
          <w:numId w:val="7"/>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体检车外出体检</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提供使用体检车模块，到单位所在地进行体检。外检包含两种模式：</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使用5G/4G网络将体检车的外检模块直接和院内系统进行连接，使院内体检系统可扩展在外检车上。</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体检车外检模块独立运行，等体检车回到医院后，再把体检车上的数据通过网络同步到院内体检系统里面。</w:t>
      </w:r>
      <w:r/>
    </w:p>
    <w:p>
      <w:pPr>
        <w:numPr>
          <w:ilvl w:val="0"/>
          <w:numId w:val="7"/>
        </w:numPr>
        <w:ind w:left="425" w:hanging="425"/>
        <w:spacing w:line="264" w:lineRule="auto"/>
        <w:rPr>
          <w:rFonts w:hint="eastAsia" w:ascii="宋体" w:hAnsi="宋体"/>
          <w:color w:val="auto"/>
          <w:sz w:val="24"/>
          <w:szCs w:val="24"/>
          <w:highlight w:val="none"/>
        </w:rPr>
      </w:pPr>
      <w:r/>
      <w:bookmarkStart w:id="24" w:name="OLE_LINK7"/>
      <w:r>
        <w:rPr>
          <w:rFonts w:hint="eastAsia" w:ascii="宋体" w:hAnsi="宋体"/>
          <w:color w:val="auto"/>
          <w:sz w:val="24"/>
          <w:szCs w:val="24"/>
          <w:highlight w:val="none"/>
        </w:rPr>
        <w:t xml:space="preserve">接口： </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实现医保接口对接。</w:t>
      </w:r>
      <w:r/>
    </w:p>
    <w:p>
      <w:pPr>
        <w:numPr>
          <w:ilvl w:val="1"/>
          <w:numId w:val="7"/>
        </w:numPr>
        <w:ind w:left="850" w:hanging="453"/>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院内接口：实现体检与HIS/LIS/PACS/病理/心电/CA电子签名系统/短信平台等接口对接。</w:t>
      </w:r>
      <w:r/>
    </w:p>
    <w:p>
      <w:pPr>
        <w:numPr>
          <w:ilvl w:val="1"/>
          <w:numId w:val="7"/>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院外接口: 实现区域平台、企退接口、健康证、江苏人社一体化对接。</w:t>
      </w:r>
      <w:r/>
    </w:p>
    <w:p>
      <w:pPr>
        <w:numPr>
          <w:ilvl w:val="1"/>
          <w:numId w:val="7"/>
        </w:numPr>
        <w:ind w:left="850" w:hanging="453"/>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设备接口：对接医院心理健康测试、碳13、血压仪、人体成分、骨密度、身高体重、动脉硬化等设备。</w:t>
      </w:r>
      <w:bookmarkEnd w:id="24"/>
      <w:r/>
      <w:r/>
    </w:p>
    <w:p>
      <w:pPr>
        <w:pStyle w:val="952"/>
        <w:rPr>
          <w:rFonts w:hint="eastAsia"/>
          <w:color w:val="auto"/>
          <w:highlight w:val="none"/>
        </w:rPr>
      </w:pPr>
      <w:r>
        <w:rPr>
          <w:rFonts w:hint="eastAsia"/>
          <w:color w:val="auto"/>
          <w:highlight w:val="none"/>
        </w:rPr>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检后随访</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客户档案</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支持查看客户所有体检记录，就诊推荐记录，随访计划信息，随访预计跟踪天数，问卷等信息。</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支持维护客户人际关系网络，包括但不限于父亲，母亲，哥哥，姐姐等亲属关系，以及同事，领导等社会关系。并且人际关系支持自动进行双向绑定。</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支持自定义建立标签分类，标签名称及标签颜色，对客户档案进行标记，对客户人群进行分类管理。</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支持医护人员关注指定客户档案，并添加关注原因，支持在“我的关注”页签下查看在其他流程中添加的关注原因。</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黑名单：医生可以记录此类人员信息，记录以后此人自带特殊人员属性，其他医生都能看到此人的黑名单标记及相关记录信息。</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特别关注：医生可以记录此类人员信息，记录以后此人自带特殊人员属性，其他医生都能看到此人的特别关注标记及相关记录信息。</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随访干预模板管理</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支持自定义维护随访干预模板，或不同等级重要异常结果的随访模板。可自定义设置随访模板的等级，标签，以及分类。</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支持自定义配置每个模板的子任务，包含执行时间，执行方式，随访问卷，短信模板及指定执行人。</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随访计划创建</w:t>
      </w:r>
      <w:r/>
    </w:p>
    <w:p>
      <w:pPr>
        <w:numPr>
          <w:ilvl w:val="1"/>
          <w:numId w:val="8"/>
        </w:numPr>
        <w:ind w:left="850" w:hanging="453"/>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支持根据客户订单或客户档案手动建立随访计划，计划可自定义配置医生交代，子任务，如指定每次任务的执行日期，执行方式（电话，短信，微信等），随访问卷，短信模板。（</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支持根据用户等级进行判断，自动生成随访任务。</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支持自定义配置每次随访子任务的询问内容以及需要发送的短信模板。</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随访计划分类支持自定义配置，如：慢病随访，普通随访，危重随访等。</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支持在手动创建随访时快捷选择随访模板，快捷填入随访子任务，无需手动添加。</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支持根据客户结果自动创建随访计划，并根据不同等级的重要异常结果，按照不同规则创建随访计划。</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支持在创建随访时，自动合并同一人的多个随访计划，防止数据冗余，随访子任务重复。</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支持通过绑定并填写问卷扩展随访计划属性，绑定更多客户信息如疾病史，结节详细信息等，方便后期跟踪随访时能够有更详细参考依据。</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支持创建随访时，手动或自动绑定体检结果，作为后续随访计划的判断依据。</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随访工作台</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支持查看当前随访老师的待执行任务数量，已执行任务数量统计，以及未来任务数量趋势图。</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支持按照日期，分类快捷筛选指定随访计划。</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支持自定义配置工作台需要展示的快捷功能如：客户档案，新建随访，干预模板，我的任务</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支持在随访时自定义选择三次体检结果进行横向对比。</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支持在随访时查看客户体检总结信息，诊断建议，历史随访记录及所有问卷信息。</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呼叫中心功能：系统内置呼叫中心，能够和指定厂家座机电话进行连接，控制座机电话拨号，挂断功能，在软件界面上鼠标点击打电话功能按钮就能自动拨号，解决传统手动拨号的繁琐和容易拨错电话的问题。</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自动录音：随访电话拨出后自动开始录音，记录随访内容，方便追溯纠纷。</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随访计划管理</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支持针对随访计划进行手动平均分配，转移，编辑，删除，中止。</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随访计划支持进行自动平均分配，或某科室某项目的重要异常随访指定分配某随访专员。</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随访计划支持在随访过程中编辑子任务，删除某次任务，或根据随访情况继续新增随访子任务。</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随访计划列表支持查看子任务处理状态，子任务处理方式。</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在随访计划详情页中，体检结果页签支持查看展示所有状态的体检结果内容。</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短信随访</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支持执行方式为短信的随访子任务，自动执行，自动发送，无需人工触发。</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支持对接医院短信管理平台，支持在每次随访时都可选择短信手动发送。</w:t>
      </w:r>
      <w:r/>
    </w:p>
    <w:p>
      <w:pPr>
        <w:numPr>
          <w:ilvl w:val="0"/>
          <w:numId w:val="8"/>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s="宋体"/>
          <w:color w:val="auto"/>
          <w:sz w:val="22"/>
          <w:highlight w:val="none"/>
        </w:rPr>
        <w:t xml:space="preserve"> </w:t>
      </w:r>
      <w:r>
        <w:rPr>
          <w:rFonts w:hint="eastAsia" w:ascii="宋体" w:hAnsi="宋体"/>
          <w:color w:val="auto"/>
          <w:sz w:val="24"/>
          <w:szCs w:val="24"/>
          <w:highlight w:val="none"/>
        </w:rPr>
        <w:t xml:space="preserve">微信随访：支持对接医院短信管理平台，支持根据子任务配置的执行时间，问卷信息，自动推送客户微信消息。并且可支持客户微信填写问卷完成并随访。（备注：内容需提供系统截图证明。）</w:t>
      </w:r>
      <w:r/>
    </w:p>
    <w:p>
      <w:pPr>
        <w:numPr>
          <w:ilvl w:val="0"/>
          <w:numId w:val="8"/>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随访关注</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针对危急值或重大异常结果或VIP客户或电话未接通的体检者，可手动添加随访关注，方便后期快速找到其信息。支持对vip客户自动添加随访任务。</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支持按照客户档案关注的人员，展示对应所有的随访计划，方便快捷管理指定客户。</w:t>
      </w:r>
      <w:r/>
    </w:p>
    <w:p>
      <w:pPr>
        <w:numPr>
          <w:ilvl w:val="1"/>
          <w:numId w:val="8"/>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支持在随访进度发生更新，或者到达随访计划时间时对关注人员，随访人员发送系统内消息提醒。</w:t>
      </w:r>
      <w:r/>
    </w:p>
    <w:p>
      <w:pPr>
        <w:pStyle w:val="732"/>
        <w:rPr>
          <w:rFonts w:hint="eastAsia"/>
          <w:color w:val="auto"/>
          <w:highlight w:val="none"/>
        </w:rPr>
      </w:pPr>
      <w:r>
        <w:rPr>
          <w:rFonts w:hint="eastAsia"/>
          <w:color w:val="auto"/>
          <w:highlight w:val="none"/>
        </w:rPr>
      </w:r>
      <w:r/>
    </w:p>
    <w:p>
      <w:pPr>
        <w:ind w:firstLine="482"/>
        <w:spacing w:line="264" w:lineRule="auto"/>
        <w:rPr>
          <w:rFonts w:hint="eastAsia" w:ascii="宋体" w:hAnsi="宋体"/>
          <w:b/>
          <w:color w:val="auto"/>
          <w:sz w:val="24"/>
          <w:szCs w:val="24"/>
          <w:highlight w:val="none"/>
        </w:rPr>
      </w:pPr>
      <w:r/>
      <w:bookmarkStart w:id="25" w:name="OLE_LINK6"/>
      <w:r>
        <w:rPr>
          <w:rFonts w:hint="eastAsia" w:ascii="宋体" w:hAnsi="宋体"/>
          <w:b/>
          <w:color w:val="auto"/>
          <w:sz w:val="24"/>
          <w:szCs w:val="24"/>
          <w:highlight w:val="none"/>
        </w:rPr>
        <w:t xml:space="preserve">全流程智能导诊</w:t>
      </w:r>
      <w:bookmarkEnd w:id="25"/>
      <w:r>
        <w:rPr>
          <w:rFonts w:hint="eastAsia" w:ascii="宋体" w:hAnsi="宋体"/>
          <w:b/>
          <w:color w:val="auto"/>
          <w:sz w:val="24"/>
          <w:szCs w:val="24"/>
          <w:highlight w:val="none"/>
        </w:rPr>
        <w:tab/>
      </w:r>
      <w:r/>
    </w:p>
    <w:p>
      <w:pPr>
        <w:numPr>
          <w:ilvl w:val="0"/>
          <w:numId w:val="9"/>
        </w:numPr>
        <w:ind w:left="425" w:hanging="425"/>
        <w:spacing w:line="264"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★微信端管理功能：提供管理者能在微信端查询、管控健康管理中心的日常运作，可统计日检量、性别比例、评价记录及回复等功能。</w:t>
      </w:r>
      <w:r>
        <w:rPr>
          <w:rFonts w:hint="eastAsia" w:ascii="宋体" w:hAnsi="宋体"/>
          <w:b/>
          <w:bCs/>
          <w:color w:val="auto"/>
          <w:sz w:val="24"/>
          <w:szCs w:val="24"/>
          <w:highlight w:val="none"/>
        </w:rPr>
        <w:t xml:space="preserve">（备注：内容需提供系统截图证明，否则作无效投标处理。）</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预警提示：区域、业务、诊室、瓶颈项目饱和度超过阈值时管理者会收到预警信息，从而方便管理者调整人员应对现场状况。</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弹性化参数：系统可自动动态调整参数，当达到阈值时自动触发更改相关参数设置，让导检更加智能。</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效用最大化：充分利用场地、硬件设备，诊间屏幕不同时段，显示不同内容，比如上午体检、中午宣教、下午门诊。</w:t>
      </w:r>
      <w:r/>
    </w:p>
    <w:p>
      <w:pPr>
        <w:numPr>
          <w:ilvl w:val="0"/>
          <w:numId w:val="9"/>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VIP优先原则：可设置优先人群，多级VIP、虚拟占位等，优先检查相关项目。（</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瓶颈项目独立原则：瓶颈项目独立队列，并可设置检查上限。</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首站提示：体检者登记成功后，首站检查科室多种提示方式：支持显示在大厅屏幕，并语音播报；支持利用手机短信、微信等发送首站检查科室信息；支持提供免费接口，打印到检查指引单。</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客户偏好：支持根据体检者个人偏好，分配符合偏好的诊室，如男性医生或女性医生，或特定诊室。</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客户类型设定</w:t>
      </w:r>
      <w:r>
        <w:rPr>
          <w:rFonts w:hint="eastAsia" w:ascii="宋体" w:hAnsi="宋体"/>
          <w:color w:val="auto"/>
          <w:sz w:val="24"/>
          <w:szCs w:val="24"/>
          <w:highlight w:val="none"/>
        </w:rPr>
        <w:t xml:space="preserve">：</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支持自定义客户类型，比如军人、老人孕妇、残疾人；</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支持客户类型配置相应的插队模式，比如空腹插队、直接插队、虚拟插队；</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支持客户类型定义专属图标，并显示在导检台、呼叫器、显示屏等。</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灵活过号处理：</w:t>
      </w:r>
      <w:r>
        <w:rPr>
          <w:rFonts w:hint="eastAsia" w:ascii="宋体" w:hAnsi="宋体"/>
          <w:color w:val="auto"/>
          <w:sz w:val="24"/>
          <w:szCs w:val="24"/>
          <w:highlight w:val="none"/>
        </w:rPr>
        <w:t xml:space="preserve">支持过号自动退位 N 位 N 次后冻结人员，解冻可在导检台、自助机等多种手段解除迟到状态。</w:t>
      </w:r>
      <w:r/>
    </w:p>
    <w:p>
      <w:pPr>
        <w:numPr>
          <w:ilvl w:val="0"/>
          <w:numId w:val="9"/>
        </w:numPr>
        <w:ind w:left="425" w:hanging="425"/>
        <w:spacing w:line="264" w:lineRule="auto"/>
        <w:rPr>
          <w:rFonts w:hint="eastAsia" w:ascii="宋体" w:hAnsi="宋体"/>
          <w:b/>
          <w:bCs/>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独立队列排队：</w:t>
      </w:r>
      <w:r>
        <w:rPr>
          <w:rFonts w:hint="eastAsia" w:ascii="宋体" w:hAnsi="宋体" w:cs="宋体"/>
          <w:color w:val="auto"/>
          <w:sz w:val="22"/>
          <w:highlight w:val="none"/>
        </w:rPr>
        <w:t xml:space="preserve">（</w:t>
      </w:r>
      <w:r>
        <w:rPr>
          <w:rFonts w:hint="eastAsia" w:ascii="宋体" w:hAnsi="宋体"/>
          <w:b/>
          <w:color w:val="auto"/>
          <w:sz w:val="24"/>
          <w:szCs w:val="24"/>
          <w:highlight w:val="none"/>
        </w:rPr>
        <w:t xml:space="preserve">备注：内容需提供系统截图证明。</w:t>
      </w:r>
      <w:r>
        <w:rPr>
          <w:rFonts w:hint="eastAsia" w:ascii="宋体" w:hAnsi="宋体" w:cs="宋体"/>
          <w:color w:val="auto"/>
          <w:sz w:val="22"/>
          <w:highlight w:val="none"/>
        </w:rPr>
        <w:t xml:space="preserve">）</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支持按照登记先后顺序独立排队；</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支持按照预约号先后顺序排队；</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独立排队的同时，在全流程并行排队，并能相互指引；</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根据体检者喜好，自行从全流程切换到独立队列，切换途径有自助机、导检台、微信、带扫描功能的显示屏等。</w:t>
      </w:r>
      <w:r/>
    </w:p>
    <w:p>
      <w:pPr>
        <w:numPr>
          <w:ilvl w:val="0"/>
          <w:numId w:val="9"/>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复检功能：（</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支持科室检查需要复检的功能，比如B超需要憋尿，等憋尿好了后再进入科室；</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支持自助机，导检台、微信、带扫描的显示综合屏等多种途径复查进入复查科室的自定义的位置，并在导检台、呼叫器、显示屏等显示该客户复查的状态；</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支持忘记复检的客户，完成最后一项检查后，自动按照复检规则返回科室；</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支持设置复检间隔时间，达到时间后优先返回复检科室。</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登记数量预警及控制：</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支持导检台实时查看单个或多个业务的登记人数，超过预警人数在导检台对指定工作人员发送消息提醒，如采血业务超过100人时向1楼导检护士发送预警；</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支持触发预警后登记客户项目自动改期检查；</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支持彩超根据部位总数或部位权重累计值来限制彩超的当天整体可检查数量；</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支持在导检台临时关闭或开启业务自动改期。</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二次分检功能：</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支持自定义配置检查等候区（父队列），等候区的体检者自动分流到各个检查科室（等候区的子队列）；</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支持自定义配置各个检查科室（子队列）的检查规则，让等候区的体检者根据规则自动分流到适合的科室，例如检查科室检查的性别、拒检的项目、接待的客户类型等；</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等候区的体检者不能在一个科室一次检查完成，可以在该等候区的多个检查科室（子队列）分别检查后前往其他科室。</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检查人数控制及提醒：</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支持体检中心体检总数的控制及提醒；</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支持自定义多个瓶颈项目的体检人数的控制及提醒；</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支持体检中心部分区域的体检人数控制及提醒；</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支持医生的检查部位的数量的控制及明细查看。</w:t>
      </w:r>
      <w:r/>
    </w:p>
    <w:p>
      <w:pPr>
        <w:numPr>
          <w:ilvl w:val="0"/>
          <w:numId w:val="9"/>
        </w:numPr>
        <w:ind w:left="425" w:hanging="425"/>
        <w:spacing w:line="264" w:lineRule="auto"/>
        <w:rPr>
          <w:rFonts w:hint="eastAsia" w:ascii="宋体" w:hAnsi="宋体"/>
          <w:color w:val="auto"/>
          <w:sz w:val="24"/>
          <w:szCs w:val="24"/>
          <w:highlight w:val="none"/>
        </w:rPr>
      </w:pPr>
      <w:r>
        <w:rPr>
          <w:rFonts w:ascii="宋体" w:hAnsi="宋体" w:cs="宋体"/>
          <w:color w:val="auto"/>
          <w:sz w:val="22"/>
          <w:highlight w:val="none"/>
        </w:rPr>
        <w:t xml:space="preserve">▲</w:t>
      </w:r>
      <w:r>
        <w:rPr>
          <w:rFonts w:hint="eastAsia" w:ascii="宋体" w:hAnsi="宋体"/>
          <w:color w:val="auto"/>
          <w:sz w:val="24"/>
          <w:szCs w:val="24"/>
          <w:highlight w:val="none"/>
        </w:rPr>
        <w:t xml:space="preserve">组队体检：（</w:t>
      </w:r>
      <w:r>
        <w:rPr>
          <w:rFonts w:hint="eastAsia" w:ascii="宋体" w:hAnsi="宋体"/>
          <w:b/>
          <w:color w:val="auto"/>
          <w:sz w:val="24"/>
          <w:szCs w:val="24"/>
          <w:highlight w:val="none"/>
        </w:rPr>
        <w:t xml:space="preserve">备注：内容需提供系统截图证明。</w:t>
      </w:r>
      <w:r>
        <w:rPr>
          <w:rFonts w:hint="eastAsia" w:ascii="宋体" w:hAnsi="宋体"/>
          <w:color w:val="auto"/>
          <w:sz w:val="24"/>
          <w:szCs w:val="24"/>
          <w:highlight w:val="none"/>
        </w:rPr>
        <w:t xml:space="preserve">）</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支持组队体检，设置领队及伴检人员，伴检人员跟随领队前往同一检查科室，适用于公务员招聘及家庭成员伴随体检；</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支持队员的入队离队，队长更换。</w:t>
      </w:r>
      <w:r/>
    </w:p>
    <w:p>
      <w:pPr>
        <w:numPr>
          <w:ilvl w:val="0"/>
          <w:numId w:val="9"/>
        </w:numPr>
        <w:ind w:left="425" w:hanging="425"/>
        <w:spacing w:line="264" w:lineRule="auto"/>
        <w:rPr>
          <w:rFonts w:hint="eastAsia" w:ascii="宋体" w:hAnsi="宋体"/>
          <w:color w:val="auto"/>
          <w:sz w:val="24"/>
          <w:szCs w:val="24"/>
          <w:highlight w:val="none"/>
        </w:rPr>
      </w:pPr>
      <w:r>
        <w:rPr>
          <w:color w:val="auto"/>
          <w:sz w:val="24"/>
          <w:szCs w:val="24"/>
          <w:highlight w:val="none"/>
        </w:rPr>
        <w:t xml:space="preserve">支持医生的拒检项目的设置，比如医生没心脏彩超的检</w:t>
      </w:r>
      <w:r>
        <w:rPr>
          <w:color w:val="auto"/>
          <w:spacing w:val="-3"/>
          <w:sz w:val="24"/>
          <w:szCs w:val="24"/>
          <w:highlight w:val="none"/>
        </w:rPr>
        <w:t xml:space="preserve">查资质，支持诊室的拒检项目的设置，比如诊室的检查设备不</w:t>
      </w:r>
      <w:r>
        <w:rPr>
          <w:color w:val="auto"/>
          <w:spacing w:val="-4"/>
          <w:sz w:val="24"/>
          <w:szCs w:val="24"/>
          <w:highlight w:val="none"/>
        </w:rPr>
        <w:t xml:space="preserve">支持，体检人员可以通过手机自行完成项目拒检。</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消息提醒：</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支持体检后自定义延时提醒，比如呼气试验吃药后15分钟发送吹气提醒；</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支持进入科室发送检查科室的温馨提醒；</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支持抵达指定位置后的即将检查的提醒信息；</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支持进入指定区域后的信息提示；</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呼叫功能：</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支持呼叫，重呼，过号，完成等基本操作功能；</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支持多种呼叫模式，包括顺序依次呼叫、完成当前呼叫同时呼叫下一位、重呼、重置状态依次呼叫；</w:t>
      </w:r>
      <w:bookmarkStart w:id="46" w:name="_GoBack"/>
      <w:r/>
      <w:bookmarkEnd w:id="46"/>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支持选择性呼叫；</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支持一次同时呼叫多个体检者，可设置呼叫数量；</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支持已完成体检者返回科室；</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支持不呼叫含特定项目的体检者；</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支持自动呼叫，可自定义呼叫间隔时间。</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客户标识：</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支持呼叫列表显示客户类型图标，如军人、老人、孕妇、残疾人等特殊群体；</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支持呼叫列表显示客户状态图标及文字，如正常、迟到、锁定、未签到、就餐状态等；</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支持呼叫列表显示客户性别图标。</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医院科室评价：</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支持对本次体检整体进行星级打分及评价；</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支持对已检查科室进行多维星级打分及评价，包括医生技能、科室环境及服务态度；</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支持匿名评价；</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支持体检完成后提示体检者对本次体检进行评价</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客户端评价管理：</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支持医院及科室评价数据查看、回复及导出；</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支持控评；</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支持未评价者默认好评；</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支持查看体检人数，微信使用人数，微信评价人数，微信使用率，参与评价率趋势图；</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支持查看医院及科室评价星级汇总图。</w:t>
      </w:r>
      <w:r/>
    </w:p>
    <w:p>
      <w:pPr>
        <w:numPr>
          <w:ilvl w:val="0"/>
          <w:numId w:val="9"/>
        </w:numPr>
        <w:ind w:left="425" w:hanging="425"/>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历史记录：</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支持体检者查看过往的体检记录；</w:t>
      </w:r>
      <w:r/>
    </w:p>
    <w:p>
      <w:pPr>
        <w:numPr>
          <w:ilvl w:val="1"/>
          <w:numId w:val="9"/>
        </w:numPr>
        <w:ind w:left="850" w:hanging="453"/>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支持体检者查看过往的体检评价信息。</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2"/>
        <w:spacing w:line="264" w:lineRule="auto"/>
        <w:rPr>
          <w:rFonts w:ascii="宋体" w:hAnsi="宋体"/>
          <w:b/>
          <w:color w:val="auto"/>
          <w:sz w:val="24"/>
          <w:szCs w:val="24"/>
          <w:highlight w:val="none"/>
        </w:rPr>
      </w:pPr>
      <w:r>
        <w:rPr>
          <w:rFonts w:hint="eastAsia" w:ascii="宋体" w:hAnsi="宋体"/>
          <w:b/>
          <w:color w:val="auto"/>
          <w:sz w:val="24"/>
          <w:szCs w:val="24"/>
          <w:highlight w:val="none"/>
        </w:rPr>
        <w:t xml:space="preserve">配套硬件参数</w:t>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rPr>
          <w:rFonts w:hint="eastAsia" w:ascii="宋体" w:hAnsi="宋体"/>
          <w:b/>
          <w:color w:val="auto"/>
          <w:sz w:val="24"/>
          <w:szCs w:val="24"/>
          <w:highlight w:val="none"/>
        </w:rPr>
        <w:tab/>
      </w:r>
      <w:r>
        <w:rPr>
          <w:rFonts w:hint="eastAsia" w:ascii="宋体" w:hAnsi="宋体"/>
          <w:b/>
          <w:color w:val="auto"/>
          <w:sz w:val="24"/>
          <w:szCs w:val="24"/>
          <w:highlight w:val="none"/>
        </w:rPr>
        <w:t xml:space="preserve">21.5寸体检导诊屏   22台</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操作系统：Android 7.0.0及以上;</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屏幕尺寸：21.5寸；</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最大分辨率：1920×1080；</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响应时间：&lt;5ms；</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接口：≥2xUSB2.0, 1xTF, 1xHDMI,  1xLAN；</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电源：AC100V--240V  50/60Hz；功耗：≤48W；待机功耗：≤1W；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音响：8欧3W+8欧3W；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联网方式：有线；CPU：四核及以上；</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内存：≥2G；网卡：百兆；存储：≥32G；</w:t>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rPr>
        <w:tab/>
      </w:r>
      <w:r>
        <w:rPr>
          <w:rFonts w:hint="eastAsia" w:ascii="宋体" w:hAnsi="宋体"/>
          <w:b/>
          <w:color w:val="auto"/>
          <w:sz w:val="24"/>
          <w:szCs w:val="24"/>
          <w:highlight w:val="none"/>
        </w:rPr>
        <w:t xml:space="preserve">10.1寸采血平板    3台</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操作系统：Android 7.0.0及以上;</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屏幕尺寸：10.1寸；10点电容式触摸；</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最大分辨率：800×1280；</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响应时间：&lt;5ms；</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接口：≥2xUSB2.0, 1xTF, 1xHDMI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电源：DC 5V/2A  50/60Hz；功耗：≤30W；待机功耗：≤1W；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音响：1W+1W；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联网方式：有线/无线；CPU：四核及以上，四核；</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内存：2G；网卡：千兆；存储：32G；前置200W摄像头。</w:t>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w:t>
      </w:r>
      <w:r>
        <w:rPr>
          <w:rFonts w:hint="eastAsia" w:ascii="宋体" w:hAnsi="宋体"/>
          <w:b/>
          <w:color w:val="auto"/>
          <w:sz w:val="24"/>
          <w:szCs w:val="24"/>
          <w:highlight w:val="none"/>
        </w:rPr>
        <w:tab/>
      </w:r>
      <w:r>
        <w:rPr>
          <w:rFonts w:hint="eastAsia" w:ascii="宋体" w:hAnsi="宋体"/>
          <w:b/>
          <w:color w:val="auto"/>
          <w:sz w:val="24"/>
          <w:szCs w:val="24"/>
          <w:highlight w:val="none"/>
        </w:rPr>
        <w:t xml:space="preserve">55寸综合显示屏  2台</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操作系统:Android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屏幕尺寸：55寸；屏幕比例16:9;</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屏幕分辨率:超高清4K</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存储内存：≥32GB   CPU架构：四核A35 运行内存：RAM:2GB</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功耗参数:工作电压220V 待机功率≥0.5W 电源功率 ≥95W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接口：≥USB2.0*2   ≥HDMI2.0*2个</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音响功率:≥20W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网络参数:连接方式：无线/有线</w:t>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w:t>
      </w:r>
      <w:r>
        <w:rPr>
          <w:rFonts w:hint="eastAsia" w:ascii="宋体" w:hAnsi="宋体"/>
          <w:b/>
          <w:color w:val="auto"/>
          <w:sz w:val="24"/>
          <w:szCs w:val="24"/>
          <w:highlight w:val="none"/>
        </w:rPr>
        <w:tab/>
      </w:r>
      <w:r>
        <w:rPr>
          <w:rFonts w:hint="eastAsia" w:ascii="宋体" w:hAnsi="宋体"/>
          <w:b/>
          <w:color w:val="auto"/>
          <w:sz w:val="24"/>
          <w:szCs w:val="24"/>
          <w:highlight w:val="none"/>
        </w:rPr>
        <w:t xml:space="preserve">32寸体检报告机  1台</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操作系统：windows10 64位 旗舰版;</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屏幕尺寸：32寸；电容触摸屏；</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最大分辨率：1920*1080；</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响应时间：＜5ms；</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接口：≥10xUSB2.0, 1xHDMI,6xCOM,1xLAN；</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电源：AC100V--240V  50/60Hz；功耗：300W；待机功耗：≤1W；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音响：8欧10W+8欧10W；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联网方式：有线；CPU：I5 6代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内存：≥8G；硬盘 ：SSD256G;网卡：百兆千兆自适应；功能模块：扫描模块、高清摄像头、A4激光打印机、电动订书机、身份证阅读器、logo丝印；</w:t>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rPr>
          <w:rFonts w:hint="eastAsia" w:ascii="宋体" w:hAnsi="宋体"/>
          <w:b/>
          <w:color w:val="auto"/>
          <w:sz w:val="24"/>
          <w:szCs w:val="24"/>
          <w:highlight w:val="none"/>
        </w:rPr>
        <w:tab/>
      </w:r>
      <w:r>
        <w:rPr>
          <w:rFonts w:hint="eastAsia" w:ascii="宋体" w:hAnsi="宋体"/>
          <w:b/>
          <w:color w:val="auto"/>
          <w:sz w:val="24"/>
          <w:szCs w:val="24"/>
          <w:highlight w:val="none"/>
        </w:rPr>
        <w:t xml:space="preserve">32寸自助终端机   1台</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操作系统：windows10 64位 旗舰版;</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屏幕尺寸：32寸；电容触摸屏；</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最大分辨率：1920*1080；</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响应时间：&lt;5ms；</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接口：≥10xUSB2.0, 1xHDMI,6xCOM,1xLAN；</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电源：AC100V--240V  50/60Hz；功耗：300W；待机功耗：≤1W；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音响：8欧10W+8欧10W；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联网方式：有线；CPU：I5 6代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内存：≥16G；硬盘 ：SSD256G;网卡：百兆千兆自适应；功能模块：扫描模块、高清摄像头、A4激光打印机、标签打印机、身份证阅读器、金属键盘、logo丝印；</w:t>
      </w:r>
      <w:r/>
    </w:p>
    <w:p>
      <w:pPr>
        <w:ind w:firstLine="482"/>
        <w:spacing w:line="264"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 75寸综合显示屏 1台</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操作系统:Android 10及以上</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屏幕尺寸：75寸；屏幕比例16:9;</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屏幕分辨率:超高清4K</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存储内存：≥64GB   CPU架构：四核A73 运行内存：RAM:3GB</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功耗参数:工作电压220V 待机功率≥0.5W 电源功率 ≥95W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接口：≥USB2.0*2   ≥HDMI2.0*2个</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音响功率：30w</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网络参数:连接方式：无线/有线</w:t>
      </w:r>
      <w:r/>
    </w:p>
    <w:p>
      <w:pPr>
        <w:pStyle w:val="952"/>
        <w:rPr>
          <w:rFonts w:hint="eastAsia"/>
          <w:color w:val="auto"/>
          <w:highlight w:val="none"/>
        </w:rPr>
      </w:pPr>
      <w:r>
        <w:rPr>
          <w:rFonts w:hint="eastAsia"/>
          <w:color w:val="auto"/>
          <w:highlight w:val="none"/>
        </w:rPr>
      </w:r>
      <w:r/>
    </w:p>
    <w:p>
      <w:pPr>
        <w:ind w:firstLine="480"/>
        <w:spacing w:line="264" w:lineRule="auto"/>
        <w:rPr>
          <w:rFonts w:hint="eastAsia" w:ascii="宋体" w:hAnsi="宋体" w:cs="宋体"/>
          <w:bCs/>
          <w:color w:val="auto"/>
          <w:sz w:val="24"/>
          <w:szCs w:val="24"/>
          <w:highlight w:val="none"/>
        </w:rPr>
        <w:outlineLvl w:val="2"/>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报价要求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1.如果发生因供应商安全措施不力造成的事故责任，或者其他工作失误，由此所产生的一切责任由供应商承担。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 如因供应商投入人员过少原因，造成无法在承诺工期内完成服务，由此产生的一切责任由供应商承担。</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服务要求</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本项目建设期为合同签订之日起90天内，具体实施进度和计划投标方可根据实际情况在成交后项目正式进场实施前以项目实施方案的形式给出详细设计方案，经招标人书面批准确认后方可正式开始实施。</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（3）验收要求</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auto"/>
          <w:sz w:val="24"/>
          <w:szCs w:val="24"/>
          <w:highlight w:val="none"/>
          <w:lang w:bidi="ar"/>
        </w:rPr>
        <w:t xml:space="preserve">形成验收文件作</w:t>
      </w:r>
      <w:r>
        <w:rPr>
          <w:rFonts w:hint="eastAsia" w:ascii="宋体" w:hAnsi="宋体"/>
          <w:color w:val="auto"/>
          <w:sz w:val="24"/>
          <w:szCs w:val="24"/>
          <w:highlight w:val="none"/>
        </w:rPr>
        <w:t xml:space="preserve">为验收依据。验收测试合格后，双方签署验收协议，系统试运行。</w:t>
      </w:r>
      <w:r/>
    </w:p>
    <w:p>
      <w:pPr>
        <w:ind w:firstLine="480"/>
        <w:spacing w:line="264"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（4）维保要求</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在系统安装调试并经验收合格后，进入免费质保期，质保期1年。</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中标人需要为采购方的相关人员提供系统应用技术和操作方面的培训，并交付培训相关文档，同时如果系统使用流程改变时也应进行培训和提供培训文档。这些培训应确保采购方的团队能够充分了解和掌握系统的操作、日常维护以及解决常见问题的能力，相关培训费用应包括本次项目报价及之后维保服务期内的维保服务费中，不再单独收费。</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投标人投标时提供对应服务周期内的履约时长与响应时效7*24的承诺函。</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中标后，中标人须前往采购人指定地点，依据招标文件中明确的演示功能点进行现场演示，以验证并确保相关功能均能正常使用。 </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（5）知识产权及保密要求</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③供应商须按照与采购人签订的《信息安全保密承诺书》的约定严格履行各项保密义务。</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④采购人与供应商都拥有本项目定制开发部分的知识产权。交付项应包括但不限于如下内容：</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满足采购人需求的、完整的、可最终良好运行的系统。</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提供项目的最终版本部署包及产品永久授权。</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（6）建设成果要求</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供应商在项目建设的各个阶段及时提交建设成果，主要包括但不限于以下内容：</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①项目启动阶段：项目实施方案。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②业务需求分析阶段：需求调研方案、需求分析说明书。</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③系统设计、开发阶段：需求规格说明书、概要设计说明书、详细设计说明书、数据库设计说明书、系统接口说明书。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④系统实施阶段：系统上线部署方案、软件安装说明书、软件使用说明书、系统安装光盘、系统培训方案、系统培训手册。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⑤项目验收阶段：测试报告、项目验收方案、系统运行报告、项目验收报告。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⑥运行维护阶段：系统维护方案、系统维护手册、系统运行维护记录。</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（7）网络安全等级保护测评要求</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供应商配合采购人，做好系统通过等保测评相关准备工作。</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（8）网络安全和数据安全要求，外包网络安全管理要求</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符合网络安全和密码应用要求，符合国家安全可靠应用政策规定。</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付款条件</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（1）交付时间：合同签订后</w:t>
      </w:r>
      <w:r>
        <w:rPr>
          <w:rFonts w:hint="eastAsia" w:ascii="宋体" w:hAnsi="宋体"/>
          <w:color w:val="auto"/>
          <w:sz w:val="24"/>
          <w:szCs w:val="24"/>
          <w:highlight w:val="none"/>
        </w:rPr>
        <w:t xml:space="preserve">90</w:t>
      </w:r>
      <w:r>
        <w:rPr>
          <w:rFonts w:ascii="宋体" w:hAnsi="宋体" w:cs="宋体"/>
          <w:color w:val="auto"/>
          <w:sz w:val="24"/>
          <w:szCs w:val="24"/>
          <w:highlight w:val="none"/>
        </w:rPr>
        <w:t xml:space="preserve">天内</w:t>
      </w:r>
      <w:r>
        <w:rPr>
          <w:rFonts w:hint="eastAsia" w:ascii="宋体" w:hAnsi="宋体" w:cs="宋体"/>
          <w:color w:val="auto"/>
          <w:sz w:val="24"/>
          <w:szCs w:val="24"/>
          <w:highlight w:val="none"/>
        </w:rPr>
        <w:t xml:space="preserve">完成系统开发</w:t>
      </w:r>
      <w:r>
        <w:rPr>
          <w:rFonts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5.履约保证金</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hint="eastAsia" w:ascii="宋体" w:hAnsi="宋体" w:cs="宋体"/>
          <w:color w:val="auto"/>
          <w:sz w:val="24"/>
          <w:szCs w:val="24"/>
          <w:highlight w:val="none"/>
        </w:rPr>
      </w:pPr>
      <w:r/>
      <w:bookmarkStart w:id="26" w:name="OLE_LINK1"/>
      <w:r>
        <w:rPr>
          <w:rFonts w:hint="eastAsia" w:ascii="宋体" w:hAnsi="宋体" w:cs="宋体"/>
          <w:color w:val="auto"/>
          <w:sz w:val="24"/>
          <w:szCs w:val="24"/>
          <w:highlight w:val="none"/>
        </w:rPr>
        <w:t xml:space="preserve">6.其他要求</w:t>
      </w:r>
      <w:bookmarkEnd w:id="26"/>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004"/>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第五章  评审方法与评审标准</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一、评审方法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成交候选供应商，并编写评审报告。评审得分相同的，按照最后报价由低到高的顺序推荐。评审得分且最后报价相同的，按照“评审标准2.技术项”得分由高到低顺序推荐。</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1.本</w:t>
      </w:r>
      <w:r>
        <w:rPr>
          <w:rFonts w:hint="eastAsia" w:ascii="宋体" w:hAnsi="宋体"/>
          <w:color w:val="auto"/>
          <w:sz w:val="24"/>
          <w:highlight w:val="none"/>
        </w:rPr>
        <w:t xml:space="preserve">项目如</w:t>
      </w:r>
      <w:r>
        <w:rPr>
          <w:rFonts w:hint="eastAsia" w:ascii="宋体" w:hAnsi="宋体"/>
          <w:color w:val="auto"/>
          <w:sz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auto"/>
          <w:sz w:val="24"/>
          <w:highlight w:val="none"/>
        </w:rPr>
      </w:pPr>
      <w:r>
        <w:rPr>
          <w:rFonts w:hint="eastAsia" w:ascii="宋体" w:hAnsi="宋体"/>
          <w:color w:val="auto"/>
          <w:sz w:val="24"/>
          <w:highlight w:val="none"/>
        </w:rPr>
        <w:t xml:space="preserve">2.如本</w:t>
      </w:r>
      <w:r>
        <w:rPr>
          <w:rFonts w:hint="eastAsia" w:ascii="宋体" w:hAnsi="宋体"/>
          <w:color w:val="auto"/>
          <w:sz w:val="24"/>
          <w:highlight w:val="none"/>
          <w:lang w:val="zh-CN"/>
        </w:rPr>
        <w:t xml:space="preserve">项目或者</w:t>
      </w:r>
      <w:r>
        <w:rPr>
          <w:rFonts w:hint="eastAsia" w:ascii="宋体" w:hAnsi="宋体"/>
          <w:color w:val="auto"/>
          <w:sz w:val="24"/>
          <w:highlight w:val="none"/>
        </w:rPr>
        <w:t xml:space="preserve">其中</w:t>
      </w:r>
      <w:r>
        <w:rPr>
          <w:rFonts w:hint="eastAsia" w:ascii="宋体" w:hAnsi="宋体"/>
          <w:color w:val="auto"/>
          <w:sz w:val="24"/>
          <w:highlight w:val="none"/>
          <w:lang w:val="zh-CN"/>
        </w:rPr>
        <w:t xml:space="preserve">采购包中含有多种产品，供应商为</w:t>
      </w:r>
      <w:r>
        <w:rPr>
          <w:rFonts w:hint="eastAsia" w:ascii="宋体" w:hAnsi="宋体"/>
          <w:color w:val="auto"/>
          <w:sz w:val="24"/>
          <w:highlight w:val="none"/>
        </w:rPr>
        <w:t xml:space="preserve">本</w:t>
      </w:r>
      <w:r>
        <w:rPr>
          <w:rFonts w:hint="eastAsia" w:ascii="宋体" w:hAnsi="宋体"/>
          <w:color w:val="auto"/>
          <w:sz w:val="24"/>
          <w:highlight w:val="none"/>
          <w:lang w:val="zh-CN"/>
        </w:rPr>
        <w:t xml:space="preserve">项目或者</w:t>
      </w:r>
      <w:r>
        <w:rPr>
          <w:rFonts w:hint="eastAsia" w:ascii="宋体" w:hAnsi="宋体"/>
          <w:color w:val="auto"/>
          <w:sz w:val="24"/>
          <w:highlight w:val="none"/>
        </w:rPr>
        <w:t xml:space="preserve">其中</w:t>
      </w:r>
      <w:r>
        <w:rPr>
          <w:rFonts w:hint="eastAsia" w:ascii="宋体" w:hAnsi="宋体"/>
          <w:color w:val="auto"/>
          <w:sz w:val="24"/>
          <w:highlight w:val="none"/>
          <w:lang w:val="zh-CN"/>
        </w:rPr>
        <w:t xml:space="preserve">采购包提供的符合本国产品标准的产品成本之和占该供应商提供的全部产品成本之和的比例达到80%以上时，依法</w:t>
      </w:r>
      <w:r>
        <w:rPr>
          <w:rFonts w:hint="eastAsia" w:ascii="宋体" w:hAnsi="宋体"/>
          <w:color w:val="auto"/>
          <w:sz w:val="24"/>
          <w:highlight w:val="none"/>
        </w:rPr>
        <w:t xml:space="preserve">对该供应商提供的全部产品给予价格评审优惠，即对该供应商提供的全部产品的总报价给予20%的价格扣除，用扣除后的价格参与评审。</w:t>
      </w:r>
      <w:r/>
    </w:p>
    <w:p>
      <w:pPr>
        <w:ind w:firstLine="420"/>
        <w:rPr>
          <w:rFonts w:hint="eastAsia" w:ascii="宋体" w:hAnsi="宋体"/>
          <w:color w:val="auto"/>
          <w:sz w:val="24"/>
          <w:highlight w:val="none"/>
        </w:rPr>
      </w:pPr>
      <w:r>
        <w:rPr>
          <w:rFonts w:hint="eastAsia" w:ascii="宋体" w:hAnsi="宋体"/>
          <w:color w:val="auto"/>
          <w:sz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hint="eastAsia" w:ascii="宋体" w:hAnsi="宋体" w:cs="宋体"/>
          <w:b/>
          <w:bCs/>
          <w:color w:val="auto"/>
          <w:sz w:val="24"/>
          <w:szCs w:val="24"/>
          <w:highlight w:val="none"/>
        </w:rPr>
      </w:pPr>
      <w:r>
        <w:rPr>
          <w:rFonts w:hint="eastAsia" w:ascii="宋体" w:hAnsi="宋体"/>
          <w:b/>
          <w:bCs/>
          <w:color w:val="auto"/>
          <w:sz w:val="24"/>
          <w:highlight w:val="none"/>
        </w:rPr>
        <w:t xml:space="preserve">4.</w:t>
      </w:r>
      <w:r>
        <w:rPr>
          <w:rFonts w:hint="eastAsia" w:ascii="宋体" w:hAnsi="宋体"/>
          <w:b/>
          <w:bCs/>
          <w:color w:val="auto"/>
          <w:sz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三、小微企业价格扣除</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15</w:t>
      </w:r>
      <w:r>
        <w:rPr>
          <w:rFonts w:hint="eastAsia" w:ascii="宋体" w:hAnsi="宋体" w:cs="宋体"/>
          <w:color w:val="auto"/>
          <w:sz w:val="24"/>
          <w:szCs w:val="24"/>
          <w:highlight w:val="none"/>
        </w:rPr>
        <w:t xml:space="preserve">%的扣除，用扣除后的价格参与评审。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pStyle w:val="732"/>
        <w:ind w:firstLine="0"/>
        <w:rPr>
          <w:rFonts w:hint="eastAsia"/>
          <w:color w:val="auto"/>
          <w:highlight w:val="none"/>
        </w:rPr>
      </w:pPr>
      <w:r>
        <w:rPr>
          <w:rFonts w:hint="eastAsia"/>
          <w:color w:val="auto"/>
          <w:highlight w:val="none"/>
        </w:rPr>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四、评审标准</w:t>
      </w:r>
      <w:r/>
    </w:p>
    <w:tbl>
      <w:tblPr>
        <w:tblStyle w:val="70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序号</w:t>
            </w:r>
            <w:r/>
          </w:p>
        </w:tc>
        <w:tc>
          <w:tcPr>
            <w:tcW w:w="1179"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评审因素</w:t>
            </w:r>
            <w:r/>
          </w:p>
        </w:tc>
        <w:tc>
          <w:tcPr>
            <w:tcW w:w="6330"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评审细则</w:t>
            </w:r>
            <w:r/>
          </w:p>
        </w:tc>
        <w:tc>
          <w:tcPr>
            <w:tcW w:w="647"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分值</w:t>
            </w:r>
            <w:r/>
          </w:p>
        </w:tc>
        <w:tc>
          <w:tcPr>
            <w:tcW w:w="900" w:type="dxa"/>
            <w:vAlign w:val="top"/>
            <w:textDirection w:val="lrTb"/>
            <w:noWrap w:val="false"/>
          </w:tcPr>
          <w:p>
            <w:pPr>
              <w:jc w:val="center"/>
              <w:spacing w:before="122" w:line="288" w:lineRule="auto"/>
              <w:rPr>
                <w:rFonts w:ascii="宋体" w:hAnsi="宋体" w:cs="宋体"/>
                <w:b/>
                <w:bCs/>
                <w:color w:val="auto"/>
                <w:spacing w:val="-3"/>
                <w:szCs w:val="21"/>
                <w:highlight w:val="none"/>
              </w:rPr>
            </w:pPr>
            <w:r>
              <w:rPr>
                <w:rFonts w:ascii="宋体" w:hAnsi="宋体" w:cs="宋体"/>
                <w:b/>
                <w:bCs/>
                <w:color w:val="auto"/>
                <w:spacing w:val="-3"/>
                <w:szCs w:val="21"/>
                <w:highlight w:val="none"/>
              </w:rPr>
              <w:t xml:space="preserve">类型</w:t>
            </w:r>
            <w:r/>
          </w:p>
        </w:tc>
      </w:tr>
      <w:tr>
        <w:trPr>
          <w:jc w:val="center"/>
          <w:trHeight w:val="460"/>
        </w:trPr>
        <w:tc>
          <w:tcPr>
            <w:gridSpan w:val="5"/>
            <w:tcW w:w="9575" w:type="dxa"/>
            <w:vAlign w:val="top"/>
            <w:textDirection w:val="lrTb"/>
            <w:noWrap w:val="false"/>
          </w:tcPr>
          <w:p>
            <w:pPr>
              <w:ind w:left="114"/>
              <w:spacing w:before="122" w:line="264" w:lineRule="auto"/>
              <w:rPr>
                <w:rFonts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90"/>
        </w:trPr>
        <w:tc>
          <w:tcPr>
            <w:tcW w:w="519"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W w:w="1179" w:type="dxa"/>
            <w:vAlign w:val="center"/>
            <w:textDirection w:val="lrTb"/>
            <w:noWrap w:val="false"/>
          </w:tcPr>
          <w:p>
            <w:pPr>
              <w:jc w:val="left"/>
              <w:spacing w:before="68" w:line="264" w:lineRule="auto"/>
              <w:rPr>
                <w:rFonts w:ascii="宋体" w:hAnsi="宋体" w:cs="宋体"/>
                <w:color w:val="auto"/>
                <w:highlight w:val="none"/>
              </w:rPr>
            </w:pPr>
            <w:r>
              <w:rPr>
                <w:rFonts w:ascii="宋体" w:hAnsi="宋体" w:cs="宋体"/>
                <w:color w:val="auto"/>
                <w:spacing w:val="-2"/>
                <w:highlight w:val="none"/>
              </w:rPr>
              <w:t xml:space="preserve">价格分</w:t>
            </w:r>
            <w:r/>
          </w:p>
        </w:tc>
        <w:tc>
          <w:tcPr>
            <w:tcW w:w="6330" w:type="dxa"/>
            <w:vAlign w:val="center"/>
            <w:textDirection w:val="lrTb"/>
            <w:noWrap w:val="false"/>
          </w:tcPr>
          <w:p>
            <w:pPr>
              <w:jc w:val="left"/>
              <w:spacing w:line="264" w:lineRule="auto"/>
              <w:rPr>
                <w:rFonts w:ascii="宋体" w:hAnsi="宋体" w:cs="宋体"/>
                <w:color w:val="auto"/>
                <w:highlight w:val="none"/>
              </w:rPr>
            </w:pPr>
            <w:r>
              <w:rPr>
                <w:rFonts w:hint="eastAsia" w:ascii="宋体" w:hAnsi="宋体" w:cs="宋体"/>
                <w:color w:val="auto"/>
                <w:highlight w:val="none"/>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p>
            <w:pPr>
              <w:jc w:val="left"/>
              <w:spacing w:line="264" w:lineRule="auto"/>
              <w:rPr>
                <w:color w:val="auto"/>
                <w:highlight w:val="none"/>
              </w:rPr>
            </w:pPr>
            <w:r>
              <w:rPr>
                <w:color w:val="auto"/>
                <w:highlight w:val="none"/>
              </w:rPr>
            </w:r>
            <w:r/>
          </w:p>
        </w:tc>
        <w:tc>
          <w:tcPr>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20</w:t>
            </w:r>
            <w:r/>
          </w:p>
        </w:tc>
        <w:tc>
          <w:tcPr>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W w:w="9575" w:type="dxa"/>
            <w:vAlign w:val="top"/>
            <w:textDirection w:val="lrTb"/>
            <w:noWrap w:val="false"/>
          </w:tcPr>
          <w:p>
            <w:pPr>
              <w:ind w:left="114"/>
              <w:spacing w:before="123" w:line="264" w:lineRule="auto"/>
              <w:rPr>
                <w:rFonts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479"/>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ascii="宋体" w:hAnsi="宋体" w:cs="宋体"/>
                <w:color w:val="auto"/>
                <w:spacing w:val="-2"/>
                <w:highlight w:val="none"/>
              </w:rPr>
              <w:t xml:space="preserve">2.1</w:t>
            </w:r>
            <w:r/>
          </w:p>
        </w:tc>
        <w:tc>
          <w:tcPr>
            <w:tcW w:w="1179" w:type="dxa"/>
            <w:vAlign w:val="center"/>
            <w:textDirection w:val="lrTb"/>
            <w:noWrap w:val="false"/>
          </w:tcPr>
          <w:p>
            <w:pPr>
              <w:jc w:val="left"/>
              <w:spacing w:before="68" w:line="264" w:lineRule="auto"/>
              <w:rPr>
                <w:rFonts w:ascii="宋体" w:hAnsi="宋体" w:cs="宋体"/>
                <w:color w:val="auto"/>
                <w:spacing w:val="-2"/>
                <w:highlight w:val="none"/>
              </w:rPr>
            </w:pPr>
            <w:r>
              <w:rPr>
                <w:rFonts w:hint="eastAsia"/>
                <w:color w:val="auto"/>
                <w:highlight w:val="none"/>
              </w:rPr>
              <w:t xml:space="preserve">产品技术参数</w:t>
            </w:r>
            <w:r/>
          </w:p>
        </w:tc>
        <w:tc>
          <w:tcPr>
            <w:tcW w:w="6330" w:type="dxa"/>
            <w:vAlign w:val="center"/>
            <w:textDirection w:val="lrTb"/>
            <w:noWrap w:val="false"/>
          </w:tcPr>
          <w:p>
            <w:pPr>
              <w:jc w:val="left"/>
              <w:spacing w:line="264" w:lineRule="auto"/>
              <w:widowControl/>
              <w:rPr>
                <w:rFonts w:hint="eastAsia" w:ascii="宋体" w:hAnsi="宋体" w:cs="宋体"/>
                <w:color w:val="auto"/>
                <w:highlight w:val="none"/>
              </w:rPr>
            </w:pPr>
            <w:r>
              <w:rPr>
                <w:rFonts w:hint="eastAsia" w:ascii="宋体" w:hAnsi="宋体" w:cs="宋体"/>
                <w:color w:val="auto"/>
                <w:highlight w:val="none"/>
              </w:rPr>
              <w:t xml:space="preserve">产品</w:t>
            </w:r>
            <w:r>
              <w:rPr>
                <w:rFonts w:ascii="宋体" w:hAnsi="宋体" w:cs="宋体"/>
                <w:color w:val="auto"/>
                <w:highlight w:val="none"/>
              </w:rPr>
              <w:t xml:space="preserve">技术参数全部满足</w:t>
            </w:r>
            <w:r>
              <w:rPr>
                <w:rFonts w:hint="eastAsia" w:ascii="宋体" w:hAnsi="宋体" w:cs="宋体"/>
                <w:color w:val="auto"/>
                <w:highlight w:val="none"/>
              </w:rPr>
              <w:t xml:space="preserve">磋商文件</w:t>
            </w:r>
            <w:r>
              <w:rPr>
                <w:rFonts w:ascii="宋体" w:hAnsi="宋体" w:cs="宋体"/>
                <w:color w:val="auto"/>
                <w:highlight w:val="none"/>
              </w:rPr>
              <w:t xml:space="preserve">要求的得满分</w:t>
            </w:r>
            <w:r>
              <w:rPr>
                <w:rFonts w:hint="eastAsia" w:ascii="宋体" w:hAnsi="宋体" w:cs="宋体"/>
                <w:color w:val="auto"/>
                <w:highlight w:val="none"/>
              </w:rPr>
              <w:t xml:space="preserve">，</w:t>
            </w:r>
            <w:r>
              <w:rPr>
                <w:rFonts w:ascii="宋体" w:hAnsi="宋体" w:cs="宋体"/>
                <w:color w:val="auto"/>
                <w:highlight w:val="none"/>
              </w:rPr>
              <w:t xml:space="preserve">打★指标为重要指标，</w:t>
            </w:r>
            <w:r>
              <w:rPr>
                <w:rFonts w:hint="eastAsia" w:ascii="宋体" w:hAnsi="宋体" w:cs="宋体"/>
                <w:color w:val="auto"/>
                <w:szCs w:val="21"/>
                <w:highlight w:val="none"/>
              </w:rPr>
              <w:t xml:space="preserve">有1项负偏离，</w:t>
            </w:r>
            <w:r>
              <w:rPr>
                <w:rFonts w:hint="eastAsia" w:ascii="宋体" w:hAnsi="宋体" w:cs="宋体"/>
                <w:color w:val="auto"/>
                <w:highlight w:val="none"/>
              </w:rPr>
              <w:t xml:space="preserve">作无效投标处理</w:t>
            </w:r>
            <w:r>
              <w:rPr>
                <w:rFonts w:hint="eastAsia" w:ascii="宋体" w:hAnsi="宋体" w:cs="宋体"/>
                <w:color w:val="auto"/>
                <w:szCs w:val="21"/>
                <w:highlight w:val="none"/>
              </w:rPr>
              <w:t xml:space="preserve">；</w:t>
            </w:r>
            <w:r>
              <w:rPr>
                <w:rFonts w:ascii="宋体" w:hAnsi="宋体" w:cs="宋体"/>
                <w:color w:val="auto"/>
                <w:sz w:val="22"/>
                <w:highlight w:val="none"/>
              </w:rPr>
              <w:t xml:space="preserve">打▲</w:t>
            </w:r>
            <w:r>
              <w:rPr>
                <w:rFonts w:hint="eastAsia" w:ascii="宋体" w:hAnsi="宋体" w:cs="宋体"/>
                <w:color w:val="auto"/>
                <w:highlight w:val="none"/>
              </w:rPr>
              <w:t xml:space="preserve">指标为重要指标，有1项负偏离扣1分；其余指标有1项负偏离扣0.5分。</w:t>
            </w:r>
            <w:r/>
          </w:p>
          <w:p>
            <w:pPr>
              <w:jc w:val="left"/>
              <w:spacing w:line="264" w:lineRule="auto"/>
              <w:widowControl/>
              <w:rPr>
                <w:rFonts w:hint="eastAsia" w:ascii="宋体" w:hAnsi="宋体" w:cs="宋体"/>
                <w:color w:val="auto"/>
                <w:highlight w:val="none"/>
              </w:rPr>
            </w:pPr>
            <w:r>
              <w:rPr>
                <w:rFonts w:hint="eastAsia" w:ascii="宋体" w:hAnsi="宋体" w:cs="宋体"/>
                <w:color w:val="auto"/>
                <w:highlight w:val="none"/>
              </w:rPr>
              <w:t xml:space="preserve">注：</w:t>
            </w:r>
            <w:r/>
          </w:p>
          <w:p>
            <w:pPr>
              <w:jc w:val="left"/>
              <w:spacing w:line="264" w:lineRule="auto"/>
              <w:widowControl/>
              <w:rPr>
                <w:color w:val="auto"/>
                <w:highlight w:val="none"/>
              </w:rPr>
            </w:pPr>
            <w:r>
              <w:rPr>
                <w:rFonts w:hint="eastAsia" w:ascii="宋体" w:hAnsi="宋体" w:cs="宋体"/>
                <w:color w:val="auto"/>
                <w:highlight w:val="none"/>
              </w:rPr>
              <w:t xml:space="preserve">其中标注“★”的内容需提供系统截图证明或相关证明、证书，否则作无效投标处理；“</w:t>
            </w:r>
            <w:r>
              <w:rPr>
                <w:rFonts w:ascii="宋体" w:hAnsi="宋体" w:cs="宋体"/>
                <w:color w:val="auto"/>
                <w:sz w:val="22"/>
                <w:highlight w:val="none"/>
              </w:rPr>
              <w:t xml:space="preserve">▲</w:t>
            </w:r>
            <w:r>
              <w:rPr>
                <w:rFonts w:hint="eastAsia" w:ascii="宋体" w:hAnsi="宋体" w:cs="宋体"/>
                <w:color w:val="auto"/>
                <w:highlight w:val="none"/>
              </w:rPr>
              <w:t xml:space="preserve">”的内容需提供系统截图证明或相关证明、证书。</w:t>
            </w:r>
            <w:r/>
          </w:p>
        </w:tc>
        <w:tc>
          <w:tcPr>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20</w:t>
            </w:r>
            <w:r/>
          </w:p>
        </w:tc>
        <w:tc>
          <w:tcPr>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315"/>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.2</w:t>
            </w:r>
            <w:r/>
          </w:p>
        </w:tc>
        <w:tc>
          <w:tcPr>
            <w:tcW w:w="1179" w:type="dxa"/>
            <w:vAlign w:val="center"/>
            <w:textDirection w:val="lrTb"/>
            <w:noWrap w:val="false"/>
          </w:tcPr>
          <w:p>
            <w:pPr>
              <w:spacing w:line="264" w:lineRule="auto"/>
              <w:rPr>
                <w:color w:val="auto"/>
                <w:highlight w:val="none"/>
              </w:rPr>
            </w:pPr>
            <w:r>
              <w:rPr>
                <w:rFonts w:hint="eastAsia"/>
                <w:color w:val="auto"/>
                <w:highlight w:val="none"/>
              </w:rPr>
              <w:t xml:space="preserve">需求理解</w:t>
            </w:r>
            <w:r/>
          </w:p>
        </w:tc>
        <w:tc>
          <w:tcPr>
            <w:tcW w:w="6330" w:type="dxa"/>
            <w:vAlign w:val="center"/>
            <w:textDirection w:val="lrTb"/>
            <w:noWrap w:val="false"/>
          </w:tcPr>
          <w:p>
            <w:pPr>
              <w:pStyle w:val="1009"/>
              <w:spacing w:line="264" w:lineRule="auto"/>
              <w:rPr>
                <w:color w:val="auto"/>
                <w:sz w:val="21"/>
                <w:highlight w:val="none"/>
                <w:lang w:bidi="ar-SA"/>
              </w:rPr>
            </w:pPr>
            <w:r/>
            <w:bookmarkStart w:id="27" w:name="OLE_LINK5"/>
            <w:r>
              <w:rPr>
                <w:rFonts w:hint="eastAsia"/>
                <w:color w:val="auto"/>
                <w:sz w:val="21"/>
                <w:highlight w:val="none"/>
                <w:lang w:bidi="ar-SA"/>
              </w:rPr>
              <w:t xml:space="preserve">投标人提供针对本项目的项目服务实施方案，包括（每项内容逐条阐述）</w:t>
            </w:r>
            <w:r>
              <w:rPr>
                <w:rFonts w:hint="eastAsia"/>
                <w:color w:val="auto"/>
                <w:sz w:val="21"/>
                <w:highlight w:val="none"/>
                <w:lang w:val="en-US" w:bidi="ar-SA"/>
              </w:rPr>
              <w:t xml:space="preserve">1、项目实施节点；2、项目流程规划；3、项目实施应急方案；4、项目上线验收规划。</w:t>
            </w:r>
            <w:r/>
          </w:p>
          <w:p>
            <w:pPr>
              <w:spacing w:line="264" w:lineRule="auto"/>
              <w:rPr>
                <w:rFonts w:ascii="宋体" w:hAnsi="宋体" w:cs="宋体"/>
                <w:color w:val="auto"/>
                <w:highlight w:val="none"/>
              </w:rPr>
            </w:pPr>
            <w:r>
              <w:rPr>
                <w:rFonts w:hint="eastAsia" w:ascii="宋体" w:hAnsi="宋体" w:cs="宋体"/>
                <w:color w:val="auto"/>
                <w:highlight w:val="none"/>
              </w:rPr>
              <w:t xml:space="preserve">（1）上述每项内容，分析准确、细致完整，应对措施有力、科学可行，与采购需求高度吻合的，每项得2分；</w:t>
            </w:r>
            <w:r/>
          </w:p>
          <w:p>
            <w:pPr>
              <w:spacing w:line="264" w:lineRule="auto"/>
              <w:rPr>
                <w:rFonts w:ascii="宋体" w:hAnsi="宋体" w:cs="宋体"/>
                <w:color w:val="auto"/>
                <w:highlight w:val="none"/>
              </w:rPr>
            </w:pPr>
            <w:r>
              <w:rPr>
                <w:rFonts w:hint="eastAsia" w:ascii="宋体" w:hAnsi="宋体" w:cs="宋体"/>
                <w:color w:val="auto"/>
                <w:highlight w:val="none"/>
              </w:rPr>
              <w:t xml:space="preserve">（2）上述每项内容，分析较为准确完整，应对措施可行，与采购需求较为吻合的，每项得1分；</w:t>
            </w:r>
            <w:r/>
          </w:p>
          <w:p>
            <w:pPr>
              <w:rPr>
                <w:color w:val="auto"/>
                <w:highlight w:val="none"/>
              </w:rPr>
            </w:pPr>
            <w:r>
              <w:rPr>
                <w:rFonts w:hint="eastAsia" w:ascii="宋体" w:hAnsi="宋体" w:cs="宋体"/>
                <w:color w:val="auto"/>
                <w:highlight w:val="none"/>
              </w:rPr>
              <w:t xml:space="preserve">（3）上述每项内容，分析不完整，应对措施不可行，脱离采购需求实际或未提供的，不得分。</w:t>
            </w:r>
            <w:bookmarkEnd w:id="27"/>
            <w:r/>
            <w:r/>
          </w:p>
          <w:p>
            <w:pPr>
              <w:pStyle w:val="909"/>
              <w:spacing w:line="264" w:lineRule="auto"/>
              <w:rPr>
                <w:color w:val="auto"/>
                <w:highlight w:val="none"/>
              </w:rPr>
            </w:pPr>
            <w:r>
              <w:rPr>
                <w:color w:val="auto"/>
                <w:highlight w:val="none"/>
              </w:rPr>
            </w:r>
            <w:r/>
          </w:p>
        </w:tc>
        <w:tc>
          <w:tcPr>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8</w:t>
            </w:r>
            <w:r/>
          </w:p>
        </w:tc>
        <w:tc>
          <w:tcPr>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4"/>
                <w:highlight w:val="none"/>
              </w:rPr>
              <w:t xml:space="preserve">主观分</w:t>
            </w:r>
            <w:r/>
          </w:p>
        </w:tc>
      </w:tr>
      <w:tr>
        <w:trPr>
          <w:jc w:val="center"/>
          <w:trHeight w:val="315"/>
        </w:trPr>
        <w:tc>
          <w:tcPr>
            <w:tcW w:w="519" w:type="dxa"/>
            <w:vAlign w:val="center"/>
            <w:textDirection w:val="lrTb"/>
            <w:noWrap w:val="false"/>
          </w:tcPr>
          <w:p>
            <w:pPr>
              <w:jc w:val="center"/>
              <w:spacing w:before="68" w:line="264" w:lineRule="auto"/>
              <w:rPr>
                <w:rFonts w:ascii="宋体" w:hAnsi="宋体" w:cs="宋体"/>
                <w:color w:val="auto"/>
                <w:spacing w:val="-2"/>
                <w:szCs w:val="21"/>
                <w:highlight w:val="none"/>
              </w:rPr>
            </w:pPr>
            <w:r>
              <w:rPr>
                <w:rFonts w:hint="eastAsia" w:ascii="宋体" w:hAnsi="宋体" w:cs="宋体"/>
                <w:color w:val="auto"/>
                <w:spacing w:val="-2"/>
                <w:highlight w:val="none"/>
              </w:rPr>
              <w:t xml:space="preserve">2.3</w:t>
            </w:r>
            <w:r/>
          </w:p>
        </w:tc>
        <w:tc>
          <w:tcPr>
            <w:tcW w:w="1179" w:type="dxa"/>
            <w:vAlign w:val="center"/>
            <w:textDirection w:val="lrTb"/>
            <w:noWrap w:val="false"/>
          </w:tcPr>
          <w:p>
            <w:pPr>
              <w:spacing w:line="264" w:lineRule="auto"/>
              <w:rPr>
                <w:color w:val="auto"/>
                <w:highlight w:val="none"/>
              </w:rPr>
            </w:pPr>
            <w:r>
              <w:rPr>
                <w:rFonts w:hint="eastAsia"/>
                <w:color w:val="auto"/>
                <w:highlight w:val="none"/>
              </w:rPr>
              <w:t xml:space="preserve">项目技术方案</w:t>
            </w:r>
            <w:r/>
          </w:p>
        </w:tc>
        <w:tc>
          <w:tcPr>
            <w:tcW w:w="6330" w:type="dxa"/>
            <w:vAlign w:val="center"/>
            <w:textDirection w:val="lrTb"/>
            <w:noWrap w:val="false"/>
          </w:tcPr>
          <w:p>
            <w:pPr>
              <w:jc w:val="left"/>
              <w:spacing w:line="264" w:lineRule="auto"/>
              <w:rPr>
                <w:color w:val="auto"/>
                <w:highlight w:val="none"/>
              </w:rPr>
            </w:pPr>
            <w:r>
              <w:rPr>
                <w:rFonts w:hint="eastAsia"/>
                <w:color w:val="auto"/>
                <w:highlight w:val="none"/>
              </w:rPr>
              <w:t xml:space="preserve">评委根据供应商提供的项目总体技术方案</w:t>
            </w:r>
            <w:r>
              <w:rPr>
                <w:rFonts w:hint="eastAsia" w:ascii="宋体" w:hAnsi="宋体" w:cs="宋体"/>
                <w:color w:val="auto"/>
                <w:highlight w:val="none"/>
              </w:rPr>
              <w:t xml:space="preserve">综合评分，包括：</w:t>
            </w:r>
            <w:r>
              <w:rPr>
                <w:rFonts w:ascii="宋体" w:hAnsi="宋体" w:cs="宋体"/>
                <w:color w:val="auto"/>
                <w:highlight w:val="none"/>
              </w:rPr>
              <w:t xml:space="preserve">1.</w:t>
            </w:r>
            <w:r>
              <w:rPr>
                <w:rFonts w:hint="eastAsia" w:ascii="宋体" w:hAnsi="宋体" w:cs="宋体"/>
                <w:color w:val="auto"/>
                <w:highlight w:val="none"/>
              </w:rPr>
              <w:t xml:space="preserve">总体架构和性能设计；</w:t>
            </w:r>
            <w:r>
              <w:rPr>
                <w:rFonts w:ascii="宋体" w:hAnsi="宋体" w:cs="宋体"/>
                <w:color w:val="auto"/>
                <w:highlight w:val="none"/>
              </w:rPr>
              <w:t xml:space="preserve">2.</w:t>
            </w:r>
            <w:r>
              <w:rPr>
                <w:rFonts w:hint="eastAsia" w:ascii="宋体" w:hAnsi="宋体" w:cs="宋体"/>
                <w:color w:val="auto"/>
                <w:highlight w:val="none"/>
              </w:rPr>
              <w:t xml:space="preserve">技术路线和业务逻辑流程设计；</w:t>
            </w:r>
            <w:r>
              <w:rPr>
                <w:rFonts w:ascii="宋体" w:hAnsi="宋体" w:cs="宋体"/>
                <w:color w:val="auto"/>
                <w:highlight w:val="none"/>
              </w:rPr>
              <w:t xml:space="preserve">3.</w:t>
            </w:r>
            <w:r>
              <w:rPr>
                <w:rFonts w:hint="eastAsia" w:ascii="宋体" w:hAnsi="宋体" w:cs="宋体"/>
                <w:color w:val="auto"/>
                <w:highlight w:val="none"/>
              </w:rPr>
              <w:t xml:space="preserve">用户界面和应用功能设计；</w:t>
            </w:r>
            <w:r>
              <w:rPr>
                <w:rFonts w:ascii="宋体" w:hAnsi="宋体" w:cs="宋体"/>
                <w:color w:val="auto"/>
                <w:highlight w:val="none"/>
              </w:rPr>
              <w:t xml:space="preserve">4.</w:t>
            </w:r>
            <w:r>
              <w:rPr>
                <w:rFonts w:hint="eastAsia" w:ascii="宋体" w:hAnsi="宋体" w:cs="宋体"/>
                <w:color w:val="auto"/>
                <w:highlight w:val="none"/>
              </w:rPr>
              <w:t xml:space="preserve">系统部署和安全防护设计。</w:t>
            </w:r>
            <w:r>
              <w:rPr>
                <w:rFonts w:hint="eastAsia" w:ascii="宋体" w:hAnsi="宋体" w:cs="宋体"/>
                <w:color w:val="auto"/>
                <w:szCs w:val="21"/>
                <w:highlight w:val="none"/>
              </w:rPr>
              <w:t xml:space="preserve">以上每项内容逐条阐述。</w:t>
            </w:r>
            <w:r/>
          </w:p>
          <w:p>
            <w:pPr>
              <w:jc w:val="left"/>
              <w:spacing w:line="264" w:lineRule="auto"/>
              <w:widowControl/>
              <w:rPr>
                <w:rFonts w:ascii="宋体" w:hAns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以上每项内容</w:t>
            </w:r>
            <w:r>
              <w:rPr>
                <w:rFonts w:ascii="宋体" w:hAnsi="宋体" w:cs="宋体"/>
                <w:color w:val="auto"/>
                <w:highlight w:val="none"/>
              </w:rPr>
              <w:t xml:space="preserve">设计思路科学、前瞻性、技术先进可行</w:t>
            </w:r>
            <w:r>
              <w:rPr>
                <w:rFonts w:hint="eastAsia" w:ascii="宋体" w:hAnsi="宋体" w:cs="宋体"/>
                <w:color w:val="auto"/>
                <w:highlight w:val="none"/>
              </w:rPr>
              <w:t xml:space="preserve">、</w:t>
            </w:r>
            <w:r>
              <w:rPr>
                <w:rFonts w:ascii="宋体" w:hAnsi="宋体" w:cs="宋体"/>
                <w:color w:val="auto"/>
                <w:highlight w:val="none"/>
              </w:rPr>
              <w:t xml:space="preserve">紧贴采购需求的，得</w:t>
            </w:r>
            <w:r>
              <w:rPr>
                <w:rFonts w:hint="eastAsia" w:ascii="宋体" w:hAnsi="宋体" w:cs="宋体"/>
                <w:color w:val="auto"/>
                <w:highlight w:val="none"/>
                <w:lang w:val="en-US" w:eastAsia="zh-CN"/>
              </w:rPr>
              <w:t xml:space="preserve">3</w:t>
            </w:r>
            <w:r>
              <w:rPr>
                <w:rFonts w:ascii="宋体" w:hAnsi="宋体" w:cs="宋体"/>
                <w:color w:val="auto"/>
                <w:highlight w:val="none"/>
              </w:rPr>
              <w:t xml:space="preserve">分； </w:t>
            </w:r>
            <w:r/>
          </w:p>
          <w:p>
            <w:pPr>
              <w:jc w:val="left"/>
              <w:spacing w:line="264" w:lineRule="auto"/>
              <w:widowControl/>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以上每项内容</w:t>
            </w:r>
            <w:r>
              <w:rPr>
                <w:rFonts w:ascii="宋体" w:hAnsi="宋体" w:cs="宋体"/>
                <w:color w:val="auto"/>
                <w:highlight w:val="none"/>
              </w:rPr>
              <w:t xml:space="preserve">设计思路较科学、前瞻性、技术较先进可行、能够满足采购需求的，得</w:t>
            </w:r>
            <w:r>
              <w:rPr>
                <w:rFonts w:hint="eastAsia" w:ascii="宋体" w:hAnsi="宋体" w:cs="宋体"/>
                <w:color w:val="auto"/>
                <w:highlight w:val="none"/>
                <w:lang w:val="en-US" w:eastAsia="zh-CN"/>
              </w:rPr>
              <w:t xml:space="preserve">2</w:t>
            </w:r>
            <w:r>
              <w:rPr>
                <w:rFonts w:ascii="宋体" w:hAnsi="宋体" w:cs="宋体"/>
                <w:color w:val="auto"/>
                <w:highlight w:val="none"/>
              </w:rPr>
              <w:t xml:space="preserve">分； </w:t>
            </w:r>
            <w:r/>
          </w:p>
          <w:p>
            <w:pPr>
              <w:jc w:val="left"/>
              <w:spacing w:line="264" w:lineRule="auto"/>
              <w:widowControl/>
              <w:rPr>
                <w:rFonts w:ascii="宋体" w:hAns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以上每项内容</w:t>
            </w:r>
            <w:r>
              <w:rPr>
                <w:rFonts w:ascii="宋体" w:hAnsi="宋体" w:cs="宋体"/>
                <w:color w:val="auto"/>
                <w:highlight w:val="none"/>
              </w:rPr>
              <w:t xml:space="preserve">设计思路基本满足采购需求、具有一定可行性的，得</w:t>
            </w:r>
            <w:r>
              <w:rPr>
                <w:rFonts w:hint="eastAsia" w:ascii="宋体" w:hAnsi="宋体" w:cs="宋体"/>
                <w:color w:val="auto"/>
                <w:highlight w:val="none"/>
                <w:lang w:val="en-US" w:eastAsia="zh-CN"/>
              </w:rPr>
              <w:t xml:space="preserve">1</w:t>
            </w:r>
            <w:r>
              <w:rPr>
                <w:rFonts w:ascii="宋体" w:hAnsi="宋体" w:cs="宋体"/>
                <w:color w:val="auto"/>
                <w:highlight w:val="none"/>
              </w:rPr>
              <w:t xml:space="preserve">分； </w:t>
            </w:r>
            <w:r/>
          </w:p>
          <w:p>
            <w:pPr>
              <w:jc w:val="left"/>
              <w:spacing w:line="264"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以上每项内容</w:t>
            </w:r>
            <w:r>
              <w:rPr>
                <w:rFonts w:ascii="宋体" w:hAnsi="宋体" w:cs="宋体"/>
                <w:color w:val="auto"/>
                <w:highlight w:val="none"/>
              </w:rPr>
              <w:t xml:space="preserve">设计思路不能满足采购需求或未提供方案的不得分。 </w:t>
            </w:r>
            <w:r/>
          </w:p>
          <w:p>
            <w:pPr>
              <w:spacing w:line="264" w:lineRule="auto"/>
              <w:rPr>
                <w:color w:val="auto"/>
                <w:highlight w:val="none"/>
              </w:rPr>
            </w:pPr>
            <w:r>
              <w:rPr>
                <w:color w:val="auto"/>
                <w:highlight w:val="none"/>
              </w:rPr>
            </w:r>
            <w:r/>
          </w:p>
        </w:tc>
        <w:tc>
          <w:tcPr>
            <w:tcW w:w="647" w:type="dxa"/>
            <w:vAlign w:val="center"/>
            <w:textDirection w:val="lrTb"/>
            <w:noWrap w:val="false"/>
          </w:tcPr>
          <w:p>
            <w:pPr>
              <w:jc w:val="center"/>
              <w:spacing w:before="68" w:line="264"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900" w:type="dxa"/>
            <w:vAlign w:val="center"/>
            <w:textDirection w:val="lrTb"/>
            <w:noWrap w:val="false"/>
          </w:tcPr>
          <w:p>
            <w:pPr>
              <w:jc w:val="center"/>
              <w:spacing w:before="68" w:line="264" w:lineRule="auto"/>
              <w:rPr>
                <w:rFonts w:ascii="宋体" w:hAnsi="宋体" w:cs="宋体"/>
                <w:color w:val="auto"/>
                <w:szCs w:val="21"/>
                <w:highlight w:val="none"/>
              </w:rPr>
            </w:pPr>
            <w:r>
              <w:rPr>
                <w:rFonts w:hint="eastAsia" w:ascii="宋体" w:hAnsi="宋体" w:cs="宋体"/>
                <w:color w:val="auto"/>
                <w:spacing w:val="-4"/>
                <w:highlight w:val="none"/>
              </w:rPr>
              <w:t xml:space="preserve">主观分</w:t>
            </w:r>
            <w:r/>
          </w:p>
        </w:tc>
      </w:tr>
      <w:tr>
        <w:trPr>
          <w:jc w:val="center"/>
          <w:trHeight w:val="472"/>
        </w:trPr>
        <w:tc>
          <w:tcPr>
            <w:gridSpan w:val="5"/>
            <w:tcW w:w="9575" w:type="dxa"/>
            <w:vAlign w:val="center"/>
            <w:textDirection w:val="lrTb"/>
            <w:noWrap w:val="false"/>
          </w:tcPr>
          <w:p>
            <w:pPr>
              <w:spacing w:before="68" w:line="264" w:lineRule="auto"/>
              <w:rPr>
                <w:rFonts w:ascii="宋体" w:hAnsi="宋体" w:cs="宋体"/>
                <w:color w:val="auto"/>
                <w:highlight w:val="none"/>
              </w:rPr>
            </w:pPr>
            <w:r>
              <w:rPr>
                <w:rFonts w:hint="eastAsia" w:ascii="宋体" w:hAnsi="宋体" w:cs="宋体"/>
                <w:b/>
                <w:bCs/>
                <w:color w:val="auto"/>
                <w:spacing w:val="-3"/>
                <w:highlight w:val="none"/>
              </w:rPr>
              <w:t xml:space="preserve">3.服务</w:t>
            </w:r>
            <w:r/>
          </w:p>
        </w:tc>
      </w:tr>
      <w:tr>
        <w:trPr>
          <w:jc w:val="center"/>
          <w:trHeight w:val="430"/>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3.1</w:t>
            </w:r>
            <w:r/>
          </w:p>
        </w:tc>
        <w:tc>
          <w:tcPr>
            <w:tcW w:w="1179" w:type="dxa"/>
            <w:vAlign w:val="center"/>
            <w:textDirection w:val="lrTb"/>
            <w:noWrap w:val="false"/>
          </w:tcPr>
          <w:p>
            <w:pPr>
              <w:spacing w:line="264" w:lineRule="auto"/>
              <w:rPr>
                <w:color w:val="auto"/>
                <w:highlight w:val="none"/>
              </w:rPr>
            </w:pPr>
            <w:r>
              <w:rPr>
                <w:rFonts w:hint="eastAsia"/>
                <w:color w:val="auto"/>
                <w:highlight w:val="none"/>
              </w:rPr>
              <w:t xml:space="preserve">售后服务方案</w:t>
            </w:r>
            <w:r/>
          </w:p>
        </w:tc>
        <w:tc>
          <w:tcPr>
            <w:tcW w:w="6330" w:type="dxa"/>
            <w:vAlign w:val="center"/>
            <w:textDirection w:val="lrTb"/>
            <w:noWrap w:val="false"/>
          </w:tcPr>
          <w:p>
            <w:pPr>
              <w:pStyle w:val="1009"/>
              <w:spacing w:line="264" w:lineRule="auto"/>
              <w:rPr>
                <w:color w:val="auto"/>
                <w:sz w:val="21"/>
                <w:highlight w:val="none"/>
                <w:lang w:val="en-US" w:bidi="ar-SA"/>
              </w:rPr>
            </w:pPr>
            <w:r>
              <w:rPr>
                <w:rFonts w:hint="eastAsia"/>
                <w:color w:val="auto"/>
                <w:sz w:val="21"/>
                <w:highlight w:val="none"/>
                <w:lang w:bidi="ar-SA"/>
              </w:rPr>
              <w:t xml:space="preserve">投标人提供针对本项目的</w:t>
            </w:r>
            <w:r>
              <w:rPr>
                <w:rFonts w:hint="eastAsia"/>
                <w:color w:val="auto"/>
                <w:szCs w:val="21"/>
                <w:highlight w:val="none"/>
              </w:rPr>
              <w:t xml:space="preserve">售后服务方案，包括（每项内容逐条阐述）</w:t>
            </w:r>
            <w:r>
              <w:rPr>
                <w:rFonts w:hint="eastAsia"/>
                <w:color w:val="auto"/>
                <w:sz w:val="21"/>
                <w:highlight w:val="none"/>
                <w:lang w:val="en-US" w:bidi="ar-SA"/>
              </w:rPr>
              <w:t xml:space="preserve">1、售后服务流程安排；2、售后实现方式；3、服务人员配置。</w:t>
            </w:r>
            <w:r/>
          </w:p>
          <w:p>
            <w:pPr>
              <w:spacing w:line="264" w:lineRule="auto"/>
              <w:rPr>
                <w:rFonts w:ascii="宋体" w:hAnsi="宋体" w:cs="宋体"/>
                <w:color w:val="auto"/>
                <w:highlight w:val="none"/>
              </w:rPr>
            </w:pPr>
            <w:r>
              <w:rPr>
                <w:rFonts w:hint="eastAsia" w:ascii="宋体" w:hAnsi="宋体" w:cs="宋体"/>
                <w:color w:val="auto"/>
                <w:highlight w:val="none"/>
              </w:rPr>
              <w:t xml:space="preserve">（1）上述每项内容，分析准确、细致完整，应对措施有力、科学可行，与采购需求高度吻合的，每项得3分；</w:t>
            </w:r>
            <w:r/>
          </w:p>
          <w:p>
            <w:pPr>
              <w:spacing w:line="264" w:lineRule="auto"/>
              <w:rPr>
                <w:rFonts w:ascii="宋体" w:hAnsi="宋体" w:cs="宋体"/>
                <w:color w:val="auto"/>
                <w:highlight w:val="none"/>
              </w:rPr>
            </w:pPr>
            <w:r>
              <w:rPr>
                <w:rFonts w:hint="eastAsia" w:ascii="宋体" w:hAnsi="宋体" w:cs="宋体"/>
                <w:color w:val="auto"/>
                <w:highlight w:val="none"/>
              </w:rPr>
              <w:t xml:space="preserve">（2）上述每项内容，分析较为准确完整，应对措施可行，与采购需求较为吻合的，每项得1分；</w:t>
            </w:r>
            <w:r/>
          </w:p>
          <w:p>
            <w:pPr>
              <w:pStyle w:val="961"/>
              <w:ind w:left="0"/>
              <w:spacing w:line="264" w:lineRule="auto"/>
              <w:rPr>
                <w:color w:val="auto"/>
                <w:highlight w:val="none"/>
              </w:rPr>
            </w:pPr>
            <w:r>
              <w:rPr>
                <w:rFonts w:hint="eastAsia" w:ascii="宋体" w:hAnsi="宋体" w:eastAsia="宋体"/>
                <w:color w:val="auto"/>
                <w:sz w:val="21"/>
                <w:highlight w:val="none"/>
                <w:lang w:val="en-US"/>
              </w:rPr>
              <w:t xml:space="preserve">（3）上述每项内容，分析不完整，应对措施不可行，脱离采购需求实际或未提供的，不得分。</w:t>
            </w:r>
            <w:r/>
          </w:p>
        </w:tc>
        <w:tc>
          <w:tcPr>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9</w:t>
            </w:r>
            <w:r/>
          </w:p>
        </w:tc>
        <w:tc>
          <w:tcPr>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3.2</w:t>
            </w:r>
            <w:r/>
          </w:p>
        </w:tc>
        <w:tc>
          <w:tcPr>
            <w:tcW w:w="1179" w:type="dxa"/>
            <w:vAlign w:val="center"/>
            <w:textDirection w:val="lrTb"/>
            <w:noWrap w:val="false"/>
          </w:tcPr>
          <w:p>
            <w:pPr>
              <w:spacing w:line="264" w:lineRule="auto"/>
              <w:rPr>
                <w:color w:val="auto"/>
                <w:highlight w:val="none"/>
              </w:rPr>
            </w:pPr>
            <w:r>
              <w:rPr>
                <w:rFonts w:hint="eastAsia" w:ascii="宋体" w:hAnsi="宋体" w:cs="宋体"/>
                <w:color w:val="auto"/>
                <w:szCs w:val="21"/>
                <w:highlight w:val="none"/>
              </w:rPr>
              <w:t xml:space="preserve">培训方案</w:t>
            </w:r>
            <w:r/>
          </w:p>
        </w:tc>
        <w:tc>
          <w:tcPr>
            <w:tcW w:w="6330" w:type="dxa"/>
            <w:vAlign w:val="center"/>
            <w:textDirection w:val="lrTb"/>
            <w:noWrap w:val="false"/>
          </w:tcPr>
          <w:p>
            <w:pPr>
              <w:pStyle w:val="1009"/>
              <w:spacing w:line="264" w:lineRule="auto"/>
              <w:rPr>
                <w:rFonts w:hint="eastAsia"/>
                <w:color w:val="auto"/>
                <w:sz w:val="21"/>
                <w:highlight w:val="none"/>
                <w:lang w:val="en-US" w:bidi="ar-SA"/>
              </w:rPr>
            </w:pPr>
            <w:r>
              <w:rPr>
                <w:rFonts w:hint="eastAsia"/>
                <w:color w:val="auto"/>
                <w:sz w:val="21"/>
                <w:highlight w:val="none"/>
                <w:lang w:bidi="ar-SA"/>
              </w:rPr>
              <w:t xml:space="preserve">投标人提供针对本项目的</w:t>
            </w:r>
            <w:r>
              <w:rPr>
                <w:rFonts w:hint="eastAsia"/>
                <w:color w:val="auto"/>
                <w:szCs w:val="21"/>
                <w:highlight w:val="none"/>
              </w:rPr>
              <w:t xml:space="preserve">培训方案，</w:t>
            </w:r>
            <w:r>
              <w:rPr>
                <w:rFonts w:hint="eastAsia"/>
                <w:color w:val="auto"/>
                <w:sz w:val="21"/>
                <w:highlight w:val="none"/>
                <w:lang w:bidi="ar-SA"/>
              </w:rPr>
              <w:t xml:space="preserve">包括（</w:t>
            </w:r>
            <w:r>
              <w:rPr>
                <w:rFonts w:hint="eastAsia"/>
                <w:color w:val="auto"/>
                <w:spacing w:val="1"/>
                <w:highlight w:val="none"/>
                <w:lang w:bidi="ar-SA"/>
              </w:rPr>
              <w:t xml:space="preserve">每项内容逐条阐述</w:t>
            </w:r>
            <w:r>
              <w:rPr>
                <w:rFonts w:hint="eastAsia"/>
                <w:color w:val="auto"/>
                <w:sz w:val="21"/>
                <w:highlight w:val="none"/>
                <w:lang w:bidi="ar-SA"/>
              </w:rPr>
              <w:t xml:space="preserve">）</w:t>
            </w:r>
            <w:r>
              <w:rPr>
                <w:rFonts w:hint="eastAsia"/>
                <w:color w:val="auto"/>
                <w:sz w:val="21"/>
                <w:highlight w:val="none"/>
                <w:lang w:val="en-US" w:bidi="ar-SA"/>
              </w:rPr>
              <w:t xml:space="preserve">1、培训准备工作；2、功能内容培训；3、培训计划规划；4、科室人员培训安排。</w:t>
            </w:r>
            <w:r/>
          </w:p>
          <w:p>
            <w:pPr>
              <w:spacing w:line="264" w:lineRule="auto"/>
              <w:rPr>
                <w:rFonts w:ascii="宋体" w:hAnsi="宋体" w:cs="宋体"/>
                <w:color w:val="auto"/>
                <w:highlight w:val="none"/>
              </w:rPr>
            </w:pPr>
            <w:r>
              <w:rPr>
                <w:rFonts w:hint="eastAsia" w:ascii="宋体" w:hAnsi="宋体" w:cs="宋体"/>
                <w:color w:val="auto"/>
                <w:highlight w:val="none"/>
              </w:rPr>
              <w:t xml:space="preserve">（1）上述每项内容，分析准确、细致完整，应对措施有力、科学可行，与采购需求高度吻合的，每项得2分；</w:t>
            </w:r>
            <w:r/>
          </w:p>
          <w:p>
            <w:pPr>
              <w:spacing w:line="264" w:lineRule="auto"/>
              <w:rPr>
                <w:rFonts w:ascii="宋体" w:hAnsi="宋体" w:cs="宋体"/>
                <w:color w:val="auto"/>
                <w:highlight w:val="none"/>
              </w:rPr>
            </w:pPr>
            <w:r>
              <w:rPr>
                <w:rFonts w:hint="eastAsia" w:ascii="宋体" w:hAnsi="宋体" w:cs="宋体"/>
                <w:color w:val="auto"/>
                <w:highlight w:val="none"/>
              </w:rPr>
              <w:t xml:space="preserve">（2）上述每项内容，分析较为准确完整，应对措施可行，与采购需求较为吻合的，每项得1分；</w:t>
            </w:r>
            <w:r/>
          </w:p>
          <w:p>
            <w:pPr>
              <w:pStyle w:val="961"/>
              <w:ind w:left="0"/>
              <w:spacing w:line="264" w:lineRule="auto"/>
              <w:rPr>
                <w:rFonts w:hint="eastAsia" w:ascii="宋体" w:hAnsi="宋体" w:eastAsia="宋体"/>
                <w:color w:val="auto"/>
                <w:sz w:val="21"/>
                <w:highlight w:val="none"/>
                <w:lang w:val="en-US"/>
              </w:rPr>
            </w:pPr>
            <w:r>
              <w:rPr>
                <w:rFonts w:hint="eastAsia" w:ascii="宋体" w:hAnsi="宋体" w:eastAsia="宋体"/>
                <w:color w:val="auto"/>
                <w:sz w:val="21"/>
                <w:highlight w:val="none"/>
                <w:lang w:val="en-US"/>
              </w:rPr>
              <w:t xml:space="preserve">（3）上述每项内容，分析不完整，应对措施不可行，脱离采购需求实际或未提供的，不得分。</w:t>
            </w:r>
            <w:r/>
          </w:p>
          <w:p>
            <w:pPr>
              <w:rPr>
                <w:color w:val="auto"/>
                <w:highlight w:val="none"/>
                <w:lang w:val="en-US"/>
              </w:rPr>
            </w:pPr>
            <w:r>
              <w:rPr>
                <w:color w:val="auto"/>
                <w:highlight w:val="none"/>
                <w:lang w:val="en-US"/>
              </w:rPr>
            </w:r>
            <w:r/>
          </w:p>
        </w:tc>
        <w:tc>
          <w:tcPr>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8</w:t>
            </w:r>
            <w:r/>
          </w:p>
        </w:tc>
        <w:tc>
          <w:tcPr>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133"/>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3.3</w:t>
            </w:r>
            <w:r/>
          </w:p>
        </w:tc>
        <w:tc>
          <w:tcPr>
            <w:tcW w:w="1179" w:type="dxa"/>
            <w:vAlign w:val="center"/>
            <w:textDirection w:val="lrTb"/>
            <w:noWrap w:val="false"/>
          </w:tcPr>
          <w:p>
            <w:pPr>
              <w:jc w:val="left"/>
              <w:spacing w:before="68" w:line="264" w:lineRule="auto"/>
              <w:rPr>
                <w:rFonts w:ascii="宋体" w:hAnsi="宋体" w:cs="宋体"/>
                <w:color w:val="auto"/>
                <w:spacing w:val="-2"/>
                <w:highlight w:val="none"/>
              </w:rPr>
            </w:pPr>
            <w:r>
              <w:rPr>
                <w:rFonts w:hint="eastAsia"/>
                <w:color w:val="auto"/>
                <w:szCs w:val="21"/>
                <w:highlight w:val="none"/>
              </w:rPr>
              <w:t xml:space="preserve">本地化服务能力</w:t>
            </w:r>
            <w:r/>
          </w:p>
        </w:tc>
        <w:tc>
          <w:tcPr>
            <w:tcW w:w="6330" w:type="dxa"/>
            <w:vAlign w:val="center"/>
            <w:textDirection w:val="lrTb"/>
            <w:noWrap w:val="false"/>
          </w:tcPr>
          <w:p>
            <w:pPr>
              <w:jc w:val="left"/>
              <w:spacing w:line="264" w:lineRule="auto"/>
              <w:rPr>
                <w:rFonts w:ascii="宋体" w:hAnsi="宋体" w:cs="宋体"/>
                <w:color w:val="auto"/>
                <w:spacing w:val="-2"/>
                <w:highlight w:val="none"/>
              </w:rPr>
            </w:pPr>
            <w:r>
              <w:rPr>
                <w:rFonts w:hint="eastAsia" w:ascii="宋体" w:hAnsi="宋体" w:cs="宋体"/>
                <w:color w:val="auto"/>
                <w:highlight w:val="none"/>
              </w:rPr>
              <w:t xml:space="preserve">供应商具有本地化服务能力</w:t>
            </w:r>
            <w:r>
              <w:rPr>
                <w:rFonts w:hint="eastAsia" w:ascii="宋体" w:hAnsi="宋体" w:cs="宋体"/>
                <w:color w:val="auto"/>
                <w:highlight w:val="none"/>
                <w:lang w:val="en-US" w:eastAsia="zh-CN"/>
              </w:rPr>
              <w:t xml:space="preserve">或承诺提供本地化服务</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得3分。（提供有效证明材料或承诺书）</w:t>
            </w:r>
            <w:r/>
          </w:p>
        </w:tc>
        <w:tc>
          <w:tcPr>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3</w:t>
            </w:r>
            <w:r/>
          </w:p>
        </w:tc>
        <w:tc>
          <w:tcPr>
            <w:tcW w:w="900" w:type="dxa"/>
            <w:vAlign w:val="center"/>
            <w:textDirection w:val="lrTb"/>
            <w:noWrap w:val="false"/>
          </w:tcPr>
          <w:p>
            <w:pPr>
              <w:jc w:val="center"/>
              <w:spacing w:before="68" w:line="264" w:lineRule="auto"/>
              <w:rPr>
                <w:rFonts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455"/>
        </w:trPr>
        <w:tc>
          <w:tcPr>
            <w:gridSpan w:val="5"/>
            <w:tcW w:w="9575" w:type="dxa"/>
            <w:vAlign w:val="center"/>
            <w:textDirection w:val="lrTb"/>
            <w:noWrap w:val="false"/>
          </w:tcPr>
          <w:p>
            <w:pPr>
              <w:spacing w:line="264" w:lineRule="auto"/>
              <w:rPr>
                <w:rFonts w:ascii="宋体" w:hAnsi="宋体" w:cs="宋体"/>
                <w:color w:val="auto"/>
                <w:highlight w:val="none"/>
              </w:rPr>
            </w:pPr>
            <w:r>
              <w:rPr>
                <w:rFonts w:hint="eastAsia" w:ascii="宋体" w:hAnsi="宋体" w:cs="宋体"/>
                <w:b/>
                <w:bCs/>
                <w:color w:val="auto"/>
                <w:spacing w:val="-3"/>
                <w:highlight w:val="none"/>
              </w:rPr>
              <w:t xml:space="preserve">4.业绩</w:t>
            </w:r>
            <w:r/>
          </w:p>
        </w:tc>
      </w:tr>
      <w:tr>
        <w:trPr>
          <w:jc w:val="center"/>
          <w:trHeight w:val="1015"/>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4</w:t>
            </w:r>
            <w:r>
              <w:rPr>
                <w:rFonts w:ascii="宋体" w:hAnsi="宋体" w:cs="宋体"/>
                <w:color w:val="auto"/>
                <w:spacing w:val="-2"/>
                <w:highlight w:val="none"/>
              </w:rPr>
              <w:t xml:space="preserve">.1</w:t>
            </w:r>
            <w:r/>
          </w:p>
        </w:tc>
        <w:tc>
          <w:tcPr>
            <w:tcW w:w="1179" w:type="dxa"/>
            <w:vAlign w:val="center"/>
            <w:textDirection w:val="lrTb"/>
            <w:noWrap w:val="false"/>
          </w:tcPr>
          <w:p>
            <w:pPr>
              <w:spacing w:before="69" w:line="264" w:lineRule="auto"/>
              <w:rPr>
                <w:rFonts w:ascii="宋体" w:hAnsi="宋体" w:cs="宋体"/>
                <w:color w:val="auto"/>
                <w:spacing w:val="-2"/>
                <w:highlight w:val="none"/>
              </w:rPr>
            </w:pPr>
            <w:r>
              <w:rPr>
                <w:rFonts w:hint="eastAsia" w:ascii="宋体" w:hAnsi="宋体" w:cs="宋体"/>
                <w:color w:val="auto"/>
                <w:spacing w:val="-1"/>
                <w:highlight w:val="none"/>
              </w:rPr>
              <w:t xml:space="preserve">供应商</w:t>
            </w:r>
            <w:r>
              <w:rPr>
                <w:rFonts w:ascii="宋体" w:hAnsi="宋体" w:cs="宋体"/>
                <w:color w:val="auto"/>
                <w:spacing w:val="-1"/>
                <w:highlight w:val="none"/>
              </w:rPr>
              <w:t xml:space="preserve">业绩</w:t>
            </w:r>
            <w:r/>
          </w:p>
        </w:tc>
        <w:tc>
          <w:tcPr>
            <w:tcW w:w="6330" w:type="dxa"/>
            <w:vAlign w:val="center"/>
            <w:textDirection w:val="lrTb"/>
            <w:noWrap w:val="false"/>
          </w:tcPr>
          <w:p>
            <w:pPr>
              <w:spacing w:line="264" w:lineRule="auto"/>
              <w:rPr>
                <w:rFonts w:eastAsia="方正仿宋_GBK"/>
                <w:color w:val="auto"/>
                <w:szCs w:val="21"/>
                <w:highlight w:val="none"/>
                <w:lang w:bidi="zh-CN"/>
              </w:rPr>
            </w:pPr>
            <w:r>
              <w:rPr>
                <w:rFonts w:hint="eastAsia" w:ascii="宋体" w:hAnsi="宋体" w:cs="宋体"/>
                <w:color w:val="auto"/>
                <w:highlight w:val="none"/>
              </w:rPr>
              <w:t xml:space="preserve">供应商提供</w:t>
            </w:r>
            <w:r>
              <w:rPr>
                <w:rFonts w:ascii="宋体" w:hAnsi="宋体" w:cs="宋体"/>
                <w:color w:val="auto"/>
                <w:highlight w:val="none"/>
              </w:rPr>
              <w:t xml:space="preserve">20</w:t>
            </w:r>
            <w:r>
              <w:rPr>
                <w:rFonts w:hint="eastAsia" w:ascii="宋体" w:hAnsi="宋体" w:cs="宋体"/>
                <w:color w:val="auto"/>
                <w:highlight w:val="none"/>
              </w:rPr>
              <w:t xml:space="preserve">23</w:t>
            </w:r>
            <w:r>
              <w:rPr>
                <w:rFonts w:ascii="宋体" w:hAnsi="宋体" w:cs="宋体"/>
                <w:color w:val="auto"/>
                <w:highlight w:val="none"/>
              </w:rPr>
              <w:t xml:space="preserve">年</w:t>
            </w:r>
            <w:r>
              <w:rPr>
                <w:rFonts w:hint="eastAsia" w:ascii="宋体" w:hAnsi="宋体" w:cs="宋体"/>
                <w:color w:val="auto"/>
                <w:highlight w:val="none"/>
              </w:rPr>
              <w:t xml:space="preserve">6</w:t>
            </w:r>
            <w:r>
              <w:rPr>
                <w:rFonts w:ascii="宋体" w:hAnsi="宋体" w:cs="宋体"/>
                <w:color w:val="auto"/>
                <w:highlight w:val="none"/>
              </w:rPr>
              <w:t xml:space="preserve">月</w:t>
            </w:r>
            <w:r>
              <w:rPr>
                <w:rFonts w:hint="eastAsia" w:ascii="宋体" w:hAnsi="宋体" w:cs="宋体"/>
                <w:color w:val="auto"/>
                <w:highlight w:val="none"/>
              </w:rPr>
              <w:t xml:space="preserve">1</w:t>
            </w:r>
            <w:r>
              <w:rPr>
                <w:rFonts w:ascii="宋体" w:hAnsi="宋体" w:cs="宋体"/>
                <w:color w:val="auto"/>
                <w:highlight w:val="none"/>
              </w:rPr>
              <w:t xml:space="preserve">日（含）以来</w:t>
            </w:r>
            <w:r>
              <w:rPr>
                <w:rFonts w:hint="eastAsia" w:ascii="宋体" w:hAnsi="宋体" w:cs="宋体"/>
                <w:color w:val="auto"/>
                <w:highlight w:val="none"/>
              </w:rPr>
              <w:t xml:space="preserve">医疗信息化相关业绩（如：智慧医院信息化项目、LIS、HIS、PACS系统、体检管理系统、前置审方系统、国考绩效管理系统等）</w:t>
            </w:r>
            <w:r>
              <w:rPr>
                <w:rFonts w:ascii="宋体" w:hAnsi="宋体" w:cs="宋体"/>
                <w:color w:val="auto"/>
                <w:highlight w:val="none"/>
              </w:rPr>
              <w:t xml:space="preserve">，每提供</w:t>
            </w:r>
            <w:r>
              <w:rPr>
                <w:rFonts w:hint="eastAsia" w:ascii="宋体" w:hAnsi="宋体" w:cs="宋体"/>
                <w:color w:val="auto"/>
                <w:highlight w:val="none"/>
              </w:rPr>
              <w:t xml:space="preserve">1</w:t>
            </w:r>
            <w:r>
              <w:rPr>
                <w:rFonts w:ascii="宋体" w:hAnsi="宋体" w:cs="宋体"/>
                <w:color w:val="auto"/>
                <w:highlight w:val="none"/>
              </w:rPr>
              <w:t xml:space="preserve">个得</w:t>
            </w:r>
            <w:r>
              <w:rPr>
                <w:rFonts w:hint="eastAsia" w:ascii="宋体" w:hAnsi="宋体" w:cs="宋体"/>
                <w:color w:val="auto"/>
                <w:highlight w:val="none"/>
              </w:rPr>
              <w:t xml:space="preserve">2</w:t>
            </w:r>
            <w:r>
              <w:rPr>
                <w:rFonts w:ascii="宋体" w:hAnsi="宋体" w:cs="宋体"/>
                <w:color w:val="auto"/>
                <w:highlight w:val="none"/>
              </w:rPr>
              <w:t xml:space="preserve">分，最多得</w:t>
            </w:r>
            <w:r>
              <w:rPr>
                <w:rFonts w:hint="eastAsia" w:ascii="宋体" w:hAnsi="宋体" w:cs="宋体"/>
                <w:color w:val="auto"/>
                <w:highlight w:val="none"/>
              </w:rPr>
              <w:t xml:space="preserve">6分</w:t>
            </w:r>
            <w:r>
              <w:rPr>
                <w:rFonts w:ascii="宋体" w:hAnsi="宋体" w:cs="宋体"/>
                <w:color w:val="auto"/>
                <w:highlight w:val="none"/>
              </w:rPr>
              <w:t xml:space="preserve">。（</w:t>
            </w:r>
            <w:r>
              <w:rPr>
                <w:rFonts w:hint="eastAsia" w:ascii="宋体" w:hAnsi="宋体" w:cs="宋体"/>
                <w:color w:val="auto"/>
                <w:szCs w:val="21"/>
                <w:highlight w:val="none"/>
              </w:rPr>
              <w:t xml:space="preserve">时间以合同签订时间为准，</w:t>
            </w:r>
            <w:r>
              <w:rPr>
                <w:rFonts w:ascii="宋体" w:hAnsi="宋体" w:cs="宋体"/>
                <w:color w:val="auto"/>
                <w:highlight w:val="none"/>
              </w:rPr>
              <w:t xml:space="preserve">提供有效合同，合同</w:t>
            </w:r>
            <w:r>
              <w:rPr>
                <w:rFonts w:hint="eastAsia" w:ascii="宋体" w:hAnsi="宋体" w:cs="宋体"/>
                <w:color w:val="auto"/>
                <w:highlight w:val="none"/>
              </w:rPr>
              <w:t xml:space="preserve">页</w:t>
            </w:r>
            <w:r>
              <w:rPr>
                <w:rFonts w:ascii="宋体" w:hAnsi="宋体" w:cs="宋体"/>
                <w:color w:val="auto"/>
                <w:highlight w:val="none"/>
              </w:rPr>
              <w:t xml:space="preserve">须清晰可见相应内容）</w:t>
            </w:r>
            <w:r/>
          </w:p>
        </w:tc>
        <w:tc>
          <w:tcPr>
            <w:tcW w:w="647" w:type="dxa"/>
            <w:vAlign w:val="center"/>
            <w:textDirection w:val="lrTb"/>
            <w:noWrap w:val="false"/>
          </w:tcPr>
          <w:p>
            <w:pPr>
              <w:jc w:val="center"/>
              <w:spacing w:line="264" w:lineRule="auto"/>
              <w:rPr>
                <w:color w:val="auto"/>
                <w:szCs w:val="21"/>
                <w:highlight w:val="none"/>
              </w:rPr>
            </w:pPr>
            <w:r>
              <w:rPr>
                <w:rFonts w:hint="eastAsia"/>
                <w:color w:val="auto"/>
                <w:szCs w:val="21"/>
                <w:highlight w:val="none"/>
              </w:rPr>
              <w:t xml:space="preserve">6</w:t>
            </w:r>
            <w:r/>
          </w:p>
        </w:tc>
        <w:tc>
          <w:tcPr>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269"/>
        </w:trPr>
        <w:tc>
          <w:tcPr>
            <w:gridSpan w:val="5"/>
            <w:tcW w:w="9575" w:type="dxa"/>
            <w:vAlign w:val="top"/>
            <w:textDirection w:val="lrTb"/>
            <w:noWrap w:val="false"/>
          </w:tcPr>
          <w:p>
            <w:pPr>
              <w:spacing w:before="123" w:line="264" w:lineRule="auto"/>
              <w:rPr>
                <w:rFonts w:ascii="宋体" w:hAnsi="宋体" w:cs="宋体"/>
                <w:color w:val="auto"/>
                <w:highlight w:val="none"/>
              </w:rPr>
            </w:pPr>
            <w:r>
              <w:rPr>
                <w:rFonts w:hint="eastAsia" w:ascii="宋体" w:hAnsi="宋体" w:cs="宋体"/>
                <w:b/>
                <w:bCs/>
                <w:color w:val="auto"/>
                <w:spacing w:val="-3"/>
                <w:highlight w:val="none"/>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5</w:t>
            </w:r>
            <w:r>
              <w:rPr>
                <w:rFonts w:ascii="宋体" w:hAnsi="宋体" w:cs="宋体"/>
                <w:color w:val="auto"/>
                <w:spacing w:val="-2"/>
                <w:highlight w:val="none"/>
              </w:rPr>
              <w:t xml:space="preserve">.1</w:t>
            </w:r>
            <w:r/>
          </w:p>
        </w:tc>
        <w:tc>
          <w:tcPr>
            <w:tcW w:w="1179" w:type="dxa"/>
            <w:vAlign w:val="center"/>
            <w:textDirection w:val="lrTb"/>
            <w:noWrap w:val="false"/>
          </w:tcPr>
          <w:p>
            <w:pPr>
              <w:spacing w:line="264" w:lineRule="auto"/>
              <w:rPr>
                <w:color w:val="auto"/>
                <w:highlight w:val="none"/>
              </w:rPr>
            </w:pPr>
            <w:r>
              <w:rPr>
                <w:rFonts w:hint="eastAsia"/>
                <w:color w:val="auto"/>
                <w:highlight w:val="none"/>
              </w:rPr>
              <w:t xml:space="preserve">履约能力1</w:t>
            </w:r>
            <w:r/>
          </w:p>
        </w:tc>
        <w:tc>
          <w:tcPr>
            <w:tcW w:w="6330" w:type="dxa"/>
            <w:vAlign w:val="center"/>
            <w:textDirection w:val="lrTb"/>
            <w:noWrap w:val="false"/>
          </w:tcPr>
          <w:p>
            <w:pPr>
              <w:spacing w:line="264" w:lineRule="auto"/>
              <w:rPr>
                <w:rFonts w:ascii="宋体" w:hAnsi="宋体" w:cs="宋体"/>
                <w:color w:val="auto"/>
                <w:highlight w:val="none"/>
              </w:rPr>
            </w:pPr>
            <w:r>
              <w:rPr>
                <w:rFonts w:hint="eastAsia" w:ascii="宋体" w:hAnsi="宋体" w:cs="宋体"/>
                <w:color w:val="auto"/>
                <w:highlight w:val="none"/>
              </w:rPr>
              <w:t xml:space="preserve">（1）项目经理能力：</w:t>
            </w:r>
            <w:r/>
          </w:p>
          <w:p>
            <w:pPr>
              <w:pStyle w:val="732"/>
              <w:ind w:firstLine="0"/>
              <w:rPr>
                <w:rFonts w:hint="eastAsia"/>
                <w:color w:val="auto"/>
                <w:highlight w:val="none"/>
              </w:rPr>
            </w:pPr>
            <w:r>
              <w:rPr>
                <w:rFonts w:hint="eastAsia"/>
                <w:color w:val="auto"/>
                <w:highlight w:val="none"/>
              </w:rPr>
              <w:t xml:space="preserve">具有注册信息安全专业人员（CISP）</w:t>
            </w:r>
            <w:r>
              <w:rPr>
                <w:rFonts w:hint="eastAsia" w:cs="宋体"/>
                <w:color w:val="auto"/>
                <w:sz w:val="22"/>
                <w:highlight w:val="none"/>
              </w:rPr>
              <w:t xml:space="preserve">证书；</w:t>
            </w:r>
            <w:r/>
          </w:p>
          <w:p>
            <w:pPr>
              <w:pStyle w:val="732"/>
              <w:ind w:firstLine="0"/>
              <w:rPr>
                <w:rFonts w:hint="eastAsia"/>
                <w:color w:val="auto"/>
                <w:highlight w:val="none"/>
              </w:rPr>
            </w:pPr>
            <w:r>
              <w:rPr>
                <w:rFonts w:hint="eastAsia"/>
                <w:color w:val="auto"/>
                <w:highlight w:val="none"/>
              </w:rPr>
              <w:t xml:space="preserve">具有ITSS-IT服务项目经理</w:t>
            </w:r>
            <w:r>
              <w:rPr>
                <w:rFonts w:hint="eastAsia" w:cs="宋体"/>
                <w:color w:val="auto"/>
                <w:sz w:val="22"/>
                <w:highlight w:val="none"/>
              </w:rPr>
              <w:t xml:space="preserve">证书；</w:t>
            </w:r>
            <w:r/>
          </w:p>
          <w:p>
            <w:pPr>
              <w:pStyle w:val="732"/>
              <w:ind w:firstLine="0"/>
              <w:rPr>
                <w:rFonts w:hint="eastAsia"/>
                <w:color w:val="auto"/>
                <w:highlight w:val="none"/>
              </w:rPr>
            </w:pPr>
            <w:r>
              <w:rPr>
                <w:rFonts w:hint="eastAsia"/>
                <w:color w:val="auto"/>
                <w:highlight w:val="none"/>
              </w:rPr>
              <w:t xml:space="preserve">具有信息系统项目管理师</w:t>
            </w:r>
            <w:r>
              <w:rPr>
                <w:rFonts w:hint="eastAsia" w:cs="宋体"/>
                <w:color w:val="auto"/>
                <w:sz w:val="22"/>
                <w:highlight w:val="none"/>
              </w:rPr>
              <w:t xml:space="preserve">证书；</w:t>
            </w:r>
            <w:r/>
          </w:p>
          <w:p>
            <w:pPr>
              <w:pStyle w:val="732"/>
              <w:ind w:firstLine="0"/>
              <w:rPr>
                <w:color w:val="auto"/>
                <w:highlight w:val="none"/>
              </w:rPr>
            </w:pPr>
            <w:r>
              <w:rPr>
                <w:rFonts w:hint="eastAsia"/>
                <w:color w:val="auto"/>
                <w:highlight w:val="none"/>
              </w:rPr>
              <w:t xml:space="preserve">每提供1个证书得2分，最多得</w:t>
            </w:r>
            <w:r>
              <w:rPr>
                <w:rFonts w:hint="eastAsia"/>
                <w:color w:val="auto"/>
                <w:highlight w:val="none"/>
                <w:lang w:val="en-US" w:eastAsia="zh-CN"/>
              </w:rPr>
              <w:t xml:space="preserve">6</w:t>
            </w:r>
            <w:r>
              <w:rPr>
                <w:rFonts w:hint="eastAsia"/>
                <w:color w:val="auto"/>
                <w:highlight w:val="none"/>
              </w:rPr>
              <w:t xml:space="preserve">分。</w:t>
            </w:r>
            <w:r/>
          </w:p>
          <w:p>
            <w:pPr>
              <w:spacing w:line="264" w:lineRule="auto"/>
              <w:rPr>
                <w:color w:val="auto"/>
                <w:highlight w:val="none"/>
              </w:rPr>
            </w:pPr>
            <w:r>
              <w:rPr>
                <w:rFonts w:ascii="宋体" w:hAnsi="宋体" w:cs="宋体"/>
                <w:color w:val="auto"/>
                <w:highlight w:val="none"/>
                <w:lang w:val="zh-CN"/>
              </w:rPr>
              <w:t xml:space="preserve">（提供上述</w:t>
            </w:r>
            <w:r>
              <w:rPr>
                <w:rFonts w:hint="eastAsia" w:ascii="宋体" w:hAnsi="宋体" w:cs="宋体"/>
                <w:color w:val="auto"/>
                <w:highlight w:val="none"/>
                <w:lang w:val="zh-CN"/>
              </w:rPr>
              <w:t xml:space="preserve">人员</w:t>
            </w:r>
            <w:r>
              <w:rPr>
                <w:rFonts w:ascii="宋体" w:hAnsi="宋体" w:cs="宋体"/>
                <w:color w:val="auto"/>
                <w:highlight w:val="none"/>
                <w:lang w:val="zh-CN"/>
              </w:rPr>
              <w:t xml:space="preserve">证书</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供应商为其缴纳的2025年6月以来任意1个月的社保证明材料，缺一不可）</w:t>
            </w:r>
            <w:r/>
          </w:p>
        </w:tc>
        <w:tc>
          <w:tcPr>
            <w:tcW w:w="647" w:type="dxa"/>
            <w:vAlign w:val="center"/>
            <w:textDirection w:val="lrTb"/>
            <w:noWrap w:val="false"/>
          </w:tcPr>
          <w:p>
            <w:pPr>
              <w:jc w:val="center"/>
              <w:spacing w:before="68" w:line="264"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c>
          <w:tcPr>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383"/>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5</w:t>
            </w:r>
            <w:r>
              <w:rPr>
                <w:rFonts w:ascii="宋体" w:hAnsi="宋体" w:cs="宋体"/>
                <w:color w:val="auto"/>
                <w:spacing w:val="-2"/>
                <w:highlight w:val="none"/>
              </w:rPr>
              <w:t xml:space="preserve">.2</w:t>
            </w:r>
            <w:r/>
          </w:p>
        </w:tc>
        <w:tc>
          <w:tcPr>
            <w:tcW w:w="1179" w:type="dxa"/>
            <w:vAlign w:val="center"/>
            <w:textDirection w:val="lrTb"/>
            <w:noWrap w:val="false"/>
          </w:tcPr>
          <w:p>
            <w:pPr>
              <w:spacing w:line="264" w:lineRule="auto"/>
              <w:rPr>
                <w:color w:val="auto"/>
                <w:highlight w:val="none"/>
              </w:rPr>
            </w:pPr>
            <w:r>
              <w:rPr>
                <w:rFonts w:hint="eastAsia"/>
                <w:color w:val="auto"/>
                <w:highlight w:val="none"/>
              </w:rPr>
              <w:t xml:space="preserve">履约能力2</w:t>
            </w:r>
            <w:r/>
          </w:p>
        </w:tc>
        <w:tc>
          <w:tcPr>
            <w:tcW w:w="6330"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（2）技术负责人（非项目经理）能力：</w:t>
            </w:r>
            <w:r/>
          </w:p>
          <w:p>
            <w:pPr>
              <w:pStyle w:val="732"/>
              <w:ind w:firstLine="0"/>
              <w:rPr>
                <w:rFonts w:hint="eastAsia"/>
                <w:color w:val="auto"/>
                <w:highlight w:val="none"/>
              </w:rPr>
            </w:pPr>
            <w:r>
              <w:rPr>
                <w:rFonts w:hint="eastAsia"/>
                <w:color w:val="auto"/>
                <w:highlight w:val="none"/>
              </w:rPr>
              <w:t xml:space="preserve">具有ITSS-信息技术应用创新服务经理</w:t>
            </w:r>
            <w:r>
              <w:rPr>
                <w:rFonts w:hint="eastAsia" w:cs="宋体"/>
                <w:color w:val="auto"/>
                <w:sz w:val="22"/>
                <w:highlight w:val="none"/>
              </w:rPr>
              <w:t xml:space="preserve">证书；</w:t>
            </w:r>
            <w:r/>
          </w:p>
          <w:p>
            <w:pPr>
              <w:pStyle w:val="732"/>
              <w:ind w:firstLine="0"/>
              <w:rPr>
                <w:rFonts w:hint="eastAsia"/>
                <w:color w:val="auto"/>
                <w:highlight w:val="none"/>
              </w:rPr>
            </w:pPr>
            <w:r>
              <w:rPr>
                <w:rFonts w:hint="eastAsia"/>
                <w:color w:val="auto"/>
                <w:highlight w:val="none"/>
              </w:rPr>
              <w:t xml:space="preserve">具有信息系统项目管理师</w:t>
            </w:r>
            <w:r>
              <w:rPr>
                <w:rFonts w:hint="eastAsia" w:cs="宋体"/>
                <w:color w:val="auto"/>
                <w:sz w:val="22"/>
                <w:highlight w:val="none"/>
              </w:rPr>
              <w:t xml:space="preserve">证书；</w:t>
            </w:r>
            <w:r/>
          </w:p>
          <w:p>
            <w:pPr>
              <w:pStyle w:val="732"/>
              <w:ind w:firstLine="0"/>
              <w:rPr>
                <w:rFonts w:hint="eastAsia"/>
                <w:color w:val="auto"/>
                <w:highlight w:val="none"/>
              </w:rPr>
            </w:pPr>
            <w:r>
              <w:rPr>
                <w:rFonts w:hint="eastAsia"/>
                <w:color w:val="auto"/>
                <w:highlight w:val="none"/>
              </w:rPr>
              <w:t xml:space="preserve">每提供1个证书得2分，最高</w:t>
            </w:r>
            <w:r>
              <w:rPr>
                <w:rFonts w:hint="eastAsia"/>
                <w:color w:val="auto"/>
                <w:highlight w:val="none"/>
                <w:lang w:val="en-US" w:eastAsia="zh-CN"/>
              </w:rPr>
              <w:t xml:space="preserve">4</w:t>
            </w:r>
            <w:r>
              <w:rPr>
                <w:rFonts w:hint="eastAsia"/>
                <w:color w:val="auto"/>
                <w:highlight w:val="none"/>
              </w:rPr>
              <w:t xml:space="preserve">分.</w:t>
            </w:r>
            <w:r/>
          </w:p>
          <w:p>
            <w:pPr>
              <w:spacing w:line="264" w:lineRule="auto"/>
              <w:rPr>
                <w:rFonts w:ascii="宋体" w:hAnsi="宋体" w:cs="宋体"/>
                <w:color w:val="auto"/>
                <w:highlight w:val="none"/>
              </w:rPr>
            </w:pPr>
            <w:r>
              <w:rPr>
                <w:rFonts w:ascii="宋体" w:hAnsi="宋体" w:cs="宋体"/>
                <w:color w:val="auto"/>
                <w:highlight w:val="none"/>
                <w:lang w:val="zh-CN"/>
              </w:rPr>
              <w:t xml:space="preserve">（提供上述</w:t>
            </w:r>
            <w:r>
              <w:rPr>
                <w:rFonts w:hint="eastAsia" w:ascii="宋体" w:hAnsi="宋体" w:cs="宋体"/>
                <w:color w:val="auto"/>
                <w:highlight w:val="none"/>
                <w:lang w:val="zh-CN"/>
              </w:rPr>
              <w:t xml:space="preserve">人员</w:t>
            </w:r>
            <w:r>
              <w:rPr>
                <w:rFonts w:ascii="宋体" w:hAnsi="宋体" w:cs="宋体"/>
                <w:color w:val="auto"/>
                <w:highlight w:val="none"/>
                <w:lang w:val="zh-CN"/>
              </w:rPr>
              <w:t xml:space="preserve">证书</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供应商为其缴纳的2025年6月以来任意1个月的社保证明材料，缺一不可）</w:t>
            </w:r>
            <w:r/>
          </w:p>
        </w:tc>
        <w:tc>
          <w:tcPr>
            <w:tcW w:w="647" w:type="dxa"/>
            <w:vAlign w:val="center"/>
            <w:textDirection w:val="lrTb"/>
            <w:noWrap w:val="false"/>
          </w:tcPr>
          <w:p>
            <w:pPr>
              <w:jc w:val="center"/>
              <w:spacing w:before="68" w:line="264"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c>
          <w:tcPr>
            <w:tcW w:w="900"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383"/>
        </w:trPr>
        <w:tc>
          <w:tcPr>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5.3</w:t>
            </w:r>
            <w:r/>
          </w:p>
        </w:tc>
        <w:tc>
          <w:tcPr>
            <w:tcW w:w="1179" w:type="dxa"/>
            <w:vAlign w:val="center"/>
            <w:textDirection w:val="lrTb"/>
            <w:noWrap w:val="false"/>
          </w:tcPr>
          <w:p>
            <w:pPr>
              <w:spacing w:line="264" w:lineRule="auto"/>
              <w:rPr>
                <w:color w:val="auto"/>
                <w:highlight w:val="none"/>
              </w:rPr>
            </w:pPr>
            <w:r>
              <w:rPr>
                <w:rFonts w:hint="eastAsia"/>
                <w:color w:val="auto"/>
                <w:highlight w:val="none"/>
              </w:rPr>
              <w:t xml:space="preserve">履约能力3</w:t>
            </w:r>
            <w:r/>
          </w:p>
        </w:tc>
        <w:tc>
          <w:tcPr>
            <w:tcW w:w="6330" w:type="dxa"/>
            <w:vAlign w:val="center"/>
            <w:textDirection w:val="lrTb"/>
            <w:noWrap w:val="false"/>
          </w:tcPr>
          <w:p>
            <w:pPr>
              <w:spacing w:line="62"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w:t>
            </w:r>
            <w:r>
              <w:rPr>
                <w:rFonts w:ascii="宋体" w:hAnsi="宋体" w:cs="宋体"/>
                <w:color w:val="auto"/>
                <w:sz w:val="22"/>
                <w:highlight w:val="none"/>
              </w:rPr>
              <w:t xml:space="preserve">团队成员能力</w:t>
            </w:r>
            <w:r>
              <w:rPr>
                <w:rFonts w:hint="eastAsia" w:ascii="宋体" w:hAnsi="宋体" w:cs="宋体"/>
                <w:color w:val="auto"/>
                <w:highlight w:val="none"/>
              </w:rPr>
              <w:t xml:space="preserve">（不含项目经理和技术负责人）</w:t>
            </w:r>
            <w:r>
              <w:rPr>
                <w:rFonts w:ascii="宋体" w:hAnsi="宋体" w:cs="宋体"/>
                <w:color w:val="auto"/>
                <w:sz w:val="22"/>
                <w:highlight w:val="none"/>
              </w:rPr>
              <w:t xml:space="preserve">：</w:t>
            </w:r>
            <w:r/>
          </w:p>
          <w:p>
            <w:pPr>
              <w:pStyle w:val="732"/>
              <w:ind w:firstLine="0"/>
              <w:rPr>
                <w:rFonts w:hint="eastAsia"/>
                <w:color w:val="auto"/>
                <w:highlight w:val="none"/>
              </w:rPr>
            </w:pPr>
            <w:r>
              <w:rPr>
                <w:rFonts w:hint="eastAsia"/>
                <w:color w:val="auto"/>
                <w:highlight w:val="none"/>
              </w:rPr>
              <w:t xml:space="preserve">具有系统规划与管理师证书；</w:t>
            </w:r>
            <w:r/>
          </w:p>
          <w:p>
            <w:pPr>
              <w:pStyle w:val="732"/>
              <w:ind w:firstLine="0"/>
              <w:rPr>
                <w:rFonts w:hint="eastAsia"/>
                <w:color w:val="auto"/>
                <w:highlight w:val="none"/>
              </w:rPr>
            </w:pPr>
            <w:r>
              <w:rPr>
                <w:rFonts w:hint="eastAsia"/>
                <w:color w:val="auto"/>
                <w:highlight w:val="none"/>
              </w:rPr>
              <w:t xml:space="preserve">具有网络规划设计师证书；</w:t>
            </w:r>
            <w:r/>
          </w:p>
          <w:p>
            <w:pPr>
              <w:pStyle w:val="732"/>
              <w:ind w:firstLine="0"/>
              <w:rPr>
                <w:rFonts w:hint="eastAsia"/>
                <w:color w:val="auto"/>
                <w:highlight w:val="none"/>
              </w:rPr>
            </w:pPr>
            <w:r>
              <w:rPr>
                <w:rFonts w:hint="eastAsia"/>
                <w:color w:val="auto"/>
                <w:highlight w:val="none"/>
              </w:rPr>
              <w:t xml:space="preserve">具有系统分析师证书；</w:t>
            </w:r>
            <w:r/>
          </w:p>
          <w:p>
            <w:pPr>
              <w:pStyle w:val="732"/>
              <w:ind w:firstLine="0"/>
              <w:rPr>
                <w:rFonts w:hint="eastAsia"/>
                <w:color w:val="auto"/>
                <w:highlight w:val="none"/>
              </w:rPr>
            </w:pPr>
            <w:r>
              <w:rPr>
                <w:rFonts w:hint="eastAsia"/>
                <w:color w:val="auto"/>
                <w:highlight w:val="none"/>
              </w:rPr>
              <w:t xml:space="preserve">具有高级工程师（电子信息）证书；</w:t>
            </w:r>
            <w:r/>
          </w:p>
          <w:p>
            <w:pPr>
              <w:rPr>
                <w:rFonts w:hint="eastAsia"/>
                <w:color w:val="auto"/>
                <w:highlight w:val="none"/>
              </w:rPr>
            </w:pPr>
            <w:r>
              <w:rPr>
                <w:rFonts w:ascii="宋体" w:hAnsi="宋体" w:cs="宋体"/>
                <w:color w:val="auto"/>
                <w:sz w:val="22"/>
                <w:highlight w:val="none"/>
              </w:rPr>
              <w:t xml:space="preserve">每提供1个证书得</w:t>
            </w:r>
            <w:r>
              <w:rPr>
                <w:rFonts w:hint="eastAsia" w:ascii="宋体" w:hAnsi="宋体" w:cs="宋体"/>
                <w:color w:val="auto"/>
                <w:sz w:val="22"/>
                <w:highlight w:val="none"/>
              </w:rPr>
              <w:t xml:space="preserve">1</w:t>
            </w:r>
            <w:r>
              <w:rPr>
                <w:rFonts w:ascii="宋体" w:hAnsi="宋体" w:cs="宋体"/>
                <w:color w:val="auto"/>
                <w:sz w:val="22"/>
                <w:highlight w:val="none"/>
              </w:rPr>
              <w:t xml:space="preserve">分，最多得</w:t>
            </w:r>
            <w:r>
              <w:rPr>
                <w:rFonts w:hint="eastAsia" w:ascii="宋体" w:hAnsi="宋体" w:cs="宋体"/>
                <w:color w:val="auto"/>
                <w:sz w:val="22"/>
                <w:highlight w:val="none"/>
              </w:rPr>
              <w:t xml:space="preserve">4</w:t>
            </w:r>
            <w:r>
              <w:rPr>
                <w:rFonts w:ascii="宋体" w:hAnsi="宋体" w:cs="宋体"/>
                <w:color w:val="auto"/>
                <w:sz w:val="22"/>
                <w:highlight w:val="none"/>
              </w:rPr>
              <w:t xml:space="preserve">分。</w:t>
            </w:r>
            <w:r/>
          </w:p>
          <w:p>
            <w:pPr>
              <w:spacing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（多人一证、一人多证不重复计分，提供团队成员证书、</w:t>
            </w:r>
            <w:r>
              <w:rPr>
                <w:rFonts w:hint="eastAsia" w:ascii="宋体" w:hAnsi="宋体" w:cs="宋体"/>
                <w:color w:val="auto"/>
                <w:sz w:val="22"/>
                <w:highlight w:val="none"/>
              </w:rPr>
              <w:t xml:space="preserve">供应商为其缴纳的2025年6月以来任意1个月的社保证明材料，缺一不可</w:t>
            </w:r>
            <w:r>
              <w:rPr>
                <w:rFonts w:hint="eastAsia" w:ascii="宋体" w:hAnsi="宋体" w:cs="宋体"/>
                <w:color w:val="auto"/>
                <w:highlight w:val="none"/>
              </w:rPr>
              <w:t xml:space="preserve">）</w:t>
            </w:r>
            <w:r/>
          </w:p>
        </w:tc>
        <w:tc>
          <w:tcPr>
            <w:tcW w:w="647"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900" w:type="dxa"/>
            <w:vAlign w:val="center"/>
            <w:textDirection w:val="lrTb"/>
            <w:noWrap w:val="false"/>
          </w:tcPr>
          <w:p>
            <w:pPr>
              <w:jc w:val="center"/>
              <w:spacing w:before="68" w:line="264" w:lineRule="auto"/>
              <w:rPr>
                <w:rFonts w:ascii="宋体" w:hAnsi="宋体" w:cs="宋体"/>
                <w:color w:val="auto"/>
                <w:szCs w:val="21"/>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64"/>
        </w:trPr>
        <w:tc>
          <w:tcPr>
            <w:tcW w:w="519" w:type="dxa"/>
            <w:vAlign w:val="center"/>
            <w:textDirection w:val="lrTb"/>
            <w:noWrap w:val="false"/>
          </w:tcPr>
          <w:p>
            <w:pPr>
              <w:jc w:val="center"/>
              <w:spacing w:line="264" w:lineRule="auto"/>
              <w:rPr>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W w:w="7509" w:type="dxa"/>
            <w:vAlign w:val="center"/>
            <w:textDirection w:val="lrTb"/>
            <w:noWrap w:val="false"/>
          </w:tcPr>
          <w:p>
            <w:pPr>
              <w:ind w:left="172"/>
              <w:jc w:val="center"/>
              <w:spacing w:before="123" w:line="264" w:lineRule="auto"/>
              <w:rPr>
                <w:rFonts w:ascii="宋体" w:hAnsi="宋体" w:cs="宋体"/>
                <w:color w:val="auto"/>
                <w:spacing w:val="-2"/>
                <w:highlight w:val="none"/>
              </w:rPr>
            </w:pPr>
            <w:r>
              <w:rPr>
                <w:rFonts w:ascii="宋体" w:hAnsi="宋体" w:cs="宋体"/>
                <w:color w:val="auto"/>
                <w:spacing w:val="-2"/>
                <w:highlight w:val="none"/>
              </w:rPr>
            </w:r>
            <w:r/>
          </w:p>
        </w:tc>
        <w:tc>
          <w:tcPr>
            <w:gridSpan w:val="2"/>
            <w:tcW w:w="1547" w:type="dxa"/>
            <w:vAlign w:val="center"/>
            <w:textDirection w:val="lrTb"/>
            <w:noWrap w:val="false"/>
          </w:tcPr>
          <w:p>
            <w:pPr>
              <w:jc w:val="center"/>
              <w:spacing w:line="264" w:lineRule="auto"/>
              <w:rPr>
                <w:color w:val="auto"/>
                <w:highlight w:val="none"/>
              </w:rPr>
            </w:pPr>
            <w:r>
              <w:rPr>
                <w:rFonts w:ascii="宋体" w:hAnsi="宋体" w:cs="宋体"/>
                <w:color w:val="auto"/>
                <w:spacing w:val="-11"/>
                <w:highlight w:val="none"/>
              </w:rPr>
              <w:t xml:space="preserve">100分</w:t>
            </w:r>
            <w:r/>
          </w:p>
        </w:tc>
      </w:tr>
    </w:tbl>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黑体" w:eastAsia="黑体"/>
          <w:bCs/>
          <w:color w:val="auto"/>
          <w:sz w:val="44"/>
          <w:szCs w:val="28"/>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第六章  </w:t>
      </w:r>
      <w:bookmarkEnd w:id="21"/>
      <w:r/>
      <w:bookmarkEnd w:id="22"/>
      <w:r/>
      <w:bookmarkEnd w:id="23"/>
      <w:r>
        <w:rPr>
          <w:rFonts w:hint="eastAsia" w:ascii="方正小标宋简体" w:hAnsi="方正小标宋简体" w:eastAsia="方正小标宋简体" w:cs="方正小标宋简体"/>
          <w:color w:val="auto"/>
          <w:sz w:val="36"/>
          <w:szCs w:val="36"/>
          <w:highlight w:val="none"/>
        </w:rPr>
        <w:t xml:space="preserve">响应文件格式 </w:t>
      </w:r>
      <w:r/>
    </w:p>
    <w:p>
      <w:pPr>
        <w:jc w:val="center"/>
        <w:rPr>
          <w:rFonts w:hint="eastAsia" w:ascii="宋体" w:hAnsi="宋体"/>
          <w:b/>
          <w:color w:val="auto"/>
          <w:sz w:val="72"/>
          <w:szCs w:val="21"/>
          <w:highlight w:val="none"/>
        </w:rPr>
      </w:pPr>
      <w:r/>
      <w:bookmarkStart w:id="28" w:name="_Hlt26671244"/>
      <w:r/>
      <w:bookmarkEnd w:id="28"/>
      <w:r/>
      <w:bookmarkStart w:id="29" w:name="_Hlt26955039"/>
      <w:r/>
      <w:bookmarkEnd w:id="29"/>
      <w:r/>
      <w:bookmarkStart w:id="30" w:name="_Toc120614282"/>
      <w:r/>
      <w:bookmarkStart w:id="31" w:name="_Toc26554094"/>
      <w:r/>
      <w:bookmarkStart w:id="32"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一、供应商信用承诺函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四、磋商响应函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五、报价一览表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六、分项报价表（如有）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十一、联合体协议（如有）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十二、分包承诺书（如有）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十三、关于符合本国产品标准的声明函（如有）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color w:val="auto"/>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南京市公共资源交易中心六合分中心：</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我公司（单位）符合下列要求：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如果我公司（单位）成交，将在成交结果公示后七个工作日内向采购人提供下列材料核验：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01"/>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61"/>
        <w:ind w:left="0"/>
        <w:rPr>
          <w:rFonts w:hint="eastAsia"/>
          <w:color w:val="auto"/>
          <w:highlight w:val="none"/>
        </w:rPr>
      </w:pPr>
      <w:r>
        <w:rPr>
          <w:rFonts w:hint="eastAsia"/>
          <w:color w:val="auto"/>
          <w:highlight w:val="none"/>
        </w:rPr>
      </w:r>
      <w:bookmarkEnd w:id="30"/>
      <w:r/>
      <w:bookmarkEnd w:id="31"/>
      <w:r/>
      <w:bookmarkEnd w:id="32"/>
      <w:r/>
      <w:r/>
    </w:p>
    <w:p>
      <w:pPr>
        <w:rPr>
          <w:rFonts w:hint="eastAsia" w:ascii="黑体" w:hAnsi="黑体" w:eastAsia="黑体"/>
          <w:color w:val="auto"/>
          <w:sz w:val="32"/>
          <w:szCs w:val="32"/>
          <w:highlight w:val="none"/>
        </w:rPr>
      </w:pPr>
      <w:r/>
      <w:bookmarkStart w:id="33" w:name="_Toc120614284"/>
      <w:r>
        <w:rPr>
          <w:rFonts w:hint="eastAsia" w:ascii="黑体" w:hAnsi="黑体" w:eastAsia="黑体"/>
          <w:color w:val="auto"/>
          <w:sz w:val="32"/>
          <w:szCs w:val="32"/>
          <w:highlight w:val="none"/>
        </w:rPr>
        <w:t xml:space="preserve">二、特定资格要求的证明文件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本项目申请人的特定资格要求中要求提供的材料。</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lang w:val="zh-CN"/>
        </w:rPr>
        <w:t xml:space="preserve">法人授权书</w:t>
      </w:r>
      <w:r/>
    </w:p>
    <w:p>
      <w:pPr>
        <w:pStyle w:val="972"/>
        <w:ind w:firstLine="480"/>
        <w:spacing w:line="480" w:lineRule="auto"/>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（供应商名称）授权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（被授权人的姓名）作为我方就编号为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的</w:t>
      </w:r>
      <w:r>
        <w:rPr>
          <w:rFonts w:hint="eastAsia"/>
          <w:color w:val="auto"/>
          <w:sz w:val="24"/>
          <w:szCs w:val="24"/>
          <w:highlight w:val="none"/>
        </w:rPr>
        <w:t xml:space="preserve">项目采购活动的合法代理人，以本单位名义全权处理一切与该项目采购有关的事务。</w:t>
      </w:r>
      <w:r/>
    </w:p>
    <w:p>
      <w:pPr>
        <w:pStyle w:val="972"/>
        <w:ind w:firstLine="480"/>
        <w:spacing w:line="480" w:lineRule="auto"/>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pStyle w:val="972"/>
        <w:ind w:firstLine="0"/>
        <w:spacing w:line="480" w:lineRule="auto"/>
        <w:rPr>
          <w:rFonts w:hint="eastAsia"/>
          <w:color w:val="auto"/>
          <w:sz w:val="24"/>
          <w:szCs w:val="24"/>
          <w:highlight w:val="none"/>
          <w:u w:val="single"/>
        </w:rPr>
      </w:pPr>
      <w:r>
        <w:rPr>
          <w:rFonts w:hint="eastAsia"/>
          <w:color w:val="auto"/>
          <w:sz w:val="24"/>
          <w:szCs w:val="24"/>
          <w:highlight w:val="none"/>
        </w:rPr>
        <w:t xml:space="preserve">    被授权人身份证号码：</w:t>
      </w:r>
      <w:r/>
    </w:p>
    <w:p>
      <w:pPr>
        <w:pStyle w:val="972"/>
        <w:ind w:firstLine="480"/>
        <w:spacing w:line="480" w:lineRule="auto"/>
        <w:rPr>
          <w:rFonts w:hint="eastAsia" w:ascii="宋体" w:hAnsi="宋体" w:cs="宋体"/>
          <w:color w:val="auto"/>
          <w:sz w:val="24"/>
          <w:szCs w:val="24"/>
          <w:highlight w:val="none"/>
          <w:u w:val="single"/>
        </w:rPr>
      </w:pPr>
      <w:r>
        <w:rPr>
          <w:rFonts w:hint="eastAsia"/>
          <w:color w:val="auto"/>
          <w:sz w:val="24"/>
          <w:szCs w:val="24"/>
          <w:highlight w:val="none"/>
        </w:rPr>
        <w:t xml:space="preserve">被授权人联系电话：（手机）</w:t>
      </w:r>
      <w:r/>
    </w:p>
    <w:p>
      <w:pPr>
        <w:pStyle w:val="972"/>
        <w:ind w:firstLine="480"/>
        <w:spacing w:line="480" w:lineRule="auto"/>
        <w:rPr>
          <w:color w:val="auto"/>
          <w:sz w:val="24"/>
          <w:szCs w:val="24"/>
          <w:highlight w:val="none"/>
        </w:rPr>
      </w:pPr>
      <w:r>
        <w:rPr>
          <w:rFonts w:hint="eastAsia"/>
          <w:color w:val="auto"/>
          <w:sz w:val="24"/>
          <w:szCs w:val="24"/>
          <w:highlight w:val="none"/>
        </w:rPr>
        <w:t xml:space="preserve">授权单位名称：</w:t>
      </w:r>
      <w:r>
        <w:rPr>
          <w:rFonts w:hint="eastAsia" w:ascii="宋体" w:hAnsi="宋体" w:cs="宋体"/>
          <w:color w:val="auto"/>
          <w:sz w:val="24"/>
          <w:szCs w:val="24"/>
          <w:highlight w:val="none"/>
        </w:rPr>
        <w:t xml:space="preserve">（加盖电子公章）</w:t>
      </w:r>
      <w:r/>
    </w:p>
    <w:p>
      <w:pPr>
        <w:pStyle w:val="972"/>
        <w:ind w:firstLine="480"/>
        <w:spacing w:line="480" w:lineRule="auto"/>
        <w:rPr>
          <w:rFonts w:hint="eastAsia"/>
          <w:color w:val="auto"/>
          <w:sz w:val="24"/>
          <w:szCs w:val="24"/>
          <w:highlight w:val="none"/>
          <w:u w:val="single"/>
        </w:rPr>
      </w:pPr>
      <w:r>
        <w:rPr>
          <w:rFonts w:hint="eastAsia"/>
          <w:color w:val="auto"/>
          <w:sz w:val="24"/>
          <w:szCs w:val="24"/>
          <w:highlight w:val="none"/>
        </w:rPr>
        <w:t xml:space="preserve">单位地址：</w:t>
      </w:r>
      <w:r/>
    </w:p>
    <w:p>
      <w:pPr>
        <w:pStyle w:val="972"/>
        <w:ind w:firstLine="480"/>
        <w:spacing w:line="480" w:lineRule="auto"/>
        <w:rPr>
          <w:rFonts w:hint="eastAsia"/>
          <w:color w:val="auto"/>
          <w:sz w:val="24"/>
          <w:szCs w:val="24"/>
          <w:highlight w:val="none"/>
        </w:rPr>
      </w:pPr>
      <w:r>
        <w:rPr>
          <w:rFonts w:hint="eastAsia"/>
          <w:color w:val="auto"/>
          <w:sz w:val="24"/>
          <w:szCs w:val="24"/>
          <w:highlight w:val="none"/>
        </w:rPr>
        <w:t xml:space="preserve">日    期：</w:t>
      </w:r>
      <w:bookmarkStart w:id="34" w:name="_Hlt26671380"/>
      <w:r/>
      <w:bookmarkEnd w:id="34"/>
      <w:r/>
      <w:bookmarkStart w:id="35" w:name="_格式3__银行出具的资信证明"/>
      <w:r/>
      <w:bookmarkEnd w:id="35"/>
      <w:r/>
      <w:bookmarkStart w:id="36" w:name="_Hlt26955070"/>
      <w:r/>
      <w:bookmarkEnd w:id="36"/>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u w:val="singl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四、磋商响应函</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rPr>
        <w:t xml:space="preserve">磋商响应函</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致：南京市公共资源交易中心六合分中心</w:t>
      </w:r>
      <w:r/>
    </w:p>
    <w:p>
      <w:pPr>
        <w:pStyle w:val="974"/>
        <w:spacing w:before="0" w:after="0"/>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项目磋商文件，我方正式提</w:t>
      </w:r>
      <w:r>
        <w:rPr>
          <w:rFonts w:hint="eastAsia" w:ascii="宋体" w:hAnsi="宋体" w:cs="宋体"/>
          <w:color w:val="auto"/>
          <w:highlight w:val="none"/>
        </w:rPr>
        <w:t xml:space="preserve">交磋商响应函，</w:t>
      </w:r>
      <w:r>
        <w:rPr>
          <w:rFonts w:hint="eastAsia" w:ascii="宋体" w:hAnsi="宋体"/>
          <w:color w:val="auto"/>
          <w:szCs w:val="21"/>
          <w:highlight w:val="none"/>
        </w:rPr>
        <w:t xml:space="preserve">并宣布同意如下内容：</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1.按磋商文件规定的各项要求，向买方提供所需服务（包含与货物相关的服务及与服务相关的货物）。</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952"/>
        <w:ind w:firstLine="480"/>
        <w:rPr>
          <w:color w:val="auto"/>
          <w:highlight w:val="none"/>
        </w:rPr>
      </w:pPr>
      <w:r>
        <w:rPr>
          <w:rFonts w:hint="eastAsia"/>
          <w:color w:val="auto"/>
          <w:sz w:val="24"/>
          <w:szCs w:val="24"/>
          <w:highlight w:val="none"/>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非民营企业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其他（在对应</w:t>
      </w:r>
      <w:r>
        <w:rPr>
          <w:rFonts w:ascii="Wingdings" w:hAnsi="Wingdings" w:eastAsia="Wingdings" w:cs="Wingdings"/>
          <w:color w:val="auto"/>
          <w:sz w:val="24"/>
          <w:szCs w:val="24"/>
          <w:highlight w:val="none"/>
        </w:rPr>
        <w:t xml:space="preserve">¨</w:t>
      </w:r>
      <w:r>
        <w:rPr>
          <w:rFonts w:hint="eastAsia" w:cs="宋体"/>
          <w:color w:val="auto"/>
          <w:sz w:val="24"/>
          <w:szCs w:val="24"/>
          <w:highlight w:val="none"/>
        </w:rPr>
        <w:t xml:space="preserve">内</w:t>
      </w:r>
      <w:r>
        <w:rPr>
          <w:rFonts w:hint="eastAsia"/>
          <w:color w:val="auto"/>
          <w:sz w:val="24"/>
          <w:szCs w:val="24"/>
          <w:highlight w:val="none"/>
          <w:lang w:val="zh-CN"/>
        </w:rPr>
        <w:t xml:space="preserve">打</w:t>
      </w:r>
      <w:r>
        <w:rPr>
          <w:rFonts w:hint="eastAsia" w:cs="Verdana"/>
          <w:color w:val="auto"/>
          <w:sz w:val="24"/>
          <w:szCs w:val="24"/>
          <w:highlight w:val="none"/>
          <w:lang w:val="zh-CN"/>
        </w:rPr>
        <w:t xml:space="preserve">“√”</w:t>
      </w:r>
      <w:r>
        <w:rPr>
          <w:rFonts w:hint="eastAsia"/>
          <w:color w:val="auto"/>
          <w:sz w:val="24"/>
          <w:szCs w:val="24"/>
          <w:highlight w:val="none"/>
        </w:rPr>
        <w:t xml:space="preserve">）               </w:t>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Cs w:val="21"/>
          <w:highlight w:val="none"/>
        </w:rPr>
        <w:t xml:space="preserve">9.</w:t>
      </w:r>
      <w:r>
        <w:rPr>
          <w:rFonts w:hint="eastAsia" w:ascii="宋体" w:hAnsi="宋体"/>
          <w:color w:val="auto"/>
          <w:sz w:val="24"/>
          <w:szCs w:val="21"/>
          <w:highlight w:val="none"/>
        </w:rPr>
        <w:t xml:space="preserve">我方与本磋商有关的正式通讯地址为：</w:t>
      </w:r>
      <w:r/>
    </w:p>
    <w:p>
      <w:pPr>
        <w:pStyle w:val="974"/>
        <w:spacing w:before="0" w:after="0"/>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74"/>
        <w:spacing w:before="0" w:after="0"/>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74"/>
        <w:spacing w:before="0" w:after="0"/>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74"/>
        <w:spacing w:before="0" w:after="0"/>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74"/>
        <w:spacing w:before="0" w:after="0"/>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74"/>
        <w:spacing w:before="0" w:after="0"/>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pStyle w:val="974"/>
        <w:spacing w:before="0" w:after="0"/>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五、报价一览表</w:t>
      </w:r>
      <w:r/>
    </w:p>
    <w:p>
      <w:pPr>
        <w:jc w:val="center"/>
        <w:spacing w:line="48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报价一览表</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 </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                                   采购包号：                                 </w:t>
      </w:r>
      <w:r/>
    </w:p>
    <w:tbl>
      <w:tblPr>
        <w:tblStyle w:val="709"/>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974"/>
              <w:ind w:firstLine="0"/>
              <w:spacing w:before="0" w:after="0" w:line="480" w:lineRule="auto"/>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952"/>
        <w:ind w:firstLine="0"/>
        <w:rPr>
          <w:rFonts w:hint="eastAsia"/>
          <w:color w:val="auto"/>
          <w:highlight w:val="none"/>
        </w:rPr>
      </w:pPr>
      <w:r>
        <w:rPr>
          <w:rFonts w:hint="eastAsia"/>
          <w:color w:val="auto"/>
          <w:highlight w:val="none"/>
        </w:rPr>
      </w:r>
      <w:r/>
    </w:p>
    <w:p>
      <w:pPr>
        <w:pStyle w:val="961"/>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color w:val="auto"/>
          <w:highlight w:val="none"/>
        </w:rPr>
      </w:pPr>
      <w:r>
        <w:rPr>
          <w:rFonts w:hint="eastAsia"/>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961"/>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pStyle w:val="961"/>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pStyle w:val="961"/>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pStyle w:val="961"/>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pStyle w:val="961"/>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pStyle w:val="961"/>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pStyle w:val="961"/>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961"/>
        <w:rPr>
          <w:rFonts w:hint="eastAsia" w:ascii="黑体" w:hAnsi="黑体" w:eastAsia="黑体" w:cs="Times New Roman"/>
          <w:color w:val="auto"/>
          <w:sz w:val="32"/>
          <w:szCs w:val="32"/>
          <w:highlight w:val="none"/>
          <w:lang w:val="en-US"/>
        </w:rPr>
      </w:pPr>
      <w:r>
        <w:rPr>
          <w:rFonts w:hint="eastAsia" w:ascii="黑体" w:hAnsi="黑体" w:eastAsia="黑体" w:cs="Times New Roman"/>
          <w:color w:val="auto"/>
          <w:sz w:val="32"/>
          <w:szCs w:val="32"/>
          <w:highlight w:val="none"/>
          <w:lang w:val="en-US"/>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六、分项报价表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分项报价表</w:t>
      </w:r>
      <w:r/>
    </w:p>
    <w:tbl>
      <w:tblPr>
        <w:tblStyle w:val="709"/>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06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4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1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3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06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分项名称</w:t>
            </w:r>
            <w:r/>
          </w:p>
        </w:tc>
        <w:tc>
          <w:tcPr>
            <w:tcW w:w="14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11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3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1320" w:type="dxa"/>
            <w:vAlign w:val="center"/>
            <w:textDirection w:val="lrTb"/>
            <w:noWrap w:val="false"/>
          </w:tcPr>
          <w:p>
            <w:pPr>
              <w:jc w:val="center"/>
              <w:spacing w:line="0" w:lineRule="atLeast"/>
              <w:rPr>
                <w:color w:val="auto"/>
                <w:highlight w:val="none"/>
              </w:rPr>
            </w:pPr>
            <w:r>
              <w:rPr>
                <w:rFonts w:hint="eastAsia" w:ascii="宋体" w:hAnsi="宋体"/>
                <w:color w:val="auto"/>
                <w:sz w:val="24"/>
                <w:szCs w:val="24"/>
                <w:highlight w:val="none"/>
              </w:rPr>
              <w:t xml:space="preserve">单价（元）</w:t>
            </w:r>
            <w:r/>
          </w:p>
        </w:tc>
        <w:tc>
          <w:tcPr>
            <w:tcW w:w="16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06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206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206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总报价（元）</w:t>
            </w:r>
            <w:r/>
          </w:p>
        </w:tc>
        <w:tc>
          <w:tcPr>
            <w:gridSpan w:val="5"/>
            <w:tcW w:w="697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46"/>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spacing w:line="360" w:lineRule="auto"/>
        <w:rPr>
          <w:rFonts w:ascii="宋体" w:hAnsi="宋体"/>
          <w:color w:val="auto"/>
          <w:sz w:val="24"/>
          <w:highlight w:val="none"/>
        </w:rPr>
      </w:pPr>
      <w:r>
        <w:rPr>
          <w:rFonts w:ascii="宋体" w:hAnsi="宋体"/>
          <w:color w:val="auto"/>
          <w:sz w:val="24"/>
          <w:highlight w:val="none"/>
        </w:rPr>
      </w:r>
      <w:r/>
    </w:p>
    <w:p>
      <w:pPr>
        <w:pStyle w:val="946"/>
        <w:ind w:firstLine="480"/>
        <w:jc w:val="both"/>
        <w:spacing w:before="0" w:beforeAutospacing="0" w:after="0" w:afterAutospacing="0" w:line="360" w:lineRule="auto"/>
        <w:rPr>
          <w:color w:val="auto"/>
          <w:highlight w:val="none"/>
        </w:rPr>
      </w:pPr>
      <w:r>
        <w:rPr>
          <w:color w:val="auto"/>
          <w:highlight w:val="none"/>
        </w:rPr>
        <w:t xml:space="preserve">备注： </w:t>
      </w:r>
      <w:r/>
    </w:p>
    <w:p>
      <w:pPr>
        <w:pStyle w:val="94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1.“总报价”应包括为完成整个项目所产生的所有费用，采购文件另有规定的除外。</w:t>
      </w:r>
      <w:r/>
    </w:p>
    <w:p>
      <w:pPr>
        <w:pStyle w:val="94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2.《分项报价表》中“总报价”应当与《报价一览表》中“总报价”一致。</w:t>
      </w:r>
      <w:r/>
    </w:p>
    <w:p>
      <w:pPr>
        <w:pStyle w:val="94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3.《分项报价表》中的分项名称须与“第四章-项目清单”中的名称一一对应，如有缺项、漏项或者超出单价上限的，视为无效响应。“项目清单”中分项仅为一项的，此表无需提供。</w:t>
      </w:r>
      <w:r/>
    </w:p>
    <w:p>
      <w:pPr>
        <w:pStyle w:val="946"/>
        <w:ind w:firstLine="480"/>
        <w:jc w:val="both"/>
        <w:spacing w:before="0" w:beforeAutospacing="0" w:after="0" w:afterAutospacing="0" w:line="360" w:lineRule="auto"/>
        <w:rPr>
          <w:color w:val="auto"/>
          <w:highlight w:val="none"/>
        </w:rPr>
      </w:pPr>
      <w:r>
        <w:rPr>
          <w:rFonts w:hint="eastAsia"/>
          <w:color w:val="auto"/>
          <w:highlight w:val="none"/>
        </w:rPr>
        <w:t xml:space="preserve">4.行数不够，可自行添加。</w:t>
      </w:r>
      <w:r/>
    </w:p>
    <w:p>
      <w:pPr>
        <w:rPr>
          <w:rFonts w:hint="eastAsia" w:ascii="黑体" w:hAnsi="黑体" w:eastAsia="黑体"/>
          <w:iCs/>
          <w:color w:val="auto"/>
          <w:sz w:val="32"/>
          <w:szCs w:val="32"/>
          <w:highlight w:val="none"/>
        </w:rPr>
      </w:pPr>
      <w:r>
        <w:rPr>
          <w:rFonts w:hint="eastAsia" w:ascii="黑体" w:hAnsi="黑体" w:eastAsia="黑体"/>
          <w:i/>
          <w:color w:val="auto"/>
          <w:sz w:val="32"/>
          <w:szCs w:val="32"/>
          <w:highlight w:val="none"/>
          <w:u w:val="single"/>
        </w:rPr>
        <w:br w:type="page" w:clear="all"/>
      </w:r>
      <w:bookmarkEnd w:id="19"/>
      <w:r/>
      <w:bookmarkEnd w:id="20"/>
      <w:r/>
      <w:bookmarkEnd w:id="33"/>
      <w:r>
        <w:rPr>
          <w:rFonts w:hint="eastAsia" w:ascii="黑体" w:hAnsi="黑体" w:eastAsia="黑体"/>
          <w:iCs/>
          <w:color w:val="auto"/>
          <w:sz w:val="32"/>
          <w:szCs w:val="32"/>
          <w:highlight w:val="none"/>
        </w:rPr>
        <w:t xml:space="preserve">七、技术要求响应及偏离表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65" w:type="dxa"/>
            <w:vAlign w:val="center"/>
            <w:textDirection w:val="lrTb"/>
            <w:noWrap w:val="false"/>
          </w:tcPr>
          <w:p>
            <w:pPr>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46"/>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46"/>
        <w:ind w:firstLine="480"/>
        <w:jc w:val="both"/>
        <w:spacing w:before="0" w:beforeAutospacing="0" w:after="0" w:afterAutospacing="0" w:line="360" w:lineRule="auto"/>
        <w:rPr>
          <w:color w:val="auto"/>
          <w:highlight w:val="none"/>
        </w:rPr>
      </w:pPr>
      <w:r>
        <w:rPr>
          <w:color w:val="auto"/>
          <w:highlight w:val="none"/>
        </w:rPr>
        <w:t xml:space="preserve">备注： </w:t>
      </w:r>
      <w:r/>
    </w:p>
    <w:p>
      <w:pPr>
        <w:pStyle w:val="94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1.供应商须对磋商文件技术要求中的实质性要求（斜体下划线内容或打“★”内容）及其他要求做出明确响应，否则视为无效响应。</w:t>
      </w:r>
      <w:r/>
    </w:p>
    <w:p>
      <w:pPr>
        <w:pStyle w:val="94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4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rPr>
          <w:rFonts w:hint="eastAsia" w:ascii="黑体" w:hAnsi="黑体" w:eastAsia="黑体"/>
          <w:iCs/>
          <w:color w:val="auto"/>
          <w:sz w:val="32"/>
          <w:szCs w:val="32"/>
          <w:highlight w:val="none"/>
        </w:rPr>
      </w:pPr>
      <w:r/>
      <w:bookmarkStart w:id="37" w:name="_Hlt26955054"/>
      <w:r/>
      <w:bookmarkEnd w:id="37"/>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八、商务要求响应及偏离表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38" w:name="_Hlt24879081"/>
            <w:r/>
            <w:bookmarkEnd w:id="38"/>
            <w:r/>
            <w:bookmarkStart w:id="39" w:name="_Hlt26580838"/>
            <w:r/>
            <w:bookmarkEnd w:id="39"/>
            <w:r/>
            <w:bookmarkStart w:id="40" w:name="_Hlt26609391"/>
            <w:r/>
            <w:bookmarkEnd w:id="40"/>
            <w:r/>
            <w:bookmarkStart w:id="41" w:name="_Hlt26955056"/>
            <w:r/>
            <w:bookmarkEnd w:id="41"/>
            <w:r/>
            <w:bookmarkStart w:id="42" w:name="_Hlt26782999"/>
            <w:r/>
            <w:bookmarkEnd w:id="42"/>
            <w:r/>
            <w:bookmarkStart w:id="43" w:name="_Hlt26671372"/>
            <w:r/>
            <w:bookmarkEnd w:id="43"/>
            <w:r/>
            <w:bookmarkStart w:id="44" w:name="_Hlt26955064"/>
            <w:r/>
            <w:bookmarkEnd w:id="44"/>
            <w:r/>
            <w:bookmarkStart w:id="45" w:name="_Hlt26671343"/>
            <w:r/>
            <w:bookmarkEnd w:id="45"/>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5" w:type="dxa"/>
            <w:vAlign w:val="center"/>
            <w:textDirection w:val="lrTb"/>
            <w:noWrap w:val="false"/>
          </w:tcPr>
          <w:p>
            <w:pPr>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46"/>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4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946"/>
        <w:ind w:firstLine="480"/>
        <w:jc w:val="both"/>
        <w:spacing w:before="0" w:beforeAutospacing="0" w:after="0" w:afterAutospacing="0" w:line="360" w:lineRule="auto"/>
        <w:rPr>
          <w:color w:val="auto"/>
          <w:highlight w:val="none"/>
        </w:rPr>
      </w:pPr>
      <w:r>
        <w:rPr>
          <w:rFonts w:hint="eastAsia"/>
          <w:color w:val="auto"/>
          <w:highlight w:val="none"/>
        </w:rPr>
        <w:t xml:space="preserve">1.供应商须对磋商文件商务要求中的实质性要求（斜体下划线内容或打“★”内容）做出明确响应，否则视为无效响应。</w:t>
      </w:r>
      <w:r/>
    </w:p>
    <w:p>
      <w:pPr>
        <w:pStyle w:val="94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pStyle w:val="952"/>
        <w:rPr>
          <w:color w:val="auto"/>
          <w:highlight w:val="none"/>
        </w:rPr>
      </w:pPr>
      <w:r>
        <w:rPr>
          <w:color w:val="auto"/>
          <w:highlight w:val="none"/>
        </w:rPr>
      </w:r>
      <w:r/>
    </w:p>
    <w:p>
      <w:pPr>
        <w:rPr>
          <w:color w:val="auto"/>
          <w:highlight w:val="none"/>
        </w:rPr>
      </w:pPr>
      <w:r>
        <w:rPr>
          <w:color w:val="auto"/>
          <w:highlight w:val="none"/>
        </w:rPr>
      </w:r>
      <w:r/>
    </w:p>
    <w:p>
      <w:pPr>
        <w:pStyle w:val="952"/>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pStyle w:val="732"/>
        <w:rPr>
          <w:rFonts w:hint="eastAsia"/>
          <w:color w:val="auto"/>
          <w:highlight w:val="none"/>
        </w:rPr>
      </w:pPr>
      <w:r>
        <w:rPr>
          <w:rFonts w:hint="eastAsia"/>
          <w:color w:val="auto"/>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九、中小企业声明函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中小企业声明函（服务）</w:t>
      </w:r>
      <w:r/>
    </w:p>
    <w:p>
      <w:pPr>
        <w:ind w:firstLine="480"/>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firstLine="480"/>
        <w:spacing w:line="240" w:lineRule="atLeas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行业（磋商文件中明确的所属行业）；承接企业为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240" w:lineRule="atLeast"/>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行业（磋商文件中明确的所属行业）；承接企业为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61"/>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r>
      <w:r/>
    </w:p>
    <w:p>
      <w:pPr>
        <w:spacing w:line="240" w:lineRule="atLeast"/>
        <w:rPr>
          <w:rFonts w:hint="eastAsia"/>
          <w:color w:val="auto"/>
          <w:highlight w:val="none"/>
        </w:rPr>
      </w:pPr>
      <w:r>
        <w:rPr>
          <w:rFonts w:hint="eastAsia"/>
          <w:color w:val="auto"/>
          <w:highlight w:val="none"/>
        </w:rPr>
      </w:r>
      <w:r/>
    </w:p>
    <w:p>
      <w:pPr>
        <w:ind w:right="180" w:firstLine="360"/>
        <w:jc w:val="center"/>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240" w:lineRule="atLeast"/>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240" w:lineRule="atLeast"/>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24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服务由中小企业承接，即提供服务的人员为中小企业依照《中华人民共和国劳动合同法》订立劳动合同的从业人员)，不对其中涉及的货物的制造商、工程的承建商作出要求。</w:t>
      </w:r>
      <w:r/>
    </w:p>
    <w:p>
      <w:pPr>
        <w:jc w:val="left"/>
        <w:spacing w:line="360" w:lineRule="auto"/>
        <w:rPr>
          <w:rFonts w:hint="eastAsia" w:ascii="黑体" w:hAnsi="黑体" w:eastAsia="黑体"/>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rPr>
        <w:t xml:space="preserve">十、</w:t>
      </w:r>
      <w:r>
        <w:rPr>
          <w:rFonts w:hint="eastAsia" w:ascii="黑体" w:hAnsi="黑体" w:eastAsia="黑体"/>
          <w:color w:val="auto"/>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6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color w:val="auto"/>
          <w:highlight w:val="none"/>
        </w:rPr>
      </w:pPr>
      <w:r>
        <w:rPr>
          <w:rFonts w:hint="eastAsia"/>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1.供应商如不提供此声明函，价格将不做相应扣除。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2.成交供应商为残疾人福利性单位的，此声明函将随成交结果同时公告，接受社会监督。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十一、联合体协议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.若我们联合成交，</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3.除另有说明外，本采购文件要求加盖电子公章之处，加盖牵头单位的电子公章即可。</w:t>
      </w:r>
      <w:r/>
    </w:p>
    <w:p>
      <w:pPr>
        <w:pStyle w:val="952"/>
        <w:ind w:firstLine="480"/>
        <w:rPr>
          <w:rFonts w:hint="eastAsia"/>
          <w:color w:val="auto"/>
          <w:sz w:val="24"/>
          <w:highlight w:val="none"/>
        </w:rPr>
      </w:pPr>
      <w:r>
        <w:rPr>
          <w:rFonts w:hint="eastAsia"/>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645"/>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645"/>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961"/>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961"/>
        <w:rPr>
          <w:rFonts w:hint="eastAsia"/>
          <w:color w:val="auto"/>
          <w:highlight w:val="none"/>
        </w:rPr>
      </w:pPr>
      <w:r>
        <w:rPr>
          <w:rFonts w:hint="eastAsia"/>
          <w:color w:val="auto"/>
          <w:highlight w:val="none"/>
        </w:rPr>
      </w:r>
      <w:r/>
    </w:p>
    <w:p>
      <w:pPr>
        <w:jc w:val="left"/>
        <w:spacing w:line="360" w:lineRule="auto"/>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十二、分包承诺书</w:t>
      </w:r>
      <w:r/>
    </w:p>
    <w:p>
      <w:pPr>
        <w:rPr>
          <w:rFonts w:hint="eastAsia"/>
          <w:color w:val="auto"/>
          <w:highlight w:val="none"/>
        </w:rPr>
      </w:pPr>
      <w:r>
        <w:rPr>
          <w:rFonts w:hint="eastAsia"/>
          <w:color w:val="auto"/>
          <w:highlight w:val="none"/>
        </w:rPr>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pPr>
      <w:r>
        <w:rPr>
          <w:rFonts w:hint="eastAsia" w:ascii="方正小标宋简体" w:hAnsi="方正小标宋简体" w:eastAsia="方正小标宋简体" w:cs="方正小标宋简体"/>
          <w:color w:val="auto"/>
          <w:sz w:val="32"/>
          <w:szCs w:val="32"/>
          <w:highlight w:val="none"/>
          <w:lang w:val="zh-CN"/>
        </w:rPr>
        <w:t xml:space="preserve">分包承诺书</w:t>
      </w:r>
      <w:r/>
    </w:p>
    <w:p>
      <w:pPr>
        <w:ind w:firstLine="2640"/>
        <w:spacing w:line="48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：（采购人名称）</w:t>
      </w:r>
      <w:r/>
    </w:p>
    <w:p>
      <w:pPr>
        <w:ind w:firstLine="480"/>
        <w:jc w:val="left"/>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（供应商名称）郑重承诺：</w:t>
      </w:r>
      <w:r/>
    </w:p>
    <w:p>
      <w:pPr>
        <w:ind w:firstLine="480"/>
        <w:jc w:val="left"/>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如我公司中标（成交）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（项目名称）项目，拟将项目中的</w:t>
      </w:r>
      <w:r/>
    </w:p>
    <w:p>
      <w:pPr>
        <w:jc w:val="left"/>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建设内容，分包给具有相应资质的供应商实施，并在签订合同时提供分包意向协议。</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80" w:firstLine="360"/>
        <w:jc w:val="right"/>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供应商名称：（加盖电子公章）</w:t>
      </w:r>
      <w:r/>
    </w:p>
    <w:p>
      <w:pPr>
        <w:jc w:val="cente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r>
      <w:r/>
    </w:p>
    <w:p>
      <w:pPr>
        <w:pStyle w:val="952"/>
        <w:ind w:firstLine="640"/>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r>
      <w:r/>
    </w:p>
    <w:p>
      <w:pP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r>
      <w:r/>
    </w:p>
    <w:p>
      <w:pPr>
        <w:pStyle w:val="952"/>
        <w:ind w:firstLine="640"/>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r>
      <w:r/>
    </w:p>
    <w:p>
      <w:pP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r>
      <w:r/>
    </w:p>
    <w:p>
      <w:pPr>
        <w:pStyle w:val="952"/>
        <w:ind w:firstLine="640"/>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r>
      <w:r/>
    </w:p>
    <w:p>
      <w:pP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r>
      <w:r/>
    </w:p>
    <w:p>
      <w:pPr>
        <w:jc w:val="left"/>
        <w:spacing w:line="360" w:lineRule="auto"/>
        <w:rPr>
          <w:rFonts w:hint="eastAsia" w:ascii="宋体" w:hAnsi="宋体"/>
          <w:color w:val="auto"/>
          <w:sz w:val="24"/>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黑体" w:hAnsi="黑体" w:eastAsia="黑体"/>
          <w:color w:val="auto"/>
          <w:sz w:val="32"/>
          <w:szCs w:val="32"/>
          <w:highlight w:val="none"/>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946"/>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46"/>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958"/>
          <w:rFonts w:hint="eastAsia"/>
          <w:i w:val="0"/>
          <w:color w:val="auto"/>
          <w:highlight w:val="none"/>
          <w:u w:val="single"/>
          <w:shd w:val="clear" w:color="auto" w:fill="ffffff"/>
        </w:rPr>
        <w:t xml:space="preserve">（产品名称1）</w:t>
      </w:r>
      <w:r>
        <w:rPr>
          <w:rStyle w:val="958"/>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958"/>
          <w:rFonts w:hint="eastAsia"/>
          <w:i w:val="0"/>
          <w:color w:val="auto"/>
          <w:highlight w:val="none"/>
          <w:u w:val="single"/>
          <w:shd w:val="clear" w:color="auto" w:fill="ffffff"/>
        </w:rPr>
        <w:t xml:space="preserve">（厂名）</w:t>
      </w:r>
      <w:r>
        <w:rPr>
          <w:rStyle w:val="958"/>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58"/>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58"/>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958"/>
          <w:rFonts w:hint="eastAsia"/>
          <w:i w:val="0"/>
          <w:color w:val="auto"/>
          <w:highlight w:val="none"/>
          <w:u w:val="single"/>
          <w:shd w:val="clear" w:color="auto" w:fill="ffffff"/>
        </w:rPr>
        <w:t xml:space="preserve">（规定比例）</w:t>
      </w:r>
      <w:r>
        <w:rPr>
          <w:rStyle w:val="958"/>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58"/>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58"/>
          <w:rFonts w:hint="eastAsia"/>
          <w:i w:val="0"/>
          <w:color w:val="auto"/>
          <w:highlight w:val="none"/>
          <w:u w:val="single"/>
          <w:shd w:val="clear" w:color="auto" w:fill="ffffff"/>
        </w:rPr>
        <w:t xml:space="preserve">（关键组件）</w:t>
      </w:r>
      <w:r>
        <w:rPr>
          <w:rStyle w:val="958"/>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58"/>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58"/>
          <w:rFonts w:hint="eastAsia"/>
          <w:i w:val="0"/>
          <w:color w:val="auto"/>
          <w:highlight w:val="none"/>
          <w:u w:val="single"/>
          <w:shd w:val="clear" w:color="auto" w:fill="ffffff"/>
        </w:rPr>
        <w:t xml:space="preserve">（关键工序）</w:t>
      </w:r>
      <w:r>
        <w:rPr>
          <w:rStyle w:val="958"/>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946"/>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w:t>
      </w:r>
      <w:r>
        <w:rPr>
          <w:rStyle w:val="958"/>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58"/>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58"/>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58"/>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58"/>
          <w:rFonts w:hint="eastAsia"/>
          <w:i w:val="0"/>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58"/>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58"/>
          <w:rFonts w:hint="eastAsia"/>
          <w:i w:val="0"/>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58"/>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58"/>
          <w:rFonts w:hint="eastAsia"/>
          <w:i w:val="0"/>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946"/>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946"/>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以上产品成本之和</w:t>
      </w:r>
      <w:r>
        <w:rPr>
          <w:rFonts w:ascii="Wingdings" w:hAnsi="Wingdings" w:eastAsia="Wingdings" w:cs="Wingdings"/>
          <w:color w:val="auto"/>
          <w:highlight w:val="none"/>
        </w:rPr>
        <w:t xml:space="preserve">¨</w:t>
      </w:r>
      <w:r>
        <w:rPr>
          <w:rFonts w:hint="eastAsia"/>
          <w:color w:val="auto"/>
          <w:highlight w:val="none"/>
          <w:shd w:val="clear" w:color="auto" w:fill="ffffff"/>
        </w:rPr>
        <w:t xml:space="preserve">是</w:t>
      </w:r>
      <w:r>
        <w:rPr>
          <w:rFonts w:ascii="Wingdings" w:hAnsi="Wingdings" w:eastAsia="Wingdings" w:cs="Wingdings"/>
          <w:color w:val="auto"/>
          <w:highlight w:val="none"/>
        </w:rPr>
        <w:t xml:space="preserve">¨</w:t>
      </w:r>
      <w:r>
        <w:rPr>
          <w:rFonts w:hint="eastAsia"/>
          <w:color w:val="auto"/>
          <w:highlight w:val="none"/>
          <w:shd w:val="clear" w:color="auto" w:fill="ffffff"/>
        </w:rPr>
        <w:t xml:space="preserve">否达到本公司(单位)提供的全部产品成本之和的80%以上。</w:t>
      </w:r>
      <w:r/>
    </w:p>
    <w:p>
      <w:pPr>
        <w:pStyle w:val="946"/>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946"/>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946"/>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946"/>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946"/>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946"/>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946"/>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w:t>
      </w:r>
      <w:r/>
    </w:p>
    <w:p>
      <w:pPr>
        <w:pStyle w:val="946"/>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w:t>
      </w:r>
      <w:r/>
    </w:p>
    <w:p>
      <w:pPr>
        <w:pStyle w:val="946"/>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w:t>
      </w:r>
      <w:r/>
    </w:p>
    <w:p>
      <w:pPr>
        <w:pStyle w:val="946"/>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6.当采购项目或者采购包中含有多种产品，供应商未对提供的符合本国产品标准的产品成本之和占全</w:t>
      </w:r>
      <w:r/>
    </w:p>
    <w:p>
      <w:pPr>
        <w:pStyle w:val="946"/>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部产品成本之和的比例达到 80%以上作出承诺的，将不享受本国产品价格评审优惠。</w:t>
      </w:r>
      <w:r/>
    </w:p>
    <w:p>
      <w:pPr>
        <w:pStyle w:val="961"/>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pStyle w:val="732"/>
        <w:rPr>
          <w:rFonts w:hint="eastAsia"/>
          <w:color w:val="auto"/>
          <w:highlight w:val="none"/>
        </w:rPr>
      </w:pPr>
      <w:r>
        <w:rPr>
          <w:rFonts w:hint="eastAsia"/>
          <w:color w:val="auto"/>
          <w:highlight w:val="none"/>
        </w:rPr>
      </w:r>
      <w:r/>
    </w:p>
    <w:p>
      <w:pPr>
        <w:pStyle w:val="732"/>
        <w:rPr>
          <w:rFonts w:hint="eastAsia"/>
          <w:color w:val="auto"/>
          <w:highlight w:val="none"/>
        </w:rPr>
      </w:pPr>
      <w:r>
        <w:rPr>
          <w:rFonts w:hint="eastAsia"/>
          <w:color w:val="auto"/>
          <w:highlight w:val="none"/>
        </w:rPr>
      </w:r>
      <w:r/>
    </w:p>
    <w:p>
      <w:pPr>
        <w:pStyle w:val="732"/>
        <w:rPr>
          <w:rFonts w:hint="eastAsia"/>
          <w:color w:val="auto"/>
          <w:highlight w:val="none"/>
        </w:rPr>
      </w:pPr>
      <w:r>
        <w:rPr>
          <w:rFonts w:hint="eastAsia"/>
          <w:color w:val="auto"/>
          <w:highlight w:val="none"/>
        </w:rPr>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３８</w:t>
    </w:r>
    <w:r>
      <w:rPr>
        <w:rFonts w:ascii="宋体" w:hAnsi="宋体"/>
      </w:rPr>
      <w:fldChar w:fldCharType="end"/>
    </w:r>
    <w:r/>
  </w:p>
  <w:p>
    <w:pPr>
      <w:pStyle w:val="93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9"/>
      <w:isLgl w:val="false"/>
      <w:suff w:val="nothing"/>
      <w:lvlText w:val=""/>
      <w:lvlJc w:val="left"/>
      <w:pPr>
        <w:ind w:left="0" w:firstLine="0"/>
      </w:pPr>
      <w:rPr>
        <w:rFonts w:hint="eastAsia"/>
      </w:rPr>
    </w:lvl>
    <w:lvl w:ilvl="6">
      <w:start w:val="1"/>
      <w:numFmt w:val="decimal"/>
      <w:pStyle w:val="890"/>
      <w:isLgl w:val="false"/>
      <w:suff w:val="nothing"/>
      <w:lvlText w:val=""/>
      <w:lvlJc w:val="left"/>
      <w:pPr>
        <w:ind w:left="0" w:firstLine="0"/>
      </w:pPr>
      <w:rPr>
        <w:rFonts w:hint="eastAsia"/>
      </w:rPr>
    </w:lvl>
    <w:lvl w:ilvl="7">
      <w:start w:val="1"/>
      <w:numFmt w:val="decimal"/>
      <w:pStyle w:val="891"/>
      <w:isLgl w:val="false"/>
      <w:suff w:val="nothing"/>
      <w:lvlText w:val=""/>
      <w:lvlJc w:val="left"/>
      <w:pPr>
        <w:ind w:left="0" w:firstLine="0"/>
      </w:pPr>
      <w:rPr>
        <w:rFonts w:hint="eastAsia"/>
      </w:rPr>
    </w:lvl>
    <w:lvl w:ilvl="8">
      <w:start w:val="1"/>
      <w:numFmt w:val="decimal"/>
      <w:pStyle w:val="892"/>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8">
    <w:multiLevelType w:val="hybridMultilevel"/>
    <w:lvl w:ilvl="0">
      <w:start w:val="1"/>
      <w:numFmt w:val="decimal"/>
      <w:pStyle w:val="9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2"/>
  </w:num>
  <w:num w:numId="3">
    <w:abstractNumId w:val="8"/>
  </w:num>
  <w:num w:numId="4">
    <w:abstractNumId w:val="1"/>
  </w:num>
  <w:num w:numId="5">
    <w:abstractNumId w:val="3"/>
  </w:num>
  <w:num w:numId="6">
    <w:abstractNumId w:val="0"/>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link w:val="100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link w:val="735"/>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6"/>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37"/>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38"/>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39"/>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0"/>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2"/>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3"/>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Body Text"/>
    <w:basedOn w:val="698"/>
    <w:uiPriority w:val="0"/>
    <w:semiHidden/>
    <w:qFormat/>
    <w:rPr>
      <w:rFonts w:ascii="仿宋" w:hAnsi="仿宋" w:eastAsia="仿宋" w:cs="仿宋"/>
      <w:sz w:val="24"/>
      <w:szCs w:val="24"/>
      <w:lang w:val="en-US" w:eastAsia="en-US" w:bidi="ar-SA"/>
    </w:rPr>
  </w:style>
  <w:style w:type="paragraph" w:styleId="713">
    <w:name w:val="toc 5"/>
    <w:basedOn w:val="698"/>
    <w:next w:val="698"/>
    <w:uiPriority w:val="39"/>
    <w:unhideWhenUsed/>
    <w:qFormat/>
    <w:pPr>
      <w:ind w:left="1134" w:right="0" w:firstLine="0"/>
      <w:spacing w:after="57"/>
    </w:pPr>
  </w:style>
  <w:style w:type="paragraph" w:styleId="714">
    <w:name w:val="toc 3"/>
    <w:basedOn w:val="698"/>
    <w:next w:val="698"/>
    <w:uiPriority w:val="39"/>
    <w:unhideWhenUsed/>
    <w:qFormat/>
    <w:pPr>
      <w:ind w:left="567" w:right="0" w:firstLine="0"/>
      <w:spacing w:after="57"/>
    </w:pPr>
  </w:style>
  <w:style w:type="paragraph" w:styleId="715">
    <w:name w:val="toc 8"/>
    <w:basedOn w:val="698"/>
    <w:next w:val="698"/>
    <w:uiPriority w:val="39"/>
    <w:unhideWhenUsed/>
    <w:qFormat/>
    <w:pPr>
      <w:ind w:left="1984" w:right="0" w:firstLine="0"/>
      <w:spacing w:after="57"/>
    </w:pPr>
  </w:style>
  <w:style w:type="paragraph" w:styleId="716">
    <w:name w:val="endnote text"/>
    <w:basedOn w:val="698"/>
    <w:link w:val="881"/>
    <w:uiPriority w:val="99"/>
    <w:semiHidden/>
    <w:unhideWhenUsed/>
    <w:qFormat/>
    <w:pPr>
      <w:spacing w:after="0" w:line="240" w:lineRule="auto"/>
    </w:pPr>
    <w:rPr>
      <w:sz w:val="20"/>
    </w:rPr>
  </w:style>
  <w:style w:type="paragraph" w:styleId="717">
    <w:name w:val="Footer"/>
    <w:basedOn w:val="698"/>
    <w:link w:val="754"/>
    <w:uiPriority w:val="99"/>
    <w:unhideWhenUsed/>
    <w:qFormat/>
    <w:pPr>
      <w:spacing w:after="0" w:line="240" w:lineRule="auto"/>
      <w:tabs>
        <w:tab w:val="center" w:pos="7143" w:leader="none"/>
        <w:tab w:val="right" w:pos="14287" w:leader="none"/>
      </w:tabs>
    </w:pPr>
  </w:style>
  <w:style w:type="paragraph" w:styleId="718">
    <w:name w:val="Header"/>
    <w:basedOn w:val="698"/>
    <w:link w:val="752"/>
    <w:uiPriority w:val="99"/>
    <w:unhideWhenUsed/>
    <w:qFormat/>
    <w:pPr>
      <w:spacing w:after="0" w:line="240" w:lineRule="auto"/>
      <w:tabs>
        <w:tab w:val="center" w:pos="7143" w:leader="none"/>
        <w:tab w:val="right" w:pos="14287" w:leader="none"/>
      </w:tabs>
    </w:pPr>
  </w:style>
  <w:style w:type="paragraph" w:styleId="719">
    <w:name w:val="toc 1"/>
    <w:basedOn w:val="698"/>
    <w:next w:val="698"/>
    <w:uiPriority w:val="39"/>
    <w:unhideWhenUsed/>
    <w:qFormat/>
    <w:pPr>
      <w:ind w:left="0" w:right="0" w:firstLine="0"/>
      <w:spacing w:after="57"/>
    </w:pPr>
  </w:style>
  <w:style w:type="paragraph" w:styleId="720">
    <w:name w:val="toc 4"/>
    <w:basedOn w:val="698"/>
    <w:next w:val="698"/>
    <w:uiPriority w:val="39"/>
    <w:unhideWhenUsed/>
    <w:qFormat/>
    <w:pPr>
      <w:ind w:left="850" w:right="0" w:firstLine="0"/>
      <w:spacing w:after="57"/>
    </w:pPr>
  </w:style>
  <w:style w:type="paragraph" w:styleId="721">
    <w:name w:val="Subtitle"/>
    <w:basedOn w:val="698"/>
    <w:next w:val="698"/>
    <w:link w:val="747"/>
    <w:uiPriority w:val="11"/>
    <w:qFormat/>
    <w:pPr>
      <w:spacing w:before="200" w:after="200"/>
    </w:pPr>
    <w:rPr>
      <w:sz w:val="24"/>
      <w:szCs w:val="24"/>
    </w:rPr>
  </w:style>
  <w:style w:type="paragraph" w:styleId="722">
    <w:name w:val="footnote text"/>
    <w:basedOn w:val="698"/>
    <w:link w:val="880"/>
    <w:uiPriority w:val="99"/>
    <w:semiHidden/>
    <w:unhideWhenUsed/>
    <w:qFormat/>
    <w:pPr>
      <w:spacing w:after="40" w:line="240" w:lineRule="auto"/>
    </w:pPr>
    <w:rPr>
      <w:sz w:val="18"/>
    </w:rPr>
  </w:style>
  <w:style w:type="paragraph" w:styleId="723">
    <w:name w:val="toc 6"/>
    <w:basedOn w:val="698"/>
    <w:next w:val="698"/>
    <w:uiPriority w:val="39"/>
    <w:unhideWhenUsed/>
    <w:pPr>
      <w:ind w:left="1417" w:right="0" w:firstLine="0"/>
      <w:spacing w:after="57"/>
    </w:pPr>
  </w:style>
  <w:style w:type="paragraph" w:styleId="724">
    <w:name w:val="table of figures"/>
    <w:basedOn w:val="698"/>
    <w:next w:val="698"/>
    <w:uiPriority w:val="99"/>
    <w:unhideWhenUsed/>
    <w:pPr>
      <w:spacing w:after="0" w:afterAutospacing="0"/>
    </w:pPr>
  </w:style>
  <w:style w:type="paragraph" w:styleId="725">
    <w:name w:val="toc 2"/>
    <w:basedOn w:val="698"/>
    <w:next w:val="698"/>
    <w:uiPriority w:val="39"/>
    <w:unhideWhenUsed/>
    <w:pPr>
      <w:ind w:left="283" w:right="0" w:firstLine="0"/>
      <w:spacing w:after="57"/>
    </w:pPr>
  </w:style>
  <w:style w:type="paragraph" w:styleId="726">
    <w:name w:val="toc 9"/>
    <w:basedOn w:val="698"/>
    <w:next w:val="698"/>
    <w:uiPriority w:val="39"/>
    <w:unhideWhenUsed/>
    <w:pPr>
      <w:ind w:left="2268" w:right="0" w:firstLine="0"/>
      <w:spacing w:after="57"/>
    </w:pPr>
  </w:style>
  <w:style w:type="paragraph" w:styleId="727">
    <w:name w:val="Title"/>
    <w:basedOn w:val="698"/>
    <w:next w:val="698"/>
    <w:link w:val="746"/>
    <w:uiPriority w:val="10"/>
    <w:qFormat/>
    <w:pPr>
      <w:contextualSpacing/>
      <w:spacing w:before="300" w:after="200"/>
    </w:pPr>
    <w:rPr>
      <w:sz w:val="48"/>
      <w:szCs w:val="48"/>
    </w:rPr>
  </w:style>
  <w:style w:type="table" w:styleId="728">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semiHidden/>
    <w:unhideWhenUsed/>
    <w:rPr>
      <w:vertAlign w:val="superscript"/>
    </w:rPr>
  </w:style>
  <w:style w:type="character" w:styleId="730">
    <w:name w:val="Hyperlink"/>
    <w:uiPriority w:val="99"/>
    <w:unhideWhenUsed/>
    <w:rPr>
      <w:color w:val="0000ff" w:themeColor="hyperlink"/>
      <w:u w:val="single"/>
      <w14:textFill>
        <w14:solidFill>
          <w14:schemeClr w14:val="hlink"/>
        </w14:solidFill>
      </w14:textFill>
    </w:rPr>
  </w:style>
  <w:style w:type="character" w:styleId="731">
    <w:name w:val="footnote reference"/>
    <w:uiPriority w:val="99"/>
    <w:unhideWhenUsed/>
    <w:rPr>
      <w:vertAlign w:val="superscript"/>
    </w:rPr>
  </w:style>
  <w:style w:type="paragraph" w:styleId="732" w:customStyle="1">
    <w:name w:val="正文首行缩进 21"/>
    <w:basedOn w:val="733"/>
    <w:next w:val="698"/>
    <w:uiPriority w:val="0"/>
    <w:qFormat/>
    <w:pPr>
      <w:ind w:left="0" w:firstLine="420"/>
      <w:spacing w:after="0" w:line="360" w:lineRule="auto"/>
    </w:pPr>
    <w:rPr>
      <w:rFonts w:ascii="宋体" w:hAnsi="宋体" w:eastAsia="宋体" w:cs="Times New Roman"/>
      <w:szCs w:val="20"/>
    </w:rPr>
  </w:style>
  <w:style w:type="paragraph" w:styleId="733" w:customStyle="1">
    <w:name w:val="正文文本缩进11"/>
    <w:basedOn w:val="698"/>
    <w:next w:val="734"/>
    <w:uiPriority w:val="0"/>
    <w:unhideWhenUsed/>
    <w:qFormat/>
    <w:pPr>
      <w:ind w:left="420"/>
      <w:spacing w:after="120"/>
    </w:pPr>
  </w:style>
  <w:style w:type="paragraph" w:styleId="734" w:customStyle="1">
    <w:name w:val="寄信人地址1"/>
    <w:basedOn w:val="698"/>
    <w:uiPriority w:val="0"/>
    <w:qFormat/>
    <w:rPr>
      <w:rFonts w:ascii="Arial" w:hAnsi="Arial" w:eastAsia="宋体" w:cs="宋体"/>
    </w:rPr>
  </w:style>
  <w:style w:type="character" w:styleId="735" w:customStyle="1">
    <w:name w:val="Heading 1 Char"/>
    <w:link w:val="699"/>
    <w:uiPriority w:val="9"/>
    <w:rPr>
      <w:rFonts w:ascii="Arial" w:hAnsi="Arial" w:eastAsia="Arial" w:cs="Arial"/>
      <w:sz w:val="40"/>
      <w:szCs w:val="40"/>
    </w:rPr>
  </w:style>
  <w:style w:type="character" w:styleId="736" w:customStyle="1">
    <w:name w:val="Heading 2 Char"/>
    <w:link w:val="700"/>
    <w:uiPriority w:val="9"/>
    <w:rPr>
      <w:rFonts w:ascii="Arial" w:hAnsi="Arial" w:eastAsia="Arial" w:cs="Arial"/>
      <w:sz w:val="34"/>
    </w:rPr>
  </w:style>
  <w:style w:type="character" w:styleId="737" w:customStyle="1">
    <w:name w:val="Heading 3 Char"/>
    <w:link w:val="701"/>
    <w:uiPriority w:val="9"/>
    <w:rPr>
      <w:rFonts w:ascii="Arial" w:hAnsi="Arial" w:eastAsia="Arial" w:cs="Arial"/>
      <w:sz w:val="30"/>
      <w:szCs w:val="30"/>
    </w:rPr>
  </w:style>
  <w:style w:type="character" w:styleId="738" w:customStyle="1">
    <w:name w:val="Heading 4 Char"/>
    <w:link w:val="702"/>
    <w:uiPriority w:val="9"/>
    <w:rPr>
      <w:rFonts w:ascii="Arial" w:hAnsi="Arial" w:eastAsia="Arial" w:cs="Arial"/>
      <w:b/>
      <w:bCs/>
      <w:sz w:val="26"/>
      <w:szCs w:val="26"/>
    </w:rPr>
  </w:style>
  <w:style w:type="character" w:styleId="739" w:customStyle="1">
    <w:name w:val="Heading 5 Char"/>
    <w:link w:val="703"/>
    <w:uiPriority w:val="9"/>
    <w:rPr>
      <w:rFonts w:ascii="Arial" w:hAnsi="Arial" w:eastAsia="Arial" w:cs="Arial"/>
      <w:b/>
      <w:bCs/>
      <w:sz w:val="24"/>
      <w:szCs w:val="24"/>
    </w:rPr>
  </w:style>
  <w:style w:type="character" w:styleId="740" w:customStyle="1">
    <w:name w:val="Heading 6 Char"/>
    <w:link w:val="704"/>
    <w:uiPriority w:val="9"/>
    <w:rPr>
      <w:rFonts w:ascii="Arial" w:hAnsi="Arial" w:eastAsia="Arial" w:cs="Arial"/>
      <w:b/>
      <w:bCs/>
      <w:sz w:val="22"/>
      <w:szCs w:val="22"/>
    </w:rPr>
  </w:style>
  <w:style w:type="character" w:styleId="741" w:customStyle="1">
    <w:name w:val="Heading 7 Char"/>
    <w:link w:val="705"/>
    <w:uiPriority w:val="9"/>
    <w:rPr>
      <w:rFonts w:ascii="Arial" w:hAnsi="Arial" w:eastAsia="Arial" w:cs="Arial"/>
      <w:b/>
      <w:bCs/>
      <w:i/>
      <w:iCs/>
      <w:sz w:val="22"/>
      <w:szCs w:val="22"/>
    </w:rPr>
  </w:style>
  <w:style w:type="character" w:styleId="742" w:customStyle="1">
    <w:name w:val="Heading 8 Char"/>
    <w:link w:val="706"/>
    <w:uiPriority w:val="9"/>
    <w:rPr>
      <w:rFonts w:ascii="Arial" w:hAnsi="Arial" w:eastAsia="Arial" w:cs="Arial"/>
      <w:i/>
      <w:iCs/>
      <w:sz w:val="22"/>
      <w:szCs w:val="22"/>
    </w:rPr>
  </w:style>
  <w:style w:type="character" w:styleId="743" w:customStyle="1">
    <w:name w:val="Heading 9 Char"/>
    <w:link w:val="707"/>
    <w:uiPriority w:val="9"/>
    <w:rPr>
      <w:rFonts w:ascii="Arial" w:hAnsi="Arial" w:eastAsia="Arial" w:cs="Arial"/>
      <w:i/>
      <w:iCs/>
      <w:sz w:val="21"/>
      <w:szCs w:val="21"/>
    </w:rPr>
  </w:style>
  <w:style w:type="paragraph" w:styleId="744">
    <w:name w:val="List Paragraph"/>
    <w:basedOn w:val="698"/>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27"/>
    <w:uiPriority w:val="10"/>
    <w:rPr>
      <w:sz w:val="48"/>
      <w:szCs w:val="48"/>
    </w:rPr>
  </w:style>
  <w:style w:type="character" w:styleId="747" w:customStyle="1">
    <w:name w:val="Subtitle Char"/>
    <w:link w:val="721"/>
    <w:uiPriority w:val="11"/>
    <w:rPr>
      <w:sz w:val="24"/>
      <w:szCs w:val="24"/>
    </w:rPr>
  </w:style>
  <w:style w:type="paragraph" w:styleId="748">
    <w:name w:val="Quote"/>
    <w:basedOn w:val="698"/>
    <w:next w:val="698"/>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98"/>
    <w:next w:val="698"/>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rPr>
      <w:i/>
    </w:rPr>
  </w:style>
  <w:style w:type="character" w:styleId="752" w:customStyle="1">
    <w:name w:val="Header Char"/>
    <w:link w:val="718"/>
    <w:uiPriority w:val="99"/>
    <w:qFormat/>
  </w:style>
  <w:style w:type="character" w:styleId="753" w:customStyle="1">
    <w:name w:val="Footer Char"/>
    <w:link w:val="717"/>
    <w:uiPriority w:val="99"/>
  </w:style>
  <w:style w:type="character" w:styleId="754" w:customStyle="1">
    <w:name w:val="Caption Char"/>
    <w:link w:val="717"/>
    <w:uiPriority w:val="99"/>
    <w:qFormat/>
  </w:style>
  <w:style w:type="table" w:styleId="75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2"/>
    <w:uiPriority w:val="99"/>
    <w:rPr>
      <w:sz w:val="18"/>
    </w:rPr>
  </w:style>
  <w:style w:type="character" w:styleId="881" w:customStyle="1">
    <w:name w:val="Endnote Text Char"/>
    <w:link w:val="716"/>
    <w:uiPriority w:val="99"/>
    <w:rPr>
      <w:sz w:val="20"/>
    </w:rPr>
  </w:style>
  <w:style w:type="paragraph" w:styleId="882" w:customStyle="1">
    <w:name w:val="TOC Heading"/>
    <w:uiPriority w:val="39"/>
    <w:unhideWhenUsed/>
    <w:rPr>
      <w:rFonts w:hint="default" w:ascii="Times New Roman" w:hAnsi="Times New Roman" w:eastAsia="宋体" w:cs="Times New Roman"/>
    </w:rPr>
  </w:style>
  <w:style w:type="paragraph" w:styleId="883" w:customStyle="1">
    <w:name w:val="标题 11"/>
    <w:basedOn w:val="698"/>
    <w:next w:val="698"/>
    <w:link w:val="895"/>
    <w:uiPriority w:val="0"/>
    <w:qFormat/>
    <w:pPr>
      <w:jc w:val="center"/>
      <w:keepNext/>
      <w:outlineLvl w:val="0"/>
    </w:pPr>
    <w:rPr>
      <w:rFonts w:ascii="楷体_GB2312" w:hAnsi="Times New Roman" w:eastAsia="楷体_GB2312" w:cs="Times New Roman"/>
      <w:sz w:val="28"/>
      <w:szCs w:val="28"/>
    </w:rPr>
  </w:style>
  <w:style w:type="paragraph" w:styleId="884" w:customStyle="1">
    <w:name w:val="标题 21"/>
    <w:basedOn w:val="698"/>
    <w:next w:val="885"/>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5" w:customStyle="1">
    <w:name w:val="正文缩进1"/>
    <w:basedOn w:val="698"/>
    <w:link w:val="897"/>
    <w:uiPriority w:val="0"/>
    <w:qFormat/>
    <w:pPr>
      <w:ind w:firstLine="420"/>
    </w:pPr>
    <w:rPr>
      <w:szCs w:val="21"/>
    </w:rPr>
  </w:style>
  <w:style w:type="paragraph" w:styleId="886" w:customStyle="1">
    <w:name w:val="标题 31"/>
    <w:basedOn w:val="698"/>
    <w:next w:val="885"/>
    <w:link w:val="8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7" w:customStyle="1">
    <w:name w:val="标题 41"/>
    <w:basedOn w:val="698"/>
    <w:next w:val="885"/>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88" w:customStyle="1">
    <w:name w:val="标题 51"/>
    <w:basedOn w:val="698"/>
    <w:next w:val="885"/>
    <w:link w:val="900"/>
    <w:uiPriority w:val="0"/>
    <w:qFormat/>
    <w:pPr>
      <w:keepNext/>
      <w:outlineLvl w:val="4"/>
    </w:pPr>
    <w:rPr>
      <w:rFonts w:ascii="宋体" w:hAnsi="Times New Roman" w:eastAsia="宋体" w:cs="Times New Roman"/>
      <w:color w:val="000000"/>
      <w:sz w:val="28"/>
      <w:szCs w:val="28"/>
    </w:rPr>
  </w:style>
  <w:style w:type="paragraph" w:styleId="889" w:customStyle="1">
    <w:name w:val="标题 61"/>
    <w:basedOn w:val="698"/>
    <w:next w:val="698"/>
    <w:link w:val="90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0" w:customStyle="1">
    <w:name w:val="标题 71"/>
    <w:basedOn w:val="698"/>
    <w:next w:val="698"/>
    <w:link w:val="90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1" w:customStyle="1">
    <w:name w:val="标题 81"/>
    <w:basedOn w:val="698"/>
    <w:next w:val="698"/>
    <w:link w:val="9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2" w:customStyle="1">
    <w:name w:val="标题 91"/>
    <w:basedOn w:val="698"/>
    <w:next w:val="698"/>
    <w:link w:val="90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3" w:customStyle="1">
    <w:name w:val="默认段落字体1"/>
    <w:link w:val="698"/>
    <w:uiPriority w:val="1"/>
    <w:unhideWhenUsed/>
  </w:style>
  <w:style w:type="table" w:styleId="894" w:customStyle="1">
    <w:name w:val="普通表格11"/>
    <w:uiPriority w:val="99"/>
    <w:unhideWhenUsed/>
    <w:qFormat/>
    <w:tblPr/>
  </w:style>
  <w:style w:type="character" w:styleId="895" w:customStyle="1">
    <w:name w:val="标题 1 Char"/>
    <w:link w:val="883"/>
    <w:uiPriority w:val="0"/>
    <w:rPr>
      <w:rFonts w:ascii="楷体_GB2312" w:hAnsi="Times New Roman" w:eastAsia="楷体_GB2312" w:cs="Times New Roman"/>
      <w:sz w:val="28"/>
      <w:szCs w:val="28"/>
    </w:rPr>
  </w:style>
  <w:style w:type="character" w:styleId="896" w:customStyle="1">
    <w:name w:val="标题 2 Char"/>
    <w:link w:val="884"/>
    <w:uiPriority w:val="0"/>
    <w:qFormat/>
    <w:rPr>
      <w:rFonts w:ascii="Arial" w:hAnsi="Arial" w:eastAsia="幼圆" w:cs="Arial"/>
      <w:b/>
      <w:bCs/>
      <w:sz w:val="44"/>
      <w:szCs w:val="44"/>
    </w:rPr>
  </w:style>
  <w:style w:type="character" w:styleId="897" w:customStyle="1">
    <w:name w:val="正文缩进 Char"/>
    <w:link w:val="885"/>
    <w:uiPriority w:val="0"/>
    <w:qFormat/>
    <w:rPr>
      <w:szCs w:val="21"/>
    </w:rPr>
  </w:style>
  <w:style w:type="character" w:styleId="898" w:customStyle="1">
    <w:name w:val="标题 3 Char"/>
    <w:link w:val="886"/>
    <w:uiPriority w:val="0"/>
    <w:qFormat/>
    <w:rPr>
      <w:rFonts w:ascii="Times New Roman" w:hAnsi="Times New Roman" w:eastAsia="宋体" w:cs="Times New Roman"/>
      <w:b/>
      <w:bCs/>
      <w:sz w:val="32"/>
      <w:szCs w:val="32"/>
    </w:rPr>
  </w:style>
  <w:style w:type="character" w:styleId="899" w:customStyle="1">
    <w:name w:val="标题 4 Char"/>
    <w:link w:val="887"/>
    <w:uiPriority w:val="0"/>
    <w:qFormat/>
    <w:rPr>
      <w:rFonts w:ascii="Arial" w:hAnsi="Arial" w:eastAsia="黑体" w:cs="Arial"/>
      <w:b/>
      <w:bCs/>
      <w:sz w:val="28"/>
      <w:szCs w:val="28"/>
    </w:rPr>
  </w:style>
  <w:style w:type="character" w:styleId="900" w:customStyle="1">
    <w:name w:val="标题 5 Char"/>
    <w:link w:val="888"/>
    <w:uiPriority w:val="0"/>
    <w:qFormat/>
    <w:rPr>
      <w:rFonts w:ascii="宋体" w:hAnsi="Times New Roman" w:eastAsia="宋体" w:cs="Times New Roman"/>
      <w:color w:val="000000"/>
      <w:sz w:val="28"/>
      <w:szCs w:val="28"/>
    </w:rPr>
  </w:style>
  <w:style w:type="character" w:styleId="901" w:customStyle="1">
    <w:name w:val="标题 6 Char"/>
    <w:link w:val="889"/>
    <w:uiPriority w:val="0"/>
    <w:qFormat/>
    <w:rPr>
      <w:rFonts w:ascii="Arial" w:hAnsi="Arial" w:eastAsia="黑体" w:cs="Times New Roman"/>
      <w:b/>
      <w:bCs/>
      <w:sz w:val="24"/>
      <w:szCs w:val="24"/>
    </w:rPr>
  </w:style>
  <w:style w:type="character" w:styleId="902" w:customStyle="1">
    <w:name w:val="标题 7 Char"/>
    <w:link w:val="890"/>
    <w:uiPriority w:val="0"/>
    <w:qFormat/>
    <w:rPr>
      <w:rFonts w:ascii="Times New Roman" w:hAnsi="Times New Roman" w:eastAsia="宋体" w:cs="Times New Roman"/>
      <w:b/>
      <w:bCs/>
      <w:sz w:val="24"/>
      <w:szCs w:val="24"/>
    </w:rPr>
  </w:style>
  <w:style w:type="character" w:styleId="903" w:customStyle="1">
    <w:name w:val="标题 8 Char"/>
    <w:link w:val="891"/>
    <w:uiPriority w:val="0"/>
    <w:qFormat/>
    <w:rPr>
      <w:rFonts w:ascii="Arial" w:hAnsi="Arial" w:eastAsia="黑体" w:cs="Times New Roman"/>
      <w:sz w:val="24"/>
      <w:szCs w:val="24"/>
    </w:rPr>
  </w:style>
  <w:style w:type="character" w:styleId="904" w:customStyle="1">
    <w:name w:val="标题 9 Char"/>
    <w:link w:val="892"/>
    <w:uiPriority w:val="0"/>
    <w:qFormat/>
    <w:rPr>
      <w:rFonts w:ascii="Arial" w:hAnsi="Arial" w:eastAsia="黑体" w:cs="Times New Roman"/>
      <w:szCs w:val="21"/>
    </w:rPr>
  </w:style>
  <w:style w:type="paragraph" w:styleId="905" w:customStyle="1">
    <w:name w:val="列表 31"/>
    <w:basedOn w:val="698"/>
    <w:uiPriority w:val="0"/>
    <w:pPr>
      <w:ind w:left="100" w:hanging="200"/>
    </w:pPr>
    <w:rPr>
      <w:rFonts w:ascii="Times New Roman" w:hAnsi="Times New Roman" w:eastAsia="宋体" w:cs="Times New Roman"/>
      <w:szCs w:val="21"/>
    </w:rPr>
  </w:style>
  <w:style w:type="paragraph" w:styleId="906" w:customStyle="1">
    <w:name w:val="目录 71"/>
    <w:basedOn w:val="698"/>
    <w:next w:val="698"/>
    <w:uiPriority w:val="0"/>
    <w:semiHidden/>
    <w:pPr>
      <w:ind w:left="1260"/>
      <w:jc w:val="left"/>
    </w:pPr>
    <w:rPr>
      <w:rFonts w:ascii="Times New Roman" w:hAnsi="Times New Roman" w:eastAsia="宋体" w:cs="Times New Roman"/>
      <w:szCs w:val="21"/>
    </w:rPr>
  </w:style>
  <w:style w:type="paragraph" w:styleId="907" w:customStyle="1">
    <w:name w:val="文档结构图1"/>
    <w:basedOn w:val="698"/>
    <w:link w:val="908"/>
    <w:uiPriority w:val="0"/>
    <w:semiHidden/>
    <w:pPr>
      <w:shd w:val="clear" w:color="auto" w:fill="000080"/>
    </w:pPr>
    <w:rPr>
      <w:rFonts w:ascii="Times New Roman" w:hAnsi="Times New Roman" w:eastAsia="宋体" w:cs="Times New Roman"/>
      <w:szCs w:val="21"/>
    </w:rPr>
  </w:style>
  <w:style w:type="character" w:styleId="908" w:customStyle="1">
    <w:name w:val="文档结构图 Char"/>
    <w:link w:val="907"/>
    <w:uiPriority w:val="0"/>
    <w:semiHidden/>
    <w:qFormat/>
    <w:rPr>
      <w:rFonts w:ascii="Times New Roman" w:hAnsi="Times New Roman" w:eastAsia="宋体" w:cs="Times New Roman"/>
      <w:szCs w:val="21"/>
      <w:shd w:val="clear" w:color="auto" w:fill="000080"/>
    </w:rPr>
  </w:style>
  <w:style w:type="paragraph" w:styleId="909" w:customStyle="1">
    <w:name w:val="批注文字1"/>
    <w:basedOn w:val="698"/>
    <w:link w:val="910"/>
    <w:uiPriority w:val="0"/>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10" w:customStyle="1">
    <w:name w:val="批注文字 Char"/>
    <w:link w:val="909"/>
    <w:uiPriority w:val="0"/>
    <w:qFormat/>
  </w:style>
  <w:style w:type="paragraph" w:styleId="911" w:customStyle="1">
    <w:name w:val="正文文本 31"/>
    <w:basedOn w:val="698"/>
    <w:link w:val="912"/>
    <w:uiPriority w:val="0"/>
    <w:qFormat/>
    <w:rPr>
      <w:rFonts w:ascii="仿宋_GB2312" w:hAnsi="Arial" w:eastAsia="仿宋_GB2312" w:cs="Times New Roman"/>
      <w:sz w:val="32"/>
      <w:szCs w:val="32"/>
    </w:rPr>
  </w:style>
  <w:style w:type="character" w:styleId="912" w:customStyle="1">
    <w:name w:val="正文文本 3 Char"/>
    <w:link w:val="911"/>
    <w:uiPriority w:val="0"/>
    <w:qFormat/>
    <w:rPr>
      <w:rFonts w:ascii="仿宋_GB2312" w:hAnsi="Arial" w:eastAsia="仿宋_GB2312" w:cs="Times New Roman"/>
      <w:sz w:val="32"/>
      <w:szCs w:val="32"/>
    </w:rPr>
  </w:style>
  <w:style w:type="paragraph" w:styleId="913" w:customStyle="1">
    <w:name w:val="正文文本11"/>
    <w:basedOn w:val="698"/>
    <w:link w:val="914"/>
    <w:uiPriority w:val="0"/>
    <w:qFormat/>
    <w:rPr>
      <w:rFonts w:ascii="楷体_GB2312" w:hAnsi="Arial" w:eastAsia="楷体_GB2312" w:cs="Times New Roman"/>
      <w:sz w:val="28"/>
      <w:szCs w:val="28"/>
    </w:rPr>
  </w:style>
  <w:style w:type="character" w:styleId="914" w:customStyle="1">
    <w:name w:val="正文文本 Char"/>
    <w:link w:val="913"/>
    <w:uiPriority w:val="0"/>
    <w:qFormat/>
    <w:rPr>
      <w:rFonts w:ascii="楷体_GB2312" w:hAnsi="Arial" w:eastAsia="楷体_GB2312" w:cs="Times New Roman"/>
      <w:sz w:val="28"/>
      <w:szCs w:val="28"/>
    </w:rPr>
  </w:style>
  <w:style w:type="paragraph" w:styleId="915" w:customStyle="1">
    <w:name w:val="正文文本缩进12"/>
    <w:basedOn w:val="698"/>
    <w:next w:val="916"/>
    <w:link w:val="917"/>
    <w:uiPriority w:val="0"/>
    <w:unhideWhenUsed/>
    <w:qFormat/>
    <w:pPr>
      <w:ind w:left="420"/>
      <w:spacing w:after="120"/>
    </w:pPr>
  </w:style>
  <w:style w:type="paragraph" w:styleId="916" w:customStyle="1">
    <w:name w:val="寄信人地址2"/>
    <w:basedOn w:val="698"/>
    <w:uiPriority w:val="0"/>
    <w:qFormat/>
    <w:rPr>
      <w:rFonts w:ascii="Arial" w:hAnsi="Arial" w:eastAsia="宋体" w:cs="宋体"/>
    </w:rPr>
  </w:style>
  <w:style w:type="character" w:styleId="917" w:customStyle="1">
    <w:name w:val="正文文本缩进 Char"/>
    <w:link w:val="915"/>
    <w:uiPriority w:val="99"/>
    <w:semiHidden/>
    <w:qFormat/>
  </w:style>
  <w:style w:type="paragraph" w:styleId="918" w:customStyle="1">
    <w:name w:val="列表 21"/>
    <w:basedOn w:val="698"/>
    <w:uiPriority w:val="0"/>
    <w:qFormat/>
    <w:pPr>
      <w:ind w:left="100" w:hanging="200"/>
    </w:pPr>
    <w:rPr>
      <w:rFonts w:ascii="Times New Roman" w:hAnsi="Times New Roman" w:eastAsia="宋体" w:cs="Times New Roman"/>
      <w:szCs w:val="21"/>
    </w:rPr>
  </w:style>
  <w:style w:type="paragraph" w:styleId="919" w:customStyle="1">
    <w:name w:val="索引 411"/>
    <w:basedOn w:val="698"/>
    <w:next w:val="698"/>
    <w:uiPriority w:val="0"/>
    <w:semiHidden/>
    <w:qFormat/>
    <w:pPr>
      <w:ind w:left="1260"/>
    </w:pPr>
    <w:rPr>
      <w:rFonts w:ascii="Calibri" w:hAnsi="Calibri" w:eastAsia="Calibri" w:cs="宋体"/>
      <w:sz w:val="20"/>
      <w:lang w:val="zh-CN"/>
    </w:rPr>
  </w:style>
  <w:style w:type="paragraph" w:styleId="920" w:customStyle="1">
    <w:name w:val="目录 51"/>
    <w:basedOn w:val="698"/>
    <w:next w:val="698"/>
    <w:uiPriority w:val="0"/>
    <w:semiHidden/>
    <w:qFormat/>
    <w:pPr>
      <w:ind w:left="840"/>
      <w:jc w:val="left"/>
    </w:pPr>
    <w:rPr>
      <w:rFonts w:ascii="Times New Roman" w:hAnsi="Times New Roman" w:eastAsia="宋体" w:cs="Times New Roman"/>
      <w:szCs w:val="21"/>
    </w:rPr>
  </w:style>
  <w:style w:type="paragraph" w:styleId="921" w:customStyle="1">
    <w:name w:val="目录 31"/>
    <w:basedOn w:val="698"/>
    <w:next w:val="698"/>
    <w:uiPriority w:val="0"/>
    <w:semiHidden/>
    <w:qFormat/>
    <w:pPr>
      <w:ind w:left="420"/>
      <w:jc w:val="left"/>
    </w:pPr>
    <w:rPr>
      <w:rFonts w:ascii="Times New Roman" w:hAnsi="Times New Roman" w:eastAsia="宋体" w:cs="Times New Roman"/>
      <w:i/>
      <w:iCs/>
      <w:szCs w:val="24"/>
    </w:rPr>
  </w:style>
  <w:style w:type="paragraph" w:styleId="922" w:customStyle="1">
    <w:name w:val="纯文本11"/>
    <w:basedOn w:val="698"/>
    <w:link w:val="923"/>
    <w:uiPriority w:val="0"/>
    <w:qFormat/>
    <w:rPr>
      <w:rFonts w:ascii="宋体" w:hAnsi="Courier New" w:eastAsia="宋体" w:cs="Courier New"/>
      <w:szCs w:val="21"/>
    </w:rPr>
  </w:style>
  <w:style w:type="character" w:styleId="923" w:customStyle="1">
    <w:name w:val="纯文本 Char"/>
    <w:link w:val="922"/>
    <w:uiPriority w:val="0"/>
    <w:qFormat/>
    <w:rPr>
      <w:rFonts w:ascii="宋体" w:hAnsi="Courier New" w:eastAsia="宋体" w:cs="Courier New"/>
      <w:szCs w:val="21"/>
    </w:rPr>
  </w:style>
  <w:style w:type="paragraph" w:styleId="924" w:customStyle="1">
    <w:name w:val="目录 81"/>
    <w:basedOn w:val="698"/>
    <w:next w:val="698"/>
    <w:uiPriority w:val="0"/>
    <w:semiHidden/>
    <w:qFormat/>
    <w:pPr>
      <w:ind w:left="1470"/>
      <w:jc w:val="left"/>
    </w:pPr>
    <w:rPr>
      <w:rFonts w:ascii="Times New Roman" w:hAnsi="Times New Roman" w:eastAsia="宋体" w:cs="Times New Roman"/>
      <w:szCs w:val="21"/>
    </w:rPr>
  </w:style>
  <w:style w:type="paragraph" w:styleId="925" w:customStyle="1">
    <w:name w:val="日期1"/>
    <w:basedOn w:val="698"/>
    <w:next w:val="698"/>
    <w:link w:val="926"/>
    <w:uiPriority w:val="0"/>
    <w:qFormat/>
    <w:rPr>
      <w:rFonts w:ascii="Times New Roman" w:hAnsi="Times New Roman" w:eastAsia="宋体" w:cs="Times New Roman"/>
      <w:sz w:val="24"/>
      <w:szCs w:val="24"/>
    </w:rPr>
  </w:style>
  <w:style w:type="character" w:styleId="926" w:customStyle="1">
    <w:name w:val="日期 Char"/>
    <w:link w:val="925"/>
    <w:uiPriority w:val="0"/>
    <w:qFormat/>
    <w:rPr>
      <w:rFonts w:ascii="Times New Roman" w:hAnsi="Times New Roman" w:eastAsia="宋体" w:cs="Times New Roman"/>
      <w:sz w:val="24"/>
      <w:szCs w:val="24"/>
    </w:rPr>
  </w:style>
  <w:style w:type="paragraph" w:styleId="927" w:customStyle="1">
    <w:name w:val="正文文本缩进 21"/>
    <w:basedOn w:val="698"/>
    <w:link w:val="928"/>
    <w:uiPriority w:val="0"/>
    <w:qFormat/>
    <w:pPr>
      <w:ind w:left="630" w:firstLine="645"/>
    </w:pPr>
    <w:rPr>
      <w:rFonts w:ascii="Arial" w:hAnsi="Arial" w:eastAsia="仿宋_GB2312" w:cs="Arial"/>
      <w:sz w:val="32"/>
      <w:szCs w:val="32"/>
    </w:rPr>
  </w:style>
  <w:style w:type="character" w:styleId="928" w:customStyle="1">
    <w:name w:val="正文文本缩进 2 Char"/>
    <w:link w:val="927"/>
    <w:uiPriority w:val="0"/>
    <w:qFormat/>
    <w:rPr>
      <w:rFonts w:ascii="Arial" w:hAnsi="Arial" w:eastAsia="仿宋_GB2312" w:cs="Arial"/>
      <w:sz w:val="32"/>
      <w:szCs w:val="32"/>
    </w:rPr>
  </w:style>
  <w:style w:type="paragraph" w:styleId="929" w:customStyle="1">
    <w:name w:val="批注框文本1"/>
    <w:basedOn w:val="698"/>
    <w:link w:val="930"/>
    <w:uiPriority w:val="0"/>
    <w:semiHidden/>
    <w:qFormat/>
    <w:rPr>
      <w:rFonts w:ascii="Times New Roman" w:hAnsi="Times New Roman" w:eastAsia="宋体" w:cs="Times New Roman"/>
      <w:sz w:val="18"/>
      <w:szCs w:val="18"/>
    </w:rPr>
  </w:style>
  <w:style w:type="character" w:styleId="930" w:customStyle="1">
    <w:name w:val="批注框文本 Char"/>
    <w:link w:val="929"/>
    <w:uiPriority w:val="0"/>
    <w:semiHidden/>
    <w:qFormat/>
    <w:rPr>
      <w:rFonts w:ascii="Times New Roman" w:hAnsi="Times New Roman" w:eastAsia="宋体" w:cs="Times New Roman"/>
      <w:sz w:val="18"/>
      <w:szCs w:val="18"/>
    </w:rPr>
  </w:style>
  <w:style w:type="paragraph" w:styleId="931" w:customStyle="1">
    <w:name w:val="页脚1"/>
    <w:basedOn w:val="698"/>
    <w:link w:val="93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32" w:customStyle="1">
    <w:name w:val="页脚 Char"/>
    <w:link w:val="931"/>
    <w:uiPriority w:val="0"/>
    <w:qFormat/>
    <w:rPr>
      <w:rFonts w:ascii="Times New Roman" w:hAnsi="Times New Roman" w:eastAsia="宋体" w:cs="Times New Roman"/>
      <w:sz w:val="18"/>
      <w:szCs w:val="18"/>
    </w:rPr>
  </w:style>
  <w:style w:type="paragraph" w:styleId="933" w:customStyle="1">
    <w:name w:val="页眉1"/>
    <w:basedOn w:val="698"/>
    <w:link w:val="93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4" w:customStyle="1">
    <w:name w:val="页眉 Char"/>
    <w:link w:val="933"/>
    <w:uiPriority w:val="0"/>
    <w:qFormat/>
    <w:rPr>
      <w:rFonts w:ascii="Times New Roman" w:hAnsi="Times New Roman" w:eastAsia="宋体" w:cs="Times New Roman"/>
      <w:sz w:val="18"/>
      <w:szCs w:val="18"/>
    </w:rPr>
  </w:style>
  <w:style w:type="paragraph" w:styleId="935" w:customStyle="1">
    <w:name w:val="目录 11"/>
    <w:basedOn w:val="698"/>
    <w:next w:val="69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6" w:customStyle="1">
    <w:name w:val="目录 41"/>
    <w:basedOn w:val="698"/>
    <w:next w:val="698"/>
    <w:uiPriority w:val="0"/>
    <w:semiHidden/>
    <w:qFormat/>
    <w:pPr>
      <w:ind w:left="630"/>
      <w:jc w:val="left"/>
    </w:pPr>
    <w:rPr>
      <w:rFonts w:ascii="Times New Roman" w:hAnsi="Times New Roman" w:eastAsia="宋体" w:cs="Times New Roman"/>
      <w:szCs w:val="21"/>
    </w:rPr>
  </w:style>
  <w:style w:type="paragraph" w:styleId="937" w:customStyle="1">
    <w:name w:val="列表1"/>
    <w:basedOn w:val="698"/>
    <w:uiPriority w:val="0"/>
    <w:qFormat/>
    <w:pPr>
      <w:ind w:left="200" w:hanging="200"/>
    </w:pPr>
    <w:rPr>
      <w:rFonts w:ascii="Times New Roman" w:hAnsi="Times New Roman" w:eastAsia="宋体" w:cs="Times New Roman"/>
      <w:szCs w:val="21"/>
    </w:rPr>
  </w:style>
  <w:style w:type="paragraph" w:styleId="938" w:customStyle="1">
    <w:name w:val="目录 61"/>
    <w:basedOn w:val="698"/>
    <w:next w:val="698"/>
    <w:uiPriority w:val="0"/>
    <w:semiHidden/>
    <w:qFormat/>
    <w:pPr>
      <w:ind w:left="1050"/>
      <w:jc w:val="left"/>
    </w:pPr>
    <w:rPr>
      <w:rFonts w:ascii="Times New Roman" w:hAnsi="Times New Roman" w:eastAsia="宋体" w:cs="Times New Roman"/>
      <w:szCs w:val="21"/>
    </w:rPr>
  </w:style>
  <w:style w:type="paragraph" w:styleId="939" w:customStyle="1">
    <w:name w:val="正文文本缩进 31"/>
    <w:basedOn w:val="698"/>
    <w:link w:val="940"/>
    <w:uiPriority w:val="0"/>
    <w:qFormat/>
    <w:pPr>
      <w:ind w:left="645" w:firstLine="645"/>
    </w:pPr>
    <w:rPr>
      <w:rFonts w:ascii="Arial" w:hAnsi="Arial" w:eastAsia="仿宋_GB2312" w:cs="Arial"/>
      <w:color w:val="ffff00"/>
      <w:sz w:val="32"/>
      <w:szCs w:val="32"/>
    </w:rPr>
  </w:style>
  <w:style w:type="character" w:styleId="940" w:customStyle="1">
    <w:name w:val="正文文本缩进 3 Char"/>
    <w:link w:val="939"/>
    <w:uiPriority w:val="0"/>
    <w:qFormat/>
    <w:rPr>
      <w:rFonts w:ascii="Arial" w:hAnsi="Arial" w:eastAsia="仿宋_GB2312" w:cs="Arial"/>
      <w:color w:val="ffff00"/>
      <w:sz w:val="32"/>
      <w:szCs w:val="32"/>
    </w:rPr>
  </w:style>
  <w:style w:type="paragraph" w:styleId="941" w:customStyle="1">
    <w:name w:val="图表目录1"/>
    <w:basedOn w:val="698"/>
    <w:next w:val="698"/>
    <w:uiPriority w:val="0"/>
    <w:semiHidden/>
    <w:qFormat/>
    <w:pPr>
      <w:ind w:left="840" w:hanging="420"/>
    </w:pPr>
    <w:rPr>
      <w:rFonts w:ascii="Times New Roman" w:hAnsi="Times New Roman" w:eastAsia="宋体" w:cs="Times New Roman"/>
      <w:szCs w:val="21"/>
    </w:rPr>
  </w:style>
  <w:style w:type="paragraph" w:styleId="942" w:customStyle="1">
    <w:name w:val="目录 21"/>
    <w:basedOn w:val="698"/>
    <w:next w:val="698"/>
    <w:uiPriority w:val="0"/>
    <w:semiHidden/>
    <w:qFormat/>
    <w:pPr>
      <w:ind w:left="210"/>
      <w:jc w:val="left"/>
    </w:pPr>
    <w:rPr>
      <w:rFonts w:ascii="Times New Roman" w:hAnsi="Times New Roman" w:eastAsia="宋体" w:cs="Times New Roman"/>
      <w:smallCaps/>
      <w:szCs w:val="24"/>
    </w:rPr>
  </w:style>
  <w:style w:type="paragraph" w:styleId="943" w:customStyle="1">
    <w:name w:val="目录 91"/>
    <w:basedOn w:val="698"/>
    <w:next w:val="698"/>
    <w:uiPriority w:val="0"/>
    <w:semiHidden/>
    <w:qFormat/>
    <w:pPr>
      <w:ind w:left="1680"/>
      <w:jc w:val="left"/>
    </w:pPr>
    <w:rPr>
      <w:rFonts w:ascii="Times New Roman" w:hAnsi="Times New Roman" w:eastAsia="宋体" w:cs="Times New Roman"/>
      <w:szCs w:val="21"/>
    </w:rPr>
  </w:style>
  <w:style w:type="paragraph" w:styleId="944" w:customStyle="1">
    <w:name w:val="正文文本 21"/>
    <w:basedOn w:val="698"/>
    <w:link w:val="945"/>
    <w:uiPriority w:val="0"/>
    <w:qFormat/>
    <w:pPr>
      <w:jc w:val="center"/>
      <w:widowControl/>
    </w:pPr>
    <w:rPr>
      <w:rFonts w:ascii="楷体_GB2312" w:hAnsi="Times New Roman" w:eastAsia="楷体_GB2312" w:cs="Times New Roman"/>
      <w:sz w:val="28"/>
      <w:szCs w:val="28"/>
    </w:rPr>
  </w:style>
  <w:style w:type="character" w:styleId="945" w:customStyle="1">
    <w:name w:val="正文文本 2 Char"/>
    <w:link w:val="944"/>
    <w:uiPriority w:val="0"/>
    <w:qFormat/>
    <w:rPr>
      <w:rFonts w:ascii="楷体_GB2312" w:hAnsi="Times New Roman" w:eastAsia="楷体_GB2312" w:cs="Times New Roman"/>
      <w:sz w:val="28"/>
      <w:szCs w:val="28"/>
    </w:rPr>
  </w:style>
  <w:style w:type="paragraph" w:styleId="946" w:customStyle="1">
    <w:name w:val="普通(网站)1"/>
    <w:basedOn w:val="698"/>
    <w:uiPriority w:val="99"/>
    <w:qFormat/>
    <w:pPr>
      <w:jc w:val="left"/>
      <w:spacing w:before="100" w:beforeAutospacing="1" w:after="100" w:afterAutospacing="1"/>
      <w:widowControl/>
    </w:pPr>
    <w:rPr>
      <w:rFonts w:ascii="宋体" w:hAnsi="宋体" w:eastAsia="宋体" w:cs="宋体"/>
      <w:sz w:val="24"/>
      <w:szCs w:val="24"/>
    </w:rPr>
  </w:style>
  <w:style w:type="paragraph" w:styleId="947" w:customStyle="1">
    <w:name w:val="索引 11"/>
    <w:basedOn w:val="698"/>
    <w:next w:val="698"/>
    <w:uiPriority w:val="0"/>
    <w:semiHidden/>
    <w:qFormat/>
    <w:pPr>
      <w:spacing w:line="240" w:lineRule="atLeast"/>
    </w:pPr>
    <w:rPr>
      <w:rFonts w:ascii="Times New Roman" w:hAnsi="Times New Roman" w:eastAsia="宋体" w:cs="Times New Roman"/>
      <w:b/>
      <w:bCs/>
      <w:szCs w:val="21"/>
    </w:rPr>
  </w:style>
  <w:style w:type="paragraph" w:styleId="948" w:customStyle="1">
    <w:name w:val="批注主题1"/>
    <w:basedOn w:val="909"/>
    <w:next w:val="909"/>
    <w:link w:val="949"/>
    <w:uiPriority w:val="0"/>
    <w:semiHidden/>
    <w:qFormat/>
    <w:rPr>
      <w:rFonts w:ascii="Times New Roman" w:hAnsi="Times New Roman" w:eastAsia="宋体" w:cs="Times New Roman"/>
      <w:b/>
      <w:bCs/>
      <w:szCs w:val="21"/>
    </w:rPr>
  </w:style>
  <w:style w:type="character" w:styleId="949" w:customStyle="1">
    <w:name w:val="批注主题 Char"/>
    <w:link w:val="948"/>
    <w:uiPriority w:val="0"/>
    <w:semiHidden/>
    <w:qFormat/>
    <w:rPr>
      <w:rFonts w:ascii="Times New Roman" w:hAnsi="Times New Roman" w:eastAsia="宋体" w:cs="Times New Roman"/>
      <w:b/>
      <w:bCs/>
      <w:szCs w:val="21"/>
    </w:rPr>
  </w:style>
  <w:style w:type="paragraph" w:styleId="950" w:customStyle="1">
    <w:name w:val="正文首行缩进1"/>
    <w:basedOn w:val="698"/>
    <w:link w:val="951"/>
    <w:uiPriority w:val="0"/>
    <w:qFormat/>
    <w:pPr>
      <w:ind w:firstLine="200"/>
      <w:spacing w:line="360" w:lineRule="auto"/>
    </w:pPr>
    <w:rPr>
      <w:rFonts w:ascii="仿宋_GB2312" w:hAnsi="Times New Roman" w:eastAsia="仿宋_GB2312" w:cs="Times New Roman"/>
      <w:sz w:val="30"/>
      <w:szCs w:val="30"/>
    </w:rPr>
  </w:style>
  <w:style w:type="character" w:styleId="951" w:customStyle="1">
    <w:name w:val="正文首行缩进 Char"/>
    <w:link w:val="950"/>
    <w:uiPriority w:val="0"/>
    <w:qFormat/>
    <w:rPr>
      <w:rFonts w:ascii="仿宋_GB2312" w:hAnsi="Times New Roman" w:eastAsia="仿宋_GB2312" w:cs="Times New Roman"/>
      <w:sz w:val="30"/>
      <w:szCs w:val="30"/>
    </w:rPr>
  </w:style>
  <w:style w:type="paragraph" w:styleId="952" w:customStyle="1">
    <w:name w:val="正文首行缩进 22"/>
    <w:basedOn w:val="915"/>
    <w:next w:val="698"/>
    <w:link w:val="953"/>
    <w:uiPriority w:val="0"/>
    <w:qFormat/>
    <w:pPr>
      <w:ind w:left="0" w:firstLine="420"/>
      <w:spacing w:after="0" w:line="360" w:lineRule="auto"/>
    </w:pPr>
    <w:rPr>
      <w:rFonts w:ascii="宋体" w:hAnsi="宋体" w:eastAsia="宋体" w:cs="Times New Roman"/>
      <w:szCs w:val="20"/>
    </w:rPr>
  </w:style>
  <w:style w:type="character" w:styleId="953" w:customStyle="1">
    <w:name w:val="正文首行缩进 2 Char"/>
    <w:link w:val="952"/>
    <w:uiPriority w:val="0"/>
    <w:qFormat/>
    <w:rPr>
      <w:rFonts w:ascii="宋体" w:hAnsi="宋体" w:eastAsia="宋体" w:cs="Times New Roman"/>
      <w:szCs w:val="20"/>
    </w:rPr>
  </w:style>
  <w:style w:type="table" w:styleId="954" w:customStyle="1">
    <w:name w:val="网格型11"/>
    <w:basedOn w:val="894"/>
    <w:uiPriority w:val="0"/>
    <w:qFormat/>
    <w:pPr>
      <w:jc w:val="both"/>
      <w:widowControl w:val="off"/>
    </w:pPr>
    <w:rPr>
      <w:rFonts w:ascii="Times New Roman" w:hAnsi="Times New Roman" w:eastAsia="宋体" w:cs="Times New Roman"/>
      <w:sz w:val="20"/>
      <w:szCs w:val="20"/>
    </w:rPr>
    <w:tblPr/>
  </w:style>
  <w:style w:type="character" w:styleId="955" w:customStyle="1">
    <w:name w:val="要点1"/>
    <w:link w:val="698"/>
    <w:uiPriority w:val="0"/>
    <w:qFormat/>
    <w:rPr>
      <w:b/>
      <w:bCs/>
    </w:rPr>
  </w:style>
  <w:style w:type="character" w:styleId="956" w:customStyle="1">
    <w:name w:val="页码1"/>
    <w:link w:val="698"/>
    <w:uiPriority w:val="0"/>
    <w:qFormat/>
  </w:style>
  <w:style w:type="character" w:styleId="957" w:customStyle="1">
    <w:name w:val="已访问的超链接1"/>
    <w:link w:val="698"/>
    <w:uiPriority w:val="0"/>
    <w:qFormat/>
    <w:rPr>
      <w:color w:val="800080"/>
      <w:u w:val="single"/>
    </w:rPr>
  </w:style>
  <w:style w:type="character" w:styleId="958" w:customStyle="1">
    <w:name w:val="强调1"/>
    <w:link w:val="698"/>
    <w:uiPriority w:val="0"/>
    <w:qFormat/>
    <w:rPr>
      <w:i/>
    </w:rPr>
  </w:style>
  <w:style w:type="character" w:styleId="959" w:customStyle="1">
    <w:name w:val="超链接1"/>
    <w:link w:val="698"/>
    <w:uiPriority w:val="0"/>
    <w:qFormat/>
    <w:rPr>
      <w:color w:val="0000ff"/>
      <w:u w:val="single"/>
    </w:rPr>
  </w:style>
  <w:style w:type="character" w:styleId="960" w:customStyle="1">
    <w:name w:val="批注引用1"/>
    <w:link w:val="698"/>
    <w:uiPriority w:val="0"/>
    <w:semiHidden/>
    <w:qFormat/>
    <w:rPr>
      <w:sz w:val="21"/>
      <w:szCs w:val="21"/>
    </w:rPr>
  </w:style>
  <w:style w:type="paragraph" w:styleId="961" w:customStyle="1">
    <w:name w:val="索引 41"/>
    <w:basedOn w:val="698"/>
    <w:next w:val="698"/>
    <w:uiPriority w:val="0"/>
    <w:semiHidden/>
    <w:qFormat/>
    <w:pPr>
      <w:ind w:left="1260"/>
    </w:pPr>
    <w:rPr>
      <w:rFonts w:ascii="Calibri" w:hAnsi="Calibri" w:eastAsia="Calibri" w:cs="宋体"/>
      <w:sz w:val="20"/>
      <w:lang w:val="zh-CN"/>
    </w:rPr>
  </w:style>
  <w:style w:type="paragraph" w:styleId="962" w:customStyle="1">
    <w:name w:val="正文文本缩进1"/>
    <w:basedOn w:val="698"/>
    <w:next w:val="963"/>
    <w:uiPriority w:val="0"/>
    <w:unhideWhenUsed/>
    <w:qFormat/>
    <w:pPr>
      <w:ind w:left="420"/>
      <w:spacing w:after="120"/>
    </w:pPr>
  </w:style>
  <w:style w:type="paragraph" w:styleId="963" w:customStyle="1">
    <w:name w:val="正文文本首行缩进 2"/>
    <w:basedOn w:val="962"/>
    <w:uiPriority w:val="0"/>
    <w:qFormat/>
    <w:pPr>
      <w:ind w:left="0" w:firstLine="420"/>
      <w:spacing w:after="0" w:line="360" w:lineRule="auto"/>
    </w:pPr>
    <w:rPr>
      <w:rFonts w:ascii="宋体" w:hAnsi="宋体"/>
      <w:sz w:val="20"/>
      <w:szCs w:val="20"/>
      <w:lang w:val="en-US" w:eastAsia="en-US"/>
    </w:rPr>
  </w:style>
  <w:style w:type="character" w:styleId="964" w:customStyle="1">
    <w:name w:val="font5 Char"/>
    <w:link w:val="698"/>
    <w:uiPriority w:val="0"/>
    <w:qFormat/>
    <w:rPr>
      <w:rFonts w:ascii="宋体" w:hAnsi="宋体" w:eastAsia="宋体"/>
      <w:sz w:val="28"/>
      <w:szCs w:val="28"/>
      <w:lang w:val="en-US" w:eastAsia="zh-CN" w:bidi="ar-SA"/>
    </w:rPr>
  </w:style>
  <w:style w:type="character" w:styleId="965" w:customStyle="1">
    <w:name w:val="二级目录 Char"/>
    <w:link w:val="966"/>
    <w:uiPriority w:val="0"/>
    <w:qFormat/>
    <w:rPr>
      <w:b/>
      <w:sz w:val="30"/>
      <w:szCs w:val="28"/>
    </w:rPr>
  </w:style>
  <w:style w:type="paragraph" w:styleId="966" w:customStyle="1">
    <w:name w:val="二级目录"/>
    <w:next w:val="698"/>
    <w:link w:val="96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7" w:customStyle="1">
    <w:name w:val="列出段落 Char"/>
    <w:link w:val="968"/>
    <w:uiPriority w:val="0"/>
    <w:qFormat/>
    <w:rPr>
      <w:rFonts w:ascii="Calibri" w:hAnsi="Calibri"/>
      <w:sz w:val="24"/>
      <w:szCs w:val="24"/>
      <w:lang w:eastAsia="en-US" w:bidi="en-US"/>
    </w:rPr>
  </w:style>
  <w:style w:type="paragraph" w:styleId="968" w:customStyle="1">
    <w:name w:val="列出段落1"/>
    <w:basedOn w:val="698"/>
    <w:link w:val="967"/>
    <w:uiPriority w:val="0"/>
    <w:qFormat/>
    <w:pPr>
      <w:contextualSpacing/>
      <w:ind w:left="720"/>
      <w:jc w:val="left"/>
      <w:widowControl/>
    </w:pPr>
    <w:rPr>
      <w:rFonts w:ascii="Calibri" w:hAnsi="Calibri"/>
      <w:sz w:val="24"/>
      <w:szCs w:val="24"/>
      <w:lang w:eastAsia="en-US" w:bidi="en-US"/>
    </w:rPr>
  </w:style>
  <w:style w:type="paragraph" w:styleId="969" w:customStyle="1">
    <w:name w:val="Body Text(ch)"/>
    <w:basedOn w:val="698"/>
    <w:next w:val="913"/>
    <w:uiPriority w:val="0"/>
    <w:qFormat/>
    <w:pPr>
      <w:spacing w:after="120"/>
    </w:pPr>
    <w:rPr>
      <w:rFonts w:ascii="宋体" w:hAnsi="Arial" w:eastAsia="宋体" w:cs="Times New Roman"/>
      <w:bCs/>
      <w:iCs/>
      <w:szCs w:val="24"/>
    </w:rPr>
  </w:style>
  <w:style w:type="paragraph" w:styleId="970" w:customStyle="1">
    <w:name w:val="xl2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customStyle="1">
    <w:name w:val="Char"/>
    <w:basedOn w:val="698"/>
    <w:uiPriority w:val="0"/>
    <w:qFormat/>
    <w:pPr>
      <w:ind w:firstLine="200"/>
      <w:tabs>
        <w:tab w:val="left" w:pos="360" w:leader="none"/>
      </w:tabs>
    </w:pPr>
    <w:rPr>
      <w:rFonts w:ascii="Times New Roman" w:hAnsi="Times New Roman" w:eastAsia="宋体" w:cs="Times New Roman"/>
      <w:sz w:val="28"/>
      <w:szCs w:val="30"/>
    </w:rPr>
  </w:style>
  <w:style w:type="paragraph" w:styleId="973" w:customStyle="1">
    <w:name w:val=" Char"/>
    <w:basedOn w:val="907"/>
    <w:uiPriority w:val="0"/>
    <w:qFormat/>
    <w:rPr>
      <w:rFonts w:ascii="Tahoma" w:hAnsi="Tahoma"/>
      <w:sz w:val="24"/>
      <w:szCs w:val="24"/>
    </w:rPr>
  </w:style>
  <w:style w:type="paragraph" w:styleId="974" w:customStyle="1">
    <w:name w:val="普通正文"/>
    <w:basedOn w:val="698"/>
    <w:uiPriority w:val="0"/>
    <w:qFormat/>
    <w:pPr>
      <w:ind w:firstLine="480"/>
      <w:jc w:val="left"/>
      <w:spacing w:before="120" w:after="120" w:line="360" w:lineRule="auto"/>
    </w:pPr>
    <w:rPr>
      <w:rFonts w:ascii="Arial" w:hAnsi="Arial" w:eastAsia="宋体" w:cs="Times New Roman"/>
      <w:sz w:val="24"/>
      <w:szCs w:val="24"/>
    </w:rPr>
  </w:style>
  <w:style w:type="paragraph" w:styleId="975" w:customStyle="1">
    <w:name w:val="table_lines"/>
    <w:basedOn w:val="698"/>
    <w:uiPriority w:val="0"/>
    <w:qFormat/>
    <w:pPr>
      <w:jc w:val="left"/>
      <w:widowControl/>
    </w:pPr>
    <w:rPr>
      <w:rFonts w:ascii="Times New Roman" w:hAnsi="Times New Roman" w:eastAsia="宋体" w:cs="Times New Roman"/>
      <w:sz w:val="20"/>
      <w:szCs w:val="20"/>
      <w:lang w:val="de-DE" w:eastAsia="de-DE"/>
    </w:rPr>
  </w:style>
  <w:style w:type="paragraph" w:styleId="97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7" w:customStyle="1">
    <w:name w:val="font7"/>
    <w:basedOn w:val="69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8" w:customStyle="1">
    <w:name w:val=" Char Char Char Char"/>
    <w:basedOn w:val="907"/>
    <w:uiPriority w:val="0"/>
    <w:qFormat/>
    <w:pPr>
      <w:spacing w:line="360" w:lineRule="auto"/>
    </w:pPr>
    <w:rPr>
      <w:rFonts w:ascii="Tahoma" w:hAnsi="Tahoma"/>
      <w:sz w:val="24"/>
      <w:szCs w:val="24"/>
    </w:rPr>
  </w:style>
  <w:style w:type="paragraph" w:styleId="979" w:customStyle="1">
    <w:name w:val="列出段落"/>
    <w:basedOn w:val="698"/>
    <w:uiPriority w:val="99"/>
    <w:qFormat/>
    <w:pPr>
      <w:contextualSpacing/>
      <w:ind w:left="720"/>
      <w:jc w:val="left"/>
      <w:widowControl/>
    </w:pPr>
    <w:rPr>
      <w:rFonts w:ascii="Calibri" w:hAnsi="Calibri" w:eastAsia="宋体" w:cs="Times New Roman"/>
      <w:sz w:val="24"/>
      <w:szCs w:val="24"/>
      <w:lang w:eastAsia="en-US" w:bidi="en-US"/>
    </w:rPr>
  </w:style>
  <w:style w:type="paragraph" w:styleId="980" w:customStyle="1">
    <w:name w:val="4"/>
    <w:basedOn w:val="698"/>
    <w:next w:val="939"/>
    <w:uiPriority w:val="0"/>
    <w:qFormat/>
    <w:pPr>
      <w:ind w:firstLine="420"/>
      <w:spacing w:line="360" w:lineRule="auto"/>
    </w:pPr>
    <w:rPr>
      <w:rFonts w:ascii="Times New Roman" w:hAnsi="Times New Roman" w:eastAsia="宋体" w:cs="Times New Roman"/>
      <w:color w:val="ff0000"/>
      <w:sz w:val="24"/>
      <w:szCs w:val="24"/>
    </w:rPr>
  </w:style>
  <w:style w:type="paragraph" w:styleId="981" w:customStyle="1">
    <w:name w:val="普通 (Web)"/>
    <w:basedOn w:val="698"/>
    <w:uiPriority w:val="0"/>
    <w:qFormat/>
    <w:pPr>
      <w:jc w:val="left"/>
      <w:spacing w:before="100" w:beforeAutospacing="1" w:after="100" w:afterAutospacing="1"/>
      <w:widowControl/>
    </w:pPr>
    <w:rPr>
      <w:rFonts w:ascii="宋体" w:hAnsi="宋体" w:eastAsia="宋体" w:cs="Times New Roman"/>
      <w:sz w:val="24"/>
      <w:szCs w:val="24"/>
    </w:rPr>
  </w:style>
  <w:style w:type="paragraph" w:styleId="982" w:customStyle="1">
    <w:name w:val=" Char Char Char Char Char Char Char Char Char Char"/>
    <w:basedOn w:val="698"/>
    <w:uiPriority w:val="0"/>
    <w:qFormat/>
    <w:pPr>
      <w:spacing w:line="360" w:lineRule="auto"/>
    </w:pPr>
    <w:rPr>
      <w:rFonts w:ascii="Times New Roman" w:hAnsi="Times New Roman" w:eastAsia="宋体" w:cs="Times New Roman"/>
      <w:sz w:val="24"/>
      <w:szCs w:val="20"/>
    </w:rPr>
  </w:style>
  <w:style w:type="paragraph" w:styleId="983" w:customStyle="1">
    <w:name w:val="样式1"/>
    <w:basedOn w:val="698"/>
    <w:uiPriority w:val="0"/>
    <w:qFormat/>
    <w:pPr>
      <w:numPr>
        <w:ilvl w:val="0"/>
        <w:numId w:val="3"/>
      </w:numPr>
    </w:pPr>
    <w:rPr>
      <w:rFonts w:ascii="宋体" w:hAnsi="宋体" w:eastAsia="宋体" w:cs="Times New Roman"/>
      <w:szCs w:val="21"/>
    </w:rPr>
  </w:style>
  <w:style w:type="paragraph" w:styleId="984" w:customStyle="1">
    <w:name w:val="font6"/>
    <w:basedOn w:val="69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5" w:customStyle="1">
    <w:name w:val="xl25"/>
    <w:basedOn w:val="6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7" w:customStyle="1">
    <w:name w:val="标题3"/>
    <w:basedOn w:val="698"/>
    <w:next w:val="698"/>
    <w:uiPriority w:val="0"/>
    <w:qFormat/>
    <w:pPr>
      <w:ind w:firstLine="624"/>
      <w:spacing w:line="590" w:lineRule="atLeast"/>
    </w:pPr>
    <w:rPr>
      <w:rFonts w:ascii="方正黑体_GBK" w:hAnsi="Times New Roman" w:eastAsia="方正黑体_GBK" w:cs="Times New Roman"/>
      <w:sz w:val="32"/>
      <w:szCs w:val="32"/>
    </w:rPr>
  </w:style>
  <w:style w:type="paragraph" w:styleId="988" w:customStyle="1">
    <w:name w:val="xl2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customStyle="1">
    <w:name w:val="xl29"/>
    <w:basedOn w:val="69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0" w:customStyle="1">
    <w:name w:val="Char Char Char Char Char Char Char Char"/>
    <w:basedOn w:val="698"/>
    <w:uiPriority w:val="0"/>
    <w:qFormat/>
    <w:pPr>
      <w:jc w:val="left"/>
      <w:spacing w:after="160" w:line="240" w:lineRule="exact"/>
      <w:widowControl/>
    </w:pPr>
    <w:rPr>
      <w:rFonts w:ascii="Verdana" w:hAnsi="Verdana" w:eastAsia="宋体" w:cs="Times New Roman"/>
      <w:sz w:val="20"/>
      <w:szCs w:val="20"/>
      <w:lang w:eastAsia="en-US"/>
    </w:rPr>
  </w:style>
  <w:style w:type="paragraph" w:styleId="991"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2" w:customStyle="1">
    <w:name w:val=" Char Char Char Char Char Char Char Char"/>
    <w:basedOn w:val="698"/>
    <w:uiPriority w:val="0"/>
    <w:qFormat/>
    <w:pPr>
      <w:jc w:val="left"/>
      <w:spacing w:after="160" w:line="240" w:lineRule="exact"/>
      <w:widowControl/>
    </w:pPr>
    <w:rPr>
      <w:rFonts w:ascii="Verdana" w:hAnsi="Verdana" w:eastAsia="宋体" w:cs="Times New Roman"/>
      <w:sz w:val="20"/>
      <w:szCs w:val="20"/>
      <w:lang w:eastAsia="en-US"/>
    </w:rPr>
  </w:style>
  <w:style w:type="paragraph" w:styleId="993" w:customStyle="1">
    <w:name w:val="xl30"/>
    <w:basedOn w:val="69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4" w:customStyle="1">
    <w:name w:val="Char Char Char Char"/>
    <w:basedOn w:val="907"/>
    <w:uiPriority w:val="0"/>
    <w:qFormat/>
    <w:pPr>
      <w:spacing w:line="360" w:lineRule="auto"/>
    </w:pPr>
    <w:rPr>
      <w:rFonts w:ascii="Tahoma" w:hAnsi="Tahoma"/>
      <w:sz w:val="24"/>
      <w:szCs w:val="24"/>
    </w:rPr>
  </w:style>
  <w:style w:type="paragraph" w:styleId="995" w:customStyle="1">
    <w:name w:val="table_1stline"/>
    <w:basedOn w:val="698"/>
    <w:uiPriority w:val="0"/>
    <w:qFormat/>
    <w:pPr>
      <w:jc w:val="left"/>
      <w:spacing w:before="120"/>
      <w:widowControl/>
    </w:pPr>
    <w:rPr>
      <w:rFonts w:ascii="Times New Roman" w:hAnsi="Times New Roman" w:eastAsia="宋体" w:cs="Times New Roman"/>
      <w:bCs/>
      <w:sz w:val="20"/>
      <w:szCs w:val="20"/>
      <w:lang w:val="de-DE" w:eastAsia="de-DE"/>
    </w:rPr>
  </w:style>
  <w:style w:type="paragraph" w:styleId="996" w:customStyle="1">
    <w:name w:val="font5"/>
    <w:basedOn w:val="69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7" w:customStyle="1">
    <w:name w:val="标题1"/>
    <w:basedOn w:val="698"/>
    <w:next w:val="69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8"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9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00" w:customStyle="1">
    <w:name w:val="Table Normal"/>
    <w:uiPriority w:val="0"/>
    <w:qFormat/>
    <w:rPr>
      <w:lang w:val="en-US" w:eastAsia="zh-CN" w:bidi="ar-SA"/>
    </w:rPr>
    <w:tblPr/>
  </w:style>
  <w:style w:type="paragraph" w:styleId="1001" w:customStyle="1">
    <w:name w:val="正文文本 211"/>
    <w:basedOn w:val="698"/>
    <w:uiPriority w:val="99"/>
    <w:qFormat/>
    <w:pPr>
      <w:jc w:val="center"/>
    </w:pPr>
    <w:rPr>
      <w:b/>
      <w:bCs/>
      <w:sz w:val="20"/>
      <w:szCs w:val="20"/>
    </w:rPr>
  </w:style>
  <w:style w:type="paragraph" w:styleId="1002" w:customStyle="1">
    <w:name w:val="正文文本1"/>
    <w:basedOn w:val="698"/>
    <w:next w:val="698"/>
    <w:uiPriority w:val="0"/>
    <w:semiHidden/>
    <w:qFormat/>
    <w:rPr>
      <w:rFonts w:ascii="Arial" w:hAnsi="Arial" w:eastAsia="Arial" w:cs="Arial"/>
      <w:sz w:val="21"/>
      <w:szCs w:val="21"/>
      <w:lang w:val="en-US" w:eastAsia="en-US" w:bidi="ar-SA"/>
    </w:rPr>
  </w:style>
  <w:style w:type="paragraph" w:styleId="1003" w:customStyle="1">
    <w:name w:val="正文文本12"/>
    <w:basedOn w:val="698"/>
    <w:uiPriority w:val="1"/>
    <w:qFormat/>
    <w:pPr>
      <w:ind w:left="120"/>
    </w:pPr>
    <w:rPr>
      <w:rFonts w:ascii="宋体" w:hAnsi="宋体" w:eastAsia="宋体" w:cs="宋体"/>
      <w:sz w:val="21"/>
      <w:szCs w:val="21"/>
      <w:lang w:val="zh-CN" w:eastAsia="zh-CN" w:bidi="zh-CN"/>
    </w:rPr>
  </w:style>
  <w:style w:type="paragraph" w:styleId="1004" w:customStyle="1">
    <w:name w:val="纯文本1"/>
    <w:basedOn w:val="698"/>
    <w:uiPriority w:val="0"/>
    <w:qFormat/>
    <w:rPr>
      <w:rFonts w:ascii="宋体" w:hAnsi="Courier New" w:cs="Courier New"/>
    </w:rPr>
  </w:style>
  <w:style w:type="table" w:styleId="1005" w:customStyle="1">
    <w:name w:val="网格型1"/>
    <w:basedOn w:val="1006"/>
    <w:uiPriority w:val="0"/>
    <w:qFormat/>
    <w:pPr>
      <w:jc w:val="both"/>
      <w:widowControl w:val="off"/>
    </w:pPr>
    <w:tblPr/>
  </w:style>
  <w:style w:type="table" w:styleId="1006" w:customStyle="1">
    <w:name w:val="普通表格1"/>
    <w:uiPriority w:val="99"/>
    <w:unhideWhenUsed/>
    <w:qFormat/>
    <w:rPr>
      <w:lang w:val="en-US" w:eastAsia="zh-CN" w:bidi="ar-SA"/>
    </w:rPr>
    <w:tblPr/>
  </w:style>
  <w:style w:type="character" w:styleId="1007" w:customStyle="1">
    <w:name w:val="15"/>
    <w:link w:val="698"/>
    <w:uiPriority w:val="0"/>
    <w:qFormat/>
    <w:rPr>
      <w:rFonts w:ascii="Times New Roman" w:hAnsi="Times New Roman" w:cs="Times New Roman"/>
    </w:rPr>
  </w:style>
  <w:style w:type="paragraph" w:styleId="1008" w:customStyle="1">
    <w:name w:val="正文首行缩进 211"/>
    <w:basedOn w:val="733"/>
    <w:next w:val="698"/>
    <w:uiPriority w:val="0"/>
    <w:qFormat/>
    <w:pPr>
      <w:ind w:left="0" w:firstLine="420"/>
      <w:spacing w:after="0" w:line="360" w:lineRule="auto"/>
    </w:pPr>
    <w:rPr>
      <w:rFonts w:ascii="宋体" w:hAnsi="宋体" w:eastAsia="宋体" w:cs="Times New Roman"/>
      <w:szCs w:val="20"/>
    </w:rPr>
  </w:style>
  <w:style w:type="paragraph" w:styleId="1009" w:customStyle="1">
    <w:name w:val="Table Paragraph"/>
    <w:basedOn w:val="698"/>
    <w:uiPriority w:val="1"/>
    <w:qFormat/>
    <w:pPr>
      <w:jc w:val="left"/>
    </w:pPr>
    <w:rPr>
      <w:rFonts w:ascii="宋体" w:hAnsi="宋体" w:cs="宋体"/>
      <w:sz w:val="22"/>
      <w:lang w:val="zh-CN" w:bidi="zh-CN"/>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温学梅</cp:lastModifiedBy>
  <cp:revision>10</cp:revision>
  <dcterms:created xsi:type="dcterms:W3CDTF">2023-03-27T07:28:00Z</dcterms:created>
  <dcterms:modified xsi:type="dcterms:W3CDTF">2026-06-01T07:00:29Z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8EAD549F35444FC4B5F8CE33803D4189_13</vt:lpwstr>
  </property>
  <property fmtid="{D5CDD505-2E9C-101B-9397-08002B2CF9AE}" pid="4" name="KSOTemplateDocerSaveRecord">
    <vt:lpwstr>eyJoZGlkIjoiMTg5Y2IwYzk0ZjRiOTIyOGY2Y2VjNmFkZWM2OWFhMTkiLCJ1c2VySWQiOiIxMjQ3MjkyMiJ9</vt:lpwstr>
  </property>
</Properties>
</file>