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color w:val="000000" w:themeColor="text1"/>
          <w:sz w:val="84"/>
          <w:szCs w:val="84"/>
          <w:highlight w:val="none"/>
          <w14:textFill>
            <w14:solidFill>
              <w14:schemeClr w14:val="tx1"/>
            </w14:solidFill>
          </w14:textFill>
        </w:rPr>
      </w:pPr>
      <w:bookmarkStart w:id="143" w:name="_GoBack"/>
    </w:p>
    <w:p>
      <w:pPr>
        <w:jc w:val="right"/>
        <w:rPr>
          <w:rFonts w:hint="eastAsia" w:ascii="宋体" w:hAnsi="宋体"/>
          <w:b/>
          <w:color w:val="000000" w:themeColor="text1"/>
          <w:sz w:val="84"/>
          <w:szCs w:val="84"/>
          <w:highlight w:val="none"/>
          <w14:textFill>
            <w14:solidFill>
              <w14:schemeClr w14:val="tx1"/>
            </w14:solidFill>
          </w14:textFill>
        </w:rPr>
      </w:pPr>
    </w:p>
    <w:p>
      <w:pPr>
        <w:jc w:val="center"/>
        <w:rPr>
          <w:rFonts w:hint="eastAsia" w:ascii="宋体" w:hAnsi="宋体"/>
          <w:b/>
          <w:color w:val="000000" w:themeColor="text1"/>
          <w:sz w:val="56"/>
          <w:szCs w:val="56"/>
          <w:highlight w:val="none"/>
          <w14:textFill>
            <w14:solidFill>
              <w14:schemeClr w14:val="tx1"/>
            </w14:solidFill>
          </w14:textFill>
        </w:rPr>
      </w:pPr>
    </w:p>
    <w:p>
      <w:pPr>
        <w:jc w:val="center"/>
        <w:rPr>
          <w:rFonts w:hint="eastAsia" w:ascii="宋体" w:hAnsi="宋体"/>
          <w:b/>
          <w:color w:val="000000" w:themeColor="text1"/>
          <w:sz w:val="56"/>
          <w:szCs w:val="56"/>
          <w:highlight w:val="none"/>
          <w14:textFill>
            <w14:solidFill>
              <w14:schemeClr w14:val="tx1"/>
            </w14:solidFill>
          </w14:textFill>
        </w:rPr>
      </w:pPr>
    </w:p>
    <w:p>
      <w:pPr>
        <w:jc w:val="center"/>
        <w:rPr>
          <w:rFonts w:hint="eastAsia" w:ascii="宋体" w:hAnsi="宋体"/>
          <w:b/>
          <w:color w:val="000000" w:themeColor="text1"/>
          <w:sz w:val="56"/>
          <w:szCs w:val="56"/>
          <w:highlight w:val="none"/>
          <w14:textFill>
            <w14:solidFill>
              <w14:schemeClr w14:val="tx1"/>
            </w14:solidFill>
          </w14:textFill>
        </w:rPr>
      </w:pPr>
      <w:r>
        <w:rPr>
          <w:rFonts w:hint="eastAsia" w:ascii="宋体" w:hAnsi="宋体"/>
          <w:b/>
          <w:color w:val="000000" w:themeColor="text1"/>
          <w:sz w:val="56"/>
          <w:szCs w:val="56"/>
          <w:highlight w:val="none"/>
          <w14:textFill>
            <w14:solidFill>
              <w14:schemeClr w14:val="tx1"/>
            </w14:solidFill>
          </w14:textFill>
        </w:rPr>
        <w:t>中共南京江北新区工作委员会宣传和统战部</w:t>
      </w:r>
    </w:p>
    <w:p>
      <w:pPr>
        <w:jc w:val="center"/>
        <w:rPr>
          <w:rFonts w:hint="eastAsia" w:ascii="宋体" w:hAnsi="宋体"/>
          <w:b/>
          <w:color w:val="000000" w:themeColor="text1"/>
          <w:sz w:val="56"/>
          <w:szCs w:val="56"/>
          <w:highlight w:val="none"/>
          <w14:textFill>
            <w14:solidFill>
              <w14:schemeClr w14:val="tx1"/>
            </w14:solidFill>
          </w14:textFill>
        </w:rPr>
      </w:pPr>
      <w:r>
        <w:rPr>
          <w:rFonts w:hint="eastAsia" w:ascii="宋体" w:hAnsi="宋体"/>
          <w:b/>
          <w:color w:val="000000" w:themeColor="text1"/>
          <w:sz w:val="56"/>
          <w:szCs w:val="56"/>
          <w:highlight w:val="none"/>
          <w14:textFill>
            <w14:solidFill>
              <w14:schemeClr w14:val="tx1"/>
            </w14:solidFill>
          </w14:textFill>
        </w:rPr>
        <w:t>单一来源采购文件</w:t>
      </w:r>
    </w:p>
    <w:p>
      <w:pPr>
        <w:spacing w:line="460" w:lineRule="exact"/>
        <w:ind w:firstLine="1080" w:firstLineChars="360"/>
        <w:rPr>
          <w:rFonts w:hint="eastAsia" w:ascii="宋体" w:hAnsi="宋体" w:cs="Arial"/>
          <w:color w:val="000000" w:themeColor="text1"/>
          <w:sz w:val="30"/>
          <w:szCs w:val="30"/>
          <w:highlight w:val="none"/>
          <w14:textFill>
            <w14:solidFill>
              <w14:schemeClr w14:val="tx1"/>
            </w14:solidFill>
          </w14:textFill>
        </w:rPr>
      </w:pPr>
    </w:p>
    <w:p>
      <w:pPr>
        <w:spacing w:line="460" w:lineRule="exact"/>
        <w:ind w:firstLine="1080" w:firstLineChars="360"/>
        <w:rPr>
          <w:rFonts w:hint="eastAsia" w:ascii="宋体" w:hAnsi="宋体" w:cs="Arial"/>
          <w:color w:val="000000" w:themeColor="text1"/>
          <w:sz w:val="30"/>
          <w:szCs w:val="30"/>
          <w:highlight w:val="none"/>
          <w14:textFill>
            <w14:solidFill>
              <w14:schemeClr w14:val="tx1"/>
            </w14:solidFill>
          </w14:textFill>
        </w:rPr>
      </w:pPr>
    </w:p>
    <w:p>
      <w:pPr>
        <w:spacing w:line="460" w:lineRule="exact"/>
        <w:ind w:firstLine="1080" w:firstLineChars="360"/>
        <w:rPr>
          <w:rFonts w:hint="eastAsia" w:ascii="宋体" w:hAnsi="宋体" w:cs="Arial"/>
          <w:color w:val="000000" w:themeColor="text1"/>
          <w:sz w:val="30"/>
          <w:szCs w:val="30"/>
          <w:highlight w:val="none"/>
          <w14:textFill>
            <w14:solidFill>
              <w14:schemeClr w14:val="tx1"/>
            </w14:solidFill>
          </w14:textFill>
        </w:rPr>
      </w:pPr>
    </w:p>
    <w:p>
      <w:pPr>
        <w:spacing w:line="460" w:lineRule="exact"/>
        <w:ind w:firstLine="1080" w:firstLineChars="360"/>
        <w:rPr>
          <w:rFonts w:hint="eastAsia" w:ascii="宋体" w:hAnsi="宋体" w:cs="Arial"/>
          <w:color w:val="000000" w:themeColor="text1"/>
          <w:sz w:val="30"/>
          <w:szCs w:val="30"/>
          <w:highlight w:val="none"/>
          <w14:textFill>
            <w14:solidFill>
              <w14:schemeClr w14:val="tx1"/>
            </w14:solidFill>
          </w14:textFill>
        </w:rPr>
      </w:pPr>
    </w:p>
    <w:p>
      <w:pPr>
        <w:spacing w:line="360" w:lineRule="auto"/>
        <w:ind w:left="1560" w:hanging="1560" w:hangingChars="518"/>
        <w:rPr>
          <w:rFonts w:hint="eastAsia" w:ascii="宋体" w:hAnsi="宋体" w:cs="宋体"/>
          <w:b/>
          <w:color w:val="000000" w:themeColor="text1"/>
          <w:sz w:val="30"/>
          <w:szCs w:val="30"/>
          <w:highlight w:val="none"/>
          <w:shd w:val="clear" w:color="auto" w:fill="FFFFFF"/>
          <w14:textFill>
            <w14:solidFill>
              <w14:schemeClr w14:val="tx1"/>
            </w14:solidFill>
          </w14:textFill>
        </w:rPr>
      </w:pPr>
      <w:r>
        <w:rPr>
          <w:rFonts w:ascii="宋体" w:hAnsi="宋体" w:cs="宋体"/>
          <w:b/>
          <w:color w:val="000000" w:themeColor="text1"/>
          <w:sz w:val="30"/>
          <w:szCs w:val="30"/>
          <w:highlight w:val="none"/>
          <w:shd w:val="clear" w:color="auto" w:fill="FFFFFF"/>
          <w14:textFill>
            <w14:solidFill>
              <w14:schemeClr w14:val="tx1"/>
            </w14:solidFill>
          </w14:textFill>
        </w:rPr>
        <w:t>项目编号：</w:t>
      </w:r>
      <w:r>
        <w:rPr>
          <w:rFonts w:hint="eastAsia" w:ascii="仿宋" w:hAnsi="仿宋" w:eastAsia="仿宋" w:cs="仿宋"/>
          <w:b/>
          <w:bCs/>
          <w:color w:val="000000" w:themeColor="text1"/>
          <w:kern w:val="0"/>
          <w:sz w:val="32"/>
          <w:highlight w:val="none"/>
          <w14:textFill>
            <w14:solidFill>
              <w14:schemeClr w14:val="tx1"/>
            </w14:solidFill>
          </w14:textFill>
        </w:rPr>
        <w:t>JSZC-320192-SJGC-D2026-0008</w:t>
      </w:r>
    </w:p>
    <w:p>
      <w:pPr>
        <w:rPr>
          <w:rFonts w:hint="eastAsia" w:ascii="仿宋" w:hAnsi="仿宋" w:eastAsia="仿宋"/>
          <w:color w:val="000000" w:themeColor="text1"/>
          <w:sz w:val="28"/>
          <w:szCs w:val="28"/>
          <w:highlight w:val="none"/>
          <w:lang w:val="zh-CN"/>
          <w14:textFill>
            <w14:solidFill>
              <w14:schemeClr w14:val="tx1"/>
            </w14:solidFill>
          </w14:textFill>
        </w:rPr>
      </w:pPr>
      <w:r>
        <w:rPr>
          <w:rFonts w:ascii="宋体" w:hAnsi="宋体" w:cs="Arial"/>
          <w:b/>
          <w:color w:val="000000" w:themeColor="text1"/>
          <w:sz w:val="30"/>
          <w:szCs w:val="30"/>
          <w:highlight w:val="none"/>
          <w14:textFill>
            <w14:solidFill>
              <w14:schemeClr w14:val="tx1"/>
            </w14:solidFill>
          </w14:textFill>
        </w:rPr>
        <w:t>项目</w:t>
      </w:r>
      <w:r>
        <w:rPr>
          <w:rFonts w:ascii="宋体" w:hAnsi="宋体" w:cs="宋体"/>
          <w:b/>
          <w:color w:val="000000" w:themeColor="text1"/>
          <w:sz w:val="30"/>
          <w:szCs w:val="30"/>
          <w:highlight w:val="none"/>
          <w:shd w:val="clear" w:color="auto" w:fill="FFFFFF"/>
          <w14:textFill>
            <w14:solidFill>
              <w14:schemeClr w14:val="tx1"/>
            </w14:solidFill>
          </w14:textFill>
        </w:rPr>
        <w:t>名称：</w:t>
      </w:r>
      <w:r>
        <w:rPr>
          <w:rFonts w:hint="eastAsia" w:ascii="宋体" w:hAnsi="宋体" w:cs="宋体"/>
          <w:b/>
          <w:color w:val="000000" w:themeColor="text1"/>
          <w:sz w:val="30"/>
          <w:szCs w:val="30"/>
          <w:highlight w:val="none"/>
          <w:shd w:val="clear" w:color="auto" w:fill="FFFFFF"/>
          <w:lang w:val="zh-CN"/>
          <w14:textFill>
            <w14:solidFill>
              <w14:schemeClr w14:val="tx1"/>
            </w14:solidFill>
          </w14:textFill>
        </w:rPr>
        <w:t>南京江北新区2026年综合信息服务及智库合作项目</w:t>
      </w:r>
    </w:p>
    <w:p>
      <w:pPr>
        <w:spacing w:line="360" w:lineRule="auto"/>
        <w:ind w:left="1560" w:hanging="1560" w:hangingChars="518"/>
        <w:rPr>
          <w:rFonts w:hint="eastAsia" w:ascii="宋体" w:hAnsi="宋体" w:cs="宋体"/>
          <w:b/>
          <w:color w:val="000000" w:themeColor="text1"/>
          <w:sz w:val="30"/>
          <w:szCs w:val="30"/>
          <w:highlight w:val="none"/>
          <w:shd w:val="clear" w:color="auto" w:fill="FFFFFF"/>
          <w14:textFill>
            <w14:solidFill>
              <w14:schemeClr w14:val="tx1"/>
            </w14:solidFill>
          </w14:textFill>
        </w:rPr>
      </w:pPr>
    </w:p>
    <w:p>
      <w:pPr>
        <w:ind w:firstLine="3960" w:firstLineChars="1100"/>
        <w:rPr>
          <w:rFonts w:hint="eastAsia" w:ascii="宋体" w:hAnsi="宋体" w:cs="Arial"/>
          <w:color w:val="000000" w:themeColor="text1"/>
          <w:spacing w:val="40"/>
          <w:sz w:val="28"/>
          <w:highlight w:val="none"/>
          <w14:textFill>
            <w14:solidFill>
              <w14:schemeClr w14:val="tx1"/>
            </w14:solidFill>
          </w14:textFill>
        </w:rPr>
      </w:pPr>
    </w:p>
    <w:p>
      <w:pPr>
        <w:rPr>
          <w:rFonts w:hint="eastAsia" w:ascii="宋体" w:hAnsi="宋体" w:cs="Arial"/>
          <w:color w:val="000000" w:themeColor="text1"/>
          <w:spacing w:val="40"/>
          <w:sz w:val="28"/>
          <w:highlight w:val="none"/>
          <w14:textFill>
            <w14:solidFill>
              <w14:schemeClr w14:val="tx1"/>
            </w14:solidFill>
          </w14:textFill>
        </w:rPr>
      </w:pPr>
    </w:p>
    <w:p>
      <w:pPr>
        <w:ind w:firstLine="3960" w:firstLineChars="1100"/>
        <w:rPr>
          <w:rFonts w:hint="eastAsia" w:ascii="宋体" w:hAnsi="宋体" w:cs="Arial"/>
          <w:color w:val="000000" w:themeColor="text1"/>
          <w:spacing w:val="40"/>
          <w:sz w:val="28"/>
          <w:highlight w:val="none"/>
          <w14:textFill>
            <w14:solidFill>
              <w14:schemeClr w14:val="tx1"/>
            </w14:solidFill>
          </w14:textFill>
        </w:rPr>
      </w:pPr>
    </w:p>
    <w:p>
      <w:pPr>
        <w:spacing w:line="360" w:lineRule="auto"/>
        <w:jc w:val="center"/>
        <w:rPr>
          <w:rFonts w:hint="eastAsia" w:ascii="宋体" w:hAnsi="宋体" w:cs="Arial"/>
          <w:b/>
          <w:color w:val="000000" w:themeColor="text1"/>
          <w:sz w:val="30"/>
          <w:szCs w:val="30"/>
          <w:highlight w:val="none"/>
          <w14:textFill>
            <w14:solidFill>
              <w14:schemeClr w14:val="tx1"/>
            </w14:solidFill>
          </w14:textFill>
        </w:rPr>
      </w:pPr>
      <w:r>
        <w:rPr>
          <w:rFonts w:hint="eastAsia" w:ascii="宋体" w:hAnsi="宋体" w:cs="Arial"/>
          <w:b/>
          <w:color w:val="000000" w:themeColor="text1"/>
          <w:sz w:val="30"/>
          <w:szCs w:val="30"/>
          <w:highlight w:val="none"/>
          <w14:textFill>
            <w14:solidFill>
              <w14:schemeClr w14:val="tx1"/>
            </w14:solidFill>
          </w14:textFill>
        </w:rPr>
        <w:t>江苏苏建工程项目管理咨询有限公司</w:t>
      </w:r>
    </w:p>
    <w:p>
      <w:pPr>
        <w:spacing w:line="360" w:lineRule="auto"/>
        <w:jc w:val="center"/>
        <w:rPr>
          <w:rFonts w:hint="eastAsia" w:ascii="宋体" w:hAnsi="宋体" w:cs="Arial"/>
          <w:b/>
          <w:color w:val="000000" w:themeColor="text1"/>
          <w:sz w:val="30"/>
          <w:szCs w:val="30"/>
          <w:highlight w:val="none"/>
          <w14:textFill>
            <w14:solidFill>
              <w14:schemeClr w14:val="tx1"/>
            </w14:solidFill>
          </w14:textFill>
        </w:rPr>
      </w:pPr>
      <w:r>
        <w:rPr>
          <w:rFonts w:ascii="宋体" w:hAnsi="宋体" w:cs="Arial"/>
          <w:b/>
          <w:color w:val="000000" w:themeColor="text1"/>
          <w:sz w:val="30"/>
          <w:szCs w:val="30"/>
          <w:highlight w:val="none"/>
          <w14:textFill>
            <w14:solidFill>
              <w14:schemeClr w14:val="tx1"/>
            </w14:solidFill>
          </w14:textFill>
        </w:rPr>
        <w:t>二</w:t>
      </w:r>
      <w:r>
        <w:rPr>
          <w:rFonts w:hint="eastAsia" w:ascii="宋体" w:hAnsi="宋体" w:cs="Arial"/>
          <w:b/>
          <w:color w:val="000000" w:themeColor="text1"/>
          <w:sz w:val="30"/>
          <w:szCs w:val="30"/>
          <w:highlight w:val="none"/>
          <w14:textFill>
            <w14:solidFill>
              <w14:schemeClr w14:val="tx1"/>
            </w14:solidFill>
          </w14:textFill>
        </w:rPr>
        <w:t>〇</w:t>
      </w:r>
      <w:r>
        <w:rPr>
          <w:rFonts w:ascii="宋体" w:hAnsi="宋体" w:cs="Arial"/>
          <w:b/>
          <w:color w:val="000000" w:themeColor="text1"/>
          <w:sz w:val="30"/>
          <w:szCs w:val="30"/>
          <w:highlight w:val="none"/>
          <w14:textFill>
            <w14:solidFill>
              <w14:schemeClr w14:val="tx1"/>
            </w14:solidFill>
          </w14:textFill>
        </w:rPr>
        <w:t>二</w:t>
      </w:r>
      <w:r>
        <w:rPr>
          <w:rFonts w:hint="eastAsia" w:ascii="宋体" w:hAnsi="宋体" w:cs="Arial"/>
          <w:b/>
          <w:color w:val="000000" w:themeColor="text1"/>
          <w:sz w:val="30"/>
          <w:szCs w:val="30"/>
          <w:highlight w:val="none"/>
          <w14:textFill>
            <w14:solidFill>
              <w14:schemeClr w14:val="tx1"/>
            </w14:solidFill>
          </w14:textFill>
        </w:rPr>
        <w:t>六</w:t>
      </w:r>
      <w:r>
        <w:rPr>
          <w:rFonts w:ascii="宋体" w:hAnsi="宋体" w:cs="Arial"/>
          <w:b/>
          <w:color w:val="000000" w:themeColor="text1"/>
          <w:sz w:val="30"/>
          <w:szCs w:val="30"/>
          <w:highlight w:val="none"/>
          <w14:textFill>
            <w14:solidFill>
              <w14:schemeClr w14:val="tx1"/>
            </w14:solidFill>
          </w14:textFill>
        </w:rPr>
        <w:t>年</w:t>
      </w:r>
      <w:r>
        <w:rPr>
          <w:rFonts w:hint="eastAsia" w:ascii="宋体" w:hAnsi="宋体" w:cs="Arial"/>
          <w:b/>
          <w:color w:val="000000" w:themeColor="text1"/>
          <w:sz w:val="30"/>
          <w:szCs w:val="30"/>
          <w:highlight w:val="none"/>
          <w14:textFill>
            <w14:solidFill>
              <w14:schemeClr w14:val="tx1"/>
            </w14:solidFill>
          </w14:textFill>
        </w:rPr>
        <w:t>五</w:t>
      </w:r>
      <w:r>
        <w:rPr>
          <w:rFonts w:ascii="宋体" w:hAnsi="宋体" w:cs="Arial"/>
          <w:b/>
          <w:color w:val="000000" w:themeColor="text1"/>
          <w:sz w:val="30"/>
          <w:szCs w:val="30"/>
          <w:highlight w:val="none"/>
          <w14:textFill>
            <w14:solidFill>
              <w14:schemeClr w14:val="tx1"/>
            </w14:solidFill>
          </w14:textFill>
        </w:rPr>
        <w:t>月</w:t>
      </w:r>
    </w:p>
    <w:p>
      <w:pPr>
        <w:rPr>
          <w:rFonts w:hint="eastAsia" w:ascii="宋体" w:hAnsi="宋体"/>
          <w:color w:val="000000" w:themeColor="text1"/>
          <w:highlight w:val="none"/>
          <w14:textFill>
            <w14:solidFill>
              <w14:schemeClr w14:val="tx1"/>
            </w14:solidFill>
          </w14:textFill>
        </w:rPr>
        <w:sectPr>
          <w:headerReference r:id="rId4" w:type="first"/>
          <w:headerReference r:id="rId3" w:type="default"/>
          <w:pgSz w:w="11906" w:h="16838"/>
          <w:pgMar w:top="1417" w:right="1417" w:bottom="1417" w:left="1417" w:header="851" w:footer="992" w:gutter="0"/>
          <w:cols w:space="425" w:num="1"/>
          <w:titlePg/>
          <w:docGrid w:type="lines" w:linePitch="312" w:charSpace="0"/>
        </w:sectPr>
      </w:pPr>
    </w:p>
    <w:p>
      <w:pPr>
        <w:pStyle w:val="28"/>
        <w:ind w:firstLine="600"/>
        <w:rPr>
          <w:color w:val="000000" w:themeColor="text1"/>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pStyle w:val="48"/>
        <w:jc w:val="center"/>
        <w:outlineLvl w:val="0"/>
        <w:rPr>
          <w:rFonts w:hint="eastAsia" w:ascii="宋体" w:hAnsi="宋体" w:eastAsia="宋体"/>
          <w:color w:val="000000" w:themeColor="text1"/>
          <w:sz w:val="40"/>
          <w:szCs w:val="40"/>
          <w:highlight w:val="none"/>
          <w14:textFill>
            <w14:solidFill>
              <w14:schemeClr w14:val="tx1"/>
            </w14:solidFill>
          </w14:textFill>
        </w:rPr>
      </w:pPr>
      <w:r>
        <w:rPr>
          <w:rFonts w:ascii="宋体" w:hAnsi="宋体" w:eastAsia="宋体"/>
          <w:color w:val="000000" w:themeColor="text1"/>
          <w:sz w:val="40"/>
          <w:szCs w:val="40"/>
          <w:highlight w:val="none"/>
          <w:lang w:val="zh-CN"/>
          <w14:textFill>
            <w14:solidFill>
              <w14:schemeClr w14:val="tx1"/>
            </w14:solidFill>
          </w14:textFill>
        </w:rPr>
        <w:t>目</w:t>
      </w:r>
      <w:r>
        <w:rPr>
          <w:rFonts w:hint="eastAsia" w:ascii="宋体" w:hAnsi="宋体" w:eastAsia="宋体"/>
          <w:color w:val="000000" w:themeColor="text1"/>
          <w:sz w:val="40"/>
          <w:szCs w:val="40"/>
          <w:highlight w:val="none"/>
          <w:lang w:val="zh-CN"/>
          <w14:textFill>
            <w14:solidFill>
              <w14:schemeClr w14:val="tx1"/>
            </w14:solidFill>
          </w14:textFill>
        </w:rPr>
        <w:t xml:space="preserve"> </w:t>
      </w:r>
      <w:r>
        <w:rPr>
          <w:rFonts w:ascii="宋体" w:hAnsi="宋体" w:eastAsia="宋体"/>
          <w:color w:val="000000" w:themeColor="text1"/>
          <w:sz w:val="40"/>
          <w:szCs w:val="40"/>
          <w:highlight w:val="none"/>
          <w:lang w:val="zh-CN"/>
          <w14:textFill>
            <w14:solidFill>
              <w14:schemeClr w14:val="tx1"/>
            </w14:solidFill>
          </w14:textFill>
        </w:rPr>
        <w:t>录</w:t>
      </w:r>
    </w:p>
    <w:p>
      <w:pPr>
        <w:pStyle w:val="21"/>
        <w:tabs>
          <w:tab w:val="right" w:leader="dot" w:pos="9072"/>
          <w:tab w:val="clear" w:pos="9360"/>
        </w:tabs>
        <w:spacing w:line="560" w:lineRule="exact"/>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TOC \o "1-1" \h \u </w:instrText>
      </w:r>
      <w:r>
        <w:rPr>
          <w:rFonts w:ascii="宋体" w:hAnsi="宋体"/>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"_Toc13587"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第一章、单一来源采购邀请</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_Toc13587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3</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pPr>
        <w:pStyle w:val="21"/>
        <w:tabs>
          <w:tab w:val="right" w:leader="dot" w:pos="9072"/>
          <w:tab w:val="clear" w:pos="9360"/>
        </w:tabs>
        <w:spacing w:line="560" w:lineRule="exact"/>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"_Toc9518"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第二章、供应商须知</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_Toc9518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7</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pPr>
        <w:pStyle w:val="21"/>
        <w:tabs>
          <w:tab w:val="right" w:leader="dot" w:pos="9072"/>
          <w:tab w:val="clear" w:pos="9360"/>
        </w:tabs>
        <w:spacing w:line="560" w:lineRule="exact"/>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"_Toc14533"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第三章、采购需求</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_Toc14533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20</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pPr>
        <w:pStyle w:val="21"/>
        <w:tabs>
          <w:tab w:val="right" w:leader="dot" w:pos="9072"/>
          <w:tab w:val="clear" w:pos="9360"/>
        </w:tabs>
        <w:spacing w:line="560" w:lineRule="exact"/>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"_Toc25212"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第四章、合同主要条款及格式</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_Toc25212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22</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pPr>
        <w:pStyle w:val="21"/>
        <w:tabs>
          <w:tab w:val="right" w:leader="dot" w:pos="9072"/>
          <w:tab w:val="clear" w:pos="9360"/>
        </w:tabs>
        <w:spacing w:line="5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"_Toc18256"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第五章、响应文件格式及附件</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_Toc18256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28</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pPr>
        <w:spacing w:line="560" w:lineRule="exac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Cs w:val="28"/>
          <w:highlight w:val="none"/>
          <w14:textFill>
            <w14:solidFill>
              <w14:schemeClr w14:val="tx1"/>
            </w14:solidFill>
          </w14:textFill>
        </w:rPr>
        <w:fldChar w:fldCharType="end"/>
      </w:r>
    </w:p>
    <w:p>
      <w:pPr>
        <w:jc w:val="center"/>
        <w:rPr>
          <w:rFonts w:hint="eastAsia" w:ascii="宋体" w:hAnsi="宋体" w:cs="Arial"/>
          <w:b/>
          <w:bCs/>
          <w:color w:val="000000" w:themeColor="text1"/>
          <w:sz w:val="32"/>
          <w:szCs w:val="32"/>
          <w:highlight w:val="none"/>
          <w14:textFill>
            <w14:solidFill>
              <w14:schemeClr w14:val="tx1"/>
            </w14:solidFill>
          </w14:textFill>
        </w:rPr>
      </w:pPr>
    </w:p>
    <w:p>
      <w:pPr>
        <w:jc w:val="center"/>
        <w:rPr>
          <w:rFonts w:hint="eastAsia" w:ascii="宋体" w:hAnsi="宋体" w:cs="Arial"/>
          <w:b/>
          <w:bCs/>
          <w:color w:val="000000" w:themeColor="text1"/>
          <w:sz w:val="32"/>
          <w:szCs w:val="32"/>
          <w:highlight w:val="none"/>
          <w14:textFill>
            <w14:solidFill>
              <w14:schemeClr w14:val="tx1"/>
            </w14:solidFill>
          </w14:textFill>
        </w:rPr>
      </w:pPr>
    </w:p>
    <w:p>
      <w:pPr>
        <w:jc w:val="center"/>
        <w:rPr>
          <w:rFonts w:hint="eastAsia" w:ascii="宋体" w:hAnsi="宋体" w:cs="Arial"/>
          <w:b/>
          <w:bCs/>
          <w:color w:val="000000" w:themeColor="text1"/>
          <w:sz w:val="32"/>
          <w:szCs w:val="32"/>
          <w:highlight w:val="none"/>
          <w14:textFill>
            <w14:solidFill>
              <w14:schemeClr w14:val="tx1"/>
            </w14:solidFill>
          </w14:textFill>
        </w:rPr>
      </w:pPr>
    </w:p>
    <w:p>
      <w:pPr>
        <w:jc w:val="center"/>
        <w:rPr>
          <w:rFonts w:hint="eastAsia" w:ascii="宋体" w:hAnsi="宋体" w:cs="Arial"/>
          <w:b/>
          <w:bCs/>
          <w:color w:val="000000" w:themeColor="text1"/>
          <w:sz w:val="32"/>
          <w:szCs w:val="32"/>
          <w:highlight w:val="none"/>
          <w14:textFill>
            <w14:solidFill>
              <w14:schemeClr w14:val="tx1"/>
            </w14:solidFill>
          </w14:textFill>
        </w:rPr>
      </w:pPr>
    </w:p>
    <w:p>
      <w:pPr>
        <w:jc w:val="center"/>
        <w:rPr>
          <w:rFonts w:hint="eastAsia" w:ascii="宋体" w:hAnsi="宋体" w:cs="Arial"/>
          <w:b/>
          <w:bCs/>
          <w:color w:val="000000" w:themeColor="text1"/>
          <w:sz w:val="32"/>
          <w:szCs w:val="32"/>
          <w:highlight w:val="none"/>
          <w14:textFill>
            <w14:solidFill>
              <w14:schemeClr w14:val="tx1"/>
            </w14:solidFill>
          </w14:textFill>
        </w:rPr>
      </w:pPr>
    </w:p>
    <w:p>
      <w:pPr>
        <w:jc w:val="center"/>
        <w:rPr>
          <w:rFonts w:hint="eastAsia" w:ascii="宋体" w:hAnsi="宋体" w:cs="Arial"/>
          <w:b/>
          <w:bCs/>
          <w:color w:val="000000" w:themeColor="text1"/>
          <w:sz w:val="32"/>
          <w:szCs w:val="32"/>
          <w:highlight w:val="none"/>
          <w14:textFill>
            <w14:solidFill>
              <w14:schemeClr w14:val="tx1"/>
            </w14:solidFill>
          </w14:textFill>
        </w:rPr>
      </w:pPr>
    </w:p>
    <w:p>
      <w:pPr>
        <w:jc w:val="center"/>
        <w:rPr>
          <w:rFonts w:hint="eastAsia" w:ascii="宋体" w:hAnsi="宋体" w:cs="Arial"/>
          <w:b/>
          <w:bCs/>
          <w:color w:val="000000" w:themeColor="text1"/>
          <w:sz w:val="32"/>
          <w:szCs w:val="32"/>
          <w:highlight w:val="none"/>
          <w14:textFill>
            <w14:solidFill>
              <w14:schemeClr w14:val="tx1"/>
            </w14:solidFill>
          </w14:textFill>
        </w:rPr>
      </w:pPr>
    </w:p>
    <w:p>
      <w:pPr>
        <w:jc w:val="center"/>
        <w:rPr>
          <w:rFonts w:hint="eastAsia" w:ascii="宋体" w:hAnsi="宋体" w:cs="Arial"/>
          <w:b/>
          <w:bCs/>
          <w:color w:val="000000" w:themeColor="text1"/>
          <w:sz w:val="32"/>
          <w:szCs w:val="32"/>
          <w:highlight w:val="none"/>
          <w14:textFill>
            <w14:solidFill>
              <w14:schemeClr w14:val="tx1"/>
            </w14:solidFill>
          </w14:textFill>
        </w:rPr>
      </w:pPr>
    </w:p>
    <w:p>
      <w:pPr>
        <w:widowControl/>
        <w:jc w:val="left"/>
        <w:rPr>
          <w:rFonts w:hint="eastAsia" w:ascii="宋体" w:hAnsi="宋体"/>
          <w:b/>
          <w:color w:val="000000" w:themeColor="text1"/>
          <w:sz w:val="44"/>
          <w:szCs w:val="20"/>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p>
    <w:p>
      <w:pPr>
        <w:pStyle w:val="5"/>
        <w:spacing w:before="340" w:after="330" w:line="578" w:lineRule="auto"/>
        <w:jc w:val="center"/>
        <w:rPr>
          <w:rFonts w:hint="eastAsia" w:cs="宋体" w:asciiTheme="minorEastAsia" w:hAnsiTheme="minorEastAsia" w:eastAsiaTheme="minorEastAsia"/>
          <w:color w:val="000000" w:themeColor="text1"/>
          <w:highlight w:val="none"/>
          <w14:textFill>
            <w14:solidFill>
              <w14:schemeClr w14:val="tx1"/>
            </w14:solidFill>
          </w14:textFill>
        </w:rPr>
      </w:pPr>
      <w:bookmarkStart w:id="0" w:name="_Toc25690"/>
      <w:bookmarkStart w:id="1" w:name="_Toc13587"/>
      <w:r>
        <w:rPr>
          <w:rFonts w:hint="eastAsia" w:cs="宋体" w:asciiTheme="minorEastAsia" w:hAnsiTheme="minorEastAsia" w:eastAsiaTheme="minorEastAsia"/>
          <w:color w:val="000000" w:themeColor="text1"/>
          <w:highlight w:val="none"/>
          <w14:textFill>
            <w14:solidFill>
              <w14:schemeClr w14:val="tx1"/>
            </w14:solidFill>
          </w14:textFill>
        </w:rPr>
        <w:t>第一章、单一来源采购邀请</w:t>
      </w:r>
      <w:bookmarkEnd w:id="0"/>
      <w:bookmarkEnd w:id="1"/>
    </w:p>
    <w:p>
      <w:pPr>
        <w:adjustRightInd w:val="0"/>
        <w:snapToGrid w:val="0"/>
        <w:spacing w:line="560" w:lineRule="exact"/>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受</w:t>
      </w:r>
      <w:r>
        <w:rPr>
          <w:rFonts w:hint="eastAsia" w:ascii="宋体" w:hAnsi="宋体"/>
          <w:b/>
          <w:bCs/>
          <w:color w:val="000000" w:themeColor="text1"/>
          <w:sz w:val="28"/>
          <w:highlight w:val="none"/>
          <w:u w:val="single"/>
          <w:lang w:val="zh-CN"/>
          <w14:textFill>
            <w14:solidFill>
              <w14:schemeClr w14:val="tx1"/>
            </w14:solidFill>
          </w14:textFill>
        </w:rPr>
        <w:t>中共南京江北新区工作委员会宣传和统战部</w:t>
      </w:r>
      <w:r>
        <w:rPr>
          <w:rFonts w:hint="eastAsia" w:ascii="宋体" w:hAnsi="宋体"/>
          <w:color w:val="000000" w:themeColor="text1"/>
          <w:sz w:val="28"/>
          <w:highlight w:val="none"/>
          <w14:textFill>
            <w14:solidFill>
              <w14:schemeClr w14:val="tx1"/>
            </w14:solidFill>
          </w14:textFill>
        </w:rPr>
        <w:t>（</w:t>
      </w:r>
      <w:r>
        <w:rPr>
          <w:rFonts w:hint="eastAsia" w:ascii="宋体" w:hAnsi="宋体"/>
          <w:color w:val="000000" w:themeColor="text1"/>
          <w:sz w:val="28"/>
          <w:highlight w:val="none"/>
          <w:lang w:val="zh-CN"/>
          <w14:textFill>
            <w14:solidFill>
              <w14:schemeClr w14:val="tx1"/>
            </w14:solidFill>
          </w14:textFill>
        </w:rPr>
        <w:t>采购单位名称，以下简称“采购人”</w:t>
      </w:r>
      <w:r>
        <w:rPr>
          <w:rFonts w:hint="eastAsia" w:ascii="宋体" w:hAnsi="宋体"/>
          <w:color w:val="000000" w:themeColor="text1"/>
          <w:sz w:val="28"/>
          <w:highlight w:val="none"/>
          <w14:textFill>
            <w14:solidFill>
              <w14:schemeClr w14:val="tx1"/>
            </w14:solidFill>
          </w14:textFill>
        </w:rPr>
        <w:t>）委托，</w:t>
      </w:r>
      <w:r>
        <w:rPr>
          <w:rFonts w:hint="eastAsia" w:ascii="宋体" w:hAnsi="宋体"/>
          <w:color w:val="000000" w:themeColor="text1"/>
          <w:sz w:val="28"/>
          <w:highlight w:val="none"/>
          <w:lang w:val="zh-CN"/>
          <w14:textFill>
            <w14:solidFill>
              <w14:schemeClr w14:val="tx1"/>
            </w14:solidFill>
          </w14:textFill>
        </w:rPr>
        <w:t>江苏苏建工程项目管理咨询有限公司</w:t>
      </w:r>
      <w:r>
        <w:rPr>
          <w:rFonts w:hint="eastAsia" w:ascii="宋体" w:hAnsi="宋体"/>
          <w:color w:val="000000" w:themeColor="text1"/>
          <w:sz w:val="28"/>
          <w:highlight w:val="none"/>
          <w14:textFill>
            <w14:solidFill>
              <w14:schemeClr w14:val="tx1"/>
            </w14:solidFill>
          </w14:textFill>
        </w:rPr>
        <w:t>（</w:t>
      </w:r>
      <w:r>
        <w:rPr>
          <w:rFonts w:hint="eastAsia" w:ascii="宋体" w:hAnsi="宋体"/>
          <w:color w:val="000000" w:themeColor="text1"/>
          <w:sz w:val="28"/>
          <w:highlight w:val="none"/>
          <w:lang w:val="zh-CN"/>
          <w14:textFill>
            <w14:solidFill>
              <w14:schemeClr w14:val="tx1"/>
            </w14:solidFill>
          </w14:textFill>
        </w:rPr>
        <w:t>以下简称“代理机构”</w:t>
      </w:r>
      <w:r>
        <w:rPr>
          <w:rFonts w:hint="eastAsia" w:ascii="宋体" w:hAnsi="宋体"/>
          <w:color w:val="000000" w:themeColor="text1"/>
          <w:sz w:val="28"/>
          <w:highlight w:val="none"/>
          <w14:textFill>
            <w14:solidFill>
              <w14:schemeClr w14:val="tx1"/>
            </w14:solidFill>
          </w14:textFill>
        </w:rPr>
        <w:t>）就</w:t>
      </w:r>
      <w:r>
        <w:rPr>
          <w:rFonts w:hint="eastAsia" w:ascii="宋体" w:hAnsi="宋体"/>
          <w:b/>
          <w:bCs/>
          <w:color w:val="000000" w:themeColor="text1"/>
          <w:sz w:val="28"/>
          <w:highlight w:val="none"/>
          <w:u w:val="single"/>
          <w:lang w:val="zh-CN"/>
          <w14:textFill>
            <w14:solidFill>
              <w14:schemeClr w14:val="tx1"/>
            </w14:solidFill>
          </w14:textFill>
        </w:rPr>
        <w:t>南京江北新区2026年综合信息服务及智库合作项目</w:t>
      </w:r>
      <w:r>
        <w:rPr>
          <w:rFonts w:hint="eastAsia" w:ascii="宋体" w:hAnsi="宋体"/>
          <w:color w:val="000000" w:themeColor="text1"/>
          <w:sz w:val="28"/>
          <w:highlight w:val="none"/>
          <w14:textFill>
            <w14:solidFill>
              <w14:schemeClr w14:val="tx1"/>
            </w14:solidFill>
          </w14:textFill>
        </w:rPr>
        <w:t>（项目名称）进行单一来源采购，兹邀请贵单位参加。</w:t>
      </w:r>
    </w:p>
    <w:p>
      <w:pPr>
        <w:adjustRightInd w:val="0"/>
        <w:snapToGrid w:val="0"/>
        <w:spacing w:line="560" w:lineRule="exact"/>
        <w:ind w:firstLine="562" w:firstLineChars="200"/>
        <w:rPr>
          <w:rFonts w:hint="eastAsia" w:ascii="宋体" w:hAnsi="宋体"/>
          <w:b/>
          <w:bCs/>
          <w:color w:val="000000" w:themeColor="text1"/>
          <w:sz w:val="28"/>
          <w:highlight w:val="none"/>
          <w14:textFill>
            <w14:solidFill>
              <w14:schemeClr w14:val="tx1"/>
            </w14:solidFill>
          </w14:textFill>
        </w:rPr>
      </w:pPr>
      <w:bookmarkStart w:id="2" w:name="_Toc28359002"/>
      <w:bookmarkStart w:id="3" w:name="_Toc28359079"/>
      <w:bookmarkStart w:id="4" w:name="_Toc38985263"/>
      <w:bookmarkStart w:id="5" w:name="_Toc35393790"/>
      <w:bookmarkStart w:id="6" w:name="_Toc35393621"/>
      <w:r>
        <w:rPr>
          <w:rFonts w:hint="eastAsia" w:ascii="宋体" w:hAnsi="宋体"/>
          <w:b/>
          <w:bCs/>
          <w:color w:val="000000" w:themeColor="text1"/>
          <w:sz w:val="28"/>
          <w:highlight w:val="none"/>
          <w14:textFill>
            <w14:solidFill>
              <w14:schemeClr w14:val="tx1"/>
            </w14:solidFill>
          </w14:textFill>
        </w:rPr>
        <w:t>一、项目基本情况</w:t>
      </w:r>
      <w:bookmarkEnd w:id="2"/>
      <w:bookmarkEnd w:id="3"/>
      <w:bookmarkEnd w:id="4"/>
      <w:bookmarkEnd w:id="5"/>
      <w:bookmarkEnd w:id="6"/>
    </w:p>
    <w:p>
      <w:pPr>
        <w:adjustRightInd w:val="0"/>
        <w:snapToGrid w:val="0"/>
        <w:spacing w:line="560" w:lineRule="exact"/>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1、项目编号：JSZC-320192-SJGC-D2026-0008</w:t>
      </w:r>
    </w:p>
    <w:p>
      <w:pPr>
        <w:adjustRightInd w:val="0"/>
        <w:snapToGrid w:val="0"/>
        <w:spacing w:line="560" w:lineRule="exact"/>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2、项目名称：</w:t>
      </w:r>
      <w:r>
        <w:rPr>
          <w:rFonts w:hint="eastAsia" w:ascii="宋体" w:hAnsi="宋体"/>
          <w:color w:val="000000" w:themeColor="text1"/>
          <w:sz w:val="28"/>
          <w:highlight w:val="none"/>
          <w:lang w:val="zh-CN"/>
          <w14:textFill>
            <w14:solidFill>
              <w14:schemeClr w14:val="tx1"/>
            </w14:solidFill>
          </w14:textFill>
        </w:rPr>
        <w:t>南京江北新区2026年综合信息服务及智库合作项目</w:t>
      </w:r>
    </w:p>
    <w:p>
      <w:pPr>
        <w:adjustRightInd w:val="0"/>
        <w:snapToGrid w:val="0"/>
        <w:spacing w:line="560" w:lineRule="exact"/>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3、项目预算：173万元（报价超过项目预算作无效响应处理）</w:t>
      </w:r>
    </w:p>
    <w:p>
      <w:pPr>
        <w:adjustRightInd w:val="0"/>
        <w:snapToGrid w:val="0"/>
        <w:spacing w:line="560" w:lineRule="exact"/>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4、采购内容：围绕南京江北新区2026年重点工作与实际需求，聚焦服务企业、项目建设、研产贯通、招商引资等重点经济领域，依托新华社国家通讯社与国家高端智库专业优势，开展综合信息服务及智库服务。（详细内容见本采购文件第三章）</w:t>
      </w:r>
    </w:p>
    <w:p>
      <w:pPr>
        <w:adjustRightInd w:val="0"/>
        <w:snapToGrid w:val="0"/>
        <w:spacing w:line="560" w:lineRule="exact"/>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5、项目服务期限：自合同签订之日起至2026年12月31日。</w:t>
      </w:r>
    </w:p>
    <w:p>
      <w:pPr>
        <w:adjustRightInd w:val="0"/>
        <w:snapToGrid w:val="0"/>
        <w:spacing w:line="560" w:lineRule="exact"/>
        <w:ind w:firstLine="562" w:firstLineChars="200"/>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二、合格供应商资格要求</w:t>
      </w:r>
    </w:p>
    <w:p>
      <w:pPr>
        <w:adjustRightInd w:val="0"/>
        <w:snapToGrid w:val="0"/>
        <w:spacing w:line="560" w:lineRule="exact"/>
        <w:ind w:firstLine="562" w:firstLineChars="200"/>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（一）通用资格要求</w:t>
      </w:r>
    </w:p>
    <w:p>
      <w:pPr>
        <w:adjustRightInd w:val="0"/>
        <w:snapToGrid w:val="0"/>
        <w:spacing w:line="560" w:lineRule="exact"/>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1、满足《中华人民共和国政府采购法》第二十二条规定，并提供下列材料：</w:t>
      </w:r>
    </w:p>
    <w:p>
      <w:pPr>
        <w:adjustRightInd w:val="0"/>
        <w:snapToGrid w:val="0"/>
        <w:spacing w:line="560" w:lineRule="exact"/>
        <w:ind w:firstLine="560" w:firstLineChars="200"/>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1.1</w:t>
      </w:r>
      <w:r>
        <w:rPr>
          <w:rFonts w:hint="eastAsia" w:ascii="宋体" w:hAnsi="宋体"/>
          <w:color w:val="000000" w:themeColor="text1"/>
          <w:sz w:val="28"/>
          <w:highlight w:val="none"/>
          <w:lang w:val="zh-CN"/>
          <w14:textFill>
            <w14:solidFill>
              <w14:schemeClr w14:val="tx1"/>
            </w14:solidFill>
          </w14:textFill>
        </w:rPr>
        <w:t>供应商信用承诺函（格式见第</w:t>
      </w:r>
      <w:r>
        <w:rPr>
          <w:rFonts w:hint="eastAsia" w:ascii="宋体" w:hAnsi="宋体"/>
          <w:color w:val="000000" w:themeColor="text1"/>
          <w:sz w:val="28"/>
          <w:highlight w:val="none"/>
          <w:lang w:val="en-US" w:eastAsia="zh-CN"/>
          <w14:textFill>
            <w14:solidFill>
              <w14:schemeClr w14:val="tx1"/>
            </w14:solidFill>
          </w14:textFill>
        </w:rPr>
        <w:t>五</w:t>
      </w:r>
      <w:r>
        <w:rPr>
          <w:rFonts w:hint="eastAsia" w:ascii="宋体" w:hAnsi="宋体"/>
          <w:color w:val="000000" w:themeColor="text1"/>
          <w:sz w:val="28"/>
          <w:highlight w:val="none"/>
          <w:lang w:val="zh-CN"/>
          <w14:textFill>
            <w14:solidFill>
              <w14:schemeClr w14:val="tx1"/>
            </w14:solidFill>
          </w14:textFill>
        </w:rPr>
        <w:t>章）。</w:t>
      </w:r>
    </w:p>
    <w:p>
      <w:pPr>
        <w:adjustRightInd w:val="0"/>
        <w:snapToGrid w:val="0"/>
        <w:spacing w:line="560" w:lineRule="exact"/>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1.2南京市政府采购供应商信用记录表暨信用承诺书。（扫描件并加盖公章）</w:t>
      </w:r>
    </w:p>
    <w:p>
      <w:pPr>
        <w:adjustRightInd w:val="0"/>
        <w:snapToGrid w:val="0"/>
        <w:spacing w:line="560" w:lineRule="exact"/>
        <w:ind w:firstLine="562" w:firstLineChars="200"/>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（二）本项目的特定资格要求：无。</w:t>
      </w:r>
    </w:p>
    <w:p>
      <w:pPr>
        <w:adjustRightInd w:val="0"/>
        <w:snapToGrid w:val="0"/>
        <w:spacing w:line="560" w:lineRule="exact"/>
        <w:ind w:firstLine="562" w:firstLineChars="200"/>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（三）拒绝下述供应商参加本次采购活动：</w:t>
      </w:r>
    </w:p>
    <w:p>
      <w:pPr>
        <w:adjustRightInd w:val="0"/>
        <w:snapToGrid w:val="0"/>
        <w:spacing w:line="560" w:lineRule="exact"/>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1、单位负责人为同一人或者存在直接控股、管理关系的不同供应商，不得参加同一合同项下的政府采购活动；</w:t>
      </w:r>
    </w:p>
    <w:p>
      <w:pPr>
        <w:adjustRightInd w:val="0"/>
        <w:snapToGrid w:val="0"/>
        <w:spacing w:line="560" w:lineRule="exact"/>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2、为采购项目提供整体设计、规范编制或者项目管理、监理、检测等服务的供应商，不得参加本项目的采购活动；</w:t>
      </w:r>
    </w:p>
    <w:p>
      <w:pPr>
        <w:adjustRightInd w:val="0"/>
        <w:snapToGrid w:val="0"/>
        <w:spacing w:line="560" w:lineRule="exact"/>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3、供应商被“信用中国”网站（www.creditchina.gov.cn）、“中国政府采购网”(www.ccgp.gov.cn)列入失信被执行人、重大税收违法案件当事人名单、政府采购严重违法失信行为记录名单。</w:t>
      </w:r>
    </w:p>
    <w:p>
      <w:pPr>
        <w:adjustRightInd w:val="0"/>
        <w:snapToGrid w:val="0"/>
        <w:spacing w:line="560" w:lineRule="exact"/>
        <w:ind w:firstLine="562" w:firstLineChars="200"/>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（四）落实政府采购政策需满足的资格要求</w:t>
      </w:r>
    </w:p>
    <w:p>
      <w:pPr>
        <w:adjustRightInd w:val="0"/>
        <w:snapToGrid w:val="0"/>
        <w:spacing w:line="560" w:lineRule="exact"/>
        <w:ind w:firstLine="560" w:firstLineChars="200"/>
        <w:rPr>
          <w:rFonts w:hint="eastAsia" w:ascii="宋体" w:hAnsi="宋体"/>
          <w:color w:val="000000" w:themeColor="text1"/>
          <w:sz w:val="28"/>
          <w:highlight w:val="none"/>
          <w:lang w:val="en-US" w:eastAsia="zh-CN"/>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1、本项目按工信部联企业〔2011〕300号文执行中小企业划型标准，落实财库〔2020〕46号等政府采购扶持政策；</w:t>
      </w:r>
    </w:p>
    <w:p>
      <w:pPr>
        <w:adjustRightInd w:val="0"/>
        <w:snapToGrid w:val="0"/>
        <w:spacing w:line="560" w:lineRule="exact"/>
        <w:ind w:firstLine="560" w:firstLineChars="200"/>
        <w:rPr>
          <w:rFonts w:hint="eastAsia"/>
          <w:color w:val="000000" w:themeColor="text1"/>
          <w:highlight w:val="none"/>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2、本项目采购标的对应行业：其他未列明行业。</w:t>
      </w:r>
    </w:p>
    <w:p>
      <w:pPr>
        <w:tabs>
          <w:tab w:val="left" w:pos="3360"/>
        </w:tabs>
        <w:adjustRightInd w:val="0"/>
        <w:snapToGrid w:val="0"/>
        <w:spacing w:line="560" w:lineRule="exact"/>
        <w:ind w:firstLine="562" w:firstLineChars="200"/>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三、获取</w:t>
      </w:r>
      <w:r>
        <w:rPr>
          <w:rFonts w:hint="eastAsia" w:ascii="宋体" w:hAnsi="宋体"/>
          <w:b/>
          <w:bCs/>
          <w:color w:val="000000" w:themeColor="text1"/>
          <w:sz w:val="28"/>
          <w:highlight w:val="none"/>
          <w:lang w:val="en-US" w:eastAsia="zh-CN"/>
          <w14:textFill>
            <w14:solidFill>
              <w14:schemeClr w14:val="tx1"/>
            </w14:solidFill>
          </w14:textFill>
        </w:rPr>
        <w:t>采购</w:t>
      </w:r>
      <w:r>
        <w:rPr>
          <w:rFonts w:hint="eastAsia" w:ascii="宋体" w:hAnsi="宋体"/>
          <w:b/>
          <w:bCs/>
          <w:color w:val="000000" w:themeColor="text1"/>
          <w:sz w:val="28"/>
          <w:highlight w:val="none"/>
          <w14:textFill>
            <w14:solidFill>
              <w14:schemeClr w14:val="tx1"/>
            </w14:solidFill>
          </w14:textFill>
        </w:rPr>
        <w:t>文件方式</w:t>
      </w:r>
    </w:p>
    <w:p>
      <w:pPr>
        <w:adjustRightInd w:val="0"/>
        <w:snapToGrid w:val="0"/>
        <w:spacing w:line="560" w:lineRule="exact"/>
        <w:ind w:firstLine="560" w:firstLineChars="200"/>
        <w:rPr>
          <w:rFonts w:hint="eastAsia" w:ascii="宋体" w:hAnsi="宋体"/>
          <w:color w:val="000000" w:themeColor="text1"/>
          <w:sz w:val="28"/>
          <w:highlight w:val="none"/>
          <w14:textFill>
            <w14:solidFill>
              <w14:schemeClr w14:val="tx1"/>
            </w14:solidFill>
          </w14:textFill>
        </w:rPr>
      </w:pPr>
      <w:bookmarkStart w:id="7" w:name="OLE_LINK31"/>
      <w:r>
        <w:rPr>
          <w:rFonts w:hint="eastAsia" w:ascii="宋体" w:hAnsi="宋体"/>
          <w:color w:val="000000" w:themeColor="text1"/>
          <w:sz w:val="28"/>
          <w:szCs w:val="28"/>
          <w:highlight w:val="none"/>
          <w14:textFill>
            <w14:solidFill>
              <w14:schemeClr w14:val="tx1"/>
            </w14:solidFill>
          </w14:textFill>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7"/>
    </w:p>
    <w:p>
      <w:pPr>
        <w:adjustRightInd w:val="0"/>
        <w:snapToGrid w:val="0"/>
        <w:spacing w:line="560" w:lineRule="exact"/>
        <w:ind w:firstLine="562" w:firstLineChars="200"/>
        <w:rPr>
          <w:rFonts w:hint="eastAsia" w:ascii="宋体" w:hAnsi="宋体"/>
          <w:b/>
          <w:bCs/>
          <w:color w:val="000000" w:themeColor="text1"/>
          <w:sz w:val="28"/>
          <w:highlight w:val="none"/>
          <w14:textFill>
            <w14:solidFill>
              <w14:schemeClr w14:val="tx1"/>
            </w14:solidFill>
          </w14:textFill>
        </w:rPr>
      </w:pPr>
      <w:bookmarkStart w:id="8" w:name="_Toc448323472"/>
      <w:r>
        <w:rPr>
          <w:rFonts w:hint="eastAsia" w:ascii="宋体" w:hAnsi="宋体"/>
          <w:b/>
          <w:bCs/>
          <w:color w:val="000000" w:themeColor="text1"/>
          <w:sz w:val="28"/>
          <w:highlight w:val="none"/>
          <w14:textFill>
            <w14:solidFill>
              <w14:schemeClr w14:val="tx1"/>
            </w14:solidFill>
          </w14:textFill>
        </w:rPr>
        <w:t>四、提交响应文件截止时间、</w:t>
      </w:r>
      <w:r>
        <w:rPr>
          <w:rFonts w:hint="eastAsia" w:ascii="宋体" w:hAnsi="宋体"/>
          <w:b/>
          <w:bCs/>
          <w:color w:val="000000" w:themeColor="text1"/>
          <w:sz w:val="28"/>
          <w:highlight w:val="none"/>
          <w:lang w:val="en-US" w:eastAsia="zh-CN"/>
          <w14:textFill>
            <w14:solidFill>
              <w14:schemeClr w14:val="tx1"/>
            </w14:solidFill>
          </w14:textFill>
        </w:rPr>
        <w:t>谈判</w:t>
      </w:r>
      <w:r>
        <w:rPr>
          <w:rFonts w:hint="eastAsia" w:ascii="宋体" w:hAnsi="宋体"/>
          <w:b/>
          <w:bCs/>
          <w:color w:val="000000" w:themeColor="text1"/>
          <w:sz w:val="28"/>
          <w:highlight w:val="none"/>
          <w14:textFill>
            <w14:solidFill>
              <w14:schemeClr w14:val="tx1"/>
            </w14:solidFill>
          </w14:textFill>
        </w:rPr>
        <w:t>时间和地点</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1、提交响应文件截止时间、</w:t>
      </w:r>
      <w:r>
        <w:rPr>
          <w:rFonts w:hint="eastAsia" w:ascii="宋体" w:hAnsi="宋体"/>
          <w:color w:val="000000" w:themeColor="text1"/>
          <w:sz w:val="28"/>
          <w:szCs w:val="28"/>
          <w:highlight w:val="none"/>
          <w:lang w:val="en-US" w:eastAsia="zh-CN"/>
          <w14:textFill>
            <w14:solidFill>
              <w14:schemeClr w14:val="tx1"/>
            </w14:solidFill>
          </w14:textFill>
        </w:rPr>
        <w:t>谈判</w:t>
      </w:r>
      <w:r>
        <w:rPr>
          <w:rFonts w:hint="eastAsia" w:ascii="宋体" w:hAnsi="宋体"/>
          <w:color w:val="000000" w:themeColor="text1"/>
          <w:sz w:val="28"/>
          <w:szCs w:val="28"/>
          <w:highlight w:val="none"/>
          <w14:textFill>
            <w14:solidFill>
              <w14:schemeClr w14:val="tx1"/>
            </w14:solidFill>
          </w14:textFill>
        </w:rPr>
        <w:t>时间：2026年</w:t>
      </w:r>
      <w:r>
        <w:rPr>
          <w:rFonts w:hint="eastAsia" w:ascii="宋体" w:hAnsi="宋体"/>
          <w:color w:val="000000" w:themeColor="text1"/>
          <w:sz w:val="28"/>
          <w:szCs w:val="28"/>
          <w:highlight w:val="none"/>
          <w:lang w:val="en-US" w:eastAsia="zh-CN"/>
          <w14:textFill>
            <w14:solidFill>
              <w14:schemeClr w14:val="tx1"/>
            </w14:solidFill>
          </w14:textFill>
        </w:rPr>
        <w:t>06</w:t>
      </w:r>
      <w:r>
        <w:rPr>
          <w:rFonts w:hint="eastAsia" w:ascii="宋体" w:hAnsi="宋体"/>
          <w:color w:val="000000" w:themeColor="text1"/>
          <w:sz w:val="28"/>
          <w:szCs w:val="28"/>
          <w:highlight w:val="none"/>
          <w14:textFill>
            <w14:solidFill>
              <w14:schemeClr w14:val="tx1"/>
            </w14:solidFill>
          </w14:textFill>
        </w:rPr>
        <w:t>月</w:t>
      </w:r>
      <w:r>
        <w:rPr>
          <w:rFonts w:hint="eastAsia" w:ascii="宋体" w:hAnsi="宋体"/>
          <w:color w:val="000000" w:themeColor="text1"/>
          <w:sz w:val="28"/>
          <w:szCs w:val="28"/>
          <w:highlight w:val="none"/>
          <w:lang w:val="en-US" w:eastAsia="zh-CN"/>
          <w14:textFill>
            <w14:solidFill>
              <w14:schemeClr w14:val="tx1"/>
            </w14:solidFill>
          </w14:textFill>
        </w:rPr>
        <w:t>05</w:t>
      </w:r>
      <w:r>
        <w:rPr>
          <w:rFonts w:hint="eastAsia" w:ascii="宋体" w:hAnsi="宋体"/>
          <w:color w:val="000000" w:themeColor="text1"/>
          <w:sz w:val="28"/>
          <w:szCs w:val="28"/>
          <w:highlight w:val="none"/>
          <w14:textFill>
            <w14:solidFill>
              <w14:schemeClr w14:val="tx1"/>
            </w14:solidFill>
          </w14:textFill>
        </w:rPr>
        <w:t>日</w:t>
      </w:r>
      <w:r>
        <w:rPr>
          <w:rFonts w:hint="eastAsia" w:ascii="宋体" w:hAnsi="宋体"/>
          <w:color w:val="000000" w:themeColor="text1"/>
          <w:sz w:val="28"/>
          <w:szCs w:val="28"/>
          <w:highlight w:val="none"/>
          <w:lang w:val="en-US" w:eastAsia="zh-CN"/>
          <w14:textFill>
            <w14:solidFill>
              <w14:schemeClr w14:val="tx1"/>
            </w14:solidFill>
          </w14:textFill>
        </w:rPr>
        <w:t>11</w:t>
      </w:r>
      <w:r>
        <w:rPr>
          <w:rFonts w:hint="eastAsia" w:ascii="宋体" w:hAnsi="宋体"/>
          <w:color w:val="000000" w:themeColor="text1"/>
          <w:sz w:val="28"/>
          <w:szCs w:val="28"/>
          <w:highlight w:val="none"/>
          <w14:textFill>
            <w14:solidFill>
              <w14:schemeClr w14:val="tx1"/>
            </w14:solidFill>
          </w14:textFill>
        </w:rPr>
        <w:t>时00分（北京时间）。</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2、地点：江苏省政府采购交易系统（以下简称“苏采云系统”）网上开标大厅。</w:t>
      </w:r>
    </w:p>
    <w:p>
      <w:pPr>
        <w:adjustRightInd w:val="0"/>
        <w:snapToGrid w:val="0"/>
        <w:spacing w:line="560" w:lineRule="exact"/>
        <w:ind w:firstLine="562" w:firstLineChars="200"/>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五、其他补充事宜</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1、本次采购不收取采购保证金。</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2、集中考察现场及答疑时间、地点：采购人不组织。供应商如果对采购需求有疑问请和采购单位联系人沟通。</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3、</w:t>
      </w:r>
      <w:r>
        <w:rPr>
          <w:rFonts w:hint="eastAsia" w:ascii="宋体" w:hAnsi="宋体" w:cs="宋体"/>
          <w:color w:val="000000" w:themeColor="text1"/>
          <w:sz w:val="28"/>
          <w:szCs w:val="28"/>
          <w:highlight w:val="none"/>
          <w14:textFill>
            <w14:solidFill>
              <w14:schemeClr w14:val="tx1"/>
            </w14:solidFill>
          </w14:textFill>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cs="宋体"/>
          <w:color w:val="000000" w:themeColor="text1"/>
          <w:kern w:val="0"/>
          <w:sz w:val="28"/>
          <w:szCs w:val="28"/>
          <w:highlight w:val="none"/>
          <w14:textFill>
            <w14:solidFill>
              <w14:schemeClr w14:val="tx1"/>
            </w14:solidFill>
          </w14:textFill>
        </w:rPr>
        <w:t>《操作手册》</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"http://www.ccgp-jiangsu.gov.cn/jiangsu/zlxz/ee/ee3a4bc5a3454aa2b0d9312230633ce9.html"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kern w:val="0"/>
          <w:sz w:val="28"/>
          <w:szCs w:val="28"/>
          <w:highlight w:val="none"/>
          <w:u w:val="single"/>
          <w14:textFill>
            <w14:solidFill>
              <w14:schemeClr w14:val="tx1"/>
            </w14:solidFill>
          </w14:textFill>
        </w:rPr>
        <w:t>下载地址</w:t>
      </w:r>
      <w:r>
        <w:rPr>
          <w:rFonts w:hint="eastAsia" w:ascii="宋体" w:hAnsi="宋体" w:cs="宋体"/>
          <w:color w:val="000000" w:themeColor="text1"/>
          <w:kern w:val="0"/>
          <w:sz w:val="28"/>
          <w:szCs w:val="28"/>
          <w:highlight w:val="none"/>
          <w:u w:val="singl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（CTRL+鼠标左键）。</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加盖单位公章。</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在政府采购资格审查环节，供应商只需提供《南京市政府采购供应商信用记录表暨信用承诺书》，即可替代以下证明材料：</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（1）符合国家相关规定的财务状况报告；</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（2）依法缴纳税收的证明材料；</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（3）依法缴纳社会保障资金的证明材料；</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（4）具备履行政府采购合同所必需的设备和专业技术能力的证明材料；</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（5）参加政府采购活动前三年内在经营活动中没有重大违法记录的证明材料；</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（6）未被列入失信被执行人、重大税收违法失信主体、政府采购严重违法失信行为记录名单的证明材料。</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供应商在成交后，应按征集文件要求，将上述由信用承诺书替代的证明材料（一式两份）加盖公章，提交采购人或采购代理机构核验。经核验无误后，由采购人或采购代理机构发出成交通知书。</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供应商涉及以下情形的，不适用信用承诺:</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（1）供应商被列入严重失信主体名单；</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（2）被相关监管部门作出行政处罚且尚在处罚有效期内；</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（3）其他法律、行政法规规定的不适用信用承诺的情形；</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供应商对信用承诺内容的真实性、合法性、有效性负责。如作出虚假信用承诺，视同为“提供虚假材料谋取成交”的违法行为。</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5、对本次</w:t>
      </w:r>
      <w:r>
        <w:rPr>
          <w:rFonts w:hint="eastAsia" w:ascii="宋体" w:hAnsi="宋体"/>
          <w:color w:val="000000" w:themeColor="text1"/>
          <w:sz w:val="28"/>
          <w:szCs w:val="28"/>
          <w:highlight w:val="none"/>
          <w:lang w:val="en-US" w:eastAsia="zh-CN"/>
          <w14:textFill>
            <w14:solidFill>
              <w14:schemeClr w14:val="tx1"/>
            </w14:solidFill>
          </w14:textFill>
        </w:rPr>
        <w:t>采购</w:t>
      </w:r>
      <w:r>
        <w:rPr>
          <w:rFonts w:hint="eastAsia" w:ascii="宋体" w:hAnsi="宋体"/>
          <w:color w:val="000000" w:themeColor="text1"/>
          <w:sz w:val="28"/>
          <w:szCs w:val="28"/>
          <w:highlight w:val="none"/>
          <w14:textFill>
            <w14:solidFill>
              <w14:schemeClr w14:val="tx1"/>
            </w14:solidFill>
          </w14:textFill>
        </w:rPr>
        <w:t>提出询问，请按以下方式联系</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（1）采购单位联系方式</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采购单位：中共南京江北新区工作委员会宣传和统战部</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采购单位联系</w:t>
      </w:r>
      <w:r>
        <w:rPr>
          <w:rFonts w:hint="eastAsia" w:ascii="宋体" w:hAnsi="宋体" w:cs="宋体"/>
          <w:color w:val="000000" w:themeColor="text1"/>
          <w:kern w:val="0"/>
          <w:sz w:val="28"/>
          <w:szCs w:val="28"/>
          <w:highlight w:val="none"/>
          <w14:textFill>
            <w14:solidFill>
              <w14:schemeClr w14:val="tx1"/>
            </w14:solidFill>
          </w14:textFill>
        </w:rPr>
        <w:t>方式：025-88029338</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采购单位联系人：</w:t>
      </w:r>
      <w:r>
        <w:rPr>
          <w:rFonts w:hint="eastAsia" w:ascii="宋体" w:hAnsi="宋体"/>
          <w:color w:val="000000" w:themeColor="text1"/>
          <w:sz w:val="28"/>
          <w:highlight w:val="none"/>
          <w14:textFill>
            <w14:solidFill>
              <w14:schemeClr w14:val="tx1"/>
            </w14:solidFill>
          </w14:textFill>
        </w:rPr>
        <w:t>刘先生</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办公地址：</w:t>
      </w:r>
      <w:r>
        <w:rPr>
          <w:rFonts w:hint="eastAsia" w:ascii="宋体" w:hAnsi="宋体" w:cs="宋体"/>
          <w:color w:val="000000" w:themeColor="text1"/>
          <w:kern w:val="0"/>
          <w:sz w:val="28"/>
          <w:szCs w:val="28"/>
          <w:highlight w:val="none"/>
          <w14:textFill>
            <w14:solidFill>
              <w14:schemeClr w14:val="tx1"/>
            </w14:solidFill>
          </w14:textFill>
        </w:rPr>
        <w:t>南京市浦口区凤滁路48号</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（2）代理机构联系方式</w:t>
      </w:r>
    </w:p>
    <w:p>
      <w:pPr>
        <w:adjustRightInd w:val="0"/>
        <w:snapToGrid w:val="0"/>
        <w:spacing w:line="560" w:lineRule="exact"/>
        <w:ind w:firstLine="560" w:firstLineChars="200"/>
        <w:rPr>
          <w:rFonts w:hint="default"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代理机构联系</w:t>
      </w:r>
      <w:r>
        <w:rPr>
          <w:rFonts w:hint="eastAsia" w:ascii="宋体" w:hAnsi="宋体"/>
          <w:color w:val="000000" w:themeColor="text1"/>
          <w:sz w:val="28"/>
          <w:szCs w:val="28"/>
          <w:highlight w:val="none"/>
          <w:lang w:val="en-US" w:eastAsia="zh-CN"/>
          <w14:textFill>
            <w14:solidFill>
              <w14:schemeClr w14:val="tx1"/>
            </w14:solidFill>
          </w14:textFill>
        </w:rPr>
        <w:t>人：吴工、赵工</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联系电话：15952197379</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办公地址：南京市雨花台区软件大道180号大数据5号楼M层B108-B</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6、有关本次</w:t>
      </w:r>
      <w:r>
        <w:rPr>
          <w:rFonts w:hint="eastAsia" w:ascii="宋体" w:hAnsi="宋体"/>
          <w:color w:val="000000" w:themeColor="text1"/>
          <w:sz w:val="28"/>
          <w:szCs w:val="28"/>
          <w:highlight w:val="none"/>
          <w:lang w:val="en-US" w:eastAsia="zh-CN"/>
          <w14:textFill>
            <w14:solidFill>
              <w14:schemeClr w14:val="tx1"/>
            </w14:solidFill>
          </w14:textFill>
        </w:rPr>
        <w:t>采购</w:t>
      </w:r>
      <w:r>
        <w:rPr>
          <w:rFonts w:hint="eastAsia" w:ascii="宋体" w:hAnsi="宋体"/>
          <w:color w:val="000000" w:themeColor="text1"/>
          <w:sz w:val="28"/>
          <w:szCs w:val="28"/>
          <w:highlight w:val="none"/>
          <w14:textFill>
            <w14:solidFill>
              <w14:schemeClr w14:val="tx1"/>
            </w14:solidFill>
          </w14:textFill>
        </w:rPr>
        <w:t>的事项若存在变动或修改，请及时关注“江苏政府采购网”（www.ccgp-jiangsu.gov.cn）更正公告。</w:t>
      </w:r>
    </w:p>
    <w:p>
      <w:pPr>
        <w:widowControl/>
        <w:jc w:val="left"/>
        <w:rPr>
          <w:rFonts w:hint="eastAsia"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r>
    </w:p>
    <w:bookmarkEnd w:id="8"/>
    <w:p>
      <w:pPr>
        <w:pStyle w:val="5"/>
        <w:spacing w:before="340" w:after="330" w:line="578" w:lineRule="auto"/>
        <w:jc w:val="center"/>
        <w:rPr>
          <w:rFonts w:hint="eastAsia" w:cs="宋体" w:asciiTheme="minorEastAsia" w:hAnsiTheme="minorEastAsia" w:eastAsiaTheme="minorEastAsia"/>
          <w:color w:val="000000" w:themeColor="text1"/>
          <w:highlight w:val="none"/>
          <w14:textFill>
            <w14:solidFill>
              <w14:schemeClr w14:val="tx1"/>
            </w14:solidFill>
          </w14:textFill>
        </w:rPr>
      </w:pPr>
      <w:bookmarkStart w:id="9" w:name="_Toc449705439"/>
      <w:bookmarkStart w:id="10" w:name="_Toc9518"/>
      <w:bookmarkStart w:id="11" w:name="_Toc10267"/>
      <w:bookmarkStart w:id="12" w:name="_Toc21854401"/>
      <w:bookmarkStart w:id="13" w:name="_Toc526434253"/>
      <w:bookmarkStart w:id="14" w:name="_Toc8646821"/>
      <w:bookmarkStart w:id="15" w:name="_Toc8646820"/>
      <w:r>
        <w:rPr>
          <w:rFonts w:hint="eastAsia" w:cs="宋体" w:asciiTheme="minorEastAsia" w:hAnsiTheme="minorEastAsia" w:eastAsiaTheme="minorEastAsia"/>
          <w:color w:val="000000" w:themeColor="text1"/>
          <w:highlight w:val="none"/>
          <w14:textFill>
            <w14:solidFill>
              <w14:schemeClr w14:val="tx1"/>
            </w14:solidFill>
          </w14:textFill>
        </w:rPr>
        <w:t>第二章、</w:t>
      </w:r>
      <w:bookmarkEnd w:id="9"/>
      <w:r>
        <w:rPr>
          <w:rFonts w:hint="eastAsia" w:cs="宋体" w:asciiTheme="minorEastAsia" w:hAnsiTheme="minorEastAsia" w:eastAsiaTheme="minorEastAsia"/>
          <w:color w:val="000000" w:themeColor="text1"/>
          <w:highlight w:val="none"/>
          <w14:textFill>
            <w14:solidFill>
              <w14:schemeClr w14:val="tx1"/>
            </w14:solidFill>
          </w14:textFill>
        </w:rPr>
        <w:t>供应商须知</w:t>
      </w:r>
      <w:bookmarkEnd w:id="10"/>
      <w:bookmarkEnd w:id="11"/>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16" w:name="_Toc120614214"/>
      <w:bookmarkStart w:id="17" w:name="_Toc513029203"/>
      <w:bookmarkStart w:id="18" w:name="_Toc16938519"/>
      <w:bookmarkStart w:id="19" w:name="_Toc20823275"/>
      <w:bookmarkStart w:id="20" w:name="_Toc449705440"/>
      <w:r>
        <w:rPr>
          <w:rFonts w:hint="eastAsia" w:ascii="宋体" w:hAnsi="宋体"/>
          <w:b/>
          <w:color w:val="000000" w:themeColor="text1"/>
          <w:sz w:val="28"/>
          <w:szCs w:val="28"/>
          <w:highlight w:val="none"/>
          <w14:textFill>
            <w14:solidFill>
              <w14:schemeClr w14:val="tx1"/>
            </w14:solidFill>
          </w14:textFill>
        </w:rPr>
        <w:t>一、总则</w:t>
      </w:r>
      <w:bookmarkEnd w:id="16"/>
      <w:bookmarkEnd w:id="17"/>
      <w:bookmarkEnd w:id="18"/>
      <w:bookmarkEnd w:id="19"/>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21" w:name="_Hlt16619475"/>
      <w:bookmarkEnd w:id="21"/>
      <w:bookmarkStart w:id="22" w:name="_Toc458694821"/>
      <w:bookmarkStart w:id="23" w:name="_Toc513029204"/>
      <w:bookmarkStart w:id="24" w:name="_Toc20823276"/>
      <w:bookmarkStart w:id="25" w:name="_Toc16938520"/>
      <w:r>
        <w:rPr>
          <w:rFonts w:hint="eastAsia" w:ascii="宋体" w:hAnsi="宋体"/>
          <w:b/>
          <w:color w:val="000000" w:themeColor="text1"/>
          <w:sz w:val="28"/>
          <w:szCs w:val="28"/>
          <w:highlight w:val="none"/>
          <w14:textFill>
            <w14:solidFill>
              <w14:schemeClr w14:val="tx1"/>
            </w14:solidFill>
          </w14:textFill>
        </w:rPr>
        <w:t>1</w:t>
      </w:r>
      <w:bookmarkEnd w:id="22"/>
      <w:r>
        <w:rPr>
          <w:rFonts w:hint="eastAsia" w:ascii="宋体" w:hAnsi="宋体"/>
          <w:b/>
          <w:color w:val="000000" w:themeColor="text1"/>
          <w:sz w:val="28"/>
          <w:szCs w:val="28"/>
          <w:highlight w:val="none"/>
          <w14:textFill>
            <w14:solidFill>
              <w14:schemeClr w14:val="tx1"/>
            </w14:solidFill>
          </w14:textFill>
        </w:rPr>
        <w:t>.采购方式</w:t>
      </w:r>
      <w:bookmarkEnd w:id="23"/>
      <w:bookmarkEnd w:id="24"/>
      <w:bookmarkEnd w:id="25"/>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1.1 本次政府采购活动采取单一来源采购方式。</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26" w:name="_Toc513029205"/>
      <w:bookmarkStart w:id="27" w:name="_Toc20823277"/>
      <w:bookmarkStart w:id="28" w:name="_Toc16938521"/>
      <w:r>
        <w:rPr>
          <w:rFonts w:hint="eastAsia" w:ascii="宋体" w:hAnsi="宋体"/>
          <w:b/>
          <w:color w:val="000000" w:themeColor="text1"/>
          <w:sz w:val="28"/>
          <w:szCs w:val="28"/>
          <w:highlight w:val="none"/>
          <w14:textFill>
            <w14:solidFill>
              <w14:schemeClr w14:val="tx1"/>
            </w14:solidFill>
          </w14:textFill>
        </w:rPr>
        <w:t>2.合格的</w:t>
      </w:r>
      <w:bookmarkEnd w:id="26"/>
      <w:bookmarkEnd w:id="27"/>
      <w:bookmarkEnd w:id="28"/>
      <w:r>
        <w:rPr>
          <w:rFonts w:hint="eastAsia" w:ascii="宋体" w:hAnsi="宋体"/>
          <w:b/>
          <w:color w:val="000000" w:themeColor="text1"/>
          <w:sz w:val="28"/>
          <w:szCs w:val="28"/>
          <w:highlight w:val="none"/>
          <w14:textFill>
            <w14:solidFill>
              <w14:schemeClr w14:val="tx1"/>
            </w14:solidFill>
          </w14:textFill>
        </w:rPr>
        <w:t>供应商</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bookmarkStart w:id="29" w:name="_Toc16938522"/>
      <w:bookmarkStart w:id="30" w:name="_Toc513029206"/>
      <w:bookmarkStart w:id="31" w:name="_Toc20823278"/>
      <w:r>
        <w:rPr>
          <w:rFonts w:hint="eastAsia" w:ascii="宋体" w:hAnsi="宋体"/>
          <w:bCs/>
          <w:color w:val="000000" w:themeColor="text1"/>
          <w:sz w:val="28"/>
          <w:szCs w:val="28"/>
          <w:highlight w:val="none"/>
          <w14:textFill>
            <w14:solidFill>
              <w14:schemeClr w14:val="tx1"/>
            </w14:solidFill>
          </w14:textFill>
        </w:rPr>
        <w:t>2.1 满足采购文件对供应商资格要求的规定。</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2.2 满足采购文件规定的实质性要求和条件。</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3.适用法律</w:t>
      </w:r>
      <w:bookmarkEnd w:id="29"/>
      <w:bookmarkEnd w:id="30"/>
      <w:bookmarkEnd w:id="31"/>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3.1 本次采购及由此产生的合同受中华人民共和国有关的法律法规制约和保护。</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4.相关费用</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4.1</w:t>
      </w:r>
      <w:r>
        <w:rPr>
          <w:rFonts w:ascii="宋体" w:hAnsi="宋体"/>
          <w:bCs/>
          <w:color w:val="000000" w:themeColor="text1"/>
          <w:sz w:val="28"/>
          <w:szCs w:val="28"/>
          <w:highlight w:val="none"/>
          <w14:textFill>
            <w14:solidFill>
              <w14:schemeClr w14:val="tx1"/>
            </w14:solidFill>
          </w14:textFill>
        </w:rPr>
        <w:t>代理服务费</w:t>
      </w:r>
      <w:r>
        <w:rPr>
          <w:rFonts w:hint="eastAsia" w:ascii="宋体" w:hAnsi="宋体"/>
          <w:bCs/>
          <w:color w:val="000000" w:themeColor="text1"/>
          <w:sz w:val="28"/>
          <w:szCs w:val="28"/>
          <w:highlight w:val="none"/>
          <w14:textFill>
            <w14:solidFill>
              <w14:schemeClr w14:val="tx1"/>
            </w14:solidFill>
          </w14:textFill>
        </w:rPr>
        <w:t>：</w:t>
      </w:r>
      <w:r>
        <w:rPr>
          <w:rFonts w:ascii="宋体" w:hAnsi="宋体"/>
          <w:bCs/>
          <w:color w:val="000000" w:themeColor="text1"/>
          <w:sz w:val="28"/>
          <w:szCs w:val="28"/>
          <w:highlight w:val="none"/>
          <w14:textFill>
            <w14:solidFill>
              <w14:schemeClr w14:val="tx1"/>
            </w14:solidFill>
          </w14:textFill>
        </w:rPr>
        <w:t>为提高财政资金使用效率，简化支付流程，保障代理服务质量，代理服务费由成交供应商支付，供应商报价应当包含代理费。本项目代理费实行市场调节价，根据行业通行情况，参照《国家计委关于印发〈招标代理服务收费管理暂行办法〉的通知》（计价格〔2002〕1980号）规定的差额定率累进法计算，按基准费90%计取，计费基数为最终成交金额。成交供应商应自代理服务履约完毕之日起30个工作日内，通过银行转账方式一次性向本项目采购代理机构支付全部代理服务费，代理机构开具</w:t>
      </w:r>
      <w:r>
        <w:rPr>
          <w:rFonts w:hint="eastAsia" w:ascii="宋体" w:hAnsi="宋体"/>
          <w:bCs/>
          <w:color w:val="000000" w:themeColor="text1"/>
          <w:sz w:val="28"/>
          <w:szCs w:val="28"/>
          <w:highlight w:val="none"/>
          <w14:textFill>
            <w14:solidFill>
              <w14:schemeClr w14:val="tx1"/>
            </w14:solidFill>
          </w14:textFill>
        </w:rPr>
        <w:t>相应</w:t>
      </w:r>
      <w:r>
        <w:rPr>
          <w:rFonts w:ascii="宋体" w:hAnsi="宋体"/>
          <w:bCs/>
          <w:color w:val="000000" w:themeColor="text1"/>
          <w:sz w:val="28"/>
          <w:szCs w:val="28"/>
          <w:highlight w:val="none"/>
          <w14:textFill>
            <w14:solidFill>
              <w14:schemeClr w14:val="tx1"/>
            </w14:solidFill>
          </w14:textFill>
        </w:rPr>
        <w:t>发票。</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代理服务费</w:t>
      </w:r>
      <w:r>
        <w:rPr>
          <w:rFonts w:hint="eastAsia" w:ascii="宋体" w:hAnsi="宋体"/>
          <w:bCs/>
          <w:color w:val="000000" w:themeColor="text1"/>
          <w:sz w:val="28"/>
          <w:szCs w:val="28"/>
          <w:highlight w:val="none"/>
          <w14:textFill>
            <w14:solidFill>
              <w14:schemeClr w14:val="tx1"/>
            </w14:solidFill>
          </w14:textFill>
        </w:rPr>
        <w:t>收款</w:t>
      </w:r>
      <w:r>
        <w:rPr>
          <w:rFonts w:ascii="宋体" w:hAnsi="宋体"/>
          <w:bCs/>
          <w:color w:val="000000" w:themeColor="text1"/>
          <w:sz w:val="28"/>
          <w:szCs w:val="28"/>
          <w:highlight w:val="none"/>
          <w14:textFill>
            <w14:solidFill>
              <w14:schemeClr w14:val="tx1"/>
            </w14:solidFill>
          </w14:textFill>
        </w:rPr>
        <w:t>账户名称：江苏苏建工程项目管理咨询有限公司</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开 户 行：中国银行南京东宝路支行 </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账   号：480676846430</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4.2</w:t>
      </w:r>
      <w:r>
        <w:rPr>
          <w:rFonts w:ascii="宋体" w:hAnsi="宋体"/>
          <w:bCs/>
          <w:color w:val="000000" w:themeColor="text1"/>
          <w:sz w:val="28"/>
          <w:szCs w:val="28"/>
          <w:highlight w:val="none"/>
          <w14:textFill>
            <w14:solidFill>
              <w14:schemeClr w14:val="tx1"/>
            </w14:solidFill>
          </w14:textFill>
        </w:rPr>
        <w:t>专家评审费</w:t>
      </w:r>
      <w:r>
        <w:rPr>
          <w:rFonts w:hint="eastAsia" w:ascii="宋体" w:hAnsi="宋体"/>
          <w:bCs/>
          <w:color w:val="000000" w:themeColor="text1"/>
          <w:sz w:val="28"/>
          <w:szCs w:val="28"/>
          <w:highlight w:val="none"/>
          <w14:textFill>
            <w14:solidFill>
              <w14:schemeClr w14:val="tx1"/>
            </w14:solidFill>
          </w14:textFill>
        </w:rPr>
        <w:t>：</w:t>
      </w:r>
      <w:r>
        <w:rPr>
          <w:rFonts w:ascii="宋体" w:hAnsi="宋体"/>
          <w:bCs/>
          <w:color w:val="000000" w:themeColor="text1"/>
          <w:sz w:val="28"/>
          <w:szCs w:val="28"/>
          <w:highlight w:val="none"/>
          <w14:textFill>
            <w14:solidFill>
              <w14:schemeClr w14:val="tx1"/>
            </w14:solidFill>
          </w14:textFill>
        </w:rPr>
        <w:t>专家评审费由采购人支付</w:t>
      </w:r>
      <w:r>
        <w:rPr>
          <w:rFonts w:hint="eastAsia" w:ascii="宋体" w:hAnsi="宋体"/>
          <w:bCs/>
          <w:color w:val="000000" w:themeColor="text1"/>
          <w:sz w:val="28"/>
          <w:szCs w:val="28"/>
          <w:highlight w:val="none"/>
          <w14:textFill>
            <w14:solidFill>
              <w14:schemeClr w14:val="tx1"/>
            </w14:solidFill>
          </w14:textFill>
        </w:rPr>
        <w:t>。</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5.采购文件的约束力</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5.1 供应商一旦接收了本项目采购文件并决定参加单一来源采购活动，即被认为接受了本采购文件的规定和约束，并且视为自接收本采购文件之日起已经知道或应当知道自身权益是否受到了损害。</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32" w:name="_Toc513029209"/>
      <w:bookmarkStart w:id="33" w:name="_Toc120614215"/>
      <w:bookmarkStart w:id="34" w:name="_Toc16938525"/>
      <w:bookmarkStart w:id="35" w:name="_Toc20823281"/>
      <w:r>
        <w:rPr>
          <w:rFonts w:hint="eastAsia" w:ascii="宋体" w:hAnsi="宋体"/>
          <w:b/>
          <w:color w:val="000000" w:themeColor="text1"/>
          <w:sz w:val="28"/>
          <w:szCs w:val="28"/>
          <w:highlight w:val="none"/>
          <w14:textFill>
            <w14:solidFill>
              <w14:schemeClr w14:val="tx1"/>
            </w14:solidFill>
          </w14:textFill>
        </w:rPr>
        <w:t>二、</w:t>
      </w:r>
      <w:bookmarkEnd w:id="32"/>
      <w:bookmarkEnd w:id="33"/>
      <w:bookmarkEnd w:id="34"/>
      <w:bookmarkEnd w:id="35"/>
      <w:r>
        <w:rPr>
          <w:rFonts w:hint="eastAsia" w:ascii="宋体" w:hAnsi="宋体"/>
          <w:b/>
          <w:color w:val="000000" w:themeColor="text1"/>
          <w:sz w:val="28"/>
          <w:szCs w:val="28"/>
          <w:highlight w:val="none"/>
          <w14:textFill>
            <w14:solidFill>
              <w14:schemeClr w14:val="tx1"/>
            </w14:solidFill>
          </w14:textFill>
        </w:rPr>
        <w:t>采购文件</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36" w:name="_Toc16938526"/>
      <w:bookmarkStart w:id="37" w:name="_Toc513029210"/>
      <w:bookmarkStart w:id="38" w:name="_Toc20823282"/>
      <w:r>
        <w:rPr>
          <w:rFonts w:hint="eastAsia" w:ascii="宋体" w:hAnsi="宋体"/>
          <w:b/>
          <w:color w:val="000000" w:themeColor="text1"/>
          <w:sz w:val="28"/>
          <w:szCs w:val="28"/>
          <w:highlight w:val="none"/>
          <w14:textFill>
            <w14:solidFill>
              <w14:schemeClr w14:val="tx1"/>
            </w14:solidFill>
          </w14:textFill>
        </w:rPr>
        <w:t>6.采购文件构成</w:t>
      </w:r>
      <w:bookmarkEnd w:id="36"/>
      <w:bookmarkEnd w:id="37"/>
      <w:bookmarkEnd w:id="38"/>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6.1 采购文件由以下部分组成：</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（1）单一来源采购邀请</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（2）供应商须知</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（3）采购需求</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（4）合同主要条款及格式</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（5）响应文件格式及附件</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供应商应仔细检查采购文件是否齐全，如有缺漏请立即与代理机构联系。</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39" w:name="_Toc20823283"/>
      <w:bookmarkStart w:id="40" w:name="_Toc513029211"/>
      <w:bookmarkStart w:id="41" w:name="_Toc16938527"/>
      <w:bookmarkStart w:id="42" w:name="_Toc462564070"/>
      <w:r>
        <w:rPr>
          <w:rFonts w:hint="eastAsia" w:ascii="宋体" w:hAnsi="宋体"/>
          <w:b/>
          <w:color w:val="000000" w:themeColor="text1"/>
          <w:sz w:val="28"/>
          <w:szCs w:val="28"/>
          <w:highlight w:val="none"/>
          <w14:textFill>
            <w14:solidFill>
              <w14:schemeClr w14:val="tx1"/>
            </w14:solidFill>
          </w14:textFill>
        </w:rPr>
        <w:t>7.采购文件的澄清</w:t>
      </w:r>
      <w:bookmarkEnd w:id="39"/>
      <w:bookmarkEnd w:id="40"/>
      <w:bookmarkEnd w:id="41"/>
      <w:bookmarkEnd w:id="42"/>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bookmarkStart w:id="43" w:name="_Toc16938528"/>
      <w:bookmarkStart w:id="44" w:name="_Toc462564071"/>
      <w:bookmarkStart w:id="45" w:name="_Toc20823284"/>
      <w:bookmarkStart w:id="46" w:name="_Toc513029212"/>
      <w:r>
        <w:rPr>
          <w:rFonts w:hint="eastAsia" w:ascii="宋体" w:hAnsi="宋体"/>
          <w:bCs/>
          <w:color w:val="000000" w:themeColor="text1"/>
          <w:sz w:val="28"/>
          <w:szCs w:val="28"/>
          <w:highlight w:val="none"/>
          <w14:textFill>
            <w14:solidFill>
              <w14:schemeClr w14:val="tx1"/>
            </w14:solidFill>
          </w14:textFill>
        </w:rPr>
        <w:t>7.1 供应商如果要求对采购文件进行澄清的，应在响应文件接收截止时间（以下简称“截止时间”）三天前，在苏采云系统中通知代理机构。代理机构将在苏采云系统中对澄清要求予以答复。</w:t>
      </w:r>
    </w:p>
    <w:bookmarkEnd w:id="43"/>
    <w:bookmarkEnd w:id="44"/>
    <w:bookmarkEnd w:id="45"/>
    <w:bookmarkEnd w:id="46"/>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8.采购文件的修改</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8.1 在截止时间前，代理机构可以以补充文件的方式对采购文件进行修改。</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8.2 代理机构有权按照政府采购的有关要求推迟截止时间。</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8.3 采购文件的补充文件将作为采购文件的组成部分，并对供应商具有约束力。</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三、响应文件的编制</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47" w:name="_Toc20823286"/>
      <w:bookmarkStart w:id="48" w:name="_Toc513029214"/>
      <w:bookmarkStart w:id="49" w:name="_Toc462564073"/>
      <w:bookmarkStart w:id="50" w:name="_Toc16938530"/>
      <w:r>
        <w:rPr>
          <w:rFonts w:hint="eastAsia" w:ascii="宋体" w:hAnsi="宋体"/>
          <w:b/>
          <w:color w:val="000000" w:themeColor="text1"/>
          <w:sz w:val="28"/>
          <w:szCs w:val="28"/>
          <w:highlight w:val="none"/>
          <w14:textFill>
            <w14:solidFill>
              <w14:schemeClr w14:val="tx1"/>
            </w14:solidFill>
          </w14:textFill>
        </w:rPr>
        <w:t>9.响应文件的语言及度量衡单位</w:t>
      </w:r>
      <w:bookmarkEnd w:id="47"/>
      <w:bookmarkEnd w:id="48"/>
      <w:bookmarkEnd w:id="49"/>
      <w:bookmarkEnd w:id="50"/>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9.1 供应商提交的响应文件以及供应商与代理机构就有关采购活动的所有来往通知、函件和文件均应使用简体中文。</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9.2 除技术性能另有规定外，响应文件所使用的度量衡单位，均须采用国家法定计量单位。</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51" w:name="_Toc462564074"/>
      <w:bookmarkStart w:id="52" w:name="_Toc513029215"/>
      <w:bookmarkStart w:id="53" w:name="_Toc16938531"/>
      <w:bookmarkStart w:id="54" w:name="_Toc20823287"/>
      <w:r>
        <w:rPr>
          <w:rFonts w:hint="eastAsia" w:ascii="宋体" w:hAnsi="宋体"/>
          <w:b/>
          <w:color w:val="000000" w:themeColor="text1"/>
          <w:sz w:val="28"/>
          <w:szCs w:val="28"/>
          <w:highlight w:val="none"/>
          <w14:textFill>
            <w14:solidFill>
              <w14:schemeClr w14:val="tx1"/>
            </w14:solidFill>
          </w14:textFill>
        </w:rPr>
        <w:t>10.响应文件构成</w:t>
      </w:r>
      <w:bookmarkEnd w:id="51"/>
      <w:bookmarkEnd w:id="52"/>
      <w:bookmarkEnd w:id="53"/>
      <w:bookmarkEnd w:id="54"/>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bookmarkStart w:id="55" w:name="_Hlt26670360"/>
      <w:bookmarkEnd w:id="55"/>
      <w:bookmarkStart w:id="56" w:name="_Hlt26668975"/>
      <w:bookmarkEnd w:id="56"/>
      <w:bookmarkStart w:id="57" w:name="_Hlt26954838"/>
      <w:bookmarkEnd w:id="57"/>
      <w:bookmarkStart w:id="58" w:name="_Toc49090508"/>
      <w:bookmarkStart w:id="59" w:name="_Toc49090509"/>
      <w:bookmarkStart w:id="60" w:name="_Toc14577354"/>
      <w:bookmarkStart w:id="61" w:name="_Toc14577355"/>
      <w:bookmarkStart w:id="62" w:name="_Toc14577357"/>
      <w:bookmarkStart w:id="63" w:name="_Toc513029219"/>
      <w:bookmarkStart w:id="64" w:name="_Toc49090507"/>
      <w:bookmarkStart w:id="65" w:name="_Toc513029216"/>
      <w:r>
        <w:rPr>
          <w:rFonts w:hint="eastAsia" w:ascii="宋体" w:hAnsi="宋体"/>
          <w:bCs/>
          <w:color w:val="000000" w:themeColor="text1"/>
          <w:sz w:val="28"/>
          <w:szCs w:val="28"/>
          <w:highlight w:val="none"/>
          <w14:textFill>
            <w14:solidFill>
              <w14:schemeClr w14:val="tx1"/>
            </w14:solidFill>
          </w14:textFill>
        </w:rPr>
        <w:t>10.1 供应商编写的响应文件应包括资格证明文件、符合性证明文件、单一来源报价表、分项报价表、响应及偏离表、其他证明文件、</w:t>
      </w:r>
      <w:r>
        <w:rPr>
          <w:rFonts w:hint="eastAsia" w:ascii="宋体" w:hAnsi="宋体"/>
          <w:bCs/>
          <w:color w:val="000000" w:themeColor="text1"/>
          <w:sz w:val="28"/>
          <w:szCs w:val="28"/>
          <w:highlight w:val="none"/>
          <w:lang w:val="en-US" w:eastAsia="zh-CN"/>
          <w14:textFill>
            <w14:solidFill>
              <w14:schemeClr w14:val="tx1"/>
            </w14:solidFill>
          </w14:textFill>
        </w:rPr>
        <w:t>单一来源</w:t>
      </w:r>
      <w:r>
        <w:rPr>
          <w:rFonts w:hint="eastAsia" w:ascii="宋体" w:hAnsi="宋体"/>
          <w:bCs/>
          <w:color w:val="000000" w:themeColor="text1"/>
          <w:sz w:val="28"/>
          <w:szCs w:val="28"/>
          <w:highlight w:val="none"/>
          <w14:textFill>
            <w14:solidFill>
              <w14:schemeClr w14:val="tx1"/>
            </w14:solidFill>
          </w14:textFill>
        </w:rPr>
        <w:t>申请及声明等部分。</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包括但不限于下列文件，其中加“★”项目不得有缺失或无效。</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★（1）单一来源报价表、分项报价表；</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en-US" w:eastAsia="zh-CN"/>
          <w14:textFill>
            <w14:solidFill>
              <w14:schemeClr w14:val="tx1"/>
            </w14:solidFill>
          </w14:textFill>
        </w:rPr>
        <w:t>单一来源</w:t>
      </w:r>
      <w:r>
        <w:rPr>
          <w:rFonts w:hint="eastAsia" w:ascii="宋体" w:hAnsi="宋体"/>
          <w:bCs/>
          <w:color w:val="000000" w:themeColor="text1"/>
          <w:sz w:val="28"/>
          <w:szCs w:val="28"/>
          <w:highlight w:val="none"/>
          <w14:textFill>
            <w14:solidFill>
              <w14:schemeClr w14:val="tx1"/>
            </w14:solidFill>
          </w14:textFill>
        </w:rPr>
        <w:t>申请及声明；</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★（3）法定代表人身份证复印件或法定代表人授权委托书及委托代理人的身份证复印件；</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★（4）</w:t>
      </w:r>
      <w:bookmarkStart w:id="66" w:name="OLE_LINK19"/>
      <w:r>
        <w:rPr>
          <w:rFonts w:hint="eastAsia" w:ascii="宋体" w:hAnsi="宋体"/>
          <w:bCs/>
          <w:color w:val="000000" w:themeColor="text1"/>
          <w:sz w:val="28"/>
          <w:szCs w:val="28"/>
          <w:highlight w:val="none"/>
          <w14:textFill>
            <w14:solidFill>
              <w14:schemeClr w14:val="tx1"/>
            </w14:solidFill>
          </w14:textFill>
        </w:rPr>
        <w:t>技术要求响应及偏离表</w:t>
      </w:r>
      <w:bookmarkEnd w:id="66"/>
      <w:r>
        <w:rPr>
          <w:rFonts w:hint="eastAsia" w:ascii="宋体" w:hAnsi="宋体"/>
          <w:bCs/>
          <w:color w:val="000000" w:themeColor="text1"/>
          <w:sz w:val="28"/>
          <w:szCs w:val="28"/>
          <w:highlight w:val="none"/>
          <w14:textFill>
            <w14:solidFill>
              <w14:schemeClr w14:val="tx1"/>
            </w14:solidFill>
          </w14:textFill>
        </w:rPr>
        <w:t>、商务要求响应及偏离表。</w:t>
      </w:r>
    </w:p>
    <w:bookmarkEnd w:id="58"/>
    <w:bookmarkEnd w:id="59"/>
    <w:bookmarkEnd w:id="60"/>
    <w:bookmarkEnd w:id="61"/>
    <w:bookmarkEnd w:id="62"/>
    <w:bookmarkEnd w:id="63"/>
    <w:bookmarkEnd w:id="64"/>
    <w:bookmarkEnd w:id="65"/>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11.证明供应商及响应标的符合采购文件规定的文件</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11.1 供应商应按照法律、法规、规章和规范性文件以及采购文件要求提交证明文件，证明其及响应标的符合采购文件规定。</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11.2 采购文件对证明文件无明确形式要求的，证明文件可以以文字资料、图纸和数据等形式提交。</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12.分项报价表</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bookmarkStart w:id="67" w:name="_Hlt26670486"/>
      <w:bookmarkEnd w:id="67"/>
      <w:bookmarkStart w:id="68" w:name="_Hlt26954731"/>
      <w:bookmarkEnd w:id="68"/>
      <w:bookmarkStart w:id="69" w:name="_Hlt26670482"/>
      <w:bookmarkEnd w:id="69"/>
      <w:bookmarkStart w:id="70" w:name="_Hlt26954848"/>
      <w:bookmarkEnd w:id="70"/>
      <w:bookmarkStart w:id="71" w:name="_Hlt26954846"/>
      <w:bookmarkEnd w:id="71"/>
      <w:r>
        <w:rPr>
          <w:rFonts w:hint="eastAsia" w:ascii="宋体" w:hAnsi="宋体"/>
          <w:bCs/>
          <w:color w:val="000000" w:themeColor="text1"/>
          <w:sz w:val="28"/>
          <w:szCs w:val="28"/>
          <w:highlight w:val="none"/>
          <w14:textFill>
            <w14:solidFill>
              <w14:schemeClr w14:val="tx1"/>
            </w14:solidFill>
          </w14:textFill>
        </w:rPr>
        <w:t>12.1 供应商应按照采购文件规定格式填报分项报价表。</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12.2 </w:t>
      </w:r>
      <w:r>
        <w:rPr>
          <w:rFonts w:hint="eastAsia" w:ascii="宋体" w:hAnsi="宋体"/>
          <w:bCs/>
          <w:color w:val="000000" w:themeColor="text1"/>
          <w:sz w:val="28"/>
          <w:szCs w:val="28"/>
          <w:highlight w:val="none"/>
          <w:lang w:val="zh-CN"/>
          <w14:textFill>
            <w14:solidFill>
              <w14:schemeClr w14:val="tx1"/>
            </w14:solidFill>
          </w14:textFill>
        </w:rPr>
        <w:t>响应文件中的单价和总价无特殊规定的采用人民币报价，以元为单位标注。采购文件另有规定的按规定执行。</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13.响应及偏离表</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13.1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供应商需对采购文件中的技术要求与商务要求逐项作出响应或偏离</w:t>
      </w:r>
      <w:r>
        <w:rPr>
          <w:rFonts w:hint="eastAsia" w:ascii="宋体" w:hAnsi="宋体"/>
          <w:bCs/>
          <w:color w:val="000000" w:themeColor="text1"/>
          <w:sz w:val="28"/>
          <w:szCs w:val="28"/>
          <w:highlight w:val="none"/>
          <w14:textFill>
            <w14:solidFill>
              <w14:schemeClr w14:val="tx1"/>
            </w14:solidFill>
          </w14:textFill>
        </w:rPr>
        <w:t>说明</w:t>
      </w:r>
      <w:r>
        <w:rPr>
          <w:rFonts w:hint="eastAsia" w:ascii="宋体" w:hAnsi="宋体"/>
          <w:bCs/>
          <w:color w:val="000000" w:themeColor="text1"/>
          <w:sz w:val="28"/>
          <w:szCs w:val="28"/>
          <w:highlight w:val="none"/>
          <w:lang w:val="zh-CN"/>
          <w14:textFill>
            <w14:solidFill>
              <w14:schemeClr w14:val="tx1"/>
            </w14:solidFill>
          </w14:textFill>
        </w:rPr>
        <w:t>。</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13.2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供应商可在响应文件中提供认为需要的其他技术文件或说明。</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72" w:name="_Toc49090511"/>
      <w:bookmarkStart w:id="73" w:name="_Toc14577360"/>
      <w:r>
        <w:rPr>
          <w:rFonts w:hint="eastAsia" w:ascii="宋体" w:hAnsi="宋体"/>
          <w:b/>
          <w:color w:val="000000" w:themeColor="text1"/>
          <w:sz w:val="28"/>
          <w:szCs w:val="28"/>
          <w:highlight w:val="none"/>
          <w14:textFill>
            <w14:solidFill>
              <w14:schemeClr w14:val="tx1"/>
            </w14:solidFill>
          </w14:textFill>
        </w:rPr>
        <w:t>14.单一来源申请及声明</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 供应商应按照采购文件中提供的格式完整、正确填写单一来源申请及声明。</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15.单一来源采购有效期</w:t>
      </w:r>
      <w:bookmarkEnd w:id="72"/>
      <w:bookmarkEnd w:id="73"/>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.1 单一来源采购有效期（以下简称“有效期”）为</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规定的响应文件接收截止之日后三十天。有效期比规定期限短的将被视为未响应采购文件要求而予以拒绝。</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16.有效期的延长</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在特殊情况下，</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于原有效期满之前，可向供应商提出延长有效期的要求。这种要求与答复均应采用书面形式。供应商可以拒绝这一要求而放弃参加采购活动，同意延长有效期的供应商既不能要求也不允许修改其响应文件，同时受响应文件有效期约束的所有权利与义务均延长至新的有效期满。</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74" w:name="_Toc20823296"/>
      <w:bookmarkStart w:id="75" w:name="_Toc513029224"/>
      <w:bookmarkStart w:id="76" w:name="_Toc120614217"/>
      <w:bookmarkStart w:id="77" w:name="_Toc16938540"/>
      <w:r>
        <w:rPr>
          <w:rFonts w:hint="eastAsia" w:ascii="宋体" w:hAnsi="宋体"/>
          <w:b/>
          <w:color w:val="000000" w:themeColor="text1"/>
          <w:sz w:val="28"/>
          <w:szCs w:val="28"/>
          <w:highlight w:val="none"/>
          <w14:textFill>
            <w14:solidFill>
              <w14:schemeClr w14:val="tx1"/>
            </w14:solidFill>
          </w14:textFill>
        </w:rPr>
        <w:t>四、响应文件的递交</w:t>
      </w:r>
      <w:bookmarkEnd w:id="74"/>
      <w:bookmarkEnd w:id="75"/>
      <w:bookmarkEnd w:id="76"/>
      <w:bookmarkEnd w:id="77"/>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78" w:name="_Toc513029225"/>
      <w:bookmarkStart w:id="79" w:name="_Toc462564084"/>
      <w:bookmarkStart w:id="80" w:name="_Toc20823297"/>
      <w:bookmarkStart w:id="81" w:name="_Toc16938541"/>
      <w:r>
        <w:rPr>
          <w:rFonts w:hint="eastAsia" w:ascii="宋体" w:hAnsi="宋体"/>
          <w:b/>
          <w:color w:val="000000" w:themeColor="text1"/>
          <w:sz w:val="28"/>
          <w:szCs w:val="28"/>
          <w:highlight w:val="none"/>
          <w14:textFill>
            <w14:solidFill>
              <w14:schemeClr w14:val="tx1"/>
            </w14:solidFill>
          </w14:textFill>
        </w:rPr>
        <w:t>17.电子</w:t>
      </w:r>
      <w:bookmarkEnd w:id="78"/>
      <w:bookmarkEnd w:id="79"/>
      <w:bookmarkEnd w:id="80"/>
      <w:bookmarkEnd w:id="81"/>
      <w:r>
        <w:rPr>
          <w:rFonts w:hint="eastAsia" w:ascii="宋体" w:hAnsi="宋体"/>
          <w:b/>
          <w:color w:val="000000" w:themeColor="text1"/>
          <w:sz w:val="28"/>
          <w:szCs w:val="28"/>
          <w:highlight w:val="none"/>
          <w14:textFill>
            <w14:solidFill>
              <w14:schemeClr w14:val="tx1"/>
            </w14:solidFill>
          </w14:textFill>
        </w:rPr>
        <w:t>响应文件的递交</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17.1 </w:t>
      </w:r>
      <w:r>
        <w:rPr>
          <w:rFonts w:hint="eastAsia" w:ascii="宋体" w:hAnsi="宋体"/>
          <w:bCs/>
          <w:color w:val="000000" w:themeColor="text1"/>
          <w:sz w:val="28"/>
          <w:szCs w:val="28"/>
          <w:highlight w:val="none"/>
          <w14:textFill>
            <w14:solidFill>
              <w14:schemeClr w14:val="tx1"/>
            </w14:solidFill>
          </w14:textFill>
        </w:rPr>
        <w:t>响应</w:t>
      </w:r>
      <w:r>
        <w:rPr>
          <w:rFonts w:hint="eastAsia" w:ascii="宋体" w:hAnsi="宋体"/>
          <w:bCs/>
          <w:color w:val="000000" w:themeColor="text1"/>
          <w:sz w:val="28"/>
          <w:szCs w:val="28"/>
          <w:highlight w:val="none"/>
          <w:lang w:val="zh-CN"/>
          <w14:textFill>
            <w14:solidFill>
              <w14:schemeClr w14:val="tx1"/>
            </w14:solidFill>
          </w14:textFill>
        </w:rPr>
        <w:t>文件应加盖供应商公章。</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7</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供应商应当按照《操作手册》规定，在截止时间前制作并上传电子响应文件。</w:t>
      </w:r>
      <w:bookmarkStart w:id="82" w:name="_Toc513029226"/>
      <w:bookmarkStart w:id="83" w:name="_Toc16938542"/>
      <w:bookmarkStart w:id="84" w:name="_Toc20823298"/>
    </w:p>
    <w:bookmarkEnd w:id="82"/>
    <w:bookmarkEnd w:id="83"/>
    <w:bookmarkEnd w:id="84"/>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7</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 xml:space="preserve">3 </w:t>
      </w:r>
      <w:bookmarkStart w:id="85" w:name="_Toc513029227"/>
      <w:bookmarkStart w:id="86" w:name="_Toc20823299"/>
      <w:bookmarkStart w:id="87" w:name="_Toc16938543"/>
      <w:r>
        <w:rPr>
          <w:rFonts w:hint="eastAsia" w:ascii="宋体" w:hAnsi="宋体"/>
          <w:bCs/>
          <w:color w:val="000000" w:themeColor="text1"/>
          <w:sz w:val="28"/>
          <w:szCs w:val="28"/>
          <w:highlight w:val="none"/>
          <w:lang w:val="zh-CN"/>
          <w14:textFill>
            <w14:solidFill>
              <w14:schemeClr w14:val="tx1"/>
            </w14:solidFill>
          </w14:textFill>
        </w:rPr>
        <w:t>供应商应充分考虑到网络环境、网络带宽等风险因素，如因供应商自身原因造成的电子响应文件上传不成功由供应商自行承担全部责任，并按照本采购文件第二章第2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.3条规定做无效响应处理。</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7</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4 代理机构</w:t>
      </w:r>
      <w:r>
        <w:rPr>
          <w:rFonts w:hint="eastAsia" w:ascii="宋体" w:hAnsi="宋体"/>
          <w:bCs/>
          <w:color w:val="000000" w:themeColor="text1"/>
          <w:sz w:val="28"/>
          <w:szCs w:val="28"/>
          <w:highlight w:val="none"/>
          <w:lang w:val="zh-CN"/>
          <w14:textFill>
            <w14:solidFill>
              <w14:schemeClr w14:val="tx1"/>
            </w14:solidFill>
          </w14:textFill>
        </w:rPr>
        <w:t>可以按照规定，通过修改采购文件酌情延长截止时间，在此情况下，供应商的所有权利和义务均以延长后新的截止时间为准。</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18.响应文件</w:t>
      </w:r>
      <w:bookmarkEnd w:id="85"/>
      <w:bookmarkEnd w:id="86"/>
      <w:bookmarkEnd w:id="87"/>
      <w:r>
        <w:rPr>
          <w:rFonts w:hint="eastAsia" w:ascii="宋体" w:hAnsi="宋体"/>
          <w:b/>
          <w:color w:val="000000" w:themeColor="text1"/>
          <w:sz w:val="28"/>
          <w:szCs w:val="28"/>
          <w:highlight w:val="none"/>
          <w14:textFill>
            <w14:solidFill>
              <w14:schemeClr w14:val="tx1"/>
            </w14:solidFill>
          </w14:textFill>
        </w:rPr>
        <w:t>的拒收</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18</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截止时间后上传的任何响应文件将被拒绝。</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88" w:name="_Toc16938544"/>
      <w:bookmarkStart w:id="89" w:name="_Toc513029228"/>
      <w:bookmarkStart w:id="90" w:name="_Toc20823300"/>
      <w:r>
        <w:rPr>
          <w:rFonts w:hint="eastAsia" w:ascii="宋体" w:hAnsi="宋体"/>
          <w:b/>
          <w:color w:val="000000" w:themeColor="text1"/>
          <w:sz w:val="28"/>
          <w:szCs w:val="28"/>
          <w:highlight w:val="none"/>
          <w14:textFill>
            <w14:solidFill>
              <w14:schemeClr w14:val="tx1"/>
            </w14:solidFill>
          </w14:textFill>
        </w:rPr>
        <w:t>19.响应文件的撤回和修改</w:t>
      </w:r>
      <w:bookmarkEnd w:id="88"/>
      <w:bookmarkEnd w:id="89"/>
      <w:bookmarkEnd w:id="90"/>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响应文件的撤回</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.1.1供应商可在截止时间前，撤回其电子响应文件，具体操作方法见《操作手册》。</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.1.2供应商撤回电子响应文件，则认为其不再参与本项目采购活动。</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响应文件的修改</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19.2.1</w:t>
      </w:r>
      <w:r>
        <w:rPr>
          <w:rFonts w:hint="eastAsia" w:ascii="宋体" w:hAnsi="宋体"/>
          <w:bCs/>
          <w:color w:val="000000" w:themeColor="text1"/>
          <w:sz w:val="28"/>
          <w:szCs w:val="28"/>
          <w:highlight w:val="none"/>
          <w:lang w:val="zh-CN"/>
          <w14:textFill>
            <w14:solidFill>
              <w14:schemeClr w14:val="tx1"/>
            </w14:solidFill>
          </w14:textFill>
        </w:rPr>
        <w:t>供应商可在截止时间前，对其电子响应文件进行修改，具体操作方法见《操作手册》。</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2.2</w:t>
      </w:r>
      <w:r>
        <w:rPr>
          <w:rFonts w:hint="eastAsia" w:ascii="宋体" w:hAnsi="宋体"/>
          <w:bCs/>
          <w:color w:val="000000" w:themeColor="text1"/>
          <w:sz w:val="28"/>
          <w:szCs w:val="28"/>
          <w:highlight w:val="none"/>
          <w:lang w:val="zh-CN"/>
          <w14:textFill>
            <w14:solidFill>
              <w14:schemeClr w14:val="tx1"/>
            </w14:solidFill>
          </w14:textFill>
        </w:rPr>
        <w:t xml:space="preserve"> 在截止时间之后，供应商不得对其电子响应文件作任何修改。</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3</w:t>
      </w:r>
      <w:r>
        <w:rPr>
          <w:rFonts w:hint="eastAsia" w:ascii="宋体" w:hAnsi="宋体"/>
          <w:bCs/>
          <w:color w:val="000000" w:themeColor="text1"/>
          <w:sz w:val="28"/>
          <w:szCs w:val="28"/>
          <w:highlight w:val="none"/>
          <w:lang w:val="zh-CN"/>
          <w14:textFill>
            <w14:solidFill>
              <w14:schemeClr w14:val="tx1"/>
            </w14:solidFill>
          </w14:textFill>
        </w:rPr>
        <w:t xml:space="preserve"> 在截止时间至有效期满之间的这段时间内，供应商不得撤回其响应文件。</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91" w:name="_Toc16938545"/>
      <w:bookmarkStart w:id="92" w:name="_Toc513029229"/>
      <w:bookmarkStart w:id="93" w:name="_Toc20823301"/>
      <w:bookmarkStart w:id="94" w:name="_Toc120614218"/>
      <w:r>
        <w:rPr>
          <w:rFonts w:hint="eastAsia" w:ascii="宋体" w:hAnsi="宋体"/>
          <w:b/>
          <w:color w:val="000000" w:themeColor="text1"/>
          <w:sz w:val="28"/>
          <w:szCs w:val="28"/>
          <w:highlight w:val="none"/>
          <w14:textFill>
            <w14:solidFill>
              <w14:schemeClr w14:val="tx1"/>
            </w14:solidFill>
          </w14:textFill>
        </w:rPr>
        <w:t>五、响应文件的解密与评审</w:t>
      </w:r>
      <w:bookmarkEnd w:id="91"/>
      <w:bookmarkEnd w:id="92"/>
      <w:bookmarkEnd w:id="93"/>
      <w:bookmarkEnd w:id="94"/>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95" w:name="_Toc513029230"/>
      <w:bookmarkStart w:id="96" w:name="_Toc16938546"/>
      <w:bookmarkStart w:id="97" w:name="_Toc20823302"/>
      <w:r>
        <w:rPr>
          <w:rFonts w:hint="eastAsia" w:ascii="宋体" w:hAnsi="宋体"/>
          <w:b/>
          <w:color w:val="000000" w:themeColor="text1"/>
          <w:sz w:val="28"/>
          <w:szCs w:val="28"/>
          <w:highlight w:val="none"/>
          <w14:textFill>
            <w14:solidFill>
              <w14:schemeClr w14:val="tx1"/>
            </w14:solidFill>
          </w14:textFill>
        </w:rPr>
        <w:t>20</w:t>
      </w:r>
      <w:bookmarkEnd w:id="95"/>
      <w:bookmarkEnd w:id="96"/>
      <w:bookmarkEnd w:id="97"/>
      <w:r>
        <w:rPr>
          <w:rFonts w:hint="eastAsia" w:ascii="宋体" w:hAnsi="宋体"/>
          <w:b/>
          <w:color w:val="000000" w:themeColor="text1"/>
          <w:sz w:val="28"/>
          <w:szCs w:val="28"/>
          <w:highlight w:val="none"/>
          <w14:textFill>
            <w14:solidFill>
              <w14:schemeClr w14:val="tx1"/>
            </w14:solidFill>
          </w14:textFill>
        </w:rPr>
        <w:t>.响应文件解密</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0</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供应商应当按照《操作手册》规定，在苏采云系统规定的时间内对响应文件进行解密。</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98" w:name="_Toc20823303"/>
      <w:bookmarkStart w:id="99" w:name="_Toc513029231"/>
      <w:bookmarkStart w:id="100" w:name="_Toc16938547"/>
      <w:r>
        <w:rPr>
          <w:rFonts w:hint="eastAsia" w:ascii="宋体" w:hAnsi="宋体"/>
          <w:b/>
          <w:color w:val="000000" w:themeColor="text1"/>
          <w:sz w:val="28"/>
          <w:szCs w:val="28"/>
          <w:highlight w:val="none"/>
          <w14:textFill>
            <w14:solidFill>
              <w14:schemeClr w14:val="tx1"/>
            </w14:solidFill>
          </w14:textFill>
        </w:rPr>
        <w:t>21.单一来源采购小组</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1</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依法组建的</w:t>
      </w:r>
      <w:r>
        <w:rPr>
          <w:rFonts w:hint="eastAsia" w:ascii="宋体" w:hAnsi="宋体"/>
          <w:bCs/>
          <w:color w:val="000000" w:themeColor="text1"/>
          <w:sz w:val="28"/>
          <w:szCs w:val="28"/>
          <w:highlight w:val="none"/>
          <w:lang w:val="zh-CN"/>
          <w14:textFill>
            <w14:solidFill>
              <w14:schemeClr w14:val="tx1"/>
            </w14:solidFill>
          </w14:textFill>
        </w:rPr>
        <w:t>单一来源采购小组（以下简称“采购小组”）对响应文件进行评审。</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1</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采购小组应当按照客观、公正、审慎的原则评审供应商的响应文件，并与供应商协商采购标的的价格。</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22.采购过程的保密与公正</w:t>
      </w:r>
    </w:p>
    <w:bookmarkEnd w:id="98"/>
    <w:bookmarkEnd w:id="99"/>
    <w:bookmarkEnd w:id="100"/>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bookmarkStart w:id="101" w:name="_Toc20823304"/>
      <w:bookmarkStart w:id="102" w:name="_Toc513029232"/>
      <w:bookmarkStart w:id="103" w:name="_Toc16938548"/>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采购小组、采购人和</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工作人员、相关监督人员等与评审工作有关的人员，对评审情况以及在评审过程中获悉的国家秘密、商业秘密负有保密责任。</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供应商不得以任何行为影响评审过程，否则将会导致其响应文件被拒绝。</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23.评审过程中的澄清</w:t>
      </w:r>
      <w:bookmarkEnd w:id="101"/>
      <w:bookmarkEnd w:id="102"/>
      <w:bookmarkEnd w:id="103"/>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3</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项目评审过程中，采购小组有权要求供应商对响应文件中含义不明确、同类问题表述不一致或者有明显文字和计算错误的内容等作出必要的澄清、说明或者更正。</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3</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需要供应商进行澄清、说明和更正的，采购小组将通过苏采云系统向供应商发布《澄清要求函》，接到《澄清要求函》的供应商应当按照要求在苏采云系统中提交《澄清响应函》并加盖电子公章。澄清、说明和更正的内容作为响应文件的补充部分，具体操作方式见《操作手册》。</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3</w:t>
      </w:r>
      <w:r>
        <w:rPr>
          <w:rFonts w:hint="eastAsia" w:ascii="宋体" w:hAnsi="宋体"/>
          <w:bCs/>
          <w:color w:val="000000" w:themeColor="text1"/>
          <w:sz w:val="28"/>
          <w:szCs w:val="28"/>
          <w:highlight w:val="none"/>
          <w:lang w:val="zh-CN"/>
          <w14:textFill>
            <w14:solidFill>
              <w14:schemeClr w14:val="tx1"/>
            </w14:solidFill>
          </w14:textFill>
        </w:rPr>
        <w:t>.3 接到采购小组澄清、说明和更正要求的供应商如未按规定做出澄清、说明和更正，其风险由供应商自行承担。</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104" w:name="_Toc513029233"/>
      <w:bookmarkStart w:id="105" w:name="_Toc20823305"/>
      <w:bookmarkStart w:id="106" w:name="_Toc16938549"/>
      <w:r>
        <w:rPr>
          <w:rFonts w:hint="eastAsia" w:ascii="宋体" w:hAnsi="宋体"/>
          <w:b/>
          <w:color w:val="000000" w:themeColor="text1"/>
          <w:sz w:val="28"/>
          <w:szCs w:val="28"/>
          <w:highlight w:val="none"/>
          <w14:textFill>
            <w14:solidFill>
              <w14:schemeClr w14:val="tx1"/>
            </w14:solidFill>
          </w14:textFill>
        </w:rPr>
        <w:t>24.对响应文件的审</w:t>
      </w:r>
      <w:bookmarkEnd w:id="104"/>
      <w:bookmarkEnd w:id="105"/>
      <w:bookmarkEnd w:id="106"/>
      <w:r>
        <w:rPr>
          <w:rFonts w:hint="eastAsia" w:ascii="宋体" w:hAnsi="宋体"/>
          <w:b/>
          <w:color w:val="000000" w:themeColor="text1"/>
          <w:sz w:val="28"/>
          <w:szCs w:val="28"/>
          <w:highlight w:val="none"/>
          <w14:textFill>
            <w14:solidFill>
              <w14:schemeClr w14:val="tx1"/>
            </w14:solidFill>
          </w14:textFill>
        </w:rPr>
        <w:t>查</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响应文件审查分为资格审查和符合性审查。</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.1.1资格审查。由采购小组依据法律法规和采购文件的规定，对响应文件中的资格证明文件进行审查，以确定供应商是否具备参加单一来源采购的资格。</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采购小组在进行资格审查时，将在“信用中国”网站（www.creditchina.gov.cn）查询供应商的信用记录，以确定供应商是否具备采购资格，查询结果留存并归档。</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.1.2符合性审查。依据采购文件的规定，由采购小组从响应文件的有效性、完整性和对采购文件的响应程度进行审查，以确定是否对采购文件的实质性要求作出响应。</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.1.3</w:t>
      </w:r>
      <w:r>
        <w:rPr>
          <w:rFonts w:hint="eastAsia" w:ascii="宋体" w:hAnsi="宋体"/>
          <w:bCs/>
          <w:color w:val="000000" w:themeColor="text1"/>
          <w:sz w:val="28"/>
          <w:szCs w:val="28"/>
          <w:highlight w:val="none"/>
          <w14:textFill>
            <w14:solidFill>
              <w14:schemeClr w14:val="tx1"/>
            </w14:solidFill>
          </w14:textFill>
        </w:rPr>
        <w:t>未通过资格审查或符合性审查的供应商，采购小组将通过苏采云系统告知具体原因，评审结束后将不再接受有关询问。</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在详细评审之前，</w:t>
      </w:r>
      <w:r>
        <w:rPr>
          <w:rFonts w:hint="eastAsia" w:ascii="宋体" w:hAnsi="宋体"/>
          <w:bCs/>
          <w:color w:val="000000" w:themeColor="text1"/>
          <w:sz w:val="28"/>
          <w:szCs w:val="28"/>
          <w:highlight w:val="none"/>
          <w:lang w:val="zh-CN"/>
          <w14:textFill>
            <w14:solidFill>
              <w14:schemeClr w14:val="tx1"/>
            </w14:solidFill>
          </w14:textFill>
        </w:rPr>
        <w:t>采购小组将首先审查响应文件是否实质性响应了采购文件的要求。</w:t>
      </w:r>
      <w:r>
        <w:rPr>
          <w:rFonts w:hint="eastAsia" w:ascii="宋体" w:hAnsi="宋体"/>
          <w:bCs/>
          <w:color w:val="000000" w:themeColor="text1"/>
          <w:sz w:val="28"/>
          <w:szCs w:val="28"/>
          <w:highlight w:val="none"/>
          <w14:textFill>
            <w14:solidFill>
              <w14:schemeClr w14:val="tx1"/>
            </w14:solidFill>
          </w14:textFill>
        </w:rPr>
        <w:t>实质性响应的响应文件应该是与采购文件要求的条款、条件和规格相符，没有重大偏离或保留的文件。</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所谓重大偏离或保留是指与采购文件规定的实质性要求存在负偏离，或者在实质上与采购文件不一致，而且限制了合同中</w:t>
      </w:r>
      <w:r>
        <w:rPr>
          <w:rFonts w:hint="eastAsia" w:ascii="宋体" w:hAnsi="宋体"/>
          <w:bCs/>
          <w:color w:val="000000" w:themeColor="text1"/>
          <w:sz w:val="28"/>
          <w:szCs w:val="28"/>
          <w:highlight w:val="none"/>
          <w14:textFill>
            <w14:solidFill>
              <w14:schemeClr w14:val="tx1"/>
            </w14:solidFill>
          </w14:textFill>
        </w:rPr>
        <w:t>采购人</w:t>
      </w:r>
      <w:r>
        <w:rPr>
          <w:rFonts w:hint="eastAsia" w:ascii="宋体" w:hAnsi="宋体"/>
          <w:bCs/>
          <w:color w:val="000000" w:themeColor="text1"/>
          <w:sz w:val="28"/>
          <w:szCs w:val="28"/>
          <w:highlight w:val="none"/>
          <w:lang w:val="zh-CN"/>
          <w14:textFill>
            <w14:solidFill>
              <w14:schemeClr w14:val="tx1"/>
            </w14:solidFill>
          </w14:textFill>
        </w:rPr>
        <w:t>的权利或供应商的义务。重大偏离的认定</w:t>
      </w:r>
      <w:r>
        <w:rPr>
          <w:rFonts w:hint="eastAsia" w:ascii="宋体" w:hAnsi="宋体"/>
          <w:bCs/>
          <w:color w:val="000000" w:themeColor="text1"/>
          <w:sz w:val="28"/>
          <w:szCs w:val="28"/>
          <w:highlight w:val="none"/>
          <w14:textFill>
            <w14:solidFill>
              <w14:schemeClr w14:val="tx1"/>
            </w14:solidFill>
          </w14:textFill>
        </w:rPr>
        <w:t>由采购小组按照</w:t>
      </w:r>
      <w:r>
        <w:rPr>
          <w:rFonts w:hint="eastAsia" w:ascii="宋体" w:hAnsi="宋体"/>
          <w:bCs/>
          <w:color w:val="000000" w:themeColor="text1"/>
          <w:sz w:val="28"/>
          <w:szCs w:val="28"/>
          <w:highlight w:val="none"/>
          <w:lang w:val="zh-CN"/>
          <w14:textFill>
            <w14:solidFill>
              <w14:schemeClr w14:val="tx1"/>
            </w14:solidFill>
          </w14:textFill>
        </w:rPr>
        <w:t>少数服从多数的原则作出结论。</w:t>
      </w:r>
      <w:r>
        <w:rPr>
          <w:rFonts w:hint="eastAsia" w:ascii="宋体" w:hAnsi="宋体"/>
          <w:bCs/>
          <w:color w:val="000000" w:themeColor="text1"/>
          <w:sz w:val="28"/>
          <w:szCs w:val="28"/>
          <w:highlight w:val="none"/>
          <w14:textFill>
            <w14:solidFill>
              <w14:schemeClr w14:val="tx1"/>
            </w14:solidFill>
          </w14:textFill>
        </w:rPr>
        <w:t>采购小组认</w:t>
      </w:r>
      <w:r>
        <w:rPr>
          <w:rFonts w:hint="eastAsia" w:ascii="宋体" w:hAnsi="宋体"/>
          <w:bCs/>
          <w:color w:val="000000" w:themeColor="text1"/>
          <w:sz w:val="28"/>
          <w:szCs w:val="28"/>
          <w:highlight w:val="none"/>
          <w:lang w:val="zh-CN"/>
          <w14:textFill>
            <w14:solidFill>
              <w14:schemeClr w14:val="tx1"/>
            </w14:solidFill>
          </w14:textFill>
        </w:rPr>
        <w:t>定响应文件的响应性只根据响应文件本身的内容，而不寻求外部的证据。</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未实质性响应采购文件的情形</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.3.1供应商在苏采云系统规定的时间内未成功解密电子响应文件。</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.3.2供应商未按照采购文件要求上传电子响应文件。</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.3.3供应商提交两个（含两个）以上不同的响应文件或者最后报价。</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.3.4供应商不具备采购文件规定</w:t>
      </w:r>
      <w:r>
        <w:rPr>
          <w:rFonts w:hint="eastAsia" w:ascii="宋体" w:hAnsi="宋体"/>
          <w:bCs/>
          <w:color w:val="000000" w:themeColor="text1"/>
          <w:sz w:val="28"/>
          <w:szCs w:val="28"/>
          <w:highlight w:val="none"/>
          <w14:textFill>
            <w14:solidFill>
              <w14:schemeClr w14:val="tx1"/>
            </w14:solidFill>
          </w14:textFill>
        </w:rPr>
        <w:t>的</w:t>
      </w:r>
      <w:r>
        <w:rPr>
          <w:rFonts w:hint="eastAsia" w:ascii="宋体" w:hAnsi="宋体"/>
          <w:bCs/>
          <w:color w:val="000000" w:themeColor="text1"/>
          <w:sz w:val="28"/>
          <w:szCs w:val="28"/>
          <w:highlight w:val="none"/>
          <w:lang w:val="zh-CN"/>
          <w14:textFill>
            <w14:solidFill>
              <w14:schemeClr w14:val="tx1"/>
            </w14:solidFill>
          </w14:textFill>
        </w:rPr>
        <w:t>资格要求。</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.3.5供应商的最后报价超过了采购预算</w:t>
      </w:r>
      <w:r>
        <w:rPr>
          <w:rFonts w:hint="eastAsia" w:ascii="宋体" w:hAnsi="宋体"/>
          <w:bCs/>
          <w:color w:val="000000" w:themeColor="text1"/>
          <w:sz w:val="28"/>
          <w:szCs w:val="28"/>
          <w:highlight w:val="none"/>
          <w14:textFill>
            <w14:solidFill>
              <w14:schemeClr w14:val="tx1"/>
            </w14:solidFill>
          </w14:textFill>
        </w:rPr>
        <w:t>或最高限价</w:t>
      </w:r>
      <w:r>
        <w:rPr>
          <w:rFonts w:hint="eastAsia" w:ascii="宋体" w:hAnsi="宋体"/>
          <w:bCs/>
          <w:color w:val="000000" w:themeColor="text1"/>
          <w:sz w:val="28"/>
          <w:szCs w:val="28"/>
          <w:highlight w:val="none"/>
          <w:lang w:val="zh-CN"/>
          <w14:textFill>
            <w14:solidFill>
              <w14:schemeClr w14:val="tx1"/>
            </w14:solidFill>
          </w14:textFill>
        </w:rPr>
        <w:t>。</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.3.6不符合采购文件中规定的实质性要求和条件（本文件中斜体且有下划线部分或者打“</w:t>
      </w:r>
      <w:r>
        <w:rPr>
          <w:rFonts w:hint="eastAsia" w:ascii="宋体" w:hAnsi="宋体"/>
          <w:bCs/>
          <w:color w:val="000000" w:themeColor="text1"/>
          <w:sz w:val="28"/>
          <w:szCs w:val="28"/>
          <w:highlight w:val="none"/>
          <w14:textFill>
            <w14:solidFill>
              <w14:schemeClr w14:val="tx1"/>
            </w14:solidFill>
          </w14:textFill>
        </w:rPr>
        <w:t>★</w:t>
      </w:r>
      <w:r>
        <w:rPr>
          <w:rFonts w:hint="eastAsia" w:ascii="宋体" w:hAnsi="宋体"/>
          <w:bCs/>
          <w:color w:val="000000" w:themeColor="text1"/>
          <w:sz w:val="28"/>
          <w:szCs w:val="28"/>
          <w:highlight w:val="none"/>
          <w:lang w:val="zh-CN"/>
          <w14:textFill>
            <w14:solidFill>
              <w14:schemeClr w14:val="tx1"/>
            </w14:solidFill>
          </w14:textFill>
        </w:rPr>
        <w:t>”内容，</w:t>
      </w:r>
      <w:r>
        <w:rPr>
          <w:rFonts w:hint="eastAsia" w:ascii="宋体" w:hAnsi="宋体"/>
          <w:bCs/>
          <w:color w:val="000000" w:themeColor="text1"/>
          <w:sz w:val="28"/>
          <w:szCs w:val="28"/>
          <w:highlight w:val="none"/>
          <w14:textFill>
            <w14:solidFill>
              <w14:schemeClr w14:val="tx1"/>
            </w14:solidFill>
          </w14:textFill>
        </w:rPr>
        <w:t>为实质性要求和条件</w:t>
      </w:r>
      <w:r>
        <w:rPr>
          <w:rFonts w:hint="eastAsia" w:ascii="宋体" w:hAnsi="宋体"/>
          <w:bCs/>
          <w:color w:val="000000" w:themeColor="text1"/>
          <w:sz w:val="28"/>
          <w:szCs w:val="28"/>
          <w:highlight w:val="none"/>
          <w:lang w:val="zh-CN"/>
          <w14:textFill>
            <w14:solidFill>
              <w14:schemeClr w14:val="tx1"/>
            </w14:solidFill>
          </w14:textFill>
        </w:rPr>
        <w:t>）。</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.3.8响应文件含有采购人不能接受的附加条件。</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w:t>
      </w:r>
      <w:r>
        <w:rPr>
          <w:rFonts w:hint="eastAsia" w:ascii="宋体" w:hAnsi="宋体"/>
          <w:bCs/>
          <w:color w:val="000000" w:themeColor="text1"/>
          <w:sz w:val="28"/>
          <w:szCs w:val="28"/>
          <w:highlight w:val="none"/>
          <w:lang w:val="en-US" w:eastAsia="zh-CN"/>
          <w14:textFill>
            <w14:solidFill>
              <w14:schemeClr w14:val="tx1"/>
            </w14:solidFill>
          </w14:textFill>
        </w:rPr>
        <w:t>9</w:t>
      </w:r>
      <w:r>
        <w:rPr>
          <w:rFonts w:hint="eastAsia" w:ascii="宋体" w:hAnsi="宋体"/>
          <w:bCs/>
          <w:color w:val="000000" w:themeColor="text1"/>
          <w:sz w:val="28"/>
          <w:szCs w:val="28"/>
          <w:highlight w:val="none"/>
          <w:lang w:val="zh-CN"/>
          <w14:textFill>
            <w14:solidFill>
              <w14:schemeClr w14:val="tx1"/>
            </w14:solidFill>
          </w14:textFill>
        </w:rPr>
        <w:t>响应文件未按照采购文件要求加盖电子公章。</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.3.1</w:t>
      </w:r>
      <w:r>
        <w:rPr>
          <w:rFonts w:hint="eastAsia" w:ascii="宋体" w:hAnsi="宋体"/>
          <w:bCs/>
          <w:color w:val="000000" w:themeColor="text1"/>
          <w:sz w:val="28"/>
          <w:szCs w:val="28"/>
          <w:highlight w:val="none"/>
          <w:lang w:val="en-US" w:eastAsia="zh-CN"/>
          <w14:textFill>
            <w14:solidFill>
              <w14:schemeClr w14:val="tx1"/>
            </w14:solidFill>
          </w14:textFill>
        </w:rPr>
        <w:t>0</w:t>
      </w:r>
      <w:r>
        <w:rPr>
          <w:rFonts w:hint="eastAsia" w:ascii="宋体" w:hAnsi="宋体"/>
          <w:bCs/>
          <w:color w:val="000000" w:themeColor="text1"/>
          <w:sz w:val="28"/>
          <w:szCs w:val="28"/>
          <w:highlight w:val="none"/>
          <w14:textFill>
            <w14:solidFill>
              <w14:schemeClr w14:val="tx1"/>
            </w14:solidFill>
          </w14:textFill>
        </w:rPr>
        <w:t>法律法规及本采购文件规定的其他无效响应的情形。</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.4</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未实质性响应采购文件的响应文件按无效响应处理。</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.5</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如果响应文件实质上没有响应采购文件的要求，采购小组将予以拒绝。</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bookmarkStart w:id="107" w:name="_Toc513029234"/>
      <w:bookmarkStart w:id="108" w:name="_Toc16938550"/>
      <w:bookmarkStart w:id="109" w:name="_Toc20823306"/>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.6</w:t>
      </w:r>
      <w:r>
        <w:rPr>
          <w:rFonts w:hint="eastAsia" w:ascii="宋体" w:hAnsi="宋体"/>
          <w:bCs/>
          <w:color w:val="000000" w:themeColor="text1"/>
          <w:sz w:val="28"/>
          <w:szCs w:val="28"/>
          <w:highlight w:val="none"/>
          <w14:textFill>
            <w14:solidFill>
              <w14:schemeClr w14:val="tx1"/>
            </w14:solidFill>
          </w14:textFill>
        </w:rPr>
        <w:t xml:space="preserve"> 供应商在项目评审全过程中应保持通讯畅通，</w:t>
      </w:r>
      <w:r>
        <w:rPr>
          <w:rFonts w:hint="eastAsia" w:ascii="宋体" w:hAnsi="宋体"/>
          <w:bCs/>
          <w:color w:val="000000" w:themeColor="text1"/>
          <w:sz w:val="28"/>
          <w:szCs w:val="28"/>
          <w:highlight w:val="none"/>
          <w:lang w:val="zh-CN"/>
          <w14:textFill>
            <w14:solidFill>
              <w14:schemeClr w14:val="tx1"/>
            </w14:solidFill>
          </w14:textFill>
        </w:rPr>
        <w:t>及时登录苏采云系统查阅、答复相关信息，并安排专人与</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及</w:t>
      </w:r>
      <w:r>
        <w:rPr>
          <w:rFonts w:hint="eastAsia" w:ascii="宋体" w:hAnsi="宋体"/>
          <w:bCs/>
          <w:color w:val="000000" w:themeColor="text1"/>
          <w:sz w:val="28"/>
          <w:szCs w:val="28"/>
          <w:highlight w:val="none"/>
          <w14:textFill>
            <w14:solidFill>
              <w14:schemeClr w14:val="tx1"/>
            </w14:solidFill>
          </w14:textFill>
        </w:rPr>
        <w:t>采购小组</w:t>
      </w:r>
      <w:r>
        <w:rPr>
          <w:rFonts w:hint="eastAsia" w:ascii="宋体" w:hAnsi="宋体"/>
          <w:bCs/>
          <w:color w:val="000000" w:themeColor="text1"/>
          <w:sz w:val="28"/>
          <w:szCs w:val="28"/>
          <w:highlight w:val="none"/>
          <w:lang w:val="zh-CN"/>
          <w14:textFill>
            <w14:solidFill>
              <w14:schemeClr w14:val="tx1"/>
            </w14:solidFill>
          </w14:textFill>
        </w:rPr>
        <w:t>联系。</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25</w:t>
      </w:r>
      <w:bookmarkEnd w:id="107"/>
      <w:bookmarkEnd w:id="108"/>
      <w:bookmarkEnd w:id="109"/>
      <w:r>
        <w:rPr>
          <w:rFonts w:hint="eastAsia" w:ascii="宋体" w:hAnsi="宋体"/>
          <w:b/>
          <w:color w:val="000000" w:themeColor="text1"/>
          <w:sz w:val="28"/>
          <w:szCs w:val="28"/>
          <w:highlight w:val="none"/>
          <w14:textFill>
            <w14:solidFill>
              <w14:schemeClr w14:val="tx1"/>
            </w14:solidFill>
          </w14:textFill>
        </w:rPr>
        <w:t>.采购程序及成交原则</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采购程序</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.1.1对于通过资格审查和符合性审查的供应商，采购小组将通过苏采云系统与其就采购标的的价格、服务等内容进行谈判。</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.1.2供应商应当在苏采云系统中以书面形式对采购过程中的承诺与澄清进行确认，并在采购小组规定的时间内完成最后报价。</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.1.3供应商的最后报价在响应产品数量没有增加，配置、服务没有重大提高的情况下，一般不允许高于第一次报价（即分项报价表中的报价）。否则，采购小组有权拒绝该最后报价并不再给予报价补救机会。</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25.2 成交原则</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采购小组根据政府采购相关法律、</w:t>
      </w:r>
      <w:r>
        <w:rPr>
          <w:rFonts w:hint="eastAsia" w:ascii="宋体" w:hAnsi="宋体"/>
          <w:bCs/>
          <w:color w:val="000000" w:themeColor="text1"/>
          <w:sz w:val="28"/>
          <w:szCs w:val="28"/>
          <w:highlight w:val="none"/>
          <w14:textFill>
            <w14:solidFill>
              <w14:schemeClr w14:val="tx1"/>
            </w14:solidFill>
          </w14:textFill>
        </w:rPr>
        <w:t>法规、</w:t>
      </w:r>
      <w:r>
        <w:rPr>
          <w:rFonts w:hint="eastAsia" w:ascii="宋体" w:hAnsi="宋体"/>
          <w:bCs/>
          <w:color w:val="000000" w:themeColor="text1"/>
          <w:sz w:val="28"/>
          <w:szCs w:val="28"/>
          <w:highlight w:val="none"/>
          <w:lang w:val="zh-CN"/>
          <w14:textFill>
            <w14:solidFill>
              <w14:schemeClr w14:val="tx1"/>
            </w14:solidFill>
          </w14:textFill>
        </w:rPr>
        <w:t>规章的规定，在供应商的响应能保证采购项目质量且最后报价合理的基础上确定其为成交供应商。</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单一来源采购终止</w:t>
      </w:r>
    </w:p>
    <w:p>
      <w:pPr>
        <w:spacing w:line="360" w:lineRule="auto"/>
        <w:ind w:firstLine="562"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出现下列情形之一的，本次采购活动终止：</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.3.1因情况变化，不再符合规定的单一来源采购方式适用情形。</w:t>
      </w:r>
      <w:r>
        <w:rPr>
          <w:rFonts w:hint="eastAsia" w:ascii="宋体" w:hAnsi="宋体"/>
          <w:bCs/>
          <w:color w:val="000000" w:themeColor="text1"/>
          <w:sz w:val="28"/>
          <w:szCs w:val="28"/>
          <w:highlight w:val="none"/>
          <w:lang w:val="zh-CN"/>
          <w14:textFill>
            <w14:solidFill>
              <w14:schemeClr w14:val="tx1"/>
            </w14:solidFill>
          </w14:textFill>
        </w:rPr>
        <w:br w:type="textWrapping"/>
      </w:r>
      <w:r>
        <w:rPr>
          <w:rFonts w:hint="eastAsia" w:ascii="宋体" w:hAnsi="宋体"/>
          <w:bCs/>
          <w:color w:val="000000" w:themeColor="text1"/>
          <w:sz w:val="28"/>
          <w:szCs w:val="28"/>
          <w:highlight w:val="none"/>
          <w:lang w:val="zh-CN"/>
          <w14:textFill>
            <w14:solidFill>
              <w14:schemeClr w14:val="tx1"/>
            </w14:solidFill>
          </w14:textFill>
        </w:rPr>
        <w:t>　　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.3.2出现影响采购公正的违法、违规行为。</w:t>
      </w:r>
      <w:r>
        <w:rPr>
          <w:rFonts w:hint="eastAsia" w:ascii="宋体" w:hAnsi="宋体"/>
          <w:bCs/>
          <w:color w:val="000000" w:themeColor="text1"/>
          <w:sz w:val="28"/>
          <w:szCs w:val="28"/>
          <w:highlight w:val="none"/>
          <w:lang w:val="zh-CN"/>
          <w14:textFill>
            <w14:solidFill>
              <w14:schemeClr w14:val="tx1"/>
            </w14:solidFill>
          </w14:textFill>
        </w:rPr>
        <w:br w:type="textWrapping"/>
      </w:r>
      <w:r>
        <w:rPr>
          <w:rFonts w:hint="eastAsia" w:ascii="宋体" w:hAnsi="宋体"/>
          <w:bCs/>
          <w:color w:val="000000" w:themeColor="text1"/>
          <w:sz w:val="28"/>
          <w:szCs w:val="28"/>
          <w:highlight w:val="none"/>
          <w:lang w:val="zh-CN"/>
          <w14:textFill>
            <w14:solidFill>
              <w14:schemeClr w14:val="tx1"/>
            </w14:solidFill>
          </w14:textFill>
        </w:rPr>
        <w:t>　　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.3.3供应商最后报价超过采购预算</w:t>
      </w:r>
      <w:r>
        <w:rPr>
          <w:rFonts w:hint="eastAsia" w:ascii="宋体" w:hAnsi="宋体"/>
          <w:bCs/>
          <w:color w:val="000000" w:themeColor="text1"/>
          <w:sz w:val="28"/>
          <w:szCs w:val="28"/>
          <w:highlight w:val="none"/>
          <w14:textFill>
            <w14:solidFill>
              <w14:schemeClr w14:val="tx1"/>
            </w14:solidFill>
          </w14:textFill>
        </w:rPr>
        <w:t>或最高限价</w:t>
      </w:r>
      <w:r>
        <w:rPr>
          <w:rFonts w:hint="eastAsia" w:ascii="宋体" w:hAnsi="宋体"/>
          <w:bCs/>
          <w:color w:val="000000" w:themeColor="text1"/>
          <w:sz w:val="28"/>
          <w:szCs w:val="28"/>
          <w:highlight w:val="none"/>
          <w:lang w:val="zh-CN"/>
          <w14:textFill>
            <w14:solidFill>
              <w14:schemeClr w14:val="tx1"/>
            </w14:solidFill>
          </w14:textFill>
        </w:rPr>
        <w:t>。</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.3.4供应商的技术方案、服务承诺、商务条款等不能满足采购人要求。</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.3.5法律法规规定的其他应当终止情形。</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六、成交</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26.确定成交供应商</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采购小组根据谈判情况编写单一来源评审报告，确定成交供应商。</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若有充分证据证明，成交供应商出现下列情况之一的，一经查实，将被取消成交资格：</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.1提供虚假材料谋取成交。</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.2向评审专家、采购人或</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工作人员行贿或者提供其他不正当利益。</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.3与评审专家、采购人或代理机构工作人员恶意串通。</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.4恶意竞争，最后报价明显低于其自身合理成本且又无法提供证明。</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.5不满足本采购文件规定的实质性要求，但在评审过程中又未被采购小组发现。</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成交供应商被取消成交资格后，代理机构有权重新组织采购。</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110" w:name="_Toc200451960"/>
      <w:r>
        <w:rPr>
          <w:rFonts w:hint="eastAsia" w:ascii="宋体" w:hAnsi="宋体"/>
          <w:b/>
          <w:color w:val="000000" w:themeColor="text1"/>
          <w:sz w:val="28"/>
          <w:szCs w:val="28"/>
          <w:highlight w:val="none"/>
          <w14:textFill>
            <w14:solidFill>
              <w14:schemeClr w14:val="tx1"/>
            </w14:solidFill>
          </w14:textFill>
        </w:rPr>
        <w:t>27</w:t>
      </w:r>
      <w:bookmarkEnd w:id="110"/>
      <w:r>
        <w:rPr>
          <w:rFonts w:hint="eastAsia" w:ascii="宋体" w:hAnsi="宋体"/>
          <w:b/>
          <w:color w:val="000000" w:themeColor="text1"/>
          <w:sz w:val="28"/>
          <w:szCs w:val="28"/>
          <w:highlight w:val="none"/>
          <w14:textFill>
            <w14:solidFill>
              <w14:schemeClr w14:val="tx1"/>
            </w14:solidFill>
          </w14:textFill>
        </w:rPr>
        <w:t>.成交通知书</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因系统存储空间有限，成交结果公告届满之日起三十日后，苏采云系统不再保证提供下载《成交通知书》服务，因未及时下载而造成的不利后果由成交供应商自行承担。</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27.2 《成交通知书》是合同的一个组成部分，对采购人和成交供应商均具有法律效力。《成交通知书》发出后，采购人改变成交结果的，或者成交供应商放弃成交项目的，应当依法承担法律责任。</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七、授予合同</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111" w:name="_Toc513029237"/>
      <w:bookmarkStart w:id="112" w:name="_Toc16938553"/>
      <w:bookmarkStart w:id="113" w:name="_Toc20823309"/>
      <w:r>
        <w:rPr>
          <w:rFonts w:hint="eastAsia" w:ascii="宋体" w:hAnsi="宋体"/>
          <w:b/>
          <w:color w:val="000000" w:themeColor="text1"/>
          <w:sz w:val="28"/>
          <w:szCs w:val="28"/>
          <w:highlight w:val="none"/>
          <w14:textFill>
            <w14:solidFill>
              <w14:schemeClr w14:val="tx1"/>
            </w14:solidFill>
          </w14:textFill>
        </w:rPr>
        <w:t>28.签订合同</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28.l 成交供应商应当在《成交通知书》发出之日起三十日内，按照采购文件确定的事项与采购人签订政府采购合同。</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28.2 采购文件、成交供应商的响应文件及谈判过程中有关澄清、承诺文件均作为合同附件。</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28.3 签订合同后，成交供应商不得将合同标的进行转包。未经采购人同意，成交供应商也不得采用分包形式履行合同，否则采购人有权终止合同。转包或分包造成采购人损失的，成交供应商应承担相应赔偿责任。</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28.4 成交供应商因自身原因拒绝与采购人签订合同的，</w:t>
      </w:r>
      <w:r>
        <w:rPr>
          <w:rFonts w:hint="eastAsia" w:ascii="宋体" w:hAnsi="宋体"/>
          <w:bCs/>
          <w:color w:val="000000" w:themeColor="text1"/>
          <w:sz w:val="28"/>
          <w:szCs w:val="28"/>
          <w:highlight w:val="none"/>
          <w:lang w:val="zh-CN"/>
          <w14:textFill>
            <w14:solidFill>
              <w14:schemeClr w14:val="tx1"/>
            </w14:solidFill>
          </w14:textFill>
        </w:rPr>
        <w:t>不得参加采购人</w:t>
      </w:r>
      <w:r>
        <w:rPr>
          <w:rFonts w:hint="eastAsia" w:ascii="宋体" w:hAnsi="宋体"/>
          <w:bCs/>
          <w:color w:val="000000" w:themeColor="text1"/>
          <w:sz w:val="28"/>
          <w:szCs w:val="28"/>
          <w:highlight w:val="none"/>
          <w14:textFill>
            <w14:solidFill>
              <w14:schemeClr w14:val="tx1"/>
            </w14:solidFill>
          </w14:textFill>
        </w:rPr>
        <w:t>重新组织的</w:t>
      </w:r>
      <w:r>
        <w:rPr>
          <w:rFonts w:hint="eastAsia" w:ascii="宋体" w:hAnsi="宋体"/>
          <w:bCs/>
          <w:color w:val="000000" w:themeColor="text1"/>
          <w:sz w:val="28"/>
          <w:szCs w:val="28"/>
          <w:highlight w:val="none"/>
          <w:lang w:val="zh-CN"/>
          <w14:textFill>
            <w14:solidFill>
              <w14:schemeClr w14:val="tx1"/>
            </w14:solidFill>
          </w14:textFill>
        </w:rPr>
        <w:t>采购活动</w:t>
      </w:r>
      <w:r>
        <w:rPr>
          <w:rFonts w:hint="eastAsia" w:ascii="宋体" w:hAnsi="宋体"/>
          <w:bCs/>
          <w:color w:val="000000" w:themeColor="text1"/>
          <w:sz w:val="28"/>
          <w:szCs w:val="28"/>
          <w:highlight w:val="none"/>
          <w14:textFill>
            <w14:solidFill>
              <w14:schemeClr w14:val="tx1"/>
            </w14:solidFill>
          </w14:textFill>
        </w:rPr>
        <w:t>，且将可能被拒绝参加该采购人</w:t>
      </w:r>
      <w:r>
        <w:rPr>
          <w:rFonts w:hint="eastAsia" w:ascii="宋体" w:hAnsi="宋体"/>
          <w:bCs/>
          <w:color w:val="000000" w:themeColor="text1"/>
          <w:sz w:val="28"/>
          <w:szCs w:val="28"/>
          <w:highlight w:val="none"/>
          <w:lang w:val="zh-CN"/>
          <w14:textFill>
            <w14:solidFill>
              <w14:schemeClr w14:val="tx1"/>
            </w14:solidFill>
          </w14:textFill>
        </w:rPr>
        <w:t>一年内</w:t>
      </w:r>
      <w:r>
        <w:rPr>
          <w:rFonts w:hint="eastAsia" w:ascii="宋体" w:hAnsi="宋体"/>
          <w:bCs/>
          <w:color w:val="000000" w:themeColor="text1"/>
          <w:sz w:val="28"/>
          <w:szCs w:val="28"/>
          <w:highlight w:val="none"/>
          <w14:textFill>
            <w14:solidFill>
              <w14:schemeClr w14:val="tx1"/>
            </w14:solidFill>
          </w14:textFill>
        </w:rPr>
        <w:t>的其他</w:t>
      </w:r>
      <w:r>
        <w:rPr>
          <w:rFonts w:hint="eastAsia" w:ascii="宋体" w:hAnsi="宋体"/>
          <w:bCs/>
          <w:color w:val="000000" w:themeColor="text1"/>
          <w:sz w:val="28"/>
          <w:szCs w:val="28"/>
          <w:highlight w:val="none"/>
          <w:lang w:val="zh-CN"/>
          <w14:textFill>
            <w14:solidFill>
              <w14:schemeClr w14:val="tx1"/>
            </w14:solidFill>
          </w14:textFill>
        </w:rPr>
        <w:t>政府采购活动。</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29.标的物的追加</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29</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政府采购合同履行中，采购人需追加与合同标的相同的货物、服务（包含与货物相关的服务</w:t>
      </w:r>
      <w:r>
        <w:rPr>
          <w:rFonts w:hint="eastAsia" w:ascii="宋体" w:hAnsi="宋体"/>
          <w:bCs/>
          <w:color w:val="000000" w:themeColor="text1"/>
          <w:sz w:val="28"/>
          <w:szCs w:val="28"/>
          <w:highlight w:val="none"/>
          <w14:textFill>
            <w14:solidFill>
              <w14:schemeClr w14:val="tx1"/>
            </w14:solidFill>
          </w14:textFill>
        </w:rPr>
        <w:t>或</w:t>
      </w:r>
      <w:r>
        <w:rPr>
          <w:rFonts w:hint="eastAsia" w:ascii="宋体" w:hAnsi="宋体"/>
          <w:bCs/>
          <w:color w:val="000000" w:themeColor="text1"/>
          <w:sz w:val="28"/>
          <w:szCs w:val="28"/>
          <w:highlight w:val="none"/>
          <w:lang w:val="zh-CN"/>
          <w14:textFill>
            <w14:solidFill>
              <w14:schemeClr w14:val="tx1"/>
            </w14:solidFill>
          </w14:textFill>
        </w:rPr>
        <w:t>与服务相关的货物）的，在不改变合同其他条款的前提下，可以与成交供应商协商签订补充合同，但所有补充合同的采购金额不超过原合同金额10%。</w:t>
      </w:r>
    </w:p>
    <w:bookmarkEnd w:id="111"/>
    <w:bookmarkEnd w:id="112"/>
    <w:bookmarkEnd w:id="113"/>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八、质疑</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30</w:t>
      </w:r>
      <w:r>
        <w:rPr>
          <w:rFonts w:hint="eastAsia" w:ascii="宋体" w:hAnsi="宋体"/>
          <w:bCs/>
          <w:color w:val="000000" w:themeColor="text1"/>
          <w:sz w:val="28"/>
          <w:szCs w:val="28"/>
          <w:highlight w:val="none"/>
          <w:lang w:val="zh-CN"/>
          <w14:textFill>
            <w14:solidFill>
              <w14:schemeClr w14:val="tx1"/>
            </w14:solidFill>
          </w14:textFill>
        </w:rPr>
        <w:t>.供应商认为采购文件、采购过程和采购结果使自己的权益受到损害的，可以在知道或应知其权益受到损害之日起七个工作日内，</w:t>
      </w:r>
      <w:r>
        <w:rPr>
          <w:rFonts w:hint="eastAsia" w:ascii="宋体" w:hAnsi="宋体"/>
          <w:bCs/>
          <w:color w:val="000000" w:themeColor="text1"/>
          <w:sz w:val="28"/>
          <w:szCs w:val="28"/>
          <w:highlight w:val="none"/>
          <w14:textFill>
            <w14:solidFill>
              <w14:schemeClr w14:val="tx1"/>
            </w14:solidFill>
          </w14:textFill>
        </w:rPr>
        <w:t>按照第32条</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第33</w:t>
      </w:r>
      <w:r>
        <w:rPr>
          <w:rFonts w:hint="eastAsia" w:ascii="宋体" w:hAnsi="宋体"/>
          <w:bCs/>
          <w:color w:val="000000" w:themeColor="text1"/>
          <w:sz w:val="28"/>
          <w:szCs w:val="28"/>
          <w:highlight w:val="none"/>
          <w:lang w:val="zh-CN"/>
          <w14:textFill>
            <w14:solidFill>
              <w14:schemeClr w14:val="tx1"/>
            </w14:solidFill>
          </w14:textFill>
        </w:rPr>
        <w:t>条</w:t>
      </w:r>
      <w:r>
        <w:rPr>
          <w:rFonts w:hint="eastAsia" w:ascii="宋体" w:hAnsi="宋体"/>
          <w:bCs/>
          <w:color w:val="000000" w:themeColor="text1"/>
          <w:sz w:val="28"/>
          <w:szCs w:val="28"/>
          <w:highlight w:val="none"/>
          <w14:textFill>
            <w14:solidFill>
              <w14:schemeClr w14:val="tx1"/>
            </w14:solidFill>
          </w14:textFill>
        </w:rPr>
        <w:t>之</w:t>
      </w:r>
      <w:r>
        <w:rPr>
          <w:rFonts w:hint="eastAsia" w:ascii="宋体" w:hAnsi="宋体"/>
          <w:bCs/>
          <w:color w:val="000000" w:themeColor="text1"/>
          <w:sz w:val="28"/>
          <w:szCs w:val="28"/>
          <w:highlight w:val="none"/>
          <w:lang w:val="zh-CN"/>
          <w14:textFill>
            <w14:solidFill>
              <w14:schemeClr w14:val="tx1"/>
            </w14:solidFill>
          </w14:textFill>
        </w:rPr>
        <w:t>规定以书面形式向采购人或</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提出质疑。上述应知其权益受到损害之日是指：</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30</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对采购文件提出质疑的，为收到采购文件之日。</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30</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对采购过程提出质疑的，为各采购程序环节结束之日。</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30</w:t>
      </w:r>
      <w:r>
        <w:rPr>
          <w:rFonts w:hint="eastAsia" w:ascii="宋体" w:hAnsi="宋体"/>
          <w:bCs/>
          <w:color w:val="000000" w:themeColor="text1"/>
          <w:sz w:val="28"/>
          <w:szCs w:val="28"/>
          <w:highlight w:val="none"/>
          <w:lang w:val="zh-CN"/>
          <w14:textFill>
            <w14:solidFill>
              <w14:schemeClr w14:val="tx1"/>
            </w14:solidFill>
          </w14:textFill>
        </w:rPr>
        <w:t>.3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对成交结果提出质疑的，为成交结果公告期限届满之日。</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31.</w:t>
      </w:r>
      <w:r>
        <w:rPr>
          <w:rFonts w:hint="eastAsia" w:ascii="宋体" w:hAnsi="宋体"/>
          <w:bCs/>
          <w:color w:val="000000" w:themeColor="text1"/>
          <w:sz w:val="28"/>
          <w:szCs w:val="28"/>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bCs/>
          <w:color w:val="000000" w:themeColor="text1"/>
          <w:sz w:val="28"/>
          <w:szCs w:val="28"/>
          <w:highlight w:val="none"/>
          <w14:textFill>
            <w14:solidFill>
              <w14:schemeClr w14:val="tx1"/>
            </w14:solidFill>
          </w14:textFill>
        </w:rPr>
        <w:t>代理机构或</w:t>
      </w:r>
      <w:r>
        <w:rPr>
          <w:rFonts w:hint="eastAsia" w:ascii="宋体" w:hAnsi="宋体"/>
          <w:bCs/>
          <w:color w:val="000000" w:themeColor="text1"/>
          <w:sz w:val="28"/>
          <w:szCs w:val="28"/>
          <w:highlight w:val="none"/>
          <w:lang w:val="zh-CN"/>
          <w14:textFill>
            <w14:solidFill>
              <w14:schemeClr w14:val="tx1"/>
            </w14:solidFill>
          </w14:textFill>
        </w:rPr>
        <w:t>采购人将只对供应商第一次质疑作出答复。</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32.</w:t>
      </w:r>
      <w:r>
        <w:rPr>
          <w:rFonts w:hint="eastAsia" w:ascii="宋体" w:hAnsi="宋体"/>
          <w:bCs/>
          <w:color w:val="000000" w:themeColor="text1"/>
          <w:sz w:val="28"/>
          <w:szCs w:val="28"/>
          <w:highlight w:val="none"/>
          <w:lang w:val="zh-CN"/>
          <w14:textFill>
            <w14:solidFill>
              <w14:schemeClr w14:val="tx1"/>
            </w14:solidFill>
          </w14:textFill>
        </w:rPr>
        <w:t>供应商提出质疑应提交《质疑函》原件，且尽可能通过邮寄方式送达，</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和采购人不接受无运单的快件。</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33.</w:t>
      </w:r>
      <w:r>
        <w:rPr>
          <w:rFonts w:hint="eastAsia" w:ascii="宋体" w:hAnsi="宋体"/>
          <w:bCs/>
          <w:color w:val="000000" w:themeColor="text1"/>
          <w:sz w:val="28"/>
          <w:szCs w:val="28"/>
          <w:highlight w:val="none"/>
          <w:lang w:val="zh-CN"/>
          <w14:textFill>
            <w14:solidFill>
              <w14:schemeClr w14:val="tx1"/>
            </w14:solidFill>
          </w14:textFill>
        </w:rPr>
        <w:t>供应商对采购方式、采购需求、供应商资格条件及审查结果、评审方法和评审标准、合同文本的询问、质疑向采购人提出，由采购人负责答复。供应商对除上述事项以外其他事项的询问、质疑向</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提出，由</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负责答复。</w:t>
      </w:r>
      <w:r>
        <w:rPr>
          <w:rFonts w:hint="eastAsia" w:ascii="宋体" w:hAnsi="宋体"/>
          <w:bCs/>
          <w:color w:val="000000" w:themeColor="text1"/>
          <w:sz w:val="28"/>
          <w:szCs w:val="28"/>
          <w:highlight w:val="none"/>
          <w14:textFill>
            <w14:solidFill>
              <w14:schemeClr w14:val="tx1"/>
            </w14:solidFill>
          </w14:textFill>
        </w:rPr>
        <w:t xml:space="preserve">  </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采购人《质疑</w:t>
      </w:r>
      <w:r>
        <w:rPr>
          <w:rFonts w:hint="eastAsia" w:ascii="宋体" w:hAnsi="宋体"/>
          <w:bCs/>
          <w:color w:val="000000" w:themeColor="text1"/>
          <w:sz w:val="28"/>
          <w:szCs w:val="28"/>
          <w:highlight w:val="none"/>
          <w14:textFill>
            <w14:solidFill>
              <w14:schemeClr w14:val="tx1"/>
            </w14:solidFill>
          </w14:textFill>
        </w:rPr>
        <w:t>函</w:t>
      </w:r>
      <w:r>
        <w:rPr>
          <w:rFonts w:hint="eastAsia" w:ascii="宋体" w:hAnsi="宋体"/>
          <w:bCs/>
          <w:color w:val="000000" w:themeColor="text1"/>
          <w:sz w:val="28"/>
          <w:szCs w:val="28"/>
          <w:highlight w:val="none"/>
          <w:lang w:val="zh-CN"/>
          <w14:textFill>
            <w14:solidFill>
              <w14:schemeClr w14:val="tx1"/>
            </w14:solidFill>
          </w14:textFill>
        </w:rPr>
        <w:t>》接收人及联系方式见采购文件第一章。</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代理机构《质疑函》接收人及联系方式见</w:t>
      </w:r>
      <w:r>
        <w:rPr>
          <w:rFonts w:hint="eastAsia" w:ascii="宋体" w:hAnsi="宋体"/>
          <w:bCs/>
          <w:color w:val="000000" w:themeColor="text1"/>
          <w:sz w:val="28"/>
          <w:szCs w:val="28"/>
          <w:highlight w:val="none"/>
          <w:lang w:val="en-US" w:eastAsia="zh-CN"/>
          <w14:textFill>
            <w14:solidFill>
              <w14:schemeClr w14:val="tx1"/>
            </w14:solidFill>
          </w14:textFill>
        </w:rPr>
        <w:t>采购</w:t>
      </w:r>
      <w:r>
        <w:rPr>
          <w:rFonts w:hint="eastAsia" w:ascii="宋体" w:hAnsi="宋体"/>
          <w:bCs/>
          <w:color w:val="000000" w:themeColor="text1"/>
          <w:sz w:val="28"/>
          <w:szCs w:val="28"/>
          <w:highlight w:val="none"/>
          <w:lang w:val="zh-CN"/>
          <w14:textFill>
            <w14:solidFill>
              <w14:schemeClr w14:val="tx1"/>
            </w14:solidFill>
          </w14:textFill>
        </w:rPr>
        <w:t xml:space="preserve">文件第一章。 </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以下情形的质疑不予受理：</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内容不符合《政府采购质疑和投诉办法》第十二条规定的质疑。</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超出政府采购法定期限的质疑。</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以传真、电子邮件等方式递交的非原件形式的质疑。</w:t>
      </w:r>
    </w:p>
    <w:p>
      <w:pPr>
        <w:spacing w:line="360" w:lineRule="auto"/>
        <w:ind w:firstLine="560" w:firstLineChars="200"/>
        <w:jc w:val="left"/>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 xml:space="preserve"> 法律法规规定的</w:t>
      </w:r>
      <w:r>
        <w:rPr>
          <w:rFonts w:hint="eastAsia" w:ascii="宋体" w:hAnsi="宋体"/>
          <w:bCs/>
          <w:color w:val="000000" w:themeColor="text1"/>
          <w:sz w:val="28"/>
          <w:szCs w:val="28"/>
          <w:highlight w:val="none"/>
          <w14:textFill>
            <w14:solidFill>
              <w14:schemeClr w14:val="tx1"/>
            </w14:solidFill>
          </w14:textFill>
        </w:rPr>
        <w:t>其他</w:t>
      </w:r>
      <w:r>
        <w:rPr>
          <w:rFonts w:hint="eastAsia" w:ascii="宋体" w:hAnsi="宋体"/>
          <w:bCs/>
          <w:color w:val="000000" w:themeColor="text1"/>
          <w:sz w:val="28"/>
          <w:szCs w:val="28"/>
          <w:highlight w:val="none"/>
          <w:lang w:val="zh-CN"/>
          <w14:textFill>
            <w14:solidFill>
              <w14:schemeClr w14:val="tx1"/>
            </w14:solidFill>
          </w14:textFill>
        </w:rPr>
        <w:t>不予受理情形。</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35</w:t>
      </w:r>
      <w:r>
        <w:rPr>
          <w:rFonts w:hint="eastAsia" w:ascii="宋体" w:hAnsi="宋体"/>
          <w:bCs/>
          <w:color w:val="000000" w:themeColor="text1"/>
          <w:sz w:val="28"/>
          <w:szCs w:val="28"/>
          <w:highlight w:val="none"/>
          <w:lang w:val="zh-CN"/>
          <w14:textFill>
            <w14:solidFill>
              <w14:schemeClr w14:val="tx1"/>
            </w14:solidFill>
          </w14:textFill>
        </w:rPr>
        <w:t>.供应商提出书面质疑必须有理、有据，不得捏造事实、提供虚假材料进行恶意质疑。否则，一经查实，</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或采购人有权依据政府采购的有关规定，报请政府采购监管部门对该供应商进行相应的行政处罚和记录该供应商的失信信息。</w:t>
      </w:r>
    </w:p>
    <w:p>
      <w:pPr>
        <w:spacing w:line="360" w:lineRule="auto"/>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九、政策功能落实</w:t>
      </w:r>
    </w:p>
    <w:p>
      <w:pPr>
        <w:spacing w:line="360" w:lineRule="auto"/>
        <w:ind w:firstLine="562" w:firstLineChars="200"/>
        <w:jc w:val="left"/>
        <w:rPr>
          <w:rFonts w:hint="eastAsia" w:ascii="宋体" w:hAnsi="宋体"/>
          <w:b/>
          <w:bCs w:val="0"/>
          <w:color w:val="000000" w:themeColor="text1"/>
          <w:sz w:val="28"/>
          <w:szCs w:val="28"/>
          <w:highlight w:val="none"/>
          <w14:textFill>
            <w14:solidFill>
              <w14:schemeClr w14:val="tx1"/>
            </w14:solidFill>
          </w14:textFill>
        </w:rPr>
      </w:pPr>
      <w:r>
        <w:rPr>
          <w:rFonts w:hint="eastAsia" w:ascii="宋体" w:hAnsi="宋体"/>
          <w:b/>
          <w:bCs w:val="0"/>
          <w:color w:val="000000" w:themeColor="text1"/>
          <w:sz w:val="28"/>
          <w:szCs w:val="28"/>
          <w:highlight w:val="none"/>
          <w14:textFill>
            <w14:solidFill>
              <w14:schemeClr w14:val="tx1"/>
            </w14:solidFill>
          </w14:textFill>
        </w:rPr>
        <w:t>36. 促进中小企业发展</w:t>
      </w:r>
    </w:p>
    <w:p>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 xml:space="preserve">36.1 </w:t>
      </w:r>
      <w:r>
        <w:rPr>
          <w:rFonts w:hint="eastAsia" w:ascii="宋体" w:hAnsi="宋体"/>
          <w:b w:val="0"/>
          <w:bCs/>
          <w:color w:val="000000" w:themeColor="text1"/>
          <w:sz w:val="28"/>
          <w:szCs w:val="28"/>
          <w:highlight w:val="none"/>
          <w:lang w:val="zh-CN" w:eastAsia="zh-CN"/>
          <w14:textFill>
            <w14:solidFill>
              <w14:schemeClr w14:val="tx1"/>
            </w14:solidFill>
          </w14:textFill>
        </w:rPr>
        <w:t>在政府采购活动中，供应商提供的货物或者服务符合下列情形的，享受中小企业扶持政策：</w:t>
      </w:r>
    </w:p>
    <w:p>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zh-CN" w:eastAsia="zh-CN"/>
          <w14:textFill>
            <w14:solidFill>
              <w14:schemeClr w14:val="tx1"/>
            </w14:solidFill>
          </w14:textFill>
        </w:rPr>
        <w:t>（1）在货物</w:t>
      </w:r>
      <w:r>
        <w:rPr>
          <w:rFonts w:hint="eastAsia" w:ascii="宋体" w:hAnsi="宋体"/>
          <w:b w:val="0"/>
          <w:bCs/>
          <w:color w:val="000000" w:themeColor="text1"/>
          <w:sz w:val="28"/>
          <w:szCs w:val="28"/>
          <w:highlight w:val="none"/>
          <w:lang w:val="en-US" w:eastAsia="zh-CN"/>
          <w14:textFill>
            <w14:solidFill>
              <w14:schemeClr w14:val="tx1"/>
            </w14:solidFill>
          </w14:textFill>
        </w:rPr>
        <w:t>采购</w:t>
      </w:r>
      <w:r>
        <w:rPr>
          <w:rFonts w:hint="eastAsia" w:ascii="宋体" w:hAnsi="宋体"/>
          <w:b w:val="0"/>
          <w:bCs/>
          <w:color w:val="000000" w:themeColor="text1"/>
          <w:sz w:val="28"/>
          <w:szCs w:val="28"/>
          <w:highlight w:val="none"/>
          <w:lang w:val="zh-CN" w:eastAsia="zh-CN"/>
          <w14:textFill>
            <w14:solidFill>
              <w14:schemeClr w14:val="tx1"/>
            </w14:solidFill>
          </w14:textFill>
        </w:rPr>
        <w:t>项目中，</w:t>
      </w:r>
      <w:r>
        <w:rPr>
          <w:rFonts w:hint="eastAsia" w:ascii="宋体" w:hAnsi="宋体"/>
          <w:b w:val="0"/>
          <w:bCs/>
          <w:color w:val="000000" w:themeColor="text1"/>
          <w:sz w:val="28"/>
          <w:szCs w:val="28"/>
          <w:highlight w:val="none"/>
          <w:lang w:val="en-US" w:eastAsia="zh-CN"/>
          <w14:textFill>
            <w14:solidFill>
              <w14:schemeClr w14:val="tx1"/>
            </w14:solidFill>
          </w14:textFill>
        </w:rPr>
        <w:t>全部</w:t>
      </w:r>
      <w:r>
        <w:rPr>
          <w:rFonts w:hint="eastAsia" w:ascii="宋体" w:hAnsi="宋体"/>
          <w:b w:val="0"/>
          <w:bCs/>
          <w:color w:val="000000" w:themeColor="text1"/>
          <w:sz w:val="28"/>
          <w:szCs w:val="28"/>
          <w:highlight w:val="none"/>
          <w:lang w:val="zh-CN" w:eastAsia="zh-CN"/>
          <w14:textFill>
            <w14:solidFill>
              <w14:schemeClr w14:val="tx1"/>
            </w14:solidFill>
          </w14:textFill>
        </w:rPr>
        <w:t>货物由中小企业制造；</w:t>
      </w:r>
    </w:p>
    <w:p>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zh-CN" w:eastAsia="zh-CN"/>
          <w14:textFill>
            <w14:solidFill>
              <w14:schemeClr w14:val="tx1"/>
            </w14:solidFill>
          </w14:textFill>
        </w:rPr>
        <w:t>（2）在服务</w:t>
      </w:r>
      <w:r>
        <w:rPr>
          <w:rFonts w:hint="eastAsia" w:ascii="宋体" w:hAnsi="宋体"/>
          <w:b w:val="0"/>
          <w:bCs/>
          <w:color w:val="000000" w:themeColor="text1"/>
          <w:sz w:val="28"/>
          <w:szCs w:val="28"/>
          <w:highlight w:val="none"/>
          <w:lang w:val="en-US" w:eastAsia="zh-CN"/>
          <w14:textFill>
            <w14:solidFill>
              <w14:schemeClr w14:val="tx1"/>
            </w14:solidFill>
          </w14:textFill>
        </w:rPr>
        <w:t>采购</w:t>
      </w:r>
      <w:r>
        <w:rPr>
          <w:rFonts w:hint="eastAsia" w:ascii="宋体" w:hAnsi="宋体"/>
          <w:b w:val="0"/>
          <w:bCs/>
          <w:color w:val="000000" w:themeColor="text1"/>
          <w:sz w:val="28"/>
          <w:szCs w:val="28"/>
          <w:highlight w:val="none"/>
          <w:lang w:val="zh-CN" w:eastAsia="zh-CN"/>
          <w14:textFill>
            <w14:solidFill>
              <w14:schemeClr w14:val="tx1"/>
            </w14:solidFill>
          </w14:textFill>
        </w:rPr>
        <w:t>项目中，服务由中小企业承接。</w:t>
      </w:r>
    </w:p>
    <w:p>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 xml:space="preserve">36.2 </w:t>
      </w:r>
      <w:r>
        <w:rPr>
          <w:rFonts w:hint="eastAsia" w:ascii="宋体" w:hAnsi="宋体"/>
          <w:b w:val="0"/>
          <w:bCs/>
          <w:color w:val="000000" w:themeColor="text1"/>
          <w:sz w:val="28"/>
          <w:szCs w:val="28"/>
          <w:highlight w:val="none"/>
          <w:lang w:val="zh-CN" w:eastAsia="zh-CN"/>
          <w14:textFill>
            <w14:solidFill>
              <w14:schemeClr w14:val="tx1"/>
            </w14:solidFill>
          </w14:textFill>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 xml:space="preserve">36.3 </w:t>
      </w:r>
      <w:r>
        <w:rPr>
          <w:rFonts w:hint="eastAsia" w:ascii="宋体" w:hAnsi="宋体"/>
          <w:b w:val="0"/>
          <w:bCs/>
          <w:color w:val="000000" w:themeColor="text1"/>
          <w:sz w:val="28"/>
          <w:szCs w:val="28"/>
          <w:highlight w:val="none"/>
          <w:lang w:val="zh-CN" w:eastAsia="zh-CN"/>
          <w14:textFill>
            <w14:solidFill>
              <w14:schemeClr w14:val="tx1"/>
            </w14:solidFill>
          </w14:textFill>
        </w:rPr>
        <w:t>中小企业参加政府采购活动，应当出具《中小企业声明函》，否则不享受相关中小企业</w:t>
      </w:r>
      <w:r>
        <w:rPr>
          <w:rFonts w:hint="eastAsia" w:ascii="宋体" w:hAnsi="宋体"/>
          <w:b w:val="0"/>
          <w:bCs/>
          <w:color w:val="000000" w:themeColor="text1"/>
          <w:sz w:val="28"/>
          <w:szCs w:val="28"/>
          <w:highlight w:val="none"/>
          <w:lang w:val="en-US" w:eastAsia="zh-CN"/>
          <w14:textFill>
            <w14:solidFill>
              <w14:schemeClr w14:val="tx1"/>
            </w14:solidFill>
          </w14:textFill>
        </w:rPr>
        <w:t>支持</w:t>
      </w:r>
      <w:r>
        <w:rPr>
          <w:rFonts w:hint="eastAsia" w:ascii="宋体" w:hAnsi="宋体"/>
          <w:b w:val="0"/>
          <w:bCs/>
          <w:color w:val="000000" w:themeColor="text1"/>
          <w:sz w:val="28"/>
          <w:szCs w:val="28"/>
          <w:highlight w:val="none"/>
          <w:lang w:val="zh-CN" w:eastAsia="zh-CN"/>
          <w14:textFill>
            <w14:solidFill>
              <w14:schemeClr w14:val="tx1"/>
            </w14:solidFill>
          </w14:textFill>
        </w:rPr>
        <w:t>政策。评审委员会评审中发现供应商提供的《中小企业声明函》内容含义不明确、同类事项与投标（响应）文件表述不一致或者有明显文字错误等情况的，应当以书面形式要求供应商作出必要的澄清、说明或者补正。</w:t>
      </w:r>
    </w:p>
    <w:p>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 xml:space="preserve">36.4 </w:t>
      </w:r>
      <w:r>
        <w:rPr>
          <w:rFonts w:hint="eastAsia" w:ascii="宋体" w:hAnsi="宋体"/>
          <w:b w:val="0"/>
          <w:bCs/>
          <w:color w:val="000000" w:themeColor="text1"/>
          <w:sz w:val="28"/>
          <w:szCs w:val="28"/>
          <w:highlight w:val="none"/>
          <w:lang w:val="zh-CN" w:eastAsia="zh-CN"/>
          <w14:textFill>
            <w14:solidFill>
              <w14:schemeClr w14:val="tx1"/>
            </w14:solidFill>
          </w14:textFill>
        </w:rPr>
        <w:t>以联合体形式参加政府采购活动，联合体各方均为中小企业的，联合体视同中小企业。其中，联合体各方均为小微企业的，联合体视同小微企业。</w:t>
      </w:r>
    </w:p>
    <w:p>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36</w:t>
      </w:r>
      <w:r>
        <w:rPr>
          <w:rFonts w:hint="eastAsia" w:ascii="宋体" w:hAnsi="宋体"/>
          <w:b w:val="0"/>
          <w:bCs/>
          <w:color w:val="000000" w:themeColor="text1"/>
          <w:sz w:val="28"/>
          <w:szCs w:val="28"/>
          <w:highlight w:val="none"/>
          <w:lang w:val="zh-CN" w:eastAsia="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8"/>
          <w:highlight w:val="none"/>
          <w:lang w:val="en-US" w:eastAsia="zh-CN"/>
          <w14:textFill>
            <w14:solidFill>
              <w14:schemeClr w14:val="tx1"/>
            </w14:solidFill>
          </w14:textFill>
        </w:rPr>
        <w:t>监狱和戒毒企业（简称监狱企业）视同小型、微型企业</w:t>
      </w:r>
      <w:r>
        <w:rPr>
          <w:rFonts w:hint="eastAsia" w:ascii="宋体" w:hAnsi="宋体"/>
          <w:b w:val="0"/>
          <w:bCs/>
          <w:color w:val="000000" w:themeColor="text1"/>
          <w:sz w:val="28"/>
          <w:szCs w:val="28"/>
          <w:highlight w:val="none"/>
          <w:lang w:val="zh-CN" w:eastAsia="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按照</w:t>
      </w:r>
      <w:r>
        <w:rPr>
          <w:rFonts w:hint="eastAsia" w:ascii="宋体" w:hAnsi="宋体"/>
          <w:b w:val="0"/>
          <w:bCs/>
          <w:color w:val="000000" w:themeColor="text1"/>
          <w:sz w:val="28"/>
          <w:szCs w:val="28"/>
          <w:highlight w:val="none"/>
          <w:lang w:val="zh-CN" w:eastAsia="zh-CN"/>
          <w14:textFill>
            <w14:solidFill>
              <w14:schemeClr w14:val="tx1"/>
            </w14:solidFill>
          </w14:textFill>
        </w:rPr>
        <w:t>《关于政府采购支持监狱企业发展有关问题的通知》（财库〔2014〕68号）</w:t>
      </w:r>
      <w:r>
        <w:rPr>
          <w:rFonts w:hint="eastAsia" w:ascii="宋体" w:hAnsi="宋体"/>
          <w:b w:val="0"/>
          <w:bCs/>
          <w:color w:val="000000" w:themeColor="text1"/>
          <w:sz w:val="28"/>
          <w:szCs w:val="28"/>
          <w:highlight w:val="none"/>
          <w:lang w:val="en-US" w:eastAsia="zh-CN"/>
          <w14:textFill>
            <w14:solidFill>
              <w14:schemeClr w14:val="tx1"/>
            </w14:solidFill>
          </w14:textFill>
        </w:rPr>
        <w:t>规定，</w:t>
      </w:r>
      <w:r>
        <w:rPr>
          <w:rFonts w:hint="eastAsia" w:ascii="宋体" w:hAnsi="宋体"/>
          <w:b w:val="0"/>
          <w:bCs/>
          <w:color w:val="000000" w:themeColor="text1"/>
          <w:sz w:val="28"/>
          <w:szCs w:val="28"/>
          <w:highlight w:val="none"/>
          <w:lang w:val="zh-CN" w:eastAsia="zh-CN"/>
          <w14:textFill>
            <w14:solidFill>
              <w14:schemeClr w14:val="tx1"/>
            </w14:solidFill>
          </w14:textFill>
        </w:rPr>
        <w:t>监狱企业需提供由省级以上监狱管理局、戒毒管理局(含新疆生产建设兵团)出具的属于监狱企业的证明文件。</w:t>
      </w:r>
    </w:p>
    <w:p>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36</w:t>
      </w:r>
      <w:r>
        <w:rPr>
          <w:rFonts w:hint="eastAsia" w:ascii="宋体" w:hAnsi="宋体"/>
          <w:b w:val="0"/>
          <w:bCs/>
          <w:color w:val="000000" w:themeColor="text1"/>
          <w:sz w:val="28"/>
          <w:szCs w:val="28"/>
          <w:highlight w:val="none"/>
          <w:lang w:val="zh-CN" w:eastAsia="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6</w:t>
      </w:r>
      <w:r>
        <w:rPr>
          <w:rFonts w:hint="eastAsia" w:ascii="宋体" w:hAnsi="宋体"/>
          <w:b w:val="0"/>
          <w:bCs/>
          <w:color w:val="000000" w:themeColor="text1"/>
          <w:sz w:val="28"/>
          <w:szCs w:val="28"/>
          <w:highlight w:val="none"/>
          <w:lang w:val="zh-CN" w:eastAsia="zh-CN"/>
          <w14:textFill>
            <w14:solidFill>
              <w14:schemeClr w14:val="tx1"/>
            </w14:solidFill>
          </w14:textFill>
        </w:rPr>
        <w:t xml:space="preserve"> 残疾人福利性单位</w:t>
      </w:r>
      <w:r>
        <w:rPr>
          <w:rFonts w:hint="eastAsia" w:ascii="宋体" w:hAnsi="宋体"/>
          <w:b w:val="0"/>
          <w:bCs/>
          <w:color w:val="000000" w:themeColor="text1"/>
          <w:sz w:val="28"/>
          <w:szCs w:val="28"/>
          <w:highlight w:val="none"/>
          <w:lang w:val="en-US" w:eastAsia="zh-CN"/>
          <w14:textFill>
            <w14:solidFill>
              <w14:schemeClr w14:val="tx1"/>
            </w14:solidFill>
          </w14:textFill>
        </w:rPr>
        <w:t>视同小型、微型企业</w:t>
      </w:r>
      <w:r>
        <w:rPr>
          <w:rFonts w:hint="eastAsia" w:ascii="宋体" w:hAnsi="宋体"/>
          <w:b w:val="0"/>
          <w:bCs/>
          <w:color w:val="000000" w:themeColor="text1"/>
          <w:sz w:val="28"/>
          <w:szCs w:val="28"/>
          <w:highlight w:val="none"/>
          <w:lang w:val="zh-CN" w:eastAsia="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按照《关于促进残疾人就业政府采购政策的通知》（财库〔2017〕141号）规定，残疾人福利单位需</w:t>
      </w:r>
      <w:r>
        <w:rPr>
          <w:rFonts w:hint="eastAsia" w:ascii="宋体" w:hAnsi="宋体"/>
          <w:b w:val="0"/>
          <w:bCs/>
          <w:color w:val="000000" w:themeColor="text1"/>
          <w:sz w:val="28"/>
          <w:szCs w:val="28"/>
          <w:highlight w:val="none"/>
          <w:lang w:val="zh-CN" w:eastAsia="zh-CN"/>
          <w14:textFill>
            <w14:solidFill>
              <w14:schemeClr w14:val="tx1"/>
            </w14:solidFill>
          </w14:textFill>
        </w:rPr>
        <w:t>提供《残疾人福利性单位声明函》。</w:t>
      </w:r>
    </w:p>
    <w:p>
      <w:pPr>
        <w:spacing w:line="360" w:lineRule="auto"/>
        <w:ind w:firstLine="562" w:firstLineChars="200"/>
        <w:jc w:val="left"/>
        <w:rPr>
          <w:rFonts w:hint="eastAsia" w:ascii="宋体" w:hAnsi="宋体"/>
          <w:b/>
          <w:bCs w:val="0"/>
          <w:color w:val="000000" w:themeColor="text1"/>
          <w:sz w:val="28"/>
          <w:szCs w:val="28"/>
          <w:highlight w:val="none"/>
          <w14:textFill>
            <w14:solidFill>
              <w14:schemeClr w14:val="tx1"/>
            </w14:solidFill>
          </w14:textFill>
        </w:rPr>
      </w:pPr>
      <w:r>
        <w:rPr>
          <w:rFonts w:hint="eastAsia" w:ascii="宋体" w:hAnsi="宋体"/>
          <w:b/>
          <w:bCs w:val="0"/>
          <w:color w:val="000000" w:themeColor="text1"/>
          <w:sz w:val="28"/>
          <w:szCs w:val="28"/>
          <w:highlight w:val="none"/>
          <w14:textFill>
            <w14:solidFill>
              <w14:schemeClr w14:val="tx1"/>
            </w14:solidFill>
          </w14:textFill>
        </w:rPr>
        <w:t>37. 节能环保产品</w:t>
      </w:r>
    </w:p>
    <w:p>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37.1 本项目为服务类采购项目，不涉及实物产品采购，执行国家节能环保相关政策要求。</w:t>
      </w:r>
    </w:p>
    <w:bookmarkEnd w:id="12"/>
    <w:bookmarkEnd w:id="13"/>
    <w:bookmarkEnd w:id="14"/>
    <w:bookmarkEnd w:id="15"/>
    <w:bookmarkEnd w:id="20"/>
    <w:p>
      <w:pPr>
        <w:widowControl/>
        <w:jc w:val="left"/>
        <w:rPr>
          <w:rFonts w:hint="eastAsia" w:ascii="宋体" w:hAnsi="宋体"/>
          <w:b/>
          <w:color w:val="000000" w:themeColor="text1"/>
          <w:sz w:val="44"/>
          <w:szCs w:val="20"/>
          <w:highlight w:val="none"/>
          <w14:textFill>
            <w14:solidFill>
              <w14:schemeClr w14:val="tx1"/>
            </w14:solidFill>
          </w14:textFill>
        </w:rPr>
      </w:pPr>
      <w:bookmarkStart w:id="114" w:name="_Toc449705446"/>
      <w:r>
        <w:rPr>
          <w:rFonts w:ascii="宋体" w:hAnsi="宋体"/>
          <w:color w:val="000000" w:themeColor="text1"/>
          <w:highlight w:val="none"/>
          <w14:textFill>
            <w14:solidFill>
              <w14:schemeClr w14:val="tx1"/>
            </w14:solidFill>
          </w14:textFill>
        </w:rPr>
        <w:br w:type="page"/>
      </w:r>
    </w:p>
    <w:p>
      <w:pPr>
        <w:pStyle w:val="5"/>
        <w:spacing w:before="340" w:after="330" w:line="578" w:lineRule="auto"/>
        <w:jc w:val="center"/>
        <w:rPr>
          <w:rFonts w:hint="eastAsia" w:cs="宋体" w:asciiTheme="minorEastAsia" w:hAnsiTheme="minorEastAsia" w:eastAsiaTheme="minorEastAsia"/>
          <w:color w:val="000000" w:themeColor="text1"/>
          <w:highlight w:val="none"/>
          <w14:textFill>
            <w14:solidFill>
              <w14:schemeClr w14:val="tx1"/>
            </w14:solidFill>
          </w14:textFill>
        </w:rPr>
      </w:pPr>
      <w:bookmarkStart w:id="115" w:name="_Toc14533"/>
      <w:bookmarkStart w:id="116" w:name="_Toc28872"/>
      <w:r>
        <w:rPr>
          <w:rFonts w:hint="eastAsia" w:cs="宋体" w:asciiTheme="minorEastAsia" w:hAnsiTheme="minorEastAsia" w:eastAsiaTheme="minorEastAsia"/>
          <w:color w:val="000000" w:themeColor="text1"/>
          <w:highlight w:val="none"/>
          <w14:textFill>
            <w14:solidFill>
              <w14:schemeClr w14:val="tx1"/>
            </w14:solidFill>
          </w14:textFill>
        </w:rPr>
        <w:t>第三章、采购需求</w:t>
      </w:r>
      <w:bookmarkEnd w:id="114"/>
      <w:bookmarkEnd w:id="115"/>
      <w:bookmarkEnd w:id="116"/>
    </w:p>
    <w:p>
      <w:pPr>
        <w:spacing w:line="560" w:lineRule="exact"/>
        <w:ind w:firstLine="562" w:firstLineChars="200"/>
        <w:jc w:val="left"/>
        <w:rPr>
          <w:rFonts w:hint="eastAsia" w:ascii="宋体" w:hAnsi="宋体"/>
          <w:b/>
          <w:color w:val="000000" w:themeColor="text1"/>
          <w:sz w:val="28"/>
          <w:szCs w:val="28"/>
          <w:highlight w:val="none"/>
          <w14:textFill>
            <w14:solidFill>
              <w14:schemeClr w14:val="tx1"/>
            </w14:solidFill>
          </w14:textFill>
        </w:rPr>
      </w:pPr>
      <w:bookmarkStart w:id="117" w:name="_Toc449705451"/>
      <w:r>
        <w:rPr>
          <w:rFonts w:hint="eastAsia" w:ascii="宋体" w:hAnsi="宋体"/>
          <w:b/>
          <w:color w:val="000000" w:themeColor="text1"/>
          <w:sz w:val="28"/>
          <w:szCs w:val="28"/>
          <w:highlight w:val="none"/>
          <w14:textFill>
            <w14:solidFill>
              <w14:schemeClr w14:val="tx1"/>
            </w14:solidFill>
          </w14:textFill>
        </w:rPr>
        <w:t>一、项目概况</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1、项目名称：</w:t>
      </w:r>
      <w:r>
        <w:rPr>
          <w:rFonts w:hint="eastAsia" w:ascii="宋体" w:hAnsi="宋体"/>
          <w:color w:val="000000" w:themeColor="text1"/>
          <w:sz w:val="28"/>
          <w:szCs w:val="28"/>
          <w:highlight w:val="none"/>
          <w:lang w:val="zh-CN"/>
          <w14:textFill>
            <w14:solidFill>
              <w14:schemeClr w14:val="tx1"/>
            </w14:solidFill>
          </w14:textFill>
        </w:rPr>
        <w:t>南京江北新区2026年综合信息服务及智库合作项目</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2、项目编</w:t>
      </w:r>
      <w:r>
        <w:rPr>
          <w:rFonts w:hint="eastAsia" w:ascii="宋体" w:hAnsi="宋体"/>
          <w:color w:val="000000" w:themeColor="text1"/>
          <w:sz w:val="28"/>
          <w:szCs w:val="28"/>
          <w:highlight w:val="none"/>
          <w:lang w:val="zh-CN"/>
          <w14:textFill>
            <w14:solidFill>
              <w14:schemeClr w14:val="tx1"/>
            </w14:solidFill>
          </w14:textFill>
        </w:rPr>
        <w:t>号：JSZC-320192-SJGC-D2026-0008</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3、</w:t>
      </w:r>
      <w:r>
        <w:rPr>
          <w:rFonts w:ascii="宋体" w:hAnsi="宋体"/>
          <w:color w:val="000000" w:themeColor="text1"/>
          <w:sz w:val="28"/>
          <w:szCs w:val="28"/>
          <w:highlight w:val="none"/>
          <w14:textFill>
            <w14:solidFill>
              <w14:schemeClr w14:val="tx1"/>
            </w14:solidFill>
          </w14:textFill>
        </w:rPr>
        <w:t>项目预算</w:t>
      </w:r>
      <w:r>
        <w:rPr>
          <w:rFonts w:hint="eastAsia" w:ascii="宋体" w:hAnsi="宋体"/>
          <w:color w:val="000000" w:themeColor="text1"/>
          <w:sz w:val="28"/>
          <w:szCs w:val="28"/>
          <w:highlight w:val="none"/>
          <w14:textFill>
            <w14:solidFill>
              <w14:schemeClr w14:val="tx1"/>
            </w14:solidFill>
          </w14:textFill>
        </w:rPr>
        <w:t>：173万元（报价超过项目预算作无效响应处理）</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项目预算包含所有为履行本合同而支出的全部费用，除此以外采购单位不会以任何形式支付任何费用。</w:t>
      </w:r>
    </w:p>
    <w:p>
      <w:pPr>
        <w:adjustRightInd w:val="0"/>
        <w:snapToGrid w:val="0"/>
        <w:spacing w:line="560" w:lineRule="exact"/>
        <w:ind w:firstLine="560" w:firstLineChars="20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4、服务期限：</w:t>
      </w:r>
      <w:r>
        <w:rPr>
          <w:rFonts w:hint="eastAsia" w:ascii="宋体" w:hAnsi="宋体"/>
          <w:color w:val="000000" w:themeColor="text1"/>
          <w:sz w:val="28"/>
          <w:highlight w:val="none"/>
          <w14:textFill>
            <w14:solidFill>
              <w14:schemeClr w14:val="tx1"/>
            </w14:solidFill>
          </w14:textFill>
        </w:rPr>
        <w:t>自合同签订之日起至2026年12月31日。</w:t>
      </w:r>
    </w:p>
    <w:p>
      <w:pPr>
        <w:spacing w:line="560" w:lineRule="exact"/>
        <w:ind w:firstLine="562" w:firstLineChars="200"/>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二、项目背景</w:t>
      </w:r>
    </w:p>
    <w:p>
      <w:pPr>
        <w:spacing w:line="560" w:lineRule="exact"/>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围绕南京江北新区2026年重点工作与实际需求，聚焦服务企业、项目建设、研产贯通、招商引资等重点经济领域，依托新华社国家通讯社与国家高端智库专业优势，开展综合信息服务及智库服务。</w:t>
      </w:r>
    </w:p>
    <w:p>
      <w:pPr>
        <w:spacing w:line="560" w:lineRule="exact"/>
        <w:ind w:firstLine="562"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三、技术要求</w:t>
      </w:r>
    </w:p>
    <w:p>
      <w:pPr>
        <w:spacing w:line="560" w:lineRule="exact"/>
        <w:ind w:firstLine="562" w:firstLineChars="200"/>
        <w:jc w:val="lef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1、智库调研/1篇</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围绕南京江北新区推动科技创新和产业创新深度融合、前瞻布局和发展未来产业以及提升金融服务实体经济质效等重点工作，研究策划选题、撰写深度稿件并进行主题发布，总结推广江北新区相关实践在全国层面的示范引领价值。</w:t>
      </w:r>
    </w:p>
    <w:p>
      <w:pPr>
        <w:spacing w:line="560" w:lineRule="exact"/>
        <w:ind w:firstLine="562" w:firstLineChars="200"/>
        <w:jc w:val="lef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2、案例总结/1篇</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围绕南京江北新区加快建设扬子江产业金融集聚区、推进教育科技人才一体化发展、加强重点领域关键核心技术攻关等，调研总结江北新区创新发展案例，并形成成果案例。</w:t>
      </w:r>
    </w:p>
    <w:p>
      <w:pPr>
        <w:spacing w:line="560" w:lineRule="exact"/>
        <w:ind w:firstLine="562" w:firstLineChars="200"/>
        <w:jc w:val="lef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3、综合信息发布/ 5篇</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围绕南京江北新区促进文旅消费、服务企业发展、促进研产贯通等，策划选题、调研撰写原创综合信息，并进行专题发布。</w:t>
      </w:r>
    </w:p>
    <w:p>
      <w:pPr>
        <w:spacing w:line="560" w:lineRule="exact"/>
        <w:ind w:firstLine="562" w:firstLineChars="200"/>
        <w:jc w:val="lef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4、日常信息发布/25篇</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围绕南京江北新区重大项目建设、重大活动举办等，策划撰写并发布信息稿件。 </w:t>
      </w:r>
    </w:p>
    <w:p>
      <w:pPr>
        <w:spacing w:line="560" w:lineRule="exact"/>
        <w:ind w:firstLine="562" w:firstLineChars="200"/>
        <w:jc w:val="lef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5、专题培训/1场</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围绕甲方工作人员综合能力提升，邀请行业专家，开展主题业务培训。</w:t>
      </w:r>
    </w:p>
    <w:p>
      <w:pPr>
        <w:spacing w:line="560" w:lineRule="exact"/>
        <w:ind w:firstLine="562" w:firstLineChars="200"/>
        <w:jc w:val="lef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6、 AI写作学习平台服务</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提供AI写作学习平台账号，配套写作辅助工具，配备校对功能与使用指导服务，助力提升文稿撰写效率与专业能力。</w:t>
      </w:r>
    </w:p>
    <w:p>
      <w:pPr>
        <w:spacing w:line="560" w:lineRule="exact"/>
        <w:ind w:firstLine="562" w:firstLineChars="200"/>
        <w:jc w:val="lef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7、经济信息与智库研究专报</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（1）智库报告</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中国经济信息社有限公司江苏分公司定期向南京江北新区管理委员会主要领导、江北新区宣传和统战部主要领导，提供各类涉苏专题分析报告，不少于15个。</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（2）新华社《高管信息•江苏》周刊/约45期</w:t>
      </w:r>
    </w:p>
    <w:p>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中国经济信息社有限公司江苏分公司向南京江北新区管委会主要领导、江北新区宣传和统战部主要领导定期寄送新华社《高管信息•江苏》周刊约45期，供江北新区主要领导掌握国家战略、省情动态，服务决策参考。</w:t>
      </w:r>
    </w:p>
    <w:p>
      <w:pPr>
        <w:spacing w:line="560" w:lineRule="exact"/>
        <w:ind w:firstLine="562" w:firstLineChars="200"/>
        <w:jc w:val="lef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8、其他</w:t>
      </w:r>
    </w:p>
    <w:p>
      <w:pPr>
        <w:spacing w:line="560" w:lineRule="exact"/>
        <w:ind w:firstLine="560" w:firstLineChars="200"/>
        <w:jc w:val="left"/>
        <w:rPr>
          <w:color w:val="000000" w:themeColor="text1"/>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提供专业咨询服务，通过双方共同研究、跟踪、应对咨询等，助力南京江北新区高质量发展。</w:t>
      </w:r>
    </w:p>
    <w:p>
      <w:pPr>
        <w:spacing w:line="560" w:lineRule="exact"/>
        <w:ind w:firstLine="562"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四、商务要求</w:t>
      </w:r>
    </w:p>
    <w:p>
      <w:pPr>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在本项目执行期间，项目负责人要专职本项目，核心人员要百分百地投入到本项目中，并且整个项目团队的人员要相对固定，未得到采购人同意不得擅自更换团队服务人员。由于本项目涉及面广、整体要求高，供应商应在响应文件中列明各项专职人员，以及具体负责事宜。</w:t>
      </w:r>
    </w:p>
    <w:p>
      <w:pPr>
        <w:ind w:firstLine="560" w:firstLineChars="200"/>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2</w:t>
      </w:r>
      <w:r>
        <w:rPr>
          <w:rFonts w:hint="eastAsia" w:ascii="宋体" w:hAnsi="宋体"/>
          <w:color w:val="000000" w:themeColor="text1"/>
          <w:sz w:val="28"/>
          <w:highlight w:val="none"/>
          <w14:textFill>
            <w14:solidFill>
              <w14:schemeClr w14:val="tx1"/>
            </w14:solidFill>
          </w14:textFill>
        </w:rPr>
        <w:t>、成交供应商须具有相关服务能力，保证各项工作顺利进行。</w:t>
      </w:r>
    </w:p>
    <w:p>
      <w:pPr>
        <w:ind w:firstLine="560" w:firstLineChars="200"/>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3</w:t>
      </w:r>
      <w:r>
        <w:rPr>
          <w:rFonts w:hint="eastAsia" w:ascii="宋体" w:hAnsi="宋体"/>
          <w:color w:val="000000" w:themeColor="text1"/>
          <w:sz w:val="28"/>
          <w:highlight w:val="none"/>
          <w14:textFill>
            <w14:solidFill>
              <w14:schemeClr w14:val="tx1"/>
            </w14:solidFill>
          </w14:textFill>
        </w:rPr>
        <w:t>、本项目服务要求包含但不限于以上全部内容，项目实施期间，采购人提出的合理需求，供应商需满足并配合好完成。</w:t>
      </w:r>
    </w:p>
    <w:p>
      <w:pPr>
        <w:ind w:firstLine="562" w:firstLineChars="200"/>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五、其他要求</w:t>
      </w:r>
    </w:p>
    <w:p>
      <w:pPr>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1、采购人有权对本次项目进行撤回、更改。 </w:t>
      </w:r>
    </w:p>
    <w:p>
      <w:pPr>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2、采购人有权更改本次项目的时间安排。 </w:t>
      </w:r>
    </w:p>
    <w:p>
      <w:pPr>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3、采购人有权根据实际情况，调整项目实施方案。 </w:t>
      </w:r>
    </w:p>
    <w:p>
      <w:pPr>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4、采购人拥有对本次项目的最终解释权。</w:t>
      </w:r>
    </w:p>
    <w:p>
      <w:pPr>
        <w:ind w:firstLine="562" w:firstLineChars="200"/>
        <w:rPr>
          <w:rFonts w:hint="eastAsia" w:ascii="宋体" w:hAnsi="宋体" w:eastAsia="宋体" w:cs="Times New Roman"/>
          <w:b/>
          <w:bCs/>
          <w:color w:val="000000" w:themeColor="text1"/>
          <w:sz w:val="28"/>
          <w:highlight w:val="none"/>
          <w14:textFill>
            <w14:solidFill>
              <w14:schemeClr w14:val="tx1"/>
            </w14:solidFill>
          </w14:textFill>
        </w:rPr>
      </w:pPr>
      <w:r>
        <w:rPr>
          <w:rFonts w:hint="eastAsia" w:ascii="宋体" w:hAnsi="宋体" w:eastAsia="宋体" w:cs="Times New Roman"/>
          <w:b/>
          <w:bCs/>
          <w:color w:val="000000" w:themeColor="text1"/>
          <w:sz w:val="28"/>
          <w:highlight w:val="none"/>
          <w14:textFill>
            <w14:solidFill>
              <w14:schemeClr w14:val="tx1"/>
            </w14:solidFill>
          </w14:textFill>
        </w:rPr>
        <w:t>六、付款方式</w:t>
      </w:r>
    </w:p>
    <w:bookmarkEnd w:id="117"/>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olor w:val="000000" w:themeColor="text1"/>
          <w:sz w:val="28"/>
          <w:highlight w:val="none"/>
          <w:lang w:eastAsia="zh-CN"/>
          <w14:textFill>
            <w14:solidFill>
              <w14:schemeClr w14:val="tx1"/>
            </w14:solidFill>
          </w14:textFill>
        </w:rPr>
      </w:pPr>
      <w:bookmarkStart w:id="118" w:name="_Toc8646881"/>
      <w:bookmarkStart w:id="119" w:name="_Toc21790301"/>
      <w:bookmarkStart w:id="120" w:name="_Toc21854459"/>
      <w:bookmarkStart w:id="121" w:name="_Toc449705452"/>
      <w:bookmarkStart w:id="122" w:name="_Toc24291"/>
      <w:bookmarkStart w:id="123" w:name="_Toc25212"/>
      <w:bookmarkStart w:id="124" w:name="_Toc21854438"/>
      <w:bookmarkStart w:id="125" w:name="_Toc8646860"/>
      <w:bookmarkStart w:id="126" w:name="_Toc449705453"/>
      <w:r>
        <w:rPr>
          <w:rFonts w:hint="eastAsia" w:ascii="宋体" w:hAnsi="宋体"/>
          <w:color w:val="000000" w:themeColor="text1"/>
          <w:sz w:val="28"/>
          <w:highlight w:val="none"/>
          <w14:textFill>
            <w14:solidFill>
              <w14:schemeClr w14:val="tx1"/>
            </w14:solidFill>
          </w14:textFill>
        </w:rPr>
        <w:t>1、</w:t>
      </w:r>
      <w:r>
        <w:rPr>
          <w:rFonts w:hint="eastAsia" w:ascii="宋体" w:hAnsi="宋体"/>
          <w:color w:val="000000" w:themeColor="text1"/>
          <w:sz w:val="28"/>
          <w:highlight w:val="none"/>
          <w:lang w:eastAsia="zh-CN"/>
          <w14:textFill>
            <w14:solidFill>
              <w14:schemeClr w14:val="tx1"/>
            </w14:solidFill>
          </w14:textFill>
        </w:rPr>
        <w:t>合同签订后30个工作日内，</w:t>
      </w:r>
      <w:r>
        <w:rPr>
          <w:rFonts w:hint="eastAsia" w:ascii="宋体" w:hAnsi="宋体"/>
          <w:color w:val="000000" w:themeColor="text1"/>
          <w:sz w:val="28"/>
          <w:highlight w:val="none"/>
          <w14:textFill>
            <w14:solidFill>
              <w14:schemeClr w14:val="tx1"/>
            </w14:solidFill>
          </w14:textFill>
        </w:rPr>
        <w:t>采购人</w:t>
      </w:r>
      <w:r>
        <w:rPr>
          <w:rFonts w:hint="eastAsia" w:ascii="宋体" w:hAnsi="宋体"/>
          <w:color w:val="000000" w:themeColor="text1"/>
          <w:sz w:val="28"/>
          <w:highlight w:val="none"/>
          <w:lang w:eastAsia="zh-CN"/>
          <w14:textFill>
            <w14:solidFill>
              <w14:schemeClr w14:val="tx1"/>
            </w14:solidFill>
          </w14:textFill>
        </w:rPr>
        <w:t>向</w:t>
      </w:r>
      <w:r>
        <w:rPr>
          <w:rFonts w:hint="eastAsia" w:ascii="宋体" w:hAnsi="宋体"/>
          <w:color w:val="000000" w:themeColor="text1"/>
          <w:sz w:val="28"/>
          <w:highlight w:val="none"/>
          <w14:textFill>
            <w14:solidFill>
              <w14:schemeClr w14:val="tx1"/>
            </w14:solidFill>
          </w14:textFill>
        </w:rPr>
        <w:t>供应商</w:t>
      </w:r>
      <w:r>
        <w:rPr>
          <w:rFonts w:hint="eastAsia" w:ascii="宋体" w:hAnsi="宋体"/>
          <w:color w:val="000000" w:themeColor="text1"/>
          <w:sz w:val="28"/>
          <w:highlight w:val="none"/>
          <w:lang w:eastAsia="zh-CN"/>
          <w14:textFill>
            <w14:solidFill>
              <w14:schemeClr w14:val="tx1"/>
            </w14:solidFill>
          </w14:textFill>
        </w:rPr>
        <w:t>支付合同款项的</w:t>
      </w:r>
      <w:r>
        <w:rPr>
          <w:rFonts w:hint="eastAsia" w:ascii="宋体" w:hAnsi="宋体"/>
          <w:color w:val="000000" w:themeColor="text1"/>
          <w:sz w:val="28"/>
          <w:highlight w:val="none"/>
          <w:lang w:val="en-US" w:eastAsia="zh-CN"/>
          <w14:textFill>
            <w14:solidFill>
              <w14:schemeClr w14:val="tx1"/>
            </w14:solidFill>
          </w14:textFill>
        </w:rPr>
        <w:t>5</w:t>
      </w:r>
      <w:r>
        <w:rPr>
          <w:rFonts w:hint="eastAsia" w:ascii="宋体" w:hAnsi="宋体"/>
          <w:color w:val="000000" w:themeColor="text1"/>
          <w:sz w:val="28"/>
          <w:highlight w:val="none"/>
          <w:lang w:eastAsia="zh-CN"/>
          <w14:textFill>
            <w14:solidFill>
              <w14:schemeClr w14:val="tx1"/>
            </w14:solidFill>
          </w14:textFill>
        </w:rPr>
        <w:t>0%；</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olor w:val="000000" w:themeColor="text1"/>
          <w:sz w:val="28"/>
          <w:highlight w:val="none"/>
          <w:lang w:eastAsia="zh-CN"/>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2、</w:t>
      </w:r>
      <w:r>
        <w:rPr>
          <w:rFonts w:hint="eastAsia" w:ascii="宋体" w:hAnsi="宋体"/>
          <w:color w:val="000000" w:themeColor="text1"/>
          <w:sz w:val="28"/>
          <w:highlight w:val="none"/>
          <w14:textFill>
            <w14:solidFill>
              <w14:schemeClr w14:val="tx1"/>
            </w14:solidFill>
          </w14:textFill>
        </w:rPr>
        <w:t>供应商</w:t>
      </w:r>
      <w:r>
        <w:rPr>
          <w:rFonts w:hint="eastAsia" w:ascii="宋体" w:hAnsi="宋体"/>
          <w:color w:val="000000" w:themeColor="text1"/>
          <w:sz w:val="28"/>
          <w:highlight w:val="none"/>
          <w:lang w:eastAsia="zh-CN"/>
          <w14:textFill>
            <w14:solidFill>
              <w14:schemeClr w14:val="tx1"/>
            </w14:solidFill>
          </w14:textFill>
        </w:rPr>
        <w:t>完成全部服务事项后提交结案报告，供</w:t>
      </w:r>
      <w:r>
        <w:rPr>
          <w:rFonts w:hint="eastAsia" w:ascii="宋体" w:hAnsi="宋体"/>
          <w:color w:val="000000" w:themeColor="text1"/>
          <w:sz w:val="28"/>
          <w:highlight w:val="none"/>
          <w14:textFill>
            <w14:solidFill>
              <w14:schemeClr w14:val="tx1"/>
            </w14:solidFill>
          </w14:textFill>
        </w:rPr>
        <w:t>采购人</w:t>
      </w:r>
      <w:r>
        <w:rPr>
          <w:rFonts w:hint="eastAsia" w:ascii="宋体" w:hAnsi="宋体"/>
          <w:color w:val="000000" w:themeColor="text1"/>
          <w:sz w:val="28"/>
          <w:highlight w:val="none"/>
          <w:lang w:eastAsia="zh-CN"/>
          <w14:textFill>
            <w14:solidFill>
              <w14:schemeClr w14:val="tx1"/>
            </w14:solidFill>
          </w14:textFill>
        </w:rPr>
        <w:t>考核验收，验收合格后30个工作日内，</w:t>
      </w:r>
      <w:r>
        <w:rPr>
          <w:rFonts w:hint="eastAsia" w:ascii="宋体" w:hAnsi="宋体"/>
          <w:color w:val="000000" w:themeColor="text1"/>
          <w:sz w:val="28"/>
          <w:highlight w:val="none"/>
          <w14:textFill>
            <w14:solidFill>
              <w14:schemeClr w14:val="tx1"/>
            </w14:solidFill>
          </w14:textFill>
        </w:rPr>
        <w:t>采购人</w:t>
      </w:r>
      <w:r>
        <w:rPr>
          <w:rFonts w:hint="eastAsia" w:ascii="宋体" w:hAnsi="宋体"/>
          <w:color w:val="000000" w:themeColor="text1"/>
          <w:sz w:val="28"/>
          <w:highlight w:val="none"/>
          <w:lang w:eastAsia="zh-CN"/>
          <w14:textFill>
            <w14:solidFill>
              <w14:schemeClr w14:val="tx1"/>
            </w14:solidFill>
          </w14:textFill>
        </w:rPr>
        <w:t>支付合同款项的剩余</w:t>
      </w:r>
      <w:r>
        <w:rPr>
          <w:rFonts w:hint="eastAsia" w:ascii="宋体" w:hAnsi="宋体"/>
          <w:color w:val="000000" w:themeColor="text1"/>
          <w:sz w:val="28"/>
          <w:highlight w:val="none"/>
          <w:lang w:val="en-US" w:eastAsia="zh-CN"/>
          <w14:textFill>
            <w14:solidFill>
              <w14:schemeClr w14:val="tx1"/>
            </w14:solidFill>
          </w14:textFill>
        </w:rPr>
        <w:t>5</w:t>
      </w:r>
      <w:r>
        <w:rPr>
          <w:rFonts w:hint="eastAsia" w:ascii="宋体" w:hAnsi="宋体"/>
          <w:color w:val="000000" w:themeColor="text1"/>
          <w:sz w:val="28"/>
          <w:highlight w:val="none"/>
          <w:lang w:eastAsia="zh-CN"/>
          <w14:textFill>
            <w14:solidFill>
              <w14:schemeClr w14:val="tx1"/>
            </w14:solidFill>
          </w14:textFill>
        </w:rPr>
        <w:t>0%；验收不合格的，</w:t>
      </w:r>
      <w:r>
        <w:rPr>
          <w:rFonts w:hint="eastAsia" w:ascii="宋体" w:hAnsi="宋体"/>
          <w:color w:val="000000" w:themeColor="text1"/>
          <w:sz w:val="28"/>
          <w:highlight w:val="none"/>
          <w14:textFill>
            <w14:solidFill>
              <w14:schemeClr w14:val="tx1"/>
            </w14:solidFill>
          </w14:textFill>
        </w:rPr>
        <w:t>供应商</w:t>
      </w:r>
      <w:r>
        <w:rPr>
          <w:rFonts w:hint="eastAsia" w:ascii="宋体" w:hAnsi="宋体"/>
          <w:color w:val="000000" w:themeColor="text1"/>
          <w:sz w:val="28"/>
          <w:highlight w:val="none"/>
          <w:lang w:eastAsia="zh-CN"/>
          <w14:textFill>
            <w14:solidFill>
              <w14:schemeClr w14:val="tx1"/>
            </w14:solidFill>
          </w14:textFill>
        </w:rPr>
        <w:t>应在15个工作日内整改完毕并重新提交验收，整改后仍不合格的，</w:t>
      </w:r>
      <w:r>
        <w:rPr>
          <w:rFonts w:hint="eastAsia" w:ascii="宋体" w:hAnsi="宋体"/>
          <w:color w:val="000000" w:themeColor="text1"/>
          <w:sz w:val="28"/>
          <w:highlight w:val="none"/>
          <w14:textFill>
            <w14:solidFill>
              <w14:schemeClr w14:val="tx1"/>
            </w14:solidFill>
          </w14:textFill>
        </w:rPr>
        <w:t>采购人</w:t>
      </w:r>
      <w:r>
        <w:rPr>
          <w:rFonts w:hint="eastAsia" w:ascii="宋体" w:hAnsi="宋体"/>
          <w:color w:val="000000" w:themeColor="text1"/>
          <w:sz w:val="28"/>
          <w:highlight w:val="none"/>
          <w:lang w:eastAsia="zh-CN"/>
          <w14:textFill>
            <w14:solidFill>
              <w14:schemeClr w14:val="tx1"/>
            </w14:solidFill>
          </w14:textFill>
        </w:rPr>
        <w:t>有权拒绝支付剩余款项。</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olor w:val="000000" w:themeColor="text1"/>
          <w:sz w:val="28"/>
          <w:highlight w:val="none"/>
          <w:lang w:val="en-US" w:eastAsia="zh-CN"/>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3、</w:t>
      </w:r>
      <w:r>
        <w:rPr>
          <w:rFonts w:hint="default" w:ascii="宋体" w:hAnsi="宋体"/>
          <w:color w:val="000000" w:themeColor="text1"/>
          <w:sz w:val="28"/>
          <w:highlight w:val="none"/>
          <w:lang w:eastAsia="zh-CN"/>
          <w14:textFill>
            <w14:solidFill>
              <w14:schemeClr w14:val="tx1"/>
            </w14:solidFill>
          </w14:textFill>
        </w:rPr>
        <w:t>采购人每次付款前，供应商须向采购人开具正式发票。以上付款均无银行利息，一律通过银行结转。若因供应商提供的服务不符合合同要求或未能按采购人要求办理相应的付款手续，</w:t>
      </w:r>
      <w:r>
        <w:rPr>
          <w:rFonts w:hint="eastAsia" w:ascii="宋体" w:hAnsi="宋体"/>
          <w:color w:val="000000" w:themeColor="text1"/>
          <w:sz w:val="28"/>
          <w:highlight w:val="none"/>
          <w:lang w:val="en-US" w:eastAsia="zh-CN"/>
          <w14:textFill>
            <w14:solidFill>
              <w14:schemeClr w14:val="tx1"/>
            </w14:solidFill>
          </w14:textFill>
        </w:rPr>
        <w:t>采购人</w:t>
      </w:r>
      <w:r>
        <w:rPr>
          <w:rFonts w:hint="default" w:ascii="宋体" w:hAnsi="宋体"/>
          <w:color w:val="000000" w:themeColor="text1"/>
          <w:sz w:val="28"/>
          <w:highlight w:val="none"/>
          <w:lang w:eastAsia="zh-CN"/>
          <w14:textFill>
            <w14:solidFill>
              <w14:schemeClr w14:val="tx1"/>
            </w14:solidFill>
          </w14:textFill>
        </w:rPr>
        <w:t>有权暂缓付款，且对此不承担迟延付款责任。</w:t>
      </w:r>
    </w:p>
    <w:p>
      <w:pPr>
        <w:bidi w:val="0"/>
        <w:rPr>
          <w:rFonts w:hint="eastAsia"/>
          <w:color w:val="000000" w:themeColor="text1"/>
          <w:highlight w:val="none"/>
          <w14:textFill>
            <w14:solidFill>
              <w14:schemeClr w14:val="tx1"/>
            </w14:solidFill>
          </w14:textFill>
        </w:rPr>
      </w:pP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pPr>
        <w:jc w:val="center"/>
        <w:outlineLvl w:val="0"/>
        <w:rPr>
          <w:rFonts w:hint="eastAsia" w:cs="宋体" w:asciiTheme="minorEastAsia" w:hAnsiTheme="minorEastAsia" w:eastAsiaTheme="minorEastAsia"/>
          <w:b/>
          <w:bCs/>
          <w:color w:val="000000" w:themeColor="text1"/>
          <w:kern w:val="44"/>
          <w:sz w:val="44"/>
          <w:szCs w:val="44"/>
          <w:highlight w:val="none"/>
          <w14:textFill>
            <w14:solidFill>
              <w14:schemeClr w14:val="tx1"/>
            </w14:solidFill>
          </w14:textFill>
        </w:rPr>
      </w:pPr>
      <w:r>
        <w:rPr>
          <w:rFonts w:hint="eastAsia" w:cs="宋体" w:asciiTheme="minorEastAsia" w:hAnsiTheme="minorEastAsia" w:eastAsiaTheme="minorEastAsia"/>
          <w:b/>
          <w:bCs/>
          <w:color w:val="000000" w:themeColor="text1"/>
          <w:kern w:val="44"/>
          <w:sz w:val="44"/>
          <w:szCs w:val="44"/>
          <w:highlight w:val="none"/>
          <w14:textFill>
            <w14:solidFill>
              <w14:schemeClr w14:val="tx1"/>
            </w14:solidFill>
          </w14:textFill>
        </w:rPr>
        <w:t>第四章、</w:t>
      </w:r>
      <w:bookmarkEnd w:id="118"/>
      <w:bookmarkEnd w:id="119"/>
      <w:bookmarkEnd w:id="120"/>
      <w:bookmarkEnd w:id="121"/>
      <w:r>
        <w:rPr>
          <w:rFonts w:hint="eastAsia" w:cs="宋体" w:asciiTheme="minorEastAsia" w:hAnsiTheme="minorEastAsia" w:eastAsiaTheme="minorEastAsia"/>
          <w:b/>
          <w:bCs/>
          <w:color w:val="000000" w:themeColor="text1"/>
          <w:kern w:val="44"/>
          <w:sz w:val="44"/>
          <w:szCs w:val="44"/>
          <w:highlight w:val="none"/>
          <w14:textFill>
            <w14:solidFill>
              <w14:schemeClr w14:val="tx1"/>
            </w14:solidFill>
          </w14:textFill>
        </w:rPr>
        <w:t>合同主要条款及格式</w:t>
      </w:r>
      <w:bookmarkEnd w:id="122"/>
      <w:bookmarkEnd w:id="123"/>
    </w:p>
    <w:p>
      <w:pPr>
        <w:adjustRightInd w:val="0"/>
        <w:snapToGrid w:val="0"/>
        <w:spacing w:line="360" w:lineRule="auto"/>
        <w:jc w:val="left"/>
        <w:rPr>
          <w:rFonts w:hint="eastAsia"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t>以下为本项目的合同条款，合同双方不得对采购、响应文件内容作实质性修改。</w:t>
      </w:r>
    </w:p>
    <w:p>
      <w:pPr>
        <w:adjustRightInd w:val="0"/>
        <w:snapToGrid w:val="0"/>
        <w:spacing w:line="360" w:lineRule="auto"/>
        <w:jc w:val="center"/>
        <w:rPr>
          <w:rFonts w:hint="eastAsia" w:ascii="宋体" w:hAnsi="宋体" w:cs="宋体"/>
          <w:b/>
          <w:bCs/>
          <w:color w:val="000000" w:themeColor="text1"/>
          <w:sz w:val="28"/>
          <w:highlight w:val="none"/>
          <w:lang w:val="zh-CN"/>
          <w14:textFill>
            <w14:solidFill>
              <w14:schemeClr w14:val="tx1"/>
            </w14:solidFill>
          </w14:textFill>
        </w:rPr>
      </w:pPr>
    </w:p>
    <w:p>
      <w:pPr>
        <w:adjustRightInd w:val="0"/>
        <w:snapToGrid w:val="0"/>
        <w:spacing w:line="360" w:lineRule="auto"/>
        <w:jc w:val="center"/>
        <w:rPr>
          <w:rFonts w:hint="eastAsia" w:ascii="宋体" w:hAnsi="宋体" w:cs="宋体"/>
          <w:b/>
          <w:bCs/>
          <w:color w:val="000000" w:themeColor="text1"/>
          <w:sz w:val="36"/>
          <w:szCs w:val="32"/>
          <w:highlight w:val="none"/>
          <w:lang w:val="zh-CN"/>
          <w14:textFill>
            <w14:solidFill>
              <w14:schemeClr w14:val="tx1"/>
            </w14:solidFill>
          </w14:textFill>
        </w:rPr>
      </w:pPr>
      <w:r>
        <w:rPr>
          <w:rFonts w:ascii="宋体" w:hAnsi="宋体" w:cs="宋体"/>
          <w:b/>
          <w:bCs/>
          <w:color w:val="000000" w:themeColor="text1"/>
          <w:sz w:val="36"/>
          <w:szCs w:val="32"/>
          <w:highlight w:val="none"/>
          <w:lang w:val="zh-CN"/>
          <w14:textFill>
            <w14:solidFill>
              <w14:schemeClr w14:val="tx1"/>
            </w14:solidFill>
          </w14:textFill>
        </w:rPr>
        <w:t>南京江北新区2026年综合信息服务及智库合作项目合同</w:t>
      </w:r>
    </w:p>
    <w:p>
      <w:pPr>
        <w:pStyle w:val="59"/>
        <w:ind w:firstLine="0" w:firstLineChars="0"/>
        <w:jc w:val="center"/>
        <w:rPr>
          <w:rFonts w:hint="eastAsia" w:asciiTheme="minorEastAsia" w:hAnsiTheme="minorEastAsia" w:eastAsiaTheme="minorEastAsia" w:cstheme="minorEastAsia"/>
          <w:color w:val="000000" w:themeColor="text1"/>
          <w:sz w:val="28"/>
          <w:szCs w:val="28"/>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en-US"/>
          <w14:textFill>
            <w14:solidFill>
              <w14:schemeClr w14:val="tx1"/>
            </w14:solidFill>
          </w14:textFill>
        </w:rPr>
        <w:t>（仅供参考）</w:t>
      </w:r>
    </w:p>
    <w:p>
      <w:pPr>
        <w:adjustRightInd w:val="0"/>
        <w:snapToGrid w:val="0"/>
        <w:spacing w:line="360" w:lineRule="auto"/>
        <w:jc w:val="left"/>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p>
    <w:p>
      <w:pPr>
        <w:pStyle w:val="59"/>
        <w:ind w:firstLine="0" w:firstLineChars="0"/>
        <w:jc w:val="center"/>
        <w:rPr>
          <w:rFonts w:hint="eastAsia" w:asciiTheme="minorEastAsia" w:hAnsiTheme="minorEastAsia" w:eastAsiaTheme="minorEastAsia" w:cstheme="minorEastAsia"/>
          <w:color w:val="000000" w:themeColor="text1"/>
          <w:sz w:val="28"/>
          <w:szCs w:val="28"/>
          <w:highlight w:val="none"/>
          <w:lang w:val="en-US"/>
          <w14:textFill>
            <w14:solidFill>
              <w14:schemeClr w14:val="tx1"/>
            </w14:solidFill>
          </w14:textFill>
        </w:rPr>
      </w:pPr>
    </w:p>
    <w:tbl>
      <w:tblPr>
        <w:tblStyle w:val="29"/>
        <w:tblW w:w="0" w:type="auto"/>
        <w:jc w:val="center"/>
        <w:tblLayout w:type="fixed"/>
        <w:tblCellMar>
          <w:top w:w="0" w:type="dxa"/>
          <w:left w:w="0" w:type="dxa"/>
          <w:bottom w:w="0" w:type="dxa"/>
          <w:right w:w="0" w:type="dxa"/>
        </w:tblCellMar>
      </w:tblPr>
      <w:tblGrid>
        <w:gridCol w:w="4216"/>
        <w:gridCol w:w="4216"/>
      </w:tblGrid>
      <w:tr>
        <w:tblPrEx>
          <w:tblCellMar>
            <w:top w:w="0" w:type="dxa"/>
            <w:left w:w="0" w:type="dxa"/>
            <w:bottom w:w="0" w:type="dxa"/>
            <w:right w:w="0" w:type="dxa"/>
          </w:tblCellMar>
        </w:tblPrEx>
        <w:trPr>
          <w:trHeight w:val="559" w:hRule="atLeast"/>
          <w:jc w:val="center"/>
        </w:trPr>
        <w:tc>
          <w:tcPr>
            <w:tcW w:w="4216" w:type="dxa"/>
            <w:tcBorders>
              <w:top w:val="nil"/>
              <w:left w:val="nil"/>
              <w:bottom w:val="nil"/>
              <w:right w:val="nil"/>
            </w:tcBorders>
          </w:tcPr>
          <w:p>
            <w:pPr>
              <w:spacing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采购人（以下称甲方）</w:t>
            </w:r>
          </w:p>
        </w:tc>
        <w:tc>
          <w:tcPr>
            <w:tcW w:w="4216" w:type="dxa"/>
            <w:tcBorders>
              <w:top w:val="nil"/>
              <w:left w:val="nil"/>
              <w:bottom w:val="nil"/>
              <w:right w:val="nil"/>
            </w:tcBorders>
          </w:tcPr>
          <w:p>
            <w:pPr>
              <w:spacing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供应商（以下称乙方）：</w:t>
            </w:r>
          </w:p>
        </w:tc>
      </w:tr>
      <w:tr>
        <w:tblPrEx>
          <w:tblCellMar>
            <w:top w:w="0" w:type="dxa"/>
            <w:left w:w="0" w:type="dxa"/>
            <w:bottom w:w="0" w:type="dxa"/>
            <w:right w:w="0" w:type="dxa"/>
          </w:tblCellMar>
        </w:tblPrEx>
        <w:trPr>
          <w:trHeight w:val="559" w:hRule="atLeast"/>
          <w:jc w:val="center"/>
        </w:trPr>
        <w:tc>
          <w:tcPr>
            <w:tcW w:w="4216" w:type="dxa"/>
            <w:tcBorders>
              <w:top w:val="nil"/>
              <w:left w:val="nil"/>
              <w:bottom w:val="nil"/>
              <w:right w:val="nil"/>
            </w:tcBorders>
          </w:tcPr>
          <w:p>
            <w:pPr>
              <w:spacing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住所地：</w:t>
            </w:r>
          </w:p>
        </w:tc>
        <w:tc>
          <w:tcPr>
            <w:tcW w:w="4216" w:type="dxa"/>
            <w:tcBorders>
              <w:top w:val="nil"/>
              <w:left w:val="nil"/>
              <w:bottom w:val="nil"/>
              <w:right w:val="nil"/>
            </w:tcBorders>
          </w:tcPr>
          <w:p>
            <w:pPr>
              <w:spacing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住所地：</w:t>
            </w:r>
          </w:p>
        </w:tc>
      </w:tr>
    </w:tbl>
    <w:p>
      <w:pPr>
        <w:spacing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根据《中华人民共和国政府采购法》和《中华人民共和国民法典》等法律法规的规定，甲乙双方按照江苏苏建工程项目管理咨询有限公司的成交结果签订本合同。</w:t>
      </w:r>
    </w:p>
    <w:p>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第一条 合同标的</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乙方根据甲方要求提供下列服务：</w:t>
      </w: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（服务内容）详见乙方响应性文件等。</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合同期限：</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自合同签订之日起至2026年12月31日</w:t>
      </w: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w:t>
      </w:r>
    </w:p>
    <w:p>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第二条 合同总价款</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本合同含税总价款：人民币大写__________元整，小写￥__________。</w:t>
      </w:r>
    </w:p>
    <w:p>
      <w:pPr>
        <w:spacing w:line="360" w:lineRule="auto"/>
        <w:ind w:firstLine="560" w:firstLineChars="200"/>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合同总价款包含所有为履行本合同而支出的全部费用，除此以外采购单位不会以任何形式支付任何费用。</w:t>
      </w:r>
    </w:p>
    <w:p>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第三条 组成本合同的有关文件</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单一来源采购文件、乙方响应文件及承诺等有关附件是本合同不可分割的组成部分，与本合同具有同等法律效力。</w:t>
      </w:r>
    </w:p>
    <w:p>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第四条 权利保证</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乙方应保证为甲方提供的货物和服务不侵犯第三方的著作权、专利权、商标权或其他权利。一旦出现侵权纠纷，乙方应承担全部责任。</w:t>
      </w:r>
    </w:p>
    <w:p>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第五条 质量保证</w:t>
      </w:r>
    </w:p>
    <w:p>
      <w:pPr>
        <w:spacing w:line="360" w:lineRule="auto"/>
        <w:ind w:firstLine="560"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乙方提供的服务必须全部达到采购文件各项要求，国家或行业有规定的，还要符合相应规定。</w:t>
      </w:r>
    </w:p>
    <w:p>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第六条 交付使用和验收</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1、乙方应当在</w:t>
      </w:r>
      <w:r>
        <w:rPr>
          <w:rFonts w:hint="eastAsia" w:asciiTheme="minorEastAsia" w:hAnsiTheme="minorEastAsia" w:eastAsiaTheme="minorEastAsia" w:cstheme="minorEastAsia"/>
          <w:bCs/>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t>年</w:t>
      </w:r>
      <w:r>
        <w:rPr>
          <w:rFonts w:hint="eastAsia" w:asciiTheme="minorEastAsia" w:hAnsiTheme="minorEastAsia" w:eastAsiaTheme="minorEastAsia" w:cstheme="minorEastAsia"/>
          <w:bCs/>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t>月</w:t>
      </w:r>
      <w:r>
        <w:rPr>
          <w:rFonts w:hint="eastAsia" w:asciiTheme="minorEastAsia" w:hAnsiTheme="minorEastAsia" w:eastAsiaTheme="minorEastAsia" w:cstheme="minorEastAsia"/>
          <w:bCs/>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t>日前</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完成采购文件规定的项目并交付甲方使用。采购文件有约定的，从其约定。</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2、甲方自行组织或视情邀请相关专家或国家认可的质量检测机构参加验收，乙方提供的服务不符合采购文件、乙方响应文件及承诺等有关附件和合同规定的，甲方有权拒收，并由乙方承担验收费用等。</w:t>
      </w:r>
    </w:p>
    <w:p>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第七条 合同款支付</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1、本合同项下所有款项均以人民币支付。</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2、本合同项下的采购资金由甲方自行支付，乙方向甲方开具发票。</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3、付款条件：</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（1）合同签订后30个工作日内，甲方向乙方支付合同款项的50%；</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乙方完成全部服务事项后提交结案报告，供甲方考核验收，验收合格后30个工作日内，甲方支付合同款项的剩余50%；验收不合格的，乙方应在15个工作日内整改完毕并重新提交验收，整改后仍不合格的，甲方有权拒绝支付剩余款项。</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3）甲方每次付款前，乙方须向甲方开具正式发票。以上付款均无银行利息，一律通过银行结转。若因乙方提供的服务不符合合同要求或未能按甲方要求办理相应的付款手续，甲方有权暂缓付款，且对此不承担迟延付款责任。</w:t>
      </w:r>
    </w:p>
    <w:p>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第八条 违约责任</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1、甲方无正当理由拒绝验收或拒付款的，甲方向乙方支付合同总价的5%违约金。</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2、甲方未按合同规定的期限向乙方支付合同款的，每逾期1天甲方向乙方支付应付未付合同款项5‰违约金，但累计违约金总额不超过欠款总额的5%。</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3、如乙方不能按期交付服务的，每逾期1天，乙方向甲方支付合同总额的5‰的违约金，累计违约金总额不超过合同总额的5%。如乙方逾期交付达10天，甲方有权解除合同，解除合同的通知自到达乙方时生效。乙方逾期交付的，今后参加政府采购信誉将受到影响。</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4、乙方在承担违约责任后，仍应继续履行合同规定的义务（甲方解除合同的除外）。甲方未能及时追究乙方的任何一项违约责任并不表明甲方放弃追究乙方该项或其他违约责任。</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5、乙方虚假承诺，或经权威部门检测提供的货物和服务不能满足采购文件要求，或是由于乙方的过错造成合同无法继续履行的，应向甲方支付合同总价30%的违约金。</w:t>
      </w:r>
    </w:p>
    <w:p>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第九条 合同的变更和终止</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w:t>
      </w:r>
      <w:bookmarkStart w:id="127" w:name="_Hlk8218177"/>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除《中华人民共和国政府采购法》第49条、</w:t>
      </w:r>
      <w:bookmarkEnd w:id="127"/>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第50条第二款规定的情形外，本合同一经签订，甲乙双方不得擅自变更、中止或终止合同。</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除发生法律规定的不能预见、不能避免并不能克服的客观情况外，甲乙双方不得放弃或拒绝履行合同。乙方放弃或拒绝履行合同，在三年内不得参加中共南京江北新区工作委员会宣传和统战部组织的政府采购活动。</w:t>
      </w:r>
    </w:p>
    <w:p>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第十条 合同的转让</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乙方不得擅自部分或全部转让其应履行的合同义务。</w:t>
      </w:r>
    </w:p>
    <w:p>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第十一条 争议的解决</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1、因履行本合同引起的或与本合同有关的争议，甲、乙双方应首先通过友好协商解决，如果协商不能解决争议，则采取以下第（1）种方式解决争议：</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（1）向甲方所在地有管辖权的人民法院提起诉讼；</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（2）向</w:t>
      </w:r>
      <w:r>
        <w:rPr>
          <w:rFonts w:hint="eastAsia" w:asciiTheme="minorEastAsia" w:hAnsiTheme="minorEastAsia" w:eastAsiaTheme="minorEastAsia" w:cstheme="minorEastAsia"/>
          <w:color w:val="000000" w:themeColor="text1"/>
          <w:sz w:val="28"/>
          <w:szCs w:val="28"/>
          <w:highlight w:val="none"/>
          <w:shd w:val="clear" w:color="auto" w:fill="FFFFFF"/>
          <w14:textFill>
            <w14:solidFill>
              <w14:schemeClr w14:val="tx1"/>
            </w14:solidFill>
          </w14:textFill>
        </w:rPr>
        <w:t>项目所在地</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仲裁委员会按其仲裁规则申请仲裁。</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如没有约定，默认采取第2种方式解决争议。</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2、在诉讼或仲裁期间，本合同应继续履行。</w:t>
      </w:r>
    </w:p>
    <w:p>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第十</w:t>
      </w:r>
      <w:r>
        <w:rPr>
          <w:rFonts w:hint="eastAsia" w:asciiTheme="minorEastAsia" w:hAnsiTheme="minorEastAsia" w:eastAsiaTheme="minorEastAsia" w:cstheme="minorEastAsia"/>
          <w:b/>
          <w:color w:val="000000" w:themeColor="text1"/>
          <w:sz w:val="28"/>
          <w:szCs w:val="28"/>
          <w:highlight w:val="none"/>
          <w:lang w:val="en-US" w:eastAsia="zh-CN"/>
          <w14:textFill>
            <w14:solidFill>
              <w14:schemeClr w14:val="tx1"/>
            </w14:solidFill>
          </w14:textFill>
        </w:rPr>
        <w:t>二</w:t>
      </w: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条 诚实信用</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乙方应诚实信用，严格按照采购文件要求和承诺履行合同，不向甲方进行商业贿赂或者提供不正当利益。</w:t>
      </w:r>
    </w:p>
    <w:p>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第十三条 合同生效及其他</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w:t>
      </w:r>
      <w:r>
        <w:rPr>
          <w:rFonts w:asciiTheme="minorEastAsia" w:hAnsiTheme="minorEastAsia" w:eastAsiaTheme="minorEastAsia" w:cstheme="minorEastAsia"/>
          <w:color w:val="000000" w:themeColor="text1"/>
          <w:sz w:val="28"/>
          <w:szCs w:val="28"/>
          <w:highlight w:val="none"/>
          <w14:textFill>
            <w14:solidFill>
              <w14:schemeClr w14:val="tx1"/>
            </w14:solidFill>
          </w14:textFill>
        </w:rPr>
        <w:t>本合同经双方法定代表人或授权代表签字、加盖单位公章后生效。</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w:t>
      </w:r>
      <w:r>
        <w:rPr>
          <w:rFonts w:asciiTheme="minorEastAsia" w:hAnsiTheme="minorEastAsia" w:eastAsiaTheme="minorEastAsia" w:cstheme="minorEastAsia"/>
          <w:color w:val="000000" w:themeColor="text1"/>
          <w:sz w:val="28"/>
          <w:szCs w:val="28"/>
          <w:highlight w:val="none"/>
          <w14:textFill>
            <w14:solidFill>
              <w14:schemeClr w14:val="tx1"/>
            </w14:solidFill>
          </w14:textFill>
        </w:rPr>
        <w:t>本合同未尽事宜，遵照《中华人民共和国民法典》《中华人民共和国政府采购法》有关条文执行。</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3、</w:t>
      </w:r>
      <w:r>
        <w:rPr>
          <w:rFonts w:asciiTheme="minorEastAsia" w:hAnsiTheme="minorEastAsia" w:eastAsiaTheme="minorEastAsia" w:cstheme="minorEastAsia"/>
          <w:color w:val="000000" w:themeColor="text1"/>
          <w:sz w:val="28"/>
          <w:szCs w:val="28"/>
          <w:highlight w:val="none"/>
          <w14:textFill>
            <w14:solidFill>
              <w14:schemeClr w14:val="tx1"/>
            </w14:solidFill>
          </w14:textFill>
        </w:rPr>
        <w:t>本合同正本一式陆份，甲方、乙方各执叁份，每份具有同等法律效力。</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甲方（采购人）：    （盖章）       乙方（供应商）：    （盖章）</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法定代表人或授权代表：             法定代表人或授权代表： </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开户银行：                         开户银行：</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账号：                             账号：</w:t>
      </w:r>
    </w:p>
    <w:p>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日期：    年   月   日             日期：    年   月   日</w:t>
      </w:r>
    </w:p>
    <w:p>
      <w:pPr>
        <w:adjustRightInd w:val="0"/>
        <w:snapToGrid w:val="0"/>
        <w:spacing w:line="360" w:lineRule="auto"/>
        <w:jc w:val="left"/>
        <w:rPr>
          <w:rFonts w:hint="eastAsia" w:ascii="宋体" w:hAnsi="宋体" w:cs="宋体"/>
          <w:color w:val="000000" w:themeColor="text1"/>
          <w:sz w:val="28"/>
          <w:highlight w:val="none"/>
          <w14:textFill>
            <w14:solidFill>
              <w14:schemeClr w14:val="tx1"/>
            </w14:solidFill>
          </w14:textFill>
        </w:rPr>
      </w:pPr>
    </w:p>
    <w:p>
      <w:pPr>
        <w:adjustRightInd w:val="0"/>
        <w:snapToGrid w:val="0"/>
        <w:spacing w:line="360" w:lineRule="auto"/>
        <w:jc w:val="left"/>
        <w:rPr>
          <w:rFonts w:hint="eastAsia" w:ascii="宋体" w:hAnsi="宋体" w:cs="宋体"/>
          <w:color w:val="000000" w:themeColor="text1"/>
          <w:sz w:val="28"/>
          <w:highlight w:val="none"/>
          <w14:textFill>
            <w14:solidFill>
              <w14:schemeClr w14:val="tx1"/>
            </w14:solidFill>
          </w14:textFill>
        </w:rPr>
      </w:pPr>
    </w:p>
    <w:p>
      <w:pPr>
        <w:adjustRightInd w:val="0"/>
        <w:snapToGrid w:val="0"/>
        <w:spacing w:line="360" w:lineRule="auto"/>
        <w:jc w:val="center"/>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《*******合同》补充协议（合同附件）</w:t>
      </w:r>
    </w:p>
    <w:p>
      <w:pPr>
        <w:adjustRightInd w:val="0"/>
        <w:snapToGrid w:val="0"/>
        <w:spacing w:line="360" w:lineRule="auto"/>
        <w:jc w:val="left"/>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采购文件及合同未约定事项，双方可友好协商签订补充协议。</w:t>
      </w:r>
    </w:p>
    <w:p>
      <w:pPr>
        <w:adjustRightInd w:val="0"/>
        <w:snapToGrid w:val="0"/>
        <w:spacing w:line="360" w:lineRule="auto"/>
        <w:jc w:val="left"/>
        <w:rPr>
          <w:rFonts w:hint="eastAsia" w:ascii="宋体" w:hAnsi="宋体" w:cs="宋体"/>
          <w:color w:val="000000" w:themeColor="text1"/>
          <w:sz w:val="28"/>
          <w:highlight w:val="none"/>
          <w:lang w:val="zh-CN"/>
          <w14:textFill>
            <w14:solidFill>
              <w14:schemeClr w14:val="tx1"/>
            </w14:solidFill>
          </w14:textFill>
        </w:rPr>
      </w:pPr>
    </w:p>
    <w:p>
      <w:pPr>
        <w:adjustRightInd w:val="0"/>
        <w:snapToGrid w:val="0"/>
        <w:spacing w:line="360" w:lineRule="auto"/>
        <w:jc w:val="left"/>
        <w:rPr>
          <w:rFonts w:hint="eastAsia" w:ascii="宋体" w:hAnsi="宋体" w:cs="宋体"/>
          <w:color w:val="000000" w:themeColor="text1"/>
          <w:sz w:val="28"/>
          <w:highlight w:val="none"/>
          <w:lang w:val="zh-CN"/>
          <w14:textFill>
            <w14:solidFill>
              <w14:schemeClr w14:val="tx1"/>
            </w14:solidFill>
          </w14:textFill>
        </w:rPr>
      </w:pPr>
    </w:p>
    <w:p>
      <w:pPr>
        <w:adjustRightInd w:val="0"/>
        <w:snapToGrid w:val="0"/>
        <w:spacing w:line="360" w:lineRule="auto"/>
        <w:jc w:val="left"/>
        <w:rPr>
          <w:rFonts w:hint="eastAsia" w:ascii="宋体" w:hAnsi="宋体" w:cs="宋体"/>
          <w:color w:val="000000" w:themeColor="text1"/>
          <w:sz w:val="28"/>
          <w:highlight w:val="none"/>
          <w:lang w:val="zh-CN"/>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bookmarkEnd w:id="124"/>
    <w:bookmarkEnd w:id="125"/>
    <w:p>
      <w:pPr>
        <w:adjustRightInd w:val="0"/>
        <w:snapToGrid w:val="0"/>
        <w:spacing w:line="360" w:lineRule="auto"/>
        <w:jc w:val="lef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p>
    <w:p>
      <w:pPr>
        <w:pStyle w:val="5"/>
        <w:spacing w:before="340" w:after="330" w:line="578" w:lineRule="auto"/>
        <w:jc w:val="center"/>
        <w:rPr>
          <w:rFonts w:hint="eastAsia" w:cs="宋体" w:asciiTheme="minorEastAsia" w:hAnsiTheme="minorEastAsia" w:eastAsiaTheme="minorEastAsia"/>
          <w:color w:val="000000" w:themeColor="text1"/>
          <w:highlight w:val="none"/>
          <w14:textFill>
            <w14:solidFill>
              <w14:schemeClr w14:val="tx1"/>
            </w14:solidFill>
          </w14:textFill>
        </w:rPr>
      </w:pPr>
      <w:bookmarkStart w:id="128" w:name="_Toc18256"/>
      <w:bookmarkStart w:id="129" w:name="_Toc28771"/>
      <w:r>
        <w:rPr>
          <w:rFonts w:hint="eastAsia" w:cs="宋体" w:asciiTheme="minorEastAsia" w:hAnsiTheme="minorEastAsia" w:eastAsiaTheme="minorEastAsia"/>
          <w:color w:val="000000" w:themeColor="text1"/>
          <w:highlight w:val="none"/>
          <w14:textFill>
            <w14:solidFill>
              <w14:schemeClr w14:val="tx1"/>
            </w14:solidFill>
          </w14:textFill>
        </w:rPr>
        <w:t>第五章、</w:t>
      </w:r>
      <w:bookmarkEnd w:id="126"/>
      <w:r>
        <w:rPr>
          <w:rFonts w:hint="eastAsia" w:cs="宋体" w:asciiTheme="minorEastAsia" w:hAnsiTheme="minorEastAsia" w:eastAsiaTheme="minorEastAsia"/>
          <w:color w:val="000000" w:themeColor="text1"/>
          <w:highlight w:val="none"/>
          <w14:textFill>
            <w14:solidFill>
              <w14:schemeClr w14:val="tx1"/>
            </w14:solidFill>
          </w14:textFill>
        </w:rPr>
        <w:t>响应文件格式及附件</w:t>
      </w:r>
      <w:bookmarkEnd w:id="128"/>
      <w:bookmarkEnd w:id="129"/>
    </w:p>
    <w:p>
      <w:pPr>
        <w:spacing w:line="360" w:lineRule="auto"/>
        <w:jc w:val="left"/>
        <w:outlineLvl w:val="1"/>
        <w:rPr>
          <w:rFonts w:hint="eastAsia" w:ascii="宋体" w:hAnsi="宋体" w:cs="宋体"/>
          <w:b/>
          <w:color w:val="000000" w:themeColor="text1"/>
          <w:sz w:val="28"/>
          <w:szCs w:val="22"/>
          <w:highlight w:val="none"/>
          <w:lang w:val="zh-CN"/>
          <w14:textFill>
            <w14:solidFill>
              <w14:schemeClr w14:val="tx1"/>
            </w14:solidFill>
          </w14:textFill>
        </w:rPr>
      </w:pPr>
      <w:bookmarkStart w:id="130" w:name="_Toc449705454"/>
      <w:bookmarkStart w:id="131" w:name="_Toc19419"/>
      <w:r>
        <w:rPr>
          <w:rFonts w:hint="eastAsia" w:ascii="宋体" w:hAnsi="宋体" w:cs="宋体"/>
          <w:b/>
          <w:color w:val="000000" w:themeColor="text1"/>
          <w:sz w:val="28"/>
          <w:szCs w:val="22"/>
          <w:highlight w:val="none"/>
          <w14:textFill>
            <w14:solidFill>
              <w14:schemeClr w14:val="tx1"/>
            </w14:solidFill>
          </w14:textFill>
        </w:rPr>
        <w:t>一、</w:t>
      </w:r>
      <w:r>
        <w:rPr>
          <w:rFonts w:hint="eastAsia" w:ascii="宋体" w:hAnsi="宋体" w:cs="宋体"/>
          <w:b/>
          <w:color w:val="000000" w:themeColor="text1"/>
          <w:sz w:val="28"/>
          <w:szCs w:val="22"/>
          <w:highlight w:val="none"/>
          <w:lang w:val="en-US" w:eastAsia="zh-CN"/>
          <w14:textFill>
            <w14:solidFill>
              <w14:schemeClr w14:val="tx1"/>
            </w14:solidFill>
          </w14:textFill>
        </w:rPr>
        <w:t>单一来源</w:t>
      </w:r>
      <w:r>
        <w:rPr>
          <w:rFonts w:hint="eastAsia" w:ascii="宋体" w:hAnsi="宋体" w:cs="宋体"/>
          <w:b/>
          <w:color w:val="000000" w:themeColor="text1"/>
          <w:sz w:val="28"/>
          <w:szCs w:val="22"/>
          <w:highlight w:val="none"/>
          <w14:textFill>
            <w14:solidFill>
              <w14:schemeClr w14:val="tx1"/>
            </w14:solidFill>
          </w14:textFill>
        </w:rPr>
        <w:t>申请及声明格式</w:t>
      </w:r>
      <w:bookmarkEnd w:id="130"/>
      <w:bookmarkEnd w:id="131"/>
    </w:p>
    <w:p>
      <w:pPr>
        <w:jc w:val="center"/>
        <w:rPr>
          <w:color w:val="000000" w:themeColor="text1"/>
          <w:highlight w:val="none"/>
          <w14:textFill>
            <w14:solidFill>
              <w14:schemeClr w14:val="tx1"/>
            </w14:solidFill>
          </w14:textFill>
        </w:rPr>
      </w:pPr>
      <w:bookmarkStart w:id="132" w:name="_Toc449705455"/>
      <w:r>
        <w:rPr>
          <w:rFonts w:hint="eastAsia" w:ascii="宋体" w:hAnsi="宋体"/>
          <w:b/>
          <w:color w:val="000000" w:themeColor="text1"/>
          <w:sz w:val="32"/>
          <w:szCs w:val="32"/>
          <w:highlight w:val="none"/>
          <w:lang w:val="en-US" w:eastAsia="zh-CN"/>
          <w14:textFill>
            <w14:solidFill>
              <w14:schemeClr w14:val="tx1"/>
            </w14:solidFill>
          </w14:textFill>
        </w:rPr>
        <w:t>单一来源</w:t>
      </w:r>
      <w:r>
        <w:rPr>
          <w:rFonts w:hint="eastAsia" w:ascii="宋体" w:hAnsi="宋体"/>
          <w:b/>
          <w:color w:val="000000" w:themeColor="text1"/>
          <w:sz w:val="32"/>
          <w:szCs w:val="32"/>
          <w:highlight w:val="none"/>
          <w14:textFill>
            <w14:solidFill>
              <w14:schemeClr w14:val="tx1"/>
            </w14:solidFill>
          </w14:textFill>
        </w:rPr>
        <w:t>申请及声明</w:t>
      </w:r>
      <w:bookmarkEnd w:id="132"/>
    </w:p>
    <w:p>
      <w:pPr>
        <w:autoSpaceDE w:val="0"/>
        <w:autoSpaceDN w:val="0"/>
        <w:adjustRightInd w:val="0"/>
        <w:spacing w:line="360" w:lineRule="auto"/>
        <w:ind w:firstLine="560" w:firstLineChars="200"/>
        <w:rPr>
          <w:rFonts w:hint="eastAsia" w:ascii="宋体" w:hAnsi="宋体" w:cs="Times New Roman"/>
          <w:color w:val="000000" w:themeColor="text1"/>
          <w:sz w:val="28"/>
          <w:highlight w:val="none"/>
          <w:lang w:eastAsia="zh-CN"/>
          <w14:textFill>
            <w14:solidFill>
              <w14:schemeClr w14:val="tx1"/>
            </w14:solidFill>
          </w14:textFill>
        </w:rPr>
      </w:pPr>
      <w:r>
        <w:rPr>
          <w:rFonts w:hint="eastAsia" w:ascii="宋体" w:hAnsi="宋体" w:cs="Times New Roman"/>
          <w:color w:val="000000" w:themeColor="text1"/>
          <w:sz w:val="28"/>
          <w:highlight w:val="none"/>
          <w14:textFill>
            <w14:solidFill>
              <w14:schemeClr w14:val="tx1"/>
            </w14:solidFill>
          </w14:textFill>
        </w:rPr>
        <w:t>致：中共南京江北新区工作委员会宣传和统战部</w:t>
      </w:r>
    </w:p>
    <w:p>
      <w:pPr>
        <w:autoSpaceDE w:val="0"/>
        <w:autoSpaceDN w:val="0"/>
        <w:adjustRightInd w:val="0"/>
        <w:spacing w:line="360" w:lineRule="auto"/>
        <w:ind w:firstLine="560" w:firstLineChars="200"/>
        <w:rPr>
          <w:rFonts w:hint="eastAsia" w:ascii="宋体" w:hAnsi="宋体" w:cs="Times New Roman"/>
          <w:color w:val="000000" w:themeColor="text1"/>
          <w:sz w:val="28"/>
          <w:highlight w:val="none"/>
          <w14:textFill>
            <w14:solidFill>
              <w14:schemeClr w14:val="tx1"/>
            </w14:solidFill>
          </w14:textFill>
        </w:rPr>
      </w:pPr>
      <w:r>
        <w:rPr>
          <w:rFonts w:hint="eastAsia" w:ascii="宋体" w:hAnsi="宋体" w:cs="Times New Roman"/>
          <w:color w:val="000000" w:themeColor="text1"/>
          <w:sz w:val="28"/>
          <w:highlight w:val="none"/>
          <w14:textFill>
            <w14:solidFill>
              <w14:schemeClr w14:val="tx1"/>
            </w14:solidFill>
          </w14:textFill>
        </w:rPr>
        <w:t xml:space="preserve">    </w:t>
      </w:r>
      <w:r>
        <w:rPr>
          <w:rFonts w:hint="eastAsia" w:ascii="宋体" w:hAnsi="宋体" w:cs="Times New Roman"/>
          <w:color w:val="000000" w:themeColor="text1"/>
          <w:sz w:val="28"/>
          <w:highlight w:val="none"/>
          <w:lang w:eastAsia="zh-CN"/>
          <w14:textFill>
            <w14:solidFill>
              <w14:schemeClr w14:val="tx1"/>
            </w14:solidFill>
          </w14:textFill>
        </w:rPr>
        <w:t>江苏苏建工程项目管理咨询有限公司</w:t>
      </w:r>
      <w:r>
        <w:rPr>
          <w:rFonts w:hint="eastAsia" w:ascii="宋体" w:hAnsi="宋体" w:cs="Times New Roman"/>
          <w:color w:val="000000" w:themeColor="text1"/>
          <w:sz w:val="28"/>
          <w:highlight w:val="none"/>
          <w14:textFill>
            <w14:solidFill>
              <w14:schemeClr w14:val="tx1"/>
            </w14:solidFill>
          </w14:textFill>
        </w:rPr>
        <w:t>：</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根据贵方</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（项目编号）</w:t>
      </w:r>
      <w:r>
        <w:rPr>
          <w:rFonts w:hint="eastAsia" w:ascii="宋体" w:hAnsi="宋体"/>
          <w:color w:val="000000" w:themeColor="text1"/>
          <w:sz w:val="28"/>
          <w:highlight w:val="none"/>
          <w:lang w:val="en-US" w:eastAsia="zh-CN"/>
          <w14:textFill>
            <w14:solidFill>
              <w14:schemeClr w14:val="tx1"/>
            </w14:solidFill>
          </w14:textFill>
        </w:rPr>
        <w:t>谈判</w:t>
      </w:r>
      <w:r>
        <w:rPr>
          <w:rFonts w:hint="eastAsia" w:ascii="宋体" w:hAnsi="宋体"/>
          <w:color w:val="000000" w:themeColor="text1"/>
          <w:sz w:val="28"/>
          <w:highlight w:val="none"/>
          <w14:textFill>
            <w14:solidFill>
              <w14:schemeClr w14:val="tx1"/>
            </w14:solidFill>
          </w14:textFill>
        </w:rPr>
        <w:t>邀请，正式授权下述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(姓名和职务)代表</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（供应商名称），提交</w:t>
      </w:r>
      <w:r>
        <w:rPr>
          <w:rFonts w:hint="eastAsia" w:ascii="宋体" w:hAnsi="宋体"/>
          <w:color w:val="000000" w:themeColor="text1"/>
          <w:sz w:val="28"/>
          <w:highlight w:val="none"/>
          <w:lang w:val="en-US" w:eastAsia="zh-CN"/>
          <w14:textFill>
            <w14:solidFill>
              <w14:schemeClr w14:val="tx1"/>
            </w14:solidFill>
          </w14:textFill>
        </w:rPr>
        <w:t>响应</w:t>
      </w:r>
      <w:r>
        <w:rPr>
          <w:rFonts w:hint="eastAsia" w:ascii="宋体" w:hAnsi="宋体"/>
          <w:color w:val="000000" w:themeColor="text1"/>
          <w:sz w:val="28"/>
          <w:highlight w:val="none"/>
          <w14:textFill>
            <w14:solidFill>
              <w14:schemeClr w14:val="tx1"/>
            </w14:solidFill>
          </w14:textFill>
        </w:rPr>
        <w:t>文件。</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据此函，供应商兹宣布声明和承诺如下：</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1、我</w:t>
      </w:r>
      <w:r>
        <w:rPr>
          <w:rFonts w:hint="eastAsia" w:ascii="宋体" w:hAnsi="宋体"/>
          <w:color w:val="000000" w:themeColor="text1"/>
          <w:sz w:val="28"/>
          <w:highlight w:val="none"/>
          <w:lang w:val="en-US" w:eastAsia="zh-CN"/>
          <w14:textFill>
            <w14:solidFill>
              <w14:schemeClr w14:val="tx1"/>
            </w14:solidFill>
          </w14:textFill>
        </w:rPr>
        <w:t>方</w:t>
      </w:r>
      <w:r>
        <w:rPr>
          <w:rFonts w:hint="eastAsia" w:ascii="宋体" w:hAnsi="宋体"/>
          <w:color w:val="000000" w:themeColor="text1"/>
          <w:sz w:val="28"/>
          <w:highlight w:val="none"/>
          <w14:textFill>
            <w14:solidFill>
              <w14:schemeClr w14:val="tx1"/>
            </w14:solidFill>
          </w14:textFill>
        </w:rPr>
        <w:t>的资格条件完全符合政府采购法和本次采购要求，</w:t>
      </w:r>
      <w:r>
        <w:rPr>
          <w:rFonts w:hint="default" w:ascii="宋体" w:hAnsi="宋体"/>
          <w:color w:val="000000" w:themeColor="text1"/>
          <w:sz w:val="28"/>
          <w:highlight w:val="none"/>
          <w14:textFill>
            <w14:solidFill>
              <w14:schemeClr w14:val="tx1"/>
            </w14:solidFill>
          </w14:textFill>
        </w:rPr>
        <w:t>我方同意并向贵方提供了与本次采购活动有关的所有证据和资料。</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2、按采购要求，我们的总报价为（大写）</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元人民币。</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3、我们已详细审核全部采购文件及其有效补充文件，我们放弃对采购文件任何误解的权利，提交</w:t>
      </w:r>
      <w:r>
        <w:rPr>
          <w:rFonts w:hint="eastAsia" w:ascii="宋体" w:hAnsi="宋体"/>
          <w:color w:val="000000" w:themeColor="text1"/>
          <w:sz w:val="28"/>
          <w:highlight w:val="none"/>
          <w:lang w:val="en-US" w:eastAsia="zh-CN"/>
          <w14:textFill>
            <w14:solidFill>
              <w14:schemeClr w14:val="tx1"/>
            </w14:solidFill>
          </w14:textFill>
        </w:rPr>
        <w:t>响应</w:t>
      </w:r>
      <w:r>
        <w:rPr>
          <w:rFonts w:hint="eastAsia" w:ascii="宋体" w:hAnsi="宋体"/>
          <w:color w:val="000000" w:themeColor="text1"/>
          <w:sz w:val="28"/>
          <w:highlight w:val="none"/>
          <w14:textFill>
            <w14:solidFill>
              <w14:schemeClr w14:val="tx1"/>
            </w14:solidFill>
          </w14:textFill>
        </w:rPr>
        <w:t>文件后，不对采购文件本身提出质疑。</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default" w:ascii="宋体" w:hAnsi="宋体"/>
          <w:color w:val="000000" w:themeColor="text1"/>
          <w:sz w:val="28"/>
          <w:highlight w:val="none"/>
          <w14:textFill>
            <w14:solidFill>
              <w14:schemeClr w14:val="tx1"/>
            </w14:solidFill>
          </w14:textFill>
        </w:rPr>
        <w:t>4、响应文件有效期为从递交响应文件截止时间起计算的九十天，在此期间，本响应文件将始终对我方具有约束力，并可随时被接受。如果我方成交，本响应文件在此期间之后将继续保持有效。</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5、一旦我方成交，我方将根据采购文件的规定严格履行合同，并保证于承诺的时间完成服务的启动，交付采购人验收、使用。</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6、我方决不提供虚假材料谋取成交、决不采取不正当手段诋毁、排挤其他供应商、决不与采购人、其它供应商或者采购中心恶意串通、决不向采购人、工作人员和评委进行商业贿赂、决不在采购过程中与采购人进行协商谈判、决不拒绝有关部门监督检查或提供虚假情况，如有违反，无条件接受贵方及相关管理部门的处罚。</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7、与本</w:t>
      </w:r>
      <w:r>
        <w:rPr>
          <w:rFonts w:hint="eastAsia" w:ascii="宋体" w:hAnsi="宋体"/>
          <w:color w:val="000000" w:themeColor="text1"/>
          <w:sz w:val="28"/>
          <w:highlight w:val="none"/>
          <w:lang w:val="en-US" w:eastAsia="zh-CN"/>
          <w14:textFill>
            <w14:solidFill>
              <w14:schemeClr w14:val="tx1"/>
            </w14:solidFill>
          </w14:textFill>
        </w:rPr>
        <w:t>单一来源采购</w:t>
      </w:r>
      <w:r>
        <w:rPr>
          <w:rFonts w:hint="eastAsia" w:ascii="宋体" w:hAnsi="宋体"/>
          <w:color w:val="000000" w:themeColor="text1"/>
          <w:sz w:val="28"/>
          <w:highlight w:val="none"/>
          <w14:textFill>
            <w14:solidFill>
              <w14:schemeClr w14:val="tx1"/>
            </w14:solidFill>
          </w14:textFill>
        </w:rPr>
        <w:t>有关的正式联系方式为：</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地   址：                       </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电   话：                       </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传   真：                       </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开户银行：</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银行账号：</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供应商授权代表姓名：         </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供应商名称：（</w:t>
      </w:r>
      <w:r>
        <w:rPr>
          <w:rFonts w:hint="eastAsia" w:ascii="宋体" w:hAnsi="宋体" w:cs="宋体"/>
          <w:color w:val="000000" w:themeColor="text1"/>
          <w:sz w:val="28"/>
          <w:highlight w:val="none"/>
          <w14:textFill>
            <w14:solidFill>
              <w14:schemeClr w14:val="tx1"/>
            </w14:solidFill>
          </w14:textFill>
        </w:rPr>
        <w:t>加盖电子公章</w:t>
      </w:r>
      <w:r>
        <w:rPr>
          <w:rFonts w:hint="eastAsia" w:ascii="宋体" w:hAnsi="宋体"/>
          <w:color w:val="000000" w:themeColor="text1"/>
          <w:sz w:val="28"/>
          <w:highlight w:val="none"/>
          <w14:textFill>
            <w14:solidFill>
              <w14:schemeClr w14:val="tx1"/>
            </w14:solidFill>
          </w14:textFill>
        </w:rPr>
        <w:t>）</w:t>
      </w:r>
    </w:p>
    <w:p>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日    期：       年    月    日</w:t>
      </w:r>
    </w:p>
    <w:p>
      <w:pPr>
        <w:widowControl/>
        <w:adjustRightInd w:val="0"/>
        <w:spacing w:line="360" w:lineRule="auto"/>
        <w:ind w:firstLine="420"/>
        <w:jc w:val="left"/>
        <w:rPr>
          <w:rFonts w:hint="eastAsia" w:ascii="宋体" w:hAnsi="宋体"/>
          <w:color w:val="000000" w:themeColor="text1"/>
          <w:sz w:val="28"/>
          <w:highlight w:val="none"/>
          <w14:textFill>
            <w14:solidFill>
              <w14:schemeClr w14:val="tx1"/>
            </w14:solidFill>
          </w14:textFill>
        </w:rPr>
      </w:pPr>
    </w:p>
    <w:p>
      <w:pPr>
        <w:widowControl/>
        <w:shd w:val="clear" w:color="auto" w:fill="FFFFFF"/>
        <w:spacing w:line="360" w:lineRule="auto"/>
        <w:ind w:firstLine="420"/>
        <w:jc w:val="left"/>
        <w:rPr>
          <w:rFonts w:hint="eastAsia" w:ascii="宋体" w:hAnsi="宋体"/>
          <w:color w:val="000000" w:themeColor="text1"/>
          <w:sz w:val="28"/>
          <w:highlight w:val="none"/>
          <w14:textFill>
            <w14:solidFill>
              <w14:schemeClr w14:val="tx1"/>
            </w14:solidFill>
          </w14:textFill>
        </w:rPr>
      </w:pPr>
    </w:p>
    <w:p>
      <w:pPr>
        <w:widowControl/>
        <w:shd w:val="clear" w:color="auto" w:fill="FFFFFF"/>
        <w:spacing w:line="360" w:lineRule="auto"/>
        <w:ind w:firstLine="42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w:t>
      </w:r>
    </w:p>
    <w:p>
      <w:pPr>
        <w:widowControl/>
        <w:shd w:val="clear" w:color="auto" w:fill="FFFFFF"/>
        <w:spacing w:line="360" w:lineRule="auto"/>
        <w:ind w:firstLine="420"/>
        <w:jc w:val="left"/>
        <w:rPr>
          <w:rFonts w:hint="eastAsia" w:ascii="宋体" w:hAnsi="宋体"/>
          <w:color w:val="000000" w:themeColor="text1"/>
          <w:sz w:val="28"/>
          <w:highlight w:val="none"/>
          <w14:textFill>
            <w14:solidFill>
              <w14:schemeClr w14:val="tx1"/>
            </w14:solidFill>
          </w14:textFill>
        </w:rPr>
      </w:pPr>
    </w:p>
    <w:p>
      <w:pPr>
        <w:widowControl/>
        <w:shd w:val="clear" w:color="auto" w:fill="FFFFFF"/>
        <w:spacing w:line="360" w:lineRule="auto"/>
        <w:ind w:firstLine="420"/>
        <w:jc w:val="left"/>
        <w:rPr>
          <w:rFonts w:hint="eastAsia" w:ascii="宋体" w:hAnsi="宋体"/>
          <w:color w:val="000000" w:themeColor="text1"/>
          <w:sz w:val="28"/>
          <w:highlight w:val="none"/>
          <w14:textFill>
            <w14:solidFill>
              <w14:schemeClr w14:val="tx1"/>
            </w14:solidFill>
          </w14:textFill>
        </w:rPr>
      </w:pPr>
    </w:p>
    <w:p>
      <w:pPr>
        <w:widowControl/>
        <w:shd w:val="clear" w:color="auto" w:fill="FFFFFF"/>
        <w:spacing w:line="360" w:lineRule="auto"/>
        <w:ind w:firstLine="420"/>
        <w:jc w:val="left"/>
        <w:rPr>
          <w:rFonts w:hint="eastAsia" w:ascii="宋体" w:hAnsi="宋体"/>
          <w:color w:val="000000" w:themeColor="text1"/>
          <w:sz w:val="28"/>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jc w:val="left"/>
        <w:rPr>
          <w:b/>
          <w:color w:val="000000" w:themeColor="text1"/>
          <w:sz w:val="32"/>
          <w:szCs w:val="32"/>
          <w:highlight w:val="none"/>
          <w14:textFill>
            <w14:solidFill>
              <w14:schemeClr w14:val="tx1"/>
            </w14:solidFill>
          </w14:textFill>
        </w:rPr>
      </w:pPr>
    </w:p>
    <w:p>
      <w:pPr>
        <w:jc w:val="left"/>
        <w:rPr>
          <w:b/>
          <w:color w:val="000000" w:themeColor="text1"/>
          <w:sz w:val="32"/>
          <w:szCs w:val="32"/>
          <w:highlight w:val="none"/>
          <w14:textFill>
            <w14:solidFill>
              <w14:schemeClr w14:val="tx1"/>
            </w14:solidFill>
          </w14:textFill>
        </w:rPr>
      </w:pPr>
    </w:p>
    <w:p>
      <w:pP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br w:type="page"/>
      </w:r>
    </w:p>
    <w:p>
      <w:pPr>
        <w:spacing w:line="360" w:lineRule="auto"/>
        <w:jc w:val="left"/>
        <w:outlineLvl w:val="1"/>
        <w:rPr>
          <w:rFonts w:hint="eastAsia" w:ascii="宋体" w:hAnsi="宋体"/>
          <w:color w:val="000000" w:themeColor="text1"/>
          <w:highlight w:val="none"/>
          <w14:textFill>
            <w14:solidFill>
              <w14:schemeClr w14:val="tx1"/>
            </w14:solidFill>
          </w14:textFill>
        </w:rPr>
      </w:pPr>
      <w:bookmarkStart w:id="133" w:name="_Toc24374"/>
      <w:r>
        <w:rPr>
          <w:rFonts w:hint="eastAsia" w:ascii="宋体" w:hAnsi="宋体" w:cs="宋体"/>
          <w:b/>
          <w:color w:val="000000" w:themeColor="text1"/>
          <w:sz w:val="28"/>
          <w:szCs w:val="22"/>
          <w:highlight w:val="none"/>
          <w14:textFill>
            <w14:solidFill>
              <w14:schemeClr w14:val="tx1"/>
            </w14:solidFill>
          </w14:textFill>
        </w:rPr>
        <w:t>二、法定代表人授权书格式</w:t>
      </w:r>
      <w:bookmarkEnd w:id="133"/>
    </w:p>
    <w:p>
      <w:pPr>
        <w:jc w:val="center"/>
        <w:rPr>
          <w:rFonts w:hint="eastAsia" w:ascii="宋体" w:hAnsi="宋体"/>
          <w:b/>
          <w:bCs/>
          <w:color w:val="000000" w:themeColor="text1"/>
          <w:sz w:val="32"/>
          <w:szCs w:val="32"/>
          <w:highlight w:val="none"/>
          <w14:textFill>
            <w14:solidFill>
              <w14:schemeClr w14:val="tx1"/>
            </w14:solidFill>
          </w14:textFill>
        </w:rPr>
      </w:pPr>
      <w:bookmarkStart w:id="134" w:name="_Toc449705456"/>
      <w:r>
        <w:rPr>
          <w:rFonts w:hint="eastAsia" w:ascii="宋体" w:hAnsi="宋体"/>
          <w:b/>
          <w:bCs/>
          <w:color w:val="000000" w:themeColor="text1"/>
          <w:sz w:val="32"/>
          <w:szCs w:val="32"/>
          <w:highlight w:val="none"/>
          <w14:textFill>
            <w14:solidFill>
              <w14:schemeClr w14:val="tx1"/>
            </w14:solidFill>
          </w14:textFill>
        </w:rPr>
        <w:t>法定代表人授权委托书</w:t>
      </w:r>
      <w:bookmarkEnd w:id="134"/>
    </w:p>
    <w:p>
      <w:pPr>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致：中共南京江北新区工作委员会宣传和统战部</w:t>
      </w:r>
    </w:p>
    <w:p>
      <w:pPr>
        <w:spacing w:line="360" w:lineRule="auto"/>
        <w:ind w:firstLine="1120" w:firstLineChars="4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江苏苏建工程项目管理咨询有限公司：</w:t>
      </w:r>
    </w:p>
    <w:p>
      <w:pPr>
        <w:widowControl/>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授权书声明：注册于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（供应商地址）的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（供应商名称）法定代表人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（法定代表人姓名、职务）代表本公司授权</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（供应商代表姓名、职务）为本公司的合法代理人，就贵方组织的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（项目编号）</w:t>
      </w:r>
      <w:r>
        <w:rPr>
          <w:rFonts w:hint="eastAsia" w:ascii="宋体" w:hAnsi="宋体"/>
          <w:color w:val="000000" w:themeColor="text1"/>
          <w:sz w:val="28"/>
          <w:highlight w:val="none"/>
          <w:lang w:val="en-US" w:eastAsia="zh-CN"/>
          <w14:textFill>
            <w14:solidFill>
              <w14:schemeClr w14:val="tx1"/>
            </w14:solidFill>
          </w14:textFill>
        </w:rPr>
        <w:t>谈判</w:t>
      </w:r>
      <w:r>
        <w:rPr>
          <w:rFonts w:hint="eastAsia" w:ascii="宋体" w:hAnsi="宋体"/>
          <w:color w:val="000000" w:themeColor="text1"/>
          <w:sz w:val="28"/>
          <w:highlight w:val="none"/>
          <w14:textFill>
            <w14:solidFill>
              <w14:schemeClr w14:val="tx1"/>
            </w14:solidFill>
          </w14:textFill>
        </w:rPr>
        <w:t>，以本公司名义处理一切与之有关的事务。</w:t>
      </w:r>
    </w:p>
    <w:p>
      <w:pPr>
        <w:widowControl/>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本授权书于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年</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月</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日生效，特此声明。</w:t>
      </w:r>
    </w:p>
    <w:p>
      <w:pPr>
        <w:widowControl/>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法定代表人：</w:t>
      </w:r>
    </w:p>
    <w:p>
      <w:pPr>
        <w:widowControl/>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授权委托人：                    </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供应商名称：</w:t>
      </w:r>
      <w:r>
        <w:rPr>
          <w:rFonts w:hint="eastAsia" w:ascii="宋体" w:hAnsi="宋体"/>
          <w:color w:val="000000" w:themeColor="text1"/>
          <w:sz w:val="28"/>
          <w:highlight w:val="none"/>
          <w:lang w:val="zh-CN"/>
          <w14:textFill>
            <w14:solidFill>
              <w14:schemeClr w14:val="tx1"/>
            </w14:solidFill>
          </w14:textFill>
        </w:rPr>
        <w:t xml:space="preserve"> （加盖电子公章）</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日        期：        年    月    日</w:t>
      </w:r>
    </w:p>
    <w:p>
      <w:pPr>
        <w:widowControl/>
        <w:tabs>
          <w:tab w:val="left" w:pos="1440"/>
        </w:tabs>
        <w:adjustRightInd w:val="0"/>
        <w:spacing w:line="360" w:lineRule="auto"/>
        <w:ind w:firstLine="420"/>
        <w:jc w:val="left"/>
        <w:rPr>
          <w:rFonts w:hint="eastAsia" w:ascii="宋体" w:hAnsi="宋体"/>
          <w:color w:val="000000" w:themeColor="text1"/>
          <w:sz w:val="28"/>
          <w:highlight w:val="none"/>
          <w14:textFill>
            <w14:solidFill>
              <w14:schemeClr w14:val="tx1"/>
            </w14:solidFill>
          </w14:textFill>
        </w:rPr>
      </w:pPr>
    </w:p>
    <w:p>
      <w:pPr>
        <w:widowControl/>
        <w:adjustRightInd w:val="0"/>
        <w:spacing w:line="360" w:lineRule="auto"/>
        <w:ind w:firstLine="560" w:firstLineChars="200"/>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法定代表人身份证</w:t>
      </w:r>
    </w:p>
    <w:p>
      <w:pPr>
        <w:widowControl/>
        <w:adjustRightInd w:val="0"/>
        <w:spacing w:line="360" w:lineRule="auto"/>
        <w:ind w:firstLine="560" w:firstLineChars="200"/>
        <w:rPr>
          <w:rFonts w:hint="eastAsia" w:ascii="宋体" w:hAnsi="宋体"/>
          <w:color w:val="000000" w:themeColor="text1"/>
          <w:sz w:val="28"/>
          <w:highlight w:val="none"/>
          <w:lang w:val="zh-CN"/>
          <w14:textFill>
            <w14:solidFill>
              <w14:schemeClr w14:val="tx1"/>
            </w14:solidFill>
          </w14:textFill>
        </w:rPr>
      </w:pPr>
    </w:p>
    <w:p>
      <w:pPr>
        <w:widowControl/>
        <w:adjustRightInd w:val="0"/>
        <w:spacing w:line="360" w:lineRule="auto"/>
        <w:ind w:firstLine="560" w:firstLineChars="200"/>
        <w:rPr>
          <w:rFonts w:hint="eastAsia" w:ascii="宋体" w:hAnsi="宋体"/>
          <w:color w:val="000000" w:themeColor="text1"/>
          <w:sz w:val="28"/>
          <w:highlight w:val="none"/>
          <w:lang w:val="zh-CN"/>
          <w14:textFill>
            <w14:solidFill>
              <w14:schemeClr w14:val="tx1"/>
            </w14:solidFill>
          </w14:textFill>
        </w:rPr>
      </w:pPr>
    </w:p>
    <w:p>
      <w:pPr>
        <w:widowControl/>
        <w:adjustRightInd w:val="0"/>
        <w:spacing w:line="360" w:lineRule="auto"/>
        <w:ind w:firstLine="560" w:firstLineChars="200"/>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代理人身份证</w:t>
      </w:r>
    </w:p>
    <w:p>
      <w:pPr>
        <w:rPr>
          <w:rFonts w:hint="eastAsia" w:ascii="宋体" w:hAnsi="宋体"/>
          <w:color w:val="000000" w:themeColor="text1"/>
          <w:sz w:val="28"/>
          <w:highlight w:val="none"/>
          <w:lang w:val="zh-CN"/>
          <w14:textFill>
            <w14:solidFill>
              <w14:schemeClr w14:val="tx1"/>
            </w14:solidFill>
          </w14:textFill>
        </w:rPr>
      </w:pPr>
      <w:bookmarkStart w:id="135" w:name="_Toc126773671"/>
      <w:bookmarkStart w:id="136" w:name="_Toc127190409"/>
      <w:r>
        <w:rPr>
          <w:rFonts w:hint="eastAsia" w:ascii="宋体" w:hAnsi="宋体"/>
          <w:color w:val="000000" w:themeColor="text1"/>
          <w:sz w:val="28"/>
          <w:highlight w:val="none"/>
          <w:lang w:val="zh-CN"/>
          <w14:textFill>
            <w14:solidFill>
              <w14:schemeClr w14:val="tx1"/>
            </w14:solidFill>
          </w14:textFill>
        </w:rPr>
        <w:br w:type="page"/>
      </w:r>
    </w:p>
    <w:p>
      <w:pPr>
        <w:spacing w:line="360" w:lineRule="auto"/>
        <w:jc w:val="left"/>
        <w:outlineLvl w:val="1"/>
        <w:rPr>
          <w:rFonts w:hint="eastAsia" w:ascii="宋体" w:hAnsi="宋体" w:cs="宋体"/>
          <w:b/>
          <w:color w:val="000000" w:themeColor="text1"/>
          <w:sz w:val="28"/>
          <w:szCs w:val="22"/>
          <w:highlight w:val="none"/>
          <w:lang w:val="zh-CN"/>
          <w14:textFill>
            <w14:solidFill>
              <w14:schemeClr w14:val="tx1"/>
            </w14:solidFill>
          </w14:textFill>
        </w:rPr>
      </w:pPr>
      <w:bookmarkStart w:id="137" w:name="_Toc29390"/>
      <w:r>
        <w:rPr>
          <w:rFonts w:hint="eastAsia" w:ascii="宋体" w:hAnsi="宋体" w:cs="宋体"/>
          <w:b/>
          <w:color w:val="000000" w:themeColor="text1"/>
          <w:sz w:val="28"/>
          <w:szCs w:val="22"/>
          <w:highlight w:val="none"/>
          <w:lang w:val="zh-CN"/>
          <w14:textFill>
            <w14:solidFill>
              <w14:schemeClr w14:val="tx1"/>
            </w14:solidFill>
          </w14:textFill>
        </w:rPr>
        <w:t>三、</w:t>
      </w:r>
      <w:bookmarkEnd w:id="135"/>
      <w:r>
        <w:rPr>
          <w:rFonts w:hint="eastAsia" w:ascii="宋体" w:hAnsi="宋体" w:cs="宋体"/>
          <w:b/>
          <w:color w:val="000000" w:themeColor="text1"/>
          <w:sz w:val="28"/>
          <w:szCs w:val="22"/>
          <w:highlight w:val="none"/>
          <w:lang w:val="zh-CN"/>
          <w14:textFill>
            <w14:solidFill>
              <w14:schemeClr w14:val="tx1"/>
            </w14:solidFill>
          </w14:textFill>
        </w:rPr>
        <w:t>供应商资格证明文件</w:t>
      </w:r>
      <w:bookmarkEnd w:id="136"/>
      <w:bookmarkEnd w:id="137"/>
    </w:p>
    <w:p>
      <w:pPr>
        <w:adjustRightInd w:val="0"/>
        <w:snapToGrid w:val="0"/>
        <w:spacing w:line="560" w:lineRule="exact"/>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（一）供应商信用承诺函</w:t>
      </w:r>
    </w:p>
    <w:p>
      <w:pPr>
        <w:adjustRightInd w:val="0"/>
        <w:snapToGrid w:val="0"/>
        <w:spacing w:line="560" w:lineRule="exact"/>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供应商信用承诺函</w:t>
      </w:r>
    </w:p>
    <w:p>
      <w:pPr>
        <w:spacing w:line="560" w:lineRule="exact"/>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致：中共南京江北新区工作委员会宣传和统战部</w:t>
      </w:r>
    </w:p>
    <w:p>
      <w:pPr>
        <w:spacing w:line="560" w:lineRule="exact"/>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江苏苏建工程项目管理咨询有限公司：</w:t>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我公司</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（供应商名称）郑重承诺：</w:t>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我公司符合下列要求：</w:t>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(一)具有独立承担民事责任的能力；</w:t>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(二)具有良好的商业信誉和健全的财务会计制度；</w:t>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(三)具有履行合同所必需的设备和专业技术能力；</w:t>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(四)有依法缴纳税收和社会保障资金的良好记录；</w:t>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(五)参加政府采购活动前三年内，在经营活动中没有重大违法记录。</w:t>
      </w:r>
    </w:p>
    <w:p>
      <w:pPr>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如果我公司成交，将在成交结果公示后七个工作日内向采购人提供下列材料核验：</w:t>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（1）营业执照副本或事业单位法人登记证书；</w:t>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（2）参加本次政府采购活动前一年的经审计的财务报告（包括“四表一注”，法人成立满一年的提供）或参加本次政府采购活动前一年内的银行资信证明（法人或其他组织提供）或其他证明材料；</w:t>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（3）履行合同所必需的设备和专业技术能力证明材料；</w:t>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（4）参加本次政府采购活动前一年内至少一个月依法缴纳税收和社会保障资金的证明材料。</w:t>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本公司对上述承诺内容的真实性、合法性、有效性负责，如有虚假，将依法承担相应责任。</w:t>
      </w:r>
    </w:p>
    <w:p>
      <w:pPr>
        <w:spacing w:line="560" w:lineRule="exact"/>
        <w:jc w:val="righ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供应商名称：（加盖电子公章）</w:t>
      </w:r>
    </w:p>
    <w:p>
      <w:pPr>
        <w:spacing w:line="560" w:lineRule="exact"/>
        <w:jc w:val="righ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p>
    <w:p>
      <w:pPr>
        <w:outlineLvl w:val="9"/>
        <w:rPr>
          <w:rFonts w:hint="eastAsia" w:ascii="宋体" w:hAnsi="宋体" w:cs="宋体"/>
          <w:b/>
          <w:bCs/>
          <w:i/>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r>
        <w:rPr>
          <w:rFonts w:hint="eastAsia" w:ascii="宋体" w:hAnsi="宋体" w:cs="宋体"/>
          <w:b/>
          <w:bCs/>
          <w:color w:val="000000" w:themeColor="text1"/>
          <w:sz w:val="28"/>
          <w:szCs w:val="28"/>
          <w:highlight w:val="none"/>
          <w14:textFill>
            <w14:solidFill>
              <w14:schemeClr w14:val="tx1"/>
            </w14:solidFill>
          </w14:textFill>
        </w:rPr>
        <w:t>（二）满足特定资格要求的证明文件</w:t>
      </w:r>
    </w:p>
    <w:p>
      <w:pPr>
        <w:pStyle w:val="60"/>
        <w:ind w:firstLine="560"/>
        <w:rPr>
          <w:rFonts w:hint="eastAsia" w:ascii="宋体" w:hAnsi="宋体" w:cs="宋体"/>
          <w:color w:val="000000" w:themeColor="text1"/>
          <w:szCs w:val="28"/>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t>本项目申请人的特定资格要求中要求提供的材料。（如有）</w:t>
      </w:r>
    </w:p>
    <w:p>
      <w:pPr>
        <w:widowControl/>
        <w:jc w:val="left"/>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br w:type="page"/>
      </w:r>
    </w:p>
    <w:p>
      <w:pPr>
        <w:spacing w:line="360" w:lineRule="auto"/>
        <w:jc w:val="left"/>
        <w:outlineLvl w:val="1"/>
        <w:rPr>
          <w:rFonts w:hint="eastAsia" w:ascii="宋体" w:hAnsi="宋体" w:cs="宋体"/>
          <w:b/>
          <w:color w:val="000000" w:themeColor="text1"/>
          <w:sz w:val="28"/>
          <w:szCs w:val="22"/>
          <w:highlight w:val="none"/>
          <w14:textFill>
            <w14:solidFill>
              <w14:schemeClr w14:val="tx1"/>
            </w14:solidFill>
          </w14:textFill>
        </w:rPr>
      </w:pPr>
      <w:bookmarkStart w:id="138" w:name="_Toc21056"/>
      <w:r>
        <w:rPr>
          <w:rFonts w:hint="eastAsia" w:ascii="宋体" w:hAnsi="宋体" w:cs="宋体"/>
          <w:b/>
          <w:color w:val="000000" w:themeColor="text1"/>
          <w:sz w:val="28"/>
          <w:szCs w:val="22"/>
          <w:highlight w:val="none"/>
          <w14:textFill>
            <w14:solidFill>
              <w14:schemeClr w14:val="tx1"/>
            </w14:solidFill>
          </w14:textFill>
        </w:rPr>
        <w:t>四</w:t>
      </w:r>
      <w:r>
        <w:rPr>
          <w:rFonts w:hint="eastAsia" w:ascii="宋体" w:hAnsi="宋体" w:cs="宋体"/>
          <w:b/>
          <w:color w:val="000000" w:themeColor="text1"/>
          <w:sz w:val="28"/>
          <w:szCs w:val="22"/>
          <w:highlight w:val="none"/>
          <w:lang w:val="zh-CN"/>
          <w14:textFill>
            <w14:solidFill>
              <w14:schemeClr w14:val="tx1"/>
            </w14:solidFill>
          </w14:textFill>
        </w:rPr>
        <w:t>、</w:t>
      </w:r>
      <w:r>
        <w:rPr>
          <w:rFonts w:hint="eastAsia" w:ascii="宋体" w:hAnsi="宋体" w:cs="宋体"/>
          <w:b/>
          <w:color w:val="000000" w:themeColor="text1"/>
          <w:sz w:val="28"/>
          <w:szCs w:val="22"/>
          <w:highlight w:val="none"/>
          <w14:textFill>
            <w14:solidFill>
              <w14:schemeClr w14:val="tx1"/>
            </w14:solidFill>
          </w14:textFill>
        </w:rPr>
        <w:t>单一来源报价表</w:t>
      </w:r>
      <w:bookmarkEnd w:id="138"/>
    </w:p>
    <w:p>
      <w:pPr>
        <w:adjustRightInd w:val="0"/>
        <w:snapToGrid w:val="0"/>
        <w:spacing w:line="360" w:lineRule="auto"/>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单一来源报价表</w:t>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供应商名称：（加盖电子公章）</w:t>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项目编号：                                   分包号：</w:t>
      </w:r>
    </w:p>
    <w:tbl>
      <w:tblPr>
        <w:tblStyle w:val="29"/>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vAlign w:val="center"/>
          </w:tcPr>
          <w:p>
            <w:pPr>
              <w:spacing w:line="480" w:lineRule="auto"/>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总报价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vAlign w:val="center"/>
          </w:tcPr>
          <w:p>
            <w:pPr>
              <w:pStyle w:val="57"/>
              <w:widowControl w:val="0"/>
              <w:spacing w:before="0" w:after="0" w:line="480" w:lineRule="auto"/>
              <w:ind w:firstLine="0"/>
              <w:textAlignment w:val="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小写（元）： </w:t>
            </w:r>
          </w:p>
          <w:p>
            <w:pPr>
              <w:pStyle w:val="57"/>
              <w:widowControl w:val="0"/>
              <w:spacing w:before="0" w:after="0" w:line="480" w:lineRule="auto"/>
              <w:ind w:firstLine="0"/>
              <w:textAlignment w:val="auto"/>
              <w:rPr>
                <w:rFonts w:hint="eastAsia" w:ascii="宋体" w:hAnsi="宋体" w:cs="宋体"/>
                <w:color w:val="000000" w:themeColor="text1"/>
                <w:kern w:val="2"/>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大写</w:t>
            </w:r>
            <w:r>
              <w:rPr>
                <w:rFonts w:hint="eastAsia" w:ascii="宋体" w:hAnsi="宋体" w:cs="宋体"/>
                <w:color w:val="000000" w:themeColor="text1"/>
                <w:sz w:val="28"/>
                <w:szCs w:val="28"/>
                <w:highlight w:val="none"/>
                <w14:textFill>
                  <w14:solidFill>
                    <w14:schemeClr w14:val="tx1"/>
                  </w14:solidFill>
                </w14:textFill>
              </w:rPr>
              <w:t xml:space="preserve">（元）：                           </w:t>
            </w:r>
          </w:p>
        </w:tc>
      </w:tr>
    </w:tbl>
    <w:p>
      <w:pPr>
        <w:rPr>
          <w:rFonts w:hint="eastAsia" w:ascii="宋体" w:hAnsi="宋体" w:cs="宋体"/>
          <w:color w:val="000000" w:themeColor="text1"/>
          <w:sz w:val="28"/>
          <w:szCs w:val="28"/>
          <w:highlight w:val="none"/>
          <w14:textFill>
            <w14:solidFill>
              <w14:schemeClr w14:val="tx1"/>
            </w14:solidFill>
          </w14:textFill>
        </w:rPr>
      </w:pPr>
    </w:p>
    <w:p>
      <w:pPr>
        <w:ind w:firstLine="480"/>
        <w:rPr>
          <w:rFonts w:hint="eastAsia" w:ascii="宋体" w:hAnsi="宋体" w:cs="宋体"/>
          <w:b/>
          <w:i/>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日  期：</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p>
    <w:p>
      <w:pPr>
        <w:pStyle w:val="28"/>
        <w:ind w:firstLine="560"/>
        <w:rPr>
          <w:rFonts w:hint="eastAsia" w:ascii="宋体" w:hAnsi="宋体" w:cs="Times New Roman"/>
          <w:color w:val="000000" w:themeColor="text1"/>
          <w:sz w:val="28"/>
          <w:highlight w:val="none"/>
          <w14:textFill>
            <w14:solidFill>
              <w14:schemeClr w14:val="tx1"/>
            </w14:solidFill>
          </w14:textFill>
        </w:rPr>
      </w:pPr>
    </w:p>
    <w:p>
      <w:pPr>
        <w:rPr>
          <w:rFonts w:hint="eastAsia" w:ascii="宋体" w:hAnsi="宋体"/>
          <w:color w:val="000000" w:themeColor="text1"/>
          <w:sz w:val="28"/>
          <w:highlight w:val="none"/>
          <w14:textFill>
            <w14:solidFill>
              <w14:schemeClr w14:val="tx1"/>
            </w14:solidFill>
          </w14:textFill>
        </w:rPr>
      </w:pPr>
    </w:p>
    <w:p>
      <w:pPr>
        <w:pStyle w:val="28"/>
        <w:ind w:firstLine="560"/>
        <w:rPr>
          <w:rFonts w:hint="eastAsia" w:ascii="宋体" w:hAnsi="宋体" w:cs="Times New Roman"/>
          <w:color w:val="000000" w:themeColor="text1"/>
          <w:sz w:val="28"/>
          <w:highlight w:val="none"/>
          <w14:textFill>
            <w14:solidFill>
              <w14:schemeClr w14:val="tx1"/>
            </w14:solidFill>
          </w14:textFill>
        </w:rPr>
      </w:pPr>
    </w:p>
    <w:p>
      <w:pPr>
        <w:rPr>
          <w:rFonts w:hint="eastAsia" w:ascii="宋体" w:hAnsi="宋体"/>
          <w:color w:val="000000" w:themeColor="text1"/>
          <w:sz w:val="28"/>
          <w:highlight w:val="none"/>
          <w14:textFill>
            <w14:solidFill>
              <w14:schemeClr w14:val="tx1"/>
            </w14:solidFill>
          </w14:textFill>
        </w:rPr>
      </w:pPr>
    </w:p>
    <w:p>
      <w:pPr>
        <w:pStyle w:val="28"/>
        <w:ind w:firstLine="560"/>
        <w:rPr>
          <w:rFonts w:hint="eastAsia" w:ascii="宋体" w:hAnsi="宋体" w:cs="Times New Roman"/>
          <w:color w:val="000000" w:themeColor="text1"/>
          <w:sz w:val="28"/>
          <w:highlight w:val="none"/>
          <w14:textFill>
            <w14:solidFill>
              <w14:schemeClr w14:val="tx1"/>
            </w14:solidFill>
          </w14:textFill>
        </w:rPr>
      </w:pPr>
    </w:p>
    <w:p>
      <w:pPr>
        <w:rPr>
          <w:rFonts w:hint="eastAsia" w:ascii="宋体" w:hAnsi="宋体"/>
          <w:color w:val="000000" w:themeColor="text1"/>
          <w:sz w:val="28"/>
          <w:highlight w:val="none"/>
          <w14:textFill>
            <w14:solidFill>
              <w14:schemeClr w14:val="tx1"/>
            </w14:solidFill>
          </w14:textFill>
        </w:rPr>
      </w:pPr>
    </w:p>
    <w:p>
      <w:pPr>
        <w:pStyle w:val="28"/>
        <w:ind w:firstLine="560"/>
        <w:rPr>
          <w:rFonts w:hint="eastAsia" w:ascii="宋体" w:hAnsi="宋体" w:cs="Times New Roman"/>
          <w:color w:val="000000" w:themeColor="text1"/>
          <w:sz w:val="28"/>
          <w:highlight w:val="none"/>
          <w14:textFill>
            <w14:solidFill>
              <w14:schemeClr w14:val="tx1"/>
            </w14:solidFill>
          </w14:textFill>
        </w:rPr>
      </w:pPr>
    </w:p>
    <w:p>
      <w:pPr>
        <w:rPr>
          <w:rFonts w:hint="eastAsia" w:ascii="宋体" w:hAnsi="宋体"/>
          <w:color w:val="000000" w:themeColor="text1"/>
          <w:sz w:val="28"/>
          <w:highlight w:val="none"/>
          <w14:textFill>
            <w14:solidFill>
              <w14:schemeClr w14:val="tx1"/>
            </w14:solidFill>
          </w14:textFill>
        </w:rPr>
      </w:pPr>
    </w:p>
    <w:p>
      <w:pPr>
        <w:spacing w:line="240" w:lineRule="auto"/>
        <w:jc w:val="left"/>
        <w:outlineLvl w:val="9"/>
        <w:rPr>
          <w:rFonts w:hint="eastAsia" w:ascii="宋体" w:hAnsi="宋体" w:cs="宋体"/>
          <w:b/>
          <w:color w:val="000000" w:themeColor="text1"/>
          <w:sz w:val="28"/>
          <w:szCs w:val="22"/>
          <w:highlight w:val="none"/>
          <w14:textFill>
            <w14:solidFill>
              <w14:schemeClr w14:val="tx1"/>
            </w14:solidFill>
          </w14:textFill>
        </w:rPr>
      </w:pPr>
      <w:bookmarkStart w:id="139" w:name="_Toc7081"/>
      <w:r>
        <w:rPr>
          <w:rFonts w:hint="eastAsia" w:ascii="宋体" w:hAnsi="宋体" w:cs="宋体"/>
          <w:b/>
          <w:color w:val="000000" w:themeColor="text1"/>
          <w:sz w:val="28"/>
          <w:szCs w:val="22"/>
          <w:highlight w:val="none"/>
          <w14:textFill>
            <w14:solidFill>
              <w14:schemeClr w14:val="tx1"/>
            </w14:solidFill>
          </w14:textFill>
        </w:rPr>
        <w:br w:type="page"/>
      </w:r>
    </w:p>
    <w:p>
      <w:pPr>
        <w:spacing w:line="360" w:lineRule="auto"/>
        <w:jc w:val="left"/>
        <w:outlineLvl w:val="1"/>
        <w:rPr>
          <w:rFonts w:hint="eastAsia" w:ascii="宋体" w:hAnsi="宋体" w:cs="宋体"/>
          <w:b/>
          <w:color w:val="000000" w:themeColor="text1"/>
          <w:sz w:val="28"/>
          <w:szCs w:val="22"/>
          <w:highlight w:val="none"/>
          <w14:textFill>
            <w14:solidFill>
              <w14:schemeClr w14:val="tx1"/>
            </w14:solidFill>
          </w14:textFill>
        </w:rPr>
      </w:pPr>
      <w:r>
        <w:rPr>
          <w:rFonts w:hint="eastAsia" w:ascii="宋体" w:hAnsi="宋体" w:cs="宋体"/>
          <w:b/>
          <w:color w:val="000000" w:themeColor="text1"/>
          <w:sz w:val="28"/>
          <w:szCs w:val="22"/>
          <w:highlight w:val="none"/>
          <w14:textFill>
            <w14:solidFill>
              <w14:schemeClr w14:val="tx1"/>
            </w14:solidFill>
          </w14:textFill>
        </w:rPr>
        <w:t>五</w:t>
      </w:r>
      <w:r>
        <w:rPr>
          <w:rFonts w:hint="eastAsia" w:ascii="宋体" w:hAnsi="宋体" w:cs="宋体"/>
          <w:b/>
          <w:color w:val="000000" w:themeColor="text1"/>
          <w:sz w:val="28"/>
          <w:szCs w:val="22"/>
          <w:highlight w:val="none"/>
          <w:lang w:val="zh-CN"/>
          <w14:textFill>
            <w14:solidFill>
              <w14:schemeClr w14:val="tx1"/>
            </w14:solidFill>
          </w14:textFill>
        </w:rPr>
        <w:t>、</w:t>
      </w:r>
      <w:r>
        <w:rPr>
          <w:rFonts w:hint="eastAsia" w:ascii="宋体" w:hAnsi="宋体" w:cs="宋体"/>
          <w:b/>
          <w:color w:val="000000" w:themeColor="text1"/>
          <w:sz w:val="28"/>
          <w:szCs w:val="22"/>
          <w:highlight w:val="none"/>
          <w14:textFill>
            <w14:solidFill>
              <w14:schemeClr w14:val="tx1"/>
            </w14:solidFill>
          </w14:textFill>
        </w:rPr>
        <w:t>分项报价表</w:t>
      </w:r>
      <w:bookmarkEnd w:id="139"/>
    </w:p>
    <w:p>
      <w:pPr>
        <w:widowControl/>
        <w:tabs>
          <w:tab w:val="left" w:pos="1440"/>
        </w:tabs>
        <w:adjustRightInd w:val="0"/>
        <w:spacing w:line="360" w:lineRule="auto"/>
        <w:ind w:firstLine="643" w:firstLineChars="200"/>
        <w:jc w:val="cente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分项报价表</w:t>
      </w:r>
    </w:p>
    <w:tbl>
      <w:tblPr>
        <w:tblStyle w:val="29"/>
        <w:tblW w:w="52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0"/>
        <w:gridCol w:w="1489"/>
        <w:gridCol w:w="1873"/>
        <w:gridCol w:w="960"/>
        <w:gridCol w:w="960"/>
        <w:gridCol w:w="1403"/>
        <w:gridCol w:w="2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295" w:type="pct"/>
            <w:vMerge w:val="restart"/>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序号</w:t>
            </w:r>
          </w:p>
        </w:tc>
        <w:tc>
          <w:tcPr>
            <w:tcW w:w="757" w:type="pct"/>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1</w:t>
            </w:r>
          </w:p>
        </w:tc>
        <w:tc>
          <w:tcPr>
            <w:tcW w:w="952" w:type="pct"/>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2</w:t>
            </w:r>
          </w:p>
        </w:tc>
        <w:tc>
          <w:tcPr>
            <w:tcW w:w="488" w:type="pct"/>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3</w:t>
            </w:r>
          </w:p>
        </w:tc>
        <w:tc>
          <w:tcPr>
            <w:tcW w:w="488" w:type="pct"/>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4</w:t>
            </w:r>
          </w:p>
        </w:tc>
        <w:tc>
          <w:tcPr>
            <w:tcW w:w="713" w:type="pct"/>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5</w:t>
            </w:r>
          </w:p>
        </w:tc>
        <w:tc>
          <w:tcPr>
            <w:tcW w:w="1305" w:type="pct"/>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295" w:type="pct"/>
            <w:vMerge w:val="continue"/>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p>
        </w:tc>
        <w:tc>
          <w:tcPr>
            <w:tcW w:w="757" w:type="pct"/>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分项名称</w:t>
            </w:r>
          </w:p>
        </w:tc>
        <w:tc>
          <w:tcPr>
            <w:tcW w:w="952" w:type="pct"/>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交付期（天）</w:t>
            </w:r>
          </w:p>
        </w:tc>
        <w:tc>
          <w:tcPr>
            <w:tcW w:w="488" w:type="pct"/>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数量</w:t>
            </w:r>
          </w:p>
        </w:tc>
        <w:tc>
          <w:tcPr>
            <w:tcW w:w="488" w:type="pct"/>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单位</w:t>
            </w:r>
          </w:p>
        </w:tc>
        <w:tc>
          <w:tcPr>
            <w:tcW w:w="713" w:type="pct"/>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单价</w:t>
            </w:r>
          </w:p>
        </w:tc>
        <w:tc>
          <w:tcPr>
            <w:tcW w:w="1305" w:type="pct"/>
            <w:vAlign w:val="center"/>
          </w:tcPr>
          <w:p>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295"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w:t>
            </w:r>
          </w:p>
        </w:tc>
        <w:tc>
          <w:tcPr>
            <w:tcW w:w="757"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952"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88"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88"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713"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305"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295"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w:t>
            </w:r>
          </w:p>
        </w:tc>
        <w:tc>
          <w:tcPr>
            <w:tcW w:w="757"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952"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88"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88"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713"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305"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295"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w:t>
            </w:r>
          </w:p>
        </w:tc>
        <w:tc>
          <w:tcPr>
            <w:tcW w:w="757" w:type="pct"/>
            <w:vAlign w:val="center"/>
          </w:tcPr>
          <w:p>
            <w:pPr>
              <w:spacing w:line="0" w:lineRule="atLeast"/>
              <w:jc w:val="center"/>
              <w:rPr>
                <w:rFonts w:hint="eastAsia" w:ascii="宋体" w:hAnsi="宋体" w:eastAsia="宋体" w:cs="宋体"/>
                <w:color w:val="000000" w:themeColor="text1"/>
                <w:sz w:val="24"/>
                <w:szCs w:val="24"/>
                <w:highlight w:val="none"/>
                <w14:textFill>
                  <w14:solidFill>
                    <w14:schemeClr w14:val="tx1"/>
                  </w14:solidFill>
                </w14:textFill>
              </w:rPr>
            </w:pPr>
            <w:bookmarkStart w:id="140" w:name="OLE_LINK1"/>
            <w:r>
              <w:rPr>
                <w:rFonts w:ascii="宋体" w:hAnsi="宋体"/>
                <w:bCs/>
                <w:color w:val="000000" w:themeColor="text1"/>
                <w:sz w:val="24"/>
                <w:szCs w:val="24"/>
                <w:highlight w:val="none"/>
                <w14:textFill>
                  <w14:solidFill>
                    <w14:schemeClr w14:val="tx1"/>
                  </w14:solidFill>
                </w14:textFill>
              </w:rPr>
              <w:t>代理服务费</w:t>
            </w:r>
            <w:bookmarkEnd w:id="140"/>
          </w:p>
        </w:tc>
        <w:tc>
          <w:tcPr>
            <w:tcW w:w="952"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88"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88"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713"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305"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295" w:type="pct"/>
            <w:vAlign w:val="center"/>
          </w:tcPr>
          <w:p>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w:t>
            </w:r>
          </w:p>
        </w:tc>
        <w:tc>
          <w:tcPr>
            <w:tcW w:w="4704" w:type="pct"/>
            <w:gridSpan w:val="6"/>
            <w:vAlign w:val="center"/>
          </w:tcPr>
          <w:p>
            <w:pPr>
              <w:spacing w:line="0" w:lineRule="atLeas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总价（元）：</w:t>
            </w:r>
          </w:p>
        </w:tc>
      </w:tr>
    </w:tbl>
    <w:p>
      <w:pPr>
        <w:widowControl/>
        <w:tabs>
          <w:tab w:val="left" w:pos="1440"/>
        </w:tabs>
        <w:adjustRightInd w:val="0"/>
        <w:spacing w:line="360" w:lineRule="auto"/>
        <w:jc w:val="left"/>
        <w:rPr>
          <w:rFonts w:hint="eastAsia" w:ascii="宋体" w:hAnsi="宋体"/>
          <w:color w:val="000000" w:themeColor="text1"/>
          <w:sz w:val="28"/>
          <w:highlight w:val="none"/>
          <w14:textFill>
            <w14:solidFill>
              <w14:schemeClr w14:val="tx1"/>
            </w14:solidFill>
          </w14:textFill>
        </w:rPr>
      </w:pP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供应商名称：（加盖电子公章）</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1.“总报价”应包括为完成整个项目所产生的所有费用，采购文件另有规定的除外。</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2.《分项报价表中》“总报价”应当与《单一来源报价表》中“总报价”一致。</w:t>
      </w:r>
    </w:p>
    <w:p>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val="en-US"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3.经谈判协商后，如成交价低于供应商首次报价，代理服务费按本项目采购文件中代理服务费规定，以最终成交价为基数计算。</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4</w:t>
      </w:r>
      <w:r>
        <w:rPr>
          <w:rFonts w:hint="eastAsia" w:ascii="宋体" w:hAnsi="宋体"/>
          <w:color w:val="000000" w:themeColor="text1"/>
          <w:sz w:val="28"/>
          <w:highlight w:val="none"/>
          <w14:textFill>
            <w14:solidFill>
              <w14:schemeClr w14:val="tx1"/>
            </w14:solidFill>
          </w14:textFill>
        </w:rPr>
        <w:t>.行数不够，可自行添加。</w:t>
      </w:r>
    </w:p>
    <w:p>
      <w:pPr>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r>
    </w:p>
    <w:p>
      <w:pPr>
        <w:spacing w:line="360" w:lineRule="auto"/>
        <w:jc w:val="left"/>
        <w:outlineLvl w:val="1"/>
        <w:rPr>
          <w:rFonts w:hint="eastAsia" w:ascii="宋体" w:hAnsi="宋体" w:cs="宋体"/>
          <w:b/>
          <w:color w:val="000000" w:themeColor="text1"/>
          <w:sz w:val="28"/>
          <w:szCs w:val="22"/>
          <w:highlight w:val="none"/>
          <w14:textFill>
            <w14:solidFill>
              <w14:schemeClr w14:val="tx1"/>
            </w14:solidFill>
          </w14:textFill>
        </w:rPr>
      </w:pPr>
      <w:bookmarkStart w:id="141" w:name="_Toc9440"/>
      <w:r>
        <w:rPr>
          <w:rFonts w:hint="eastAsia" w:ascii="宋体" w:hAnsi="宋体" w:cs="宋体"/>
          <w:b/>
          <w:color w:val="000000" w:themeColor="text1"/>
          <w:sz w:val="28"/>
          <w:szCs w:val="22"/>
          <w:highlight w:val="none"/>
          <w14:textFill>
            <w14:solidFill>
              <w14:schemeClr w14:val="tx1"/>
            </w14:solidFill>
          </w14:textFill>
        </w:rPr>
        <w:t>六</w:t>
      </w:r>
      <w:r>
        <w:rPr>
          <w:rFonts w:hint="eastAsia" w:ascii="宋体" w:hAnsi="宋体" w:cs="宋体"/>
          <w:b/>
          <w:color w:val="000000" w:themeColor="text1"/>
          <w:sz w:val="28"/>
          <w:szCs w:val="22"/>
          <w:highlight w:val="none"/>
          <w:lang w:val="zh-CN"/>
          <w14:textFill>
            <w14:solidFill>
              <w14:schemeClr w14:val="tx1"/>
            </w14:solidFill>
          </w14:textFill>
        </w:rPr>
        <w:t>、技术要求响应及偏离表</w:t>
      </w:r>
      <w:bookmarkEnd w:id="141"/>
    </w:p>
    <w:p>
      <w:pPr>
        <w:widowControl/>
        <w:tabs>
          <w:tab w:val="left" w:pos="1440"/>
        </w:tabs>
        <w:adjustRightInd w:val="0"/>
        <w:spacing w:line="360" w:lineRule="auto"/>
        <w:ind w:firstLine="643" w:firstLineChars="200"/>
        <w:jc w:val="cente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技术要求响应及偏离表</w:t>
      </w:r>
    </w:p>
    <w:tbl>
      <w:tblPr>
        <w:tblStyle w:val="29"/>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vAlign w:val="center"/>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2925" w:type="dxa"/>
            <w:vAlign w:val="center"/>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采购</w:t>
            </w:r>
            <w:r>
              <w:rPr>
                <w:rFonts w:hint="eastAsia" w:ascii="宋体" w:hAnsi="宋体"/>
                <w:color w:val="000000" w:themeColor="text1"/>
                <w:sz w:val="24"/>
                <w:highlight w:val="none"/>
                <w14:textFill>
                  <w14:solidFill>
                    <w14:schemeClr w14:val="tx1"/>
                  </w14:solidFill>
                </w14:textFill>
              </w:rPr>
              <w:t>文件要求</w:t>
            </w:r>
          </w:p>
        </w:tc>
        <w:tc>
          <w:tcPr>
            <w:tcW w:w="2832" w:type="dxa"/>
            <w:vAlign w:val="center"/>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响应情况</w:t>
            </w:r>
          </w:p>
        </w:tc>
        <w:tc>
          <w:tcPr>
            <w:tcW w:w="3365" w:type="dxa"/>
            <w:vAlign w:val="center"/>
          </w:tcPr>
          <w:p>
            <w:pPr>
              <w:jc w:val="center"/>
              <w:rPr>
                <w:rFonts w:hint="eastAsia" w:ascii="宋体" w:hAnsi="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正偏离、无偏离或负偏离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pPr>
              <w:jc w:val="center"/>
              <w:rPr>
                <w:rFonts w:hint="eastAsia" w:ascii="宋体" w:hAnsi="宋体"/>
                <w:color w:val="000000" w:themeColor="text1"/>
                <w:sz w:val="24"/>
                <w:highlight w:val="none"/>
                <w14:textFill>
                  <w14:solidFill>
                    <w14:schemeClr w14:val="tx1"/>
                  </w14:solidFill>
                </w14:textFill>
              </w:rPr>
            </w:pPr>
          </w:p>
        </w:tc>
        <w:tc>
          <w:tcPr>
            <w:tcW w:w="2925"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65" w:type="dxa"/>
          </w:tcPr>
          <w:p>
            <w:pPr>
              <w:jc w:val="center"/>
              <w:rPr>
                <w:rFonts w:hint="eastAsia"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pPr>
              <w:jc w:val="center"/>
              <w:rPr>
                <w:rFonts w:hint="eastAsia" w:ascii="宋体" w:hAnsi="宋体"/>
                <w:color w:val="000000" w:themeColor="text1"/>
                <w:sz w:val="24"/>
                <w:highlight w:val="none"/>
                <w14:textFill>
                  <w14:solidFill>
                    <w14:schemeClr w14:val="tx1"/>
                  </w14:solidFill>
                </w14:textFill>
              </w:rPr>
            </w:pPr>
          </w:p>
        </w:tc>
        <w:tc>
          <w:tcPr>
            <w:tcW w:w="2925"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65" w:type="dxa"/>
          </w:tcPr>
          <w:p>
            <w:pPr>
              <w:jc w:val="center"/>
              <w:rPr>
                <w:rFonts w:hint="eastAsia"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pPr>
              <w:jc w:val="center"/>
              <w:rPr>
                <w:rFonts w:hint="eastAsia" w:ascii="宋体" w:hAnsi="宋体"/>
                <w:color w:val="000000" w:themeColor="text1"/>
                <w:sz w:val="24"/>
                <w:highlight w:val="none"/>
                <w14:textFill>
                  <w14:solidFill>
                    <w14:schemeClr w14:val="tx1"/>
                  </w14:solidFill>
                </w14:textFill>
              </w:rPr>
            </w:pPr>
          </w:p>
        </w:tc>
        <w:tc>
          <w:tcPr>
            <w:tcW w:w="2925"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65" w:type="dxa"/>
          </w:tcPr>
          <w:p>
            <w:pPr>
              <w:jc w:val="center"/>
              <w:rPr>
                <w:rFonts w:hint="eastAsia"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pPr>
              <w:jc w:val="center"/>
              <w:rPr>
                <w:rFonts w:hint="eastAsia" w:ascii="宋体" w:hAnsi="宋体"/>
                <w:color w:val="000000" w:themeColor="text1"/>
                <w:sz w:val="24"/>
                <w:highlight w:val="none"/>
                <w14:textFill>
                  <w14:solidFill>
                    <w14:schemeClr w14:val="tx1"/>
                  </w14:solidFill>
                </w14:textFill>
              </w:rPr>
            </w:pPr>
          </w:p>
        </w:tc>
        <w:tc>
          <w:tcPr>
            <w:tcW w:w="2925"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65" w:type="dxa"/>
          </w:tcPr>
          <w:p>
            <w:pPr>
              <w:jc w:val="center"/>
              <w:rPr>
                <w:rFonts w:hint="eastAsia"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pPr>
              <w:jc w:val="center"/>
              <w:rPr>
                <w:rFonts w:hint="eastAsia" w:ascii="宋体" w:hAnsi="宋体"/>
                <w:color w:val="000000" w:themeColor="text1"/>
                <w:sz w:val="24"/>
                <w:highlight w:val="none"/>
                <w14:textFill>
                  <w14:solidFill>
                    <w14:schemeClr w14:val="tx1"/>
                  </w14:solidFill>
                </w14:textFill>
              </w:rPr>
            </w:pPr>
          </w:p>
        </w:tc>
        <w:tc>
          <w:tcPr>
            <w:tcW w:w="2925"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65" w:type="dxa"/>
          </w:tcPr>
          <w:p>
            <w:pPr>
              <w:jc w:val="center"/>
              <w:rPr>
                <w:rFonts w:hint="eastAsia"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pPr>
              <w:jc w:val="center"/>
              <w:rPr>
                <w:rFonts w:hint="eastAsia" w:ascii="宋体" w:hAnsi="宋体"/>
                <w:color w:val="000000" w:themeColor="text1"/>
                <w:sz w:val="24"/>
                <w:highlight w:val="none"/>
                <w14:textFill>
                  <w14:solidFill>
                    <w14:schemeClr w14:val="tx1"/>
                  </w14:solidFill>
                </w14:textFill>
              </w:rPr>
            </w:pPr>
          </w:p>
        </w:tc>
        <w:tc>
          <w:tcPr>
            <w:tcW w:w="2925"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65" w:type="dxa"/>
          </w:tcPr>
          <w:p>
            <w:pPr>
              <w:jc w:val="center"/>
              <w:rPr>
                <w:rFonts w:hint="eastAsia"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pPr>
              <w:jc w:val="center"/>
              <w:rPr>
                <w:rFonts w:hint="eastAsia" w:ascii="宋体" w:hAnsi="宋体"/>
                <w:color w:val="000000" w:themeColor="text1"/>
                <w:sz w:val="24"/>
                <w:highlight w:val="none"/>
                <w14:textFill>
                  <w14:solidFill>
                    <w14:schemeClr w14:val="tx1"/>
                  </w14:solidFill>
                </w14:textFill>
              </w:rPr>
            </w:pPr>
          </w:p>
        </w:tc>
        <w:tc>
          <w:tcPr>
            <w:tcW w:w="2925"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65" w:type="dxa"/>
          </w:tcPr>
          <w:p>
            <w:pPr>
              <w:jc w:val="center"/>
              <w:rPr>
                <w:rFonts w:hint="eastAsia" w:ascii="宋体" w:hAnsi="宋体"/>
                <w:color w:val="000000" w:themeColor="text1"/>
                <w:sz w:val="24"/>
                <w:highlight w:val="none"/>
                <w14:textFill>
                  <w14:solidFill>
                    <w14:schemeClr w14:val="tx1"/>
                  </w14:solidFill>
                </w14:textFill>
              </w:rPr>
            </w:pPr>
          </w:p>
        </w:tc>
      </w:tr>
    </w:tbl>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w:t>
      </w:r>
      <w:r>
        <w:rPr>
          <w:rFonts w:hint="eastAsia" w:ascii="宋体" w:hAnsi="宋体"/>
          <w:color w:val="000000" w:themeColor="text1"/>
          <w:sz w:val="28"/>
          <w:highlight w:val="none"/>
          <w:lang w:val="zh-CN"/>
          <w14:textFill>
            <w14:solidFill>
              <w14:schemeClr w14:val="tx1"/>
            </w14:solidFill>
          </w14:textFill>
        </w:rPr>
        <w:t>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（加盖电子公章）</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1.供应商须对采购文件技术要求中的实质性要求（斜体下划线内容或打“★”内容）及其他要求做出明确响应，否则视为无效响应。</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技术要求中的实质性要求，成交供应商签订合同时应按采购文件要求和响应文件响应内容向采购人提供相应证明材料核验（如：白皮书、彩页、手册、网站截图、具有CMA标识的检测报告等）。成交供应商未按采购文件要求和响应文件响应内容提供相应证明材料或者提供的证明材料不符合采购文件要求的，视为提供虚假材料谋取成交，采购人将取消其成交资格。</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3.行数不够，可自行添加。</w:t>
      </w:r>
    </w:p>
    <w:p>
      <w:pPr>
        <w:spacing w:line="360" w:lineRule="auto"/>
        <w:jc w:val="left"/>
        <w:outlineLvl w:val="1"/>
        <w:rPr>
          <w:rFonts w:hint="eastAsia" w:ascii="宋体" w:hAnsi="宋体" w:cs="宋体"/>
          <w:b/>
          <w:color w:val="000000" w:themeColor="text1"/>
          <w:sz w:val="28"/>
          <w:szCs w:val="22"/>
          <w:highlight w:val="none"/>
          <w14:textFill>
            <w14:solidFill>
              <w14:schemeClr w14:val="tx1"/>
            </w14:solidFill>
          </w14:textFill>
        </w:rPr>
      </w:pPr>
      <w:bookmarkStart w:id="142" w:name="_Toc17109"/>
      <w:r>
        <w:rPr>
          <w:rFonts w:hint="eastAsia" w:ascii="宋体" w:hAnsi="宋体" w:cs="宋体"/>
          <w:b/>
          <w:color w:val="000000" w:themeColor="text1"/>
          <w:sz w:val="28"/>
          <w:szCs w:val="22"/>
          <w:highlight w:val="none"/>
          <w14:textFill>
            <w14:solidFill>
              <w14:schemeClr w14:val="tx1"/>
            </w14:solidFill>
          </w14:textFill>
        </w:rPr>
        <w:t>七</w:t>
      </w:r>
      <w:r>
        <w:rPr>
          <w:rFonts w:hint="eastAsia" w:ascii="宋体" w:hAnsi="宋体" w:cs="宋体"/>
          <w:b/>
          <w:color w:val="000000" w:themeColor="text1"/>
          <w:sz w:val="28"/>
          <w:szCs w:val="22"/>
          <w:highlight w:val="none"/>
          <w:lang w:val="zh-CN"/>
          <w14:textFill>
            <w14:solidFill>
              <w14:schemeClr w14:val="tx1"/>
            </w14:solidFill>
          </w14:textFill>
        </w:rPr>
        <w:t>、</w:t>
      </w:r>
      <w:r>
        <w:rPr>
          <w:rFonts w:hint="eastAsia" w:ascii="宋体" w:hAnsi="宋体"/>
          <w:b/>
          <w:color w:val="000000" w:themeColor="text1"/>
          <w:sz w:val="28"/>
          <w:highlight w:val="none"/>
          <w14:textFill>
            <w14:solidFill>
              <w14:schemeClr w14:val="tx1"/>
            </w14:solidFill>
          </w14:textFill>
        </w:rPr>
        <w:t>商务要求响应及偏离表</w:t>
      </w:r>
      <w:bookmarkEnd w:id="142"/>
    </w:p>
    <w:p>
      <w:pPr>
        <w:widowControl/>
        <w:tabs>
          <w:tab w:val="left" w:pos="1440"/>
        </w:tabs>
        <w:adjustRightInd w:val="0"/>
        <w:spacing w:line="360" w:lineRule="auto"/>
        <w:ind w:firstLine="643" w:firstLineChars="200"/>
        <w:jc w:val="cente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商务要求响应及偏离表</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835" w:type="dxa"/>
            <w:vAlign w:val="center"/>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2838" w:type="dxa"/>
            <w:vAlign w:val="center"/>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采购</w:t>
            </w:r>
            <w:r>
              <w:rPr>
                <w:rFonts w:hint="eastAsia" w:ascii="宋体" w:hAnsi="宋体"/>
                <w:color w:val="000000" w:themeColor="text1"/>
                <w:sz w:val="24"/>
                <w:highlight w:val="none"/>
                <w14:textFill>
                  <w14:solidFill>
                    <w14:schemeClr w14:val="tx1"/>
                  </w14:solidFill>
                </w14:textFill>
              </w:rPr>
              <w:t>文件要求</w:t>
            </w:r>
          </w:p>
        </w:tc>
        <w:tc>
          <w:tcPr>
            <w:tcW w:w="2832" w:type="dxa"/>
            <w:vAlign w:val="center"/>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响应情况</w:t>
            </w:r>
          </w:p>
        </w:tc>
        <w:tc>
          <w:tcPr>
            <w:tcW w:w="3345" w:type="dxa"/>
            <w:vAlign w:val="center"/>
          </w:tcPr>
          <w:p>
            <w:pPr>
              <w:jc w:val="center"/>
              <w:rPr>
                <w:rFonts w:hint="eastAsia" w:ascii="宋体" w:hAnsi="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正偏离、无偏离或负偏离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pPr>
              <w:jc w:val="center"/>
              <w:rPr>
                <w:rFonts w:hint="eastAsia" w:ascii="宋体" w:hAnsi="宋体"/>
                <w:color w:val="000000" w:themeColor="text1"/>
                <w:sz w:val="24"/>
                <w:highlight w:val="none"/>
                <w14:textFill>
                  <w14:solidFill>
                    <w14:schemeClr w14:val="tx1"/>
                  </w14:solidFill>
                </w14:textFill>
              </w:rPr>
            </w:pPr>
          </w:p>
        </w:tc>
        <w:tc>
          <w:tcPr>
            <w:tcW w:w="2838"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45" w:type="dxa"/>
          </w:tcPr>
          <w:p>
            <w:pPr>
              <w:jc w:val="center"/>
              <w:rPr>
                <w:rFonts w:hint="eastAsia"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pPr>
              <w:jc w:val="center"/>
              <w:rPr>
                <w:rFonts w:hint="eastAsia" w:ascii="宋体" w:hAnsi="宋体"/>
                <w:color w:val="000000" w:themeColor="text1"/>
                <w:sz w:val="24"/>
                <w:highlight w:val="none"/>
                <w14:textFill>
                  <w14:solidFill>
                    <w14:schemeClr w14:val="tx1"/>
                  </w14:solidFill>
                </w14:textFill>
              </w:rPr>
            </w:pPr>
          </w:p>
        </w:tc>
        <w:tc>
          <w:tcPr>
            <w:tcW w:w="2838"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45" w:type="dxa"/>
          </w:tcPr>
          <w:p>
            <w:pPr>
              <w:jc w:val="center"/>
              <w:rPr>
                <w:rFonts w:hint="eastAsia"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pPr>
              <w:jc w:val="center"/>
              <w:rPr>
                <w:rFonts w:hint="eastAsia" w:ascii="宋体" w:hAnsi="宋体"/>
                <w:color w:val="000000" w:themeColor="text1"/>
                <w:sz w:val="24"/>
                <w:highlight w:val="none"/>
                <w14:textFill>
                  <w14:solidFill>
                    <w14:schemeClr w14:val="tx1"/>
                  </w14:solidFill>
                </w14:textFill>
              </w:rPr>
            </w:pPr>
          </w:p>
        </w:tc>
        <w:tc>
          <w:tcPr>
            <w:tcW w:w="2838"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45" w:type="dxa"/>
          </w:tcPr>
          <w:p>
            <w:pPr>
              <w:jc w:val="center"/>
              <w:rPr>
                <w:rFonts w:hint="eastAsia"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pPr>
              <w:jc w:val="center"/>
              <w:rPr>
                <w:rFonts w:hint="eastAsia" w:ascii="宋体" w:hAnsi="宋体"/>
                <w:color w:val="000000" w:themeColor="text1"/>
                <w:sz w:val="24"/>
                <w:highlight w:val="none"/>
                <w14:textFill>
                  <w14:solidFill>
                    <w14:schemeClr w14:val="tx1"/>
                  </w14:solidFill>
                </w14:textFill>
              </w:rPr>
            </w:pPr>
          </w:p>
        </w:tc>
        <w:tc>
          <w:tcPr>
            <w:tcW w:w="2838"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45" w:type="dxa"/>
          </w:tcPr>
          <w:p>
            <w:pPr>
              <w:jc w:val="center"/>
              <w:rPr>
                <w:rFonts w:hint="eastAsia"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pPr>
              <w:jc w:val="center"/>
              <w:rPr>
                <w:rFonts w:hint="eastAsia" w:ascii="宋体" w:hAnsi="宋体"/>
                <w:color w:val="000000" w:themeColor="text1"/>
                <w:sz w:val="24"/>
                <w:highlight w:val="none"/>
                <w14:textFill>
                  <w14:solidFill>
                    <w14:schemeClr w14:val="tx1"/>
                  </w14:solidFill>
                </w14:textFill>
              </w:rPr>
            </w:pPr>
          </w:p>
        </w:tc>
        <w:tc>
          <w:tcPr>
            <w:tcW w:w="2838"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45" w:type="dxa"/>
          </w:tcPr>
          <w:p>
            <w:pPr>
              <w:jc w:val="center"/>
              <w:rPr>
                <w:rFonts w:hint="eastAsia"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pPr>
              <w:jc w:val="center"/>
              <w:rPr>
                <w:rFonts w:hint="eastAsia" w:ascii="宋体" w:hAnsi="宋体"/>
                <w:color w:val="000000" w:themeColor="text1"/>
                <w:sz w:val="24"/>
                <w:highlight w:val="none"/>
                <w14:textFill>
                  <w14:solidFill>
                    <w14:schemeClr w14:val="tx1"/>
                  </w14:solidFill>
                </w14:textFill>
              </w:rPr>
            </w:pPr>
          </w:p>
        </w:tc>
        <w:tc>
          <w:tcPr>
            <w:tcW w:w="2838"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45" w:type="dxa"/>
          </w:tcPr>
          <w:p>
            <w:pPr>
              <w:jc w:val="center"/>
              <w:rPr>
                <w:rFonts w:hint="eastAsia"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pPr>
              <w:jc w:val="center"/>
              <w:rPr>
                <w:rFonts w:hint="eastAsia" w:ascii="宋体" w:hAnsi="宋体"/>
                <w:color w:val="000000" w:themeColor="text1"/>
                <w:sz w:val="24"/>
                <w:highlight w:val="none"/>
                <w14:textFill>
                  <w14:solidFill>
                    <w14:schemeClr w14:val="tx1"/>
                  </w14:solidFill>
                </w14:textFill>
              </w:rPr>
            </w:pPr>
          </w:p>
        </w:tc>
        <w:tc>
          <w:tcPr>
            <w:tcW w:w="2838"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45" w:type="dxa"/>
          </w:tcPr>
          <w:p>
            <w:pPr>
              <w:jc w:val="center"/>
              <w:rPr>
                <w:rFonts w:hint="eastAsia"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pPr>
              <w:jc w:val="center"/>
              <w:rPr>
                <w:rFonts w:hint="eastAsia" w:ascii="宋体" w:hAnsi="宋体"/>
                <w:color w:val="000000" w:themeColor="text1"/>
                <w:sz w:val="24"/>
                <w:highlight w:val="none"/>
                <w14:textFill>
                  <w14:solidFill>
                    <w14:schemeClr w14:val="tx1"/>
                  </w14:solidFill>
                </w14:textFill>
              </w:rPr>
            </w:pPr>
          </w:p>
        </w:tc>
        <w:tc>
          <w:tcPr>
            <w:tcW w:w="2838" w:type="dxa"/>
          </w:tcPr>
          <w:p>
            <w:pPr>
              <w:jc w:val="center"/>
              <w:rPr>
                <w:rFonts w:hint="eastAsia" w:ascii="宋体" w:hAnsi="宋体"/>
                <w:color w:val="000000" w:themeColor="text1"/>
                <w:sz w:val="24"/>
                <w:highlight w:val="none"/>
                <w14:textFill>
                  <w14:solidFill>
                    <w14:schemeClr w14:val="tx1"/>
                  </w14:solidFill>
                </w14:textFill>
              </w:rPr>
            </w:pPr>
          </w:p>
        </w:tc>
        <w:tc>
          <w:tcPr>
            <w:tcW w:w="2832" w:type="dxa"/>
          </w:tcPr>
          <w:p>
            <w:pPr>
              <w:jc w:val="center"/>
              <w:rPr>
                <w:rFonts w:hint="eastAsia" w:ascii="宋体" w:hAnsi="宋体"/>
                <w:color w:val="000000" w:themeColor="text1"/>
                <w:sz w:val="24"/>
                <w:highlight w:val="none"/>
                <w14:textFill>
                  <w14:solidFill>
                    <w14:schemeClr w14:val="tx1"/>
                  </w14:solidFill>
                </w14:textFill>
              </w:rPr>
            </w:pPr>
          </w:p>
        </w:tc>
        <w:tc>
          <w:tcPr>
            <w:tcW w:w="3345" w:type="dxa"/>
          </w:tcPr>
          <w:p>
            <w:pPr>
              <w:jc w:val="center"/>
              <w:rPr>
                <w:rFonts w:hint="eastAsia" w:ascii="宋体" w:hAnsi="宋体"/>
                <w:color w:val="000000" w:themeColor="text1"/>
                <w:sz w:val="24"/>
                <w:highlight w:val="none"/>
                <w14:textFill>
                  <w14:solidFill>
                    <w14:schemeClr w14:val="tx1"/>
                  </w14:solidFill>
                </w14:textFill>
              </w:rPr>
            </w:pPr>
          </w:p>
        </w:tc>
      </w:tr>
    </w:tbl>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w:t>
      </w:r>
      <w:r>
        <w:rPr>
          <w:rFonts w:hint="eastAsia" w:ascii="宋体" w:hAnsi="宋体"/>
          <w:color w:val="000000" w:themeColor="text1"/>
          <w:sz w:val="28"/>
          <w:highlight w:val="none"/>
          <w:lang w:val="zh-CN"/>
          <w14:textFill>
            <w14:solidFill>
              <w14:schemeClr w14:val="tx1"/>
            </w14:solidFill>
          </w14:textFill>
        </w:rPr>
        <w:t>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（加盖电子公章）</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1.供应商须对采购文件商务要求中的实质性要求（斜体下划线内容或打“★”内容）做出明确响应，否则视为无效响应。</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2.行数不够，可自行添加。</w:t>
      </w: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p>
    <w:p>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p>
    <w:p>
      <w:pPr>
        <w:widowControl/>
        <w:jc w:val="lef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pPr>
        <w:spacing w:line="360" w:lineRule="auto"/>
        <w:jc w:val="left"/>
        <w:outlineLvl w:val="1"/>
        <w:rPr>
          <w:rFonts w:hint="eastAsia" w:ascii="宋体" w:hAnsi="宋体" w:eastAsia="宋体" w:cs="宋体"/>
          <w:b/>
          <w:i w:val="0"/>
          <w:iCs w:val="0"/>
          <w:color w:val="000000" w:themeColor="text1"/>
          <w:sz w:val="28"/>
          <w:szCs w:val="24"/>
          <w:highlight w:val="none"/>
          <w:u w:val="none"/>
          <w:lang w:val="en-US" w:eastAsia="zh-CN"/>
          <w14:textFill>
            <w14:solidFill>
              <w14:schemeClr w14:val="tx1"/>
            </w14:solidFill>
          </w14:textFill>
        </w:rPr>
      </w:pPr>
      <w:r>
        <w:rPr>
          <w:rFonts w:hint="eastAsia" w:ascii="宋体" w:hAnsi="宋体" w:eastAsia="宋体" w:cs="宋体"/>
          <w:b/>
          <w:i w:val="0"/>
          <w:iCs w:val="0"/>
          <w:color w:val="000000" w:themeColor="text1"/>
          <w:sz w:val="28"/>
          <w:szCs w:val="24"/>
          <w:highlight w:val="none"/>
          <w:u w:val="none"/>
          <w:lang w:val="en-US" w:eastAsia="zh-CN"/>
          <w14:textFill>
            <w14:solidFill>
              <w14:schemeClr w14:val="tx1"/>
            </w14:solidFill>
          </w14:textFill>
        </w:rPr>
        <w:t>八、中小企业声明函（如有）</w:t>
      </w:r>
    </w:p>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000000" w:themeColor="text1"/>
          <w:kern w:val="2"/>
          <w:sz w:val="32"/>
          <w:szCs w:val="32"/>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32"/>
          <w:szCs w:val="32"/>
          <w:highlight w:val="none"/>
          <w:lang w:val="en-US" w:eastAsia="zh-CN"/>
          <w14:textFill>
            <w14:solidFill>
              <w14:schemeClr w14:val="tx1"/>
            </w14:solidFill>
          </w14:textFill>
        </w:rPr>
        <w:t>中小企业声明函（服务）</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本公司（联合体）郑重声明</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根据《政府采购促进中小企业发展管理办法》(财库〔2020〕46号)的规定</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本公司（联合体）参加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XXXXXXXXXXXXXXXXXXXXXXXXX</w:t>
      </w:r>
      <w:r>
        <w:rPr>
          <w:rFonts w:hint="eastAsia" w:ascii="宋体" w:hAnsi="宋体" w:eastAsia="宋体" w:cs="宋体"/>
          <w:color w:val="000000" w:themeColor="text1"/>
          <w:sz w:val="24"/>
          <w:szCs w:val="24"/>
          <w:highlight w:val="none"/>
          <w:u w:val="none"/>
          <w14:textFill>
            <w14:solidFill>
              <w14:schemeClr w14:val="tx1"/>
            </w14:solidFill>
          </w14:textFill>
        </w:rPr>
        <w:t>（单位名称）</w:t>
      </w:r>
      <w:r>
        <w:rPr>
          <w:rFonts w:hint="eastAsia" w:ascii="宋体" w:hAnsi="宋体" w:eastAsia="宋体" w:cs="宋体"/>
          <w:color w:val="000000" w:themeColor="text1"/>
          <w:sz w:val="24"/>
          <w:szCs w:val="24"/>
          <w:highlight w:val="none"/>
          <w14:textFill>
            <w14:solidFill>
              <w14:schemeClr w14:val="tx1"/>
            </w14:solidFill>
          </w14:textFill>
        </w:rPr>
        <w:t>采购编号为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XXXXXXXXXXXXXXXXXXXXXXXXX</w:t>
      </w:r>
      <w:r>
        <w:rPr>
          <w:rFonts w:hint="eastAsia" w:ascii="宋体" w:hAnsi="宋体" w:eastAsia="宋体" w:cs="宋体"/>
          <w:color w:val="000000" w:themeColor="text1"/>
          <w:sz w:val="24"/>
          <w:szCs w:val="24"/>
          <w:highlight w:val="none"/>
          <w:u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u w:val="none"/>
          <w14:textFill>
            <w14:solidFill>
              <w14:schemeClr w14:val="tx1"/>
            </w14:solidFill>
          </w14:textFill>
        </w:rPr>
        <w:t>（分包号：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XXX</w:t>
      </w:r>
      <w:r>
        <w:rPr>
          <w:rFonts w:hint="eastAsia" w:ascii="宋体" w:hAnsi="宋体" w:eastAsia="宋体" w:cs="宋体"/>
          <w:color w:val="000000" w:themeColor="text1"/>
          <w:sz w:val="24"/>
          <w:szCs w:val="24"/>
          <w:highlight w:val="none"/>
          <w:u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的采购活动</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服务全部由符合政策的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中</w:t>
      </w:r>
      <w:r>
        <w:rPr>
          <w:rFonts w:hint="eastAsia" w:ascii="宋体" w:hAnsi="宋体" w:eastAsia="宋体" w:cs="宋体"/>
          <w:color w:val="000000" w:themeColor="text1"/>
          <w:sz w:val="24"/>
          <w:szCs w:val="24"/>
          <w:highlight w:val="none"/>
          <w14:textFill>
            <w14:solidFill>
              <w14:schemeClr w14:val="tx1"/>
            </w14:solidFill>
          </w14:textFill>
        </w:rPr>
        <w:t>小企业承接。根据《工业和信息化部、国家统计局、国家发展和改革委员会、财政部关于印发中小企业划型标准规定的通知》(工信部联企业〔2011〕300号)的规定</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相关企业（含联合体中的小微企业、签订分包意向协议的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中</w:t>
      </w:r>
      <w:r>
        <w:rPr>
          <w:rFonts w:hint="eastAsia" w:ascii="宋体" w:hAnsi="宋体" w:eastAsia="宋体" w:cs="宋体"/>
          <w:color w:val="000000" w:themeColor="text1"/>
          <w:sz w:val="24"/>
          <w:szCs w:val="24"/>
          <w:highlight w:val="none"/>
          <w14:textFill>
            <w14:solidFill>
              <w14:schemeClr w14:val="tx1"/>
            </w14:solidFill>
          </w14:textFill>
        </w:rPr>
        <w:t>小企业）的具体情况如下：</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i/>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（标的名称）</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行业</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承接企业</w:t>
      </w:r>
      <w:r>
        <w:rPr>
          <w:rFonts w:hint="eastAsia" w:ascii="宋体" w:hAnsi="宋体" w:eastAsia="宋体" w:cs="宋体"/>
          <w:color w:val="000000" w:themeColor="text1"/>
          <w:sz w:val="24"/>
          <w:szCs w:val="24"/>
          <w:highlight w:val="none"/>
          <w14:textFill>
            <w14:solidFill>
              <w14:schemeClr w14:val="tx1"/>
            </w14:solidFill>
          </w14:textFill>
        </w:rPr>
        <w:t>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（企业名称）</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w:t>
      </w:r>
      <w:r>
        <w:rPr>
          <w:rFonts w:hint="eastAsia" w:ascii="宋体" w:hAnsi="宋体" w:eastAsia="宋体" w:cs="宋体"/>
          <w:color w:val="000000" w:themeColor="text1"/>
          <w:sz w:val="24"/>
          <w:szCs w:val="24"/>
          <w:highlight w:val="none"/>
          <w:vertAlign w:val="superscript"/>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u w:val="none"/>
          <w:lang w:eastAsia="zh-CN"/>
          <w14:textFill>
            <w14:solidFill>
              <w14:schemeClr w14:val="tx1"/>
            </w14:solidFill>
          </w14:textFill>
        </w:rPr>
        <w:t>中型企业</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u w:val="none"/>
          <w14:textFill>
            <w14:solidFill>
              <w14:schemeClr w14:val="tx1"/>
            </w14:solidFill>
          </w14:textFill>
        </w:rPr>
        <w:t>小型企业</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u w:val="none"/>
          <w14:textFill>
            <w14:solidFill>
              <w14:schemeClr w14:val="tx1"/>
            </w14:solidFill>
          </w14:textFill>
        </w:rPr>
        <w:t>微型企业</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i/>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（标的名称）</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行业</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承接企业</w:t>
      </w:r>
      <w:r>
        <w:rPr>
          <w:rFonts w:hint="eastAsia" w:ascii="宋体" w:hAnsi="宋体" w:eastAsia="宋体" w:cs="宋体"/>
          <w:color w:val="000000" w:themeColor="text1"/>
          <w:sz w:val="24"/>
          <w:szCs w:val="24"/>
          <w:highlight w:val="none"/>
          <w14:textFill>
            <w14:solidFill>
              <w14:schemeClr w14:val="tx1"/>
            </w14:solidFill>
          </w14:textFill>
        </w:rPr>
        <w:t>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（企业名称）</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w:t>
      </w:r>
      <w:r>
        <w:rPr>
          <w:rFonts w:hint="eastAsia" w:ascii="宋体" w:hAnsi="宋体" w:eastAsia="宋体" w:cs="宋体"/>
          <w:color w:val="000000" w:themeColor="text1"/>
          <w:sz w:val="24"/>
          <w:szCs w:val="24"/>
          <w:highlight w:val="none"/>
          <w:vertAlign w:val="superscript"/>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u w:val="none"/>
          <w:lang w:eastAsia="zh-CN"/>
          <w14:textFill>
            <w14:solidFill>
              <w14:schemeClr w14:val="tx1"/>
            </w14:solidFill>
          </w14:textFill>
        </w:rPr>
        <w:t>中型企业</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u w:val="none"/>
          <w14:textFill>
            <w14:solidFill>
              <w14:schemeClr w14:val="tx1"/>
            </w14:solidFill>
          </w14:textFill>
        </w:rPr>
        <w:t>小型企业</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u w:val="none"/>
          <w14:textFill>
            <w14:solidFill>
              <w14:schemeClr w14:val="tx1"/>
            </w14:solidFill>
          </w14:textFill>
        </w:rPr>
        <w:t>微型企业</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15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以上企业</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不属于大企业的分支机构</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不存在控股股东为大企业的情形</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也不存在与大企业的负责人为同一人的情形。</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本企业对上述声明内容的真实性负责</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如有虚假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将依法承担相应责任</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highlight w:val="none"/>
          <w:lang w:eastAsia="zh-CN"/>
          <w14:textFill>
            <w14:solidFill>
              <w14:schemeClr w14:val="tx1"/>
            </w14:solidFill>
          </w14:textFill>
        </w:rPr>
      </w:pPr>
    </w:p>
    <w:p>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企业名称</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（加盖电子公章）</w:t>
      </w:r>
    </w:p>
    <w:p>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期：</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从业人员、营业收入、资产总额填报上一年度数据，无上一年度数据的新成立企业可不填报。</w:t>
      </w:r>
      <w:r>
        <w:rPr>
          <w:rFonts w:hint="eastAsia" w:ascii="宋体" w:hAnsi="宋体" w:eastAsia="宋体" w:cs="宋体"/>
          <w:color w:val="000000" w:themeColor="text1"/>
          <w:sz w:val="24"/>
          <w:szCs w:val="24"/>
          <w:highlight w:val="none"/>
          <w:lang w:val="en-US" w:eastAsia="zh-CN"/>
          <w14:textFill>
            <w14:solidFill>
              <w14:schemeClr w14:val="tx1"/>
            </w14:solidFill>
          </w14:textFill>
        </w:rPr>
        <w:t>2.在所属企业类型前的</w:t>
      </w:r>
      <w:r>
        <w:rPr>
          <w:rFonts w:hint="eastAsia" w:ascii="宋体" w:hAnsi="宋体" w:eastAsia="宋体" w:cs="宋体"/>
          <w:color w:val="000000" w:themeColor="text1"/>
          <w:sz w:val="24"/>
          <w:szCs w:val="24"/>
          <w:highlight w:val="none"/>
          <w:u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内打“√”。</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投标人如不提供此声明函，不得参加专门面向中小企业采购项目或者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不得享受小微企业价格扣除政策</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color w:val="000000" w:themeColor="text1"/>
          <w:sz w:val="24"/>
          <w:szCs w:val="24"/>
          <w:highlight w:val="none"/>
          <w:lang w:eastAsia="zh-CN"/>
          <w14:textFill>
            <w14:solidFill>
              <w14:schemeClr w14:val="tx1"/>
            </w14:solidFill>
          </w14:textFill>
        </w:rPr>
        <w:t>清单中列示的所有</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color w:val="000000" w:themeColor="text1"/>
          <w:sz w:val="24"/>
          <w:szCs w:val="24"/>
          <w:highlight w:val="none"/>
          <w:lang w:eastAsia="zh-CN"/>
          <w14:textFill>
            <w14:solidFill>
              <w14:schemeClr w14:val="tx1"/>
            </w14:solidFill>
          </w14:textFill>
        </w:rPr>
        <w:t>，投标人须在声明函中逐项列示并明确承接企业的类型，如有缺失将按“不提供声明函”处理。此声明函将随成交结果同时公告，接受社会监督。</w:t>
      </w:r>
      <w:r>
        <w:rPr>
          <w:rFonts w:hint="eastAsia" w:ascii="宋体" w:hAnsi="宋体" w:eastAsia="宋体" w:cs="宋体"/>
          <w:color w:val="000000" w:themeColor="text1"/>
          <w:sz w:val="24"/>
          <w:szCs w:val="24"/>
          <w:highlight w:val="none"/>
          <w:lang w:val="en-US" w:eastAsia="zh-CN"/>
          <w14:textFill>
            <w14:solidFill>
              <w14:schemeClr w14:val="tx1"/>
            </w14:solidFill>
          </w14:textFill>
        </w:rPr>
        <w:t>4.服务</w:t>
      </w:r>
      <w:r>
        <w:rPr>
          <w:rFonts w:hint="eastAsia" w:ascii="宋体" w:hAnsi="宋体" w:eastAsia="宋体" w:cs="宋体"/>
          <w:color w:val="000000" w:themeColor="text1"/>
          <w:sz w:val="24"/>
          <w:szCs w:val="24"/>
          <w:highlight w:val="none"/>
          <w:lang w:eastAsia="zh-CN"/>
          <w14:textFill>
            <w14:solidFill>
              <w14:schemeClr w14:val="tx1"/>
            </w14:solidFill>
          </w14:textFill>
        </w:rPr>
        <w:t>采购项目中，服务的承接商应当为中小企业，不对其中涉及的货物的制造商、工程的承建商作出要求。</w:t>
      </w:r>
    </w:p>
    <w:p>
      <w:pPr>
        <w:adjustRightInd w:val="0"/>
        <w:snapToGrid w:val="0"/>
        <w:spacing w:line="360" w:lineRule="auto"/>
        <w:ind w:firstLine="0" w:firstLineChars="0"/>
        <w:jc w:val="left"/>
        <w:outlineLvl w:val="1"/>
        <w:rPr>
          <w:rFonts w:hint="eastAsia" w:ascii="宋体" w:hAnsi="宋体" w:eastAsia="宋体" w:cs="宋体"/>
          <w:b w:val="0"/>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r>
      <w:r>
        <w:rPr>
          <w:rFonts w:hint="eastAsia" w:ascii="宋体" w:hAnsi="宋体" w:eastAsia="宋体" w:cs="宋体"/>
          <w:b/>
          <w:color w:val="000000" w:themeColor="text1"/>
          <w:sz w:val="28"/>
          <w:szCs w:val="24"/>
          <w:highlight w:val="none"/>
          <w:u w:val="none"/>
          <w:lang w:val="en-US" w:eastAsia="zh-CN"/>
          <w14:textFill>
            <w14:solidFill>
              <w14:schemeClr w14:val="tx1"/>
            </w14:solidFill>
          </w14:textFill>
        </w:rPr>
        <w:t>九</w:t>
      </w:r>
      <w:r>
        <w:rPr>
          <w:rFonts w:hint="eastAsia" w:ascii="宋体" w:hAnsi="宋体" w:eastAsia="宋体" w:cs="宋体"/>
          <w:b/>
          <w:i w:val="0"/>
          <w:iCs w:val="0"/>
          <w:color w:val="000000" w:themeColor="text1"/>
          <w:sz w:val="28"/>
          <w:szCs w:val="24"/>
          <w:highlight w:val="none"/>
          <w:u w:val="none"/>
          <w:lang w:val="en-US" w:eastAsia="zh-CN"/>
          <w14:textFill>
            <w14:solidFill>
              <w14:schemeClr w14:val="tx1"/>
            </w14:solidFill>
          </w14:textFill>
        </w:rPr>
        <w:t>、残疾人福利性单位声明函（如有）</w:t>
      </w:r>
    </w:p>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000000" w:themeColor="text1"/>
          <w:kern w:val="2"/>
          <w:sz w:val="32"/>
          <w:szCs w:val="32"/>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32"/>
          <w:szCs w:val="32"/>
          <w:highlight w:val="none"/>
          <w:lang w:val="en-US" w:eastAsia="zh-CN"/>
          <w14:textFill>
            <w14:solidFill>
              <w14:schemeClr w14:val="tx1"/>
            </w14:solidFill>
          </w14:textFill>
        </w:rPr>
        <w:t>残疾人福利性单位声明函</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本单位郑重声明</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根据《财政部 民政部 中国残疾人联合会关于促进残疾人就业政府采购政策的通知》（财库〔2017〕141号）的规定</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本单位为符合条件的残疾人福利性单位</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参加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XXXXXXXXXXXXXXXXXXXXXXXXX</w:t>
      </w:r>
      <w:r>
        <w:rPr>
          <w:rFonts w:hint="eastAsia" w:ascii="宋体" w:hAnsi="宋体" w:eastAsia="宋体" w:cs="宋体"/>
          <w:color w:val="000000" w:themeColor="text1"/>
          <w:sz w:val="24"/>
          <w:szCs w:val="24"/>
          <w:highlight w:val="none"/>
          <w:u w:val="none"/>
          <w14:textFill>
            <w14:solidFill>
              <w14:schemeClr w14:val="tx1"/>
            </w14:solidFill>
          </w14:textFill>
        </w:rPr>
        <w:t>（单位名称）</w:t>
      </w:r>
      <w:r>
        <w:rPr>
          <w:rFonts w:hint="eastAsia" w:ascii="宋体" w:hAnsi="宋体" w:eastAsia="宋体" w:cs="宋体"/>
          <w:color w:val="000000" w:themeColor="text1"/>
          <w:sz w:val="24"/>
          <w:szCs w:val="24"/>
          <w:highlight w:val="none"/>
          <w14:textFill>
            <w14:solidFill>
              <w14:schemeClr w14:val="tx1"/>
            </w14:solidFill>
          </w14:textFill>
        </w:rPr>
        <w:t>采购编号为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XXXXXXXXXXXXXXXXXXXXXXXXX</w:t>
      </w:r>
      <w:r>
        <w:rPr>
          <w:rFonts w:hint="eastAsia" w:ascii="宋体" w:hAnsi="宋体" w:eastAsia="宋体" w:cs="宋体"/>
          <w:color w:val="000000" w:themeColor="text1"/>
          <w:sz w:val="24"/>
          <w:szCs w:val="24"/>
          <w:highlight w:val="none"/>
          <w:u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u w:val="none"/>
          <w14:textFill>
            <w14:solidFill>
              <w14:schemeClr w14:val="tx1"/>
            </w14:solidFill>
          </w14:textFill>
        </w:rPr>
        <w:t>（分包号：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XXX</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的采购活动</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服务全部由</w:t>
      </w:r>
      <w:r>
        <w:rPr>
          <w:rFonts w:hint="eastAsia" w:ascii="宋体" w:hAnsi="宋体" w:eastAsia="宋体" w:cs="宋体"/>
          <w:color w:val="000000" w:themeColor="text1"/>
          <w:sz w:val="24"/>
          <w:szCs w:val="24"/>
          <w:highlight w:val="none"/>
          <w:lang w:eastAsia="zh-CN"/>
          <w14:textFill>
            <w14:solidFill>
              <w14:schemeClr w14:val="tx1"/>
            </w14:solidFill>
          </w14:textFill>
        </w:rPr>
        <w:t>本单位提供</w:t>
      </w:r>
      <w:r>
        <w:rPr>
          <w:rFonts w:hint="eastAsia" w:ascii="宋体" w:hAnsi="宋体" w:eastAsia="宋体" w:cs="宋体"/>
          <w:color w:val="000000" w:themeColor="text1"/>
          <w:sz w:val="24"/>
          <w:szCs w:val="21"/>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本单位对上述声明的真实性负责</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如有虚假</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将依法承担相应责任。</w:t>
      </w:r>
    </w:p>
    <w:p>
      <w:pPr>
        <w:pStyle w:val="34"/>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highlight w:val="none"/>
          <w:lang w:eastAsia="zh-CN"/>
          <w14:textFill>
            <w14:solidFill>
              <w14:schemeClr w14:val="tx1"/>
            </w14:solidFill>
          </w14:textFill>
        </w:rPr>
      </w:pPr>
    </w:p>
    <w:p>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企业名称</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（加盖电子公章）</w:t>
      </w:r>
    </w:p>
    <w:p>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期：</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如不提供此声明函</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价格将不</w:t>
      </w:r>
      <w:r>
        <w:rPr>
          <w:rFonts w:hint="eastAsia" w:ascii="宋体" w:hAnsi="宋体" w:eastAsia="宋体" w:cs="宋体"/>
          <w:color w:val="000000" w:themeColor="text1"/>
          <w:sz w:val="24"/>
          <w:highlight w:val="none"/>
          <w:lang w:eastAsia="zh-CN"/>
          <w14:textFill>
            <w14:solidFill>
              <w14:schemeClr w14:val="tx1"/>
            </w14:solidFill>
          </w14:textFill>
        </w:rPr>
        <w:t>作</w:t>
      </w:r>
      <w:r>
        <w:rPr>
          <w:rFonts w:hint="eastAsia" w:ascii="宋体" w:hAnsi="宋体" w:eastAsia="宋体" w:cs="宋体"/>
          <w:color w:val="000000" w:themeColor="text1"/>
          <w:sz w:val="24"/>
          <w:highlight w:val="none"/>
          <w14:textFill>
            <w14:solidFill>
              <w14:schemeClr w14:val="tx1"/>
            </w14:solidFill>
          </w14:textFill>
        </w:rPr>
        <w:t>相应扣除。</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中标人为残疾人福利</w:t>
      </w:r>
      <w:r>
        <w:rPr>
          <w:rFonts w:hint="eastAsia" w:ascii="宋体" w:hAnsi="宋体" w:eastAsia="宋体" w:cs="宋体"/>
          <w:color w:val="000000" w:themeColor="text1"/>
          <w:sz w:val="24"/>
          <w:highlight w:val="none"/>
          <w:lang w:val="en-US" w:eastAsia="zh-CN"/>
          <w14:textFill>
            <w14:solidFill>
              <w14:schemeClr w14:val="tx1"/>
            </w14:solidFill>
          </w14:textFill>
        </w:rPr>
        <w:t>性</w:t>
      </w:r>
      <w:r>
        <w:rPr>
          <w:rFonts w:hint="eastAsia" w:ascii="宋体" w:hAnsi="宋体" w:eastAsia="宋体" w:cs="宋体"/>
          <w:color w:val="000000" w:themeColor="text1"/>
          <w:sz w:val="24"/>
          <w:highlight w:val="none"/>
          <w14:textFill>
            <w14:solidFill>
              <w14:schemeClr w14:val="tx1"/>
            </w14:solidFill>
          </w14:textFill>
        </w:rPr>
        <w:t>单位的</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此声明函将随中标结果同时公告</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接受社会监督</w:t>
      </w:r>
      <w:r>
        <w:rPr>
          <w:rFonts w:hint="eastAsia" w:ascii="宋体" w:hAnsi="宋体" w:eastAsia="宋体" w:cs="宋体"/>
          <w:color w:val="000000" w:themeColor="text1"/>
          <w:sz w:val="24"/>
          <w:highlight w:val="none"/>
          <w:lang w:eastAsia="zh-CN"/>
          <w14:textFill>
            <w14:solidFill>
              <w14:schemeClr w14:val="tx1"/>
            </w14:solidFill>
          </w14:textFill>
        </w:rPr>
        <w:t>。</w:t>
      </w:r>
    </w:p>
    <w:p>
      <w:pPr>
        <w:pStyle w:val="28"/>
        <w:rPr>
          <w:rFonts w:hint="eastAsia"/>
          <w:color w:val="000000" w:themeColor="text1"/>
          <w:highlight w:val="none"/>
          <w14:textFill>
            <w14:solidFill>
              <w14:schemeClr w14:val="tx1"/>
            </w14:solidFill>
          </w14:textFill>
        </w:rPr>
      </w:pPr>
    </w:p>
    <w:bookmarkEnd w:id="143"/>
    <w:sectPr>
      <w:footerReference r:id="rId6" w:type="first"/>
      <w:footerReference r:id="rId5" w:type="default"/>
      <w:pgSz w:w="11906" w:h="16838"/>
      <w:pgMar w:top="1417" w:right="1417" w:bottom="1417" w:left="1417" w:header="851" w:footer="992" w:gutter="0"/>
      <w:pgNumType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right"/>
    </w:pPr>
    <w:r>
      <w:rPr>
        <w:rFonts w:hint="eastAsia"/>
      </w:rPr>
      <w:t>江苏苏建工程项目管理咨询有限公司</w:t>
    </w:r>
  </w:p>
  <w:p>
    <w:pPr>
      <w:pStyle w:val="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right"/>
    </w:pPr>
    <w:r>
      <w:rPr>
        <w:rFonts w:hint="eastAsia"/>
      </w:rPr>
      <w:t>江苏苏建工程项目管理咨询有限公司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xMDIxZTA2YTg0OTJiOTA1M2ZlYWU4MzBiOTA1NDkifQ=="/>
    <w:docVar w:name="KSO_WPS_MARK_KEY" w:val="3f57505e-a8e9-48db-82fc-eae7d89bb29f"/>
  </w:docVars>
  <w:rsids>
    <w:rsidRoot w:val="00DC405E"/>
    <w:rsid w:val="00002D35"/>
    <w:rsid w:val="000052B5"/>
    <w:rsid w:val="000116F6"/>
    <w:rsid w:val="000146E8"/>
    <w:rsid w:val="00014B56"/>
    <w:rsid w:val="00015CA8"/>
    <w:rsid w:val="0002068A"/>
    <w:rsid w:val="00025BD9"/>
    <w:rsid w:val="00027400"/>
    <w:rsid w:val="0002762B"/>
    <w:rsid w:val="000341B4"/>
    <w:rsid w:val="000344B2"/>
    <w:rsid w:val="0003701F"/>
    <w:rsid w:val="000406BB"/>
    <w:rsid w:val="00046578"/>
    <w:rsid w:val="00047CE1"/>
    <w:rsid w:val="00067390"/>
    <w:rsid w:val="000705C9"/>
    <w:rsid w:val="00071F69"/>
    <w:rsid w:val="00073341"/>
    <w:rsid w:val="00073CF8"/>
    <w:rsid w:val="000747C8"/>
    <w:rsid w:val="00076F6F"/>
    <w:rsid w:val="000772EF"/>
    <w:rsid w:val="00085773"/>
    <w:rsid w:val="00086140"/>
    <w:rsid w:val="00087735"/>
    <w:rsid w:val="000878F4"/>
    <w:rsid w:val="00090514"/>
    <w:rsid w:val="0009141F"/>
    <w:rsid w:val="0009372A"/>
    <w:rsid w:val="00095461"/>
    <w:rsid w:val="000967F1"/>
    <w:rsid w:val="000A11F6"/>
    <w:rsid w:val="000A1B1C"/>
    <w:rsid w:val="000A4936"/>
    <w:rsid w:val="000A6B5E"/>
    <w:rsid w:val="000A7685"/>
    <w:rsid w:val="000B1485"/>
    <w:rsid w:val="000B3761"/>
    <w:rsid w:val="000B384C"/>
    <w:rsid w:val="000B41A1"/>
    <w:rsid w:val="000B4DA4"/>
    <w:rsid w:val="000B6772"/>
    <w:rsid w:val="000C221A"/>
    <w:rsid w:val="000C2CAF"/>
    <w:rsid w:val="000C34E3"/>
    <w:rsid w:val="000D0595"/>
    <w:rsid w:val="000D15D5"/>
    <w:rsid w:val="000D2D5C"/>
    <w:rsid w:val="000E2DA7"/>
    <w:rsid w:val="000E4560"/>
    <w:rsid w:val="000E5EB3"/>
    <w:rsid w:val="000E6B8F"/>
    <w:rsid w:val="000E7A77"/>
    <w:rsid w:val="000F2DBD"/>
    <w:rsid w:val="00103897"/>
    <w:rsid w:val="001046FA"/>
    <w:rsid w:val="0010597E"/>
    <w:rsid w:val="00106F30"/>
    <w:rsid w:val="00116D95"/>
    <w:rsid w:val="001207DE"/>
    <w:rsid w:val="00120CB4"/>
    <w:rsid w:val="001224A1"/>
    <w:rsid w:val="001226C4"/>
    <w:rsid w:val="0012332D"/>
    <w:rsid w:val="001256FB"/>
    <w:rsid w:val="00125D61"/>
    <w:rsid w:val="0013062D"/>
    <w:rsid w:val="0013582B"/>
    <w:rsid w:val="00143162"/>
    <w:rsid w:val="00143550"/>
    <w:rsid w:val="00146A65"/>
    <w:rsid w:val="0015068A"/>
    <w:rsid w:val="0015754F"/>
    <w:rsid w:val="00160605"/>
    <w:rsid w:val="0016275E"/>
    <w:rsid w:val="001627CB"/>
    <w:rsid w:val="001664F0"/>
    <w:rsid w:val="0016730A"/>
    <w:rsid w:val="00167317"/>
    <w:rsid w:val="0017159A"/>
    <w:rsid w:val="00172E50"/>
    <w:rsid w:val="001730FA"/>
    <w:rsid w:val="001775B7"/>
    <w:rsid w:val="00177EE5"/>
    <w:rsid w:val="00180DA0"/>
    <w:rsid w:val="001822CE"/>
    <w:rsid w:val="0018271C"/>
    <w:rsid w:val="0018467E"/>
    <w:rsid w:val="00190317"/>
    <w:rsid w:val="00191450"/>
    <w:rsid w:val="00191FE2"/>
    <w:rsid w:val="001934F9"/>
    <w:rsid w:val="00193675"/>
    <w:rsid w:val="00193DA5"/>
    <w:rsid w:val="00193DED"/>
    <w:rsid w:val="001965D7"/>
    <w:rsid w:val="001970D2"/>
    <w:rsid w:val="001A2BB6"/>
    <w:rsid w:val="001A3839"/>
    <w:rsid w:val="001A470C"/>
    <w:rsid w:val="001A580C"/>
    <w:rsid w:val="001A7D63"/>
    <w:rsid w:val="001B485C"/>
    <w:rsid w:val="001C2D51"/>
    <w:rsid w:val="001C3D8D"/>
    <w:rsid w:val="001C484F"/>
    <w:rsid w:val="001C5234"/>
    <w:rsid w:val="001D04CE"/>
    <w:rsid w:val="001D1BFB"/>
    <w:rsid w:val="001D1F60"/>
    <w:rsid w:val="001D4A0F"/>
    <w:rsid w:val="001D742F"/>
    <w:rsid w:val="001E2F47"/>
    <w:rsid w:val="001E3FDF"/>
    <w:rsid w:val="001E5AC4"/>
    <w:rsid w:val="00201D93"/>
    <w:rsid w:val="00205B2C"/>
    <w:rsid w:val="00215A96"/>
    <w:rsid w:val="002168CC"/>
    <w:rsid w:val="00216C53"/>
    <w:rsid w:val="00223B3E"/>
    <w:rsid w:val="0022464B"/>
    <w:rsid w:val="00225307"/>
    <w:rsid w:val="00226378"/>
    <w:rsid w:val="00230CD9"/>
    <w:rsid w:val="00231881"/>
    <w:rsid w:val="0023379B"/>
    <w:rsid w:val="002349BC"/>
    <w:rsid w:val="00245C38"/>
    <w:rsid w:val="00247724"/>
    <w:rsid w:val="00250654"/>
    <w:rsid w:val="00250F29"/>
    <w:rsid w:val="00251B06"/>
    <w:rsid w:val="002545D3"/>
    <w:rsid w:val="00255410"/>
    <w:rsid w:val="0025658B"/>
    <w:rsid w:val="00256909"/>
    <w:rsid w:val="002632B3"/>
    <w:rsid w:val="00270CBA"/>
    <w:rsid w:val="00270E44"/>
    <w:rsid w:val="00272069"/>
    <w:rsid w:val="00272434"/>
    <w:rsid w:val="00275CAC"/>
    <w:rsid w:val="00283925"/>
    <w:rsid w:val="002851FD"/>
    <w:rsid w:val="002903DC"/>
    <w:rsid w:val="00293EA8"/>
    <w:rsid w:val="00294A53"/>
    <w:rsid w:val="002951EA"/>
    <w:rsid w:val="002A0338"/>
    <w:rsid w:val="002A1DC1"/>
    <w:rsid w:val="002B1186"/>
    <w:rsid w:val="002B14D3"/>
    <w:rsid w:val="002B6328"/>
    <w:rsid w:val="002B6B6F"/>
    <w:rsid w:val="002C2CAF"/>
    <w:rsid w:val="002C41D8"/>
    <w:rsid w:val="002C4F8A"/>
    <w:rsid w:val="002C54D2"/>
    <w:rsid w:val="002C633D"/>
    <w:rsid w:val="002D239F"/>
    <w:rsid w:val="002D398B"/>
    <w:rsid w:val="002D5351"/>
    <w:rsid w:val="002D6CE1"/>
    <w:rsid w:val="002E0B10"/>
    <w:rsid w:val="002E7AD2"/>
    <w:rsid w:val="002F47F9"/>
    <w:rsid w:val="002F498C"/>
    <w:rsid w:val="002F6745"/>
    <w:rsid w:val="00302665"/>
    <w:rsid w:val="00304DC3"/>
    <w:rsid w:val="00305994"/>
    <w:rsid w:val="00311172"/>
    <w:rsid w:val="00311A26"/>
    <w:rsid w:val="00311A35"/>
    <w:rsid w:val="0031453D"/>
    <w:rsid w:val="00314D38"/>
    <w:rsid w:val="00317FD2"/>
    <w:rsid w:val="00320BEE"/>
    <w:rsid w:val="0033046D"/>
    <w:rsid w:val="00330B60"/>
    <w:rsid w:val="00337586"/>
    <w:rsid w:val="0034270B"/>
    <w:rsid w:val="00345211"/>
    <w:rsid w:val="003460D7"/>
    <w:rsid w:val="00350252"/>
    <w:rsid w:val="0035029D"/>
    <w:rsid w:val="00351890"/>
    <w:rsid w:val="00353263"/>
    <w:rsid w:val="003578FB"/>
    <w:rsid w:val="00361766"/>
    <w:rsid w:val="003700B0"/>
    <w:rsid w:val="00371CE0"/>
    <w:rsid w:val="00372210"/>
    <w:rsid w:val="00372D72"/>
    <w:rsid w:val="00375C91"/>
    <w:rsid w:val="0037632B"/>
    <w:rsid w:val="00377337"/>
    <w:rsid w:val="00382DEE"/>
    <w:rsid w:val="003846CD"/>
    <w:rsid w:val="00386B4D"/>
    <w:rsid w:val="00392E36"/>
    <w:rsid w:val="0039406A"/>
    <w:rsid w:val="003A0906"/>
    <w:rsid w:val="003A5208"/>
    <w:rsid w:val="003A5C7D"/>
    <w:rsid w:val="003B088D"/>
    <w:rsid w:val="003B0C7F"/>
    <w:rsid w:val="003B15F3"/>
    <w:rsid w:val="003B7CF7"/>
    <w:rsid w:val="003C1377"/>
    <w:rsid w:val="003C468C"/>
    <w:rsid w:val="003D0404"/>
    <w:rsid w:val="003D29E9"/>
    <w:rsid w:val="003E5701"/>
    <w:rsid w:val="003E602B"/>
    <w:rsid w:val="003E67E7"/>
    <w:rsid w:val="003F467E"/>
    <w:rsid w:val="003F4EE6"/>
    <w:rsid w:val="003F585D"/>
    <w:rsid w:val="003F7F85"/>
    <w:rsid w:val="004029E6"/>
    <w:rsid w:val="00412545"/>
    <w:rsid w:val="00412790"/>
    <w:rsid w:val="00412EAF"/>
    <w:rsid w:val="004144D1"/>
    <w:rsid w:val="004167E1"/>
    <w:rsid w:val="00417D03"/>
    <w:rsid w:val="00417ED2"/>
    <w:rsid w:val="004251CE"/>
    <w:rsid w:val="00430988"/>
    <w:rsid w:val="0043115D"/>
    <w:rsid w:val="0043155F"/>
    <w:rsid w:val="0043196B"/>
    <w:rsid w:val="00433FF9"/>
    <w:rsid w:val="00435862"/>
    <w:rsid w:val="00435FE3"/>
    <w:rsid w:val="00437022"/>
    <w:rsid w:val="00440BE0"/>
    <w:rsid w:val="00445AA4"/>
    <w:rsid w:val="004462F8"/>
    <w:rsid w:val="004501A0"/>
    <w:rsid w:val="00452754"/>
    <w:rsid w:val="00456EC8"/>
    <w:rsid w:val="00462D03"/>
    <w:rsid w:val="00463DEE"/>
    <w:rsid w:val="0046550B"/>
    <w:rsid w:val="00467577"/>
    <w:rsid w:val="00471871"/>
    <w:rsid w:val="00472349"/>
    <w:rsid w:val="00472746"/>
    <w:rsid w:val="004813D2"/>
    <w:rsid w:val="004840A5"/>
    <w:rsid w:val="0048734D"/>
    <w:rsid w:val="0049236F"/>
    <w:rsid w:val="004923A0"/>
    <w:rsid w:val="00493658"/>
    <w:rsid w:val="00494FC8"/>
    <w:rsid w:val="004A06D4"/>
    <w:rsid w:val="004A22D8"/>
    <w:rsid w:val="004A6541"/>
    <w:rsid w:val="004A6C27"/>
    <w:rsid w:val="004A6C47"/>
    <w:rsid w:val="004A7ED8"/>
    <w:rsid w:val="004B0EB7"/>
    <w:rsid w:val="004B2D8C"/>
    <w:rsid w:val="004B5B9C"/>
    <w:rsid w:val="004C3D97"/>
    <w:rsid w:val="004C7102"/>
    <w:rsid w:val="004D0B4F"/>
    <w:rsid w:val="004D0E3B"/>
    <w:rsid w:val="004D35E7"/>
    <w:rsid w:val="004D4BA0"/>
    <w:rsid w:val="004E0863"/>
    <w:rsid w:val="004E0B63"/>
    <w:rsid w:val="004E2611"/>
    <w:rsid w:val="004E56B3"/>
    <w:rsid w:val="004E616D"/>
    <w:rsid w:val="004F29A3"/>
    <w:rsid w:val="004F2D79"/>
    <w:rsid w:val="004F73BD"/>
    <w:rsid w:val="004F78AB"/>
    <w:rsid w:val="005018C1"/>
    <w:rsid w:val="00505871"/>
    <w:rsid w:val="0051154D"/>
    <w:rsid w:val="00512564"/>
    <w:rsid w:val="005125B1"/>
    <w:rsid w:val="00512B91"/>
    <w:rsid w:val="005151E2"/>
    <w:rsid w:val="0051558D"/>
    <w:rsid w:val="00516848"/>
    <w:rsid w:val="00516A1C"/>
    <w:rsid w:val="0052368E"/>
    <w:rsid w:val="0052509A"/>
    <w:rsid w:val="00530836"/>
    <w:rsid w:val="005344AA"/>
    <w:rsid w:val="00536A3F"/>
    <w:rsid w:val="00537E1F"/>
    <w:rsid w:val="00540343"/>
    <w:rsid w:val="00540BF3"/>
    <w:rsid w:val="00542816"/>
    <w:rsid w:val="005452AE"/>
    <w:rsid w:val="00547006"/>
    <w:rsid w:val="005522AD"/>
    <w:rsid w:val="00553244"/>
    <w:rsid w:val="00553411"/>
    <w:rsid w:val="00554099"/>
    <w:rsid w:val="00554A81"/>
    <w:rsid w:val="00556CA5"/>
    <w:rsid w:val="00557350"/>
    <w:rsid w:val="005600AB"/>
    <w:rsid w:val="00560CA4"/>
    <w:rsid w:val="00561D7B"/>
    <w:rsid w:val="00566CAA"/>
    <w:rsid w:val="00566DD8"/>
    <w:rsid w:val="00572003"/>
    <w:rsid w:val="005729BF"/>
    <w:rsid w:val="005747D5"/>
    <w:rsid w:val="00575B20"/>
    <w:rsid w:val="0057612C"/>
    <w:rsid w:val="00577444"/>
    <w:rsid w:val="00577718"/>
    <w:rsid w:val="00586ECB"/>
    <w:rsid w:val="005948CF"/>
    <w:rsid w:val="00594CF3"/>
    <w:rsid w:val="00595CAC"/>
    <w:rsid w:val="005970A3"/>
    <w:rsid w:val="005A2B33"/>
    <w:rsid w:val="005A2D0C"/>
    <w:rsid w:val="005A5937"/>
    <w:rsid w:val="005B2F9A"/>
    <w:rsid w:val="005B3CD9"/>
    <w:rsid w:val="005B4309"/>
    <w:rsid w:val="005B6D64"/>
    <w:rsid w:val="005C0241"/>
    <w:rsid w:val="005C048B"/>
    <w:rsid w:val="005C122C"/>
    <w:rsid w:val="005C27D5"/>
    <w:rsid w:val="005C4E0F"/>
    <w:rsid w:val="005C6041"/>
    <w:rsid w:val="005C6404"/>
    <w:rsid w:val="005D0ABD"/>
    <w:rsid w:val="005D28D7"/>
    <w:rsid w:val="005E1D2B"/>
    <w:rsid w:val="005E3DDA"/>
    <w:rsid w:val="005E47F8"/>
    <w:rsid w:val="005E4DAE"/>
    <w:rsid w:val="005E5573"/>
    <w:rsid w:val="006002F7"/>
    <w:rsid w:val="0060371D"/>
    <w:rsid w:val="00611522"/>
    <w:rsid w:val="00612EE0"/>
    <w:rsid w:val="0061698A"/>
    <w:rsid w:val="00617BD1"/>
    <w:rsid w:val="00623EB7"/>
    <w:rsid w:val="0062470D"/>
    <w:rsid w:val="00624AEB"/>
    <w:rsid w:val="006269E3"/>
    <w:rsid w:val="00630FDD"/>
    <w:rsid w:val="006343BC"/>
    <w:rsid w:val="00636249"/>
    <w:rsid w:val="0063711F"/>
    <w:rsid w:val="00642096"/>
    <w:rsid w:val="006467D9"/>
    <w:rsid w:val="00650F4C"/>
    <w:rsid w:val="00652CCA"/>
    <w:rsid w:val="00653C6D"/>
    <w:rsid w:val="00654677"/>
    <w:rsid w:val="00655457"/>
    <w:rsid w:val="00661D4E"/>
    <w:rsid w:val="00665F95"/>
    <w:rsid w:val="00670D9E"/>
    <w:rsid w:val="00687025"/>
    <w:rsid w:val="00691490"/>
    <w:rsid w:val="00692827"/>
    <w:rsid w:val="00694AD6"/>
    <w:rsid w:val="00694BCC"/>
    <w:rsid w:val="00695190"/>
    <w:rsid w:val="00696610"/>
    <w:rsid w:val="006A0AAE"/>
    <w:rsid w:val="006A1C76"/>
    <w:rsid w:val="006A20EB"/>
    <w:rsid w:val="006A3075"/>
    <w:rsid w:val="006A6E1E"/>
    <w:rsid w:val="006B04C0"/>
    <w:rsid w:val="006B0A87"/>
    <w:rsid w:val="006B12EC"/>
    <w:rsid w:val="006B262C"/>
    <w:rsid w:val="006B3C77"/>
    <w:rsid w:val="006B41CA"/>
    <w:rsid w:val="006B6570"/>
    <w:rsid w:val="006C0E78"/>
    <w:rsid w:val="006C2522"/>
    <w:rsid w:val="006C5507"/>
    <w:rsid w:val="006D4004"/>
    <w:rsid w:val="006D52A0"/>
    <w:rsid w:val="006E1FDE"/>
    <w:rsid w:val="006E2CDB"/>
    <w:rsid w:val="006E5F20"/>
    <w:rsid w:val="006F12EC"/>
    <w:rsid w:val="006F24E6"/>
    <w:rsid w:val="006F3C87"/>
    <w:rsid w:val="006F4DD0"/>
    <w:rsid w:val="006F551B"/>
    <w:rsid w:val="00703BA8"/>
    <w:rsid w:val="00704BA4"/>
    <w:rsid w:val="0071184D"/>
    <w:rsid w:val="007124A0"/>
    <w:rsid w:val="00712BD7"/>
    <w:rsid w:val="007206A9"/>
    <w:rsid w:val="00720DAE"/>
    <w:rsid w:val="00727147"/>
    <w:rsid w:val="00730A90"/>
    <w:rsid w:val="00734C40"/>
    <w:rsid w:val="00735F39"/>
    <w:rsid w:val="00735F5D"/>
    <w:rsid w:val="007422C0"/>
    <w:rsid w:val="00744B0B"/>
    <w:rsid w:val="0075055E"/>
    <w:rsid w:val="00755137"/>
    <w:rsid w:val="007554B3"/>
    <w:rsid w:val="00755D6A"/>
    <w:rsid w:val="00760990"/>
    <w:rsid w:val="00761310"/>
    <w:rsid w:val="00763422"/>
    <w:rsid w:val="0076496D"/>
    <w:rsid w:val="007656CF"/>
    <w:rsid w:val="00771691"/>
    <w:rsid w:val="00773924"/>
    <w:rsid w:val="00783ECC"/>
    <w:rsid w:val="00784CB8"/>
    <w:rsid w:val="007866D0"/>
    <w:rsid w:val="00786BC8"/>
    <w:rsid w:val="0079017A"/>
    <w:rsid w:val="0079447A"/>
    <w:rsid w:val="00797863"/>
    <w:rsid w:val="00797985"/>
    <w:rsid w:val="00797ED2"/>
    <w:rsid w:val="007A0825"/>
    <w:rsid w:val="007A20EA"/>
    <w:rsid w:val="007A3306"/>
    <w:rsid w:val="007A7A56"/>
    <w:rsid w:val="007A7FE5"/>
    <w:rsid w:val="007B219A"/>
    <w:rsid w:val="007B5769"/>
    <w:rsid w:val="007C25A5"/>
    <w:rsid w:val="007C382D"/>
    <w:rsid w:val="007C6338"/>
    <w:rsid w:val="007D164C"/>
    <w:rsid w:val="007D3078"/>
    <w:rsid w:val="007D4E15"/>
    <w:rsid w:val="007E7A9B"/>
    <w:rsid w:val="007F09B3"/>
    <w:rsid w:val="007F36F9"/>
    <w:rsid w:val="008003B9"/>
    <w:rsid w:val="008016B8"/>
    <w:rsid w:val="00806A5E"/>
    <w:rsid w:val="008072BF"/>
    <w:rsid w:val="0081241E"/>
    <w:rsid w:val="00812FB2"/>
    <w:rsid w:val="00813872"/>
    <w:rsid w:val="00814E79"/>
    <w:rsid w:val="00817B5F"/>
    <w:rsid w:val="0082035B"/>
    <w:rsid w:val="008221E7"/>
    <w:rsid w:val="00824467"/>
    <w:rsid w:val="00824C7C"/>
    <w:rsid w:val="00826607"/>
    <w:rsid w:val="0082702E"/>
    <w:rsid w:val="00827302"/>
    <w:rsid w:val="008315B4"/>
    <w:rsid w:val="00837AE3"/>
    <w:rsid w:val="00840F84"/>
    <w:rsid w:val="00841A87"/>
    <w:rsid w:val="008420A0"/>
    <w:rsid w:val="00847177"/>
    <w:rsid w:val="008601CA"/>
    <w:rsid w:val="0086762C"/>
    <w:rsid w:val="00870CC6"/>
    <w:rsid w:val="0087475E"/>
    <w:rsid w:val="00882B64"/>
    <w:rsid w:val="008843E5"/>
    <w:rsid w:val="0088634C"/>
    <w:rsid w:val="00886E55"/>
    <w:rsid w:val="008878D1"/>
    <w:rsid w:val="00887B1B"/>
    <w:rsid w:val="00890B07"/>
    <w:rsid w:val="00891834"/>
    <w:rsid w:val="0089493B"/>
    <w:rsid w:val="0089748C"/>
    <w:rsid w:val="008A0974"/>
    <w:rsid w:val="008A105E"/>
    <w:rsid w:val="008A57C2"/>
    <w:rsid w:val="008B099C"/>
    <w:rsid w:val="008B4C5F"/>
    <w:rsid w:val="008B5B98"/>
    <w:rsid w:val="008B5C8B"/>
    <w:rsid w:val="008C1653"/>
    <w:rsid w:val="008C3692"/>
    <w:rsid w:val="008C540E"/>
    <w:rsid w:val="008C7D47"/>
    <w:rsid w:val="008D4EE8"/>
    <w:rsid w:val="008D5563"/>
    <w:rsid w:val="008D6299"/>
    <w:rsid w:val="008E172A"/>
    <w:rsid w:val="008F1579"/>
    <w:rsid w:val="008F2C8F"/>
    <w:rsid w:val="008F6914"/>
    <w:rsid w:val="0090067F"/>
    <w:rsid w:val="0090308F"/>
    <w:rsid w:val="00907325"/>
    <w:rsid w:val="00913001"/>
    <w:rsid w:val="00914440"/>
    <w:rsid w:val="00915542"/>
    <w:rsid w:val="00915901"/>
    <w:rsid w:val="00915915"/>
    <w:rsid w:val="00921864"/>
    <w:rsid w:val="00924951"/>
    <w:rsid w:val="009256EE"/>
    <w:rsid w:val="009260D8"/>
    <w:rsid w:val="00926259"/>
    <w:rsid w:val="00927438"/>
    <w:rsid w:val="009303F3"/>
    <w:rsid w:val="00932F83"/>
    <w:rsid w:val="0093531E"/>
    <w:rsid w:val="00935E92"/>
    <w:rsid w:val="00940790"/>
    <w:rsid w:val="00941EF0"/>
    <w:rsid w:val="0094227D"/>
    <w:rsid w:val="00942775"/>
    <w:rsid w:val="009462E9"/>
    <w:rsid w:val="00952406"/>
    <w:rsid w:val="009558DD"/>
    <w:rsid w:val="00955B84"/>
    <w:rsid w:val="0095698C"/>
    <w:rsid w:val="0095742C"/>
    <w:rsid w:val="00962017"/>
    <w:rsid w:val="00962836"/>
    <w:rsid w:val="009666AD"/>
    <w:rsid w:val="009668A7"/>
    <w:rsid w:val="00967A97"/>
    <w:rsid w:val="00976FCD"/>
    <w:rsid w:val="00977655"/>
    <w:rsid w:val="009816ED"/>
    <w:rsid w:val="00982F3B"/>
    <w:rsid w:val="0098508E"/>
    <w:rsid w:val="00990869"/>
    <w:rsid w:val="00992BB9"/>
    <w:rsid w:val="0099419F"/>
    <w:rsid w:val="00994564"/>
    <w:rsid w:val="00996757"/>
    <w:rsid w:val="00997F47"/>
    <w:rsid w:val="009A13B3"/>
    <w:rsid w:val="009A2AA3"/>
    <w:rsid w:val="009A3DD5"/>
    <w:rsid w:val="009B464A"/>
    <w:rsid w:val="009B49B0"/>
    <w:rsid w:val="009B49B5"/>
    <w:rsid w:val="009B7992"/>
    <w:rsid w:val="009B7AEB"/>
    <w:rsid w:val="009C1476"/>
    <w:rsid w:val="009C1CA8"/>
    <w:rsid w:val="009C57CA"/>
    <w:rsid w:val="009D14F1"/>
    <w:rsid w:val="009D6973"/>
    <w:rsid w:val="009E3900"/>
    <w:rsid w:val="009E3B0F"/>
    <w:rsid w:val="009E7055"/>
    <w:rsid w:val="009F0A6A"/>
    <w:rsid w:val="009F5B64"/>
    <w:rsid w:val="009F5D8D"/>
    <w:rsid w:val="009F5E5B"/>
    <w:rsid w:val="009F6780"/>
    <w:rsid w:val="00A05D43"/>
    <w:rsid w:val="00A06852"/>
    <w:rsid w:val="00A1085A"/>
    <w:rsid w:val="00A123B8"/>
    <w:rsid w:val="00A156CE"/>
    <w:rsid w:val="00A20C90"/>
    <w:rsid w:val="00A22FC0"/>
    <w:rsid w:val="00A3272B"/>
    <w:rsid w:val="00A34B9C"/>
    <w:rsid w:val="00A35527"/>
    <w:rsid w:val="00A35755"/>
    <w:rsid w:val="00A35761"/>
    <w:rsid w:val="00A439CB"/>
    <w:rsid w:val="00A43FE8"/>
    <w:rsid w:val="00A451BB"/>
    <w:rsid w:val="00A50F25"/>
    <w:rsid w:val="00A54B1D"/>
    <w:rsid w:val="00A54D0A"/>
    <w:rsid w:val="00A55DD7"/>
    <w:rsid w:val="00A56147"/>
    <w:rsid w:val="00A57848"/>
    <w:rsid w:val="00A57B72"/>
    <w:rsid w:val="00A600D9"/>
    <w:rsid w:val="00A7043B"/>
    <w:rsid w:val="00A7276F"/>
    <w:rsid w:val="00A74282"/>
    <w:rsid w:val="00A76344"/>
    <w:rsid w:val="00A76536"/>
    <w:rsid w:val="00A76F21"/>
    <w:rsid w:val="00A7784E"/>
    <w:rsid w:val="00A81761"/>
    <w:rsid w:val="00A84DFA"/>
    <w:rsid w:val="00A87A0D"/>
    <w:rsid w:val="00A90318"/>
    <w:rsid w:val="00A92D1A"/>
    <w:rsid w:val="00A97848"/>
    <w:rsid w:val="00A97936"/>
    <w:rsid w:val="00AA12F2"/>
    <w:rsid w:val="00AA2018"/>
    <w:rsid w:val="00AA2D7A"/>
    <w:rsid w:val="00AA3F4D"/>
    <w:rsid w:val="00AB52DD"/>
    <w:rsid w:val="00AC1515"/>
    <w:rsid w:val="00AC66C9"/>
    <w:rsid w:val="00AD0152"/>
    <w:rsid w:val="00AD196D"/>
    <w:rsid w:val="00AD4D6F"/>
    <w:rsid w:val="00AD62E9"/>
    <w:rsid w:val="00AD640E"/>
    <w:rsid w:val="00AD7526"/>
    <w:rsid w:val="00AD7FDD"/>
    <w:rsid w:val="00AE0BF1"/>
    <w:rsid w:val="00AE33BD"/>
    <w:rsid w:val="00AE3828"/>
    <w:rsid w:val="00AE41E2"/>
    <w:rsid w:val="00AE5AE9"/>
    <w:rsid w:val="00AF0306"/>
    <w:rsid w:val="00AF13EA"/>
    <w:rsid w:val="00AF35CD"/>
    <w:rsid w:val="00AF51E6"/>
    <w:rsid w:val="00B0068C"/>
    <w:rsid w:val="00B0359D"/>
    <w:rsid w:val="00B03A96"/>
    <w:rsid w:val="00B0645C"/>
    <w:rsid w:val="00B06637"/>
    <w:rsid w:val="00B10085"/>
    <w:rsid w:val="00B115B8"/>
    <w:rsid w:val="00B131EC"/>
    <w:rsid w:val="00B13F61"/>
    <w:rsid w:val="00B20BF9"/>
    <w:rsid w:val="00B26CAE"/>
    <w:rsid w:val="00B2772B"/>
    <w:rsid w:val="00B30532"/>
    <w:rsid w:val="00B33B67"/>
    <w:rsid w:val="00B33FE7"/>
    <w:rsid w:val="00B3582D"/>
    <w:rsid w:val="00B3713E"/>
    <w:rsid w:val="00B37578"/>
    <w:rsid w:val="00B40D2A"/>
    <w:rsid w:val="00B415FD"/>
    <w:rsid w:val="00B418DD"/>
    <w:rsid w:val="00B46DD7"/>
    <w:rsid w:val="00B46FB4"/>
    <w:rsid w:val="00B50924"/>
    <w:rsid w:val="00B51836"/>
    <w:rsid w:val="00B55F51"/>
    <w:rsid w:val="00B605E4"/>
    <w:rsid w:val="00B641F1"/>
    <w:rsid w:val="00B6444D"/>
    <w:rsid w:val="00B66328"/>
    <w:rsid w:val="00B720F3"/>
    <w:rsid w:val="00B72454"/>
    <w:rsid w:val="00B741D7"/>
    <w:rsid w:val="00B74B07"/>
    <w:rsid w:val="00B762CE"/>
    <w:rsid w:val="00B80C88"/>
    <w:rsid w:val="00B85C1E"/>
    <w:rsid w:val="00B86002"/>
    <w:rsid w:val="00B86F83"/>
    <w:rsid w:val="00B90470"/>
    <w:rsid w:val="00B93611"/>
    <w:rsid w:val="00B975BF"/>
    <w:rsid w:val="00BA1F43"/>
    <w:rsid w:val="00BA5AE3"/>
    <w:rsid w:val="00BB3C87"/>
    <w:rsid w:val="00BB5246"/>
    <w:rsid w:val="00BC1C0A"/>
    <w:rsid w:val="00BC2145"/>
    <w:rsid w:val="00BC5567"/>
    <w:rsid w:val="00BC6C09"/>
    <w:rsid w:val="00BC77F9"/>
    <w:rsid w:val="00BD2807"/>
    <w:rsid w:val="00BD3ABA"/>
    <w:rsid w:val="00BD591E"/>
    <w:rsid w:val="00BD639D"/>
    <w:rsid w:val="00BD64A0"/>
    <w:rsid w:val="00BE0847"/>
    <w:rsid w:val="00BE1862"/>
    <w:rsid w:val="00BE32F3"/>
    <w:rsid w:val="00BF0A3C"/>
    <w:rsid w:val="00BF3472"/>
    <w:rsid w:val="00BF347A"/>
    <w:rsid w:val="00BF405D"/>
    <w:rsid w:val="00BF7565"/>
    <w:rsid w:val="00C02349"/>
    <w:rsid w:val="00C07604"/>
    <w:rsid w:val="00C137A5"/>
    <w:rsid w:val="00C15830"/>
    <w:rsid w:val="00C24311"/>
    <w:rsid w:val="00C25167"/>
    <w:rsid w:val="00C30825"/>
    <w:rsid w:val="00C3086A"/>
    <w:rsid w:val="00C30E8C"/>
    <w:rsid w:val="00C3256D"/>
    <w:rsid w:val="00C3291C"/>
    <w:rsid w:val="00C3598F"/>
    <w:rsid w:val="00C400BF"/>
    <w:rsid w:val="00C41EF2"/>
    <w:rsid w:val="00C42390"/>
    <w:rsid w:val="00C4455A"/>
    <w:rsid w:val="00C46960"/>
    <w:rsid w:val="00C53586"/>
    <w:rsid w:val="00C56963"/>
    <w:rsid w:val="00C5773C"/>
    <w:rsid w:val="00C600AC"/>
    <w:rsid w:val="00C644A4"/>
    <w:rsid w:val="00C71B29"/>
    <w:rsid w:val="00C73F3B"/>
    <w:rsid w:val="00C74DAB"/>
    <w:rsid w:val="00C9140D"/>
    <w:rsid w:val="00C91BDB"/>
    <w:rsid w:val="00C91BE3"/>
    <w:rsid w:val="00C92297"/>
    <w:rsid w:val="00C9255E"/>
    <w:rsid w:val="00C95631"/>
    <w:rsid w:val="00CA1F19"/>
    <w:rsid w:val="00CA4D7E"/>
    <w:rsid w:val="00CA77B0"/>
    <w:rsid w:val="00CB1F23"/>
    <w:rsid w:val="00CB400D"/>
    <w:rsid w:val="00CB44C8"/>
    <w:rsid w:val="00CB4535"/>
    <w:rsid w:val="00CB589D"/>
    <w:rsid w:val="00CB674F"/>
    <w:rsid w:val="00CC11BC"/>
    <w:rsid w:val="00CC4497"/>
    <w:rsid w:val="00CC4FA7"/>
    <w:rsid w:val="00CC7591"/>
    <w:rsid w:val="00CD4A61"/>
    <w:rsid w:val="00CD4EA8"/>
    <w:rsid w:val="00CD647E"/>
    <w:rsid w:val="00CD6F8C"/>
    <w:rsid w:val="00CE21F3"/>
    <w:rsid w:val="00CE70C9"/>
    <w:rsid w:val="00CF04D1"/>
    <w:rsid w:val="00D020FB"/>
    <w:rsid w:val="00D04278"/>
    <w:rsid w:val="00D11E9E"/>
    <w:rsid w:val="00D127B5"/>
    <w:rsid w:val="00D17FB3"/>
    <w:rsid w:val="00D20EDE"/>
    <w:rsid w:val="00D219AF"/>
    <w:rsid w:val="00D21D5B"/>
    <w:rsid w:val="00D23032"/>
    <w:rsid w:val="00D24F07"/>
    <w:rsid w:val="00D27F5E"/>
    <w:rsid w:val="00D31D77"/>
    <w:rsid w:val="00D40C2C"/>
    <w:rsid w:val="00D41895"/>
    <w:rsid w:val="00D469EF"/>
    <w:rsid w:val="00D53A79"/>
    <w:rsid w:val="00D551BB"/>
    <w:rsid w:val="00D55F9E"/>
    <w:rsid w:val="00D61794"/>
    <w:rsid w:val="00D64103"/>
    <w:rsid w:val="00D70782"/>
    <w:rsid w:val="00D70B24"/>
    <w:rsid w:val="00D72203"/>
    <w:rsid w:val="00D73072"/>
    <w:rsid w:val="00D76B2A"/>
    <w:rsid w:val="00D76C27"/>
    <w:rsid w:val="00D820EA"/>
    <w:rsid w:val="00D8621F"/>
    <w:rsid w:val="00D9075A"/>
    <w:rsid w:val="00D907EC"/>
    <w:rsid w:val="00D959ED"/>
    <w:rsid w:val="00D9631C"/>
    <w:rsid w:val="00DA0DFA"/>
    <w:rsid w:val="00DA1993"/>
    <w:rsid w:val="00DA3267"/>
    <w:rsid w:val="00DA62D5"/>
    <w:rsid w:val="00DA646E"/>
    <w:rsid w:val="00DA652C"/>
    <w:rsid w:val="00DA79E4"/>
    <w:rsid w:val="00DA7F45"/>
    <w:rsid w:val="00DB0925"/>
    <w:rsid w:val="00DB5017"/>
    <w:rsid w:val="00DB53E3"/>
    <w:rsid w:val="00DC3F2F"/>
    <w:rsid w:val="00DC405E"/>
    <w:rsid w:val="00DC5AE0"/>
    <w:rsid w:val="00DC5FA2"/>
    <w:rsid w:val="00DD0C69"/>
    <w:rsid w:val="00DD12A2"/>
    <w:rsid w:val="00DD3C0F"/>
    <w:rsid w:val="00DD5130"/>
    <w:rsid w:val="00DD558D"/>
    <w:rsid w:val="00DE4D26"/>
    <w:rsid w:val="00DE6716"/>
    <w:rsid w:val="00DF42CC"/>
    <w:rsid w:val="00E00F38"/>
    <w:rsid w:val="00E01EAE"/>
    <w:rsid w:val="00E02394"/>
    <w:rsid w:val="00E063A4"/>
    <w:rsid w:val="00E1102B"/>
    <w:rsid w:val="00E120F6"/>
    <w:rsid w:val="00E14F9B"/>
    <w:rsid w:val="00E16DC2"/>
    <w:rsid w:val="00E17087"/>
    <w:rsid w:val="00E222BA"/>
    <w:rsid w:val="00E26A7B"/>
    <w:rsid w:val="00E26AB3"/>
    <w:rsid w:val="00E30589"/>
    <w:rsid w:val="00E30DCF"/>
    <w:rsid w:val="00E3262E"/>
    <w:rsid w:val="00E337AB"/>
    <w:rsid w:val="00E350B6"/>
    <w:rsid w:val="00E35E3D"/>
    <w:rsid w:val="00E42328"/>
    <w:rsid w:val="00E458B1"/>
    <w:rsid w:val="00E45D28"/>
    <w:rsid w:val="00E45EF4"/>
    <w:rsid w:val="00E55B30"/>
    <w:rsid w:val="00E574B1"/>
    <w:rsid w:val="00E61E1A"/>
    <w:rsid w:val="00E7513E"/>
    <w:rsid w:val="00E7592A"/>
    <w:rsid w:val="00E7663C"/>
    <w:rsid w:val="00E84083"/>
    <w:rsid w:val="00E8791D"/>
    <w:rsid w:val="00E90871"/>
    <w:rsid w:val="00E94064"/>
    <w:rsid w:val="00E9429C"/>
    <w:rsid w:val="00EA1C3C"/>
    <w:rsid w:val="00EA252A"/>
    <w:rsid w:val="00EA39E5"/>
    <w:rsid w:val="00EA628E"/>
    <w:rsid w:val="00EB4AC1"/>
    <w:rsid w:val="00EB4E34"/>
    <w:rsid w:val="00EB6D3C"/>
    <w:rsid w:val="00EC01AF"/>
    <w:rsid w:val="00EC0277"/>
    <w:rsid w:val="00EC13A2"/>
    <w:rsid w:val="00EC25CC"/>
    <w:rsid w:val="00EC41F0"/>
    <w:rsid w:val="00EC4AA0"/>
    <w:rsid w:val="00EC7D82"/>
    <w:rsid w:val="00ED221B"/>
    <w:rsid w:val="00ED36E9"/>
    <w:rsid w:val="00ED3C5F"/>
    <w:rsid w:val="00ED643C"/>
    <w:rsid w:val="00ED6F17"/>
    <w:rsid w:val="00ED78A1"/>
    <w:rsid w:val="00ED7E1E"/>
    <w:rsid w:val="00EE3A49"/>
    <w:rsid w:val="00EE614C"/>
    <w:rsid w:val="00EE6E31"/>
    <w:rsid w:val="00EF0F15"/>
    <w:rsid w:val="00EF10E5"/>
    <w:rsid w:val="00EF3549"/>
    <w:rsid w:val="00EF3D83"/>
    <w:rsid w:val="00EF5BFA"/>
    <w:rsid w:val="00F02D15"/>
    <w:rsid w:val="00F0693E"/>
    <w:rsid w:val="00F10426"/>
    <w:rsid w:val="00F12F46"/>
    <w:rsid w:val="00F13B13"/>
    <w:rsid w:val="00F1623A"/>
    <w:rsid w:val="00F17F8B"/>
    <w:rsid w:val="00F22C31"/>
    <w:rsid w:val="00F24CE8"/>
    <w:rsid w:val="00F278B3"/>
    <w:rsid w:val="00F30C16"/>
    <w:rsid w:val="00F337B6"/>
    <w:rsid w:val="00F35EF8"/>
    <w:rsid w:val="00F37D66"/>
    <w:rsid w:val="00F40AC4"/>
    <w:rsid w:val="00F42C32"/>
    <w:rsid w:val="00F4772C"/>
    <w:rsid w:val="00F529D8"/>
    <w:rsid w:val="00F61ADF"/>
    <w:rsid w:val="00F66269"/>
    <w:rsid w:val="00F70E5A"/>
    <w:rsid w:val="00F72FBA"/>
    <w:rsid w:val="00F81C25"/>
    <w:rsid w:val="00F82588"/>
    <w:rsid w:val="00F85EC0"/>
    <w:rsid w:val="00F97BA8"/>
    <w:rsid w:val="00FA0A43"/>
    <w:rsid w:val="00FA2DEF"/>
    <w:rsid w:val="00FA3D04"/>
    <w:rsid w:val="00FA4FA1"/>
    <w:rsid w:val="00FA57A5"/>
    <w:rsid w:val="00FA6419"/>
    <w:rsid w:val="00FB1A9C"/>
    <w:rsid w:val="00FB20B7"/>
    <w:rsid w:val="00FB4D25"/>
    <w:rsid w:val="00FB580C"/>
    <w:rsid w:val="00FB5D2E"/>
    <w:rsid w:val="00FD2402"/>
    <w:rsid w:val="00FD2B0A"/>
    <w:rsid w:val="00FD5992"/>
    <w:rsid w:val="00FD64F9"/>
    <w:rsid w:val="00FD68D5"/>
    <w:rsid w:val="00FD7CD6"/>
    <w:rsid w:val="00FF452F"/>
    <w:rsid w:val="00FF56D7"/>
    <w:rsid w:val="00FF7FE5"/>
    <w:rsid w:val="010827C0"/>
    <w:rsid w:val="0119677B"/>
    <w:rsid w:val="01293007"/>
    <w:rsid w:val="013E2686"/>
    <w:rsid w:val="014F03EF"/>
    <w:rsid w:val="015B6D94"/>
    <w:rsid w:val="016619C3"/>
    <w:rsid w:val="016A347B"/>
    <w:rsid w:val="01713AEC"/>
    <w:rsid w:val="017C6D0A"/>
    <w:rsid w:val="01852063"/>
    <w:rsid w:val="018A7679"/>
    <w:rsid w:val="019F1A09"/>
    <w:rsid w:val="01D95F0B"/>
    <w:rsid w:val="01E4322D"/>
    <w:rsid w:val="01E46D89"/>
    <w:rsid w:val="01E90844"/>
    <w:rsid w:val="02076F1C"/>
    <w:rsid w:val="020C62E0"/>
    <w:rsid w:val="020E7833"/>
    <w:rsid w:val="02181129"/>
    <w:rsid w:val="021F7DC1"/>
    <w:rsid w:val="02290C40"/>
    <w:rsid w:val="02602EF3"/>
    <w:rsid w:val="02714395"/>
    <w:rsid w:val="02753E85"/>
    <w:rsid w:val="0288383F"/>
    <w:rsid w:val="028E4F47"/>
    <w:rsid w:val="028E6791"/>
    <w:rsid w:val="0293255D"/>
    <w:rsid w:val="029947C4"/>
    <w:rsid w:val="02B80216"/>
    <w:rsid w:val="02CD3CC1"/>
    <w:rsid w:val="02CD5A6F"/>
    <w:rsid w:val="02D84414"/>
    <w:rsid w:val="02DA1F3A"/>
    <w:rsid w:val="02ED6112"/>
    <w:rsid w:val="02F54FC6"/>
    <w:rsid w:val="02F9279A"/>
    <w:rsid w:val="02FA25DD"/>
    <w:rsid w:val="03125B78"/>
    <w:rsid w:val="03305FFE"/>
    <w:rsid w:val="03332128"/>
    <w:rsid w:val="03340AC7"/>
    <w:rsid w:val="03394EB3"/>
    <w:rsid w:val="033B6E7D"/>
    <w:rsid w:val="033C60AA"/>
    <w:rsid w:val="033E696D"/>
    <w:rsid w:val="035C5045"/>
    <w:rsid w:val="035E6E40"/>
    <w:rsid w:val="03642650"/>
    <w:rsid w:val="03685798"/>
    <w:rsid w:val="036F6B27"/>
    <w:rsid w:val="0374238F"/>
    <w:rsid w:val="03830824"/>
    <w:rsid w:val="03836A76"/>
    <w:rsid w:val="039203FC"/>
    <w:rsid w:val="03960557"/>
    <w:rsid w:val="03B46C2F"/>
    <w:rsid w:val="03CC21CB"/>
    <w:rsid w:val="03E72B61"/>
    <w:rsid w:val="03F139E0"/>
    <w:rsid w:val="04133956"/>
    <w:rsid w:val="04210E57"/>
    <w:rsid w:val="042A0CA0"/>
    <w:rsid w:val="04402271"/>
    <w:rsid w:val="04471852"/>
    <w:rsid w:val="044C1E7A"/>
    <w:rsid w:val="044E0E32"/>
    <w:rsid w:val="044F0706"/>
    <w:rsid w:val="04642403"/>
    <w:rsid w:val="0466617C"/>
    <w:rsid w:val="04675A50"/>
    <w:rsid w:val="047D34C5"/>
    <w:rsid w:val="048C54B6"/>
    <w:rsid w:val="04912ACD"/>
    <w:rsid w:val="04992B49"/>
    <w:rsid w:val="04A722F0"/>
    <w:rsid w:val="04A967B2"/>
    <w:rsid w:val="04BA3A07"/>
    <w:rsid w:val="04BD38C2"/>
    <w:rsid w:val="04D05CEB"/>
    <w:rsid w:val="04F574FF"/>
    <w:rsid w:val="04FC43EA"/>
    <w:rsid w:val="05096B07"/>
    <w:rsid w:val="05184F9C"/>
    <w:rsid w:val="05322502"/>
    <w:rsid w:val="05404C1F"/>
    <w:rsid w:val="054144F3"/>
    <w:rsid w:val="05432019"/>
    <w:rsid w:val="0599432F"/>
    <w:rsid w:val="05A54A82"/>
    <w:rsid w:val="05AD1B88"/>
    <w:rsid w:val="05B20F4D"/>
    <w:rsid w:val="05BB24F7"/>
    <w:rsid w:val="05C50C80"/>
    <w:rsid w:val="05E05ABA"/>
    <w:rsid w:val="05E57574"/>
    <w:rsid w:val="05ED01D7"/>
    <w:rsid w:val="05EF21A1"/>
    <w:rsid w:val="061209A5"/>
    <w:rsid w:val="061A5470"/>
    <w:rsid w:val="06255BC2"/>
    <w:rsid w:val="0664493D"/>
    <w:rsid w:val="0680104B"/>
    <w:rsid w:val="068B1EC9"/>
    <w:rsid w:val="06996314"/>
    <w:rsid w:val="06A0349B"/>
    <w:rsid w:val="06AE3E0A"/>
    <w:rsid w:val="06B01930"/>
    <w:rsid w:val="06B17456"/>
    <w:rsid w:val="06BC6527"/>
    <w:rsid w:val="06C54CB0"/>
    <w:rsid w:val="06D82C35"/>
    <w:rsid w:val="06E354FB"/>
    <w:rsid w:val="06ED4932"/>
    <w:rsid w:val="06EE2458"/>
    <w:rsid w:val="06FA2BAB"/>
    <w:rsid w:val="071D689A"/>
    <w:rsid w:val="07280E5C"/>
    <w:rsid w:val="07287718"/>
    <w:rsid w:val="072916E2"/>
    <w:rsid w:val="073065CD"/>
    <w:rsid w:val="074A1D85"/>
    <w:rsid w:val="074F1149"/>
    <w:rsid w:val="076D7821"/>
    <w:rsid w:val="078132CC"/>
    <w:rsid w:val="07A70F85"/>
    <w:rsid w:val="07A80859"/>
    <w:rsid w:val="07BC4304"/>
    <w:rsid w:val="07CF4038"/>
    <w:rsid w:val="07ED0962"/>
    <w:rsid w:val="07FB4E2D"/>
    <w:rsid w:val="080812F8"/>
    <w:rsid w:val="081B54CF"/>
    <w:rsid w:val="08297BEC"/>
    <w:rsid w:val="08313B80"/>
    <w:rsid w:val="08510EF1"/>
    <w:rsid w:val="08591B53"/>
    <w:rsid w:val="08597DA5"/>
    <w:rsid w:val="085A5FF7"/>
    <w:rsid w:val="086329D2"/>
    <w:rsid w:val="088272FC"/>
    <w:rsid w:val="08AD57EC"/>
    <w:rsid w:val="08BF22FE"/>
    <w:rsid w:val="08C2594B"/>
    <w:rsid w:val="08C77405"/>
    <w:rsid w:val="08DC4C5E"/>
    <w:rsid w:val="08F85810"/>
    <w:rsid w:val="0901547A"/>
    <w:rsid w:val="09023F99"/>
    <w:rsid w:val="09045F63"/>
    <w:rsid w:val="094445B2"/>
    <w:rsid w:val="0958005D"/>
    <w:rsid w:val="09756E61"/>
    <w:rsid w:val="097C3D4B"/>
    <w:rsid w:val="0995305F"/>
    <w:rsid w:val="09A45050"/>
    <w:rsid w:val="09CD0A4B"/>
    <w:rsid w:val="09DC2A3C"/>
    <w:rsid w:val="09EB0ED1"/>
    <w:rsid w:val="09EF276F"/>
    <w:rsid w:val="09EF451D"/>
    <w:rsid w:val="0A0855DF"/>
    <w:rsid w:val="0A27015B"/>
    <w:rsid w:val="0A344626"/>
    <w:rsid w:val="0A4505E1"/>
    <w:rsid w:val="0A466107"/>
    <w:rsid w:val="0A583185"/>
    <w:rsid w:val="0A593834"/>
    <w:rsid w:val="0A717628"/>
    <w:rsid w:val="0A854E82"/>
    <w:rsid w:val="0A876E4C"/>
    <w:rsid w:val="0A99092D"/>
    <w:rsid w:val="0AA95014"/>
    <w:rsid w:val="0AAA2B3A"/>
    <w:rsid w:val="0AC51722"/>
    <w:rsid w:val="0ACB7550"/>
    <w:rsid w:val="0ADB0F46"/>
    <w:rsid w:val="0ADD081A"/>
    <w:rsid w:val="0AE734CA"/>
    <w:rsid w:val="0AFC1D6A"/>
    <w:rsid w:val="0B2428ED"/>
    <w:rsid w:val="0B2E72C7"/>
    <w:rsid w:val="0B350656"/>
    <w:rsid w:val="0B424B21"/>
    <w:rsid w:val="0B4D1E43"/>
    <w:rsid w:val="0B57681E"/>
    <w:rsid w:val="0B584344"/>
    <w:rsid w:val="0B5C3E34"/>
    <w:rsid w:val="0B664CB3"/>
    <w:rsid w:val="0B7218AA"/>
    <w:rsid w:val="0B754EF6"/>
    <w:rsid w:val="0B941820"/>
    <w:rsid w:val="0B9F1F73"/>
    <w:rsid w:val="0BC11EE9"/>
    <w:rsid w:val="0BD95485"/>
    <w:rsid w:val="0BED0F30"/>
    <w:rsid w:val="0BF202F5"/>
    <w:rsid w:val="0C0A1AE2"/>
    <w:rsid w:val="0C1163E6"/>
    <w:rsid w:val="0C394176"/>
    <w:rsid w:val="0C547201"/>
    <w:rsid w:val="0C57284E"/>
    <w:rsid w:val="0C5D60B6"/>
    <w:rsid w:val="0C602116"/>
    <w:rsid w:val="0C6754D4"/>
    <w:rsid w:val="0C6F7B97"/>
    <w:rsid w:val="0C760F26"/>
    <w:rsid w:val="0C7B29E0"/>
    <w:rsid w:val="0C7E427E"/>
    <w:rsid w:val="0C992E66"/>
    <w:rsid w:val="0C9E047D"/>
    <w:rsid w:val="0C9F66CF"/>
    <w:rsid w:val="0CB832EC"/>
    <w:rsid w:val="0CBF0B1F"/>
    <w:rsid w:val="0CC207F1"/>
    <w:rsid w:val="0CC31C91"/>
    <w:rsid w:val="0CD143AE"/>
    <w:rsid w:val="0CD520F0"/>
    <w:rsid w:val="0CD93263"/>
    <w:rsid w:val="0CEC2F96"/>
    <w:rsid w:val="0CFF53BF"/>
    <w:rsid w:val="0D132C19"/>
    <w:rsid w:val="0D1F511A"/>
    <w:rsid w:val="0D240982"/>
    <w:rsid w:val="0D3B5CCB"/>
    <w:rsid w:val="0D447276"/>
    <w:rsid w:val="0D4B4161"/>
    <w:rsid w:val="0D5A43A4"/>
    <w:rsid w:val="0D611BD6"/>
    <w:rsid w:val="0D645222"/>
    <w:rsid w:val="0D692839"/>
    <w:rsid w:val="0D7A2C98"/>
    <w:rsid w:val="0DB00467"/>
    <w:rsid w:val="0DB937C0"/>
    <w:rsid w:val="0DD028B8"/>
    <w:rsid w:val="0E083E00"/>
    <w:rsid w:val="0E0B1B42"/>
    <w:rsid w:val="0E0B7D94"/>
    <w:rsid w:val="0E107158"/>
    <w:rsid w:val="0E1B4581"/>
    <w:rsid w:val="0E1B64AA"/>
    <w:rsid w:val="0E2826F4"/>
    <w:rsid w:val="0E4D1C6D"/>
    <w:rsid w:val="0E625C06"/>
    <w:rsid w:val="0E7D2A40"/>
    <w:rsid w:val="0E7E40C2"/>
    <w:rsid w:val="0E833DCE"/>
    <w:rsid w:val="0EA31D7A"/>
    <w:rsid w:val="0EC95C85"/>
    <w:rsid w:val="0ED4462A"/>
    <w:rsid w:val="0EE26D46"/>
    <w:rsid w:val="0EEC54CF"/>
    <w:rsid w:val="0EF425D6"/>
    <w:rsid w:val="0F1669F0"/>
    <w:rsid w:val="0F1D7D7F"/>
    <w:rsid w:val="0F205179"/>
    <w:rsid w:val="0F234C69"/>
    <w:rsid w:val="0F2C1D70"/>
    <w:rsid w:val="0F3B1FB3"/>
    <w:rsid w:val="0F403993"/>
    <w:rsid w:val="0F492922"/>
    <w:rsid w:val="0F4E618A"/>
    <w:rsid w:val="0F5441BB"/>
    <w:rsid w:val="0F657030"/>
    <w:rsid w:val="0F6C4862"/>
    <w:rsid w:val="0FA77648"/>
    <w:rsid w:val="0FD03043"/>
    <w:rsid w:val="0FEE5277"/>
    <w:rsid w:val="0FF24D67"/>
    <w:rsid w:val="0FF3288D"/>
    <w:rsid w:val="0FF54858"/>
    <w:rsid w:val="10022AD1"/>
    <w:rsid w:val="1016181B"/>
    <w:rsid w:val="101D7AFE"/>
    <w:rsid w:val="103435D2"/>
    <w:rsid w:val="104430E9"/>
    <w:rsid w:val="104906FF"/>
    <w:rsid w:val="104D01F0"/>
    <w:rsid w:val="104D4694"/>
    <w:rsid w:val="10525806"/>
    <w:rsid w:val="105F7F23"/>
    <w:rsid w:val="1067787C"/>
    <w:rsid w:val="106B4B1A"/>
    <w:rsid w:val="10741C20"/>
    <w:rsid w:val="10AF0EAA"/>
    <w:rsid w:val="10BB33AB"/>
    <w:rsid w:val="10D716DC"/>
    <w:rsid w:val="10D95F27"/>
    <w:rsid w:val="10E32902"/>
    <w:rsid w:val="10FC5772"/>
    <w:rsid w:val="11020127"/>
    <w:rsid w:val="111B3927"/>
    <w:rsid w:val="111F6419"/>
    <w:rsid w:val="112076B2"/>
    <w:rsid w:val="11317B11"/>
    <w:rsid w:val="11335637"/>
    <w:rsid w:val="114F61E9"/>
    <w:rsid w:val="115B06EA"/>
    <w:rsid w:val="11641C95"/>
    <w:rsid w:val="11847C41"/>
    <w:rsid w:val="11875983"/>
    <w:rsid w:val="1193257A"/>
    <w:rsid w:val="119360D6"/>
    <w:rsid w:val="11C73FD2"/>
    <w:rsid w:val="11CB5870"/>
    <w:rsid w:val="11D34725"/>
    <w:rsid w:val="11F052D6"/>
    <w:rsid w:val="11FA43A7"/>
    <w:rsid w:val="12064AFA"/>
    <w:rsid w:val="12086AC4"/>
    <w:rsid w:val="12135469"/>
    <w:rsid w:val="122359BE"/>
    <w:rsid w:val="12244F80"/>
    <w:rsid w:val="12323B41"/>
    <w:rsid w:val="12354366"/>
    <w:rsid w:val="12394ECF"/>
    <w:rsid w:val="12483BB9"/>
    <w:rsid w:val="12485112"/>
    <w:rsid w:val="124F46F3"/>
    <w:rsid w:val="12641C51"/>
    <w:rsid w:val="126D6927"/>
    <w:rsid w:val="12704669"/>
    <w:rsid w:val="127203E1"/>
    <w:rsid w:val="127759F8"/>
    <w:rsid w:val="12922832"/>
    <w:rsid w:val="12B04A66"/>
    <w:rsid w:val="12B75DF4"/>
    <w:rsid w:val="12C329EB"/>
    <w:rsid w:val="12C64289"/>
    <w:rsid w:val="12C7072D"/>
    <w:rsid w:val="12CB18A0"/>
    <w:rsid w:val="12D746E8"/>
    <w:rsid w:val="12E34E3B"/>
    <w:rsid w:val="12E806A4"/>
    <w:rsid w:val="12ED1816"/>
    <w:rsid w:val="12EF1A32"/>
    <w:rsid w:val="12F17558"/>
    <w:rsid w:val="13182D37"/>
    <w:rsid w:val="1324792E"/>
    <w:rsid w:val="134578A4"/>
    <w:rsid w:val="134A4EBA"/>
    <w:rsid w:val="135E44C2"/>
    <w:rsid w:val="137361BF"/>
    <w:rsid w:val="137D0DEC"/>
    <w:rsid w:val="13914897"/>
    <w:rsid w:val="13A10F7E"/>
    <w:rsid w:val="13A26AA4"/>
    <w:rsid w:val="13B011C1"/>
    <w:rsid w:val="13B50586"/>
    <w:rsid w:val="13BD743A"/>
    <w:rsid w:val="13C407C9"/>
    <w:rsid w:val="13DF1AA7"/>
    <w:rsid w:val="13F37300"/>
    <w:rsid w:val="13FA068E"/>
    <w:rsid w:val="140C2170"/>
    <w:rsid w:val="140E1CE8"/>
    <w:rsid w:val="145D29CB"/>
    <w:rsid w:val="146D70B2"/>
    <w:rsid w:val="149208C7"/>
    <w:rsid w:val="14A625C4"/>
    <w:rsid w:val="14A95C11"/>
    <w:rsid w:val="14E60C13"/>
    <w:rsid w:val="14E8498B"/>
    <w:rsid w:val="14EF5D19"/>
    <w:rsid w:val="150B2427"/>
    <w:rsid w:val="15175270"/>
    <w:rsid w:val="15211C4B"/>
    <w:rsid w:val="15597637"/>
    <w:rsid w:val="1568787A"/>
    <w:rsid w:val="15724254"/>
    <w:rsid w:val="15783F61"/>
    <w:rsid w:val="159072D5"/>
    <w:rsid w:val="15A24B3A"/>
    <w:rsid w:val="15BB209F"/>
    <w:rsid w:val="15BE749A"/>
    <w:rsid w:val="15CC605B"/>
    <w:rsid w:val="15D8055B"/>
    <w:rsid w:val="15E213DA"/>
    <w:rsid w:val="15F64E85"/>
    <w:rsid w:val="15FA0A52"/>
    <w:rsid w:val="16007AB2"/>
    <w:rsid w:val="16133262"/>
    <w:rsid w:val="161D0664"/>
    <w:rsid w:val="16726C02"/>
    <w:rsid w:val="16842491"/>
    <w:rsid w:val="16946B78"/>
    <w:rsid w:val="169F1079"/>
    <w:rsid w:val="16C3120C"/>
    <w:rsid w:val="16C84A74"/>
    <w:rsid w:val="16E3365C"/>
    <w:rsid w:val="16E55626"/>
    <w:rsid w:val="16FB6BF7"/>
    <w:rsid w:val="17045380"/>
    <w:rsid w:val="17143815"/>
    <w:rsid w:val="17397720"/>
    <w:rsid w:val="174165D4"/>
    <w:rsid w:val="17457E73"/>
    <w:rsid w:val="17591B70"/>
    <w:rsid w:val="17680005"/>
    <w:rsid w:val="1776627E"/>
    <w:rsid w:val="17773DA4"/>
    <w:rsid w:val="177F691D"/>
    <w:rsid w:val="178169D1"/>
    <w:rsid w:val="179606CE"/>
    <w:rsid w:val="179B3F36"/>
    <w:rsid w:val="17A728DB"/>
    <w:rsid w:val="17AE3C6A"/>
    <w:rsid w:val="17B648CC"/>
    <w:rsid w:val="17CA65CA"/>
    <w:rsid w:val="17D47448"/>
    <w:rsid w:val="17D65BAB"/>
    <w:rsid w:val="17E92EF4"/>
    <w:rsid w:val="17EC4792"/>
    <w:rsid w:val="180E295A"/>
    <w:rsid w:val="182061EA"/>
    <w:rsid w:val="182E0907"/>
    <w:rsid w:val="184B14B9"/>
    <w:rsid w:val="18786026"/>
    <w:rsid w:val="18951461"/>
    <w:rsid w:val="18A24B33"/>
    <w:rsid w:val="18B54B84"/>
    <w:rsid w:val="18BA663E"/>
    <w:rsid w:val="18C82B09"/>
    <w:rsid w:val="18D314AE"/>
    <w:rsid w:val="18D55226"/>
    <w:rsid w:val="18F90F15"/>
    <w:rsid w:val="18FE560D"/>
    <w:rsid w:val="190F0738"/>
    <w:rsid w:val="1912647A"/>
    <w:rsid w:val="191C10A7"/>
    <w:rsid w:val="19397563"/>
    <w:rsid w:val="196071E6"/>
    <w:rsid w:val="19636CD6"/>
    <w:rsid w:val="197762DD"/>
    <w:rsid w:val="197902A7"/>
    <w:rsid w:val="19832ED4"/>
    <w:rsid w:val="198F7ACB"/>
    <w:rsid w:val="199C32C4"/>
    <w:rsid w:val="19D13C3F"/>
    <w:rsid w:val="19F65454"/>
    <w:rsid w:val="1A0E7548"/>
    <w:rsid w:val="1A150C75"/>
    <w:rsid w:val="1A206975"/>
    <w:rsid w:val="1A27385F"/>
    <w:rsid w:val="1A3F6DFB"/>
    <w:rsid w:val="1A50725A"/>
    <w:rsid w:val="1A5D3725"/>
    <w:rsid w:val="1A864A2A"/>
    <w:rsid w:val="1AB04E2D"/>
    <w:rsid w:val="1AB84DFF"/>
    <w:rsid w:val="1AE31E7C"/>
    <w:rsid w:val="1AE94FB9"/>
    <w:rsid w:val="1B102A3E"/>
    <w:rsid w:val="1B155DAE"/>
    <w:rsid w:val="1B281F85"/>
    <w:rsid w:val="1B46065D"/>
    <w:rsid w:val="1B5F12B0"/>
    <w:rsid w:val="1B632FBD"/>
    <w:rsid w:val="1B673160"/>
    <w:rsid w:val="1B79458F"/>
    <w:rsid w:val="1B7D7150"/>
    <w:rsid w:val="1B7E3953"/>
    <w:rsid w:val="1BA23AE5"/>
    <w:rsid w:val="1BAD4238"/>
    <w:rsid w:val="1BBF6165"/>
    <w:rsid w:val="1BE85270"/>
    <w:rsid w:val="1BFE2CE6"/>
    <w:rsid w:val="1C0F4EF3"/>
    <w:rsid w:val="1C353ED6"/>
    <w:rsid w:val="1C4050AC"/>
    <w:rsid w:val="1C4E7660"/>
    <w:rsid w:val="1C5446B4"/>
    <w:rsid w:val="1C5F19D6"/>
    <w:rsid w:val="1C730FDE"/>
    <w:rsid w:val="1C7B60E4"/>
    <w:rsid w:val="1C8E7BC6"/>
    <w:rsid w:val="1CA92C52"/>
    <w:rsid w:val="1CAA0778"/>
    <w:rsid w:val="1CAC2742"/>
    <w:rsid w:val="1CC45CDD"/>
    <w:rsid w:val="1CCC4B92"/>
    <w:rsid w:val="1CCC6940"/>
    <w:rsid w:val="1CD37CCF"/>
    <w:rsid w:val="1CD6156D"/>
    <w:rsid w:val="1CD83537"/>
    <w:rsid w:val="1CEB6DC6"/>
    <w:rsid w:val="1CF85987"/>
    <w:rsid w:val="1CFB4773"/>
    <w:rsid w:val="1CFF6D16"/>
    <w:rsid w:val="1D0460DA"/>
    <w:rsid w:val="1D0A3BBC"/>
    <w:rsid w:val="1D0B7468"/>
    <w:rsid w:val="1D6B6159"/>
    <w:rsid w:val="1D772D50"/>
    <w:rsid w:val="1D7F39B2"/>
    <w:rsid w:val="1D8965DF"/>
    <w:rsid w:val="1D8B67FB"/>
    <w:rsid w:val="1DA17DCD"/>
    <w:rsid w:val="1DAB47A7"/>
    <w:rsid w:val="1DB16262"/>
    <w:rsid w:val="1DC51D0D"/>
    <w:rsid w:val="1DF75C3F"/>
    <w:rsid w:val="1DFB572F"/>
    <w:rsid w:val="1E0C793C"/>
    <w:rsid w:val="1E29229C"/>
    <w:rsid w:val="1E311151"/>
    <w:rsid w:val="1E6A4663"/>
    <w:rsid w:val="1E71779F"/>
    <w:rsid w:val="1E780B2E"/>
    <w:rsid w:val="1E7828DC"/>
    <w:rsid w:val="1E7B061E"/>
    <w:rsid w:val="1E90231B"/>
    <w:rsid w:val="1EF36406"/>
    <w:rsid w:val="1F3031B6"/>
    <w:rsid w:val="1F314CE2"/>
    <w:rsid w:val="1F372797"/>
    <w:rsid w:val="1F4B6242"/>
    <w:rsid w:val="1F51312D"/>
    <w:rsid w:val="1F5A1E86"/>
    <w:rsid w:val="1F6414BC"/>
    <w:rsid w:val="1F647304"/>
    <w:rsid w:val="1F6C281F"/>
    <w:rsid w:val="1F881244"/>
    <w:rsid w:val="1FA15E62"/>
    <w:rsid w:val="1FB41730"/>
    <w:rsid w:val="1FC63B1B"/>
    <w:rsid w:val="1FDE2C12"/>
    <w:rsid w:val="1FF70178"/>
    <w:rsid w:val="1FF97A4C"/>
    <w:rsid w:val="20054643"/>
    <w:rsid w:val="200F742A"/>
    <w:rsid w:val="2020147D"/>
    <w:rsid w:val="203171E6"/>
    <w:rsid w:val="20436F19"/>
    <w:rsid w:val="20517888"/>
    <w:rsid w:val="205B0707"/>
    <w:rsid w:val="20731C5D"/>
    <w:rsid w:val="208E4638"/>
    <w:rsid w:val="20B532B2"/>
    <w:rsid w:val="20C067BC"/>
    <w:rsid w:val="20CE2C87"/>
    <w:rsid w:val="20D109C9"/>
    <w:rsid w:val="20FF5536"/>
    <w:rsid w:val="21005984"/>
    <w:rsid w:val="210C2DC4"/>
    <w:rsid w:val="21156B08"/>
    <w:rsid w:val="211D3C0E"/>
    <w:rsid w:val="21396212"/>
    <w:rsid w:val="214116AB"/>
    <w:rsid w:val="21466CC1"/>
    <w:rsid w:val="215A09BE"/>
    <w:rsid w:val="21645399"/>
    <w:rsid w:val="216B497A"/>
    <w:rsid w:val="2171504E"/>
    <w:rsid w:val="2177331E"/>
    <w:rsid w:val="21837F15"/>
    <w:rsid w:val="219C2D85"/>
    <w:rsid w:val="21A659B2"/>
    <w:rsid w:val="21C4408A"/>
    <w:rsid w:val="21D342CD"/>
    <w:rsid w:val="21D7200F"/>
    <w:rsid w:val="21E169EA"/>
    <w:rsid w:val="21ED35E0"/>
    <w:rsid w:val="21EF7359"/>
    <w:rsid w:val="220426D8"/>
    <w:rsid w:val="22252D7A"/>
    <w:rsid w:val="22266A67"/>
    <w:rsid w:val="223B434C"/>
    <w:rsid w:val="224A27E1"/>
    <w:rsid w:val="224A458F"/>
    <w:rsid w:val="225C2514"/>
    <w:rsid w:val="22981651"/>
    <w:rsid w:val="22B91715"/>
    <w:rsid w:val="22D16A5E"/>
    <w:rsid w:val="22D36C7A"/>
    <w:rsid w:val="22D402FC"/>
    <w:rsid w:val="22E542B8"/>
    <w:rsid w:val="22E569AE"/>
    <w:rsid w:val="22E91FFA"/>
    <w:rsid w:val="22F56BF1"/>
    <w:rsid w:val="22F83FEB"/>
    <w:rsid w:val="2302130E"/>
    <w:rsid w:val="232748D0"/>
    <w:rsid w:val="233139A1"/>
    <w:rsid w:val="233911DB"/>
    <w:rsid w:val="233C68DC"/>
    <w:rsid w:val="235D4796"/>
    <w:rsid w:val="237613B4"/>
    <w:rsid w:val="237A70F6"/>
    <w:rsid w:val="239161EE"/>
    <w:rsid w:val="2392443F"/>
    <w:rsid w:val="23983A20"/>
    <w:rsid w:val="23A83C63"/>
    <w:rsid w:val="23EA427B"/>
    <w:rsid w:val="23EE3640"/>
    <w:rsid w:val="240A66CC"/>
    <w:rsid w:val="240B2444"/>
    <w:rsid w:val="24231158"/>
    <w:rsid w:val="242A28CA"/>
    <w:rsid w:val="243674C1"/>
    <w:rsid w:val="24373239"/>
    <w:rsid w:val="24466FD8"/>
    <w:rsid w:val="244A6AC8"/>
    <w:rsid w:val="24596D0B"/>
    <w:rsid w:val="24826EA0"/>
    <w:rsid w:val="248F097F"/>
    <w:rsid w:val="249A1F8C"/>
    <w:rsid w:val="24AB0787"/>
    <w:rsid w:val="24C543A1"/>
    <w:rsid w:val="24CC1BD3"/>
    <w:rsid w:val="24CD76F9"/>
    <w:rsid w:val="24D64800"/>
    <w:rsid w:val="24DD6D25"/>
    <w:rsid w:val="24E0742D"/>
    <w:rsid w:val="24E8008F"/>
    <w:rsid w:val="252B4B4C"/>
    <w:rsid w:val="252F3F10"/>
    <w:rsid w:val="253B28B5"/>
    <w:rsid w:val="25494FD2"/>
    <w:rsid w:val="25506360"/>
    <w:rsid w:val="257242FD"/>
    <w:rsid w:val="257D2ECD"/>
    <w:rsid w:val="25956469"/>
    <w:rsid w:val="25981AB5"/>
    <w:rsid w:val="25A0096A"/>
    <w:rsid w:val="25A93CC2"/>
    <w:rsid w:val="25B3069D"/>
    <w:rsid w:val="25C74149"/>
    <w:rsid w:val="25EC3BAF"/>
    <w:rsid w:val="2601616B"/>
    <w:rsid w:val="26112CDF"/>
    <w:rsid w:val="26215F4F"/>
    <w:rsid w:val="265E2CFF"/>
    <w:rsid w:val="26747E2C"/>
    <w:rsid w:val="2681079B"/>
    <w:rsid w:val="26832765"/>
    <w:rsid w:val="2685028B"/>
    <w:rsid w:val="268504CC"/>
    <w:rsid w:val="26A56238"/>
    <w:rsid w:val="26B02E2F"/>
    <w:rsid w:val="26B446CD"/>
    <w:rsid w:val="26C2328E"/>
    <w:rsid w:val="26FB22FC"/>
    <w:rsid w:val="27027B2E"/>
    <w:rsid w:val="270D202F"/>
    <w:rsid w:val="27111B1F"/>
    <w:rsid w:val="27165388"/>
    <w:rsid w:val="271A64B4"/>
    <w:rsid w:val="273A2D9D"/>
    <w:rsid w:val="274A1985"/>
    <w:rsid w:val="27541A0C"/>
    <w:rsid w:val="276460F3"/>
    <w:rsid w:val="276E2ACE"/>
    <w:rsid w:val="27710810"/>
    <w:rsid w:val="27750300"/>
    <w:rsid w:val="2786250D"/>
    <w:rsid w:val="278E0648"/>
    <w:rsid w:val="27B32BD6"/>
    <w:rsid w:val="27C546B8"/>
    <w:rsid w:val="27DD5EA5"/>
    <w:rsid w:val="27E858C6"/>
    <w:rsid w:val="27F12FBB"/>
    <w:rsid w:val="27F136FF"/>
    <w:rsid w:val="27F51441"/>
    <w:rsid w:val="27F84A8D"/>
    <w:rsid w:val="281318C7"/>
    <w:rsid w:val="2835025F"/>
    <w:rsid w:val="283E4B96"/>
    <w:rsid w:val="28414686"/>
    <w:rsid w:val="28461C9C"/>
    <w:rsid w:val="284B72B3"/>
    <w:rsid w:val="284C4266"/>
    <w:rsid w:val="285443B9"/>
    <w:rsid w:val="28617C74"/>
    <w:rsid w:val="287E1436"/>
    <w:rsid w:val="288B76AF"/>
    <w:rsid w:val="289447B6"/>
    <w:rsid w:val="28AB7D51"/>
    <w:rsid w:val="28B210E0"/>
    <w:rsid w:val="28B773BB"/>
    <w:rsid w:val="28E03E9F"/>
    <w:rsid w:val="28F11C08"/>
    <w:rsid w:val="28F434A6"/>
    <w:rsid w:val="29361D11"/>
    <w:rsid w:val="29387837"/>
    <w:rsid w:val="2939710B"/>
    <w:rsid w:val="294F692F"/>
    <w:rsid w:val="2955644C"/>
    <w:rsid w:val="295B1778"/>
    <w:rsid w:val="295E3016"/>
    <w:rsid w:val="297168A5"/>
    <w:rsid w:val="2973261D"/>
    <w:rsid w:val="297445E7"/>
    <w:rsid w:val="29995DFC"/>
    <w:rsid w:val="299D58EC"/>
    <w:rsid w:val="29A9603F"/>
    <w:rsid w:val="29B82726"/>
    <w:rsid w:val="29BF3AB4"/>
    <w:rsid w:val="29BF5492"/>
    <w:rsid w:val="29CD16D5"/>
    <w:rsid w:val="29CE019B"/>
    <w:rsid w:val="29D60DFE"/>
    <w:rsid w:val="29E74DB9"/>
    <w:rsid w:val="2A17569E"/>
    <w:rsid w:val="2A180FFC"/>
    <w:rsid w:val="2A1B4A63"/>
    <w:rsid w:val="2A202079"/>
    <w:rsid w:val="2A2102CB"/>
    <w:rsid w:val="2A391AB9"/>
    <w:rsid w:val="2A495108"/>
    <w:rsid w:val="2A566E5D"/>
    <w:rsid w:val="2A6E1037"/>
    <w:rsid w:val="2A6F54DA"/>
    <w:rsid w:val="2A88034A"/>
    <w:rsid w:val="2A9A1E2C"/>
    <w:rsid w:val="2AAA4765"/>
    <w:rsid w:val="2AB078A1"/>
    <w:rsid w:val="2AD76BDC"/>
    <w:rsid w:val="2AE568ED"/>
    <w:rsid w:val="2B0674C1"/>
    <w:rsid w:val="2B2D2CA0"/>
    <w:rsid w:val="2B807273"/>
    <w:rsid w:val="2B8C3E6A"/>
    <w:rsid w:val="2BC25ADE"/>
    <w:rsid w:val="2BCC4267"/>
    <w:rsid w:val="2BCE7FDF"/>
    <w:rsid w:val="2BEB6DE3"/>
    <w:rsid w:val="2BEF61A7"/>
    <w:rsid w:val="2BF437BD"/>
    <w:rsid w:val="2BF832AE"/>
    <w:rsid w:val="2C0425C4"/>
    <w:rsid w:val="2C1A1476"/>
    <w:rsid w:val="2C506C46"/>
    <w:rsid w:val="2C666469"/>
    <w:rsid w:val="2C770676"/>
    <w:rsid w:val="2C7C7A3B"/>
    <w:rsid w:val="2C8965FC"/>
    <w:rsid w:val="2CA64AB8"/>
    <w:rsid w:val="2CB847EB"/>
    <w:rsid w:val="2CC6515A"/>
    <w:rsid w:val="2CD535EF"/>
    <w:rsid w:val="2CE657FC"/>
    <w:rsid w:val="2D016192"/>
    <w:rsid w:val="2D0637A8"/>
    <w:rsid w:val="2D0B7C88"/>
    <w:rsid w:val="2D15390A"/>
    <w:rsid w:val="2D7D7F0E"/>
    <w:rsid w:val="2D8D3ECA"/>
    <w:rsid w:val="2DA27975"/>
    <w:rsid w:val="2DB11966"/>
    <w:rsid w:val="2DBD030B"/>
    <w:rsid w:val="2DC55411"/>
    <w:rsid w:val="2DEA30CA"/>
    <w:rsid w:val="2E141EF5"/>
    <w:rsid w:val="2E1A39AF"/>
    <w:rsid w:val="2E20089A"/>
    <w:rsid w:val="2E2C36E3"/>
    <w:rsid w:val="2E3F6F72"/>
    <w:rsid w:val="2E403D5D"/>
    <w:rsid w:val="2E6E7857"/>
    <w:rsid w:val="2E731311"/>
    <w:rsid w:val="2E750BE6"/>
    <w:rsid w:val="2E7A61FC"/>
    <w:rsid w:val="2E9574DA"/>
    <w:rsid w:val="2EA414CB"/>
    <w:rsid w:val="2EB07E70"/>
    <w:rsid w:val="2EB86D24"/>
    <w:rsid w:val="2EF22236"/>
    <w:rsid w:val="2EFE6E2D"/>
    <w:rsid w:val="2F032695"/>
    <w:rsid w:val="2F0E4B96"/>
    <w:rsid w:val="2F3C7955"/>
    <w:rsid w:val="2F3E36CD"/>
    <w:rsid w:val="2F6A44C2"/>
    <w:rsid w:val="2F7E3ACA"/>
    <w:rsid w:val="2F8F217B"/>
    <w:rsid w:val="2F8F5CD7"/>
    <w:rsid w:val="2F9B0B20"/>
    <w:rsid w:val="2FAC6889"/>
    <w:rsid w:val="2FCF2577"/>
    <w:rsid w:val="2FEE6EA1"/>
    <w:rsid w:val="300246FB"/>
    <w:rsid w:val="300F506A"/>
    <w:rsid w:val="302723B3"/>
    <w:rsid w:val="30281C88"/>
    <w:rsid w:val="30316D8E"/>
    <w:rsid w:val="30354AD0"/>
    <w:rsid w:val="305D5DD5"/>
    <w:rsid w:val="305F38FB"/>
    <w:rsid w:val="30651D5D"/>
    <w:rsid w:val="307F7AFA"/>
    <w:rsid w:val="30847806"/>
    <w:rsid w:val="30890978"/>
    <w:rsid w:val="308C0468"/>
    <w:rsid w:val="309A0DD7"/>
    <w:rsid w:val="30A21A3A"/>
    <w:rsid w:val="30A27C8C"/>
    <w:rsid w:val="30B5176D"/>
    <w:rsid w:val="30BA5542"/>
    <w:rsid w:val="30BC0D4E"/>
    <w:rsid w:val="30C65728"/>
    <w:rsid w:val="30D37E45"/>
    <w:rsid w:val="30E12562"/>
    <w:rsid w:val="30E402A4"/>
    <w:rsid w:val="30E97669"/>
    <w:rsid w:val="310B75DF"/>
    <w:rsid w:val="310E0E7D"/>
    <w:rsid w:val="31197F4E"/>
    <w:rsid w:val="313C3C3D"/>
    <w:rsid w:val="31434FCB"/>
    <w:rsid w:val="31442AF1"/>
    <w:rsid w:val="31615451"/>
    <w:rsid w:val="317433D6"/>
    <w:rsid w:val="31771119"/>
    <w:rsid w:val="318D4498"/>
    <w:rsid w:val="31903F88"/>
    <w:rsid w:val="31A16195"/>
    <w:rsid w:val="31BB1005"/>
    <w:rsid w:val="31BC4006"/>
    <w:rsid w:val="31EA5447"/>
    <w:rsid w:val="320A5AE9"/>
    <w:rsid w:val="320F4EAD"/>
    <w:rsid w:val="32130E41"/>
    <w:rsid w:val="322C5A5F"/>
    <w:rsid w:val="325154C6"/>
    <w:rsid w:val="32522841"/>
    <w:rsid w:val="327613D0"/>
    <w:rsid w:val="32894C60"/>
    <w:rsid w:val="328E671A"/>
    <w:rsid w:val="3296737C"/>
    <w:rsid w:val="32BA12BD"/>
    <w:rsid w:val="32BF68D3"/>
    <w:rsid w:val="32D83E39"/>
    <w:rsid w:val="32E14A9C"/>
    <w:rsid w:val="32E4458C"/>
    <w:rsid w:val="32EC51EE"/>
    <w:rsid w:val="32FA3DAF"/>
    <w:rsid w:val="32FD564D"/>
    <w:rsid w:val="3307027A"/>
    <w:rsid w:val="33114C55"/>
    <w:rsid w:val="333252F7"/>
    <w:rsid w:val="3342165C"/>
    <w:rsid w:val="33480D97"/>
    <w:rsid w:val="33595455"/>
    <w:rsid w:val="33657DA9"/>
    <w:rsid w:val="33664FA1"/>
    <w:rsid w:val="33835B53"/>
    <w:rsid w:val="33977850"/>
    <w:rsid w:val="339F04B3"/>
    <w:rsid w:val="33A1247D"/>
    <w:rsid w:val="33D068BE"/>
    <w:rsid w:val="33DA5F86"/>
    <w:rsid w:val="33E365F1"/>
    <w:rsid w:val="33E660E2"/>
    <w:rsid w:val="33EA3E24"/>
    <w:rsid w:val="3416085D"/>
    <w:rsid w:val="3437693D"/>
    <w:rsid w:val="343B75D9"/>
    <w:rsid w:val="343C3F54"/>
    <w:rsid w:val="344F1ED9"/>
    <w:rsid w:val="345B087E"/>
    <w:rsid w:val="34665B7F"/>
    <w:rsid w:val="346A0AC1"/>
    <w:rsid w:val="34845AB5"/>
    <w:rsid w:val="349873DC"/>
    <w:rsid w:val="349E076A"/>
    <w:rsid w:val="34BB30CA"/>
    <w:rsid w:val="34D04DC8"/>
    <w:rsid w:val="34DA1486"/>
    <w:rsid w:val="34FA62E8"/>
    <w:rsid w:val="34FD7B87"/>
    <w:rsid w:val="35131158"/>
    <w:rsid w:val="35170C48"/>
    <w:rsid w:val="351C03B3"/>
    <w:rsid w:val="352256B5"/>
    <w:rsid w:val="353D61D5"/>
    <w:rsid w:val="355157DD"/>
    <w:rsid w:val="355D23D3"/>
    <w:rsid w:val="35617704"/>
    <w:rsid w:val="358362DE"/>
    <w:rsid w:val="358A08C4"/>
    <w:rsid w:val="358D0F0B"/>
    <w:rsid w:val="3598340C"/>
    <w:rsid w:val="359E6C74"/>
    <w:rsid w:val="35A5188A"/>
    <w:rsid w:val="35B77D36"/>
    <w:rsid w:val="35BA15D4"/>
    <w:rsid w:val="35CD57AB"/>
    <w:rsid w:val="35DE52C2"/>
    <w:rsid w:val="35E36D7D"/>
    <w:rsid w:val="35E84393"/>
    <w:rsid w:val="35F965A0"/>
    <w:rsid w:val="35FD3123"/>
    <w:rsid w:val="3627310D"/>
    <w:rsid w:val="364517E5"/>
    <w:rsid w:val="364B03CB"/>
    <w:rsid w:val="365B4B65"/>
    <w:rsid w:val="365D6B2F"/>
    <w:rsid w:val="366003CD"/>
    <w:rsid w:val="366B28CE"/>
    <w:rsid w:val="367E0853"/>
    <w:rsid w:val="367E2601"/>
    <w:rsid w:val="368A43CE"/>
    <w:rsid w:val="36C546D4"/>
    <w:rsid w:val="36D14E27"/>
    <w:rsid w:val="36D30B9F"/>
    <w:rsid w:val="36DB5CA6"/>
    <w:rsid w:val="36F154C9"/>
    <w:rsid w:val="36F56D67"/>
    <w:rsid w:val="370E7E29"/>
    <w:rsid w:val="37307DA0"/>
    <w:rsid w:val="37353608"/>
    <w:rsid w:val="37422391"/>
    <w:rsid w:val="378E4AC6"/>
    <w:rsid w:val="37985945"/>
    <w:rsid w:val="37A34A15"/>
    <w:rsid w:val="37A72EE6"/>
    <w:rsid w:val="37BF0713"/>
    <w:rsid w:val="37EB016A"/>
    <w:rsid w:val="37FC5ED4"/>
    <w:rsid w:val="37FF7772"/>
    <w:rsid w:val="381E22EE"/>
    <w:rsid w:val="384A0EEA"/>
    <w:rsid w:val="385E26EA"/>
    <w:rsid w:val="387939C8"/>
    <w:rsid w:val="387B14EE"/>
    <w:rsid w:val="388008B3"/>
    <w:rsid w:val="388F4F9A"/>
    <w:rsid w:val="38AC16A8"/>
    <w:rsid w:val="38B36EDA"/>
    <w:rsid w:val="38C06F01"/>
    <w:rsid w:val="38C84008"/>
    <w:rsid w:val="392748D4"/>
    <w:rsid w:val="393022D9"/>
    <w:rsid w:val="39504729"/>
    <w:rsid w:val="39551D3F"/>
    <w:rsid w:val="396629B0"/>
    <w:rsid w:val="396B1563"/>
    <w:rsid w:val="3971469F"/>
    <w:rsid w:val="39730417"/>
    <w:rsid w:val="397F6DBC"/>
    <w:rsid w:val="39842625"/>
    <w:rsid w:val="398B39B3"/>
    <w:rsid w:val="39930ABA"/>
    <w:rsid w:val="39B12788"/>
    <w:rsid w:val="39B50A30"/>
    <w:rsid w:val="39BA6046"/>
    <w:rsid w:val="39D52E80"/>
    <w:rsid w:val="39DF785B"/>
    <w:rsid w:val="39F03816"/>
    <w:rsid w:val="39F552D0"/>
    <w:rsid w:val="39F94DC1"/>
    <w:rsid w:val="3A00614F"/>
    <w:rsid w:val="3A085004"/>
    <w:rsid w:val="3A2B2B31"/>
    <w:rsid w:val="3A2E433E"/>
    <w:rsid w:val="3A39340F"/>
    <w:rsid w:val="3A3E0A25"/>
    <w:rsid w:val="3A52002D"/>
    <w:rsid w:val="3A654204"/>
    <w:rsid w:val="3A6A7A6C"/>
    <w:rsid w:val="3A9C574C"/>
    <w:rsid w:val="3AB72586"/>
    <w:rsid w:val="3AD35612"/>
    <w:rsid w:val="3AD4138A"/>
    <w:rsid w:val="3AD66EB0"/>
    <w:rsid w:val="3ADE5D64"/>
    <w:rsid w:val="3AE3337B"/>
    <w:rsid w:val="3AED3D86"/>
    <w:rsid w:val="3AF9494C"/>
    <w:rsid w:val="3AFE1F63"/>
    <w:rsid w:val="3B0532F1"/>
    <w:rsid w:val="3B082DE1"/>
    <w:rsid w:val="3B143534"/>
    <w:rsid w:val="3B1479D8"/>
    <w:rsid w:val="3B53405D"/>
    <w:rsid w:val="3B697D24"/>
    <w:rsid w:val="3B6B584A"/>
    <w:rsid w:val="3B8B7C9A"/>
    <w:rsid w:val="3B950B19"/>
    <w:rsid w:val="3B9E54DA"/>
    <w:rsid w:val="3BA23236"/>
    <w:rsid w:val="3BBF5BAA"/>
    <w:rsid w:val="3BBF7944"/>
    <w:rsid w:val="3BC82C9D"/>
    <w:rsid w:val="3BCE7B87"/>
    <w:rsid w:val="3BD50F16"/>
    <w:rsid w:val="3BE41159"/>
    <w:rsid w:val="3BE61375"/>
    <w:rsid w:val="3C0435A9"/>
    <w:rsid w:val="3C1057FB"/>
    <w:rsid w:val="3C1557B6"/>
    <w:rsid w:val="3C1934F8"/>
    <w:rsid w:val="3C3A346E"/>
    <w:rsid w:val="3C3F2833"/>
    <w:rsid w:val="3C526A0A"/>
    <w:rsid w:val="3C832E40"/>
    <w:rsid w:val="3C8A61A4"/>
    <w:rsid w:val="3C9708C1"/>
    <w:rsid w:val="3CA32DC2"/>
    <w:rsid w:val="3CC80A7A"/>
    <w:rsid w:val="3CCA65A0"/>
    <w:rsid w:val="3CDE3DFA"/>
    <w:rsid w:val="3CEC4769"/>
    <w:rsid w:val="3D08531B"/>
    <w:rsid w:val="3D143CBF"/>
    <w:rsid w:val="3D404AB5"/>
    <w:rsid w:val="3D406863"/>
    <w:rsid w:val="3D491BBB"/>
    <w:rsid w:val="3D5440BC"/>
    <w:rsid w:val="3D625643"/>
    <w:rsid w:val="3D6267D9"/>
    <w:rsid w:val="3D6C58AA"/>
    <w:rsid w:val="3D714C6E"/>
    <w:rsid w:val="3D74475E"/>
    <w:rsid w:val="3D804EB1"/>
    <w:rsid w:val="3D8B21D4"/>
    <w:rsid w:val="3D8F7BCA"/>
    <w:rsid w:val="3D9B7F3D"/>
    <w:rsid w:val="3DA9265A"/>
    <w:rsid w:val="3DB64D77"/>
    <w:rsid w:val="3DC2371B"/>
    <w:rsid w:val="3DDA2813"/>
    <w:rsid w:val="3DE418E4"/>
    <w:rsid w:val="3DF02037"/>
    <w:rsid w:val="3DF8713D"/>
    <w:rsid w:val="3DFB09DB"/>
    <w:rsid w:val="3E0C635B"/>
    <w:rsid w:val="3E111FAD"/>
    <w:rsid w:val="3E171CB9"/>
    <w:rsid w:val="3E2972F7"/>
    <w:rsid w:val="3E3C527C"/>
    <w:rsid w:val="3E506F79"/>
    <w:rsid w:val="3E6B790F"/>
    <w:rsid w:val="3E8409D1"/>
    <w:rsid w:val="3E895FE7"/>
    <w:rsid w:val="3E976956"/>
    <w:rsid w:val="3EA11583"/>
    <w:rsid w:val="3EB40B13"/>
    <w:rsid w:val="3EBE4E2C"/>
    <w:rsid w:val="3EC90398"/>
    <w:rsid w:val="3ED90D1D"/>
    <w:rsid w:val="3ED92ACB"/>
    <w:rsid w:val="3EDE6333"/>
    <w:rsid w:val="3EF94F1B"/>
    <w:rsid w:val="3F055FB6"/>
    <w:rsid w:val="3F12205B"/>
    <w:rsid w:val="3F122481"/>
    <w:rsid w:val="3F261A88"/>
    <w:rsid w:val="3F382BBF"/>
    <w:rsid w:val="3F397A0D"/>
    <w:rsid w:val="3F620D12"/>
    <w:rsid w:val="3F6C7DE3"/>
    <w:rsid w:val="3F6F342F"/>
    <w:rsid w:val="3F9E5AC2"/>
    <w:rsid w:val="3FA05CDE"/>
    <w:rsid w:val="3FC01EDD"/>
    <w:rsid w:val="3FE71217"/>
    <w:rsid w:val="3FEE07F8"/>
    <w:rsid w:val="3FFA719D"/>
    <w:rsid w:val="4004626D"/>
    <w:rsid w:val="40061FE5"/>
    <w:rsid w:val="403A3A3D"/>
    <w:rsid w:val="404448BC"/>
    <w:rsid w:val="4047615A"/>
    <w:rsid w:val="40493C80"/>
    <w:rsid w:val="404C551E"/>
    <w:rsid w:val="405D597D"/>
    <w:rsid w:val="40664957"/>
    <w:rsid w:val="406B1E48"/>
    <w:rsid w:val="407A208B"/>
    <w:rsid w:val="40953369"/>
    <w:rsid w:val="40956EC5"/>
    <w:rsid w:val="409969B6"/>
    <w:rsid w:val="409A44DC"/>
    <w:rsid w:val="409F7D44"/>
    <w:rsid w:val="40A1586A"/>
    <w:rsid w:val="40A23390"/>
    <w:rsid w:val="40B03CFF"/>
    <w:rsid w:val="40BE01CA"/>
    <w:rsid w:val="40DE261A"/>
    <w:rsid w:val="40ED0AAF"/>
    <w:rsid w:val="40F55BB6"/>
    <w:rsid w:val="410E308C"/>
    <w:rsid w:val="41322966"/>
    <w:rsid w:val="413B7A6D"/>
    <w:rsid w:val="414A217E"/>
    <w:rsid w:val="415428DD"/>
    <w:rsid w:val="41686388"/>
    <w:rsid w:val="41B65345"/>
    <w:rsid w:val="41DB2FFE"/>
    <w:rsid w:val="41E2613A"/>
    <w:rsid w:val="41EA4FEF"/>
    <w:rsid w:val="41EC0D67"/>
    <w:rsid w:val="420F4A55"/>
    <w:rsid w:val="423544BC"/>
    <w:rsid w:val="423D7815"/>
    <w:rsid w:val="4242307D"/>
    <w:rsid w:val="42663905"/>
    <w:rsid w:val="42674891"/>
    <w:rsid w:val="42870A90"/>
    <w:rsid w:val="42935686"/>
    <w:rsid w:val="42A11B51"/>
    <w:rsid w:val="42D33CD5"/>
    <w:rsid w:val="42DE4B54"/>
    <w:rsid w:val="42EE0B0F"/>
    <w:rsid w:val="42FF2D1C"/>
    <w:rsid w:val="43014CE6"/>
    <w:rsid w:val="432D7889"/>
    <w:rsid w:val="4359067E"/>
    <w:rsid w:val="435B2648"/>
    <w:rsid w:val="436063F4"/>
    <w:rsid w:val="439B3F77"/>
    <w:rsid w:val="43B43B06"/>
    <w:rsid w:val="43BF2BD7"/>
    <w:rsid w:val="43CA157C"/>
    <w:rsid w:val="43E4263E"/>
    <w:rsid w:val="43EC32A0"/>
    <w:rsid w:val="43F81C45"/>
    <w:rsid w:val="44024872"/>
    <w:rsid w:val="44112D07"/>
    <w:rsid w:val="443469F5"/>
    <w:rsid w:val="4446478D"/>
    <w:rsid w:val="44625241"/>
    <w:rsid w:val="44896D41"/>
    <w:rsid w:val="44BA6EFA"/>
    <w:rsid w:val="44C77869"/>
    <w:rsid w:val="44E146AB"/>
    <w:rsid w:val="44E977E0"/>
    <w:rsid w:val="44FF0DB1"/>
    <w:rsid w:val="45046549"/>
    <w:rsid w:val="45232CF2"/>
    <w:rsid w:val="453C3DB3"/>
    <w:rsid w:val="454809AA"/>
    <w:rsid w:val="45575091"/>
    <w:rsid w:val="455C1ADE"/>
    <w:rsid w:val="455C4456"/>
    <w:rsid w:val="45701CAF"/>
    <w:rsid w:val="457F1EF2"/>
    <w:rsid w:val="458F0387"/>
    <w:rsid w:val="459E05CA"/>
    <w:rsid w:val="45AF0A29"/>
    <w:rsid w:val="45C36261"/>
    <w:rsid w:val="45CC270F"/>
    <w:rsid w:val="45CD0EAF"/>
    <w:rsid w:val="45D61B06"/>
    <w:rsid w:val="45E72C6B"/>
    <w:rsid w:val="460D5750"/>
    <w:rsid w:val="462A00B0"/>
    <w:rsid w:val="46375641"/>
    <w:rsid w:val="463F1DAD"/>
    <w:rsid w:val="4656185A"/>
    <w:rsid w:val="466510E8"/>
    <w:rsid w:val="466730B2"/>
    <w:rsid w:val="469519CD"/>
    <w:rsid w:val="4698770F"/>
    <w:rsid w:val="469A3298"/>
    <w:rsid w:val="46B06807"/>
    <w:rsid w:val="46B62008"/>
    <w:rsid w:val="46BD7176"/>
    <w:rsid w:val="46BF2EEE"/>
    <w:rsid w:val="46C202E8"/>
    <w:rsid w:val="46C422B2"/>
    <w:rsid w:val="46CB53EF"/>
    <w:rsid w:val="46DF71D5"/>
    <w:rsid w:val="46F10BCE"/>
    <w:rsid w:val="46FD0811"/>
    <w:rsid w:val="46FF153C"/>
    <w:rsid w:val="4710374A"/>
    <w:rsid w:val="472E597E"/>
    <w:rsid w:val="47382C65"/>
    <w:rsid w:val="473F7B8B"/>
    <w:rsid w:val="474156B1"/>
    <w:rsid w:val="475E6263"/>
    <w:rsid w:val="476060E7"/>
    <w:rsid w:val="476F0470"/>
    <w:rsid w:val="47C577F2"/>
    <w:rsid w:val="47D66741"/>
    <w:rsid w:val="47E81FD1"/>
    <w:rsid w:val="47EF15B1"/>
    <w:rsid w:val="47F646ED"/>
    <w:rsid w:val="47F70466"/>
    <w:rsid w:val="47F72214"/>
    <w:rsid w:val="48376AB4"/>
    <w:rsid w:val="483B0352"/>
    <w:rsid w:val="484916ED"/>
    <w:rsid w:val="484C6A03"/>
    <w:rsid w:val="4856518C"/>
    <w:rsid w:val="485853A8"/>
    <w:rsid w:val="485D651B"/>
    <w:rsid w:val="48623B31"/>
    <w:rsid w:val="48677399"/>
    <w:rsid w:val="488241D3"/>
    <w:rsid w:val="4884619D"/>
    <w:rsid w:val="48853CC3"/>
    <w:rsid w:val="488C32A4"/>
    <w:rsid w:val="489A151D"/>
    <w:rsid w:val="489F6B33"/>
    <w:rsid w:val="48AE321A"/>
    <w:rsid w:val="48E24C72"/>
    <w:rsid w:val="48EB7FCA"/>
    <w:rsid w:val="48FC21D7"/>
    <w:rsid w:val="49107A31"/>
    <w:rsid w:val="49144E77"/>
    <w:rsid w:val="49180694"/>
    <w:rsid w:val="491D3EFC"/>
    <w:rsid w:val="49296D45"/>
    <w:rsid w:val="49325BF9"/>
    <w:rsid w:val="4948541D"/>
    <w:rsid w:val="496B110B"/>
    <w:rsid w:val="4981092F"/>
    <w:rsid w:val="498B70B7"/>
    <w:rsid w:val="49940662"/>
    <w:rsid w:val="499E328F"/>
    <w:rsid w:val="49A60395"/>
    <w:rsid w:val="49B303BC"/>
    <w:rsid w:val="49BE123B"/>
    <w:rsid w:val="49DB1DED"/>
    <w:rsid w:val="49F41101"/>
    <w:rsid w:val="49FC1D63"/>
    <w:rsid w:val="4A174DEF"/>
    <w:rsid w:val="4A253068"/>
    <w:rsid w:val="4A266DE0"/>
    <w:rsid w:val="4A2A2D74"/>
    <w:rsid w:val="4A2D4613"/>
    <w:rsid w:val="4A3316C9"/>
    <w:rsid w:val="4A54394D"/>
    <w:rsid w:val="4A6D4A0F"/>
    <w:rsid w:val="4A881849"/>
    <w:rsid w:val="4A8A3813"/>
    <w:rsid w:val="4ABF34BD"/>
    <w:rsid w:val="4ACA1E61"/>
    <w:rsid w:val="4AD36DEF"/>
    <w:rsid w:val="4AD625B4"/>
    <w:rsid w:val="4AF3760A"/>
    <w:rsid w:val="4AFB201B"/>
    <w:rsid w:val="4AFF5FAF"/>
    <w:rsid w:val="4B0B4954"/>
    <w:rsid w:val="4B0D06CC"/>
    <w:rsid w:val="4B1D01E3"/>
    <w:rsid w:val="4B4B4D50"/>
    <w:rsid w:val="4B693428"/>
    <w:rsid w:val="4B756271"/>
    <w:rsid w:val="4B7A5635"/>
    <w:rsid w:val="4B863FDA"/>
    <w:rsid w:val="4B8D776B"/>
    <w:rsid w:val="4BAF1783"/>
    <w:rsid w:val="4BB9615E"/>
    <w:rsid w:val="4BC92119"/>
    <w:rsid w:val="4BD51A25"/>
    <w:rsid w:val="4BDA60D4"/>
    <w:rsid w:val="4BDF36EB"/>
    <w:rsid w:val="4BE17463"/>
    <w:rsid w:val="4BEB6533"/>
    <w:rsid w:val="4BF54CBC"/>
    <w:rsid w:val="4BFC24EE"/>
    <w:rsid w:val="4C207F8B"/>
    <w:rsid w:val="4C251A45"/>
    <w:rsid w:val="4C39104D"/>
    <w:rsid w:val="4C3C28EB"/>
    <w:rsid w:val="4C4507B6"/>
    <w:rsid w:val="4C4F0870"/>
    <w:rsid w:val="4C83676C"/>
    <w:rsid w:val="4C8C0DCC"/>
    <w:rsid w:val="4C8C5620"/>
    <w:rsid w:val="4CA74986"/>
    <w:rsid w:val="4CAC5CC3"/>
    <w:rsid w:val="4CAF57B3"/>
    <w:rsid w:val="4CB132D9"/>
    <w:rsid w:val="4CBA03DF"/>
    <w:rsid w:val="4CBD3A2C"/>
    <w:rsid w:val="4CC36B68"/>
    <w:rsid w:val="4CCE5C39"/>
    <w:rsid w:val="4CD3324F"/>
    <w:rsid w:val="4CE23492"/>
    <w:rsid w:val="4CEF795D"/>
    <w:rsid w:val="4CF3744D"/>
    <w:rsid w:val="4D115B26"/>
    <w:rsid w:val="4D1D271C"/>
    <w:rsid w:val="4D2717ED"/>
    <w:rsid w:val="4D3B0DF4"/>
    <w:rsid w:val="4D5123C6"/>
    <w:rsid w:val="4D573E80"/>
    <w:rsid w:val="4D5A3970"/>
    <w:rsid w:val="4D5F4AE3"/>
    <w:rsid w:val="4D602609"/>
    <w:rsid w:val="4D671BE9"/>
    <w:rsid w:val="4D7F6F33"/>
    <w:rsid w:val="4D956757"/>
    <w:rsid w:val="4D9A1FBF"/>
    <w:rsid w:val="4D9C1893"/>
    <w:rsid w:val="4D9D560B"/>
    <w:rsid w:val="4DA370C6"/>
    <w:rsid w:val="4DAB5F7A"/>
    <w:rsid w:val="4DD454D1"/>
    <w:rsid w:val="4DDF5C24"/>
    <w:rsid w:val="4DE60D60"/>
    <w:rsid w:val="4DED6593"/>
    <w:rsid w:val="4E035DB6"/>
    <w:rsid w:val="4E0538DC"/>
    <w:rsid w:val="4E265601"/>
    <w:rsid w:val="4E2A3343"/>
    <w:rsid w:val="4E2B70BB"/>
    <w:rsid w:val="4E4D7031"/>
    <w:rsid w:val="4E6879C7"/>
    <w:rsid w:val="4E6D3230"/>
    <w:rsid w:val="4E8A3DE2"/>
    <w:rsid w:val="4E915170"/>
    <w:rsid w:val="4EC05A55"/>
    <w:rsid w:val="4ECA787A"/>
    <w:rsid w:val="4ECC264C"/>
    <w:rsid w:val="4EF94AC3"/>
    <w:rsid w:val="4EFD2805"/>
    <w:rsid w:val="4F132029"/>
    <w:rsid w:val="4F147B4F"/>
    <w:rsid w:val="4F1D2EA8"/>
    <w:rsid w:val="4F1F09CE"/>
    <w:rsid w:val="4F2A7373"/>
    <w:rsid w:val="4F463BC5"/>
    <w:rsid w:val="4F4C1097"/>
    <w:rsid w:val="4F5368C9"/>
    <w:rsid w:val="4F675A90"/>
    <w:rsid w:val="4F7800DE"/>
    <w:rsid w:val="4F7A20A8"/>
    <w:rsid w:val="4F85275A"/>
    <w:rsid w:val="4FA445A2"/>
    <w:rsid w:val="4FA47125"/>
    <w:rsid w:val="4FB05ACA"/>
    <w:rsid w:val="4FC155E1"/>
    <w:rsid w:val="4FCE41A2"/>
    <w:rsid w:val="4FF736F9"/>
    <w:rsid w:val="50033E4B"/>
    <w:rsid w:val="50047BC4"/>
    <w:rsid w:val="50100316"/>
    <w:rsid w:val="50121643"/>
    <w:rsid w:val="5015592D"/>
    <w:rsid w:val="503404A9"/>
    <w:rsid w:val="50371D47"/>
    <w:rsid w:val="50483F54"/>
    <w:rsid w:val="505B4E32"/>
    <w:rsid w:val="50632B3C"/>
    <w:rsid w:val="506643DA"/>
    <w:rsid w:val="508B3E41"/>
    <w:rsid w:val="508D5E0B"/>
    <w:rsid w:val="50903205"/>
    <w:rsid w:val="509176A9"/>
    <w:rsid w:val="50A3118B"/>
    <w:rsid w:val="50A54F03"/>
    <w:rsid w:val="50A76ECD"/>
    <w:rsid w:val="50B82E88"/>
    <w:rsid w:val="50DC2AD2"/>
    <w:rsid w:val="50E579F5"/>
    <w:rsid w:val="50F42FB7"/>
    <w:rsid w:val="50F814D6"/>
    <w:rsid w:val="50FB4B23"/>
    <w:rsid w:val="51422751"/>
    <w:rsid w:val="514A5AAA"/>
    <w:rsid w:val="51542485"/>
    <w:rsid w:val="515B1A65"/>
    <w:rsid w:val="51646B6C"/>
    <w:rsid w:val="5167040A"/>
    <w:rsid w:val="516E79EA"/>
    <w:rsid w:val="517862DB"/>
    <w:rsid w:val="5187285A"/>
    <w:rsid w:val="518C7E71"/>
    <w:rsid w:val="51937451"/>
    <w:rsid w:val="51C4585C"/>
    <w:rsid w:val="51D33CF1"/>
    <w:rsid w:val="51D6733E"/>
    <w:rsid w:val="51E23F34"/>
    <w:rsid w:val="51E468B7"/>
    <w:rsid w:val="51E8779D"/>
    <w:rsid w:val="52120376"/>
    <w:rsid w:val="52241ACF"/>
    <w:rsid w:val="52306A4E"/>
    <w:rsid w:val="52391DA6"/>
    <w:rsid w:val="52416EAD"/>
    <w:rsid w:val="524F15CA"/>
    <w:rsid w:val="52592449"/>
    <w:rsid w:val="525A7F6F"/>
    <w:rsid w:val="525C5A95"/>
    <w:rsid w:val="52662470"/>
    <w:rsid w:val="52884ADC"/>
    <w:rsid w:val="529C40E3"/>
    <w:rsid w:val="52F757BE"/>
    <w:rsid w:val="53071EA5"/>
    <w:rsid w:val="53114AD1"/>
    <w:rsid w:val="531719BC"/>
    <w:rsid w:val="53204D14"/>
    <w:rsid w:val="535E583D"/>
    <w:rsid w:val="53740BBC"/>
    <w:rsid w:val="537A2677"/>
    <w:rsid w:val="5386726D"/>
    <w:rsid w:val="538F59F6"/>
    <w:rsid w:val="53A63906"/>
    <w:rsid w:val="53BB67EB"/>
    <w:rsid w:val="53C658BC"/>
    <w:rsid w:val="53CB2ED2"/>
    <w:rsid w:val="53CC3D29"/>
    <w:rsid w:val="53EB70D0"/>
    <w:rsid w:val="540B1521"/>
    <w:rsid w:val="54134879"/>
    <w:rsid w:val="54260108"/>
    <w:rsid w:val="54346EBC"/>
    <w:rsid w:val="545A2D73"/>
    <w:rsid w:val="54624EB9"/>
    <w:rsid w:val="54A43723"/>
    <w:rsid w:val="54AC059B"/>
    <w:rsid w:val="54C142D5"/>
    <w:rsid w:val="54CA13DC"/>
    <w:rsid w:val="54CF254E"/>
    <w:rsid w:val="54D1276A"/>
    <w:rsid w:val="54D2203E"/>
    <w:rsid w:val="54D63807"/>
    <w:rsid w:val="54DA0EF3"/>
    <w:rsid w:val="54E029AD"/>
    <w:rsid w:val="54E104D3"/>
    <w:rsid w:val="54FB1595"/>
    <w:rsid w:val="551663CF"/>
    <w:rsid w:val="551E1E45"/>
    <w:rsid w:val="5523289A"/>
    <w:rsid w:val="552D54C7"/>
    <w:rsid w:val="55346855"/>
    <w:rsid w:val="55366A71"/>
    <w:rsid w:val="55376345"/>
    <w:rsid w:val="55676C2B"/>
    <w:rsid w:val="557B0928"/>
    <w:rsid w:val="55942830"/>
    <w:rsid w:val="559674D1"/>
    <w:rsid w:val="55967510"/>
    <w:rsid w:val="559B4B26"/>
    <w:rsid w:val="559D089E"/>
    <w:rsid w:val="55AF2380"/>
    <w:rsid w:val="55C951EF"/>
    <w:rsid w:val="55CF657E"/>
    <w:rsid w:val="55DB3175"/>
    <w:rsid w:val="55EB785C"/>
    <w:rsid w:val="55EC35D4"/>
    <w:rsid w:val="561771E7"/>
    <w:rsid w:val="56260894"/>
    <w:rsid w:val="56382375"/>
    <w:rsid w:val="563B3C13"/>
    <w:rsid w:val="563D5BDD"/>
    <w:rsid w:val="564231F4"/>
    <w:rsid w:val="56505911"/>
    <w:rsid w:val="56513437"/>
    <w:rsid w:val="56521689"/>
    <w:rsid w:val="56576C9F"/>
    <w:rsid w:val="565847C5"/>
    <w:rsid w:val="566413BC"/>
    <w:rsid w:val="56666EE2"/>
    <w:rsid w:val="567315FF"/>
    <w:rsid w:val="569752EE"/>
    <w:rsid w:val="56995020"/>
    <w:rsid w:val="569C0B56"/>
    <w:rsid w:val="56C500AD"/>
    <w:rsid w:val="56C87B9D"/>
    <w:rsid w:val="56CC7CC3"/>
    <w:rsid w:val="56DA342C"/>
    <w:rsid w:val="56DE2F1C"/>
    <w:rsid w:val="56EA18C1"/>
    <w:rsid w:val="56ED13B1"/>
    <w:rsid w:val="570D1A54"/>
    <w:rsid w:val="57154464"/>
    <w:rsid w:val="571D4121"/>
    <w:rsid w:val="571F7091"/>
    <w:rsid w:val="57340D8E"/>
    <w:rsid w:val="574865E8"/>
    <w:rsid w:val="574C432A"/>
    <w:rsid w:val="57996E43"/>
    <w:rsid w:val="57A23F4A"/>
    <w:rsid w:val="57C93BCD"/>
    <w:rsid w:val="57CC546B"/>
    <w:rsid w:val="57D52571"/>
    <w:rsid w:val="57DB745C"/>
    <w:rsid w:val="57DE0CFA"/>
    <w:rsid w:val="57E502DB"/>
    <w:rsid w:val="57EE718F"/>
    <w:rsid w:val="57F549C2"/>
    <w:rsid w:val="5802792C"/>
    <w:rsid w:val="580E5A83"/>
    <w:rsid w:val="581F559B"/>
    <w:rsid w:val="5829466B"/>
    <w:rsid w:val="58445001"/>
    <w:rsid w:val="58523BC2"/>
    <w:rsid w:val="58550FBC"/>
    <w:rsid w:val="58560FFA"/>
    <w:rsid w:val="585C67EF"/>
    <w:rsid w:val="587F24DD"/>
    <w:rsid w:val="58847AF3"/>
    <w:rsid w:val="5898359F"/>
    <w:rsid w:val="58AE2DC2"/>
    <w:rsid w:val="58B8154B"/>
    <w:rsid w:val="58C63C68"/>
    <w:rsid w:val="58CF5213"/>
    <w:rsid w:val="58DD0FB2"/>
    <w:rsid w:val="58DF11CE"/>
    <w:rsid w:val="58DF4D2A"/>
    <w:rsid w:val="59011144"/>
    <w:rsid w:val="590429E2"/>
    <w:rsid w:val="5906675A"/>
    <w:rsid w:val="59266DFD"/>
    <w:rsid w:val="593A0373"/>
    <w:rsid w:val="594352B9"/>
    <w:rsid w:val="595079D6"/>
    <w:rsid w:val="596D67DA"/>
    <w:rsid w:val="598633F7"/>
    <w:rsid w:val="598A113A"/>
    <w:rsid w:val="599C2C1B"/>
    <w:rsid w:val="599E0097"/>
    <w:rsid w:val="599E4BE5"/>
    <w:rsid w:val="59C3464B"/>
    <w:rsid w:val="59CE54CA"/>
    <w:rsid w:val="59DD570D"/>
    <w:rsid w:val="5A315A59"/>
    <w:rsid w:val="5A317807"/>
    <w:rsid w:val="5A3A2B60"/>
    <w:rsid w:val="5A461504"/>
    <w:rsid w:val="5A5F25C6"/>
    <w:rsid w:val="5A6776CD"/>
    <w:rsid w:val="5A6A4AC7"/>
    <w:rsid w:val="5A7122F9"/>
    <w:rsid w:val="5A772767"/>
    <w:rsid w:val="5A9164F8"/>
    <w:rsid w:val="5A932270"/>
    <w:rsid w:val="5AA4447D"/>
    <w:rsid w:val="5AA93841"/>
    <w:rsid w:val="5AB20948"/>
    <w:rsid w:val="5AB67D0C"/>
    <w:rsid w:val="5AB75F5E"/>
    <w:rsid w:val="5AE42ACB"/>
    <w:rsid w:val="5AF90236"/>
    <w:rsid w:val="5B0F5D9A"/>
    <w:rsid w:val="5B1A2E07"/>
    <w:rsid w:val="5B2B4256"/>
    <w:rsid w:val="5B2D6220"/>
    <w:rsid w:val="5B3B1BC2"/>
    <w:rsid w:val="5B4E6197"/>
    <w:rsid w:val="5B501F0F"/>
    <w:rsid w:val="5B524ABC"/>
    <w:rsid w:val="5B570024"/>
    <w:rsid w:val="5B57329D"/>
    <w:rsid w:val="5B5A4B3C"/>
    <w:rsid w:val="5B615ECA"/>
    <w:rsid w:val="5B634300"/>
    <w:rsid w:val="5B6559BA"/>
    <w:rsid w:val="5B955B74"/>
    <w:rsid w:val="5B9E2C7A"/>
    <w:rsid w:val="5BA04C44"/>
    <w:rsid w:val="5BA74225"/>
    <w:rsid w:val="5BB029AE"/>
    <w:rsid w:val="5BC00E43"/>
    <w:rsid w:val="5BCF1086"/>
    <w:rsid w:val="5BE74621"/>
    <w:rsid w:val="5BEF34D6"/>
    <w:rsid w:val="5C0A3512"/>
    <w:rsid w:val="5C0F3B78"/>
    <w:rsid w:val="5C1949F7"/>
    <w:rsid w:val="5C2F421A"/>
    <w:rsid w:val="5C341831"/>
    <w:rsid w:val="5C433822"/>
    <w:rsid w:val="5C49708A"/>
    <w:rsid w:val="5C4A2E02"/>
    <w:rsid w:val="5C4A4BB0"/>
    <w:rsid w:val="5C533A65"/>
    <w:rsid w:val="5C7834CB"/>
    <w:rsid w:val="5C875E04"/>
    <w:rsid w:val="5C8956D8"/>
    <w:rsid w:val="5C8F6A67"/>
    <w:rsid w:val="5C9A1694"/>
    <w:rsid w:val="5C9B365E"/>
    <w:rsid w:val="5CB14C2F"/>
    <w:rsid w:val="5CB32755"/>
    <w:rsid w:val="5CC04E72"/>
    <w:rsid w:val="5CC11316"/>
    <w:rsid w:val="5CC20BEA"/>
    <w:rsid w:val="5CE70651"/>
    <w:rsid w:val="5CFC40FC"/>
    <w:rsid w:val="5D0134C1"/>
    <w:rsid w:val="5D066D29"/>
    <w:rsid w:val="5D0B433F"/>
    <w:rsid w:val="5D1551BE"/>
    <w:rsid w:val="5D184CAE"/>
    <w:rsid w:val="5D186A5C"/>
    <w:rsid w:val="5D213B63"/>
    <w:rsid w:val="5D303DA6"/>
    <w:rsid w:val="5D321D21"/>
    <w:rsid w:val="5D6B1282"/>
    <w:rsid w:val="5D700646"/>
    <w:rsid w:val="5D765F3E"/>
    <w:rsid w:val="5D814602"/>
    <w:rsid w:val="5D83037A"/>
    <w:rsid w:val="5D924A61"/>
    <w:rsid w:val="5D944335"/>
    <w:rsid w:val="5D973E25"/>
    <w:rsid w:val="5D9A3915"/>
    <w:rsid w:val="5D9E3405"/>
    <w:rsid w:val="5DA86032"/>
    <w:rsid w:val="5DAA3B58"/>
    <w:rsid w:val="5DB669A1"/>
    <w:rsid w:val="5DB93D9B"/>
    <w:rsid w:val="5DD5494D"/>
    <w:rsid w:val="5DD60DF1"/>
    <w:rsid w:val="5DE057CC"/>
    <w:rsid w:val="5DFE20F6"/>
    <w:rsid w:val="5E14191A"/>
    <w:rsid w:val="5E1D07CE"/>
    <w:rsid w:val="5E2C0A11"/>
    <w:rsid w:val="5E4D0988"/>
    <w:rsid w:val="5E6D4A94"/>
    <w:rsid w:val="5E9B16F3"/>
    <w:rsid w:val="5EA031AD"/>
    <w:rsid w:val="5EAF519E"/>
    <w:rsid w:val="5EB56C59"/>
    <w:rsid w:val="5ED52E57"/>
    <w:rsid w:val="5EE4309A"/>
    <w:rsid w:val="5EE44E48"/>
    <w:rsid w:val="5EEA61D6"/>
    <w:rsid w:val="5F021772"/>
    <w:rsid w:val="5F025C16"/>
    <w:rsid w:val="5F0E6369"/>
    <w:rsid w:val="5F1115F5"/>
    <w:rsid w:val="5F21609C"/>
    <w:rsid w:val="5F24793A"/>
    <w:rsid w:val="5F531FCE"/>
    <w:rsid w:val="5F7268F8"/>
    <w:rsid w:val="5F830B05"/>
    <w:rsid w:val="5F8B79B9"/>
    <w:rsid w:val="5FA16FA6"/>
    <w:rsid w:val="5FB011CE"/>
    <w:rsid w:val="5FC15189"/>
    <w:rsid w:val="5FCA04E2"/>
    <w:rsid w:val="5FCB6008"/>
    <w:rsid w:val="5FDC1FC3"/>
    <w:rsid w:val="5FED5F7E"/>
    <w:rsid w:val="5FF4555F"/>
    <w:rsid w:val="5FFE1F39"/>
    <w:rsid w:val="60017C7C"/>
    <w:rsid w:val="60082DB8"/>
    <w:rsid w:val="60163727"/>
    <w:rsid w:val="602D6CC3"/>
    <w:rsid w:val="604858AA"/>
    <w:rsid w:val="606A3A73"/>
    <w:rsid w:val="60824919"/>
    <w:rsid w:val="608E7761"/>
    <w:rsid w:val="60940AF0"/>
    <w:rsid w:val="60961E24"/>
    <w:rsid w:val="60B116A2"/>
    <w:rsid w:val="60B37B00"/>
    <w:rsid w:val="60B66CB8"/>
    <w:rsid w:val="60CA62C0"/>
    <w:rsid w:val="60DD5FF3"/>
    <w:rsid w:val="60E143CA"/>
    <w:rsid w:val="60E27AAD"/>
    <w:rsid w:val="60EB4BB4"/>
    <w:rsid w:val="61023CAB"/>
    <w:rsid w:val="61273712"/>
    <w:rsid w:val="612C0D28"/>
    <w:rsid w:val="612C6F7A"/>
    <w:rsid w:val="6138591F"/>
    <w:rsid w:val="613F280A"/>
    <w:rsid w:val="613F6CAD"/>
    <w:rsid w:val="61500EBB"/>
    <w:rsid w:val="61626A02"/>
    <w:rsid w:val="61686204"/>
    <w:rsid w:val="616B35FF"/>
    <w:rsid w:val="617D3332"/>
    <w:rsid w:val="61812E22"/>
    <w:rsid w:val="6183303E"/>
    <w:rsid w:val="61926DDD"/>
    <w:rsid w:val="619F774C"/>
    <w:rsid w:val="61B054B5"/>
    <w:rsid w:val="61BD7BD2"/>
    <w:rsid w:val="61C251E9"/>
    <w:rsid w:val="61F77588"/>
    <w:rsid w:val="621719D8"/>
    <w:rsid w:val="621B3277"/>
    <w:rsid w:val="6232236E"/>
    <w:rsid w:val="62373E29"/>
    <w:rsid w:val="623F7493"/>
    <w:rsid w:val="62426A55"/>
    <w:rsid w:val="624D0F56"/>
    <w:rsid w:val="62612C54"/>
    <w:rsid w:val="6271733B"/>
    <w:rsid w:val="629D0130"/>
    <w:rsid w:val="62A56FE4"/>
    <w:rsid w:val="62B334AF"/>
    <w:rsid w:val="62B45479"/>
    <w:rsid w:val="62B965EC"/>
    <w:rsid w:val="62D91574"/>
    <w:rsid w:val="62E0626E"/>
    <w:rsid w:val="62EA49F7"/>
    <w:rsid w:val="63071A4D"/>
    <w:rsid w:val="630930CF"/>
    <w:rsid w:val="63316ACA"/>
    <w:rsid w:val="633839B4"/>
    <w:rsid w:val="633F2F95"/>
    <w:rsid w:val="63464323"/>
    <w:rsid w:val="63497970"/>
    <w:rsid w:val="63536A40"/>
    <w:rsid w:val="63844E4C"/>
    <w:rsid w:val="63AB23D8"/>
    <w:rsid w:val="63B53257"/>
    <w:rsid w:val="63B82D47"/>
    <w:rsid w:val="63C45248"/>
    <w:rsid w:val="63DC07E4"/>
    <w:rsid w:val="63EF49BB"/>
    <w:rsid w:val="640146EE"/>
    <w:rsid w:val="64033FC2"/>
    <w:rsid w:val="640970FF"/>
    <w:rsid w:val="64191A38"/>
    <w:rsid w:val="641F4B74"/>
    <w:rsid w:val="64202DC6"/>
    <w:rsid w:val="64264155"/>
    <w:rsid w:val="64520AA6"/>
    <w:rsid w:val="64540CC2"/>
    <w:rsid w:val="64572560"/>
    <w:rsid w:val="649D4417"/>
    <w:rsid w:val="64C37BF6"/>
    <w:rsid w:val="64D52925"/>
    <w:rsid w:val="64D616D7"/>
    <w:rsid w:val="64E95687"/>
    <w:rsid w:val="64EC4A56"/>
    <w:rsid w:val="64EE6A20"/>
    <w:rsid w:val="64EF09EB"/>
    <w:rsid w:val="64EF2799"/>
    <w:rsid w:val="651D5558"/>
    <w:rsid w:val="653603C7"/>
    <w:rsid w:val="65387C9C"/>
    <w:rsid w:val="6545060B"/>
    <w:rsid w:val="655645C6"/>
    <w:rsid w:val="655B7E2E"/>
    <w:rsid w:val="655F16CC"/>
    <w:rsid w:val="656A1E1F"/>
    <w:rsid w:val="65901886"/>
    <w:rsid w:val="659A34D5"/>
    <w:rsid w:val="65A13A93"/>
    <w:rsid w:val="65B512EC"/>
    <w:rsid w:val="65D06126"/>
    <w:rsid w:val="65D11E9E"/>
    <w:rsid w:val="65DC2D1D"/>
    <w:rsid w:val="65F8567D"/>
    <w:rsid w:val="65FC516D"/>
    <w:rsid w:val="66012DB4"/>
    <w:rsid w:val="661204ED"/>
    <w:rsid w:val="66134265"/>
    <w:rsid w:val="661E3335"/>
    <w:rsid w:val="662A7F2C"/>
    <w:rsid w:val="6632293D"/>
    <w:rsid w:val="66344907"/>
    <w:rsid w:val="66442670"/>
    <w:rsid w:val="664803B2"/>
    <w:rsid w:val="6659611C"/>
    <w:rsid w:val="667473F9"/>
    <w:rsid w:val="6679056C"/>
    <w:rsid w:val="66B0547D"/>
    <w:rsid w:val="66B5531C"/>
    <w:rsid w:val="66B912B0"/>
    <w:rsid w:val="66BA2932"/>
    <w:rsid w:val="66BC48FC"/>
    <w:rsid w:val="66C7577B"/>
    <w:rsid w:val="66E04A8F"/>
    <w:rsid w:val="66EF082E"/>
    <w:rsid w:val="66F44096"/>
    <w:rsid w:val="67114C48"/>
    <w:rsid w:val="671D539B"/>
    <w:rsid w:val="671E7365"/>
    <w:rsid w:val="672D1356"/>
    <w:rsid w:val="672E0BD3"/>
    <w:rsid w:val="674C7A2E"/>
    <w:rsid w:val="676254A4"/>
    <w:rsid w:val="677F6056"/>
    <w:rsid w:val="679413D5"/>
    <w:rsid w:val="67A535E2"/>
    <w:rsid w:val="67A930D3"/>
    <w:rsid w:val="67C27CF0"/>
    <w:rsid w:val="67C95523"/>
    <w:rsid w:val="67DA7730"/>
    <w:rsid w:val="67E67E83"/>
    <w:rsid w:val="67F72090"/>
    <w:rsid w:val="68012F0F"/>
    <w:rsid w:val="68060525"/>
    <w:rsid w:val="680D3662"/>
    <w:rsid w:val="683706DE"/>
    <w:rsid w:val="68466B73"/>
    <w:rsid w:val="68534DEC"/>
    <w:rsid w:val="68684D3C"/>
    <w:rsid w:val="687234C5"/>
    <w:rsid w:val="68815DFE"/>
    <w:rsid w:val="6884144A"/>
    <w:rsid w:val="68914293"/>
    <w:rsid w:val="68982ED4"/>
    <w:rsid w:val="689E075E"/>
    <w:rsid w:val="68A044D6"/>
    <w:rsid w:val="68A815DC"/>
    <w:rsid w:val="68E25001"/>
    <w:rsid w:val="68EB3277"/>
    <w:rsid w:val="69015C29"/>
    <w:rsid w:val="690802CD"/>
    <w:rsid w:val="690F51B7"/>
    <w:rsid w:val="692A1FF1"/>
    <w:rsid w:val="692C5D69"/>
    <w:rsid w:val="694A4441"/>
    <w:rsid w:val="695C4679"/>
    <w:rsid w:val="696F5C56"/>
    <w:rsid w:val="69765236"/>
    <w:rsid w:val="69766FE4"/>
    <w:rsid w:val="697B0A9F"/>
    <w:rsid w:val="698425E0"/>
    <w:rsid w:val="69872FA0"/>
    <w:rsid w:val="69886D18"/>
    <w:rsid w:val="69AC0C58"/>
    <w:rsid w:val="69BA3375"/>
    <w:rsid w:val="69C0171E"/>
    <w:rsid w:val="69DD181A"/>
    <w:rsid w:val="69F55085"/>
    <w:rsid w:val="69FD7706"/>
    <w:rsid w:val="69FF1774"/>
    <w:rsid w:val="6A022F6E"/>
    <w:rsid w:val="6A2835A1"/>
    <w:rsid w:val="6A3D7B02"/>
    <w:rsid w:val="6A503CD9"/>
    <w:rsid w:val="6A8120E5"/>
    <w:rsid w:val="6A8573D9"/>
    <w:rsid w:val="6A883473"/>
    <w:rsid w:val="6A97335A"/>
    <w:rsid w:val="6AA656A7"/>
    <w:rsid w:val="6ACB15B2"/>
    <w:rsid w:val="6AD14E1A"/>
    <w:rsid w:val="6AFC5C0F"/>
    <w:rsid w:val="6AFE54E3"/>
    <w:rsid w:val="6B0D3978"/>
    <w:rsid w:val="6B166CD1"/>
    <w:rsid w:val="6B3E3B32"/>
    <w:rsid w:val="6B4355EC"/>
    <w:rsid w:val="6B4A24D7"/>
    <w:rsid w:val="6B544BE8"/>
    <w:rsid w:val="6B685053"/>
    <w:rsid w:val="6B6C4B43"/>
    <w:rsid w:val="6B737C7F"/>
    <w:rsid w:val="6B7D56F0"/>
    <w:rsid w:val="6B841E8D"/>
    <w:rsid w:val="6B87197D"/>
    <w:rsid w:val="6B947BF6"/>
    <w:rsid w:val="6BB67B6C"/>
    <w:rsid w:val="6BBA3B00"/>
    <w:rsid w:val="6BCE3108"/>
    <w:rsid w:val="6BDA5F51"/>
    <w:rsid w:val="6BE071F2"/>
    <w:rsid w:val="6BE648F5"/>
    <w:rsid w:val="6BF57173"/>
    <w:rsid w:val="6C022DB1"/>
    <w:rsid w:val="6C0905E4"/>
    <w:rsid w:val="6C24541E"/>
    <w:rsid w:val="6C2E3BA6"/>
    <w:rsid w:val="6C3A079D"/>
    <w:rsid w:val="6C467142"/>
    <w:rsid w:val="6C472EBA"/>
    <w:rsid w:val="6C494E84"/>
    <w:rsid w:val="6C496C32"/>
    <w:rsid w:val="6C557385"/>
    <w:rsid w:val="6C6E0447"/>
    <w:rsid w:val="6C747492"/>
    <w:rsid w:val="6C8B724B"/>
    <w:rsid w:val="6CAE4CE7"/>
    <w:rsid w:val="6CC6345E"/>
    <w:rsid w:val="6CC835E5"/>
    <w:rsid w:val="6CC94E87"/>
    <w:rsid w:val="6CD3474E"/>
    <w:rsid w:val="6CE1330F"/>
    <w:rsid w:val="6CE626D3"/>
    <w:rsid w:val="6CEB66C0"/>
    <w:rsid w:val="6CEF1588"/>
    <w:rsid w:val="6CF63A92"/>
    <w:rsid w:val="6CF941B4"/>
    <w:rsid w:val="6CFE7A1D"/>
    <w:rsid w:val="6D266F73"/>
    <w:rsid w:val="6D464F20"/>
    <w:rsid w:val="6D4B1CBB"/>
    <w:rsid w:val="6D605FE2"/>
    <w:rsid w:val="6D6868F1"/>
    <w:rsid w:val="6D6D06FE"/>
    <w:rsid w:val="6D785A21"/>
    <w:rsid w:val="6D875C64"/>
    <w:rsid w:val="6D8819DC"/>
    <w:rsid w:val="6D97577B"/>
    <w:rsid w:val="6DA22A9E"/>
    <w:rsid w:val="6DA57E98"/>
    <w:rsid w:val="6DAC7479"/>
    <w:rsid w:val="6DC01176"/>
    <w:rsid w:val="6DC9627D"/>
    <w:rsid w:val="6DD93FE6"/>
    <w:rsid w:val="6DEE1649"/>
    <w:rsid w:val="6DEE5CE3"/>
    <w:rsid w:val="6DFD5F26"/>
    <w:rsid w:val="6DFF3A4C"/>
    <w:rsid w:val="6E0472B5"/>
    <w:rsid w:val="6E160D96"/>
    <w:rsid w:val="6E600263"/>
    <w:rsid w:val="6E625D89"/>
    <w:rsid w:val="6E645FA5"/>
    <w:rsid w:val="6E661D1D"/>
    <w:rsid w:val="6E712470"/>
    <w:rsid w:val="6E753D0F"/>
    <w:rsid w:val="6E7A30D3"/>
    <w:rsid w:val="6E82467D"/>
    <w:rsid w:val="6E867CCA"/>
    <w:rsid w:val="6E90563A"/>
    <w:rsid w:val="6E9323E7"/>
    <w:rsid w:val="6EC8176A"/>
    <w:rsid w:val="6EDF1132"/>
    <w:rsid w:val="6EF74724"/>
    <w:rsid w:val="6F0B01CF"/>
    <w:rsid w:val="6F103A37"/>
    <w:rsid w:val="6F2177A4"/>
    <w:rsid w:val="6F4F27B2"/>
    <w:rsid w:val="6F5E0C47"/>
    <w:rsid w:val="6F5E29F5"/>
    <w:rsid w:val="6F712728"/>
    <w:rsid w:val="6F80296B"/>
    <w:rsid w:val="6F9B59F7"/>
    <w:rsid w:val="6FAD572A"/>
    <w:rsid w:val="6FBD18A2"/>
    <w:rsid w:val="6FC00FB9"/>
    <w:rsid w:val="6FC14D32"/>
    <w:rsid w:val="6FCF56A0"/>
    <w:rsid w:val="6FD607DD"/>
    <w:rsid w:val="6FDC1B6B"/>
    <w:rsid w:val="70027824"/>
    <w:rsid w:val="700C06A3"/>
    <w:rsid w:val="700F0193"/>
    <w:rsid w:val="700F3CEF"/>
    <w:rsid w:val="701557A9"/>
    <w:rsid w:val="70180DF5"/>
    <w:rsid w:val="701D01BA"/>
    <w:rsid w:val="702A6D7B"/>
    <w:rsid w:val="70495453"/>
    <w:rsid w:val="704C0A9F"/>
    <w:rsid w:val="706C2EEF"/>
    <w:rsid w:val="707324D0"/>
    <w:rsid w:val="707F0E75"/>
    <w:rsid w:val="70912956"/>
    <w:rsid w:val="709B37D5"/>
    <w:rsid w:val="709C34A3"/>
    <w:rsid w:val="70A02B99"/>
    <w:rsid w:val="70A24B63"/>
    <w:rsid w:val="70A73F27"/>
    <w:rsid w:val="70B6462C"/>
    <w:rsid w:val="70CB230C"/>
    <w:rsid w:val="70E433CD"/>
    <w:rsid w:val="70E92792"/>
    <w:rsid w:val="70EC5DDE"/>
    <w:rsid w:val="710F044A"/>
    <w:rsid w:val="711772FF"/>
    <w:rsid w:val="7121017E"/>
    <w:rsid w:val="71237A52"/>
    <w:rsid w:val="713734FD"/>
    <w:rsid w:val="713C6D66"/>
    <w:rsid w:val="7148570A"/>
    <w:rsid w:val="715045BF"/>
    <w:rsid w:val="716B13F9"/>
    <w:rsid w:val="716B2939"/>
    <w:rsid w:val="717C53B4"/>
    <w:rsid w:val="718F3339"/>
    <w:rsid w:val="718F50E7"/>
    <w:rsid w:val="719E357C"/>
    <w:rsid w:val="71A16BC9"/>
    <w:rsid w:val="71AB5C99"/>
    <w:rsid w:val="71AC3EEB"/>
    <w:rsid w:val="71B132B0"/>
    <w:rsid w:val="71C04F18"/>
    <w:rsid w:val="71CC1BC1"/>
    <w:rsid w:val="71F272D4"/>
    <w:rsid w:val="72031631"/>
    <w:rsid w:val="720E0702"/>
    <w:rsid w:val="72200435"/>
    <w:rsid w:val="72231CD3"/>
    <w:rsid w:val="724265FE"/>
    <w:rsid w:val="72493B56"/>
    <w:rsid w:val="724F4877"/>
    <w:rsid w:val="7251239D"/>
    <w:rsid w:val="725A3947"/>
    <w:rsid w:val="725E4ABA"/>
    <w:rsid w:val="726245AA"/>
    <w:rsid w:val="72640322"/>
    <w:rsid w:val="72715C07"/>
    <w:rsid w:val="72734A09"/>
    <w:rsid w:val="729F57FE"/>
    <w:rsid w:val="72B15531"/>
    <w:rsid w:val="72BF7C4E"/>
    <w:rsid w:val="72C65C4D"/>
    <w:rsid w:val="72C708B1"/>
    <w:rsid w:val="72CB03A1"/>
    <w:rsid w:val="72E17BC5"/>
    <w:rsid w:val="72E651DB"/>
    <w:rsid w:val="72FF629D"/>
    <w:rsid w:val="730D09BA"/>
    <w:rsid w:val="732950C8"/>
    <w:rsid w:val="733221CE"/>
    <w:rsid w:val="734E4B2E"/>
    <w:rsid w:val="73555EBD"/>
    <w:rsid w:val="735C549D"/>
    <w:rsid w:val="735E1215"/>
    <w:rsid w:val="7379604F"/>
    <w:rsid w:val="737F2F3A"/>
    <w:rsid w:val="738F7621"/>
    <w:rsid w:val="73927111"/>
    <w:rsid w:val="73BF77DA"/>
    <w:rsid w:val="73D17C39"/>
    <w:rsid w:val="73D2750D"/>
    <w:rsid w:val="73D72D76"/>
    <w:rsid w:val="73EB05CF"/>
    <w:rsid w:val="73FB6A64"/>
    <w:rsid w:val="7400051E"/>
    <w:rsid w:val="740A4EF9"/>
    <w:rsid w:val="741713C4"/>
    <w:rsid w:val="741C4C2C"/>
    <w:rsid w:val="741E09A4"/>
    <w:rsid w:val="7428616B"/>
    <w:rsid w:val="74324450"/>
    <w:rsid w:val="743B3304"/>
    <w:rsid w:val="74406B6D"/>
    <w:rsid w:val="745172CB"/>
    <w:rsid w:val="745368A0"/>
    <w:rsid w:val="746565D3"/>
    <w:rsid w:val="747B7BA5"/>
    <w:rsid w:val="747D4C59"/>
    <w:rsid w:val="748527D2"/>
    <w:rsid w:val="7487654A"/>
    <w:rsid w:val="74876E5A"/>
    <w:rsid w:val="748922C2"/>
    <w:rsid w:val="748B3BD7"/>
    <w:rsid w:val="74940C67"/>
    <w:rsid w:val="749F1AE5"/>
    <w:rsid w:val="74AA048A"/>
    <w:rsid w:val="74F82FA3"/>
    <w:rsid w:val="74FC0CE6"/>
    <w:rsid w:val="750E6C6B"/>
    <w:rsid w:val="751D2A0A"/>
    <w:rsid w:val="751F2C26"/>
    <w:rsid w:val="7530273D"/>
    <w:rsid w:val="75502DDF"/>
    <w:rsid w:val="755A3C5E"/>
    <w:rsid w:val="75B25848"/>
    <w:rsid w:val="75D94B83"/>
    <w:rsid w:val="75E31EA6"/>
    <w:rsid w:val="75F23E97"/>
    <w:rsid w:val="75F93250"/>
    <w:rsid w:val="761E4C8C"/>
    <w:rsid w:val="76487F5B"/>
    <w:rsid w:val="765468FF"/>
    <w:rsid w:val="766528BB"/>
    <w:rsid w:val="766A6123"/>
    <w:rsid w:val="766D79C1"/>
    <w:rsid w:val="767945B8"/>
    <w:rsid w:val="76867A1D"/>
    <w:rsid w:val="769E7B7B"/>
    <w:rsid w:val="76BF646F"/>
    <w:rsid w:val="76E97048"/>
    <w:rsid w:val="76F61765"/>
    <w:rsid w:val="76FA74A7"/>
    <w:rsid w:val="76FF63F4"/>
    <w:rsid w:val="77043E82"/>
    <w:rsid w:val="770F1F64"/>
    <w:rsid w:val="774C75D7"/>
    <w:rsid w:val="77534E09"/>
    <w:rsid w:val="776C1A27"/>
    <w:rsid w:val="777059BB"/>
    <w:rsid w:val="777A05E8"/>
    <w:rsid w:val="777C4360"/>
    <w:rsid w:val="77840EB8"/>
    <w:rsid w:val="77894387"/>
    <w:rsid w:val="77955421"/>
    <w:rsid w:val="779E42D6"/>
    <w:rsid w:val="77A6318B"/>
    <w:rsid w:val="77B92EBE"/>
    <w:rsid w:val="77C80D66"/>
    <w:rsid w:val="77D870BC"/>
    <w:rsid w:val="77E141C3"/>
    <w:rsid w:val="77F9775E"/>
    <w:rsid w:val="78061E7B"/>
    <w:rsid w:val="780A196C"/>
    <w:rsid w:val="780D4FB8"/>
    <w:rsid w:val="78202F3D"/>
    <w:rsid w:val="78397B5B"/>
    <w:rsid w:val="78462278"/>
    <w:rsid w:val="78615304"/>
    <w:rsid w:val="78653893"/>
    <w:rsid w:val="787746D6"/>
    <w:rsid w:val="788D60F9"/>
    <w:rsid w:val="789D27E0"/>
    <w:rsid w:val="78A3591C"/>
    <w:rsid w:val="78A51694"/>
    <w:rsid w:val="78A70F68"/>
    <w:rsid w:val="78B6041B"/>
    <w:rsid w:val="78F63C9E"/>
    <w:rsid w:val="79020895"/>
    <w:rsid w:val="791E4FA3"/>
    <w:rsid w:val="792A61BA"/>
    <w:rsid w:val="7931117A"/>
    <w:rsid w:val="793842B6"/>
    <w:rsid w:val="79404F19"/>
    <w:rsid w:val="7947274B"/>
    <w:rsid w:val="79507314"/>
    <w:rsid w:val="79556C16"/>
    <w:rsid w:val="795F1843"/>
    <w:rsid w:val="79960FDD"/>
    <w:rsid w:val="79A96F62"/>
    <w:rsid w:val="79BC4EE7"/>
    <w:rsid w:val="79C30024"/>
    <w:rsid w:val="79E65AC0"/>
    <w:rsid w:val="79F44681"/>
    <w:rsid w:val="79F503F9"/>
    <w:rsid w:val="79FD523D"/>
    <w:rsid w:val="7A066163"/>
    <w:rsid w:val="7A122D59"/>
    <w:rsid w:val="7A1268B5"/>
    <w:rsid w:val="7A13262E"/>
    <w:rsid w:val="7A2D7B93"/>
    <w:rsid w:val="7A3A5E0C"/>
    <w:rsid w:val="7A3C3932"/>
    <w:rsid w:val="7A41363F"/>
    <w:rsid w:val="7A5C5D83"/>
    <w:rsid w:val="7A7237F8"/>
    <w:rsid w:val="7A747570"/>
    <w:rsid w:val="7A8D23E0"/>
    <w:rsid w:val="7A951295"/>
    <w:rsid w:val="7A9E0310"/>
    <w:rsid w:val="7AB67B89"/>
    <w:rsid w:val="7AB756AF"/>
    <w:rsid w:val="7ABB519F"/>
    <w:rsid w:val="7ABE3388"/>
    <w:rsid w:val="7AC33848"/>
    <w:rsid w:val="7AD63D87"/>
    <w:rsid w:val="7AD718AD"/>
    <w:rsid w:val="7AEE41C3"/>
    <w:rsid w:val="7AF875EC"/>
    <w:rsid w:val="7B0501C8"/>
    <w:rsid w:val="7B0703E4"/>
    <w:rsid w:val="7B16778C"/>
    <w:rsid w:val="7B2965AD"/>
    <w:rsid w:val="7B2A40D3"/>
    <w:rsid w:val="7B2F3497"/>
    <w:rsid w:val="7B486307"/>
    <w:rsid w:val="7B5911D5"/>
    <w:rsid w:val="7B711D02"/>
    <w:rsid w:val="7B7A2964"/>
    <w:rsid w:val="7B8732D3"/>
    <w:rsid w:val="7B8F3F36"/>
    <w:rsid w:val="7B914152"/>
    <w:rsid w:val="7B990153"/>
    <w:rsid w:val="7B9A3006"/>
    <w:rsid w:val="7BA63759"/>
    <w:rsid w:val="7BA774D1"/>
    <w:rsid w:val="7BC938EC"/>
    <w:rsid w:val="7BDA78A7"/>
    <w:rsid w:val="7BDC717B"/>
    <w:rsid w:val="7BE71557"/>
    <w:rsid w:val="7BEB1AB4"/>
    <w:rsid w:val="7BEC3136"/>
    <w:rsid w:val="7BFD5343"/>
    <w:rsid w:val="7C0666C6"/>
    <w:rsid w:val="7C1C1C6D"/>
    <w:rsid w:val="7C2823C0"/>
    <w:rsid w:val="7C29438A"/>
    <w:rsid w:val="7C4D0079"/>
    <w:rsid w:val="7C507B69"/>
    <w:rsid w:val="7C55517F"/>
    <w:rsid w:val="7C6A0C2B"/>
    <w:rsid w:val="7C7A4BE6"/>
    <w:rsid w:val="7C8F243F"/>
    <w:rsid w:val="7C9E2682"/>
    <w:rsid w:val="7CA13F21"/>
    <w:rsid w:val="7CA70D79"/>
    <w:rsid w:val="7CA73C2D"/>
    <w:rsid w:val="7CAD001B"/>
    <w:rsid w:val="7CB812FC"/>
    <w:rsid w:val="7CBC6FAC"/>
    <w:rsid w:val="7CD267D0"/>
    <w:rsid w:val="7CD75B94"/>
    <w:rsid w:val="7CE34539"/>
    <w:rsid w:val="7CE81B50"/>
    <w:rsid w:val="7D0C1CE2"/>
    <w:rsid w:val="7D1868D9"/>
    <w:rsid w:val="7D3354C1"/>
    <w:rsid w:val="7D3D633F"/>
    <w:rsid w:val="7D423956"/>
    <w:rsid w:val="7D736546"/>
    <w:rsid w:val="7D8950E1"/>
    <w:rsid w:val="7D965A4F"/>
    <w:rsid w:val="7DA0067C"/>
    <w:rsid w:val="7DAA5057"/>
    <w:rsid w:val="7DC91981"/>
    <w:rsid w:val="7DCE343B"/>
    <w:rsid w:val="7DE844FD"/>
    <w:rsid w:val="7DEF5E0D"/>
    <w:rsid w:val="7E046E5D"/>
    <w:rsid w:val="7E0E3838"/>
    <w:rsid w:val="7E1352F2"/>
    <w:rsid w:val="7E1C7D03"/>
    <w:rsid w:val="7E1F77F3"/>
    <w:rsid w:val="7E24305B"/>
    <w:rsid w:val="7E720AB8"/>
    <w:rsid w:val="7E786F03"/>
    <w:rsid w:val="7E7C69F3"/>
    <w:rsid w:val="7E867872"/>
    <w:rsid w:val="7E8F2BCB"/>
    <w:rsid w:val="7E927FC5"/>
    <w:rsid w:val="7E953F59"/>
    <w:rsid w:val="7E955D07"/>
    <w:rsid w:val="7EA45F4A"/>
    <w:rsid w:val="7EB0669D"/>
    <w:rsid w:val="7ECF746B"/>
    <w:rsid w:val="7ED00AED"/>
    <w:rsid w:val="7EF173E1"/>
    <w:rsid w:val="7F01514B"/>
    <w:rsid w:val="7F054C3B"/>
    <w:rsid w:val="7F0D1D41"/>
    <w:rsid w:val="7F323556"/>
    <w:rsid w:val="7F4D0390"/>
    <w:rsid w:val="7F637BB3"/>
    <w:rsid w:val="7F6A2CF0"/>
    <w:rsid w:val="7F6D458E"/>
    <w:rsid w:val="7F736048"/>
    <w:rsid w:val="7F8A15E4"/>
    <w:rsid w:val="7FC22B2C"/>
    <w:rsid w:val="7FDA60C7"/>
    <w:rsid w:val="7FE40CF4"/>
    <w:rsid w:val="7FF36BB5"/>
    <w:rsid w:val="7FF52F01"/>
    <w:rsid w:val="7FF62C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37"/>
    <w:qFormat/>
    <w:uiPriority w:val="9"/>
    <w:pPr>
      <w:keepNext/>
      <w:keepLines/>
      <w:spacing w:before="80" w:after="80"/>
      <w:outlineLvl w:val="0"/>
    </w:pPr>
    <w:rPr>
      <w:b/>
      <w:bCs/>
      <w:kern w:val="44"/>
      <w:sz w:val="44"/>
      <w:szCs w:val="44"/>
    </w:rPr>
  </w:style>
  <w:style w:type="paragraph" w:styleId="6">
    <w:name w:val="heading 2"/>
    <w:basedOn w:val="1"/>
    <w:next w:val="7"/>
    <w:link w:val="39"/>
    <w:qFormat/>
    <w:uiPriority w:val="0"/>
    <w:pPr>
      <w:keepNext/>
      <w:keepLines/>
      <w:spacing w:before="260" w:after="260" w:line="416" w:lineRule="auto"/>
      <w:jc w:val="center"/>
      <w:outlineLvl w:val="1"/>
    </w:pPr>
    <w:rPr>
      <w:rFonts w:ascii="Arial" w:hAnsi="Arial"/>
      <w:b/>
      <w:sz w:val="44"/>
      <w:szCs w:val="20"/>
    </w:rPr>
  </w:style>
  <w:style w:type="paragraph" w:styleId="8">
    <w:name w:val="heading 3"/>
    <w:basedOn w:val="1"/>
    <w:next w:val="7"/>
    <w:link w:val="40"/>
    <w:unhideWhenUsed/>
    <w:qFormat/>
    <w:uiPriority w:val="9"/>
    <w:pPr>
      <w:keepNext/>
      <w:keepLines/>
      <w:spacing w:before="260" w:after="260" w:line="416" w:lineRule="auto"/>
      <w:outlineLvl w:val="2"/>
    </w:pPr>
    <w:rPr>
      <w:b/>
      <w:bCs/>
      <w:sz w:val="32"/>
      <w:szCs w:val="32"/>
    </w:rPr>
  </w:style>
  <w:style w:type="paragraph" w:styleId="9">
    <w:name w:val="heading 4"/>
    <w:basedOn w:val="1"/>
    <w:next w:val="7"/>
    <w:qFormat/>
    <w:uiPriority w:val="0"/>
    <w:pPr>
      <w:keepNext/>
      <w:keepLines/>
      <w:spacing w:before="280" w:after="290" w:line="376" w:lineRule="auto"/>
      <w:outlineLvl w:val="3"/>
    </w:pPr>
    <w:rPr>
      <w:rFonts w:ascii="Arial" w:hAnsi="Arial" w:eastAsia="黑体" w:cs="Arial"/>
      <w:b/>
      <w:bCs/>
      <w:sz w:val="28"/>
      <w:szCs w:val="28"/>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basedOn w:val="3"/>
    <w:next w:val="1"/>
    <w:qFormat/>
    <w:uiPriority w:val="0"/>
    <w:pPr>
      <w:spacing w:after="0" w:line="360" w:lineRule="auto"/>
      <w:ind w:left="0" w:firstLine="420"/>
    </w:pPr>
    <w:rPr>
      <w:rFonts w:ascii="宋体" w:hAnsi="宋体" w:eastAsia="宋体" w:cs="Times New Roman"/>
      <w:szCs w:val="20"/>
    </w:rPr>
  </w:style>
  <w:style w:type="paragraph" w:customStyle="1" w:styleId="3">
    <w:name w:val="正文文本缩进1"/>
    <w:basedOn w:val="1"/>
    <w:next w:val="4"/>
    <w:unhideWhenUsed/>
    <w:qFormat/>
    <w:uiPriority w:val="0"/>
    <w:pPr>
      <w:spacing w:after="120"/>
      <w:ind w:left="420"/>
    </w:pPr>
  </w:style>
  <w:style w:type="paragraph" w:customStyle="1" w:styleId="4">
    <w:name w:val="寄信人地址1"/>
    <w:basedOn w:val="1"/>
    <w:qFormat/>
    <w:uiPriority w:val="0"/>
    <w:rPr>
      <w:rFonts w:ascii="Arial" w:hAnsi="Arial" w:eastAsia="宋体" w:cs="宋体"/>
    </w:rPr>
  </w:style>
  <w:style w:type="paragraph" w:styleId="7">
    <w:name w:val="Normal Indent"/>
    <w:basedOn w:val="1"/>
    <w:unhideWhenUsed/>
    <w:qFormat/>
    <w:uiPriority w:val="0"/>
    <w:pPr>
      <w:ind w:firstLine="420" w:firstLineChars="200"/>
    </w:pPr>
  </w:style>
  <w:style w:type="paragraph" w:styleId="10">
    <w:name w:val="annotation text"/>
    <w:basedOn w:val="1"/>
    <w:link w:val="53"/>
    <w:unhideWhenUsed/>
    <w:qFormat/>
    <w:uiPriority w:val="99"/>
    <w:pPr>
      <w:jc w:val="left"/>
    </w:pPr>
  </w:style>
  <w:style w:type="paragraph" w:styleId="11">
    <w:name w:val="Body Text"/>
    <w:basedOn w:val="1"/>
    <w:link w:val="43"/>
    <w:unhideWhenUsed/>
    <w:qFormat/>
    <w:uiPriority w:val="99"/>
    <w:pPr>
      <w:spacing w:after="120"/>
    </w:pPr>
  </w:style>
  <w:style w:type="paragraph" w:styleId="12">
    <w:name w:val="Body Text Indent"/>
    <w:basedOn w:val="1"/>
    <w:next w:val="13"/>
    <w:link w:val="41"/>
    <w:qFormat/>
    <w:uiPriority w:val="0"/>
    <w:pPr>
      <w:ind w:firstLine="600" w:firstLineChars="200"/>
    </w:pPr>
    <w:rPr>
      <w:rFonts w:ascii="仿宋_GB2312" w:hAnsi="华文仿宋" w:eastAsia="仿宋_GB2312"/>
      <w:color w:val="FF0000"/>
      <w:sz w:val="30"/>
    </w:rPr>
  </w:style>
  <w:style w:type="paragraph" w:styleId="13">
    <w:name w:val="envelope return"/>
    <w:basedOn w:val="1"/>
    <w:qFormat/>
    <w:uiPriority w:val="0"/>
    <w:pPr>
      <w:snapToGrid w:val="0"/>
    </w:pPr>
    <w:rPr>
      <w:rFonts w:ascii="Arial" w:hAnsi="Arial" w:cs="宋体"/>
    </w:rPr>
  </w:style>
  <w:style w:type="paragraph" w:styleId="14">
    <w:name w:val="toc 3"/>
    <w:basedOn w:val="1"/>
    <w:next w:val="1"/>
    <w:unhideWhenUsed/>
    <w:qFormat/>
    <w:uiPriority w:val="39"/>
    <w:pPr>
      <w:ind w:left="840" w:leftChars="400"/>
    </w:pPr>
  </w:style>
  <w:style w:type="paragraph" w:styleId="15">
    <w:name w:val="Plain Text"/>
    <w:basedOn w:val="1"/>
    <w:link w:val="55"/>
    <w:qFormat/>
    <w:uiPriority w:val="0"/>
    <w:rPr>
      <w:rFonts w:ascii="宋体" w:hAnsi="Courier New"/>
      <w:szCs w:val="20"/>
    </w:rPr>
  </w:style>
  <w:style w:type="paragraph" w:styleId="16">
    <w:name w:val="Date"/>
    <w:basedOn w:val="1"/>
    <w:next w:val="1"/>
    <w:link w:val="51"/>
    <w:semiHidden/>
    <w:unhideWhenUsed/>
    <w:qFormat/>
    <w:uiPriority w:val="99"/>
    <w:pPr>
      <w:ind w:left="100" w:leftChars="2500"/>
    </w:pPr>
  </w:style>
  <w:style w:type="paragraph" w:styleId="17">
    <w:name w:val="Body Text Indent 2"/>
    <w:basedOn w:val="1"/>
    <w:link w:val="44"/>
    <w:unhideWhenUsed/>
    <w:qFormat/>
    <w:uiPriority w:val="99"/>
    <w:pPr>
      <w:spacing w:after="120" w:line="480" w:lineRule="auto"/>
      <w:ind w:left="420" w:leftChars="200"/>
    </w:pPr>
  </w:style>
  <w:style w:type="paragraph" w:styleId="18">
    <w:name w:val="Balloon Text"/>
    <w:basedOn w:val="1"/>
    <w:link w:val="49"/>
    <w:unhideWhenUsed/>
    <w:qFormat/>
    <w:uiPriority w:val="99"/>
    <w:rPr>
      <w:sz w:val="18"/>
      <w:szCs w:val="18"/>
    </w:rPr>
  </w:style>
  <w:style w:type="paragraph" w:styleId="19">
    <w:name w:val="footer"/>
    <w:basedOn w:val="1"/>
    <w:link w:val="36"/>
    <w:unhideWhenUsed/>
    <w:qFormat/>
    <w:uiPriority w:val="99"/>
    <w:pPr>
      <w:tabs>
        <w:tab w:val="center" w:pos="4153"/>
        <w:tab w:val="right" w:pos="8306"/>
      </w:tabs>
      <w:snapToGrid w:val="0"/>
      <w:jc w:val="left"/>
    </w:pPr>
    <w:rPr>
      <w:sz w:val="18"/>
      <w:szCs w:val="18"/>
    </w:rPr>
  </w:style>
  <w:style w:type="paragraph" w:styleId="20">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tabs>
        <w:tab w:val="right" w:leader="dot" w:pos="9360"/>
      </w:tabs>
      <w:jc w:val="left"/>
    </w:pPr>
    <w:rPr>
      <w:rFonts w:ascii="新宋体" w:hAnsi="新宋体" w:eastAsia="新宋体"/>
      <w:b/>
      <w:bCs/>
      <w:color w:val="000000"/>
    </w:rPr>
  </w:style>
  <w:style w:type="paragraph" w:styleId="22">
    <w:name w:val="Subtitle"/>
    <w:basedOn w:val="1"/>
    <w:next w:val="1"/>
    <w:link w:val="47"/>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23">
    <w:name w:val="toc 2"/>
    <w:basedOn w:val="1"/>
    <w:next w:val="1"/>
    <w:unhideWhenUsed/>
    <w:qFormat/>
    <w:uiPriority w:val="39"/>
    <w:pPr>
      <w:ind w:left="420" w:leftChars="200"/>
    </w:pPr>
  </w:style>
  <w:style w:type="paragraph" w:styleId="24">
    <w:name w:val="HTML Preformatted"/>
    <w:basedOn w:val="1"/>
    <w:link w:val="42"/>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25">
    <w:name w:val="Normal (Web)"/>
    <w:basedOn w:val="1"/>
    <w:semiHidden/>
    <w:unhideWhenUsed/>
    <w:qFormat/>
    <w:uiPriority w:val="99"/>
    <w:pPr>
      <w:widowControl/>
      <w:spacing w:before="75" w:after="75"/>
      <w:jc w:val="left"/>
    </w:pPr>
    <w:rPr>
      <w:rFonts w:ascii="宋体" w:hAnsi="宋体" w:cs="宋体"/>
      <w:kern w:val="0"/>
      <w:sz w:val="24"/>
    </w:rPr>
  </w:style>
  <w:style w:type="paragraph" w:styleId="26">
    <w:name w:val="Title"/>
    <w:basedOn w:val="1"/>
    <w:next w:val="1"/>
    <w:link w:val="46"/>
    <w:qFormat/>
    <w:uiPriority w:val="10"/>
    <w:pPr>
      <w:spacing w:before="240" w:after="60"/>
      <w:jc w:val="center"/>
      <w:outlineLvl w:val="0"/>
    </w:pPr>
    <w:rPr>
      <w:rFonts w:asciiTheme="majorHAnsi" w:hAnsiTheme="majorHAnsi" w:cstheme="majorBidi"/>
      <w:b/>
      <w:bCs/>
      <w:sz w:val="32"/>
      <w:szCs w:val="32"/>
    </w:rPr>
  </w:style>
  <w:style w:type="paragraph" w:styleId="27">
    <w:name w:val="annotation subject"/>
    <w:basedOn w:val="10"/>
    <w:next w:val="10"/>
    <w:link w:val="54"/>
    <w:semiHidden/>
    <w:unhideWhenUsed/>
    <w:qFormat/>
    <w:uiPriority w:val="99"/>
    <w:rPr>
      <w:b/>
      <w:bCs/>
    </w:rPr>
  </w:style>
  <w:style w:type="paragraph" w:styleId="28">
    <w:name w:val="Body Text First Indent 2"/>
    <w:basedOn w:val="12"/>
    <w:next w:val="1"/>
    <w:qFormat/>
    <w:uiPriority w:val="99"/>
    <w:pPr>
      <w:ind w:firstLine="420"/>
    </w:pPr>
    <w:rPr>
      <w:rFonts w:ascii="Times New Roman" w:hAnsi="Times New Roman" w:eastAsiaTheme="minorEastAsia" w:cstheme="minorBidi"/>
    </w:rPr>
  </w:style>
  <w:style w:type="table" w:styleId="30">
    <w:name w:val="Table Grid"/>
    <w:basedOn w:val="2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32">
    <w:name w:val="Hyperlink"/>
    <w:basedOn w:val="31"/>
    <w:qFormat/>
    <w:uiPriority w:val="99"/>
    <w:rPr>
      <w:color w:val="0000FF"/>
      <w:u w:val="single"/>
    </w:rPr>
  </w:style>
  <w:style w:type="character" w:styleId="33">
    <w:name w:val="annotation reference"/>
    <w:basedOn w:val="31"/>
    <w:semiHidden/>
    <w:unhideWhenUsed/>
    <w:qFormat/>
    <w:uiPriority w:val="99"/>
    <w:rPr>
      <w:sz w:val="21"/>
      <w:szCs w:val="21"/>
    </w:rPr>
  </w:style>
  <w:style w:type="paragraph" w:customStyle="1" w:styleId="34">
    <w:name w:val="索引 41"/>
    <w:basedOn w:val="1"/>
    <w:next w:val="1"/>
    <w:semiHidden/>
    <w:qFormat/>
    <w:uiPriority w:val="0"/>
    <w:pPr>
      <w:ind w:left="1260"/>
    </w:pPr>
    <w:rPr>
      <w:rFonts w:ascii="Calibri" w:hAnsi="Calibri" w:eastAsia="Calibri" w:cs="宋体"/>
      <w:sz w:val="20"/>
      <w:lang w:val="zh-CN"/>
    </w:rPr>
  </w:style>
  <w:style w:type="character" w:customStyle="1" w:styleId="35">
    <w:name w:val="页眉 字符"/>
    <w:basedOn w:val="31"/>
    <w:link w:val="20"/>
    <w:semiHidden/>
    <w:qFormat/>
    <w:uiPriority w:val="99"/>
    <w:rPr>
      <w:sz w:val="18"/>
      <w:szCs w:val="18"/>
    </w:rPr>
  </w:style>
  <w:style w:type="character" w:customStyle="1" w:styleId="36">
    <w:name w:val="页脚 字符"/>
    <w:basedOn w:val="31"/>
    <w:link w:val="19"/>
    <w:qFormat/>
    <w:uiPriority w:val="99"/>
    <w:rPr>
      <w:sz w:val="18"/>
      <w:szCs w:val="18"/>
    </w:rPr>
  </w:style>
  <w:style w:type="character" w:customStyle="1" w:styleId="37">
    <w:name w:val="标题 1 字符"/>
    <w:basedOn w:val="31"/>
    <w:link w:val="5"/>
    <w:qFormat/>
    <w:uiPriority w:val="9"/>
    <w:rPr>
      <w:rFonts w:ascii="Times New Roman" w:hAnsi="Times New Roman" w:eastAsia="宋体" w:cs="Times New Roman"/>
      <w:b/>
      <w:bCs/>
      <w:kern w:val="44"/>
      <w:sz w:val="44"/>
      <w:szCs w:val="44"/>
    </w:rPr>
  </w:style>
  <w:style w:type="character" w:customStyle="1" w:styleId="38">
    <w:name w:val="样式 (西文) 新宋体 (中文) 新宋体 小三 (西文)粗体 黑色"/>
    <w:basedOn w:val="31"/>
    <w:qFormat/>
    <w:uiPriority w:val="0"/>
    <w:rPr>
      <w:rFonts w:ascii="新宋体" w:hAnsi="新宋体" w:eastAsia="新宋体"/>
      <w:b/>
      <w:color w:val="000000"/>
      <w:sz w:val="30"/>
      <w:szCs w:val="30"/>
    </w:rPr>
  </w:style>
  <w:style w:type="character" w:customStyle="1" w:styleId="39">
    <w:name w:val="标题 2 字符"/>
    <w:basedOn w:val="31"/>
    <w:link w:val="6"/>
    <w:qFormat/>
    <w:uiPriority w:val="0"/>
    <w:rPr>
      <w:rFonts w:ascii="Arial" w:hAnsi="Arial" w:eastAsia="宋体" w:cs="Times New Roman"/>
      <w:b/>
      <w:sz w:val="44"/>
      <w:szCs w:val="20"/>
    </w:rPr>
  </w:style>
  <w:style w:type="character" w:customStyle="1" w:styleId="40">
    <w:name w:val="标题 3 字符"/>
    <w:basedOn w:val="31"/>
    <w:link w:val="8"/>
    <w:qFormat/>
    <w:uiPriority w:val="9"/>
    <w:rPr>
      <w:rFonts w:ascii="Times New Roman" w:hAnsi="Times New Roman" w:eastAsia="宋体" w:cs="Times New Roman"/>
      <w:b/>
      <w:bCs/>
      <w:sz w:val="32"/>
      <w:szCs w:val="32"/>
    </w:rPr>
  </w:style>
  <w:style w:type="character" w:customStyle="1" w:styleId="41">
    <w:name w:val="正文文本缩进 字符"/>
    <w:basedOn w:val="31"/>
    <w:link w:val="12"/>
    <w:qFormat/>
    <w:uiPriority w:val="0"/>
    <w:rPr>
      <w:rFonts w:ascii="仿宋_GB2312" w:hAnsi="华文仿宋" w:eastAsia="仿宋_GB2312" w:cs="Times New Roman"/>
      <w:color w:val="FF0000"/>
      <w:sz w:val="30"/>
      <w:szCs w:val="24"/>
    </w:rPr>
  </w:style>
  <w:style w:type="character" w:customStyle="1" w:styleId="42">
    <w:name w:val="HTML 预设格式 字符"/>
    <w:basedOn w:val="31"/>
    <w:link w:val="24"/>
    <w:qFormat/>
    <w:uiPriority w:val="0"/>
    <w:rPr>
      <w:rFonts w:ascii="黑体" w:hAnsi="Courier New" w:eastAsia="黑体" w:cs="Courier New"/>
      <w:kern w:val="0"/>
      <w:sz w:val="20"/>
      <w:szCs w:val="20"/>
    </w:rPr>
  </w:style>
  <w:style w:type="character" w:customStyle="1" w:styleId="43">
    <w:name w:val="正文文本 字符"/>
    <w:basedOn w:val="31"/>
    <w:link w:val="11"/>
    <w:qFormat/>
    <w:uiPriority w:val="99"/>
    <w:rPr>
      <w:rFonts w:ascii="Times New Roman" w:hAnsi="Times New Roman" w:eastAsia="宋体" w:cs="Times New Roman"/>
      <w:szCs w:val="24"/>
    </w:rPr>
  </w:style>
  <w:style w:type="character" w:customStyle="1" w:styleId="44">
    <w:name w:val="正文文本缩进 2 字符"/>
    <w:basedOn w:val="31"/>
    <w:link w:val="17"/>
    <w:semiHidden/>
    <w:qFormat/>
    <w:uiPriority w:val="99"/>
    <w:rPr>
      <w:rFonts w:ascii="Times New Roman" w:hAnsi="Times New Roman" w:eastAsia="宋体" w:cs="Times New Roman"/>
      <w:szCs w:val="24"/>
    </w:rPr>
  </w:style>
  <w:style w:type="paragraph" w:customStyle="1" w:styleId="45">
    <w:name w:val="列出段落1"/>
    <w:basedOn w:val="1"/>
    <w:qFormat/>
    <w:uiPriority w:val="34"/>
    <w:pPr>
      <w:ind w:firstLine="420" w:firstLineChars="200"/>
    </w:pPr>
  </w:style>
  <w:style w:type="character" w:customStyle="1" w:styleId="46">
    <w:name w:val="标题 字符"/>
    <w:basedOn w:val="31"/>
    <w:link w:val="26"/>
    <w:qFormat/>
    <w:uiPriority w:val="10"/>
    <w:rPr>
      <w:rFonts w:eastAsia="宋体" w:asciiTheme="majorHAnsi" w:hAnsiTheme="majorHAnsi" w:cstheme="majorBidi"/>
      <w:b/>
      <w:bCs/>
      <w:sz w:val="32"/>
      <w:szCs w:val="32"/>
    </w:rPr>
  </w:style>
  <w:style w:type="character" w:customStyle="1" w:styleId="47">
    <w:name w:val="副标题 字符"/>
    <w:basedOn w:val="31"/>
    <w:link w:val="22"/>
    <w:qFormat/>
    <w:uiPriority w:val="11"/>
    <w:rPr>
      <w:rFonts w:eastAsia="宋体" w:asciiTheme="majorHAnsi" w:hAnsiTheme="majorHAnsi" w:cstheme="majorBidi"/>
      <w:b/>
      <w:bCs/>
      <w:kern w:val="28"/>
      <w:sz w:val="32"/>
      <w:szCs w:val="32"/>
    </w:rPr>
  </w:style>
  <w:style w:type="paragraph" w:customStyle="1" w:styleId="48">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49">
    <w:name w:val="批注框文本 字符"/>
    <w:basedOn w:val="31"/>
    <w:link w:val="18"/>
    <w:semiHidden/>
    <w:qFormat/>
    <w:uiPriority w:val="99"/>
    <w:rPr>
      <w:rFonts w:ascii="Times New Roman" w:hAnsi="Times New Roman" w:eastAsia="宋体" w:cs="Times New Roman"/>
      <w:sz w:val="18"/>
      <w:szCs w:val="18"/>
    </w:rPr>
  </w:style>
  <w:style w:type="paragraph" w:styleId="50">
    <w:name w:val="List Paragraph"/>
    <w:basedOn w:val="1"/>
    <w:unhideWhenUsed/>
    <w:qFormat/>
    <w:uiPriority w:val="34"/>
    <w:pPr>
      <w:ind w:firstLine="420" w:firstLineChars="200"/>
    </w:pPr>
  </w:style>
  <w:style w:type="character" w:customStyle="1" w:styleId="51">
    <w:name w:val="日期 字符"/>
    <w:basedOn w:val="31"/>
    <w:link w:val="16"/>
    <w:semiHidden/>
    <w:qFormat/>
    <w:uiPriority w:val="99"/>
    <w:rPr>
      <w:kern w:val="2"/>
      <w:sz w:val="21"/>
      <w:szCs w:val="24"/>
    </w:rPr>
  </w:style>
  <w:style w:type="paragraph" w:customStyle="1" w:styleId="52">
    <w:name w:val="paragraph"/>
    <w:basedOn w:val="1"/>
    <w:qFormat/>
    <w:uiPriority w:val="0"/>
    <w:pPr>
      <w:widowControl/>
      <w:spacing w:before="100" w:beforeAutospacing="1" w:after="100" w:afterAutospacing="1"/>
      <w:jc w:val="left"/>
    </w:pPr>
    <w:rPr>
      <w:rFonts w:ascii="宋体" w:hAnsi="宋体" w:cs="宋体"/>
      <w:kern w:val="0"/>
      <w:sz w:val="24"/>
    </w:rPr>
  </w:style>
  <w:style w:type="character" w:customStyle="1" w:styleId="53">
    <w:name w:val="批注文字 字符"/>
    <w:basedOn w:val="31"/>
    <w:link w:val="10"/>
    <w:qFormat/>
    <w:uiPriority w:val="99"/>
    <w:rPr>
      <w:rFonts w:ascii="Times New Roman" w:hAnsi="Times New Roman"/>
      <w:kern w:val="2"/>
      <w:sz w:val="21"/>
      <w:szCs w:val="24"/>
    </w:rPr>
  </w:style>
  <w:style w:type="character" w:customStyle="1" w:styleId="54">
    <w:name w:val="批注主题 字符"/>
    <w:basedOn w:val="53"/>
    <w:link w:val="27"/>
    <w:semiHidden/>
    <w:qFormat/>
    <w:uiPriority w:val="99"/>
    <w:rPr>
      <w:rFonts w:ascii="Times New Roman" w:hAnsi="Times New Roman"/>
      <w:b/>
      <w:bCs/>
      <w:kern w:val="2"/>
      <w:sz w:val="21"/>
      <w:szCs w:val="24"/>
    </w:rPr>
  </w:style>
  <w:style w:type="character" w:customStyle="1" w:styleId="55">
    <w:name w:val="纯文本 字符"/>
    <w:basedOn w:val="31"/>
    <w:link w:val="15"/>
    <w:qFormat/>
    <w:uiPriority w:val="0"/>
    <w:rPr>
      <w:rFonts w:hAnsi="Courier New"/>
      <w:kern w:val="2"/>
      <w:sz w:val="21"/>
    </w:rPr>
  </w:style>
  <w:style w:type="paragraph" w:customStyle="1" w:styleId="56">
    <w:name w:val="仿宋正文"/>
    <w:basedOn w:val="1"/>
    <w:qFormat/>
    <w:uiPriority w:val="0"/>
    <w:pPr>
      <w:spacing w:line="360" w:lineRule="auto"/>
      <w:ind w:firstLine="480" w:firstLineChars="200"/>
    </w:pPr>
    <w:rPr>
      <w:rFonts w:ascii="仿宋_GB2312" w:eastAsia="仿宋_GB2312"/>
      <w:sz w:val="24"/>
    </w:rPr>
  </w:style>
  <w:style w:type="paragraph" w:customStyle="1" w:styleId="57">
    <w:name w:val="普通正文"/>
    <w:basedOn w:val="58"/>
    <w:qFormat/>
    <w:uiPriority w:val="0"/>
    <w:pPr>
      <w:adjustRightInd w:val="0"/>
      <w:spacing w:before="120" w:after="120" w:line="360" w:lineRule="auto"/>
      <w:ind w:firstLine="480"/>
      <w:textAlignment w:val="baseline"/>
    </w:pPr>
    <w:rPr>
      <w:rFonts w:ascii="Arial" w:hAnsi="Arial"/>
      <w:sz w:val="24"/>
      <w:szCs w:val="24"/>
    </w:rPr>
  </w:style>
  <w:style w:type="paragraph" w:customStyle="1" w:styleId="58">
    <w:name w:val="正文1"/>
    <w:qFormat/>
    <w:uiPriority w:val="0"/>
    <w:pPr>
      <w:spacing w:after="200" w:line="276" w:lineRule="auto"/>
    </w:pPr>
    <w:rPr>
      <w:rFonts w:ascii="Calibri" w:hAnsi="Calibri" w:eastAsia="宋体" w:cs="Times New Roman"/>
      <w:sz w:val="22"/>
      <w:szCs w:val="22"/>
      <w:lang w:val="en-US" w:eastAsia="en-US" w:bidi="ar-SA"/>
    </w:rPr>
  </w:style>
  <w:style w:type="paragraph" w:customStyle="1" w:styleId="59">
    <w:name w:val="首行缩进"/>
    <w:basedOn w:val="1"/>
    <w:qFormat/>
    <w:uiPriority w:val="0"/>
    <w:pPr>
      <w:ind w:firstLine="480" w:firstLineChars="200"/>
    </w:pPr>
    <w:rPr>
      <w:lang w:val="zh-CN"/>
    </w:rPr>
  </w:style>
  <w:style w:type="paragraph" w:customStyle="1" w:styleId="60">
    <w:name w:val="Char"/>
    <w:basedOn w:val="1"/>
    <w:qFormat/>
    <w:uiPriority w:val="0"/>
    <w:pPr>
      <w:tabs>
        <w:tab w:val="left" w:pos="360"/>
      </w:tabs>
      <w:ind w:firstLine="200" w:firstLineChars="200"/>
    </w:pPr>
    <w:rPr>
      <w:sz w:val="28"/>
      <w:szCs w:val="30"/>
    </w:rPr>
  </w:style>
  <w:style w:type="paragraph" w:customStyle="1" w:styleId="61">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39</Pages>
  <Words>14966</Words>
  <Characters>16028</Characters>
  <Lines>653</Lines>
  <Paragraphs>597</Paragraphs>
  <TotalTime>197</TotalTime>
  <ScaleCrop>false</ScaleCrop>
  <LinksUpToDate>false</LinksUpToDate>
  <CharactersWithSpaces>16995</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2022-11-10T09:21:00Z</dcterms:created>
  <dc:creator>Windows User</dc:creator>
  <cp:lastModifiedBy>1</cp:lastModifiedBy>
  <cp:lastPrinted>2020-06-05T04:20:00Z</cp:lastPrinted>
  <dcterms:modified xsi:type="dcterms:W3CDTF">2026-05-29T10:03:03Z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B757FF3391FD472994AF6B182975AEF4_13</vt:lpwstr>
  </property>
  <property fmtid="{D5CDD505-2E9C-101B-9397-08002B2CF9AE}" pid="4" name="KSOTemplateDocerSaveRecord">
    <vt:lpwstr>eyJoZGlkIjoiOTc1MTA2MjU3ODgzMDhkMzE0ZTU0MjU4NGU4NDljNDMiLCJ1c2VySWQiOiIzNzY1MjUzODEifQ==</vt:lpwstr>
  </property>
</Properties>
</file>