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2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00"/>
        </w:rPr>
        <w:t xml:space="preserve"> </w:t>
      </w:r>
      <w:r/>
    </w:p>
    <w:p>
      <w:pPr>
        <w:ind w:left="0" w:right="2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00"/>
        </w:rPr>
        <w:t xml:space="preserve">公开招标</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7"/>
        </w:rPr>
        <w:t xml:space="preserve"> </w:t>
      </w:r>
      <w:r/>
    </w:p>
    <w:p>
      <w:pPr>
        <w:ind w:left="0" w:right="0" w:firstLine="0"/>
        <w:spacing w:before="0" w:after="16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ab/>
        <w:t xml:space="preserve">项目编号：JSZC-320115-JCGL-G2026-0003</w:t>
      </w:r>
      <w:r>
        <w:rPr>
          <w:rFonts w:ascii="SimSun" w:hAnsi="SimSun" w:eastAsia="SimSun" w:cs="SimSun"/>
          <w:color w:val="000000"/>
          <w:sz w:val="22"/>
        </w:rPr>
        <w:t xml:space="preserve">  </w:t>
      </w:r>
      <w:r/>
    </w:p>
    <w:p>
      <w:pPr>
        <w:ind w:left="0" w:right="0" w:firstLine="0"/>
        <w:spacing w:before="0" w:after="16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ab/>
        <w:t xml:space="preserve">项目名称：2026-2028年度江宁区环境质量及污染源监测服务项目</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南京瑾承项目管理有限公司</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二〇二六年六月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目录</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253" w:lineRule="atLeast"/>
        <w:tabs>
          <w:tab w:val="left" w:pos="10210"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3149" w:history="1">
        <w:r>
          <w:rPr>
            <w:rStyle w:val="798"/>
            <w:rFonts w:ascii="FangSong" w:hAnsi="FangSong" w:eastAsia="FangSong" w:cs="FangSong"/>
            <w:color w:val="000000"/>
            <w:sz w:val="24"/>
            <w:u w:val="none"/>
          </w:rPr>
          <w:t xml:space="preserve">第一章 投标邀请</w:t>
        </w:r>
        <w:r>
          <w:rPr>
            <w:rStyle w:val="798"/>
            <w:rFonts w:ascii="FangSong" w:hAnsi="FangSong" w:eastAsia="FangSong" w:cs="FangSong"/>
            <w:color w:val="000000"/>
            <w:sz w:val="24"/>
            <w:u w:val="single"/>
          </w:rPr>
          <w:tab/>
        </w:r>
        <w:r>
          <w:rPr>
            <w:rStyle w:val="798"/>
            <w:rFonts w:ascii="FangSong" w:hAnsi="FangSong" w:eastAsia="FangSong" w:cs="FangSong"/>
            <w:color w:val="000000"/>
            <w:sz w:val="24"/>
            <w:u w:val="none"/>
          </w:rPr>
          <w:t xml:space="preserve">3</w:t>
        </w:r>
      </w:hyperlink>
      <w:r/>
      <w:r/>
    </w:p>
    <w:p>
      <w:pPr>
        <w:ind w:left="0" w:right="0" w:firstLine="0"/>
        <w:spacing w:before="0" w:after="160" w:line="253" w:lineRule="atLeast"/>
        <w:tabs>
          <w:tab w:val="left" w:pos="10210"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7512" w:history="1">
        <w:r>
          <w:rPr>
            <w:rStyle w:val="798"/>
            <w:rFonts w:ascii="FangSong" w:hAnsi="FangSong" w:eastAsia="FangSong" w:cs="FangSong"/>
            <w:color w:val="000000"/>
            <w:sz w:val="24"/>
            <w:u w:val="none"/>
          </w:rPr>
          <w:t xml:space="preserve">第二章 投标人须知</w:t>
        </w:r>
        <w:r>
          <w:rPr>
            <w:rStyle w:val="798"/>
            <w:rFonts w:ascii="FangSong" w:hAnsi="FangSong" w:eastAsia="FangSong" w:cs="FangSong"/>
            <w:color w:val="000000"/>
            <w:sz w:val="24"/>
            <w:u w:val="single"/>
          </w:rPr>
          <w:tab/>
        </w:r>
        <w:r>
          <w:rPr>
            <w:rStyle w:val="798"/>
            <w:rFonts w:ascii="FangSong" w:hAnsi="FangSong" w:eastAsia="FangSong" w:cs="FangSong"/>
            <w:color w:val="000000"/>
            <w:sz w:val="24"/>
            <w:u w:val="none"/>
          </w:rPr>
          <w:t xml:space="preserve">7</w:t>
        </w:r>
      </w:hyperlink>
      <w:r/>
      <w:r/>
    </w:p>
    <w:p>
      <w:pPr>
        <w:ind w:left="0" w:right="0" w:firstLine="0"/>
        <w:spacing w:before="0" w:after="160" w:line="253" w:lineRule="atLeast"/>
        <w:tabs>
          <w:tab w:val="left" w:pos="10210"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1251" w:history="1">
        <w:r>
          <w:rPr>
            <w:rStyle w:val="798"/>
            <w:rFonts w:ascii="FangSong" w:hAnsi="FangSong" w:eastAsia="FangSong" w:cs="FangSong"/>
            <w:color w:val="000000"/>
            <w:sz w:val="24"/>
            <w:u w:val="none"/>
          </w:rPr>
          <w:t xml:space="preserve">第三章 评标方法和标准</w:t>
        </w:r>
        <w:r>
          <w:rPr>
            <w:rStyle w:val="798"/>
            <w:rFonts w:ascii="FangSong" w:hAnsi="FangSong" w:eastAsia="FangSong" w:cs="FangSong"/>
            <w:color w:val="000000"/>
            <w:sz w:val="24"/>
            <w:u w:val="single"/>
          </w:rPr>
          <w:tab/>
        </w:r>
        <w:r>
          <w:rPr>
            <w:rStyle w:val="798"/>
            <w:rFonts w:ascii="FangSong" w:hAnsi="FangSong" w:eastAsia="FangSong" w:cs="FangSong"/>
            <w:color w:val="000000"/>
            <w:sz w:val="24"/>
            <w:u w:val="none"/>
          </w:rPr>
          <w:t xml:space="preserve">23</w:t>
        </w:r>
      </w:hyperlink>
      <w:r/>
      <w:r/>
    </w:p>
    <w:p>
      <w:pPr>
        <w:ind w:left="0" w:right="0" w:firstLine="0"/>
        <w:spacing w:before="0" w:after="160" w:line="253" w:lineRule="atLeast"/>
        <w:tabs>
          <w:tab w:val="left" w:pos="10210"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2444" w:history="1">
        <w:r>
          <w:rPr>
            <w:rStyle w:val="798"/>
            <w:rFonts w:ascii="FangSong" w:hAnsi="FangSong" w:eastAsia="FangSong" w:cs="FangSong"/>
            <w:color w:val="000000"/>
            <w:sz w:val="24"/>
            <w:u w:val="none"/>
          </w:rPr>
          <w:t xml:space="preserve">第四章</w:t>
        </w:r>
        <w:r>
          <w:rPr>
            <w:rStyle w:val="798"/>
            <w:rFonts w:ascii="FangSong" w:hAnsi="FangSong" w:eastAsia="FangSong" w:cs="FangSong"/>
            <w:color w:val="000000"/>
            <w:sz w:val="24"/>
            <w:u w:val="single"/>
          </w:rPr>
          <w:t xml:space="preserve">  </w:t>
        </w:r>
        <w:r>
          <w:rPr>
            <w:rStyle w:val="798"/>
            <w:rFonts w:ascii="FangSong" w:hAnsi="FangSong" w:eastAsia="FangSong" w:cs="FangSong"/>
            <w:color w:val="000000"/>
            <w:sz w:val="24"/>
            <w:u w:val="none"/>
          </w:rPr>
          <w:t xml:space="preserve">采购项目需求</w:t>
        </w:r>
        <w:r>
          <w:rPr>
            <w:rStyle w:val="798"/>
            <w:rFonts w:ascii="FangSong" w:hAnsi="FangSong" w:eastAsia="FangSong" w:cs="FangSong"/>
            <w:color w:val="000000"/>
            <w:sz w:val="24"/>
            <w:u w:val="single"/>
          </w:rPr>
          <w:tab/>
        </w:r>
        <w:r>
          <w:rPr>
            <w:rStyle w:val="798"/>
            <w:rFonts w:ascii="FangSong" w:hAnsi="FangSong" w:eastAsia="FangSong" w:cs="FangSong"/>
            <w:color w:val="000000"/>
            <w:sz w:val="24"/>
            <w:u w:val="none"/>
          </w:rPr>
          <w:t xml:space="preserve">28</w:t>
        </w:r>
      </w:hyperlink>
      <w:r/>
      <w:r/>
    </w:p>
    <w:p>
      <w:pPr>
        <w:ind w:left="0" w:right="0" w:firstLine="0"/>
        <w:spacing w:before="0" w:after="160" w:line="253" w:lineRule="atLeast"/>
        <w:tabs>
          <w:tab w:val="left" w:pos="10210"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2107" w:history="1">
        <w:r>
          <w:rPr>
            <w:rStyle w:val="798"/>
            <w:rFonts w:ascii="FangSong" w:hAnsi="FangSong" w:eastAsia="FangSong" w:cs="FangSong"/>
            <w:color w:val="000000"/>
            <w:sz w:val="24"/>
            <w:u w:val="none"/>
          </w:rPr>
          <w:t xml:space="preserve">第五章 合同格式</w:t>
        </w:r>
        <w:r>
          <w:rPr>
            <w:rStyle w:val="798"/>
            <w:rFonts w:ascii="FangSong" w:hAnsi="FangSong" w:eastAsia="FangSong" w:cs="FangSong"/>
            <w:color w:val="000000"/>
            <w:sz w:val="24"/>
            <w:u w:val="single"/>
          </w:rPr>
          <w:tab/>
        </w:r>
        <w:r>
          <w:rPr>
            <w:rStyle w:val="798"/>
            <w:rFonts w:ascii="FangSong" w:hAnsi="FangSong" w:eastAsia="FangSong" w:cs="FangSong"/>
            <w:color w:val="000000"/>
            <w:sz w:val="24"/>
            <w:u w:val="none"/>
          </w:rPr>
          <w:t xml:space="preserve">28</w:t>
        </w:r>
      </w:hyperlink>
      <w:r/>
      <w:r/>
    </w:p>
    <w:p>
      <w:pPr>
        <w:ind w:left="440" w:right="0" w:firstLine="0"/>
        <w:spacing w:before="0" w:after="160" w:line="253" w:lineRule="atLeast"/>
        <w:tabs>
          <w:tab w:val="left" w:pos="10210"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31600" w:history="1">
        <w:r>
          <w:rPr>
            <w:rStyle w:val="798"/>
            <w:rFonts w:ascii="FangSong" w:hAnsi="FangSong" w:eastAsia="FangSong" w:cs="FangSong"/>
            <w:color w:val="000000"/>
            <w:sz w:val="24"/>
            <w:u w:val="none"/>
          </w:rPr>
          <w:t xml:space="preserve">第六章 投标书</w:t>
        </w:r>
        <w:r>
          <w:rPr>
            <w:rStyle w:val="798"/>
            <w:rFonts w:ascii="FangSong" w:hAnsi="FangSong" w:eastAsia="FangSong" w:cs="FangSong"/>
            <w:color w:val="000000"/>
            <w:sz w:val="24"/>
            <w:u w:val="single"/>
          </w:rPr>
          <w:tab/>
        </w:r>
        <w:r>
          <w:rPr>
            <w:rStyle w:val="798"/>
            <w:rFonts w:ascii="FangSong" w:hAnsi="FangSong" w:eastAsia="FangSong" w:cs="FangSong"/>
            <w:color w:val="000000"/>
            <w:sz w:val="24"/>
            <w:u w:val="none"/>
          </w:rPr>
          <w:t xml:space="preserve">44</w:t>
        </w:r>
      </w:hyperlink>
      <w:r/>
      <w:r/>
    </w:p>
    <w:p>
      <w:pPr>
        <w:ind w:left="440" w:right="0" w:firstLine="0"/>
        <w:spacing w:before="0" w:after="160" w:line="253" w:lineRule="atLeast"/>
        <w:tabs>
          <w:tab w:val="left" w:pos="10210"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29882" w:history="1">
        <w:r>
          <w:rPr>
            <w:rStyle w:val="798"/>
            <w:rFonts w:ascii="FangSong" w:hAnsi="FangSong" w:eastAsia="FangSong" w:cs="FangSong"/>
            <w:color w:val="000000"/>
            <w:sz w:val="24"/>
            <w:u w:val="none"/>
          </w:rPr>
          <w:t xml:space="preserve">附件一、投标申请及声明格式</w:t>
        </w:r>
        <w:r>
          <w:rPr>
            <w:rStyle w:val="798"/>
            <w:rFonts w:ascii="FangSong" w:hAnsi="FangSong" w:eastAsia="FangSong" w:cs="FangSong"/>
            <w:color w:val="000000"/>
            <w:sz w:val="24"/>
            <w:u w:val="single"/>
          </w:rPr>
          <w:tab/>
        </w:r>
        <w:r>
          <w:rPr>
            <w:rStyle w:val="798"/>
            <w:rFonts w:ascii="FangSong" w:hAnsi="FangSong" w:eastAsia="FangSong" w:cs="FangSong"/>
            <w:color w:val="000000"/>
            <w:sz w:val="24"/>
            <w:u w:val="none"/>
          </w:rPr>
          <w:t xml:space="preserve">46</w:t>
        </w:r>
      </w:hyperlink>
      <w:r/>
      <w:r/>
    </w:p>
    <w:p>
      <w:pPr>
        <w:ind w:left="440" w:right="0" w:firstLine="0"/>
        <w:spacing w:before="0" w:after="160" w:line="253" w:lineRule="atLeast"/>
        <w:tabs>
          <w:tab w:val="left" w:pos="10210"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1120" w:history="1">
        <w:r>
          <w:rPr>
            <w:rStyle w:val="798"/>
            <w:rFonts w:ascii="FangSong" w:hAnsi="FangSong" w:eastAsia="FangSong" w:cs="FangSong"/>
            <w:color w:val="000000"/>
            <w:sz w:val="24"/>
            <w:u w:val="none"/>
          </w:rPr>
          <w:t xml:space="preserve">附件二、法定代表人授权委托书格式</w:t>
        </w:r>
        <w:r>
          <w:rPr>
            <w:rStyle w:val="798"/>
            <w:rFonts w:ascii="FangSong" w:hAnsi="FangSong" w:eastAsia="FangSong" w:cs="FangSong"/>
            <w:color w:val="000000"/>
            <w:sz w:val="24"/>
            <w:u w:val="single"/>
          </w:rPr>
          <w:tab/>
        </w:r>
        <w:r>
          <w:rPr>
            <w:rStyle w:val="798"/>
            <w:rFonts w:ascii="FangSong" w:hAnsi="FangSong" w:eastAsia="FangSong" w:cs="FangSong"/>
            <w:color w:val="000000"/>
            <w:sz w:val="24"/>
            <w:u w:val="none"/>
          </w:rPr>
          <w:t xml:space="preserve">48</w:t>
        </w:r>
      </w:hyperlink>
      <w:r/>
      <w:r/>
    </w:p>
    <w:p>
      <w:pPr>
        <w:ind w:left="440" w:right="0" w:firstLine="0"/>
        <w:spacing w:before="0" w:after="160" w:line="253" w:lineRule="atLeast"/>
        <w:tabs>
          <w:tab w:val="left" w:pos="10210"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9201" w:history="1">
        <w:r>
          <w:rPr>
            <w:rStyle w:val="798"/>
            <w:rFonts w:ascii="FangSong" w:hAnsi="FangSong" w:eastAsia="FangSong" w:cs="FangSong"/>
            <w:color w:val="000000"/>
            <w:sz w:val="24"/>
            <w:u w:val="none"/>
          </w:rPr>
          <w:t xml:space="preserve">附件三、开标一览表</w:t>
        </w:r>
        <w:r>
          <w:rPr>
            <w:rStyle w:val="798"/>
            <w:rFonts w:ascii="FangSong" w:hAnsi="FangSong" w:eastAsia="FangSong" w:cs="FangSong"/>
            <w:color w:val="000000"/>
            <w:sz w:val="24"/>
            <w:u w:val="single"/>
          </w:rPr>
          <w:tab/>
        </w:r>
        <w:r>
          <w:rPr>
            <w:rStyle w:val="798"/>
            <w:rFonts w:ascii="FangSong" w:hAnsi="FangSong" w:eastAsia="FangSong" w:cs="FangSong"/>
            <w:color w:val="000000"/>
            <w:sz w:val="24"/>
            <w:u w:val="none"/>
          </w:rPr>
          <w:t xml:space="preserve">49</w:t>
        </w:r>
      </w:hyperlink>
      <w:r/>
      <w:r/>
    </w:p>
    <w:p>
      <w:pPr>
        <w:ind w:left="440" w:right="0" w:firstLine="0"/>
        <w:spacing w:before="0" w:after="160" w:line="253" w:lineRule="atLeast"/>
        <w:tabs>
          <w:tab w:val="left" w:pos="10210"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24290" w:history="1">
        <w:r>
          <w:rPr>
            <w:rStyle w:val="798"/>
            <w:rFonts w:ascii="FangSong" w:hAnsi="FangSong" w:eastAsia="FangSong" w:cs="FangSong"/>
            <w:color w:val="000000"/>
            <w:sz w:val="24"/>
            <w:u w:val="none"/>
          </w:rPr>
          <w:t xml:space="preserve">附件四、报价明细表</w:t>
        </w:r>
        <w:r>
          <w:rPr>
            <w:rStyle w:val="798"/>
            <w:rFonts w:ascii="FangSong" w:hAnsi="FangSong" w:eastAsia="FangSong" w:cs="FangSong"/>
            <w:color w:val="000000"/>
            <w:sz w:val="24"/>
            <w:u w:val="single"/>
          </w:rPr>
          <w:tab/>
        </w:r>
        <w:r>
          <w:rPr>
            <w:rStyle w:val="798"/>
            <w:rFonts w:ascii="FangSong" w:hAnsi="FangSong" w:eastAsia="FangSong" w:cs="FangSong"/>
            <w:color w:val="000000"/>
            <w:sz w:val="24"/>
            <w:u w:val="none"/>
          </w:rPr>
          <w:t xml:space="preserve">50</w:t>
        </w:r>
      </w:hyperlink>
      <w:r/>
      <w:r/>
    </w:p>
    <w:p>
      <w:pPr>
        <w:ind w:left="440" w:right="0" w:firstLine="0"/>
        <w:spacing w:before="0" w:after="160" w:line="253" w:lineRule="atLeast"/>
        <w:tabs>
          <w:tab w:val="left" w:pos="10210"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21104" w:history="1">
        <w:r>
          <w:rPr>
            <w:rStyle w:val="798"/>
            <w:rFonts w:ascii="FangSong" w:hAnsi="FangSong" w:eastAsia="FangSong" w:cs="FangSong"/>
            <w:color w:val="000000"/>
            <w:sz w:val="24"/>
            <w:u w:val="none"/>
          </w:rPr>
          <w:t xml:space="preserve">附件五、项目实施方案（格式自拟）</w:t>
        </w:r>
        <w:r>
          <w:rPr>
            <w:rStyle w:val="798"/>
            <w:rFonts w:ascii="FangSong" w:hAnsi="FangSong" w:eastAsia="FangSong" w:cs="FangSong"/>
            <w:color w:val="000000"/>
            <w:sz w:val="24"/>
            <w:u w:val="single"/>
          </w:rPr>
          <w:tab/>
        </w:r>
        <w:r>
          <w:rPr>
            <w:rStyle w:val="798"/>
            <w:rFonts w:ascii="FangSong" w:hAnsi="FangSong" w:eastAsia="FangSong" w:cs="FangSong"/>
            <w:color w:val="000000"/>
            <w:sz w:val="24"/>
            <w:u w:val="none"/>
          </w:rPr>
          <w:t xml:space="preserve">51</w:t>
        </w:r>
      </w:hyperlink>
      <w:r/>
      <w:r/>
    </w:p>
    <w:p>
      <w:pPr>
        <w:ind w:left="440" w:right="0" w:firstLine="0"/>
        <w:spacing w:before="0" w:after="160" w:line="253" w:lineRule="atLeast"/>
        <w:tabs>
          <w:tab w:val="left" w:pos="10210"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5476" w:history="1">
        <w:r>
          <w:rPr>
            <w:rStyle w:val="798"/>
            <w:rFonts w:ascii="FangSong" w:hAnsi="FangSong" w:eastAsia="FangSong" w:cs="FangSong"/>
            <w:color w:val="000000"/>
            <w:sz w:val="24"/>
            <w:u w:val="none"/>
          </w:rPr>
          <w:t xml:space="preserve">附件六、供货（或服务）质量保证承诺书（格式自拟）</w:t>
        </w:r>
        <w:r>
          <w:rPr>
            <w:rStyle w:val="798"/>
            <w:rFonts w:ascii="FangSong" w:hAnsi="FangSong" w:eastAsia="FangSong" w:cs="FangSong"/>
            <w:color w:val="000000"/>
            <w:sz w:val="24"/>
            <w:u w:val="single"/>
          </w:rPr>
          <w:tab/>
        </w:r>
        <w:r>
          <w:rPr>
            <w:rStyle w:val="798"/>
            <w:rFonts w:ascii="FangSong" w:hAnsi="FangSong" w:eastAsia="FangSong" w:cs="FangSong"/>
            <w:color w:val="000000"/>
            <w:sz w:val="24"/>
            <w:u w:val="none"/>
          </w:rPr>
          <w:t xml:space="preserve">52</w:t>
        </w:r>
      </w:hyperlink>
      <w:r/>
      <w:r/>
    </w:p>
    <w:p>
      <w:pPr>
        <w:ind w:left="440" w:right="0" w:firstLine="0"/>
        <w:spacing w:before="0" w:after="160" w:line="253" w:lineRule="atLeast"/>
        <w:tabs>
          <w:tab w:val="left" w:pos="10210"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12834" w:history="1">
        <w:r>
          <w:rPr>
            <w:rStyle w:val="798"/>
            <w:rFonts w:ascii="FangSong" w:hAnsi="FangSong" w:eastAsia="FangSong" w:cs="FangSong"/>
            <w:color w:val="000000"/>
            <w:sz w:val="24"/>
            <w:u w:val="none"/>
          </w:rPr>
          <w:t xml:space="preserve">附件七、拟投入本项目人员情况一览表</w:t>
        </w:r>
        <w:r>
          <w:rPr>
            <w:rStyle w:val="798"/>
            <w:rFonts w:ascii="FangSong" w:hAnsi="FangSong" w:eastAsia="FangSong" w:cs="FangSong"/>
            <w:color w:val="000000"/>
            <w:sz w:val="24"/>
            <w:u w:val="single"/>
          </w:rPr>
          <w:tab/>
        </w:r>
        <w:r>
          <w:rPr>
            <w:rStyle w:val="798"/>
            <w:rFonts w:ascii="FangSong" w:hAnsi="FangSong" w:eastAsia="FangSong" w:cs="FangSong"/>
            <w:color w:val="000000"/>
            <w:sz w:val="24"/>
            <w:u w:val="none"/>
          </w:rPr>
          <w:t xml:space="preserve">52</w:t>
        </w:r>
      </w:hyperlink>
      <w:r/>
      <w:r/>
    </w:p>
    <w:p>
      <w:pPr>
        <w:ind w:left="440" w:right="0" w:firstLine="0"/>
        <w:spacing w:before="0" w:after="160" w:line="253" w:lineRule="atLeast"/>
        <w:tabs>
          <w:tab w:val="left" w:pos="10210" w:leader="none"/>
        </w:tabs>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12236" w:history="1">
        <w:r>
          <w:rPr>
            <w:rStyle w:val="798"/>
            <w:rFonts w:ascii="FangSong" w:hAnsi="FangSong" w:eastAsia="FangSong" w:cs="FangSong"/>
            <w:color w:val="000000"/>
            <w:sz w:val="24"/>
            <w:u w:val="none"/>
          </w:rPr>
          <w:t xml:space="preserve">附件八、商务条款响应表</w:t>
        </w:r>
        <w:r>
          <w:rPr>
            <w:rStyle w:val="798"/>
            <w:rFonts w:ascii="FangSong" w:hAnsi="FangSong" w:eastAsia="FangSong" w:cs="FangSong"/>
            <w:color w:val="000000"/>
            <w:sz w:val="24"/>
            <w:u w:val="single"/>
          </w:rPr>
          <w:tab/>
        </w:r>
        <w:r>
          <w:rPr>
            <w:rStyle w:val="798"/>
            <w:rFonts w:ascii="FangSong" w:hAnsi="FangSong" w:eastAsia="FangSong" w:cs="FangSong"/>
            <w:color w:val="000000"/>
            <w:sz w:val="24"/>
            <w:u w:val="none"/>
          </w:rPr>
          <w:t xml:space="preserve">53</w:t>
        </w:r>
      </w:hyperlink>
      <w:r/>
      <w:r/>
    </w:p>
    <w:p>
      <w:pPr>
        <w:ind w:left="440" w:right="0" w:firstLine="0"/>
        <w:spacing w:before="0" w:after="160" w:line="253" w:lineRule="atLeast"/>
        <w:tabs>
          <w:tab w:val="left" w:pos="10210" w:leader="none"/>
        </w:tabs>
        <w:pBdr>
          <w:top w:val="none" w:color="000000" w:sz="4" w:space="0"/>
          <w:left w:val="none" w:color="000000" w:sz="4" w:space="0"/>
          <w:bottom w:val="none" w:color="000000" w:sz="4" w:space="0"/>
          <w:right w:val="none" w:color="000000" w:sz="4" w:space="0"/>
        </w:pBdr>
      </w:pPr>
      <w:r/>
      <w:hyperlink r:id="rId23" w:tooltip="http://jszfcg.jsczt.cn/jszc/onlyoffice/7.2.1-34/web-apps/apps/documenteditor/main/index_loader.html?_dc=7.2.1-34&amp;lang=zh&amp;customer=%20&amp;logo=%20&amp;headerlogo=%2Ffavicon.ico&amp;frameEditorId=iframePage&amp;compact=true&amp;parentOrigin=http://jszfcg.jsczt.cn#_Toc27922" w:history="1">
        <w:r>
          <w:rPr>
            <w:rStyle w:val="798"/>
            <w:rFonts w:ascii="FangSong" w:hAnsi="FangSong" w:eastAsia="FangSong" w:cs="FangSong"/>
            <w:color w:val="000000"/>
            <w:sz w:val="24"/>
            <w:u w:val="none"/>
          </w:rPr>
          <w:t xml:space="preserve">附件九、中小企业声明函格式</w:t>
        </w:r>
        <w:r>
          <w:rPr>
            <w:rStyle w:val="798"/>
            <w:rFonts w:ascii="FangSong" w:hAnsi="FangSong" w:eastAsia="FangSong" w:cs="FangSong"/>
            <w:color w:val="000000"/>
            <w:sz w:val="24"/>
            <w:u w:val="single"/>
          </w:rPr>
          <w:tab/>
        </w:r>
        <w:r>
          <w:rPr>
            <w:rStyle w:val="798"/>
            <w:rFonts w:ascii="FangSong" w:hAnsi="FangSong" w:eastAsia="FangSong" w:cs="FangSong"/>
            <w:color w:val="000000"/>
            <w:sz w:val="24"/>
            <w:u w:val="none"/>
          </w:rPr>
          <w:t xml:space="preserve">54</w:t>
        </w:r>
      </w:hyperlink>
      <w:r/>
      <w:r/>
    </w:p>
    <w:p>
      <w:pPr>
        <w:ind w:left="440" w:right="0" w:firstLine="0"/>
        <w:spacing w:before="0" w:after="160" w:line="253" w:lineRule="atLeast"/>
        <w:tabs>
          <w:tab w:val="left" w:pos="10210" w:leader="none"/>
        </w:tabs>
        <w:pBdr>
          <w:top w:val="none" w:color="000000" w:sz="4" w:space="0"/>
          <w:left w:val="none" w:color="000000" w:sz="4" w:space="0"/>
          <w:bottom w:val="none" w:color="000000" w:sz="4" w:space="0"/>
          <w:right w:val="none" w:color="000000" w:sz="4" w:space="0"/>
        </w:pBdr>
      </w:pPr>
      <w:r/>
      <w:hyperlink r:id="rId24" w:tooltip="http://jszfcg.jsczt.cn/jszc/onlyoffice/7.2.1-34/web-apps/apps/documenteditor/main/index_loader.html?_dc=7.2.1-34&amp;lang=zh&amp;customer=%20&amp;logo=%20&amp;headerlogo=%2Ffavicon.ico&amp;frameEditorId=iframePage&amp;compact=true&amp;parentOrigin=http://jszfcg.jsczt.cn#_Toc15522" w:history="1">
        <w:r>
          <w:rPr>
            <w:rStyle w:val="798"/>
            <w:rFonts w:ascii="FangSong" w:hAnsi="FangSong" w:eastAsia="FangSong" w:cs="FangSong"/>
            <w:color w:val="000000"/>
            <w:sz w:val="24"/>
            <w:u w:val="none"/>
          </w:rPr>
          <w:t xml:space="preserve">附件十、无重大违法记录声明格式</w:t>
        </w:r>
        <w:r>
          <w:rPr>
            <w:rStyle w:val="798"/>
            <w:rFonts w:ascii="FangSong" w:hAnsi="FangSong" w:eastAsia="FangSong" w:cs="FangSong"/>
            <w:color w:val="000000"/>
            <w:sz w:val="24"/>
            <w:u w:val="single"/>
          </w:rPr>
          <w:tab/>
        </w:r>
        <w:r>
          <w:rPr>
            <w:rStyle w:val="798"/>
            <w:rFonts w:ascii="FangSong" w:hAnsi="FangSong" w:eastAsia="FangSong" w:cs="FangSong"/>
            <w:color w:val="000000"/>
            <w:sz w:val="24"/>
            <w:u w:val="none"/>
          </w:rPr>
          <w:t xml:space="preserve">55</w:t>
        </w:r>
      </w:hyperlink>
      <w:r/>
      <w:r/>
    </w:p>
    <w:p>
      <w:pPr>
        <w:ind w:left="440" w:right="0" w:firstLine="0"/>
        <w:spacing w:before="0" w:after="160" w:line="253" w:lineRule="atLeast"/>
        <w:tabs>
          <w:tab w:val="left" w:pos="10210" w:leader="none"/>
        </w:tabs>
        <w:pBdr>
          <w:top w:val="none" w:color="000000" w:sz="4" w:space="0"/>
          <w:left w:val="none" w:color="000000" w:sz="4" w:space="0"/>
          <w:bottom w:val="none" w:color="000000" w:sz="4" w:space="0"/>
          <w:right w:val="none" w:color="000000" w:sz="4" w:space="0"/>
        </w:pBdr>
      </w:pPr>
      <w:r/>
      <w:hyperlink r:id="rId25" w:tooltip="http://jszfcg.jsczt.cn/jszc/onlyoffice/7.2.1-34/web-apps/apps/documenteditor/main/index_loader.html?_dc=7.2.1-34&amp;lang=zh&amp;customer=%20&amp;logo=%20&amp;headerlogo=%2Ffavicon.ico&amp;frameEditorId=iframePage&amp;compact=true&amp;parentOrigin=http://jszfcg.jsczt.cn#_Toc31037" w:history="1">
        <w:r>
          <w:rPr>
            <w:rStyle w:val="798"/>
            <w:rFonts w:ascii="FangSong" w:hAnsi="FangSong" w:eastAsia="FangSong" w:cs="FangSong"/>
            <w:color w:val="000000"/>
            <w:sz w:val="24"/>
            <w:u w:val="none"/>
          </w:rPr>
          <w:t xml:space="preserve">附件十一、具备履行合同所必需的设备和专业技术能力的书面声明</w:t>
        </w:r>
        <w:r>
          <w:rPr>
            <w:rStyle w:val="798"/>
            <w:rFonts w:ascii="FangSong" w:hAnsi="FangSong" w:eastAsia="FangSong" w:cs="FangSong"/>
            <w:color w:val="000000"/>
            <w:sz w:val="24"/>
            <w:u w:val="single"/>
          </w:rPr>
          <w:tab/>
        </w:r>
        <w:r>
          <w:rPr>
            <w:rStyle w:val="798"/>
            <w:rFonts w:ascii="FangSong" w:hAnsi="FangSong" w:eastAsia="FangSong" w:cs="FangSong"/>
            <w:color w:val="000000"/>
            <w:sz w:val="24"/>
            <w:u w:val="none"/>
          </w:rPr>
          <w:t xml:space="preserve">56</w:t>
        </w:r>
      </w:hyperlink>
      <w:r/>
      <w:r/>
    </w:p>
    <w:p>
      <w:pPr>
        <w:ind w:left="440" w:right="0" w:firstLine="0"/>
        <w:spacing w:before="0" w:after="160" w:line="253" w:lineRule="atLeast"/>
        <w:tabs>
          <w:tab w:val="left" w:pos="10210" w:leader="none"/>
        </w:tabs>
        <w:pBdr>
          <w:top w:val="none" w:color="000000" w:sz="4" w:space="0"/>
          <w:left w:val="none" w:color="000000" w:sz="4" w:space="0"/>
          <w:bottom w:val="none" w:color="000000" w:sz="4" w:space="0"/>
          <w:right w:val="none" w:color="000000" w:sz="4" w:space="0"/>
        </w:pBdr>
      </w:pPr>
      <w:r/>
      <w:hyperlink r:id="rId26" w:tooltip="http://jszfcg.jsczt.cn/jszc/onlyoffice/7.2.1-34/web-apps/apps/documenteditor/main/index_loader.html?_dc=7.2.1-34&amp;lang=zh&amp;customer=%20&amp;logo=%20&amp;headerlogo=%2Ffavicon.ico&amp;frameEditorId=iframePage&amp;compact=true&amp;parentOrigin=http://jszfcg.jsczt.cn#_Toc15675" w:history="1">
        <w:r>
          <w:rPr>
            <w:rStyle w:val="798"/>
            <w:rFonts w:ascii="FangSong" w:hAnsi="FangSong" w:eastAsia="FangSong" w:cs="FangSong"/>
            <w:color w:val="000000"/>
            <w:sz w:val="24"/>
            <w:u w:val="none"/>
          </w:rPr>
          <w:t xml:space="preserve">附件十二、残疾人福利性单位声明函</w:t>
        </w:r>
        <w:r>
          <w:rPr>
            <w:rStyle w:val="798"/>
            <w:rFonts w:ascii="FangSong" w:hAnsi="FangSong" w:eastAsia="FangSong" w:cs="FangSong"/>
            <w:color w:val="000000"/>
            <w:sz w:val="24"/>
            <w:u w:val="single"/>
          </w:rPr>
          <w:tab/>
        </w:r>
        <w:r>
          <w:rPr>
            <w:rStyle w:val="798"/>
            <w:rFonts w:ascii="FangSong" w:hAnsi="FangSong" w:eastAsia="FangSong" w:cs="FangSong"/>
            <w:color w:val="000000"/>
            <w:sz w:val="24"/>
            <w:u w:val="none"/>
          </w:rPr>
          <w:t xml:space="preserve">57</w:t>
        </w:r>
      </w:hyperlink>
      <w:r/>
      <w:r/>
    </w:p>
    <w:p>
      <w:pPr>
        <w:ind w:left="440" w:right="0" w:firstLine="0"/>
        <w:spacing w:before="0" w:after="160" w:line="253" w:lineRule="atLeast"/>
        <w:tabs>
          <w:tab w:val="left" w:pos="10210" w:leader="none"/>
        </w:tabs>
        <w:pBdr>
          <w:top w:val="none" w:color="000000" w:sz="4" w:space="0"/>
          <w:left w:val="none" w:color="000000" w:sz="4" w:space="0"/>
          <w:bottom w:val="none" w:color="000000" w:sz="4" w:space="0"/>
          <w:right w:val="none" w:color="000000" w:sz="4" w:space="0"/>
        </w:pBdr>
      </w:pPr>
      <w:r/>
      <w:hyperlink r:id="rId27" w:tooltip="http://jszfcg.jsczt.cn/jszc/onlyoffice/7.2.1-34/web-apps/apps/documenteditor/main/index_loader.html?_dc=7.2.1-34&amp;lang=zh&amp;customer=%20&amp;logo=%20&amp;headerlogo=%2Ffavicon.ico&amp;frameEditorId=iframePage&amp;compact=true&amp;parentOrigin=http://jszfcg.jsczt.cn#_Toc20677" w:history="1">
        <w:r>
          <w:rPr>
            <w:rStyle w:val="798"/>
            <w:rFonts w:ascii="FangSong" w:hAnsi="FangSong" w:eastAsia="FangSong" w:cs="FangSong"/>
            <w:color w:val="000000"/>
            <w:sz w:val="24"/>
            <w:u w:val="none"/>
          </w:rPr>
          <w:t xml:space="preserve">附件十三、南京市政府采购供应商信用记录表暨信用承诺书</w:t>
        </w:r>
        <w:r>
          <w:rPr>
            <w:rStyle w:val="798"/>
            <w:rFonts w:ascii="FangSong" w:hAnsi="FangSong" w:eastAsia="FangSong" w:cs="FangSong"/>
            <w:color w:val="000000"/>
            <w:sz w:val="24"/>
            <w:u w:val="single"/>
          </w:rPr>
          <w:tab/>
        </w:r>
        <w:r>
          <w:rPr>
            <w:rStyle w:val="798"/>
            <w:rFonts w:ascii="FangSong" w:hAnsi="FangSong" w:eastAsia="FangSong" w:cs="FangSong"/>
            <w:color w:val="000000"/>
            <w:sz w:val="24"/>
            <w:u w:val="none"/>
          </w:rPr>
          <w:t xml:space="preserve">58</w:t>
        </w:r>
      </w:hyperlink>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pStyle w:val="638"/>
        <w:ind w:left="0" w:right="2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u w:val="none"/>
        </w:rPr>
        <w:t xml:space="preserve">第一章 投标邀请</w:t>
      </w:r>
      <w:r/>
    </w:p>
    <w:p>
      <w:pPr>
        <w:ind w:left="119" w:right="2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2026-2028年度江宁区环境质量及污染源监测服务项目招标公告</w:t>
      </w:r>
      <w:r/>
    </w:p>
    <w:p>
      <w:pPr>
        <w:ind w:left="0" w:right="0" w:firstLine="480"/>
        <w:spacing w:before="0" w:after="160" w:line="400"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4"/>
        </w:rPr>
        <w:t xml:space="preserve">项目概况</w:t>
      </w:r>
      <w:r/>
    </w:p>
    <w:p>
      <w:pPr>
        <w:ind w:left="0" w:right="0" w:firstLine="480"/>
        <w:spacing w:before="0" w:after="160" w:line="400"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4"/>
        </w:rPr>
        <w:t xml:space="preserve"> 2026-2028年度江宁区环境质量及污染源监测服务项目采购项目的潜在供应商应在“江苏政府采购网、南京公共采购信息网”自行免费下载获取采购文件，并于2026-6-29 09:30 （北京时间）前提交响应文件。</w:t>
      </w:r>
      <w:r/>
    </w:p>
    <w:p>
      <w:pPr>
        <w:ind w:left="0" w:right="0" w:firstLine="0"/>
        <w:jc w:val="both"/>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一、项目基本情况</w:t>
      </w:r>
      <w:r/>
    </w:p>
    <w:p>
      <w:pPr>
        <w:ind w:left="0" w:right="0" w:firstLine="48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项目编号：JSZC-320115-JCGL-G2026-0003</w:t>
      </w:r>
      <w:r>
        <w:rPr>
          <w:rFonts w:ascii="SimSun" w:hAnsi="SimSun" w:eastAsia="SimSun" w:cs="SimSun"/>
          <w:color w:val="000000"/>
          <w:sz w:val="22"/>
        </w:rPr>
        <w:t xml:space="preserve"> </w:t>
      </w:r>
      <w:r/>
    </w:p>
    <w:p>
      <w:pPr>
        <w:ind w:left="0" w:right="0" w:firstLine="48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rPr>
          <w:rFonts w:ascii="FangSong" w:hAnsi="FangSong" w:eastAsia="FangSong" w:cs="FangSong"/>
          <w:color w:val="000000"/>
          <w:sz w:val="24"/>
          <w:highlight w:val="white"/>
        </w:rPr>
        <w:t xml:space="preserve">2026-2028年度江宁区环境质量及污染源监测服务项目</w:t>
      </w:r>
      <w:r/>
    </w:p>
    <w:p>
      <w:pPr>
        <w:ind w:left="0" w:right="0" w:firstLine="48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预算金额：960万元（</w:t>
      </w:r>
      <w:r>
        <w:rPr>
          <w:rFonts w:ascii="FangSong" w:hAnsi="FangSong" w:eastAsia="FangSong" w:cs="FangSong"/>
          <w:color w:val="000000"/>
          <w:sz w:val="24"/>
          <w:highlight w:val="white"/>
        </w:rPr>
        <w:t xml:space="preserve">采购包1:160万元；采购包2:140万元；采购包3:140万元；采购包4:170万元；采购包5:160万元；采购包6:190万元</w:t>
      </w:r>
      <w:r>
        <w:rPr>
          <w:rFonts w:ascii="FangSong" w:hAnsi="FangSong" w:eastAsia="FangSong" w:cs="FangSong"/>
          <w:color w:val="000000"/>
          <w:sz w:val="24"/>
        </w:rPr>
        <w:t xml:space="preserve">）</w:t>
      </w:r>
      <w:r/>
    </w:p>
    <w:p>
      <w:pPr>
        <w:ind w:left="0" w:right="0" w:firstLine="48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最高限价（如有）：480万元/年（</w:t>
      </w:r>
      <w:r>
        <w:rPr>
          <w:rFonts w:ascii="FangSong" w:hAnsi="FangSong" w:eastAsia="FangSong" w:cs="FangSong"/>
          <w:color w:val="000000"/>
          <w:sz w:val="24"/>
          <w:highlight w:val="white"/>
        </w:rPr>
        <w:t xml:space="preserve">采购包1:80万元</w:t>
      </w:r>
      <w:r>
        <w:rPr>
          <w:rFonts w:ascii="FangSong" w:hAnsi="FangSong" w:eastAsia="FangSong" w:cs="FangSong"/>
          <w:color w:val="000000"/>
          <w:sz w:val="24"/>
        </w:rPr>
        <w:t xml:space="preserve">/年</w:t>
      </w:r>
      <w:r>
        <w:rPr>
          <w:rFonts w:ascii="FangSong" w:hAnsi="FangSong" w:eastAsia="FangSong" w:cs="FangSong"/>
          <w:color w:val="000000"/>
          <w:sz w:val="24"/>
          <w:highlight w:val="white"/>
        </w:rPr>
        <w:t xml:space="preserve">；采购包2:70万元</w:t>
      </w:r>
      <w:r>
        <w:rPr>
          <w:rFonts w:ascii="FangSong" w:hAnsi="FangSong" w:eastAsia="FangSong" w:cs="FangSong"/>
          <w:color w:val="000000"/>
          <w:sz w:val="24"/>
        </w:rPr>
        <w:t xml:space="preserve">/年</w:t>
      </w:r>
      <w:r>
        <w:rPr>
          <w:rFonts w:ascii="FangSong" w:hAnsi="FangSong" w:eastAsia="FangSong" w:cs="FangSong"/>
          <w:color w:val="000000"/>
          <w:sz w:val="24"/>
          <w:highlight w:val="white"/>
        </w:rPr>
        <w:t xml:space="preserve">；采购包3:70万元</w:t>
      </w:r>
      <w:r>
        <w:rPr>
          <w:rFonts w:ascii="FangSong" w:hAnsi="FangSong" w:eastAsia="FangSong" w:cs="FangSong"/>
          <w:color w:val="000000"/>
          <w:sz w:val="24"/>
        </w:rPr>
        <w:t xml:space="preserve">/年</w:t>
      </w:r>
      <w:r>
        <w:rPr>
          <w:rFonts w:ascii="FangSong" w:hAnsi="FangSong" w:eastAsia="FangSong" w:cs="FangSong"/>
          <w:color w:val="000000"/>
          <w:sz w:val="24"/>
          <w:highlight w:val="white"/>
        </w:rPr>
        <w:t xml:space="preserve">；采购包4:85万元</w:t>
      </w:r>
      <w:r>
        <w:rPr>
          <w:rFonts w:ascii="FangSong" w:hAnsi="FangSong" w:eastAsia="FangSong" w:cs="FangSong"/>
          <w:color w:val="000000"/>
          <w:sz w:val="24"/>
        </w:rPr>
        <w:t xml:space="preserve">/年</w:t>
      </w:r>
      <w:r>
        <w:rPr>
          <w:rFonts w:ascii="FangSong" w:hAnsi="FangSong" w:eastAsia="FangSong" w:cs="FangSong"/>
          <w:color w:val="000000"/>
          <w:sz w:val="24"/>
          <w:highlight w:val="white"/>
        </w:rPr>
        <w:t xml:space="preserve">；采购包5:80万元</w:t>
      </w:r>
      <w:r>
        <w:rPr>
          <w:rFonts w:ascii="FangSong" w:hAnsi="FangSong" w:eastAsia="FangSong" w:cs="FangSong"/>
          <w:color w:val="000000"/>
          <w:sz w:val="24"/>
        </w:rPr>
        <w:t xml:space="preserve">/年</w:t>
      </w:r>
      <w:r>
        <w:rPr>
          <w:rFonts w:ascii="FangSong" w:hAnsi="FangSong" w:eastAsia="FangSong" w:cs="FangSong"/>
          <w:color w:val="000000"/>
          <w:sz w:val="24"/>
          <w:highlight w:val="white"/>
        </w:rPr>
        <w:t xml:space="preserve">；采购包6:95万元</w:t>
      </w:r>
      <w:r>
        <w:rPr>
          <w:rFonts w:ascii="FangSong" w:hAnsi="FangSong" w:eastAsia="FangSong" w:cs="FangSong"/>
          <w:color w:val="000000"/>
          <w:sz w:val="24"/>
        </w:rPr>
        <w:t xml:space="preserve">/年），本项目按照费率报价，控制价</w:t>
      </w:r>
      <w:r>
        <w:rPr>
          <w:rFonts w:ascii="FangSong" w:hAnsi="FangSong" w:eastAsia="FangSong" w:cs="FangSong"/>
          <w:color w:val="000000"/>
          <w:sz w:val="24"/>
          <w:highlight w:val="white"/>
        </w:rPr>
        <w:t xml:space="preserve">费率为70%，供应商报价费率超过最高控制价费率的为无效报价，按照无效响应处理。</w:t>
      </w:r>
      <w:r/>
    </w:p>
    <w:p>
      <w:pPr>
        <w:ind w:left="0" w:right="0" w:firstLine="48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需求：根据年度生态环境保护工作要点以及环境监测工作方案等文件要求，为保障各类监测任务顺利完成，有力有效支撑环境执法、环境管理，为深入打好污染防治攻坚战提供监测支撑。项目服务内容包括：全区重点断面、水质提升河道、重点泵站、城市建成区水体消劣提质和应急处理设施监测，重点监管单位监督监测、重点信访件以及其他应急类监测任务。</w:t>
      </w:r>
      <w:r/>
    </w:p>
    <w:p>
      <w:pPr>
        <w:ind w:left="0" w:right="0" w:firstLine="48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本项目划分六个包，各包划分如下：</w:t>
      </w:r>
      <w:r/>
    </w:p>
    <w:p>
      <w:pPr>
        <w:ind w:left="0" w:right="0" w:firstLine="48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包一：9个尾矿库监测任务</w:t>
      </w:r>
      <w:r/>
    </w:p>
    <w:p>
      <w:pPr>
        <w:ind w:left="0" w:right="0" w:firstLine="48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包二：3个垃圾填埋场（轿子山、水阁、江南灰渣）3个总排口监测任务</w:t>
      </w:r>
      <w:r/>
    </w:p>
    <w:p>
      <w:pPr>
        <w:ind w:left="0" w:right="0" w:firstLine="48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包三：光大环保、中联水泥废气监测任务</w:t>
      </w:r>
      <w:r/>
    </w:p>
    <w:p>
      <w:pPr>
        <w:ind w:left="0" w:right="0" w:firstLine="48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包四：水质提升河道、涉水环境问题河流（沟渠、涵洞）监测及应急处理设施监测</w:t>
      </w:r>
      <w:r/>
    </w:p>
    <w:p>
      <w:pPr>
        <w:ind w:left="0" w:right="0" w:firstLine="48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包五：省考断面跟踪监测、城市建成区水体、泵站排口及水库监测</w:t>
      </w:r>
      <w:r/>
    </w:p>
    <w:p>
      <w:pPr>
        <w:ind w:left="0" w:right="0" w:firstLine="48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包六：重点断面水环境质量监测及泵站水质监测</w:t>
      </w:r>
      <w:r/>
    </w:p>
    <w:p>
      <w:pPr>
        <w:ind w:left="0" w:right="0" w:firstLine="48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具体要求及内容详见公开招标文件。</w:t>
      </w:r>
      <w:r/>
    </w:p>
    <w:p>
      <w:pPr>
        <w:ind w:left="0" w:right="0" w:firstLine="482"/>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分为六个包，每包选定一家供应商。供应商可参与一个或多个包投标，但不可兼中兼得。本项目按包一、包二、包三、包四、包五、包六的顺序进行评审，包一的第一中标候选人如同时在后续包段排名第一，则采购人在后续包段中可以确定排名第二的中标候选人为中标人，以此类推。</w:t>
      </w:r>
      <w:r/>
    </w:p>
    <w:p>
      <w:pPr>
        <w:ind w:left="0" w:right="0" w:firstLine="48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合同履行期限：二年，合同一年一签。</w:t>
      </w:r>
      <w:r/>
    </w:p>
    <w:p>
      <w:pPr>
        <w:ind w:left="0" w:right="0" w:firstLine="48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本项目（是/否）接受联合体投标：否</w:t>
      </w:r>
      <w:r/>
    </w:p>
    <w:p>
      <w:pPr>
        <w:ind w:left="0" w:right="0" w:firstLine="0"/>
        <w:jc w:val="both"/>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二、申请人的资格要求：</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（一）满足《中华人民共和国政府采购法》第二十二条规定：</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1.法人或者其他组织的营业执照等证明文件，自然人的身份证明。</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2.上一年度的财务状况报告（成立不满一年不需提供）（提供信用承诺表）。</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3.依法缴纳税收和社会保障资金的相关材料（提供信用承诺书）。</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4.具备履行合同所必需的设备和专业技术能力的书面声明（提供信用承诺书）。</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5.参加政府采购活动前3年内在经营活动中没有重大违法记录的书面声明（提供信用承诺书）。</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6.法律、行政法规规定的其他条件。</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（二）落实政府采购政策需满足的资格要求：</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w:t>
      </w:r>
      <w:r>
        <w:rPr>
          <w:rFonts w:ascii="FangSong" w:hAnsi="FangSong" w:eastAsia="FangSong" w:cs="FangSong"/>
          <w:color w:val="000000"/>
          <w:sz w:val="24"/>
          <w:highlight w:val="white"/>
        </w:rPr>
        <w:t xml:space="preserve">B991C8EC1E5）登录（未注册的供应商应先点击‘供应商注册点这里’并按 要求完成注册），然后在“信用记录”模块页面点击“信用记录打印”下载本单位《南京市政府采购供应商信用记录表暨信用承诺书》，由法人代表签字并加盖单位公章，随响应文件一并递交。</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在政府采购资格审查环节，供应商只需提供书面《南京市政府采购供应商信用记录表暨信用承诺书》，即可替代以下证明材料：</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（1）符合国家相关规定的财务状况报告；</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（2）依法缴纳税收的证明材料；</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（3）依法缴纳社会保障资金的证明材料；</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（4）具备履行政府采购合同所必需的设备和专业技术能力的证明材料；</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（5）参加政府采购活动前三年内在经营活动中没有重大违法记录的证明材料；</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（6）未被列入失信被执行人、重大税收违法失信主体、政府采购严重违法失信行为记录名单的证明材料。</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供应商涉及以下情形的，不适用信用承诺：</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（1）供应商被列入严重失信主体名单；</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（2）被相关监管部门作出行政处罚且尚在处罚有效期内；</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（3）其他法律、行政法规规定的不适用信用承诺的情形。</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供应商对信用承诺内容的真实性、合法性、有效性负责。如作出虚假信用承诺，视同为“提供虚假材料谋取中标、成交”的违法行为。</w:t>
      </w:r>
      <w:r/>
    </w:p>
    <w:p>
      <w:pPr>
        <w:ind w:left="0" w:right="0" w:firstLine="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2.如属于专门面向中小企业采购的项目，供应商应为中小微企业、监狱企业、残疾人福利性单位</w:t>
      </w:r>
      <w:r/>
    </w:p>
    <w:p>
      <w:pPr>
        <w:ind w:left="0" w:right="0" w:firstLine="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本项目采用以下第（ 4 ）种方式落实政府采购促进中小企业发展的要求：</w:t>
      </w:r>
      <w:r/>
    </w:p>
    <w:p>
      <w:pPr>
        <w:ind w:left="0" w:right="0" w:firstLine="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（1）本项目整体专门面向中小企业采购服务。</w:t>
      </w:r>
      <w:r/>
    </w:p>
    <w:p>
      <w:pPr>
        <w:ind w:left="0" w:right="0" w:firstLine="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（2）本项目整体专门面向小微企业采购服务。</w:t>
      </w:r>
      <w:r/>
    </w:p>
    <w:p>
      <w:pPr>
        <w:ind w:left="0" w:right="0" w:firstLine="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（3）本项目通过以下第  种方式预留部分采购份额采购中小企业服务：①本项目要求供应商以联合体形式参加，企业合同金额应当达到的比例为%。②本项目要求供应商进行合同分包，企业合同金额应当达到的比例为%。</w:t>
      </w:r>
      <w:r/>
    </w:p>
    <w:p>
      <w:pPr>
        <w:ind w:left="0" w:right="0" w:firstLine="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（4）本项目为非预留份额的采购项目或采购包，执行价格扣除优惠政策，具体详见采购文件。</w:t>
      </w:r>
      <w:r/>
    </w:p>
    <w:p>
      <w:pPr>
        <w:ind w:left="0" w:right="0" w:firstLine="0"/>
        <w:jc w:val="both"/>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（三）本项目的特定资格要求：</w:t>
      </w:r>
      <w:r/>
    </w:p>
    <w:p>
      <w:pPr>
        <w:ind w:left="0" w:right="0" w:firstLine="0"/>
        <w:jc w:val="both"/>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1.供应商应具备省级及以上质量技术监督部门颁发的 CMA 计量认证证书；应具备有效期内的检验检测机构资质认定证书；</w:t>
      </w:r>
      <w:r/>
    </w:p>
    <w:p>
      <w:pPr>
        <w:ind w:left="0" w:right="0" w:firstLine="0"/>
        <w:spacing w:before="0" w:after="21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2.根据《江苏省生态环境厅关于净化生态环境监测服务市场环境的通知》（苏环办〔2023〕122号）第五条的规定，承担生态环境部门委托监督性监测服务的环境监测机构，不得同时承接同一排污单位自行监测委托服务，本项目要求投标人提供不同时承接的承诺书，如后期履约过程中发现并查实存在同时承接的情形将终止合同。（提供承诺书，格式自拟）</w:t>
      </w:r>
      <w:r/>
    </w:p>
    <w:p>
      <w:pPr>
        <w:ind w:left="0" w:right="0" w:firstLine="0"/>
        <w:jc w:val="both"/>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三、获取招标文件</w:t>
      </w:r>
      <w:r/>
    </w:p>
    <w:p>
      <w:pPr>
        <w:ind w:left="0" w:right="0" w:firstLine="54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时间：自招标文件公告发布之日起5个工作日</w:t>
      </w:r>
      <w:r/>
    </w:p>
    <w:p>
      <w:pPr>
        <w:ind w:left="0" w:right="0" w:firstLine="54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地点：“江苏政府采购网、南京公共采购信息网”自行免费下载</w:t>
      </w:r>
      <w:r>
        <w:rPr>
          <w:rFonts w:ascii="Calibri" w:hAnsi="Calibri" w:eastAsia="Calibri" w:cs="Calibri"/>
          <w:color w:val="000000"/>
          <w:sz w:val="24"/>
        </w:rPr>
        <w:t xml:space="preserve"> </w:t>
      </w:r>
      <w:r/>
    </w:p>
    <w:p>
      <w:pPr>
        <w:ind w:left="0" w:right="0" w:firstLine="54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式：供应商登录“江苏政府采购网”，在网站首页点击“苏采云”→使用CA数字证书“CA锁”登录系统（新用户需进行“平台用户注册”）→“项目参与”进行登记，在“可参与项目”中选择“我要参与”，参与成功后到“已参与项目”界面中找到该项目下载文件并进行操作。注：“CA数字证书”的办理材料以及供应商操作手册详见：http://jsxcmm.com/help/gys.html。“苏采云”系统的网址：http://jszfcg.jsczt.cn/jszc/login。</w:t>
      </w:r>
      <w:r>
        <w:rPr>
          <w:rFonts w:ascii="Calibri" w:hAnsi="Calibri" w:eastAsia="Calibri" w:cs="Calibri"/>
          <w:color w:val="000000"/>
          <w:sz w:val="24"/>
        </w:rPr>
        <w:t xml:space="preserve"> </w:t>
      </w:r>
      <w:r/>
    </w:p>
    <w:p>
      <w:pPr>
        <w:ind w:left="0" w:right="0" w:firstLine="54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售价：0.00元</w:t>
      </w:r>
      <w:r/>
    </w:p>
    <w:p>
      <w:pPr>
        <w:ind w:left="0" w:right="0" w:firstLine="0"/>
        <w:jc w:val="both"/>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四、提交投标文件截止时间、开标时间和地点</w:t>
      </w:r>
      <w:r/>
    </w:p>
    <w:p>
      <w:pPr>
        <w:ind w:left="0" w:right="0" w:firstLine="48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2026-6-29   09:30 （北京时间）</w:t>
      </w:r>
      <w:r/>
    </w:p>
    <w:p>
      <w:pPr>
        <w:ind w:left="0" w:right="0" w:firstLine="48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地点：“苏采云”政府采购交易系统网上开标大厅</w:t>
      </w:r>
      <w:r>
        <w:rPr>
          <w:rFonts w:ascii="Calibri" w:hAnsi="Calibri" w:eastAsia="Calibri" w:cs="Calibri"/>
          <w:color w:val="000000"/>
          <w:sz w:val="24"/>
        </w:rPr>
        <w:t xml:space="preserve"> </w:t>
      </w:r>
      <w:r/>
    </w:p>
    <w:p>
      <w:pPr>
        <w:ind w:left="0" w:right="0" w:firstLine="0"/>
        <w:jc w:val="both"/>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五、公告期限</w:t>
      </w:r>
      <w:r/>
    </w:p>
    <w:p>
      <w:pPr>
        <w:ind w:left="0" w:right="0" w:firstLine="48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自本公告发布之日起5个工作日。</w:t>
      </w:r>
      <w:r/>
    </w:p>
    <w:p>
      <w:pPr>
        <w:ind w:left="0" w:right="0" w:firstLine="0"/>
        <w:jc w:val="both"/>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六、其他补充事宜</w:t>
      </w:r>
      <w:r/>
    </w:p>
    <w:p>
      <w:pPr>
        <w:ind w:left="495" w:right="0" w:firstLine="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1.拒绝下述供应商参加本次采购活动：</w:t>
      </w:r>
      <w:r/>
    </w:p>
    <w:p>
      <w:pPr>
        <w:ind w:left="495" w:right="0" w:firstLine="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（1）是否接受联合体投标：不接受。</w:t>
      </w:r>
      <w:r/>
    </w:p>
    <w:p>
      <w:pPr>
        <w:ind w:left="495" w:right="0" w:firstLine="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（2）供应商单位负责人为同一人或者存在直接控股、管理关系的不同供应商，不得参加同一合同项下的政府采购活动。</w:t>
      </w:r>
      <w:r/>
    </w:p>
    <w:p>
      <w:pPr>
        <w:ind w:left="495" w:right="0" w:firstLine="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（3）凡为采购项目提供整体设计、规范编制或者项目管理、监理、检测等服务的供应商，不得再参加本项目的采购活动。</w:t>
      </w:r>
      <w:r/>
    </w:p>
    <w:p>
      <w:pPr>
        <w:ind w:left="495" w:right="0" w:firstLine="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（4）供应商被“信用中国”网站、“中国政府采购网”列入失信被执行人、重大税收违法案件当事人名单、政府采购严重违法失信行为记录名单。</w:t>
      </w:r>
      <w:r/>
    </w:p>
    <w:p>
      <w:pPr>
        <w:ind w:left="0" w:right="0" w:firstLine="0"/>
        <w:jc w:val="both"/>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七、对本次招标提出询问，请按以下方式联系。</w:t>
      </w:r>
      <w:r/>
    </w:p>
    <w:p>
      <w:pPr>
        <w:ind w:left="0" w:right="0" w:firstLine="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1.采购人信息</w:t>
      </w:r>
      <w:r/>
    </w:p>
    <w:p>
      <w:pPr>
        <w:ind w:left="1116" w:right="0" w:hanging="30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 称：</w:t>
      </w:r>
      <w:r>
        <w:rPr>
          <w:rFonts w:ascii="FangSong" w:hAnsi="FangSong" w:eastAsia="FangSong" w:cs="FangSong"/>
          <w:color w:val="000000"/>
          <w:sz w:val="24"/>
          <w:u w:val="single"/>
        </w:rPr>
        <w:t xml:space="preserve">南京市江宁生态环境局</w:t>
      </w:r>
      <w:r/>
    </w:p>
    <w:p>
      <w:pPr>
        <w:ind w:left="1116" w:right="0" w:hanging="30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rPr>
          <w:rFonts w:ascii="FangSong" w:hAnsi="FangSong" w:eastAsia="FangSong" w:cs="FangSong"/>
          <w:color w:val="000000"/>
          <w:sz w:val="24"/>
          <w:u w:val="single"/>
        </w:rPr>
        <w:t xml:space="preserve">南京市江宁区秦淮路58号天恒大厦4-8层</w:t>
      </w:r>
      <w:r/>
    </w:p>
    <w:p>
      <w:pPr>
        <w:ind w:left="1116" w:right="0" w:hanging="30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rPr>
          <w:rFonts w:ascii="FangSong" w:hAnsi="FangSong" w:eastAsia="FangSong" w:cs="FangSong"/>
          <w:color w:val="000000"/>
          <w:sz w:val="24"/>
          <w:u w:val="single"/>
        </w:rPr>
        <w:t xml:space="preserve">戎主任</w:t>
      </w:r>
      <w:r/>
    </w:p>
    <w:p>
      <w:pPr>
        <w:ind w:left="0" w:right="0" w:firstLine="72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联系方式：</w:t>
      </w:r>
      <w:r>
        <w:rPr>
          <w:rFonts w:ascii="FangSong" w:hAnsi="FangSong" w:eastAsia="FangSong" w:cs="FangSong"/>
          <w:color w:val="000000"/>
          <w:sz w:val="24"/>
          <w:u w:val="single"/>
        </w:rPr>
        <w:t xml:space="preserve">025-86170632</w:t>
      </w:r>
      <w:r/>
    </w:p>
    <w:p>
      <w:pPr>
        <w:ind w:left="1116" w:right="0" w:hanging="30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2.采购代理机构信息</w:t>
      </w:r>
      <w:r/>
    </w:p>
    <w:p>
      <w:pPr>
        <w:ind w:left="0" w:right="0" w:firstLine="72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 称：</w:t>
      </w:r>
      <w:r>
        <w:rPr>
          <w:rFonts w:ascii="FangSong" w:hAnsi="FangSong" w:eastAsia="FangSong" w:cs="FangSong"/>
          <w:color w:val="000000"/>
          <w:sz w:val="24"/>
          <w:u w:val="single"/>
        </w:rPr>
        <w:t xml:space="preserve">南京瑾承项目管理有限公司</w:t>
      </w:r>
      <w:r/>
    </w:p>
    <w:p>
      <w:pPr>
        <w:ind w:left="0" w:right="0" w:firstLine="72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　址：</w:t>
      </w:r>
      <w:r>
        <w:rPr>
          <w:rFonts w:ascii="FangSong" w:hAnsi="FangSong" w:eastAsia="FangSong" w:cs="FangSong"/>
          <w:color w:val="000000"/>
          <w:sz w:val="24"/>
          <w:u w:val="single"/>
        </w:rPr>
        <w:t xml:space="preserve">南京市江宁区秣陵街道百家湖科技园9幢2楼221室</w:t>
      </w:r>
      <w:r/>
    </w:p>
    <w:p>
      <w:pPr>
        <w:ind w:left="0" w:right="0" w:firstLine="72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rPr>
          <w:rFonts w:ascii="FangSong" w:hAnsi="FangSong" w:eastAsia="FangSong" w:cs="FangSong"/>
          <w:color w:val="000000"/>
          <w:sz w:val="24"/>
          <w:u w:val="single"/>
        </w:rPr>
        <w:t xml:space="preserve">聂工</w:t>
      </w:r>
      <w:r/>
    </w:p>
    <w:p>
      <w:pPr>
        <w:ind w:left="0" w:right="0" w:firstLine="72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联系方式：</w:t>
      </w:r>
      <w:r>
        <w:rPr>
          <w:rFonts w:ascii="FangSong" w:hAnsi="FangSong" w:eastAsia="FangSong" w:cs="FangSong"/>
          <w:color w:val="000000"/>
          <w:sz w:val="24"/>
          <w:u w:val="single"/>
        </w:rPr>
        <w:t xml:space="preserve">025-51180637</w:t>
      </w:r>
      <w:r/>
    </w:p>
    <w:p>
      <w:pPr>
        <w:ind w:left="0" w:right="0" w:firstLine="72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3.项目联系方式</w:t>
      </w:r>
      <w:r/>
    </w:p>
    <w:p>
      <w:pPr>
        <w:ind w:left="0" w:right="0" w:firstLine="72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项目联系人：</w:t>
      </w:r>
      <w:r>
        <w:rPr>
          <w:rFonts w:ascii="FangSong" w:hAnsi="FangSong" w:eastAsia="FangSong" w:cs="FangSong"/>
          <w:color w:val="000000"/>
          <w:sz w:val="24"/>
          <w:u w:val="single"/>
        </w:rPr>
        <w:t xml:space="preserve">聂工</w:t>
      </w:r>
      <w:r/>
    </w:p>
    <w:p>
      <w:pPr>
        <w:ind w:left="0" w:right="0" w:firstLine="72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　话：</w:t>
      </w:r>
      <w:r>
        <w:rPr>
          <w:rFonts w:ascii="FangSong" w:hAnsi="FangSong" w:eastAsia="FangSong" w:cs="FangSong"/>
          <w:color w:val="000000"/>
          <w:sz w:val="24"/>
          <w:u w:val="none"/>
        </w:rPr>
        <w:t xml:space="preserve">025-</w:t>
      </w:r>
      <w:r>
        <w:rPr>
          <w:rFonts w:ascii="FangSong" w:hAnsi="FangSong" w:eastAsia="FangSong" w:cs="FangSong"/>
          <w:color w:val="000000"/>
          <w:sz w:val="24"/>
          <w:u w:val="single"/>
        </w:rPr>
        <w:t xml:space="preserve">51180637</w:t>
        <w:br w:type="page" w:clear="all"/>
      </w:r>
      <w:r/>
    </w:p>
    <w:p>
      <w:pPr>
        <w:ind w:left="0" w:right="0" w:firstLine="720"/>
        <w:spacing w:before="0" w:after="16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pStyle w:val="638"/>
        <w:ind w:left="0" w:right="2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第二章 投标人须知</w:t>
      </w:r>
      <w:r/>
    </w:p>
    <w:p>
      <w:pPr>
        <w:ind w:left="0" w:right="859" w:firstLine="478"/>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
          <w:sz w:val="24"/>
          <w:u w:val="single"/>
        </w:rPr>
        <w:t xml:space="preserve">南京瑾承项目管理有限公司</w:t>
      </w:r>
      <w:r>
        <w:rPr>
          <w:rFonts w:ascii="FangSong" w:hAnsi="FangSong" w:eastAsia="FangSong" w:cs="FangSong"/>
          <w:b/>
          <w:color w:val="000000"/>
          <w:spacing w:val="-1"/>
          <w:sz w:val="24"/>
        </w:rPr>
        <w:t xml:space="preserve"> </w:t>
      </w:r>
      <w:r>
        <w:rPr>
          <w:rFonts w:ascii="FangSong" w:hAnsi="FangSong" w:eastAsia="FangSong" w:cs="FangSong"/>
          <w:color w:val="000000"/>
          <w:spacing w:val="-3"/>
          <w:sz w:val="24"/>
        </w:rPr>
        <w:t xml:space="preserve">受 </w:t>
      </w:r>
      <w:r>
        <w:rPr>
          <w:rFonts w:ascii="FangSong" w:hAnsi="FangSong" w:eastAsia="FangSong" w:cs="FangSong"/>
          <w:b/>
          <w:color w:val="000000"/>
          <w:sz w:val="24"/>
          <w:u w:val="single"/>
        </w:rPr>
        <w:t xml:space="preserve">南京市江宁生态环境局</w:t>
      </w:r>
      <w:r>
        <w:rPr>
          <w:rFonts w:ascii="FangSong" w:hAnsi="FangSong" w:eastAsia="FangSong" w:cs="FangSong"/>
          <w:color w:val="000000"/>
          <w:sz w:val="24"/>
        </w:rPr>
        <w:t xml:space="preserve">委托，对其</w:t>
      </w:r>
      <w:r>
        <w:rPr>
          <w:rFonts w:ascii="FangSong" w:hAnsi="FangSong" w:eastAsia="FangSong" w:cs="FangSong"/>
          <w:b/>
          <w:color w:val="000000"/>
          <w:sz w:val="24"/>
          <w:u w:val="single"/>
        </w:rPr>
        <w:t xml:space="preserve">2026-2028年度江宁区环境质量及污染源监测服务项目</w:t>
      </w:r>
      <w:r>
        <w:rPr>
          <w:rFonts w:ascii="FangSong" w:hAnsi="FangSong" w:eastAsia="FangSong" w:cs="FangSong"/>
          <w:color w:val="000000"/>
          <w:sz w:val="24"/>
        </w:rPr>
        <w:t xml:space="preserve">进行公开招标，兹邀请符合条件的供应商参与投标，相关信息如下：</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0"/>
        <w:gridCol w:w="1130"/>
        <w:gridCol w:w="969"/>
        <w:gridCol w:w="1613"/>
        <w:gridCol w:w="4933"/>
      </w:tblGrid>
      <w:tr>
        <w:trPr>
          <w:trHeight w:val="31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top"/>
            <w:textDirection w:val="lrTb"/>
            <w:noWrap w:val="false"/>
          </w:tcPr>
          <w:p>
            <w:pPr>
              <w:ind w:left="129" w:right="12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99" w:type="dxa"/>
            <w:vAlign w:val="top"/>
            <w:textDirection w:val="lrTb"/>
            <w:noWrap w:val="false"/>
          </w:tcPr>
          <w:p>
            <w:pPr>
              <w:ind w:left="8" w:right="0" w:firstLine="0"/>
              <w:jc w:val="center"/>
              <w:spacing w:before="0" w:after="160" w:line="85" w:lineRule="atLeast"/>
              <w:tabs>
                <w:tab w:val="left" w:pos="42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项</w:t>
              <w:tab/>
              <w:t xml:space="preserve">目</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546" w:type="dxa"/>
            <w:vAlign w:val="top"/>
            <w:textDirection w:val="lrTb"/>
            <w:noWrap w:val="false"/>
          </w:tcPr>
          <w:p>
            <w:pPr>
              <w:ind w:left="9" w:right="0" w:firstLine="0"/>
              <w:jc w:val="center"/>
              <w:spacing w:before="0" w:after="160" w:line="85" w:lineRule="atLeast"/>
              <w:tabs>
                <w:tab w:val="left" w:pos="116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内</w:t>
              <w:tab/>
              <w:t xml:space="preserve">容</w:t>
            </w:r>
            <w:r/>
          </w:p>
        </w:tc>
      </w:tr>
      <w:tr>
        <w:trPr>
          <w:trHeight w:val="31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0" w:type="dxa"/>
            <w:vAlign w:val="top"/>
            <w:textDirection w:val="lrTb"/>
            <w:noWrap w:val="false"/>
          </w:tcPr>
          <w:p>
            <w:pPr>
              <w:ind w:left="9"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9" w:type="dxa"/>
            <w:vAlign w:val="top"/>
            <w:textDirection w:val="lrTb"/>
            <w:noWrap w:val="false"/>
          </w:tcPr>
          <w:p>
            <w:pPr>
              <w:ind w:left="572"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46" w:type="dxa"/>
            <w:vAlign w:val="top"/>
            <w:textDirection w:val="lrTb"/>
            <w:noWrap w:val="false"/>
          </w:tcPr>
          <w:p>
            <w:pPr>
              <w:ind w:left="107"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JSZC-320115-JCGL-G2026-0003</w:t>
            </w:r>
            <w:r/>
          </w:p>
        </w:tc>
      </w:tr>
      <w:tr>
        <w:trPr>
          <w:trHeight w:val="3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0" w:type="dxa"/>
            <w:vAlign w:val="top"/>
            <w:textDirection w:val="lrTb"/>
            <w:noWrap w:val="false"/>
          </w:tcPr>
          <w:p>
            <w:pPr>
              <w:ind w:left="9"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9" w:type="dxa"/>
            <w:vAlign w:val="top"/>
            <w:textDirection w:val="lrTb"/>
            <w:noWrap w:val="false"/>
          </w:tcPr>
          <w:p>
            <w:pPr>
              <w:ind w:left="572"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46" w:type="dxa"/>
            <w:vAlign w:val="top"/>
            <w:textDirection w:val="lrTb"/>
            <w:noWrap w:val="false"/>
          </w:tcPr>
          <w:p>
            <w:pPr>
              <w:ind w:left="107"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2026-2028年度江宁区环境质量及污染源监测服务项目</w:t>
            </w:r>
            <w:r/>
          </w:p>
        </w:tc>
      </w:tr>
      <w:tr>
        <w:trPr>
          <w:trHeight w:val="3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0" w:type="dxa"/>
            <w:vAlign w:val="top"/>
            <w:textDirection w:val="lrTb"/>
            <w:noWrap w:val="false"/>
          </w:tcPr>
          <w:p>
            <w:pPr>
              <w:ind w:left="9"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9" w:type="dxa"/>
            <w:vAlign w:val="top"/>
            <w:textDirection w:val="lrTb"/>
            <w:noWrap w:val="false"/>
          </w:tcPr>
          <w:p>
            <w:pPr>
              <w:ind w:left="363"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采购代理机构</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46" w:type="dxa"/>
            <w:vAlign w:val="top"/>
            <w:textDirection w:val="lrTb"/>
            <w:noWrap w:val="false"/>
          </w:tcPr>
          <w:p>
            <w:pPr>
              <w:ind w:left="107"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南京瑾承项目管理有限公司</w:t>
            </w:r>
            <w:r/>
          </w:p>
        </w:tc>
      </w:tr>
      <w:tr>
        <w:trPr>
          <w:trHeight w:val="3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0" w:type="dxa"/>
            <w:vAlign w:val="top"/>
            <w:textDirection w:val="lrTb"/>
            <w:noWrap w:val="false"/>
          </w:tcPr>
          <w:p>
            <w:pPr>
              <w:ind w:left="9"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9" w:type="dxa"/>
            <w:vAlign w:val="top"/>
            <w:textDirection w:val="lrTb"/>
            <w:noWrap w:val="false"/>
          </w:tcPr>
          <w:p>
            <w:pPr>
              <w:ind w:left="363"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代理机构地址</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46" w:type="dxa"/>
            <w:vAlign w:val="top"/>
            <w:textDirection w:val="lrTb"/>
            <w:noWrap w:val="false"/>
          </w:tcPr>
          <w:p>
            <w:pPr>
              <w:ind w:left="107"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南京市江宁区秣陵街道百家湖科技园9幢2楼221室</w:t>
            </w:r>
            <w:r/>
          </w:p>
        </w:tc>
      </w:tr>
      <w:tr>
        <w:trPr>
          <w:trHeight w:val="10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left="9"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9" w:type="dxa"/>
            <w:vAlign w:val="center"/>
            <w:textDirection w:val="lrTb"/>
            <w:noWrap w:val="false"/>
          </w:tcPr>
          <w:p>
            <w:pPr>
              <w:ind w:left="152"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招标文件获取方法</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46" w:type="dxa"/>
            <w:vAlign w:val="top"/>
            <w:textDirection w:val="lrTb"/>
            <w:noWrap w:val="false"/>
          </w:tcPr>
          <w:p>
            <w:pPr>
              <w:ind w:left="107"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trHeight w:val="8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left="9"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9"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项目控制价</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46" w:type="dxa"/>
            <w:vAlign w:val="center"/>
            <w:textDirection w:val="lrTb"/>
            <w:noWrap w:val="false"/>
          </w:tcPr>
          <w:p>
            <w:pPr>
              <w:ind w:left="0" w:right="0" w:firstLine="0"/>
              <w:jc w:val="both"/>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960万元（</w:t>
            </w:r>
            <w:r>
              <w:rPr>
                <w:rFonts w:ascii="FangSong" w:hAnsi="FangSong" w:eastAsia="FangSong" w:cs="FangSong"/>
                <w:color w:val="000000"/>
                <w:sz w:val="24"/>
                <w:highlight w:val="white"/>
              </w:rPr>
              <w:t xml:space="preserve">采购包1:160万元；采购包2:140万元；采购包3:140万元；采购包4:170万元；采购包5:160万元；采购包6:190万元</w:t>
            </w:r>
            <w:r>
              <w:rPr>
                <w:rFonts w:ascii="FangSong" w:hAnsi="FangSong" w:eastAsia="FangSong" w:cs="FangSong"/>
                <w:color w:val="000000"/>
                <w:sz w:val="24"/>
              </w:rPr>
              <w:t xml:space="preserve">）；</w:t>
            </w:r>
            <w:r/>
          </w:p>
          <w:p>
            <w:pPr>
              <w:ind w:left="0" w:right="0" w:firstLine="0"/>
              <w:jc w:val="both"/>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本项目按照费率报价，控制价</w:t>
            </w:r>
            <w:r>
              <w:rPr>
                <w:rFonts w:ascii="FangSong" w:hAnsi="FangSong" w:eastAsia="FangSong" w:cs="FangSong"/>
                <w:color w:val="000000"/>
                <w:sz w:val="24"/>
                <w:highlight w:val="white"/>
              </w:rPr>
              <w:t xml:space="preserve">费率为70%，供应商报价费率超过最高控制价费率的为无效报价，按照无效响应处理；</w:t>
            </w:r>
            <w:r/>
          </w:p>
          <w:p>
            <w:pPr>
              <w:ind w:left="0" w:right="0" w:firstLine="0"/>
              <w:jc w:val="both"/>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江苏省环境监测专业服务收费管理办法》和《江苏省环境监测专业服务收费标准》（苏价费〔2006〕397号、苏财综〔2006〕80号、苏环计〔2006〕30号）为基础，包含：采样费、样品前处理费、样品分析费及报告编制费。计算公式=（采样费+样品前处理费+样品分析费+报告编制费）*投标费率。</w:t>
            </w:r>
            <w:r/>
          </w:p>
        </w:tc>
      </w:tr>
      <w:tr>
        <w:trPr>
          <w:trHeight w:val="2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0" w:type="dxa"/>
            <w:vAlign w:val="bottom"/>
            <w:textDirection w:val="lrTb"/>
            <w:noWrap w:val="false"/>
          </w:tcPr>
          <w:p>
            <w:pPr>
              <w:ind w:left="9"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9" w:type="dxa"/>
            <w:vAlign w:val="bottom"/>
            <w:textDirection w:val="lrTb"/>
            <w:noWrap w:val="false"/>
          </w:tcPr>
          <w:p>
            <w:pPr>
              <w:ind w:left="466"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服务周期</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46" w:type="dxa"/>
            <w:vAlign w:val="bottom"/>
            <w:textDirection w:val="lrTb"/>
            <w:noWrap w:val="false"/>
          </w:tcPr>
          <w:p>
            <w:pPr>
              <w:ind w:left="107"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二年，合同一年一签。</w:t>
            </w:r>
            <w:r/>
          </w:p>
        </w:tc>
      </w:tr>
      <w:tr>
        <w:trPr>
          <w:trHeight w:val="3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left="129" w:right="12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9" w:type="dxa"/>
            <w:vAlign w:val="top"/>
            <w:textDirection w:val="lrTb"/>
            <w:noWrap w:val="false"/>
          </w:tcPr>
          <w:p>
            <w:pPr>
              <w:ind w:left="466"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投标有效期</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46" w:type="dxa"/>
            <w:vAlign w:val="top"/>
            <w:textDirection w:val="lrTb"/>
            <w:noWrap w:val="false"/>
          </w:tcPr>
          <w:p>
            <w:pPr>
              <w:ind w:left="107"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投标截止之日起90天</w:t>
            </w:r>
            <w:r/>
          </w:p>
        </w:tc>
      </w:tr>
      <w:tr>
        <w:trPr>
          <w:trHeight w:val="6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vMerge w:val="restart"/>
            <w:textDirection w:val="lrTb"/>
            <w:noWrap w:val="false"/>
          </w:tcPr>
          <w:p>
            <w:pPr>
              <w:ind w:left="129" w:right="12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0" w:type="dxa"/>
            <w:vAlign w:val="center"/>
            <w:vMerge w:val="restart"/>
            <w:textDirection w:val="lrTb"/>
            <w:noWrap w:val="false"/>
          </w:tcPr>
          <w:p>
            <w:pPr>
              <w:ind w:left="241" w:right="23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投标报名</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9" w:type="dxa"/>
            <w:vAlign w:val="center"/>
            <w:textDirection w:val="lrTb"/>
            <w:noWrap w:val="false"/>
          </w:tcPr>
          <w:p>
            <w:pPr>
              <w:ind w:left="0" w:right="92"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时间</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46" w:type="dxa"/>
            <w:vAlign w:val="top"/>
            <w:textDirection w:val="lrTb"/>
            <w:noWrap w:val="false"/>
          </w:tcPr>
          <w:p>
            <w:pPr>
              <w:ind w:left="107"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自招标文件公告发布之日起5个工作日</w:t>
            </w:r>
            <w:r/>
          </w:p>
        </w:tc>
      </w:tr>
      <w:tr>
        <w:trPr>
          <w:trHeight w:val="31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9" w:type="dxa"/>
            <w:vAlign w:val="top"/>
            <w:textDirection w:val="lrTb"/>
            <w:noWrap w:val="false"/>
          </w:tcPr>
          <w:p>
            <w:pPr>
              <w:ind w:left="99" w:right="92"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地点</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46" w:type="dxa"/>
            <w:vAlign w:val="top"/>
            <w:textDirection w:val="lrTb"/>
            <w:noWrap w:val="false"/>
          </w:tcPr>
          <w:p>
            <w:pPr>
              <w:ind w:left="107"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“江苏政府采购网、南京公共采购信息网”自行免费下载 </w:t>
            </w:r>
            <w:r/>
          </w:p>
        </w:tc>
      </w:tr>
      <w:tr>
        <w:trPr>
          <w:trHeight w:val="6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9" w:type="dxa"/>
            <w:vAlign w:val="center"/>
            <w:textDirection w:val="lrTb"/>
            <w:noWrap w:val="false"/>
          </w:tcPr>
          <w:p>
            <w:pPr>
              <w:ind w:left="99" w:right="92"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要求</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46" w:type="dxa"/>
            <w:vAlign w:val="top"/>
            <w:textDirection w:val="lrTb"/>
            <w:noWrap w:val="false"/>
          </w:tcPr>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trHeight w:val="3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vMerge w:val="restart"/>
            <w:textDirection w:val="lrTb"/>
            <w:noWrap w:val="false"/>
          </w:tcPr>
          <w:p>
            <w:pPr>
              <w:ind w:left="0" w:right="12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0" w:type="dxa"/>
            <w:vAlign w:val="center"/>
            <w:vMerge w:val="restart"/>
            <w:textDirection w:val="lrTb"/>
            <w:noWrap w:val="false"/>
          </w:tcPr>
          <w:p>
            <w:pPr>
              <w:ind w:left="0" w:right="126"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投标文件递交信息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9" w:type="dxa"/>
            <w:vAlign w:val="center"/>
            <w:textDirection w:val="lrTb"/>
            <w:noWrap w:val="false"/>
          </w:tcPr>
          <w:p>
            <w:pPr>
              <w:ind w:left="0" w:right="92"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时间</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46" w:type="dxa"/>
            <w:vAlign w:val="center"/>
            <w:textDirection w:val="lrTb"/>
            <w:noWrap w:val="false"/>
          </w:tcPr>
          <w:p>
            <w:pPr>
              <w:ind w:left="107"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2026-6-29   09:30 </w:t>
            </w:r>
            <w:r/>
          </w:p>
        </w:tc>
      </w:tr>
      <w:tr>
        <w:trPr>
          <w:trHeight w:val="312"/>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9" w:type="dxa"/>
            <w:vAlign w:val="center"/>
            <w:textDirection w:val="lrTb"/>
            <w:noWrap w:val="false"/>
          </w:tcPr>
          <w:p>
            <w:pPr>
              <w:ind w:left="0" w:right="92"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地点</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46" w:type="dxa"/>
            <w:vAlign w:val="center"/>
            <w:textDirection w:val="lrTb"/>
            <w:noWrap w:val="false"/>
          </w:tcPr>
          <w:p>
            <w:pPr>
              <w:ind w:left="107"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“江苏政府采购网、南京公共采购信息网”自行免费下载 </w:t>
            </w:r>
            <w:r/>
          </w:p>
        </w:tc>
      </w:tr>
      <w:tr>
        <w:trPr>
          <w:trHeight w:val="60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9" w:type="dxa"/>
            <w:vAlign w:val="center"/>
            <w:textDirection w:val="lrTb"/>
            <w:noWrap w:val="false"/>
          </w:tcPr>
          <w:p>
            <w:pPr>
              <w:ind w:left="0" w:right="92"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要求</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46" w:type="dxa"/>
            <w:vAlign w:val="center"/>
            <w:textDirection w:val="lrTb"/>
            <w:noWrap w:val="false"/>
          </w:tcPr>
          <w:p>
            <w:pPr>
              <w:ind w:left="107"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trHeight w:val="3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vMerge w:val="restart"/>
            <w:textDirection w:val="lrTb"/>
            <w:noWrap w:val="false"/>
          </w:tcPr>
          <w:p>
            <w:pPr>
              <w:ind w:left="0" w:right="12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0" w:type="dxa"/>
            <w:vAlign w:val="center"/>
            <w:vMerge w:val="restart"/>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投标文件开启信息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9" w:type="dxa"/>
            <w:vAlign w:val="center"/>
            <w:textDirection w:val="lrTb"/>
            <w:noWrap w:val="false"/>
          </w:tcPr>
          <w:p>
            <w:pPr>
              <w:ind w:left="99" w:right="92"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时间</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46" w:type="dxa"/>
            <w:vAlign w:val="top"/>
            <w:textDirection w:val="lrTb"/>
            <w:noWrap w:val="false"/>
          </w:tcPr>
          <w:p>
            <w:pPr>
              <w:ind w:left="107"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2026-06-29   09:30 </w:t>
            </w:r>
            <w:r/>
          </w:p>
        </w:tc>
      </w:tr>
      <w:tr>
        <w:trPr>
          <w:trHeight w:val="312"/>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9" w:type="dxa"/>
            <w:vAlign w:val="center"/>
            <w:textDirection w:val="lrTb"/>
            <w:noWrap w:val="false"/>
          </w:tcPr>
          <w:p>
            <w:pPr>
              <w:ind w:left="99" w:right="92"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地点</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46" w:type="dxa"/>
            <w:vAlign w:val="top"/>
            <w:textDirection w:val="lrTb"/>
            <w:noWrap w:val="false"/>
          </w:tcPr>
          <w:p>
            <w:pPr>
              <w:ind w:left="107"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“苏采云”政府采购交易系统网上开标大厅</w:t>
            </w:r>
            <w:r/>
          </w:p>
        </w:tc>
      </w:tr>
      <w:tr>
        <w:trPr>
          <w:trHeight w:val="31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vMerge w:val="restart"/>
            <w:textDirection w:val="lrTb"/>
            <w:noWrap w:val="false"/>
          </w:tcPr>
          <w:p>
            <w:pPr>
              <w:ind w:left="0" w:right="12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0" w:type="dxa"/>
            <w:vAlign w:val="center"/>
            <w:vMerge w:val="restart"/>
            <w:textDirection w:val="lrTb"/>
            <w:noWrap w:val="false"/>
          </w:tcPr>
          <w:p>
            <w:pPr>
              <w:ind w:left="0" w:right="231" w:firstLine="0"/>
              <w:jc w:val="right"/>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w:t>
            </w:r>
            <w:r/>
          </w:p>
          <w:p>
            <w:pPr>
              <w:ind w:left="0" w:right="231" w:firstLine="0"/>
              <w:jc w:val="right"/>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事项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9" w:type="dxa"/>
            <w:vAlign w:val="center"/>
            <w:vMerge w:val="restart"/>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采购单位</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13" w:type="dxa"/>
            <w:vAlign w:val="top"/>
            <w:textDirection w:val="lrTb"/>
            <w:noWrap w:val="false"/>
          </w:tcPr>
          <w:p>
            <w:pPr>
              <w:ind w:left="107"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933" w:type="dxa"/>
            <w:vAlign w:val="top"/>
            <w:textDirection w:val="lrTb"/>
            <w:noWrap w:val="false"/>
          </w:tcPr>
          <w:p>
            <w:pPr>
              <w:ind w:left="10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戎主任</w:t>
            </w:r>
            <w:r/>
          </w:p>
        </w:tc>
      </w:tr>
      <w:tr>
        <w:trPr>
          <w:trHeight w:val="312"/>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13" w:type="dxa"/>
            <w:vAlign w:val="top"/>
            <w:textDirection w:val="lrTb"/>
            <w:noWrap w:val="false"/>
          </w:tcPr>
          <w:p>
            <w:pPr>
              <w:ind w:left="107"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933" w:type="dxa"/>
            <w:vAlign w:val="top"/>
            <w:textDirection w:val="lrTb"/>
            <w:noWrap w:val="false"/>
          </w:tcPr>
          <w:p>
            <w:pPr>
              <w:ind w:left="10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025-86170632</w:t>
            </w:r>
            <w:r/>
          </w:p>
        </w:tc>
      </w:tr>
      <w:tr>
        <w:trPr>
          <w:trHeight w:val="24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9" w:type="dxa"/>
            <w:vAlign w:val="center"/>
            <w:vMerge w:val="restart"/>
            <w:textDirection w:val="lrTb"/>
            <w:noWrap w:val="false"/>
          </w:tcPr>
          <w:p>
            <w:pPr>
              <w:ind w:left="0" w:right="92"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代理机构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13" w:type="dxa"/>
            <w:vAlign w:val="top"/>
            <w:textDirection w:val="lrTb"/>
            <w:noWrap w:val="false"/>
          </w:tcPr>
          <w:p>
            <w:pPr>
              <w:ind w:left="107"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933" w:type="dxa"/>
            <w:vAlign w:val="top"/>
            <w:textDirection w:val="lrTb"/>
            <w:noWrap w:val="false"/>
          </w:tcPr>
          <w:p>
            <w:pPr>
              <w:ind w:left="10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聂工</w:t>
            </w:r>
            <w:r/>
          </w:p>
        </w:tc>
      </w:tr>
      <w:tr>
        <w:trPr>
          <w:trHeight w:val="401"/>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13" w:type="dxa"/>
            <w:vAlign w:val="top"/>
            <w:textDirection w:val="lrTb"/>
            <w:noWrap w:val="false"/>
          </w:tcPr>
          <w:p>
            <w:pPr>
              <w:ind w:left="107"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933" w:type="dxa"/>
            <w:vAlign w:val="top"/>
            <w:textDirection w:val="lrTb"/>
            <w:noWrap w:val="false"/>
          </w:tcPr>
          <w:p>
            <w:pPr>
              <w:ind w:left="10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025-51180637</w:t>
            </w:r>
            <w:r/>
          </w:p>
        </w:tc>
      </w:tr>
    </w:tbl>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19" w:right="0" w:hanging="19"/>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一、总则</w:t>
      </w:r>
      <w:r/>
    </w:p>
    <w:p>
      <w:pPr>
        <w:ind w:left="15" w:right="0" w:firstLine="482"/>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1.适用法律</w:t>
      </w:r>
      <w:r/>
    </w:p>
    <w:p>
      <w:pPr>
        <w:ind w:left="13" w:right="90" w:firstLine="737"/>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w:t>
      </w:r>
      <w:r>
        <w:rPr>
          <w:rFonts w:ascii="FangSong" w:hAnsi="FangSong" w:eastAsia="FangSong" w:cs="FangSong"/>
          <w:color w:val="000000"/>
          <w:spacing w:val="-9"/>
          <w:sz w:val="24"/>
        </w:rPr>
        <w:t xml:space="preserve"> 《中华人民共和国政府采购法》《中华人民共和国政府采购法实施条例》《政府采购货物和服务招标投标管理办法》等有关法律、规章和规定。</w:t>
      </w:r>
      <w:r/>
    </w:p>
    <w:p>
      <w:pPr>
        <w:ind w:left="15" w:right="0" w:firstLine="484"/>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2.定义</w:t>
      </w:r>
      <w:r/>
    </w:p>
    <w:p>
      <w:pPr>
        <w:ind w:left="66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w:t>
      </w:r>
      <w:r>
        <w:rPr>
          <w:rFonts w:ascii="FangSong" w:hAnsi="FangSong" w:eastAsia="FangSong" w:cs="FangSong"/>
          <w:b/>
          <w:color w:val="000000"/>
          <w:sz w:val="24"/>
        </w:rPr>
        <w:t xml:space="preserve">供应商</w:t>
      </w:r>
      <w:r>
        <w:rPr>
          <w:rFonts w:ascii="FangSong" w:hAnsi="FangSong" w:eastAsia="FangSong" w:cs="FangSong"/>
          <w:color w:val="000000"/>
          <w:spacing w:val="-12"/>
          <w:sz w:val="24"/>
        </w:rPr>
        <w:t xml:space="preserve">”是指参加投标竞争，并符合招标文件规定资格条件的法人、其他组织或者自然人。</w:t>
      </w:r>
      <w:r/>
    </w:p>
    <w:p>
      <w:pPr>
        <w:ind w:left="675"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2.2“服务”指本招标文件中所述产品及相关服务。</w:t>
      </w:r>
      <w:r/>
    </w:p>
    <w:p>
      <w:pPr>
        <w:ind w:left="66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2"/>
          <w:sz w:val="24"/>
        </w:rPr>
        <w:t xml:space="preserve">2.3“用户或使用单位”是指使用服务的单位。</w:t>
      </w:r>
      <w:r/>
    </w:p>
    <w:p>
      <w:pPr>
        <w:ind w:left="-18" w:right="5139" w:firstLine="522"/>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3.</w:t>
      </w:r>
      <w:r>
        <w:rPr>
          <w:rFonts w:ascii="FangSong" w:hAnsi="FangSong" w:eastAsia="FangSong" w:cs="FangSong"/>
          <w:b/>
          <w:color w:val="000000"/>
          <w:sz w:val="24"/>
        </w:rPr>
        <w:t xml:space="preserve">政策功能</w:t>
      </w:r>
      <w:r/>
    </w:p>
    <w:p>
      <w:pPr>
        <w:ind w:left="458" w:right="0" w:firstLine="231"/>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3.1中小企业、监狱企业、残疾人福利性单位相关政策</w:t>
      </w:r>
      <w:r/>
    </w:p>
    <w:p>
      <w:pPr>
        <w:ind w:left="458" w:right="90" w:firstLine="48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（1）中小企业划型标准按照《关于印发中小企业划型标准规定的通知（工信部联企业〔2011</w:t>
      </w:r>
      <w:r>
        <w:rPr>
          <w:rFonts w:ascii="FangSong" w:hAnsi="FangSong" w:eastAsia="FangSong" w:cs="FangSong"/>
          <w:color w:val="000000"/>
          <w:spacing w:val="-11"/>
          <w:sz w:val="24"/>
        </w:rPr>
        <w:t xml:space="preserve">〕</w:t>
      </w:r>
      <w:r>
        <w:rPr>
          <w:rFonts w:ascii="FangSong" w:hAnsi="FangSong" w:eastAsia="FangSong" w:cs="FangSong"/>
          <w:color w:val="000000"/>
          <w:sz w:val="24"/>
        </w:rPr>
        <w:t xml:space="preserve">300号）》的相关规定认定。</w:t>
      </w:r>
      <w:r/>
    </w:p>
    <w:p>
      <w:pPr>
        <w:ind w:left="473" w:right="783" w:firstLine="464"/>
        <w:jc w:val="both"/>
        <w:spacing w:before="0" w:after="160" w:line="85" w:lineRule="atLeast"/>
        <w:tabs>
          <w:tab w:val="left" w:pos="-8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（2）根据《政府采购促进中小企业发展管理办法》的相关规定，本项目对小型和微型企业产品的价格给予扣除，以扣除后的价格作为评审价格。</w:t>
      </w:r>
      <w:r/>
    </w:p>
    <w:p>
      <w:pPr>
        <w:ind w:left="458" w:right="785"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根据《财库〔2014〕68号》规定，监狱企业视同小型、微型企业，享受中小企业发展的政府采购政策（监狱企业参加政府采购活动时，应当提供由省级以上监狱管理局、戒毒管理局（含新疆生产建设兵团）出具的属于监狱企业的证明文件）。</w:t>
      </w:r>
      <w:r/>
    </w:p>
    <w:p>
      <w:pPr>
        <w:ind w:left="495" w:right="785" w:firstLine="437"/>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（4）根据《财库〔2017〕141号》规定，符合条件的残疾人福利性单位视同小型、微型企业，享受中小企业</w:t>
      </w:r>
      <w:r>
        <w:rPr>
          <w:rFonts w:ascii="FangSong" w:hAnsi="FangSong" w:eastAsia="FangSong" w:cs="FangSong"/>
          <w:color w:val="000000"/>
          <w:spacing w:val="-4"/>
          <w:sz w:val="24"/>
        </w:rPr>
        <w:t xml:space="preserve">发展的政府采购政策。残疾人福利性单位属于小型、微型企业的，不重复享受政策。</w:t>
      </w:r>
      <w:r/>
    </w:p>
    <w:p>
      <w:pPr>
        <w:ind w:left="-18" w:right="0" w:firstLine="1025"/>
        <w:spacing w:before="0" w:after="160" w:line="85" w:lineRule="atLeast"/>
        <w:tabs>
          <w:tab w:val="left" w:pos="182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（5）小型、微型企业提供中型或大型企业制造的货物的，视同为中型或大型企业。</w:t>
      </w:r>
      <w:r/>
    </w:p>
    <w:p>
      <w:pPr>
        <w:ind w:left="649" w:right="730" w:firstLine="437"/>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参加政府采购活动的中小企业应当按照《关于印发〈政府采购促进中小企业发展管理办法〉的通知</w:t>
      </w:r>
      <w:r>
        <w:rPr>
          <w:rFonts w:ascii="FangSong" w:hAnsi="FangSong" w:eastAsia="FangSong" w:cs="FangSong"/>
          <w:color w:val="000000"/>
          <w:spacing w:val="-5"/>
          <w:sz w:val="24"/>
        </w:rPr>
        <w:t xml:space="preserve">》</w:t>
      </w:r>
      <w:r>
        <w:rPr>
          <w:rFonts w:ascii="FangSong" w:hAnsi="FangSong" w:eastAsia="FangSong" w:cs="FangSong"/>
          <w:color w:val="000000"/>
          <w:sz w:val="24"/>
        </w:rPr>
        <w:t xml:space="preserve">[财库〔2020〕46号] 和《财库〔2017〕141号》</w:t>
      </w:r>
      <w:r>
        <w:rPr>
          <w:rFonts w:ascii="FangSong" w:hAnsi="FangSong" w:eastAsia="FangSong" w:cs="FangSong"/>
          <w:color w:val="000000"/>
          <w:spacing w:val="-5"/>
          <w:sz w:val="24"/>
        </w:rPr>
        <w:t xml:space="preserve">规定提供《中小企业声明函》和《残疾人福利性单位声明函》。未提供上述资料的报价，其价格不予扣除。</w:t>
      </w:r>
      <w:r/>
    </w:p>
    <w:p>
      <w:pPr>
        <w:ind w:left="-18" w:right="760" w:firstLine="7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4"/>
          <w:sz w:val="24"/>
        </w:rPr>
        <w:t xml:space="preserve">3.2强制采购节能产品、信息安全产品，优先采购环境标志产品。</w:t>
      </w:r>
      <w:r/>
    </w:p>
    <w:p>
      <w:pPr>
        <w:ind w:left="649" w:right="760" w:firstLine="0"/>
        <w:jc w:val="both"/>
        <w:spacing w:before="0" w:after="160" w:line="85" w:lineRule="atLeast"/>
        <w:tabs>
          <w:tab w:val="left" w:pos="44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节能产品是指列入财政部、国</w:t>
      </w:r>
      <w:r>
        <w:rPr>
          <w:rFonts w:ascii="FangSong" w:hAnsi="FangSong" w:eastAsia="FangSong" w:cs="FangSong"/>
          <w:color w:val="000000"/>
          <w:spacing w:val="-6"/>
          <w:sz w:val="24"/>
        </w:rPr>
        <w:t xml:space="preserve">家发展和改革委员会制定的《节能产品政府采购清单》，且经过认定的节能产品；信息安全产品是指</w:t>
      </w:r>
      <w:r>
        <w:rPr>
          <w:rFonts w:ascii="FangSong" w:hAnsi="FangSong" w:eastAsia="FangSong" w:cs="FangSong"/>
          <w:color w:val="000000"/>
          <w:spacing w:val="-3"/>
          <w:sz w:val="24"/>
        </w:rPr>
        <w:t xml:space="preserve">列入国家质检总局国家认监委《信息安全产品强制性认证目录》，并获得强制性产品认证证书的产</w:t>
      </w:r>
      <w:r>
        <w:rPr>
          <w:rFonts w:ascii="FangSong" w:hAnsi="FangSong" w:eastAsia="FangSong" w:cs="FangSong"/>
          <w:color w:val="000000"/>
          <w:spacing w:val="-8"/>
          <w:sz w:val="24"/>
        </w:rPr>
        <w:t xml:space="preserve">品；环境标志产品是指列入财政部、国家生态环境部制定的《环境标志产品政府采购清单》，且经过认证的环境标志产品。</w:t>
      </w:r>
      <w:r/>
    </w:p>
    <w:p>
      <w:pPr>
        <w:ind w:left="640" w:right="783" w:firstLine="269"/>
        <w:spacing w:before="0" w:after="160" w:line="85" w:lineRule="atLeast"/>
        <w:tabs>
          <w:tab w:val="left" w:pos="182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（1）提供的产品属于信息安全产品的，供应商应当选择经国家认证的信息安全产品，并提供由中国信息安全认证中心按国家标准认证颁发的有效认证证书复印件。</w:t>
      </w:r>
      <w:r/>
    </w:p>
    <w:p>
      <w:pPr>
        <w:ind w:left="-18" w:right="0" w:firstLine="1025"/>
        <w:spacing w:before="0" w:after="160" w:line="85" w:lineRule="atLeast"/>
        <w:tabs>
          <w:tab w:val="left" w:pos="182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（2）提供的产品属于政府强制采购节能产品的，供应商应当选择《节能产品政府采购清单》中的产品，并提供有效的节能产品认证证书复印件。</w:t>
      </w:r>
      <w:r/>
    </w:p>
    <w:p>
      <w:pPr>
        <w:ind w:left="640" w:right="784" w:firstLine="269"/>
        <w:spacing w:before="0" w:after="160" w:line="85" w:lineRule="atLeast"/>
        <w:tabs>
          <w:tab w:val="left" w:pos="18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（3）提供的产品属于环境标志产品的，供应商应当选择《环境标志产品政府采购清单》中且经过认证的环境标志产品进行投标，并提供有效的环境标志产品认证证书复印件。</w:t>
      </w:r>
      <w:r/>
    </w:p>
    <w:p>
      <w:pPr>
        <w:ind w:left="200" w:right="658" w:firstLine="521"/>
        <w:spacing w:before="0" w:after="160" w:line="85" w:lineRule="atLeast"/>
        <w:tabs>
          <w:tab w:val="left" w:pos="2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3.3采购文件中的参考产品品牌或型号，是采购人根据项目所要实现的功能列出的品牌或型号， </w:t>
      </w:r>
      <w:r>
        <w:rPr>
          <w:rFonts w:ascii="FangSong" w:hAnsi="FangSong" w:eastAsia="FangSong" w:cs="FangSong"/>
          <w:color w:val="000000"/>
          <w:spacing w:val="-8"/>
          <w:sz w:val="24"/>
        </w:rPr>
        <w:t xml:space="preserve">并不是限制条件。供应商可以采用不低于参考产品档次的产品参与竞争，但是所有技术和功能不得低于采</w:t>
      </w:r>
      <w:r>
        <w:rPr>
          <w:rFonts w:ascii="FangSong" w:hAnsi="FangSong" w:eastAsia="FangSong" w:cs="FangSong"/>
          <w:color w:val="000000"/>
          <w:spacing w:val="-9"/>
          <w:sz w:val="24"/>
        </w:rPr>
        <w:t xml:space="preserve">购要求，并提供证明材料以保证整体功能的实现，并在方案中加以合理的阐述，否则将可能作为无效投标处理。</w:t>
      </w:r>
      <w:r/>
    </w:p>
    <w:p>
      <w:pPr>
        <w:ind w:left="200" w:right="743" w:firstLine="527"/>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7"/>
          <w:sz w:val="24"/>
        </w:rPr>
        <w:t xml:space="preserve">3.4根据《南京市政府采购供应商信用管理工作暂行办法》的相关规定：供应商参加政府采购活</w:t>
      </w:r>
      <w:r>
        <w:rPr>
          <w:rFonts w:ascii="FangSong" w:hAnsi="FangSong" w:eastAsia="FangSong" w:cs="FangSong"/>
          <w:color w:val="000000"/>
          <w:spacing w:val="-9"/>
          <w:sz w:val="24"/>
        </w:rPr>
        <w:t xml:space="preserve">动时，应当按照《关于印发〈南京市政府采购供应商信用管理工作暂行办法〉的通知》（</w:t>
      </w:r>
      <w:r>
        <w:rPr>
          <w:rFonts w:ascii="FangSong" w:hAnsi="FangSong" w:eastAsia="FangSong" w:cs="FangSong"/>
          <w:color w:val="000000"/>
          <w:sz w:val="24"/>
        </w:rPr>
        <w:t xml:space="preserve">宁财规〔2018〕10号）</w:t>
      </w:r>
      <w:r>
        <w:rPr>
          <w:rFonts w:ascii="FangSong" w:hAnsi="FangSong" w:eastAsia="FangSong" w:cs="FangSong"/>
          <w:color w:val="000000"/>
          <w:spacing w:val="-2"/>
          <w:sz w:val="24"/>
        </w:rPr>
        <w:t xml:space="preserve">规定提供《南京市政府采购供应商信用记录表暨信用承诺书》。在政府采购的评审中应当给予一定的鼓励等，细则详见第四章评分标准后的“说明”。</w:t>
      </w:r>
      <w:r/>
    </w:p>
    <w:p>
      <w:pPr>
        <w:ind w:left="19" w:right="0" w:hanging="19"/>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二、招标文件</w:t>
      </w:r>
      <w:r/>
    </w:p>
    <w:p>
      <w:pPr>
        <w:ind w:left="15" w:right="0" w:firstLine="231"/>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4.招标文件组成</w:t>
      </w:r>
      <w:r/>
    </w:p>
    <w:p>
      <w:pPr>
        <w:ind w:left="-18" w:right="727" w:firstLine="527"/>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4.1招标文件组成：投标邀请、供应商须知、供应商应当提交的资格和资信证明文件、投标报价要求、投标文件编制要求和投标保证金缴纳方式、招标项目的技术规格、要求和数量、合同主要条款及合同签订方式、交货和提供服务的时间、付款条件、评标方法、评标标准、无效投标和废标条款、 附件等。</w:t>
      </w:r>
      <w:r/>
    </w:p>
    <w:p>
      <w:pPr>
        <w:ind w:left="-18" w:right="727" w:firstLine="527"/>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4.2招标的最小单位是包。招标服务数量及技术要求中未分包的，供应商对要求提供的服务不得部分投标；招标服务数量及技术要求中已经分包的，应当以包为单位投标。</w:t>
      </w:r>
      <w:r/>
    </w:p>
    <w:p>
      <w:pPr>
        <w:ind w:left="-18" w:right="727" w:firstLine="527"/>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4.3招标文件如果要求供应商提交备选投标方案的，供应商可以提交备选方案；否则，备选方案将被拒绝。</w:t>
      </w:r>
      <w:r/>
    </w:p>
    <w:p>
      <w:pPr>
        <w:ind w:left="15" w:right="0" w:firstLine="231"/>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5.招标文件的澄清、修改</w:t>
      </w:r>
      <w:r/>
    </w:p>
    <w:p>
      <w:pPr>
        <w:ind w:left="-18" w:right="725" w:firstLine="523"/>
        <w:spacing w:before="0" w:after="160" w:line="85" w:lineRule="atLeast"/>
        <w:tabs>
          <w:tab w:val="left" w:pos="161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5.1代理机构对已发出的招标文件进行必要澄清或者修改的，将在招标文件要求提交投标文件截止时间</w:t>
      </w:r>
      <w:r>
        <w:rPr>
          <w:rFonts w:ascii="FangSong" w:hAnsi="FangSong" w:eastAsia="FangSong" w:cs="FangSong"/>
          <w:b/>
          <w:color w:val="000000"/>
          <w:sz w:val="24"/>
          <w:u w:val="single"/>
        </w:rPr>
        <w:t xml:space="preserve">十五日</w:t>
      </w:r>
      <w:r>
        <w:rPr>
          <w:rFonts w:ascii="FangSong" w:hAnsi="FangSong" w:eastAsia="FangSong" w:cs="FangSong"/>
          <w:color w:val="000000"/>
          <w:sz w:val="24"/>
        </w:rPr>
        <w:t xml:space="preserve">前，在原招标公告媒体发布更正公告，该澄清或者修改的内容为招标文件的组成部分。</w:t>
      </w:r>
      <w:r/>
    </w:p>
    <w:p>
      <w:pPr>
        <w:ind w:left="-18" w:right="783" w:firstLine="523"/>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5.2代理机构在招标文件要求提交投标文件截止时间三日前，有权决定延长投标截止时间和开标时间，并在原采购信息发布媒体上发布变更公告。</w:t>
      </w:r>
      <w:r/>
    </w:p>
    <w:p>
      <w:pPr>
        <w:ind w:left="-18" w:right="783" w:firstLine="523"/>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5.3供应商应在投标截止时间前关注原采购信息发布媒体上有关本招标项目有无变更公告。 </w:t>
      </w:r>
      <w:r/>
    </w:p>
    <w:p>
      <w:pPr>
        <w:ind w:left="19" w:right="1147" w:hanging="19"/>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三、投标</w:t>
      </w:r>
      <w:r/>
    </w:p>
    <w:p>
      <w:pPr>
        <w:ind w:left="15" w:right="0" w:firstLine="231"/>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6.投标文件的语言、计量单位、货币和编制</w:t>
      </w:r>
      <w:r/>
    </w:p>
    <w:p>
      <w:pPr>
        <w:ind w:left="-18" w:right="783" w:firstLine="54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7"/>
          <w:sz w:val="24"/>
        </w:rPr>
        <w:t xml:space="preserve">6.1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left="-18" w:right="783" w:firstLine="54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7"/>
          <w:sz w:val="24"/>
        </w:rPr>
        <w:t xml:space="preserve">6.2供应商所使用的计量单位应为国家法定计量单位。</w:t>
      </w:r>
      <w:r/>
    </w:p>
    <w:p>
      <w:pPr>
        <w:ind w:left="-18" w:right="783" w:firstLine="54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7"/>
          <w:sz w:val="24"/>
        </w:rPr>
        <w:t xml:space="preserve">6.3供应商应用人民币报价。</w:t>
      </w:r>
      <w:r/>
    </w:p>
    <w:p>
      <w:pPr>
        <w:ind w:left="-18" w:right="783" w:firstLine="54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7"/>
          <w:sz w:val="24"/>
        </w:rPr>
        <w:t xml:space="preserve">6.4投标文件应字迹清楚、内容齐全、不得涂改。如有修改，修改处须有供应商公章和法定代表人或其授权的供应商代表签字。</w:t>
      </w:r>
      <w:r/>
    </w:p>
    <w:p>
      <w:pPr>
        <w:ind w:left="-18" w:right="783" w:firstLine="54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7"/>
          <w:sz w:val="24"/>
        </w:rPr>
        <w:t xml:space="preserve">6.5供应商应在投标文件中写清相应的项目编号、项目名称、供应商全称、地址、电话、传真等。    </w:t>
      </w:r>
      <w:r/>
    </w:p>
    <w:p>
      <w:pPr>
        <w:ind w:left="13" w:right="679" w:firstLine="235"/>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7"/>
          <w:sz w:val="24"/>
        </w:rPr>
        <w:t xml:space="preserve">7.</w:t>
      </w:r>
      <w:r>
        <w:rPr>
          <w:rFonts w:ascii="FangSong" w:hAnsi="FangSong" w:eastAsia="FangSong" w:cs="FangSong"/>
          <w:b/>
          <w:color w:val="000000"/>
          <w:spacing w:val="-7"/>
          <w:sz w:val="24"/>
        </w:rPr>
        <w:t xml:space="preserve">联合投标</w:t>
      </w:r>
      <w:r/>
    </w:p>
    <w:p>
      <w:pPr>
        <w:ind w:left="15" w:right="5550" w:firstLine="482"/>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7.1</w:t>
      </w:r>
      <w:r>
        <w:rPr>
          <w:rFonts w:ascii="FangSong" w:hAnsi="FangSong" w:eastAsia="FangSong" w:cs="FangSong"/>
          <w:color w:val="000000"/>
          <w:spacing w:val="-58"/>
          <w:sz w:val="24"/>
        </w:rPr>
        <w:t xml:space="preserve"> </w:t>
      </w:r>
      <w:r>
        <w:rPr>
          <w:rFonts w:ascii="FangSong" w:hAnsi="FangSong" w:eastAsia="FangSong" w:cs="FangSong"/>
          <w:b/>
          <w:color w:val="000000"/>
          <w:spacing w:val="-1"/>
          <w:sz w:val="24"/>
        </w:rPr>
        <w:t xml:space="preserve">本次采购不接受联合体投标。</w:t>
      </w:r>
      <w:r/>
    </w:p>
    <w:p>
      <w:pPr>
        <w:ind w:left="15" w:right="6439" w:firstLine="231"/>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8.投标费用</w:t>
      </w:r>
      <w:r/>
    </w:p>
    <w:p>
      <w:pPr>
        <w:ind w:left="15" w:right="3350" w:firstLine="482"/>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8.1供应商应承担所有与准备和参加投标有关的费用。</w:t>
      </w:r>
      <w:r/>
    </w:p>
    <w:p>
      <w:pPr>
        <w:ind w:left="15" w:right="490" w:firstLine="482"/>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8.2招标代理费：按照国家计委《招标代理服务收费管理暂行办法》（计价格〔2002〕1980号）文件标准的65%执行。无论投标人是否将该费用在报价中列明，均视为已含在投标价格中。这部分费用由中标单位在领取中标通知书时一次性支付。</w:t>
      </w:r>
      <w:r/>
    </w:p>
    <w:p>
      <w:pPr>
        <w:ind w:left="15" w:right="490" w:firstLine="482"/>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专家评审费按实际支付发生费用计取，由采购人支付。</w:t>
      </w:r>
      <w:r/>
    </w:p>
    <w:p>
      <w:pPr>
        <w:ind w:left="15" w:right="3350" w:firstLine="231"/>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9.投标文件组成</w:t>
      </w:r>
      <w:r/>
    </w:p>
    <w:p>
      <w:pPr>
        <w:ind w:left="200" w:right="752" w:firstLine="521"/>
        <w:jc w:val="both"/>
        <w:spacing w:before="0" w:after="160" w:line="85" w:lineRule="atLeast"/>
        <w:tabs>
          <w:tab w:val="left" w:pos="166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9.1供应商应当根据招标文件要求编制投标文件，投标文件应对招标文件提出的要求和条件作出实质性响应，</w:t>
      </w:r>
      <w:r>
        <w:rPr>
          <w:rFonts w:ascii="FangSong" w:hAnsi="FangSong" w:eastAsia="FangSong" w:cs="FangSong"/>
          <w:b/>
          <w:color w:val="000000"/>
          <w:sz w:val="24"/>
        </w:rPr>
        <w:t xml:space="preserve">对带星号</w:t>
      </w:r>
      <w:r>
        <w:rPr>
          <w:rFonts w:ascii="FangSong" w:hAnsi="FangSong" w:eastAsia="FangSong" w:cs="FangSong"/>
          <w:b/>
          <w:color w:val="000000"/>
          <w:spacing w:val="3"/>
          <w:sz w:val="24"/>
        </w:rPr>
        <w:t xml:space="preserve">（</w:t>
      </w:r>
      <w:r>
        <w:rPr>
          <w:rFonts w:ascii="FangSong" w:hAnsi="FangSong" w:eastAsia="FangSong" w:cs="FangSong"/>
          <w:b/>
          <w:color w:val="000000"/>
          <w:spacing w:val="2"/>
          <w:sz w:val="24"/>
        </w:rPr>
        <w:t xml:space="preserve">“★”或“*”）</w:t>
      </w:r>
      <w:r>
        <w:rPr>
          <w:rFonts w:ascii="FangSong" w:hAnsi="FangSong" w:eastAsia="FangSong" w:cs="FangSong"/>
          <w:b/>
          <w:color w:val="000000"/>
          <w:sz w:val="24"/>
        </w:rPr>
        <w:t xml:space="preserve">的技术条款必须在投标文件中提供技术支持资料（如白皮书、彩页、手册、检测报告等），未提供技术支持资料的，评审时不予认可。</w:t>
      </w:r>
      <w:r/>
    </w:p>
    <w:p>
      <w:pPr>
        <w:ind w:left="200" w:right="752" w:firstLine="521"/>
        <w:jc w:val="both"/>
        <w:spacing w:before="0" w:after="160" w:line="85" w:lineRule="atLeast"/>
        <w:tabs>
          <w:tab w:val="left" w:pos="166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9.2供应商根据招标文件载明的标的采购项目实际情况，拟在中标后将中标项目的非主体、非关键性工作交由他人完成的，应当在投标文件中载明。</w:t>
      </w:r>
      <w:r/>
    </w:p>
    <w:p>
      <w:pPr>
        <w:ind w:left="200" w:right="752" w:firstLine="521"/>
        <w:jc w:val="both"/>
        <w:spacing w:before="0" w:after="160" w:line="85" w:lineRule="atLeast"/>
        <w:tabs>
          <w:tab w:val="left" w:pos="166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9.3投标文件由商务部分、技术部分、价格部分，以及其他部分组成。</w:t>
      </w:r>
      <w:r/>
    </w:p>
    <w:p>
      <w:pPr>
        <w:ind w:left="15" w:right="2030" w:firstLine="231"/>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10.投标文件的商务部分</w:t>
      </w:r>
      <w:r/>
    </w:p>
    <w:p>
      <w:pPr>
        <w:ind w:left="15" w:right="90" w:firstLine="482"/>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10.1商务部分是证明供应商有资格参加投标和中标后有能力履行合同的文件，这些文件应能满足招标的要求，包括但不限于下列文件，</w:t>
      </w:r>
      <w:r>
        <w:rPr>
          <w:rFonts w:ascii="FangSong" w:hAnsi="FangSong" w:eastAsia="FangSong" w:cs="FangSong"/>
          <w:b/>
          <w:color w:val="000000"/>
          <w:sz w:val="24"/>
        </w:rPr>
        <w:t xml:space="preserve">其中加*项目不得有缺失或无效</w:t>
      </w:r>
      <w:r>
        <w:rPr>
          <w:rFonts w:ascii="FangSong" w:hAnsi="FangSong" w:eastAsia="FangSong" w:cs="FangSong"/>
          <w:color w:val="000000"/>
          <w:sz w:val="24"/>
        </w:rPr>
        <w:t xml:space="preserve">。</w:t>
      </w:r>
      <w:r/>
    </w:p>
    <w:p>
      <w:pPr>
        <w:ind w:left="-18" w:right="0" w:firstLine="776"/>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（1）*投标函（投标申请及声明）；</w:t>
      </w:r>
      <w:r/>
    </w:p>
    <w:p>
      <w:pPr>
        <w:ind w:left="-18" w:right="0" w:firstLine="776"/>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（2）*法定代表人授权委托书原件及委托代理人的身份证复印件；</w:t>
      </w:r>
      <w:r/>
    </w:p>
    <w:p>
      <w:pPr>
        <w:ind w:left="-18" w:right="0" w:firstLine="776"/>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（3）*开标一览表；</w:t>
      </w:r>
      <w:r/>
    </w:p>
    <w:p>
      <w:pPr>
        <w:ind w:left="-18" w:right="0" w:firstLine="776"/>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（4）*第一章投标邀请中采购人根据采购项目的特殊要求规定的特定条件证明文件（如有）</w:t>
      </w:r>
      <w:r/>
    </w:p>
    <w:p>
      <w:pPr>
        <w:ind w:left="-18" w:right="0" w:firstLine="776"/>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（5）*第一章投标邀请中南京市政府采购供应商信用记录表暨信用承诺书；</w:t>
      </w:r>
      <w:r/>
    </w:p>
    <w:p>
      <w:pPr>
        <w:ind w:left="-18" w:right="0" w:firstLine="776"/>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（6）*《报价明细表》</w:t>
      </w:r>
      <w:r/>
    </w:p>
    <w:p>
      <w:pPr>
        <w:ind w:left="-18" w:right="0" w:firstLine="776"/>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（7）*《商务条款响应表》</w:t>
      </w:r>
      <w:r/>
    </w:p>
    <w:p>
      <w:pPr>
        <w:ind w:left="-18" w:right="0" w:firstLine="773"/>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（8）供应商认为需要提供的其他资格证明文件和商务资料等。</w:t>
      </w:r>
      <w:r/>
    </w:p>
    <w:p>
      <w:pPr>
        <w:ind w:left="13" w:right="0" w:firstLine="234"/>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11.投标文件的技术部分</w:t>
      </w:r>
      <w:r/>
    </w:p>
    <w:p>
      <w:pPr>
        <w:ind w:left="-18" w:right="783" w:firstLine="523"/>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11.1技术部分是证明供应商提供的产品和服务是合格的、符合招标文件要求的文件，以及对投标报价表中的服务的详细说明，这些文件可以是文字资料、图纸和数据等。</w:t>
      </w:r>
      <w:r/>
    </w:p>
    <w:p>
      <w:pPr>
        <w:ind w:left="-18" w:right="783" w:firstLine="523"/>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11.2若技术性能无特殊说明，则以国家有关部门最新颁布的标准及规范为准；</w:t>
      </w:r>
      <w:r/>
    </w:p>
    <w:p>
      <w:pPr>
        <w:ind w:left="-18" w:right="783" w:firstLine="523"/>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11.3投标文件应按照招标文件要求提供技术资料、文件和有关证明，包括但不限于其中加*项目不得有缺失或无效：</w:t>
      </w:r>
      <w:r/>
    </w:p>
    <w:p>
      <w:pPr>
        <w:ind w:left="-18" w:right="0" w:firstLine="523"/>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3"/>
          <w:sz w:val="24"/>
        </w:rPr>
        <w:t xml:space="preserve">（1）*</w:t>
      </w:r>
      <w:r>
        <w:rPr>
          <w:rFonts w:ascii="FangSong" w:hAnsi="FangSong" w:eastAsia="FangSong" w:cs="FangSong"/>
          <w:b/>
          <w:color w:val="000000"/>
          <w:sz w:val="24"/>
        </w:rPr>
        <w:t xml:space="preserve">投标人实施本项目拟投入的专业人员一览表；</w:t>
      </w:r>
      <w:r/>
    </w:p>
    <w:p>
      <w:pPr>
        <w:ind w:left="-18" w:right="0" w:firstLine="511"/>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（2）*质量保证及服务承诺；</w:t>
      </w:r>
      <w:r/>
    </w:p>
    <w:p>
      <w:pPr>
        <w:ind w:left="-18" w:right="0" w:firstLine="511"/>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（3）*项目实施方案；</w:t>
      </w:r>
      <w:r/>
    </w:p>
    <w:p>
      <w:pPr>
        <w:ind w:left="-18" w:right="0" w:firstLine="511"/>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（4）*《技术条款偏离表》</w:t>
      </w:r>
      <w:r/>
    </w:p>
    <w:p>
      <w:pPr>
        <w:ind w:left="-18" w:right="0" w:firstLine="509"/>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（5）投标人认为需要提供的其他证明文件。</w:t>
      </w:r>
      <w:r/>
    </w:p>
    <w:p>
      <w:pPr>
        <w:ind w:left="15" w:right="4230" w:firstLine="231"/>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12.投标文件的价格部分</w:t>
      </w:r>
      <w:r/>
    </w:p>
    <w:p>
      <w:pPr>
        <w:ind w:left="-18" w:right="0" w:firstLine="523"/>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12.1价格部分是对投标货物及服务价格构成的说明，每一项服务仅接受一个价格。</w:t>
      </w:r>
      <w:r/>
    </w:p>
    <w:p>
      <w:pPr>
        <w:ind w:left="-18" w:right="749" w:firstLine="528"/>
        <w:spacing w:before="0" w:after="160" w:line="85" w:lineRule="atLeast"/>
        <w:tabs>
          <w:tab w:val="left" w:pos="177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12.2政府采购提倡公平竞争，反对低于成本、串通报价、哄抬价格等恶意竞争行为，任何盲目压价、低于成本报价、串通哄抬报价等行为将会被拒绝。报价应低于市场平均价。</w:t>
      </w:r>
      <w:r/>
    </w:p>
    <w:p>
      <w:pPr>
        <w:ind w:left="-18" w:right="749" w:firstLine="528"/>
        <w:spacing w:before="0" w:after="160" w:line="85" w:lineRule="atLeast"/>
        <w:tabs>
          <w:tab w:val="left" w:pos="177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12.3本项目报价形式采用固定费率形式。投标报价：包括但不限于完成文件所确定的服务范围所需的全部费用，以及相应税费、政策性文件规定及实施过程中所有风险、责任等各项应有费用， 不论其在采购文件中是否有提及。投标供应商应根据上述因素自行考虑包含在投标报价中。</w:t>
      </w:r>
      <w:r/>
    </w:p>
    <w:p>
      <w:pPr>
        <w:ind w:left="-18" w:right="0" w:firstLine="523"/>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12.4供应商的任何错漏、优惠、竞争性报价不得作为减轻责任、减少服务、增加收费、降低质量的理由。在验收过程中，如发现有漏项、缺件，投标方应无条件、无偿补齐，所发生的一切费用，视为已包含在投标方的最终投标报价中。</w:t>
      </w:r>
      <w:r/>
    </w:p>
    <w:p>
      <w:pPr>
        <w:ind w:left="-18" w:right="763" w:firstLine="523"/>
        <w:jc w:val="both"/>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12.5供应商应在《开标一览表》《投标分项报价》等中标明提供服务的单价、总价以及分项</w:t>
      </w:r>
      <w:r>
        <w:rPr>
          <w:rFonts w:ascii="FangSong" w:hAnsi="FangSong" w:eastAsia="FangSong" w:cs="FangSong"/>
          <w:color w:val="000000"/>
          <w:spacing w:val="-2"/>
          <w:sz w:val="24"/>
        </w:rPr>
        <w:t xml:space="preserve">报价。供应商系</w:t>
      </w:r>
      <w:r>
        <w:rPr>
          <w:rFonts w:ascii="FangSong" w:hAnsi="FangSong" w:eastAsia="FangSong" w:cs="FangSong"/>
          <w:color w:val="000000"/>
          <w:spacing w:val="-1"/>
          <w:sz w:val="24"/>
        </w:rPr>
        <w:t xml:space="preserve">小企业</w:t>
      </w:r>
      <w:r>
        <w:rPr>
          <w:rFonts w:ascii="FangSong" w:hAnsi="FangSong" w:eastAsia="FangSong" w:cs="FangSong"/>
          <w:color w:val="000000"/>
          <w:sz w:val="24"/>
        </w:rPr>
        <w:t xml:space="preserve">（</w:t>
      </w:r>
      <w:r>
        <w:rPr>
          <w:rFonts w:ascii="FangSong" w:hAnsi="FangSong" w:eastAsia="FangSong" w:cs="FangSong"/>
          <w:color w:val="000000"/>
          <w:spacing w:val="-3"/>
          <w:sz w:val="24"/>
        </w:rPr>
        <w:t xml:space="preserve">含小型、微型企业、监狱企业</w:t>
      </w:r>
      <w:r>
        <w:rPr>
          <w:rFonts w:ascii="FangSong" w:hAnsi="FangSong" w:eastAsia="FangSong" w:cs="FangSong"/>
          <w:color w:val="000000"/>
          <w:spacing w:val="-5"/>
          <w:sz w:val="24"/>
        </w:rPr>
        <w:t xml:space="preserve">），须在《开标一览表》《投标分项报价》中注明。</w:t>
      </w:r>
      <w:r/>
    </w:p>
    <w:p>
      <w:pPr>
        <w:ind w:left="-18" w:right="677" w:firstLine="545"/>
        <w:spacing w:before="0" w:after="160" w:line="85" w:lineRule="atLeast"/>
        <w:tabs>
          <w:tab w:val="left" w:pos="182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5"/>
          <w:sz w:val="24"/>
        </w:rPr>
        <w:t xml:space="preserve">12.6投标供</w:t>
      </w:r>
      <w:r>
        <w:rPr>
          <w:rFonts w:ascii="FangSong" w:hAnsi="FangSong" w:eastAsia="FangSong" w:cs="FangSong"/>
          <w:color w:val="000000"/>
          <w:spacing w:val="-3"/>
          <w:sz w:val="24"/>
        </w:rPr>
        <w:t xml:space="preserve">应商应充分考虑到市场价格变动，以及项目实施过程中的不可预见因素，一旦成交，如果有漏项，视同让利。</w:t>
      </w:r>
      <w:r/>
    </w:p>
    <w:p>
      <w:pPr>
        <w:ind w:left="15" w:right="0" w:firstLine="231"/>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13.投标文件的其他部分</w:t>
      </w:r>
      <w:r/>
    </w:p>
    <w:p>
      <w:pPr>
        <w:ind w:left="15" w:right="0" w:firstLine="461"/>
        <w:spacing w:before="0" w:after="160" w:line="85" w:lineRule="atLeast"/>
        <w:tabs>
          <w:tab w:val="left" w:pos="182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13.1 其他部分由供应商根据编制投标文件需要提供相关文件。</w:t>
      </w:r>
      <w:r/>
    </w:p>
    <w:p>
      <w:pPr>
        <w:ind w:left="15" w:right="0" w:firstLine="231"/>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14.投标有效期</w:t>
      </w:r>
      <w:r/>
    </w:p>
    <w:p>
      <w:pPr>
        <w:ind w:left="15" w:right="0" w:firstLine="461"/>
        <w:spacing w:before="0" w:after="160" w:line="85" w:lineRule="atLeast"/>
        <w:tabs>
          <w:tab w:val="left" w:pos="182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14.1 自开标之日起90天内投标有效。</w:t>
      </w:r>
      <w:r/>
    </w:p>
    <w:p>
      <w:pPr>
        <w:ind w:left="15" w:right="0" w:firstLine="461"/>
        <w:spacing w:before="0" w:after="160" w:line="85" w:lineRule="atLeast"/>
        <w:tabs>
          <w:tab w:val="left" w:pos="182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14.2 在特殊情况下，在原投标有效期截止之前，代理机构可要求供应商同意延长投标有效期， 这种要求与答复均以书面形式提交。</w:t>
      </w:r>
      <w:r/>
    </w:p>
    <w:p>
      <w:pPr>
        <w:ind w:left="15" w:right="0" w:firstLine="231"/>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15.投标文件签署</w:t>
      </w:r>
      <w:r/>
    </w:p>
    <w:p>
      <w:pPr>
        <w:ind w:left="15" w:right="0" w:firstLine="461"/>
        <w:spacing w:before="0" w:after="160" w:line="85" w:lineRule="atLeast"/>
        <w:tabs>
          <w:tab w:val="left" w:pos="182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15.1 投标文件的正本和副本均由供应商法定代表人或经正式授权并对供应商有约束力的委托代理人签字。</w:t>
      </w:r>
      <w:r/>
    </w:p>
    <w:p>
      <w:pPr>
        <w:ind w:left="15" w:right="0" w:firstLine="231"/>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16.投标文件的修改和撤回</w:t>
      </w:r>
      <w:r/>
    </w:p>
    <w:p>
      <w:pPr>
        <w:ind w:left="15" w:right="0" w:firstLine="23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16.1 供应商在投标截止时间之前，可以对所递交的投标文件进行补充、修改或撤回，并书面通知代理机构。补充、修改的内容应当按照招标文件要求签署、盖章，并作为投标文件的组成部分。</w:t>
      </w:r>
      <w:r/>
    </w:p>
    <w:p>
      <w:pPr>
        <w:ind w:left="15" w:right="0" w:firstLine="23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16.2 投标截止时间过后，投标文件不得撤回。</w:t>
      </w:r>
      <w:r/>
    </w:p>
    <w:p>
      <w:pPr>
        <w:ind w:left="19" w:right="4670" w:hanging="19"/>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四、开标、评标与确定中标供应商</w:t>
      </w:r>
      <w:r/>
    </w:p>
    <w:p>
      <w:pPr>
        <w:ind w:left="15" w:right="0" w:firstLine="231"/>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17.开标</w:t>
      </w:r>
      <w:r/>
    </w:p>
    <w:p>
      <w:pPr>
        <w:ind w:left="15" w:right="0" w:firstLine="23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17.1 代理机构将在招标文件确定的时间进行公开开标。</w:t>
      </w:r>
      <w:r/>
    </w:p>
    <w:p>
      <w:pPr>
        <w:ind w:left="15" w:right="0" w:firstLine="23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17.2 开标时，系统将统一进行开标唱标的流程，投标供应商确认各自投标报价。</w:t>
      </w:r>
      <w:r/>
    </w:p>
    <w:p>
      <w:pPr>
        <w:ind w:left="15" w:right="0" w:firstLine="23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17.6 投标截止时间结束后参加投标的供应商不足三家的，除采购任务取消情形外，代理机构报经监管部门批准后，可变更为竞争性谈判或者单一来源方式采购。如果变更为竞争性谈判采购的，代理机构根据招标文件中的采购需求编制谈判文件，只与两家供应商进行竞争性谈判采购。</w:t>
      </w:r>
      <w:r/>
    </w:p>
    <w:p>
      <w:pPr>
        <w:ind w:left="15" w:right="0" w:firstLine="231"/>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18.评标</w:t>
      </w:r>
      <w:r/>
    </w:p>
    <w:p>
      <w:pPr>
        <w:ind w:left="15" w:right="0" w:firstLine="484"/>
        <w:spacing w:before="0" w:after="160" w:line="85" w:lineRule="atLeast"/>
        <w:tabs>
          <w:tab w:val="left" w:pos="182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18.1 评标组织</w:t>
      </w:r>
      <w:r/>
    </w:p>
    <w:p>
      <w:pPr>
        <w:ind w:left="15" w:right="0" w:firstLine="484"/>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18.1.1 投标文件的资格性检查。</w:t>
      </w:r>
      <w:r>
        <w:rPr>
          <w:rFonts w:ascii="FangSong" w:hAnsi="FangSong" w:eastAsia="FangSong" w:cs="FangSong"/>
          <w:color w:val="000000"/>
          <w:sz w:val="24"/>
        </w:rPr>
        <w:t xml:space="preserve">依据法律法规和招标文件的规定，对投标文件中资格证明、投标保证金等进行审查，以确定供应商是否具备投标资格。投标文件有下列情况之一的，在资格性、符合性检查时按照无效投标处理：</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（1）未按照招标文件规定要求签署、盖章的；</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（2）投标总价超出采购预算限额的；</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（3）报价低于完成本项目发生的所有含税费用、支付给员工的工资（不得低于供应商所在地最低工资标准）和国家强制缴纳的各种社会保障资金、公积金，以及供应商认为需要的其他费用等；</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（4）不具备招标文件中规定资格要求的；</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（5）不同供应商的投标文件由同一单位或者个人编制；</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（6）不同供应商委托同一单位或者个人办理投标事宜；</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（7）不同供应商的投标文件载明的项目管理成员为同一人；</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（8）不同供应商的投标文件异常一致或者投标报价呈规律性差异；</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（9）不同供应商的投标文件相互混装；</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（10）不同供应商的法定代表人或委托代理人有夫妻、直系血亲关系的；</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（11）不同供应商的负责人为同一人或者存在控股、管理关系的；</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（12）没有逐一说明投标产品和服务响应，而是直接拷贝招标文件技术要求的；</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（13）不同供应商的委托代理人（或法定代表人、项目经理、项目总监、项目负责人等）在采购文件发布当月至上月至投标截止日当月在同一单位缴纳社会保险的；</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（14）服务承诺和付款条件未响应招标要求的；</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（15）不符合法律法规和招标文件规定的其他实质性要求；</w:t>
      </w:r>
      <w:r/>
    </w:p>
    <w:p>
      <w:pPr>
        <w:ind w:left="0" w:right="0" w:firstLine="60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rPr>
          <w:rFonts w:ascii="FangSong" w:hAnsi="FangSong" w:eastAsia="FangSong" w:cs="FangSong"/>
          <w:color w:val="000000"/>
          <w:sz w:val="24"/>
        </w:rPr>
        <w:t xml:space="preserve">评标委员会认为供应商的报价明显低于其他通过符合性审查供应商的报价，有可能影响服务质量或者不能诚信履约的，将通过苏采云系统要求其在合理的时间内提供说明，必要时提交相关证明材料。供应商不能提供书面说明、证明材料，或者提供的书面说明、证明材料不能证明其报价合理性的，评标委员会应当将其作为无效投标（响应）处理。</w:t>
      </w:r>
      <w:r>
        <w:rPr>
          <w:rFonts w:ascii="SimSun" w:hAnsi="SimSun" w:eastAsia="SimSun" w:cs="SimSun"/>
          <w:color w:val="000000"/>
          <w:sz w:val="24"/>
        </w:rPr>
        <w:t xml:space="preserve"> </w:t>
      </w:r>
      <w:r/>
    </w:p>
    <w:p>
      <w:pPr>
        <w:ind w:left="0" w:right="0" w:firstLine="60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（一）政府采购评审中出现下列情形之一的，评标委员会应当启动异常低价投标（响应）审查程序：</w:t>
      </w:r>
      <w:r>
        <w:rPr>
          <w:rFonts w:ascii="SimSun" w:hAnsi="SimSun" w:eastAsia="SimSun" w:cs="SimSun"/>
          <w:color w:val="000000"/>
          <w:sz w:val="24"/>
        </w:rPr>
        <w:t xml:space="preserve"> </w:t>
      </w:r>
      <w:r/>
    </w:p>
    <w:p>
      <w:pPr>
        <w:ind w:left="0" w:right="0" w:firstLine="60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投标（响应）报价低于全部通过符合性审查供应商投标（响应）报价平均值50%的，即投标（响应）报价〈全部通过符合性审查供应商投标（响应）报价平均值×50%；</w:t>
      </w:r>
      <w:r>
        <w:rPr>
          <w:rFonts w:ascii="SimSun" w:hAnsi="SimSun" w:eastAsia="SimSun" w:cs="SimSun"/>
          <w:color w:val="000000"/>
          <w:sz w:val="24"/>
        </w:rPr>
        <w:t xml:space="preserve"> </w:t>
      </w:r>
      <w:r/>
    </w:p>
    <w:p>
      <w:pPr>
        <w:ind w:left="0" w:right="0" w:firstLine="60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 投标（响应）报价低于通过符合性审查的次低报价供应商投标（响应）报价50%的，即投标（响应）报价〈通过符合性审查的次低报价供应商投标（响应）报价×50%；</w:t>
      </w:r>
      <w:r>
        <w:rPr>
          <w:rFonts w:ascii="SimSun" w:hAnsi="SimSun" w:eastAsia="SimSun" w:cs="SimSun"/>
          <w:color w:val="000000"/>
          <w:sz w:val="24"/>
        </w:rPr>
        <w:t xml:space="preserve"> </w:t>
      </w:r>
      <w:r/>
    </w:p>
    <w:p>
      <w:pPr>
        <w:ind w:left="0" w:right="0" w:firstLine="60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 投标（响应）报价低于采购项目最高限价45%的，即投标（响应）报价〈采购项目最高限价×45%；</w:t>
      </w:r>
      <w:r>
        <w:rPr>
          <w:rFonts w:ascii="SimSun" w:hAnsi="SimSun" w:eastAsia="SimSun" w:cs="SimSun"/>
          <w:color w:val="000000"/>
          <w:sz w:val="24"/>
        </w:rPr>
        <w:t xml:space="preserve"> </w:t>
      </w:r>
      <w:r/>
    </w:p>
    <w:p>
      <w:pPr>
        <w:ind w:left="0" w:right="0" w:firstLine="60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 评标委员会基于专业判断，认为供应商报价过低，有可能影响服务质量或者不能诚信履约的其他情形。</w:t>
      </w:r>
      <w:r>
        <w:rPr>
          <w:rFonts w:ascii="SimSun" w:hAnsi="SimSun" w:eastAsia="SimSun" w:cs="SimSun"/>
          <w:color w:val="000000"/>
          <w:sz w:val="24"/>
        </w:rPr>
        <w:t xml:space="preserve">  </w:t>
      </w:r>
      <w:r/>
    </w:p>
    <w:p>
      <w:pPr>
        <w:ind w:left="0" w:right="0" w:firstLine="60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其他费用等，给予相关供应商的合理时间一般不少于30分钟。其中，若属于第3项情形，供应商已随投标（响应）文件一并提交相关书面说明及必要的证明材料的，在评审现场可不再重复提交。</w:t>
      </w:r>
      <w:r>
        <w:rPr>
          <w:rFonts w:ascii="SimSun" w:hAnsi="SimSun" w:eastAsia="SimSun" w:cs="SimSun"/>
          <w:color w:val="000000"/>
          <w:sz w:val="24"/>
        </w:rPr>
        <w:t xml:space="preserve"> </w:t>
      </w:r>
      <w:r/>
    </w:p>
    <w:p>
      <w:pPr>
        <w:ind w:left="0" w:right="0" w:firstLine="60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18.1.2 投标文件的符合性检查。依据招标文件规定，从投标文件的有效性、完整性和对招标文件的响应程度进行审查。</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18.2.2.1 实质性要求是指本招标文件中用带星号（“★”或“*”）、“必须”“须”“应（应当）”等其他文字说明的商务和技术要求。</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18.2.2.2 有下列情形之一的，予以废标，同时将废标理由通知所有供应商：</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（1）符合专业条件的供应商或者对招标文件作实质性响应的供应商不足三家的；</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（2）出现影响采购公正的违法、违规行为的；</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（3）因重大变故，采购任务取消的。</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（4）不具备招标文件中规定资格条件的；</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（5）未实质性响应采购要求的；</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（6）报价低于完成本项目发生的所有含税费用、支付给员工的工资（不得低于供应商所在地最低工资标准）和国家强制缴纳的各种社会保障资金、公积金，以及供应商认为需要的其他费用等；</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（7）报价超过招标文件中规定的预算金额或者最高限价的；</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（8）招标文件中的打“★”或“*”项缺失或者未实质性响应的；</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（9）未按要求盖章和签字；</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（10）不符合法律法规和采购文件规定的其他实质性要求。</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18.2.2.3 在评标期间，出现符合专业条件的供应商或者对招标文件作出实质性响应的供应商不足三家情形的，比照18.2.2.2款执行。</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18.2.3 澄清有关问题。对投标文件中含义不明确、同类问题表述不一致或者明显文字和计算错误的内容，评标委员会可以要求供应商作出必要的澄清、说明或者补正。供应商的澄清、说明、补正应当采用书面形式，由其授权代表签字，但不得超出投标文件的范围或者改变投标文件的实质性内容。</w:t>
      </w:r>
      <w:r/>
    </w:p>
    <w:p>
      <w:pPr>
        <w:ind w:left="15" w:right="0" w:firstLine="482"/>
        <w:jc w:val="both"/>
        <w:spacing w:before="0" w:after="160" w:line="85" w:lineRule="atLeast"/>
        <w:tabs>
          <w:tab w:val="left" w:pos="20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18.1.4 比较与评价。按照招标文件中规定的评标方法和标准，对资格性检查和符合性检查合格的投标文件进行商务和技术评估，综合比较与评价。</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19. 评标办法</w:t>
      </w:r>
      <w:r/>
    </w:p>
    <w:p>
      <w:pPr>
        <w:ind w:left="-18" w:right="0" w:firstLine="272"/>
        <w:jc w:val="both"/>
        <w:spacing w:before="0" w:after="160" w:line="85" w:lineRule="atLeast"/>
        <w:tabs>
          <w:tab w:val="left" w:pos="182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19.1评标方法和标准</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19.1.1采用综合评分法。即在最大限度地满足招标文件实质性要求的前提下，按照招标文件中规定的各项因素进行综合评审后，以评标总得分最高的投标人为中标候选供应商或者中标供应商的评标方法。</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19.1.2综合评分的主要因素是：评分标准详见第三章。</w:t>
      </w:r>
      <w:r/>
    </w:p>
    <w:p>
      <w:pPr>
        <w:ind w:left="-18" w:right="0" w:firstLine="272"/>
        <w:jc w:val="both"/>
        <w:spacing w:before="0" w:after="160" w:line="85" w:lineRule="atLeast"/>
        <w:tabs>
          <w:tab w:val="left" w:pos="182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20. 确定中标供应商</w:t>
      </w:r>
      <w:r/>
    </w:p>
    <w:p>
      <w:pPr>
        <w:ind w:left="0" w:right="0" w:firstLine="48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20.1 综合比较与评价后，按照得分高低顺序对供应商进行排列。得分相同的，按投标报价由低到高顺序排列；得分和投标报价都相同的，按技术指标优劣顺序排列。</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20.2中标供应商确定后，将在财政部门指定的政府采购信息发布媒体上公告，并向中标供应商发出中标通知书。</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20.3中标通知书对采购人和中标供应商具有同等法律效力。</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20.4中标通知书发出后，采购人或中标供应商拒绝签订合同的，拒绝签订合同的一方应至少向另一方支付与投标保证金相等的补偿金，以及为招标、投标所发生的有关费用和双方商定的其他补偿。</w:t>
      </w:r>
      <w:r/>
    </w:p>
    <w:p>
      <w:pPr>
        <w:ind w:left="13" w:right="9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20.5中标通知书发出后，中标供应商无正当理由不与采购人签订合同的，投标保证金不予退还；情节严重的，由财政部门将其列入不良行为记录名单，在一至三年内禁止参加南京市政府采购活动， 并予以通报。</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20.6代理机构对未中标的投标人不作未中标原因的解释。</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20.7所有投标文件都将作为档案保存，不论中标与否，代理机构均不退回。</w:t>
      </w:r>
      <w:r/>
    </w:p>
    <w:p>
      <w:pPr>
        <w:ind w:left="-18" w:right="0" w:firstLine="272"/>
        <w:jc w:val="both"/>
        <w:spacing w:before="0" w:after="160" w:line="85" w:lineRule="atLeast"/>
        <w:tabs>
          <w:tab w:val="left" w:pos="182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21.编写评标报告</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21.1 评标委员会根据全体评标成员签字的原始评标记录和评标结果编写评标报告。</w:t>
      </w:r>
      <w:r/>
    </w:p>
    <w:p>
      <w:pPr>
        <w:ind w:left="-18" w:right="0" w:firstLine="272"/>
        <w:jc w:val="both"/>
        <w:spacing w:before="0" w:after="160" w:line="85" w:lineRule="atLeast"/>
        <w:tabs>
          <w:tab w:val="left" w:pos="182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22.评标过程的保密性</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22.1代理机构将采取必要措施，保证评标在严格保密的情况下进行。</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22.2任何单位和个人不得非法干预、影响评标办法的确定以及评标过程和结果。</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22.3凡是与审查、澄清、评价和比较投标的有关资料等，均不向供应商及与评标无关的其他人员透露。              </w:t>
      </w:r>
      <w:r/>
    </w:p>
    <w:p>
      <w:pPr>
        <w:ind w:left="15" w:right="5990" w:firstLine="231"/>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23.签订合同</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23.1中标供应商应当自中标通知书发出之日起三十日内，按照招标文件和中标供应商投标文件的约定与采购人签订采购合同，所签订的合同不得对招标文件和中标供应商投标文件作实质性修改。</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23.2采购人不得向中标供应商提出任何不合理的要求作为签订合同的条件，不得与中标供应商私下订立背离合同实质性内容的协议。</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23.3中标供应商拒绝与采购人签订合同，或因不可抗力或者自身原因不能履行政府采购合同的，采购人可以按照评审报告推荐的中标候选人名单排序，确定下一候选人为中标供应商，也可以重新开展政府采购活动。</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23.4采购合同履行中，采购人需追加与合同标的相同的服务的，在不改变合同其他条款的前提下，可以与供应商协商签订补充合同，但所有补充合同的采购金额不得超过原合同采购金额的百分之十。</w:t>
      </w:r>
      <w:r/>
    </w:p>
    <w:p>
      <w:pPr>
        <w:numPr>
          <w:ilvl w:val="0"/>
          <w:numId w:val="3"/>
        </w:numP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询问、质疑、投诉和诚实信用</w:t>
      </w:r>
      <w:r/>
    </w:p>
    <w:p>
      <w:pPr>
        <w:ind w:left="15" w:right="5990" w:firstLine="231"/>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24.询问</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24.1 供应商对招标活动事项有疑问的，可以向代理机构或采购人提出询问，代理机构或采购人将在两个工作日内作出答复，但答复的内容不涉及商业秘密。</w:t>
      </w:r>
      <w:r/>
    </w:p>
    <w:p>
      <w:pPr>
        <w:ind w:left="15" w:right="5990" w:firstLine="231"/>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25.质疑</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25.1供应商认为采购文件、采购过程和中标结果使自己的合法权益受到损害的，可以在知道或者应当知道其权益受到损害之日起七个工作日内，将质疑文件原件送达代理机构。供应商提出质疑时，须一次性提出全部问题及相关质疑资料，代理机构将依法作出答复，但答复的内容不涉及商业秘密。</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25.2质疑文件应包括以下主要内容，并按照“谁主张、谁举证”的原则，附上相关证明材料。否则，代理机构或采购人不予受理：</w:t>
      </w:r>
      <w:r/>
    </w:p>
    <w:p>
      <w:pPr>
        <w:ind w:left="198" w:right="677" w:firstLine="526"/>
        <w:spacing w:before="0" w:after="160" w:line="85" w:lineRule="atLeast"/>
        <w:tabs>
          <w:tab w:val="left" w:pos="182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（1）质疑项目名称、项目编号、包号、招标公告发布时间、开标时间；</w:t>
      </w:r>
      <w:r/>
    </w:p>
    <w:p>
      <w:pPr>
        <w:ind w:left="200" w:right="677" w:firstLine="522"/>
        <w:spacing w:before="0" w:after="160" w:line="85" w:lineRule="atLeast"/>
        <w:tabs>
          <w:tab w:val="left" w:pos="182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（2）提起质疑的日期、具体的质疑事项及事实根据（具体条款）；</w:t>
      </w:r>
      <w:r/>
    </w:p>
    <w:p>
      <w:pPr>
        <w:ind w:left="200" w:right="677" w:firstLine="522"/>
        <w:spacing w:before="0" w:after="160" w:line="85" w:lineRule="atLeast"/>
        <w:tabs>
          <w:tab w:val="left" w:pos="182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3）认为自己合法权益受到损害或可能受到损害的相关证据材料。质疑相关证明材料中如涉及产品功能或技术指标的，应出具相关制造商的证明文件（友情提示：供应商全部产品线中没有满足技术需求要求的产品才可以对招标产品提出质疑，并提出修改理由和修改建议）；</w:t>
      </w:r>
      <w:r/>
    </w:p>
    <w:p>
      <w:pPr>
        <w:ind w:left="200" w:right="677" w:firstLine="522"/>
        <w:spacing w:before="0" w:after="160" w:line="85" w:lineRule="atLeast"/>
        <w:tabs>
          <w:tab w:val="left" w:pos="182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（4）质疑供应商名称、地址、邮编、联系人、联系电话（包括座机、手机、传真号码等）；</w:t>
      </w:r>
      <w:r/>
    </w:p>
    <w:p>
      <w:pPr>
        <w:ind w:left="200" w:right="677" w:firstLine="522"/>
        <w:spacing w:before="0" w:after="160" w:line="85" w:lineRule="atLeast"/>
        <w:tabs>
          <w:tab w:val="left" w:pos="182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（5）质疑文件应当署名，质疑人为自然人的，应当由本人签字并附有效身份证明；质疑人为法人或其他组织的，应当由法定代表人签字并加盖单位公章。</w:t>
      </w:r>
      <w:r/>
    </w:p>
    <w:p>
      <w:pPr>
        <w:ind w:left="200" w:right="677" w:firstLine="522"/>
        <w:spacing w:before="0" w:after="160" w:line="85" w:lineRule="atLeast"/>
        <w:tabs>
          <w:tab w:val="left" w:pos="182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（6）供应商委托代理质疑的，应当向被质疑人提交授权委托书，并载明委托代理的具体权限和事项。</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25.3质疑供应商是指直接参加本项目采购活动的供应商；对采购文件提出质疑的，应自供应商获得采购文件之日起计算，且应当在投标截止之日前提出；对采购过程提出质疑的，自采购程序环节结束之日起计算；对中标结果提出质疑的，自中标结果公告之日起计算。</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25.4代理机构在收到供应商的书面质疑后将及时组织调查核实，在七个工作日内作出答复，并以书面或在网站公告形式通知质疑供应商和其他有关供应商，答复的内容不涉及商业秘密。代理机构遵循“谁过错谁负担”的原则，有过错的一方承担调查论证费用。</w:t>
      </w:r>
      <w:r/>
    </w:p>
    <w:p>
      <w:pPr>
        <w:ind w:left="15" w:right="5990" w:firstLine="231"/>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26.投诉</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26.1质疑供应商对代理机构的答复不满意，或代理机构未在规定的时间内作出答复的，可以在答复期满后十五个工作日内向采购项目同级财政部门投诉。</w:t>
      </w:r>
      <w:r/>
    </w:p>
    <w:p>
      <w:pPr>
        <w:ind w:left="15" w:right="5990" w:firstLine="231"/>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27.诚实信用</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27.1供应商之间不得相互串通投标报价，不得妨碍其他供应商的公平竞争，不得损害采购人和其他供应商的合法权益。</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27.2供应商不得以向代理机构工作人员、评标委员会成员行贿或者采取其他不正当手段谋取中标。经查实供应商有此行为的，政府采购管理部门将供应商列入不良行为记录名单，按照《中华人民共和国政府采购法》有关规定处理。</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27.3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27.4供应商不得虚假承诺，否则，按照提供虚假材料谋取中标成交处理。</w:t>
      </w:r>
      <w:r/>
    </w:p>
    <w:p>
      <w:pPr>
        <w:ind w:left="13" w:right="310" w:firstLine="485"/>
        <w:spacing w:before="0" w:after="160" w:line="85" w:lineRule="atLeast"/>
        <w:tabs>
          <w:tab w:val="left" w:pos="192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27.5供应商应自觉遵守开标、评标纪律，扰乱开标评标现场秩序的，属于失信行为，根据《江苏省政府采购供应商监督管理暂行办法》，失信行为将被记入供应商诚信档案。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 </w:t>
      </w:r>
      <w:r/>
    </w:p>
    <w:p>
      <w:pPr>
        <w:pStyle w:val="638"/>
        <w:ind w:left="0" w:right="2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第三章 评标方法和标准</w:t>
      </w:r>
      <w:r/>
    </w:p>
    <w:p>
      <w:pPr>
        <w:ind w:left="0" w:right="0" w:firstLine="48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用综合评分法。综合评分法是指投标文件满足招标文件全部实质性要求，且按照招标文件评审因素量化指标评审得分最高的投标人为中标候选人的评标方法。综合比较与评价后，按得分由高到低顺序排列。得分相同的，按磋商报价由低到高顺序排列。得分相同且报价相同的，按技术指标（服务方案）优劣顺序排列；得分相同、报价相同且技术指标（服务方案）得分相同的，采取随机抽取的方式确定。本项目分为六个包，每包选定一家供应商。供应商可参与一个或多个包投标，但不可兼中兼得。本项目按包一、包二、包三、包四、包五、包六的顺序进行评审，包一的第一中标</w:t>
      </w:r>
      <w:r>
        <w:rPr>
          <w:rFonts w:ascii="FangSong" w:hAnsi="FangSong" w:eastAsia="FangSong" w:cs="FangSong"/>
          <w:color w:val="000000"/>
          <w:sz w:val="24"/>
        </w:rPr>
        <w:t xml:space="preserve">候选人如同时在后续包段排名第一，则采购人在后续包段中可以确定排名第二的中标候选人为中标人，以此类推。</w:t>
      </w:r>
      <w:r>
        <w:rPr>
          <w:rFonts w:ascii="FangSong" w:hAnsi="FangSong" w:eastAsia="FangSong" w:cs="FangSong"/>
          <w:b/>
          <w:color w:val="000000"/>
          <w:sz w:val="24"/>
        </w:rPr>
        <w:t xml:space="preserve">工作任务具体由江宁生态环境局分配。遇有紧急情况，中标供应商不能满足服务要求等情况的，江宁生态环境局使用其他中标供应商进行服务。</w:t>
      </w:r>
      <w:r/>
    </w:p>
    <w:p>
      <w:pPr>
        <w:ind w:left="0" w:right="0" w:firstLine="562"/>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包一至包六的评分标准</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4"/>
        <w:gridCol w:w="1071"/>
        <w:gridCol w:w="1685"/>
        <w:gridCol w:w="927"/>
        <w:gridCol w:w="4957"/>
      </w:tblGrid>
      <w:tr>
        <w:trPr>
          <w:trHeight w:val="2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57"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评分标准</w:t>
            </w:r>
            <w:r/>
          </w:p>
        </w:tc>
      </w:tr>
      <w:tr>
        <w:trPr>
          <w:trHeight w:val="2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投标报价（20分）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1.1 投标折扣率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采用低价优先法计算，即满足招标文件要求且投标折扣率最低，最低的投标折扣率为评标基准折扣率，其价格分为满分，其他投标人的折扣率得分按照下列公式计算（小数点保留一位）：投标折扣率得分=（评标基准折扣率／投标折扣率）×20</w:t>
            </w:r>
            <w:r/>
          </w:p>
          <w:p>
            <w:pPr>
              <w:ind w:left="0" w:right="0" w:firstLine="44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特别说明：投标折扣率以《江苏省环境监测专业服务收费管理办法》和《江苏省环境监测专业服务收费标准》（苏价费〔2006〕397号）为基础，总费用（含税）包括采样费、样品前处理费、样品分析费、报告编制费。每项目最终结算费用由江宁生态环境局核算，组成为（采样费+样品前处理费+样品分析费+报告编制费）×投标折扣率。</w:t>
            </w:r>
            <w:r/>
          </w:p>
          <w:p>
            <w:pPr>
              <w:ind w:left="0" w:right="0" w:firstLine="442"/>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注：1.本项目收费依据文件发生修改等情况，依据最新发布收费文件执行（投标折扣率不变）；2.本项目费用为苏价费〔2006〕397号文规定的基本费用，不接受苏价费〔2006〕397号文中规定的任何加收费用及其他费用，以上费用（折扣率）含税。</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vMerge w:val="restart"/>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1" w:type="dxa"/>
            <w:vAlign w:val="center"/>
            <w:vMerge w:val="restart"/>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实验室资质及能力（24分）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2.1 实验室人员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1.供应商的实验室，应至少配备检测人员15人，现场采样人员15人。满足要求的，得4分，每少1人扣1分，扣完为止。</w:t>
              <w:br/>
              <w:t xml:space="preserve"> （提供实验室人员明细表，以上人员提供由社保机构出具近三个月（2026年2月至2026年4月）中任意一个月供应商为其缴纳的社保缴费证明材料，并加盖社保中心公章或社保中心参保缴费证明电子专用章，且所有相关证明材料加盖供应商公章）</w:t>
            </w:r>
            <w:r/>
          </w:p>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供应商提供（服务本次中标项目）的专业技术人员具有中级及以上职称（环保等相关专业），提供1人得0.5分，最高4分。（以上人员提供证书及由社保机构出具近三个月（2026年2月至2026年4月）中任意一个月供应商为其缴纳的社保缴费证明材料，并加盖社保中心公章或社保中心参保缴费证明电子专用章，且所有相关证明材料加盖供应商公章）</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2.2 实验室及仪器设备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1.供应商实验室中的仪器设备，原值≥500万的，得3分；500万＞原值≥300万的，得2分；原值＜300万的，得1分。</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（提供仪器设备明细表、需检定/校准的设备要提供由第三方计量单位出具的仪器设备检定/校准证书、所有仪器设备的购置发票或租赁合同复印件加盖公章）</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2.供应商实验室面积≥2000㎡的，得3分；2000＞实验室面积≥1000㎡的，得2分，实验室面积＜1000㎡的，得1分。</w:t>
            </w:r>
            <w:r/>
          </w:p>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（提供房屋产权证书或房屋租赁合同复印件加盖公章）</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2.3 实验室环境类检测能力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实验室检测项目在满足本项目需求的基础上，方法检出限应满足国家标准检测方法检出限要求。检验能力项≥250项的，得4分；250项＞检验能力项≥150项的，得2分，能力项＜150项的，不得分（不计拆分项）。</w:t>
            </w:r>
            <w:r/>
          </w:p>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（需提供有效期内CMA检验检测机构资质认定证书中的附表复印件加盖公章，并标注检验能力项数量）</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2.4 质量控制体系文件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实验室建立完备的质量控制体系，供应商提供根据最新版《检验检测机构资质认定评审准则》的要求及时改版的《质量手册》与《程序文件》的，得2分。</w:t>
            </w:r>
            <w:r/>
          </w:p>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（提供《质量手册》与《程序文件》复印件加盖公章）</w:t>
            </w:r>
            <w:r/>
          </w:p>
        </w:tc>
      </w:tr>
      <w:tr>
        <w:trPr>
          <w:trHeight w:val="71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2.5 车辆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用于本项目服务的供应商自有或租赁车辆每拥有2辆的，得1分，每增加2辆加1分，最高得4分。</w:t>
            </w:r>
            <w:r/>
          </w:p>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（如自有车辆需提供购车发票或行驶证复印件，如租赁车辆需提供行驶证、租赁协议复印件，以上资料需加盖公章）</w:t>
            </w:r>
            <w:r/>
          </w:p>
        </w:tc>
      </w:tr>
      <w:tr>
        <w:trPr>
          <w:trHeight w:val="17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相关业绩（9分）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3.1 类似项目业绩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供应商提供2023年以来区级及以上生态环境部门政府采购环境监测项目业绩，有1个得3分，最高得9分。（须提供相应的合同和中标通知书复印件并加盖公章，业绩计算时间以合同为准）</w:t>
            </w:r>
            <w:r/>
          </w:p>
        </w:tc>
      </w:tr>
      <w:tr>
        <w:trPr>
          <w:trHeight w:val="17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信誉</w:t>
            </w:r>
            <w:r/>
          </w:p>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4.1 通报查处或能力认证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 供应商承诺自2025年以来未在江苏省和南京市相关主管部门对环境检测机构检测质量专项检查中被通报查处或责令整改的，得2分。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（提供承诺函原件加盖公章。如供应商所提供承诺与事实不符，采购人有权将其投标作无效投标处理）2. 供应商提供2023年以来年度实验室能力验证或比对，且全部通过的，得2分；有一次不通过的，得1分；有两次不通过的，得0.5分。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（需提供2023-2025年度能力验证或比对结果相关证明材料复印件加盖公章；未提供不得分）</w:t>
            </w:r>
            <w:r/>
          </w:p>
        </w:tc>
      </w:tr>
      <w:tr>
        <w:trPr>
          <w:trHeight w:val="17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应急响应（3分）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5.1 应急响应时效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应急响应在30分钟以内到达现场的得3分；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应急响应在60分钟以内到达现场的得2分；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应急响应在90分钟以内到达现场的得1分；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应急响应在90分钟以上到达现场的，不得分。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（提供承诺书原件及供应商至江宁生态环境局高德或百度导航用时截图复印件加盖公章，供应商对其真实性负责）</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vMerge w:val="restart"/>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1" w:type="dxa"/>
            <w:vAlign w:val="center"/>
            <w:vMerge w:val="restart"/>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服务方案（40分）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5.1 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针对突发环境事件应急监测及国家、省环保督察等专项任务的保障情况，编制应急保障方案。由评标委员会根据方案的完备性、可行性、结合江宁区的针对性等方面进行评价。</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1.方案非常完备可行、完全满足且优于采购需求的，得10分；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2.方案完备可行，优于采购需求的，得8分；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3.方案可行的，满足采购需求的，得6分；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4.方案基本可行的，得4分；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5.未提供不得分。</w:t>
            </w:r>
            <w:r/>
          </w:p>
        </w:tc>
      </w:tr>
      <w:tr>
        <w:trPr>
          <w:trHeight w:val="28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5.2 应急服务方案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针对突发环境事件应急监测及国家、省环保督察等专项任务的保障情况，编制应急保障方案。由评标委员会根据方案的完备性、可行性、结合江宁区的针对性等进行评价。</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1.方案非常完备可行、完全满足且优于采购需求的，得10分；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2.方案完备可行，优于采购需求的，得8分；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3.方案可行的，满足采购需求的，得6分；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4.方案基本可行的，得4分；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5.未提供不得分。</w:t>
            </w:r>
            <w:r/>
          </w:p>
        </w:tc>
      </w:tr>
      <w:tr>
        <w:trPr>
          <w:trHeight w:val="28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5.3 工作计划及流程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针对环境质量和污染源监测服务内容，编制工作计划及工作流程。由评标委员会根据计划和流程的完整性、可行性、合理性等方面，结合采购人的特点等进行评价。</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 进度计划及控制措施完整、可行、合理且有针对性的，得10分；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 进度计划及控制措施较完整、较可行、较合理且较有针对性的，得8分；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 进度计划及控制措施完整性、可行性、针对性一般的，得6分；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 进度计划及控制措施可行性较差、合理性较差、针对性较差的，得4分；</w:t>
            </w:r>
            <w:r/>
          </w:p>
          <w:p>
            <w:pPr>
              <w:ind w:left="0" w:right="0" w:firstLine="0"/>
              <w:jc w:val="both"/>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 未提供不得分。</w:t>
            </w:r>
            <w:r/>
          </w:p>
        </w:tc>
      </w:tr>
      <w:tr>
        <w:trPr>
          <w:trHeight w:val="457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5.4 监测数据分析服务方案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220"/>
              <w:spacing w:before="0" w:after="16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针对重点断面水质检测结果、重点河道溯源以及污染源监测情况，编制环境监测数据分析服务方案，由评标委员会根据方案的完整性、科学性、合理性等方面，结合江宁区的针对性等进行评价。</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 方案完整、科学、合理、全面、可行性强的得10分；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 方案较完整、科学、合理，但稍有缺陷的得8分；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 方案简略、基本满足采购需求且有逻辑性的得6分；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 方案有重大缺陷、阐述不足、描述不清、不能满足采购需求、存在逻辑错误、前后矛盾的，得4分；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 无相关内容，不得分。</w:t>
            </w:r>
            <w:r/>
          </w:p>
        </w:tc>
      </w:tr>
    </w:tbl>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有关评分要求的其他说明：</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1. 对国家认定的节能产品和环保产品分别给予投标价的5%、5%的价格扣除，用扣除后的价格参与评审（特别说明：节能、环保产品必须纳入“中国政府采购网 http://www.ccgp.gov.cn”等官方网站“节能、环保产品查询系统”，且以提供的证书复印件为准）。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2. 对小微企业生产的产品给予投标价的10%的价格扣除，用扣除后的价格参与评审。</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3. 大中型企业和其他自然人、法人或者其他组织与小型、微型企业组成联合体共同参加投标，如果联合协议中约定，小型、微型企业的协议合同金额占到联合体协议合同总金额30%以上的，给予联合体 3%的价格扣除。联合体各方均为中小型、微型企业的，联合体视同为小型、微型企业享受 10%的价格扣除，用扣除后的价格参与评审。</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小企业（含小型、微型企业）应当同时符合以下条件：</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（1）供应商为小企业，且符合中小企业划分标准；</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（2）提供本企业制造的货物、承担的工程或者服务，或者提供其他小企业制造的货物。如果提供的货物为大中型企业注册商标的货物，视同大中型企业。</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4. 所有认证、证明和业绩均以有效的证明文件的复印件为依据，原件备查。</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5. 若投标人提供虚假资料，一经查实作废标处理并向主管部门上报。</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6. 评审小组不保证有效报价最低的供应商中标。</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pStyle w:val="638"/>
        <w:ind w:left="0" w:right="2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u w:val="none"/>
        </w:rPr>
        <w:t xml:space="preserve">第四章</w:t>
      </w:r>
      <w:r>
        <w:rPr>
          <w:rFonts w:ascii="FangSong" w:hAnsi="FangSong" w:eastAsia="FangSong" w:cs="FangSong"/>
          <w:b/>
          <w:color w:val="000000"/>
          <w:sz w:val="36"/>
        </w:rPr>
        <w:t xml:space="preserve">  采购项目的需求</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一、采购要求</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1.项目名称： </w:t>
      </w:r>
      <w:r>
        <w:rPr>
          <w:rFonts w:ascii="FangSong" w:hAnsi="FangSong" w:eastAsia="FangSong" w:cs="FangSong"/>
          <w:color w:val="000000"/>
          <w:sz w:val="24"/>
        </w:rPr>
        <w:t xml:space="preserve">2026-2028年度江宁区环境质量及污染源监测服务项目</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2.服务期要求</w:t>
      </w:r>
      <w:r>
        <w:rPr>
          <w:rFonts w:ascii="FangSong" w:hAnsi="FangSong" w:eastAsia="FangSong" w:cs="FangSong"/>
          <w:color w:val="000000"/>
          <w:sz w:val="24"/>
        </w:rPr>
        <w:t xml:space="preserve">：二年，合同一年一签。</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3.服务内容及范围：</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包一：9个尾矿库监测任务</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9个尾矿库，废水监测：14个点位，地表水监测：12个点位，监测指标：pH、高锰酸盐指数、化学需氧量、氨氮、总磷、总氮、总铜、总锌、氟化物、总硒、总砷、总汞、总镉、总铅、氰化物、硫化物、铁、锰、钼、钴、锑、镍、钡、钒、银，地下水监测：42个点位，一年两次。土壤监测：pH、六价铬、镍、铜、砷、汞、铅、镉、铁、锰、铬、挥发性有机物，一年一次，26个点位。</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 另有约50家企业信访监测或执法监测，废水监测指标包括但不限于：pH、CODcr、SS、氨氮、总磷、总氮、悬浮物、石油类、动植物油、LAS、氟化物、五日生化需氧量、挥发酚、粪大肠菌群、总氰化物、总铜、色度及常规重金属；废气监测指标包括但不限于：非甲烷总烃、低浓度颗粒物、二氧化硫、氮氧化物、烟气黑度、苯系物、锡及其化合物、硫化氢、氨、臭气浓度、氟化物、氯化氢、硫酸雾等。</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 其他临时交办的应急监测任务等。</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包二：3个垃圾填埋场（轿子山、水阁、江南灰渣）3个总排口监测任务</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3个垃圾填埋场（轿子山、水阁、江南灰渣）3个总排口监测指标：色度、pH、化学需氧量、五日生化需氧量、悬浮物、总氮、氨氮、总磷、粪大肠菌群、总汞、总镉、总铬、六价铬、总砷、总铅，一年两次。</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 另有约50家企业信访监测或执法监测，废水监测指标包括但不限于：pH、CODcr、SS、氨氮、总磷、总氮、悬浮物、石油类、动植物油、LAS、氟化物、五日生化需氧量、挥发酚、粪大肠菌群、总氰化物、总铜、色度及常规重金属；废气监测指标包括但不限于：非甲烷总烃、低浓度颗粒物、二氧化硫、氮氧化物、烟气黑度、苯系物、锡及其化合物、硫化氢、氨、臭气浓度、氟化物、氯化氢、硫酸雾等。</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 其他临时交办的应急监测任务等。</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包三：光大环保、中联水泥废气监测任务</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rPr>
          <w:rFonts w:ascii="FangSong" w:hAnsi="FangSong" w:eastAsia="FangSong" w:cs="FangSong"/>
          <w:color w:val="000000"/>
          <w:spacing w:val="-6"/>
          <w:sz w:val="24"/>
        </w:rPr>
        <w:t xml:space="preserve"> </w:t>
      </w:r>
      <w:r>
        <w:rPr>
          <w:rFonts w:ascii="FangSong" w:hAnsi="FangSong" w:eastAsia="FangSong" w:cs="FangSong"/>
          <w:color w:val="000000"/>
          <w:sz w:val="24"/>
        </w:rPr>
        <w:t xml:space="preserve">光大环保7个有组织废气监测：二氧化碳、甲烷、颗粒物（1小时平均）、氮氧化物（1小时平均）、二氧化硫（1小时平均）、氯化氢（1小时平均）、汞及其化合物、镉、铊及其化合物、锑、砷、铅、铬、钴、铜、锰、镍及其化合物、二噁英类、一氧化碳（1小时平均）、炉渣热灼减率，每季度监测1次，全年7个排口全覆盖；中联水泥3＃窑炉窑尾协同处置废气处理设施废气监测：二氧化硫、氮氧化物、颗粒物、氨、氟化氢、氯化氢、汞及其化合物、铊、镉、铅、砷及其化合物、二噁英类，一年监测一次。</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rPr>
          <w:rFonts w:ascii="FangSong" w:hAnsi="FangSong" w:eastAsia="FangSong" w:cs="FangSong"/>
          <w:color w:val="000000"/>
          <w:spacing w:val="-6"/>
          <w:sz w:val="24"/>
        </w:rPr>
        <w:t xml:space="preserve"> </w:t>
      </w:r>
      <w:r>
        <w:rPr>
          <w:rFonts w:ascii="FangSong" w:hAnsi="FangSong" w:eastAsia="FangSong" w:cs="FangSong"/>
          <w:color w:val="000000"/>
          <w:sz w:val="24"/>
        </w:rPr>
        <w:t xml:space="preserve">另有约50家企业信访监测或执法监测，废水监测指标包括但不限于：pH、CODcr、SS、氨氮、总磷、总氮、悬浮物、石油类、动植物油、LAS、氟化物、五日生化需氧量、挥发酚、粪大肠菌群、总氰化物、总铜、色度及常规重金属；废气监测指标包括但不限于：非甲烷总烃、低浓度颗粒物、二氧化硫、氮氧化物、烟气黑度、苯系物、锡及其化合物、硫化氢、氨、臭气浓度、氟化物、氯化氢、硫酸雾等。</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rPr>
          <w:rFonts w:ascii="FangSong" w:hAnsi="FangSong" w:eastAsia="FangSong" w:cs="FangSong"/>
          <w:color w:val="000000"/>
          <w:spacing w:val="-6"/>
          <w:sz w:val="24"/>
        </w:rPr>
        <w:t xml:space="preserve"> </w:t>
      </w:r>
      <w:r>
        <w:rPr>
          <w:rFonts w:ascii="FangSong" w:hAnsi="FangSong" w:eastAsia="FangSong" w:cs="FangSong"/>
          <w:color w:val="000000"/>
          <w:sz w:val="24"/>
        </w:rPr>
        <w:t xml:space="preserve">其他临时交办的应急监测任务等。</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包四：水质提升河道、涉水环境问题河流（沟渠、涵洞）监测及应急处理设施监测</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rPr>
          <w:rFonts w:ascii="FangSong" w:hAnsi="FangSong" w:eastAsia="FangSong" w:cs="FangSong"/>
          <w:color w:val="000000"/>
          <w:spacing w:val="-6"/>
          <w:sz w:val="24"/>
        </w:rPr>
        <w:t xml:space="preserve"> </w:t>
      </w:r>
      <w:r>
        <w:rPr>
          <w:rFonts w:ascii="FangSong" w:hAnsi="FangSong" w:eastAsia="FangSong" w:cs="FangSong"/>
          <w:color w:val="000000"/>
          <w:sz w:val="24"/>
        </w:rPr>
        <w:t xml:space="preserve">水质提升河道监测：共121条河道，其中约192个点位，每月监测1次；约40个点位，每半年监测1次。监测项目：pH、溶解氧、高锰酸盐、氨氮、总磷等因子（具体按上级文件要求）。</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rPr>
          <w:rFonts w:ascii="FangSong" w:hAnsi="FangSong" w:eastAsia="FangSong" w:cs="FangSong"/>
          <w:color w:val="000000"/>
          <w:spacing w:val="-6"/>
          <w:sz w:val="24"/>
        </w:rPr>
        <w:t xml:space="preserve"> </w:t>
      </w:r>
      <w:r>
        <w:rPr>
          <w:rFonts w:ascii="FangSong" w:hAnsi="FangSong" w:eastAsia="FangSong" w:cs="FangSong"/>
          <w:color w:val="000000"/>
          <w:sz w:val="24"/>
        </w:rPr>
        <w:t xml:space="preserve">涉水环境问题河流（沟渠、涵洞）监测：鞭鞍河、玉带圩、金村沟三条河道，共10个点位，每月监测2次。监测项目：pH、溶解氧、氨氮、总磷、化学需氧量、高锰酸盐、氧化还原电位等因子（具体按上级文件要求）。</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rPr>
          <w:rFonts w:ascii="FangSong" w:hAnsi="FangSong" w:eastAsia="FangSong" w:cs="FangSong"/>
          <w:color w:val="000000"/>
          <w:spacing w:val="-6"/>
          <w:sz w:val="24"/>
        </w:rPr>
        <w:t xml:space="preserve"> </w:t>
      </w:r>
      <w:r>
        <w:rPr>
          <w:rFonts w:ascii="FangSong" w:hAnsi="FangSong" w:eastAsia="FangSong" w:cs="FangSong"/>
          <w:color w:val="000000"/>
          <w:sz w:val="24"/>
        </w:rPr>
        <w:t xml:space="preserve">应急处理设施监测：约28个点位（会根据设备使用情况增减），每月监测2次。监测项目：pH、化学需氧量、氨氮、总磷、总氮等因子（具体按上级文件要求）。</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rPr>
          <w:rFonts w:ascii="FangSong" w:hAnsi="FangSong" w:eastAsia="FangSong" w:cs="FangSong"/>
          <w:color w:val="000000"/>
          <w:spacing w:val="-6"/>
          <w:sz w:val="24"/>
        </w:rPr>
        <w:t xml:space="preserve"> </w:t>
      </w:r>
      <w:r>
        <w:rPr>
          <w:rFonts w:ascii="FangSong" w:hAnsi="FangSong" w:eastAsia="FangSong" w:cs="FangSong"/>
          <w:color w:val="000000"/>
          <w:sz w:val="24"/>
        </w:rPr>
        <w:t xml:space="preserve">临时交办监测任务：一年约350个监测频次，监测项目具体按上级文件要求。</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rPr>
          <w:rFonts w:ascii="FangSong" w:hAnsi="FangSong" w:eastAsia="FangSong" w:cs="FangSong"/>
          <w:color w:val="000000"/>
          <w:spacing w:val="-6"/>
          <w:sz w:val="24"/>
        </w:rPr>
        <w:t xml:space="preserve"> </w:t>
      </w:r>
      <w:r>
        <w:rPr>
          <w:rFonts w:ascii="FangSong" w:hAnsi="FangSong" w:eastAsia="FangSong" w:cs="FangSong"/>
          <w:color w:val="000000"/>
          <w:sz w:val="24"/>
        </w:rPr>
        <w:t xml:space="preserve">重点河道溯源及其他临时交办监测任务等。</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包五：省考断面跟踪监测、城市建成区水体、泵站排口及水库监测 </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rPr>
          <w:rFonts w:ascii="FangSong" w:hAnsi="FangSong" w:eastAsia="FangSong" w:cs="FangSong"/>
          <w:color w:val="000000"/>
          <w:spacing w:val="-6"/>
          <w:sz w:val="24"/>
        </w:rPr>
        <w:t xml:space="preserve"> </w:t>
      </w:r>
      <w:r>
        <w:rPr>
          <w:rFonts w:ascii="FangSong" w:hAnsi="FangSong" w:eastAsia="FangSong" w:cs="FangSong"/>
          <w:color w:val="000000"/>
          <w:sz w:val="24"/>
        </w:rPr>
        <w:t xml:space="preserve">省考断面跟踪监测：约13个点位，每月28日至下月15日连续监测。监测项目：pH、溶解氧、高锰酸盐指数、氨氮及其他近年来出现过超标的指标（具体按上级文件要求）。</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rPr>
          <w:rFonts w:ascii="FangSong" w:hAnsi="FangSong" w:eastAsia="FangSong" w:cs="FangSong"/>
          <w:color w:val="000000"/>
          <w:spacing w:val="-6"/>
          <w:sz w:val="24"/>
        </w:rPr>
        <w:t xml:space="preserve"> </w:t>
      </w:r>
      <w:r>
        <w:rPr>
          <w:rFonts w:ascii="FangSong" w:hAnsi="FangSong" w:eastAsia="FangSong" w:cs="FangSong"/>
          <w:color w:val="000000"/>
          <w:sz w:val="24"/>
        </w:rPr>
        <w:t xml:space="preserve">城市建成区水体消劣提质监测：11条河，不少于11个点位，每季度监测1次。监测项目：氨氮、总磷、化学需氧量、溶解氧、水深、透明度（具体按上级文件要求）。</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rPr>
          <w:rFonts w:ascii="FangSong" w:hAnsi="FangSong" w:eastAsia="FangSong" w:cs="FangSong"/>
          <w:color w:val="000000"/>
          <w:spacing w:val="-6"/>
          <w:sz w:val="24"/>
        </w:rPr>
        <w:t xml:space="preserve"> </w:t>
      </w:r>
      <w:r>
        <w:rPr>
          <w:rFonts w:ascii="FangSong" w:hAnsi="FangSong" w:eastAsia="FangSong" w:cs="FangSong"/>
          <w:color w:val="000000"/>
          <w:sz w:val="24"/>
        </w:rPr>
        <w:t xml:space="preserve">泵站及排口监测：约10个点位，每月监测1次。监测项目：pH、溶解氧、高锰酸盐、化学需氧量、氨氮等因子（具体按上级文件要求）。</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rPr>
          <w:rFonts w:ascii="FangSong" w:hAnsi="FangSong" w:eastAsia="FangSong" w:cs="FangSong"/>
          <w:color w:val="000000"/>
          <w:spacing w:val="-6"/>
          <w:sz w:val="24"/>
        </w:rPr>
        <w:t xml:space="preserve"> </w:t>
      </w:r>
      <w:r>
        <w:rPr>
          <w:rFonts w:ascii="FangSong" w:hAnsi="FangSong" w:eastAsia="FangSong" w:cs="FangSong"/>
          <w:color w:val="000000"/>
          <w:sz w:val="24"/>
        </w:rPr>
        <w:t xml:space="preserve">水库水质监测：约72座水库，一年监测一次。监测项目：pH、溶解氧、高锰酸盐、氨氮、总磷等因子（具体按上级文件要求）。</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rPr>
          <w:rFonts w:ascii="FangSong" w:hAnsi="FangSong" w:eastAsia="FangSong" w:cs="FangSong"/>
          <w:color w:val="000000"/>
          <w:spacing w:val="-6"/>
          <w:sz w:val="24"/>
        </w:rPr>
        <w:t xml:space="preserve"> </w:t>
      </w:r>
      <w:r>
        <w:rPr>
          <w:rFonts w:ascii="FangSong" w:hAnsi="FangSong" w:eastAsia="FangSong" w:cs="FangSong"/>
          <w:color w:val="000000"/>
          <w:sz w:val="24"/>
        </w:rPr>
        <w:t xml:space="preserve">临时交办监测任务：一年约450个监测频次，监测项目具体按上级文件要求。</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rPr>
          <w:rFonts w:ascii="FangSong" w:hAnsi="FangSong" w:eastAsia="FangSong" w:cs="FangSong"/>
          <w:color w:val="000000"/>
          <w:spacing w:val="-6"/>
          <w:sz w:val="24"/>
        </w:rPr>
        <w:t xml:space="preserve"> </w:t>
      </w:r>
      <w:r>
        <w:rPr>
          <w:rFonts w:ascii="FangSong" w:hAnsi="FangSong" w:eastAsia="FangSong" w:cs="FangSong"/>
          <w:color w:val="000000"/>
          <w:sz w:val="24"/>
        </w:rPr>
        <w:t xml:space="preserve">重点河道溯源及其他临时交办监测任务等。</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包六：重点断面水环境质量监测及泵站水质监测</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rPr>
          <w:rFonts w:ascii="FangSong" w:hAnsi="FangSong" w:eastAsia="FangSong" w:cs="FangSong"/>
          <w:color w:val="000000"/>
          <w:spacing w:val="-6"/>
          <w:sz w:val="24"/>
        </w:rPr>
        <w:t xml:space="preserve"> </w:t>
      </w:r>
      <w:r>
        <w:rPr>
          <w:rFonts w:ascii="FangSong" w:hAnsi="FangSong" w:eastAsia="FangSong" w:cs="FangSong"/>
          <w:color w:val="000000"/>
          <w:sz w:val="24"/>
        </w:rPr>
        <w:t xml:space="preserve">重点断面水质监测：约59个点位（含国省市区考核断面、交界断面等），每月监测2次，1次为24项全项监测；另1次监测项目为pH、水温、溶解氧、高锰酸盐、氨氮、总磷等因子（具体按上级文件要求）。</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rPr>
          <w:rFonts w:ascii="FangSong" w:hAnsi="FangSong" w:eastAsia="FangSong" w:cs="FangSong"/>
          <w:color w:val="000000"/>
          <w:spacing w:val="-6"/>
          <w:sz w:val="24"/>
        </w:rPr>
        <w:t xml:space="preserve"> </w:t>
      </w:r>
      <w:r>
        <w:rPr>
          <w:rFonts w:ascii="FangSong" w:hAnsi="FangSong" w:eastAsia="FangSong" w:cs="FangSong"/>
          <w:color w:val="000000"/>
          <w:sz w:val="24"/>
        </w:rPr>
        <w:t xml:space="preserve">重点泵站水质监测：约49个点位，其中43个点位每月监测1次，剩余6个点位每半年监测1次。监测项目：pH、溶解氧、高锰酸盐、化学需氧量、氨氮等（具体按上级文件要求）。</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rPr>
          <w:rFonts w:ascii="FangSong" w:hAnsi="FangSong" w:eastAsia="FangSong" w:cs="FangSong"/>
          <w:color w:val="000000"/>
          <w:spacing w:val="-6"/>
          <w:sz w:val="24"/>
        </w:rPr>
        <w:t xml:space="preserve"> </w:t>
      </w:r>
      <w:r>
        <w:rPr>
          <w:rFonts w:ascii="FangSong" w:hAnsi="FangSong" w:eastAsia="FangSong" w:cs="FangSong"/>
          <w:color w:val="000000"/>
          <w:sz w:val="24"/>
        </w:rPr>
        <w:t xml:space="preserve">排涝泵站监测：约20个泵站，每月监测2次。监测项目：pH、溶解氧、高锰酸盐、化学需氧量、氨氮等（具体按上级文件要求）。</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rPr>
          <w:rFonts w:ascii="FangSong" w:hAnsi="FangSong" w:eastAsia="FangSong" w:cs="FangSong"/>
          <w:color w:val="000000"/>
          <w:spacing w:val="-6"/>
          <w:sz w:val="24"/>
        </w:rPr>
        <w:t xml:space="preserve"> </w:t>
      </w:r>
      <w:r>
        <w:rPr>
          <w:rFonts w:ascii="FangSong" w:hAnsi="FangSong" w:eastAsia="FangSong" w:cs="FangSong"/>
          <w:color w:val="000000"/>
          <w:sz w:val="24"/>
        </w:rPr>
        <w:t xml:space="preserve">重点河道溯源及其他临时交办的监测任务。</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二、服务要求</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1. 每季度第一个月10日前（节假日前顺延），江宁生态环境局将例行检测任务单下达给相应中标供应商。江宁生态环境局综合考虑供应商服务质量、响应程度、完成任务的便捷性等因素，下达临时性检测任务。</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 遇有复杂检测任务，中标供应商需在接到检测工作任务后5个工作日内提交检测工作方案；方案审查合格后，10个工作日内完成检测任务。</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 中标供应商一般应在每月10日前（节假日顺延）提交上月例行任务正式检测报告（报表）；临时检测任务一般应在入场检测后5个工作日内提交正式检测报告（报表），复杂检测任务应在入场检测后10个工作日内提交正式检测报告（报表）。若江宁生态环境局对时限有特殊要求，则以江宁生态环境局要求为准。</w:t>
      </w:r>
      <w:r/>
    </w:p>
    <w:p>
      <w:pPr>
        <w:ind w:left="0" w:right="0" w:firstLine="0"/>
        <w:spacing w:before="0" w:after="16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三、付款条件</w:t>
      </w:r>
      <w:r/>
    </w:p>
    <w:p>
      <w:pPr>
        <w:ind w:left="0" w:right="0" w:firstLine="240"/>
        <w:spacing w:before="0" w:after="16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订合同三个月内支付合同款项的50%，项目结束后根据考核和绩效评估情况支付剩余尾款。每个中标单位的实际工作量不得少于每个标的总额，以相应检测项目任务单及费用核算单为支撑台账，费用计算公式为：（采样费+样品前处理费+样品分析费+报告编制费）×投标折扣率</w:t>
      </w:r>
      <w:r>
        <w:rPr>
          <w:rFonts w:ascii="FangSong" w:hAnsi="FangSong" w:eastAsia="FangSong" w:cs="FangSong"/>
          <w:b/>
          <w:color w:val="000000"/>
          <w:sz w:val="24"/>
        </w:rPr>
        <w:t xml:space="preserve">。</w:t>
      </w:r>
      <w:r/>
    </w:p>
    <w:p>
      <w:pPr>
        <w:ind w:left="0" w:right="0" w:firstLine="480"/>
        <w:spacing w:before="0" w:after="16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注：本项目年度支出总额受预算控制，本项目每年支出合计不得突破年度预算，采购人做好项目费用使用情况统计，中标单位需完成约定工作事项。</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表1：检测项目费用核算单</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2"/>
        <w:gridCol w:w="1317"/>
        <w:gridCol w:w="499"/>
        <w:gridCol w:w="1249"/>
        <w:gridCol w:w="924"/>
        <w:gridCol w:w="1501"/>
        <w:gridCol w:w="740"/>
        <w:gridCol w:w="1875"/>
      </w:tblGrid>
      <w:tr>
        <w:trPr>
          <w:trHeight w:val="51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0"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检测项目号</w:t>
            </w:r>
            <w:r/>
          </w:p>
        </w:tc>
        <w:tc>
          <w:tcPr>
            <w:gridSpan w:val="6"/>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8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54"/>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4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工作内容</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检测类别</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检测项目</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6"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检测频次</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废水</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6"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废气</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6"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噪声</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6"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其他</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6"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54"/>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4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检测费用</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采样费</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前处理费</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分析费</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报告编制费</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合计费用</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1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4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双方确认</w:t>
            </w:r>
            <w:r/>
          </w:p>
        </w:tc>
      </w:tr>
      <w:tr>
        <w:trPr>
          <w:trHeight w:val="285"/>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4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01"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85"/>
        </w:trPr>
        <w:tc>
          <w:tcPr>
            <w:gridSpan w:val="2"/>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2360"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甲方责任人：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4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25"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乙方责任人：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85"/>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4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01"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85"/>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17" w:type="dxa"/>
            <w:vAlign w:val="center"/>
            <w:textDirection w:val="lrTb"/>
            <w:noWrap w:val="false"/>
          </w:tcPr>
          <w:p>
            <w:pPr>
              <w:ind w:left="0" w:right="0" w:firstLine="0"/>
              <w:jc w:val="right"/>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4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01"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2"/>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15"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85"/>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2"/>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盖   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01"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gridSpan w:val="2"/>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15"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盖   章</w:t>
            </w:r>
            <w:r/>
          </w:p>
        </w:tc>
      </w:tr>
      <w:tr>
        <w:trPr>
          <w:trHeight w:val="8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501"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99"/>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4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本确认单一式两份，双方各持一份，以便核对</w:t>
            </w:r>
            <w:r/>
          </w:p>
        </w:tc>
      </w:tr>
    </w:tbl>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表2：检测工作量确认单</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8"/>
        <w:gridCol w:w="1153"/>
        <w:gridCol w:w="2123"/>
        <w:gridCol w:w="1307"/>
        <w:gridCol w:w="425"/>
        <w:gridCol w:w="720"/>
        <w:gridCol w:w="2102"/>
      </w:tblGrid>
      <w:tr>
        <w:trPr>
          <w:trHeight w:val="33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30"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3" w:type="dxa"/>
            <w:vAlign w:val="center"/>
            <w:textDirection w:val="lrTb"/>
            <w:noWrap w:val="false"/>
          </w:tcPr>
          <w:p>
            <w:pPr>
              <w:spacing w:before="0" w:after="0" w:line="57" w:lineRule="atLeast"/>
            </w:pP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责任人：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2" w:type="dxa"/>
            <w:vAlign w:val="center"/>
            <w:textDirection w:val="lrTb"/>
            <w:noWrap w:val="false"/>
          </w:tcPr>
          <w:p>
            <w:pPr>
              <w:spacing w:before="0" w:after="0" w:line="57" w:lineRule="atLeast"/>
            </w:pPr>
            <w:r/>
          </w:p>
        </w:tc>
      </w:tr>
      <w:tr>
        <w:trPr>
          <w:trHeight w:val="33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0"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3" w:type="dxa"/>
            <w:vAlign w:val="center"/>
            <w:textDirection w:val="lrTb"/>
            <w:noWrap w:val="false"/>
          </w:tcPr>
          <w:p>
            <w:pPr>
              <w:spacing w:before="0" w:after="0" w:line="57" w:lineRule="atLeast"/>
            </w:pP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责任人：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2" w:type="dxa"/>
            <w:vAlign w:val="center"/>
            <w:textDirection w:val="lrTb"/>
            <w:noWrap w:val="false"/>
          </w:tcPr>
          <w:p>
            <w:pPr>
              <w:spacing w:before="0" w:after="0" w:line="57" w:lineRule="atLeast"/>
            </w:pPr>
            <w:r/>
          </w:p>
        </w:tc>
      </w:tr>
      <w:tr>
        <w:trPr>
          <w:trHeight w:val="570"/>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工作内容明细</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检测项目号</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检测费用</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2" w:type="dxa"/>
            <w:vAlign w:val="center"/>
            <w:textDirection w:val="lrTb"/>
            <w:noWrap w:val="false"/>
          </w:tcPr>
          <w:p>
            <w:pPr>
              <w:spacing w:before="0" w:after="0" w:line="57" w:lineRule="atLeast"/>
            </w:pP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2" w:type="dxa"/>
            <w:vAlign w:val="center"/>
            <w:textDirection w:val="lrTb"/>
            <w:noWrap w:val="false"/>
          </w:tcPr>
          <w:p>
            <w:pPr>
              <w:spacing w:before="0" w:after="0" w:line="57" w:lineRule="atLeast"/>
            </w:pP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2" w:type="dxa"/>
            <w:vAlign w:val="center"/>
            <w:textDirection w:val="lrTb"/>
            <w:noWrap w:val="false"/>
          </w:tcPr>
          <w:p>
            <w:pPr>
              <w:spacing w:before="0" w:after="0" w:line="57" w:lineRule="atLeast"/>
            </w:pP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2" w:type="dxa"/>
            <w:vAlign w:val="center"/>
            <w:textDirection w:val="lrTb"/>
            <w:noWrap w:val="false"/>
          </w:tcPr>
          <w:p>
            <w:pPr>
              <w:spacing w:before="0" w:after="0" w:line="57" w:lineRule="atLeast"/>
            </w:pP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2" w:type="dxa"/>
            <w:vAlign w:val="center"/>
            <w:textDirection w:val="lrTb"/>
            <w:noWrap w:val="false"/>
          </w:tcPr>
          <w:p>
            <w:pPr>
              <w:spacing w:before="0" w:after="0" w:line="57" w:lineRule="atLeast"/>
            </w:pP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2" w:type="dxa"/>
            <w:vAlign w:val="center"/>
            <w:textDirection w:val="lrTb"/>
            <w:noWrap w:val="false"/>
          </w:tcPr>
          <w:p>
            <w:pPr>
              <w:spacing w:before="0" w:after="0" w:line="57" w:lineRule="atLeast"/>
            </w:pP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2" w:type="dxa"/>
            <w:vAlign w:val="center"/>
            <w:textDirection w:val="lrTb"/>
            <w:noWrap w:val="false"/>
          </w:tcPr>
          <w:p>
            <w:pPr>
              <w:spacing w:before="0" w:after="0" w:line="57" w:lineRule="atLeast"/>
            </w:pP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2" w:type="dxa"/>
            <w:vAlign w:val="center"/>
            <w:textDirection w:val="lrTb"/>
            <w:noWrap w:val="false"/>
          </w:tcPr>
          <w:p>
            <w:pPr>
              <w:spacing w:before="0" w:after="0" w:line="57" w:lineRule="atLeast"/>
            </w:pP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8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7" w:type="dxa"/>
            <w:vAlign w:val="center"/>
            <w:textDirection w:val="lrTb"/>
            <w:noWrap w:val="false"/>
          </w:tcPr>
          <w:p>
            <w:pPr>
              <w:spacing w:before="0" w:after="0" w:line="57" w:lineRule="atLeast"/>
            </w:pPr>
            <w:r/>
          </w:p>
        </w:tc>
      </w:tr>
      <w:tr>
        <w:trPr>
          <w:trHeight w:val="570"/>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双方确认</w:t>
            </w:r>
            <w:r/>
          </w:p>
        </w:tc>
      </w:tr>
      <w:tr>
        <w:trPr>
          <w:trHeight w:val="33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0"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发票是否开具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3"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□否</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2"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款项是否结算</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2"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□否</w:t>
            </w:r>
            <w:r/>
          </w:p>
        </w:tc>
      </w:tr>
      <w:tr>
        <w:trPr>
          <w:trHeight w:val="2038"/>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3"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甲方责任人：</w:t>
            </w:r>
            <w:r/>
          </w:p>
          <w:p>
            <w:pPr>
              <w:ind w:left="0" w:right="42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盖    章</w:t>
            </w:r>
            <w:r/>
          </w:p>
          <w:p>
            <w:pPr>
              <w:ind w:left="0" w:right="0" w:firstLine="0"/>
              <w:jc w:val="right"/>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    期：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54"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乙方责任人：</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42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盖    章</w:t>
            </w:r>
            <w:r/>
          </w:p>
          <w:p>
            <w:pPr>
              <w:ind w:left="0" w:right="420" w:firstLine="276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    期：</w:t>
            </w:r>
            <w:r/>
          </w:p>
        </w:tc>
      </w:tr>
      <w:tr>
        <w:trPr>
          <w:trHeight w:val="692"/>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本确认单一式两份，双方各持一份，以便核对</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78"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53"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23"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7"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25"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20"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02" w:type="dxa"/>
            <w:vAlign w:val="center"/>
            <w:textDirection w:val="lrTb"/>
            <w:noWrap w:val="false"/>
          </w:tcPr>
          <w:p>
            <w:pPr>
              <w:spacing w:before="0" w:after="0" w:line="57" w:lineRule="atLeast"/>
            </w:pPr>
            <w:r/>
          </w:p>
        </w:tc>
      </w:tr>
    </w:tbl>
    <w:p>
      <w:pPr>
        <w:ind w:left="0" w:right="0" w:firstLine="482"/>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四、辅材等要求</w:t>
      </w:r>
      <w:r/>
    </w:p>
    <w:p>
      <w:pPr>
        <w:ind w:left="0" w:right="0" w:firstLine="480"/>
        <w:spacing w:before="0" w:after="16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符合国家及相关行业标准和规范要求。</w:t>
      </w:r>
      <w:r/>
    </w:p>
    <w:p>
      <w:pPr>
        <w:ind w:left="0" w:right="0" w:firstLine="0"/>
        <w:spacing w:before="0" w:after="16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五、其他</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能认真遵守相关质量管理要求，能无条件接受采购人的管理及质量检查。出现质量问题时，采购人有权拒绝承担相关费用。</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 检测时，遇有异常数据，应能及时上报采购人。未及时上报的，扣除当次检测费用。</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 必须无条件参加省级以上市场监督管理部门、环境保护主管部门组织的环境类分析项目能力验证和采购人组织的实验室能力验证。每项次不满意结果，按考核办法扣除相应费用。</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 在各类质量检查中，出现严重影响数据可靠性情况的，采购人有权暂停其服务资格。待整改合格并经采购人认可后，方可继续提供服务。</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 中标供应商有下列行为之一的，将被暂停服务资格：（一）无正当理由拒绝承担检测工作超过3次；（二）未在规定期限内提交检测报告（数据）超过3次；（三）检测报告内容结论失实，或者一年内质量被评定为2次（含）以上不合格；（四）违规收取被检测单位费用。</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 签订合同时，甲方会设置考核条款，需按照甲方考核标准执行。</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中标供应商的监测数据只向江宁生态环境局提供，不得自行提供给其他单位。对提供不实或内容虚假的监测结果以及自行对外提供监测报告的，除让中标供应商自行承担法律责任外，江宁生态环境局可采取必要措施终止委托监测；情节严重的，依法提请有关部门追究中标供应商和相关责任人的行政及法律责任。</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六、考核标准</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880"/>
        <w:jc w:val="center"/>
        <w:spacing w:before="0" w:after="16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南京市江宁生态环境局环境监测第三方检测机构考核表</w:t>
      </w:r>
      <w:r/>
    </w:p>
    <w:p>
      <w:pPr>
        <w:ind w:left="0" w:right="0" w:firstLine="880"/>
        <w:jc w:val="center"/>
        <w:spacing w:before="0" w:after="16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0"/>
        <w:gridCol w:w="549"/>
        <w:gridCol w:w="1041"/>
        <w:gridCol w:w="3221"/>
        <w:gridCol w:w="1253"/>
        <w:gridCol w:w="929"/>
        <w:gridCol w:w="1514"/>
      </w:tblGrid>
      <w:tr>
        <w:trPr>
          <w:trHeight w:val="45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检验检测机构名称</w:t>
            </w:r>
            <w:r/>
          </w:p>
        </w:tc>
        <w:tc>
          <w:tcPr>
            <w:gridSpan w:val="5"/>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57" w:type="dxa"/>
            <w:vAlign w:val="center"/>
            <w:textDirection w:val="lrTb"/>
            <w:noWrap w:val="false"/>
          </w:tcPr>
          <w:p>
            <w:pPr>
              <w:spacing w:before="0" w:after="0" w:line="57" w:lineRule="atLeast"/>
            </w:pPr>
            <w:r/>
          </w:p>
        </w:tc>
      </w:tr>
      <w:tr>
        <w:trPr>
          <w:trHeight w:val="45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联系人姓名、职务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2"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电话、手机号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2" w:type="dxa"/>
            <w:vAlign w:val="center"/>
            <w:textDirection w:val="lrTb"/>
            <w:noWrap w:val="false"/>
          </w:tcPr>
          <w:p>
            <w:pPr>
              <w:spacing w:before="0" w:after="0" w:line="57" w:lineRule="atLeast"/>
            </w:pPr>
            <w:r/>
          </w:p>
        </w:tc>
      </w:tr>
      <w:tr>
        <w:trPr>
          <w:trHeight w:val="5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资质认定（计量认证）证书编号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2" w:type="dxa"/>
            <w:vAlign w:val="bottom"/>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证书有效期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2"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年   月   日至   年   月   日</w:t>
            </w:r>
            <w:r/>
          </w:p>
        </w:tc>
      </w:tr>
      <w:tr>
        <w:trPr>
          <w:trHeight w:val="45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检查组人员名单</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2" w:type="dxa"/>
            <w:vAlign w:val="bottom"/>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检查时间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2" w:type="dxa"/>
            <w:vAlign w:val="center"/>
            <w:textDirection w:val="lrTb"/>
            <w:noWrap w:val="false"/>
          </w:tcPr>
          <w:p>
            <w:pPr>
              <w:spacing w:before="0" w:after="0" w:line="57" w:lineRule="atLeast"/>
            </w:pP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考核分类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考核项目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1"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考核要点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扣款标准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考核结果描述</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（符合/不符合）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扣款数额（元）</w:t>
            </w:r>
            <w:r/>
          </w:p>
        </w:tc>
      </w:tr>
      <w:tr>
        <w:trPr>
          <w:trHeight w:val="12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vMerge w:val="restart"/>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一、监测报告质量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p>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报告时效性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1"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三天出数据、五天出报告，特殊情况即出即报。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1000-2000元/份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spacing w:before="0" w:after="0" w:line="57" w:lineRule="atLeast"/>
            </w:pPr>
            <w:r/>
          </w:p>
        </w:tc>
      </w:tr>
      <w:tr>
        <w:trPr>
          <w:trHeight w:val="4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vMerge w:val="restart"/>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报告质量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1"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报告中是否出现单位名称、地址等错误。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2000元/份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spacing w:before="0" w:after="0" w:line="57" w:lineRule="atLeast"/>
            </w:pPr>
            <w:r/>
          </w:p>
        </w:tc>
      </w:tr>
      <w:tr>
        <w:trPr>
          <w:trHeight w:val="4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1"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报告信息是否有缺漏，如：报告中点位图是否完整、正确。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1000元/份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spacing w:before="0" w:after="0" w:line="57" w:lineRule="atLeast"/>
            </w:pP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1" w:type="dxa"/>
            <w:vAlign w:val="center"/>
            <w:textDirection w:val="lrTb"/>
            <w:noWrap w:val="false"/>
          </w:tcPr>
          <w:p>
            <w:pPr>
              <w:ind w:left="0" w:right="0" w:firstLine="0"/>
              <w:spacing w:before="0" w:after="1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报告评价标准是否与排污许可证等相关文件一致。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spacing w:before="0" w:after="1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1000元/份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spacing w:before="0" w:after="0" w:line="57" w:lineRule="atLeast"/>
            </w:pPr>
            <w:r/>
          </w:p>
        </w:tc>
      </w:tr>
      <w:tr>
        <w:trPr>
          <w:trHeight w:val="4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1"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是否能及时完整地提供相关原始记录（监测记录及现场视频、照片等）。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1000元/份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spacing w:before="0" w:after="0" w:line="57" w:lineRule="atLeast"/>
            </w:pP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vMerge w:val="restart"/>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二、质控样品考核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盲样考核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1"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是否在规定时间内提交盲样结果报告及原始记录，且盲样结果合格。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1000-2000元/个指标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spacing w:before="0" w:after="0" w:line="57" w:lineRule="atLeast"/>
            </w:pPr>
            <w:r/>
          </w:p>
        </w:tc>
      </w:tr>
      <w:tr>
        <w:trPr>
          <w:trHeight w:val="45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实验室间比对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1"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不少于3家实验室开展同步比对，偏差大于20%的视为不符合要求。（根据实际需要随时开展）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2000元/次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spacing w:before="0" w:after="0" w:line="57" w:lineRule="atLeast"/>
            </w:pP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vMerge w:val="restart"/>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三、现场检查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分析实验室飞行检查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1"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实验室设施、环境等是否能满足分析基本要求。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2000元/次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spacing w:before="0" w:after="0" w:line="57" w:lineRule="atLeast"/>
            </w:pPr>
            <w:r/>
          </w:p>
        </w:tc>
      </w:tr>
      <w:tr>
        <w:trPr>
          <w:trHeight w:val="79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vMerge w:val="restart"/>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现场监测飞行检查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1"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现场采样准备工作是否完备，现场采样是否制定合理的监测方案，是否配备了项目负责人。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2000</w:t>
            </w: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70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1"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现场采样操作步骤是否符合采样规范，是否配备足够的安全防护用品。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2000</w:t>
            </w: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spacing w:before="0" w:after="0" w:line="57" w:lineRule="atLeast"/>
            </w:pPr>
            <w:r/>
          </w:p>
        </w:tc>
      </w:tr>
      <w:tr>
        <w:trPr>
          <w:trHeight w:val="68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1"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现场采样时效性是否满足合同要求，是否能在规定时间内到达采样现场。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2000</w:t>
            </w:r>
            <w:r>
              <w:rPr>
                <w:rFonts w:ascii="SimSun" w:hAnsi="SimSun" w:eastAsia="SimSun" w:cs="SimSun"/>
                <w:color w:val="000000"/>
                <w:sz w:val="18"/>
              </w:rPr>
              <w:t xml:space="preserve">元</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spacing w:before="0" w:after="0" w:line="57" w:lineRule="atLeast"/>
            </w:pPr>
            <w:r/>
          </w:p>
        </w:tc>
      </w:tr>
      <w:tr>
        <w:trPr>
          <w:trHeight w:val="9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四、分包方服务质量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服务质量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1"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分包方相关对接人员应快速响应生态环境管理部门的各项监测及数据汇总统计任务，积极配合各类监测相关工作。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3"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2000元/次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spacing w:before="0" w:after="0" w:line="57" w:lineRule="atLeast"/>
            </w:pPr>
            <w:r/>
          </w:p>
        </w:tc>
      </w:tr>
      <w:tr>
        <w:trPr>
          <w:trHeight w:val="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合计扣款（元）</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tc>
      </w:tr>
      <w:tr>
        <w:trPr>
          <w:trHeight w:val="541"/>
        </w:trPr>
        <w:tc>
          <w:tcPr>
            <w:gridSpan w:val="7"/>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16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注：实验室间比对判定标准：参考《江苏省日常环境监测质量控制样采集、分析控制要求》中附表</w:t>
            </w:r>
            <w:r>
              <w:rPr>
                <w:rFonts w:ascii="Times New Roman" w:hAnsi="Times New Roman" w:eastAsia="Times New Roman" w:cs="Times New Roman"/>
                <w:color w:val="000000"/>
                <w:sz w:val="20"/>
              </w:rPr>
              <w:t xml:space="preserve"> 1 </w:t>
            </w:r>
            <w:r>
              <w:rPr>
                <w:rFonts w:ascii="FangSong" w:hAnsi="FangSong" w:eastAsia="FangSong" w:cs="FangSong"/>
                <w:color w:val="000000"/>
                <w:sz w:val="20"/>
              </w:rPr>
              <w:t xml:space="preserve">《水质监测实验室质量控制指标》</w:t>
            </w:r>
            <w:r/>
          </w:p>
        </w:tc>
      </w:tr>
    </w:tbl>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241"/>
        <w:spacing w:before="0" w:after="16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pStyle w:val="638"/>
        <w:ind w:left="0" w:right="2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pStyle w:val="638"/>
        <w:ind w:left="0" w:right="2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pStyle w:val="638"/>
        <w:ind w:left="0" w:right="2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pStyle w:val="638"/>
        <w:ind w:left="0" w:right="2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pStyle w:val="638"/>
        <w:ind w:left="0" w:right="2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第五章 合同格式</w:t>
      </w:r>
      <w:r/>
    </w:p>
    <w:p>
      <w:pPr>
        <w:ind w:left="0" w:right="0" w:firstLine="0"/>
        <w:jc w:val="center"/>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南京市政府采购合同</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1918"/>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合同编号 ：</w:t>
      </w:r>
      <w:r>
        <w:rPr>
          <w:rFonts w:ascii="SimSun" w:hAnsi="SimSun" w:eastAsia="SimSun" w:cs="SimSun"/>
          <w:b/>
          <w:color w:val="000000"/>
          <w:sz w:val="24"/>
          <w:u w:val="single"/>
        </w:rPr>
        <w:t xml:space="preserve">                         </w:t>
      </w:r>
      <w:r/>
    </w:p>
    <w:p>
      <w:pPr>
        <w:ind w:left="0" w:right="0" w:firstLine="1918"/>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 ：</w:t>
      </w:r>
      <w:r>
        <w:rPr>
          <w:rFonts w:ascii="SimSun" w:hAnsi="SimSun" w:eastAsia="SimSun" w:cs="SimSun"/>
          <w:b/>
          <w:color w:val="000000"/>
          <w:sz w:val="24"/>
          <w:u w:val="single"/>
        </w:rPr>
        <w:t xml:space="preserve">                         </w:t>
      </w:r>
      <w:r/>
    </w:p>
    <w:p>
      <w:pPr>
        <w:ind w:left="0" w:right="0" w:firstLine="1918"/>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包段名称 ：</w:t>
      </w:r>
      <w:r>
        <w:rPr>
          <w:rFonts w:ascii="SimSun" w:hAnsi="SimSun" w:eastAsia="SimSun" w:cs="SimSun"/>
          <w:b/>
          <w:color w:val="000000"/>
          <w:sz w:val="24"/>
          <w:u w:val="single"/>
        </w:rPr>
        <w:t xml:space="preserve">                         </w:t>
      </w:r>
      <w:r/>
    </w:p>
    <w:p>
      <w:pPr>
        <w:ind w:left="0" w:right="0" w:firstLine="1918"/>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 购 人 ：</w:t>
      </w:r>
      <w:r>
        <w:rPr>
          <w:rFonts w:ascii="SimSun" w:hAnsi="SimSun" w:eastAsia="SimSun" w:cs="SimSun"/>
          <w:b/>
          <w:color w:val="000000"/>
          <w:sz w:val="24"/>
          <w:u w:val="single"/>
        </w:rPr>
        <w:t xml:space="preserve">                         </w:t>
      </w:r>
      <w:r/>
    </w:p>
    <w:p>
      <w:pPr>
        <w:ind w:left="0" w:right="0" w:firstLine="1916"/>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 应 商 ：</w:t>
      </w:r>
      <w:r>
        <w:rPr>
          <w:rFonts w:ascii="SimSun" w:hAnsi="SimSun" w:eastAsia="SimSun" w:cs="SimSun"/>
          <w:b/>
          <w:color w:val="000000"/>
          <w:sz w:val="24"/>
          <w:u w:val="single"/>
        </w:rPr>
        <w:t xml:space="preserve">                         </w:t>
      </w:r>
      <w:r/>
    </w:p>
    <w:p>
      <w:pPr>
        <w:ind w:left="0" w:right="0" w:firstLine="1916"/>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签订日期 ：</w:t>
      </w:r>
      <w:r>
        <w:rPr>
          <w:rFonts w:ascii="SimSun" w:hAnsi="SimSun" w:eastAsia="SimSun" w:cs="SimSun"/>
          <w:b/>
          <w:color w:val="000000"/>
          <w:sz w:val="24"/>
          <w:u w:val="single"/>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采购人：（以下简称“甲方”）</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88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88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供应商：（以下简称“乙方”）</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住所地：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邮编：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88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住所地：</w:t>
            </w:r>
            <w:r/>
          </w:p>
          <w:p>
            <w:pPr>
              <w:ind w:left="0" w:right="0" w:firstLine="88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邮编： </w:t>
            </w:r>
            <w:r/>
          </w:p>
        </w:tc>
      </w:tr>
    </w:tbl>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根据《中华人民共和国政府采购法》和《中华人民共和国民法典》等法律法规的规定，甲乙双方按照中标结果签订本合同。</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第一条 合同标的 </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乙方根据甲方要求提供下列服务：                         </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服务内容、范围、技术标准详见《2026-2028 年度江宁区环境质量及污染源监测服务项目》招标文件，并以甲方书面确认的最终版本为准。乙方不得擅自变更服务内容或降低技术标准。乙方承诺指派投标文件中确定的关键服务人员（包括项目负责人、核心技术骨干）为本项目提供服务。乙方未经甲方书面许可擅自更换项目负责人、核心技术骨干的，甲方可按单次扣除合同总价3%—5%履约款项，累计出现2次及以上，甲方有权单方解除合同。</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合同履行期限：二年，合同一年一签，自   年 月 日至 年 月  日，需将合同内容全部履行完毕，1年期满后，是否续签下一年度合同，由甲方根据乙方上年度履约质量、绩效考核结果及财政预算安排等因素决定并书面通知乙方，如因乙方服务质量问题，甲方决定不续签的，不构成违约。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第二条 合同总价款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本合同项下投标费率为      ％（大写：百分之   ）。本合同执行期间折扣不变。</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甲方就本合同不再向乙方支付任何其他款项。</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第三条 组成本合同的有关文件 </w:t>
      </w:r>
      <w:r>
        <w:rPr>
          <w:rFonts w:ascii="SimSun" w:hAnsi="SimSun" w:eastAsia="SimSun" w:cs="SimSun"/>
          <w:color w:val="000000"/>
          <w:sz w:val="22"/>
        </w:rPr>
        <w:t xml:space="preserve"> </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招标文件、乙方递交的投标文件、技术要求和承诺、报价表和有关附件是本合同不可分割的组成部分，与本合同具有同等法律效力。</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第四条 权利保证</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乙方应保证其为甲方提供的货物和服务的任何一部分在使用时不受第三方提出的侵犯其专利权、版权、商标权或其他权利的起诉。一旦出现侵权，乙方应承担全部责任。</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第五条 质量保证</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乙方提供的服务必须全部达到采购文件各项要求，国家或行业有规定的，还要符合相应规定。若有少数特殊监测因子（如二噁英等），乙方不具备相应监测能力的，须提前10个工作日向甲方提交分包方案及拟分包单位资质证明，征得甲方同意后可在本项目其他包段调配或者另行分包；分包不免除乙方对监测数据真实性、准确性、完整性、时效性及服务质量的全部责任；严禁转包。未经甲方书面批准的分包视为根本违约，甲方有权终止合同，乙方承担合同总价30%违约金，并承担甲方另行委托第三方产生的全部差价、检测、误工等损失。</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2.乙方须无条件配合夜间应急监测响应，未按要求响应的，每次扣除当期服务费的10%。</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乙方在项目实施中获取的排污单位信息、监测原始数据、区域环境涉密资料、企业商业秘密均属保密范畴，保密期限为合同生效之日起至合同终止后满3年；乙方泄密的，需支付合同总价10%违约金，不足弥补损失的另行赔付全部直接、间接损失（律师费、维权诉讼费、第三方复测费用等）。</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第六条 交付使用和验收</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1.采购文件约定。</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2.乙方应按要求提交监测报告、原始数据及相关成果材料。甲方应在收到完整、合规的材料后 10 个工作日内组织验收。验收标准以采购文件及国家/行业相关技术规范为准。甲方自行组织或视情邀请相关专家或国家认可的质量检测机构参加验收，乙方提供的服务不符合采购文件和合同规定的，甲方有权拒收该服务，可拒付对应阶段款项，已支付费用乙方全额退还。因返工、另行委托第三方监测产生的差价、检测成本全部由乙方承担。</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第七条 合同款支付</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1.本合同项下所有款项均以人民币支付。</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2.本合同项下的采购资金由甲方自行支付，乙方向甲方开具发票。</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3.付款条件：</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签订合同三个月内支付合同款项的50%，项目结束后根据考核和绩效评估情况支付剩余尾款。每个中标单位的实际工作量不得少于每个标的总额，以相应检测项目任务单及费用核算单为支撑台账，费用计算公式为：（采样费+样品前处理费+样品分析费+报告编制费）×投标折扣率。</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注：本项目年度支出总额受预算控制，本项目每年支出合计不得突破年度预算，甲方应做好项目费用使用情况统计，供应商需完成约定工作事项，以上费用均含税。</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（2）乙方须先行向甲方开具对应金额合规增值税发票，甲方收到有效发票后，再按节点办理付款；年度结算严格以任务单、费用核算台账、绩效考核结果作为付款依据，超预算部分一律不予结算。</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第八条 违约责任  </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甲方无正当理由拒绝验收或拒付款的，甲方向乙方偿付合同总价的5%违约金。但因乙方服务未通过验收、存在质量问题、数据造假、违反廉政承诺或未完成约定工作事项等正当理由，甲方暂缓验收或拒付款的，不视为违约。甲方因法定事由或不可抗力等原因无法按期履约的，亦不承担违约责任。</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2.甲方未按合同规定的期限向乙方支付合同款的，每逾期1天甲方向乙方偿付欠款总额的万分之五滞纳金，但累计滞纳金总额不超过欠款总额的5% 。</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3.乙方逾期交付监测成果， 自逾期首日起按合同总额每日5‰计收滞纳金；逾期满10日，甲方有权单方解除合同，乙方另行支付合同总价5%固定违约金，同时退还甲方已拨付全部款项。</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4.乙方在承担违约责任后，仍应继续履行合同规定的义务（甲方解除合同的除外）。甲方未能及时追究乙方的任何一项违约责任，并不表明甲方放弃追究乙方该项或其他违约责任。</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5.乙方虚假承诺，或经权威部门检测其提供的货物和服务不能满足采购文件要求，或是由于乙方的过错导致合同无法继续履行的，乙方应向甲方支付不少于合同总价30%的违约金。</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6.乙方存在商业贿赂、不正当利益输送的，甲方立即终止合同、没收保证金，乙方按合同总价30%支付违约金，并退还甲方全部已付款项。</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第九条 合同的变更和终止</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1.除依照《中华人民共和国政府采购法》第五十条第二款规定的情形外，本合同一经签订，甲乙双方不得擅自变更、中止或终止合同。</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除发生法律规定的不能预见、不能避免并不能克服的客观情况外，甲乙双方不得放弃或拒绝履行合同。乙方放弃或拒绝履行合同，保证金不予退还，在三年内不得参加甲方组织的政府采购活动，还应向甲方支付合同总价30%的违约金，并赔偿甲方因此遭受的损失（包括另行委托第三方产生的差价等）。</w:t>
      </w:r>
      <w:r/>
    </w:p>
    <w:p>
      <w:pPr>
        <w:ind w:left="0" w:right="0" w:firstLine="442"/>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根据《江苏省生态环境厅关于净化生态环境监测服务市场环境的通知》（苏环办〔2023〕122号）第五条的规定，承担生态环境部门委托的监督性监测服务的环境监测机构，不得同时承接同一排污单位自行监测委托服务，如后期履约过程中发现并查实存在同时承接的情形，甲方有权终止合同。</w:t>
      </w:r>
      <w:r/>
    </w:p>
    <w:p>
      <w:pPr>
        <w:ind w:left="0" w:right="0" w:firstLine="442"/>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4.监测任务时效性无法保证的（如不能在样品保存期内完成分析等情况），甲方有权终止合同。</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第十条 合同的转让</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乙方不得擅自部分或全部转让其应履行的合同义务。乙方擅自转让全部或部分合同履约义务的，甲方有权解除合同，乙方支付合同总价30%违约金，并承担甲方另行委托第三方产生的全部差价、检测、误工等损失。</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第十一条 争议的解决</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1.因履行本合同引起的或与本合同有关的争议，甲、乙双方应首先通过友好协商解决，如果协商不能解决争议，则采取以下第（1）种方式解决争议：</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（1）向甲方所在地有管辖权的人民法院提起诉讼；</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（2）向南京仲裁委员会按其仲裁规则申请仲裁。</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2.在仲裁期间，本合同应继续履行。</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第十二条 诚实信用</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乙方应诚实信用，严格按照采购文件要求和承诺履行合同，不向甲方进行商业贿赂或者提供不正当利益。</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第十三条 合同生效及其他</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1.本合同自签订之日起生效。</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2.本合同一式肆份，甲乙双方各执贰份。</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3.招标文件、投标文件、分项报价表、廉政承诺书、项目采购需求、中标通知书、关键人员一览表均为本合同附件，与合同正文具备同等法律效力；其他补充事宜以甲方后续要求为准。</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4.本合同应按照中华人民共和国的现行法律进行解释。</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附件1：项目采购需求</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附件2：廉政承诺书</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4"/>
        <w:gridCol w:w="4642"/>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4"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甲方（采购人）： （盖章）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2" w:type="dxa"/>
            <w:vAlign w:val="top"/>
            <w:textDirection w:val="lrTb"/>
            <w:noWrap w:val="false"/>
          </w:tcPr>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乙方（供应商）：（盖章）</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4"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税号：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2" w:type="dxa"/>
            <w:vAlign w:val="top"/>
            <w:textDirection w:val="lrTb"/>
            <w:noWrap w:val="false"/>
          </w:tcPr>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税号：</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4"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银行账号：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2" w:type="dxa"/>
            <w:vAlign w:val="top"/>
            <w:textDirection w:val="lrTb"/>
            <w:noWrap w:val="false"/>
          </w:tcPr>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银行账号：</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4"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2" w:type="dxa"/>
            <w:vAlign w:val="top"/>
            <w:textDirection w:val="lrTb"/>
            <w:noWrap w:val="false"/>
          </w:tcPr>
          <w:p>
            <w:pPr>
              <w:ind w:left="0" w:right="0" w:firstLine="44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p>
        </w:tc>
      </w:tr>
    </w:tbl>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本协议签订日期：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附件1：项目采购需求</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附件2：廉政承诺书</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廉政承诺书</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rPr>
          <w:rFonts w:ascii="SimSun" w:hAnsi="SimSun" w:eastAsia="SimSun" w:cs="SimSun"/>
          <w:color w:val="000000"/>
          <w:sz w:val="22"/>
          <w:u w:val="single"/>
        </w:rPr>
        <w:t xml:space="preserve">2026-2028年度江宁区环境质量及污染源监测服务项目</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采购人（甲方）： </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供应商（乙方）：</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进一步做好项目中的党风廉政建设工作，确保项目进度、质量、安全、廉政，防止各种违法违纪行为的发生，保护国家、集体、个人的合法权益，依据国家有关法律法规和廉政建设有关规定，特制定本廉政承诺书。</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第一条 甲乙双方的责任</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（一）严格遵守国家有关法律法规以及廉政建设的各项规定。</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（二）严格执行合同文件，自觉按合同办事。</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（三）双方的业务活动应坚持公开、公正、诚信、透明的原则（除法律认定的商业秘密和合同文件另有规定之外），不得损害国家和集体利益，不得违反项目管理规章制度。</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（四）建立健全廉政制度，对有关人员经常开展廉政教育活动。设立举报箱、公布举报电话，协助监督部门认真查处各种违纪违法行为。</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（五）发现对方在业务活动中有违反廉政规定的行为，应及时予以提醒，情节严重的，应向其上级主管部门或纪检监察部门举报。</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第二条 甲方的责任</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（一）甲方及其工作人员不得索要或接受乙方的礼金、有价证券和贵重物品，不得在乙方报销应由甲方或个人支付的费用等。</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（二）甲方工作人员不得参加乙方安排的有影响公正执行公务的宴请和其他娱乐活动；不得接受乙方提供的通信、交通和高档办公用品等。</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（三）甲方及其工作人员不得要求乙方参加婚丧嫁娶活动、安排出国、出境旅游等。</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（四）甲方及其工作人员不得以任何理由向乙方推荐分包单位，不得要求乙方购买合同规定以外的材料（甲方按规定进行认质、认价的产品或单位除外）。</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第三条 乙方的责任</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（一）乙方不得以任何理由向甲方及其工作人员行贿或馈赠礼金、有价证券、贵重礼品等。</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（二）乙方不得以任何名义为甲方及其工作人员报销应由甲方单位或个人支付的任何费用。</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（三）乙方不得以任何理由安排甲方工作人员参加有影响公正执行公务的宴请及旅游娱乐等活动。</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（四）乙方不得为甲方单位和个人购买或提供通信、交通工具和高档办公用品等。</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第四条 违约责任</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（一）甲方工作人员有违反本承诺书第一、二条行为的，按照上级及本局有关规定进行处理。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（二）乙方工作人员有违反本承诺书第一、第三条行为的，可以视为合同违约，甲方有权无条件终止合同，并按有关规定进行处理。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第五条 本承诺书作为采购合同的附件，与采购合同具有同等法律效力，经双方签署后生效。</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第六条 本承诺书的有效期为双方签署之日起至该项目完成时止。</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第七条 本承诺书一式两份，甲乙双方各执一份。</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spacing w:before="0" w:after="160" w:line="25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440"/>
        <w:spacing w:before="0" w:after="160" w:line="25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甲方单位（盖章）                             乙方单位（盖章）</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甲方负责人（签字）：                         乙方负责人（签字）：</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                                                   电话：</w:t>
      </w:r>
      <w:r/>
    </w:p>
    <w:p>
      <w:pPr>
        <w:ind w:left="0" w:right="0" w:firstLine="2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  月   日                                     年  月   日</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638"/>
        <w:ind w:left="0" w:right="2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u w:val="none"/>
        </w:rPr>
        <w:t xml:space="preserve">第六章 投标书</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21" w:firstLine="0"/>
        <w:jc w:val="center"/>
        <w:spacing w:before="0" w:after="160" w:line="85" w:lineRule="atLeast"/>
        <w:tabs>
          <w:tab w:val="left" w:pos="2099" w:leader="none"/>
          <w:tab w:val="left" w:pos="419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84"/>
        </w:rPr>
        <w:t xml:space="preserve">投</w:t>
        <w:tab/>
        <w:t xml:space="preserve">标</w:t>
        <w:tab/>
        <w:t xml:space="preserve">文  件</w:t>
      </w:r>
      <w:r/>
    </w:p>
    <w:p>
      <w:pPr>
        <w:ind w:left="0" w:right="0" w:firstLine="643"/>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项目编号：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项目名称：2026-2028年度江宁区环境质量及污染源监测服务项目</w:t>
      </w:r>
      <w:r/>
    </w:p>
    <w:p>
      <w:pPr>
        <w:ind w:left="0" w:right="0" w:firstLine="643"/>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包段名称：</w:t>
      </w:r>
      <w:r/>
    </w:p>
    <w:p>
      <w:pPr>
        <w:ind w:left="0" w:right="0" w:firstLine="904"/>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904"/>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904"/>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供应商名称 ：（加盖电子公章）</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日      期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 </w:t>
      </w:r>
      <w:r/>
    </w:p>
    <w:p>
      <w:pPr>
        <w:ind w:left="6" w:right="2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6" w:right="2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评分索引表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69"/>
        <w:gridCol w:w="3570"/>
      </w:tblGrid>
      <w:tr>
        <w:trPr>
          <w:trHeight w:val="46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669" w:type="dxa"/>
            <w:vAlign w:val="top"/>
            <w:textDirection w:val="lrTb"/>
            <w:noWrap w:val="false"/>
          </w:tcPr>
          <w:p>
            <w:pPr>
              <w:ind w:left="3345"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评分项目</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570" w:type="dxa"/>
            <w:vAlign w:val="top"/>
            <w:textDirection w:val="lrTb"/>
            <w:noWrap w:val="false"/>
          </w:tcPr>
          <w:p>
            <w:pPr>
              <w:ind w:left="63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在投标文件中的页码位置</w:t>
            </w:r>
            <w:r/>
          </w:p>
        </w:tc>
      </w:tr>
      <w:tr>
        <w:trPr>
          <w:trHeight w:val="44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69"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70"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40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69"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70"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40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69"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70"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69" w:type="dxa"/>
            <w:vAlign w:val="top"/>
            <w:textDirection w:val="lrTb"/>
            <w:noWrap w:val="false"/>
          </w:tcPr>
          <w:p>
            <w:pPr>
              <w:ind w:left="196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行数不够，自行添加</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70"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bl>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3"/>
        </w:rPr>
        <w:t xml:space="preserve"> </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注：建议投标供应商为《投标书》制作详细目录，并将该《评分索引表》放在投标书目录之前。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502" w:right="0" w:hanging="502"/>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2"/>
          <w:sz w:val="24"/>
        </w:rPr>
        <w:t xml:space="preserve">附件一、投标申请及声明格式</w:t>
      </w:r>
      <w:r/>
    </w:p>
    <w:p>
      <w:pPr>
        <w:ind w:left="878"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投标申请及声明</w:t>
      </w:r>
      <w:r/>
    </w:p>
    <w:p>
      <w:pPr>
        <w:ind w:left="1003" w:right="0" w:hanging="1003"/>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致：</w:t>
      </w:r>
      <w:r>
        <w:rPr>
          <w:rFonts w:ascii="FangSong" w:hAnsi="FangSong" w:eastAsia="FangSong" w:cs="FangSong"/>
          <w:b/>
          <w:color w:val="000000"/>
          <w:sz w:val="24"/>
        </w:rPr>
        <w:t xml:space="preserve">南京市江宁生态环境局</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1.我司在充分研究（项目名称）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（包段名称）</w:t>
      </w:r>
      <w:r>
        <w:rPr>
          <w:rFonts w:ascii="SimSun" w:hAnsi="SimSun" w:eastAsia="SimSun" w:cs="SimSun"/>
          <w:color w:val="000000"/>
          <w:sz w:val="21"/>
          <w:u w:val="single"/>
        </w:rPr>
        <w:t xml:space="preserve">            </w:t>
      </w:r>
      <w:r>
        <w:rPr>
          <w:rFonts w:ascii="SimSun" w:hAnsi="SimSun" w:eastAsia="SimSun" w:cs="SimSun"/>
          <w:color w:val="000000"/>
          <w:sz w:val="21"/>
        </w:rPr>
        <w:t xml:space="preserve">招标文件的全部内容并考察现场后，按照以下投标费率进行报价，并按合同约定完成工作：</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8"/>
        <w:gridCol w:w="6587"/>
        <w:gridCol w:w="1839"/>
      </w:tblGrid>
      <w:tr>
        <w:trPr>
          <w:trHeight w:val="3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8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投标费率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9" w:type="dxa"/>
            <w:vAlign w:val="top"/>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服务期限</w:t>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按《江苏省环境监测专业服务收费管理办法》和《江苏省环境监测专业服务收费标准》的</w:t>
            </w:r>
            <w:r>
              <w:rPr>
                <w:rFonts w:ascii="SimSun" w:hAnsi="SimSun" w:eastAsia="SimSun" w:cs="SimSun"/>
                <w:color w:val="000000"/>
                <w:sz w:val="21"/>
                <w:u w:val="single"/>
              </w:rPr>
              <w:t xml:space="preserve">       </w:t>
            </w:r>
            <w:r>
              <w:rPr>
                <w:rFonts w:ascii="SimSun" w:hAnsi="SimSun" w:eastAsia="SimSun" w:cs="SimSun"/>
                <w:color w:val="000000"/>
                <w:sz w:val="21"/>
              </w:rPr>
              <w:t xml:space="preserve">%执行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9"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2年</w:t>
            </w:r>
            <w:r/>
          </w:p>
        </w:tc>
      </w:tr>
    </w:tbl>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举例说明：</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项目单价以《江苏省环境监测专业服务收费管理办法》和《江苏省环境监测专业服务收费标准》（苏价费〔2006〕397号 苏财综〔2006〕80号 苏环计〔2006〕30号）为基础，包含：采样费、样品前处理费、样品分析费及报告编制费。单个项目费用结算计算公式=（采样费+样品前处理费+样品分析费+报告编制费）*投标费率。</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例如：投标费率（精确到小数点后两位）为60%，即按照以上所述文件收费标准基础上按6折收取监测服务费。</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2.我方承诺在投标有效期内不修改、撤销投标文件。</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3.我单位所派项目负责人是</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4.如我方中标：</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（1）我方承诺在收到中标通知书后，在中标通知书规定的期限内与你方签订合同。</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（2）随同本投标函递交的投标函附录属于合同文件的组成部分。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（3）我方保证按照合同约定履行相关职责和义务，确保工程质量：</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5.我方在此声明，所递交的投标文件及有关资料内容完整、真实和准确。</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6.我方同意本投标函在招标文件规定的提交投标文件截止时间后，在招标文件规定的投标有效期期满前对我方具有约束力，且随时准备接受你方发出的中标通知书。</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7.在签署合同协议书之前，你方的中标通知书连同本投标函，对双方具有约束力。</w:t>
      </w:r>
      <w:r/>
    </w:p>
    <w:p>
      <w:pPr>
        <w:ind w:left="0" w:right="0" w:firstLine="4200"/>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 标 人（盖章）：</w:t>
      </w:r>
      <w:r/>
    </w:p>
    <w:p>
      <w:pPr>
        <w:ind w:left="0" w:right="0" w:firstLine="4200"/>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法定代表人或授权委托人（签字或盖章）：</w:t>
      </w:r>
      <w:r/>
    </w:p>
    <w:p>
      <w:pPr>
        <w:ind w:left="0" w:right="0" w:firstLine="4200"/>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200"/>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200"/>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p>
      <w:pPr>
        <w:ind w:left="0" w:right="0" w:firstLine="4200"/>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p>
      <w:pPr>
        <w:ind w:left="0" w:right="0" w:firstLine="4620"/>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________年_______月_______日</w:t>
      </w:r>
      <w:r/>
    </w:p>
    <w:p>
      <w:pPr>
        <w:ind w:left="0" w:right="0" w:firstLine="4620"/>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419" w:right="5148" w:hanging="979"/>
        <w:spacing w:before="0" w:after="160" w:line="24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附件二、法定代表人授权委托书格式</w:t>
      </w:r>
      <w:r/>
    </w:p>
    <w:p>
      <w:pPr>
        <w:ind w:left="12"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法定代表人授权委托书</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南京市江宁生态环境局</w:t>
      </w:r>
      <w:r>
        <w:rPr>
          <w:rFonts w:ascii="FangSong" w:hAnsi="FangSong" w:eastAsia="FangSong" w:cs="FangSong"/>
          <w:color w:val="000000"/>
          <w:sz w:val="24"/>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sz w:val="24"/>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02"/>
        <w:spacing w:before="0" w:after="160" w:line="85" w:lineRule="atLeast"/>
        <w:tabs>
          <w:tab w:val="left" w:pos="3054" w:leader="none"/>
          <w:tab w:val="left" w:pos="3579" w:leader="none"/>
          <w:tab w:val="left" w:pos="410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本授权书声明：注册于（投标人住址）的（投标人名称）法定代表人（法定代表人姓名、职务）   代表本公司授权在下面签字的（投标人代表姓名、职务）为本公司的合法代理人，就贵方组织的2026-2028年度江宁区环境质量及污染源监测服务项目（项目名称）（项目编号：  ）投标，以本公司名义处理一切与之有关的事务。</w:t>
      </w:r>
      <w:r/>
    </w:p>
    <w:p>
      <w:pPr>
        <w:ind w:left="762" w:right="0" w:hanging="322"/>
        <w:spacing w:before="0" w:after="160" w:line="85" w:lineRule="atLeast"/>
        <w:tabs>
          <w:tab w:val="left" w:pos="3054" w:leader="none"/>
          <w:tab w:val="left" w:pos="3579" w:leader="none"/>
          <w:tab w:val="left" w:pos="410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本授权书于     年   月   日签字生效，特此声明。法定代表人签字并盖章：</w:t>
      </w:r>
      <w:r/>
    </w:p>
    <w:p>
      <w:pPr>
        <w:ind w:left="0" w:right="0" w:firstLine="48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授权委托人签字：</w:t>
      </w:r>
      <w:r/>
    </w:p>
    <w:p>
      <w:pPr>
        <w:ind w:left="0" w:right="0" w:firstLine="0"/>
        <w:spacing w:before="0" w:after="160" w:line="85" w:lineRule="atLeast"/>
        <w:tabs>
          <w:tab w:val="left" w:pos="3054" w:leader="none"/>
          <w:tab w:val="left" w:pos="3579" w:leader="none"/>
          <w:tab w:val="left" w:pos="410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法定代表人身份证复印件正、反面：          委托代理人身份证复印件正、反面：</w:t>
      </w:r>
      <w:r/>
    </w:p>
    <w:p>
      <w:pPr>
        <w:ind w:left="0" w:right="0" w:firstLine="48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1298" w:right="0" w:firstLine="0"/>
        <w:jc w:val="right"/>
        <w:spacing w:before="0" w:after="160" w:line="85" w:lineRule="atLeast"/>
        <w:tabs>
          <w:tab w:val="left" w:pos="2347" w:leader="none"/>
          <w:tab w:val="left" w:pos="3607" w:leader="none"/>
          <w:tab w:val="left" w:pos="4238" w:leader="none"/>
          <w:tab w:val="left" w:pos="486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 期：</w:t>
        <w:tab/>
        <w:t xml:space="preserve">年   月   日</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附件三、开标一览表</w:t>
      </w:r>
      <w:r/>
    </w:p>
    <w:p>
      <w:pPr>
        <w:ind w:left="1183" w:right="124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开标一览表</w:t>
      </w:r>
      <w:r/>
    </w:p>
    <w:p>
      <w:pPr>
        <w:ind w:left="436" w:right="0" w:firstLine="3"/>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项目名称：</w:t>
      </w:r>
      <w:r>
        <w:rPr>
          <w:rFonts w:ascii="FangSong" w:hAnsi="FangSong" w:eastAsia="FangSong" w:cs="FangSong"/>
          <w:b/>
          <w:color w:val="000000"/>
          <w:sz w:val="24"/>
          <w:u w:val="single"/>
        </w:rPr>
        <w:t xml:space="preserve">2026-2028年度江宁区环境质量及污染源监测服务项目</w:t>
      </w:r>
      <w:r/>
    </w:p>
    <w:p>
      <w:pPr>
        <w:ind w:left="1192" w:right="0" w:hanging="752"/>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项目编号：</w:t>
      </w:r>
      <w:r/>
    </w:p>
    <w:p>
      <w:pPr>
        <w:ind w:left="1192" w:right="0" w:hanging="752"/>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包段名称：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74"/>
        <w:gridCol w:w="7501"/>
      </w:tblGrid>
      <w:tr>
        <w:trPr>
          <w:trHeight w:val="141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74" w:type="dxa"/>
            <w:vAlign w:val="top"/>
            <w:textDirection w:val="lrTb"/>
            <w:noWrap w:val="false"/>
          </w:tcPr>
          <w:p>
            <w:pPr>
              <w:ind w:left="186" w:right="178"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186" w:right="178"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投标报价</w:t>
            </w:r>
            <w:r/>
          </w:p>
          <w:p>
            <w:pPr>
              <w:ind w:left="186" w:right="178"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01" w:type="dxa"/>
            <w:vAlign w:val="top"/>
            <w:textDirection w:val="lrTb"/>
            <w:noWrap w:val="false"/>
          </w:tcPr>
          <w:p>
            <w:pPr>
              <w:ind w:left="186" w:right="178"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186" w:right="178" w:firstLine="0"/>
              <w:jc w:val="both"/>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我公司的投标报价为：</w:t>
            </w:r>
            <w:r>
              <w:rPr>
                <w:rFonts w:ascii="FangSong" w:hAnsi="FangSong" w:eastAsia="FangSong" w:cs="FangSong"/>
                <w:color w:val="000000"/>
                <w:sz w:val="24"/>
                <w:u w:val="single"/>
              </w:rPr>
              <w:t xml:space="preserve"> </w:t>
              <w:tab/>
              <w:t xml:space="preserve">（大写） </w:t>
              <w:tab/>
            </w:r>
            <w:r/>
          </w:p>
          <w:p>
            <w:pPr>
              <w:ind w:left="186" w:right="178" w:firstLine="2400"/>
              <w:jc w:val="both"/>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rPr>
                <w:rFonts w:ascii="Calibri" w:hAnsi="Calibri" w:eastAsia="Calibri" w:cs="Calibri"/>
                <w:color w:val="000000"/>
                <w:sz w:val="24"/>
                <w:u w:val="single"/>
              </w:rPr>
              <w:t xml:space="preserve">¥</w:t>
            </w:r>
            <w:r>
              <w:rPr>
                <w:rFonts w:ascii="FangSong" w:hAnsi="FangSong" w:eastAsia="FangSong" w:cs="FangSong"/>
                <w:color w:val="000000"/>
                <w:sz w:val="24"/>
                <w:u w:val="single"/>
              </w:rPr>
              <w:t xml:space="preserve">       （小写）          </w:t>
            </w:r>
            <w:r/>
          </w:p>
        </w:tc>
      </w:tr>
      <w:tr>
        <w:trPr>
          <w:trHeight w:val="46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4" w:type="dxa"/>
            <w:vAlign w:val="center"/>
            <w:textDirection w:val="lrTb"/>
            <w:noWrap w:val="false"/>
          </w:tcPr>
          <w:p>
            <w:pPr>
              <w:ind w:left="186" w:right="178" w:firstLine="0"/>
              <w:jc w:val="both"/>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响应文件份数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01" w:type="dxa"/>
            <w:vAlign w:val="center"/>
            <w:textDirection w:val="lrTb"/>
            <w:noWrap w:val="false"/>
          </w:tcPr>
          <w:p>
            <w:pPr>
              <w:ind w:left="107" w:right="0" w:firstLine="0"/>
              <w:jc w:val="both"/>
              <w:spacing w:before="0" w:after="160" w:line="253" w:lineRule="atLeast"/>
              <w:tabs>
                <w:tab w:val="left" w:pos="1473" w:leader="none"/>
                <w:tab w:val="left" w:pos="3153" w:leader="none"/>
                <w:tab w:val="left" w:pos="441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正本：</w:t>
            </w:r>
            <w:r>
              <w:rPr>
                <w:rFonts w:ascii="FangSong" w:hAnsi="FangSong" w:eastAsia="FangSong" w:cs="FangSong"/>
                <w:color w:val="000000"/>
                <w:sz w:val="24"/>
                <w:u w:val="single"/>
              </w:rPr>
              <w:t xml:space="preserve">1</w:t>
            </w:r>
            <w:r>
              <w:rPr>
                <w:rFonts w:ascii="FangSong" w:hAnsi="FangSong" w:eastAsia="FangSong" w:cs="FangSong"/>
                <w:color w:val="000000"/>
                <w:sz w:val="24"/>
              </w:rPr>
              <w:t xml:space="preserve">份、副本：</w:t>
            </w:r>
            <w:r>
              <w:rPr>
                <w:rFonts w:ascii="FangSong" w:hAnsi="FangSong" w:eastAsia="FangSong" w:cs="FangSong"/>
                <w:color w:val="000000"/>
                <w:sz w:val="24"/>
                <w:u w:val="single"/>
              </w:rPr>
              <w:t xml:space="preserve">2</w:t>
            </w:r>
            <w:r>
              <w:rPr>
                <w:rFonts w:ascii="FangSong" w:hAnsi="FangSong" w:eastAsia="FangSong" w:cs="FangSong"/>
                <w:color w:val="000000"/>
                <w:sz w:val="24"/>
              </w:rPr>
              <w:t xml:space="preserve">份（中标供应商后期根据采购人要求提供）</w:t>
            </w:r>
            <w:r/>
          </w:p>
        </w:tc>
      </w:tr>
      <w:tr>
        <w:trPr>
          <w:trHeight w:val="5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4" w:type="dxa"/>
            <w:vAlign w:val="center"/>
            <w:textDirection w:val="lrTb"/>
            <w:noWrap w:val="false"/>
          </w:tcPr>
          <w:p>
            <w:pPr>
              <w:ind w:left="186" w:right="176" w:firstLine="0"/>
              <w:jc w:val="both"/>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投标人企业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01" w:type="dxa"/>
            <w:vAlign w:val="center"/>
            <w:textDirection w:val="lrTb"/>
            <w:noWrap w:val="false"/>
          </w:tcPr>
          <w:p>
            <w:pPr>
              <w:ind w:left="107" w:right="0" w:firstLine="0"/>
              <w:jc w:val="both"/>
              <w:spacing w:before="0" w:after="160" w:line="253" w:lineRule="atLeast"/>
              <w:tabs>
                <w:tab w:val="left" w:pos="3678" w:leader="none"/>
                <w:tab w:val="left" w:pos="4621"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投标人是否属于小微型企业  </w:t>
            </w:r>
            <w:r>
              <w:rPr>
                <w:rFonts w:ascii="Wingdings" w:hAnsi="Wingdings" w:eastAsia="Wingdings" w:cs="Wingdings"/>
                <w:color w:val="000000"/>
                <w:sz w:val="24"/>
              </w:rPr>
              <w:t xml:space="preserve">¨</w:t>
            </w:r>
            <w:r>
              <w:rPr>
                <w:rFonts w:ascii="FangSong" w:hAnsi="FangSong" w:eastAsia="FangSong" w:cs="FangSong"/>
                <w:color w:val="000000"/>
                <w:sz w:val="24"/>
              </w:rPr>
              <w:t xml:space="preserve">是</w:t>
              <w:tab/>
            </w:r>
            <w:r>
              <w:rPr>
                <w:rFonts w:ascii="Wingdings" w:hAnsi="Wingdings" w:eastAsia="Wingdings" w:cs="Wingdings"/>
                <w:color w:val="000000"/>
                <w:sz w:val="24"/>
              </w:rPr>
              <w:t xml:space="preserve">¨</w:t>
            </w:r>
            <w:r>
              <w:rPr>
                <w:rFonts w:ascii="FangSong" w:hAnsi="FangSong" w:eastAsia="FangSong" w:cs="FangSong"/>
                <w:color w:val="000000"/>
                <w:sz w:val="24"/>
              </w:rPr>
              <w:t xml:space="preserve">否</w:t>
            </w:r>
            <w:r/>
          </w:p>
        </w:tc>
      </w:tr>
      <w:tr>
        <w:trPr>
          <w:trHeight w:val="5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4" w:type="dxa"/>
            <w:vAlign w:val="center"/>
            <w:textDirection w:val="lrTb"/>
            <w:noWrap w:val="false"/>
          </w:tcPr>
          <w:p>
            <w:pPr>
              <w:ind w:left="186" w:right="176" w:firstLine="0"/>
              <w:jc w:val="both"/>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投标人企业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01" w:type="dxa"/>
            <w:vAlign w:val="center"/>
            <w:textDirection w:val="lrTb"/>
            <w:noWrap w:val="false"/>
          </w:tcPr>
          <w:p>
            <w:pPr>
              <w:ind w:left="107" w:right="0" w:firstLine="0"/>
              <w:jc w:val="both"/>
              <w:spacing w:before="0" w:after="160" w:line="253" w:lineRule="atLeast"/>
              <w:tabs>
                <w:tab w:val="left" w:pos="3678" w:leader="none"/>
                <w:tab w:val="left" w:pos="4621"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投标人是残疾人福利性单位  </w:t>
            </w:r>
            <w:r>
              <w:rPr>
                <w:rFonts w:ascii="Wingdings" w:hAnsi="Wingdings" w:eastAsia="Wingdings" w:cs="Wingdings"/>
                <w:color w:val="000000"/>
                <w:sz w:val="24"/>
              </w:rPr>
              <w:t xml:space="preserve">¨</w:t>
            </w:r>
            <w:r>
              <w:rPr>
                <w:rFonts w:ascii="FangSong" w:hAnsi="FangSong" w:eastAsia="FangSong" w:cs="FangSong"/>
                <w:color w:val="000000"/>
                <w:sz w:val="24"/>
              </w:rPr>
              <w:t xml:space="preserve">是</w:t>
              <w:tab/>
            </w:r>
            <w:r>
              <w:rPr>
                <w:rFonts w:ascii="Wingdings" w:hAnsi="Wingdings" w:eastAsia="Wingdings" w:cs="Wingdings"/>
                <w:color w:val="000000"/>
                <w:sz w:val="24"/>
              </w:rPr>
              <w:t xml:space="preserve">¨</w:t>
            </w:r>
            <w:r>
              <w:rPr>
                <w:rFonts w:ascii="FangSong" w:hAnsi="FangSong" w:eastAsia="FangSong" w:cs="FangSong"/>
                <w:color w:val="000000"/>
                <w:sz w:val="24"/>
              </w:rPr>
              <w:t xml:space="preserve">否</w:t>
            </w:r>
            <w:r/>
          </w:p>
        </w:tc>
      </w:tr>
      <w:tr>
        <w:trPr>
          <w:trHeight w:val="5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4" w:type="dxa"/>
            <w:vAlign w:val="center"/>
            <w:textDirection w:val="lrTb"/>
            <w:noWrap w:val="false"/>
          </w:tcPr>
          <w:p>
            <w:pPr>
              <w:ind w:left="186" w:right="176" w:firstLine="0"/>
              <w:jc w:val="both"/>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服务周期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01" w:type="dxa"/>
            <w:vAlign w:val="center"/>
            <w:textDirection w:val="lrTb"/>
            <w:noWrap w:val="false"/>
          </w:tcPr>
          <w:p>
            <w:pPr>
              <w:ind w:left="107" w:right="0" w:firstLine="0"/>
              <w:jc w:val="both"/>
              <w:spacing w:before="0" w:after="160" w:line="253" w:lineRule="atLeast"/>
              <w:tabs>
                <w:tab w:val="left" w:pos="3678" w:leader="none"/>
                <w:tab w:val="left" w:pos="4621"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2年</w:t>
            </w:r>
            <w:r/>
          </w:p>
        </w:tc>
      </w:tr>
      <w:tr>
        <w:trPr>
          <w:trHeight w:val="5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4" w:type="dxa"/>
            <w:vAlign w:val="center"/>
            <w:textDirection w:val="lrTb"/>
            <w:noWrap w:val="false"/>
          </w:tcPr>
          <w:p>
            <w:pPr>
              <w:ind w:left="186" w:right="176" w:firstLine="0"/>
              <w:jc w:val="both"/>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本项目负责人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01" w:type="dxa"/>
            <w:vAlign w:val="center"/>
            <w:textDirection w:val="lrTb"/>
            <w:noWrap w:val="false"/>
          </w:tcPr>
          <w:p>
            <w:pPr>
              <w:ind w:left="107" w:right="0" w:firstLine="0"/>
              <w:jc w:val="both"/>
              <w:spacing w:before="0" w:after="160" w:line="253" w:lineRule="atLeast"/>
              <w:tabs>
                <w:tab w:val="left" w:pos="3678" w:leader="none"/>
                <w:tab w:val="left" w:pos="4621"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4" w:type="dxa"/>
            <w:vAlign w:val="center"/>
            <w:textDirection w:val="lrTb"/>
            <w:noWrap w:val="false"/>
          </w:tcPr>
          <w:p>
            <w:pPr>
              <w:ind w:left="186" w:right="176" w:firstLine="0"/>
              <w:jc w:val="both"/>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授权委托人（或法人）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01" w:type="dxa"/>
            <w:vAlign w:val="center"/>
            <w:textDirection w:val="lrTb"/>
            <w:noWrap w:val="false"/>
          </w:tcPr>
          <w:p>
            <w:pPr>
              <w:ind w:left="107" w:right="0" w:firstLine="0"/>
              <w:jc w:val="both"/>
              <w:spacing w:before="0" w:after="160" w:line="253" w:lineRule="atLeast"/>
              <w:tabs>
                <w:tab w:val="left" w:pos="3678" w:leader="none"/>
                <w:tab w:val="left" w:pos="4621"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4" w:type="dxa"/>
            <w:vAlign w:val="center"/>
            <w:textDirection w:val="lrTb"/>
            <w:noWrap w:val="false"/>
          </w:tcPr>
          <w:p>
            <w:pPr>
              <w:ind w:left="186" w:right="178"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01" w:type="dxa"/>
            <w:vAlign w:val="center"/>
            <w:textDirection w:val="lrTb"/>
            <w:noWrap w:val="false"/>
          </w:tcPr>
          <w:p>
            <w:pPr>
              <w:ind w:left="1713" w:right="0" w:firstLine="0"/>
              <w:jc w:val="both"/>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（如有优惠条件须在此注明）</w:t>
            </w:r>
            <w:r/>
          </w:p>
        </w:tc>
      </w:tr>
    </w:tbl>
    <w:p>
      <w:pPr>
        <w:ind w:left="1192" w:right="0" w:hanging="752"/>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投标人名称：（盖章）</w:t>
      </w:r>
      <w:r/>
    </w:p>
    <w:p>
      <w:pPr>
        <w:ind w:left="878" w:right="4930" w:firstLine="0"/>
        <w:spacing w:before="0" w:after="160" w:line="85" w:lineRule="atLeast"/>
        <w:tabs>
          <w:tab w:val="left" w:pos="1927" w:leader="none"/>
          <w:tab w:val="left" w:pos="2558" w:leader="none"/>
          <w:tab w:val="left" w:pos="318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法定代表人或授权代表：（签字或盖章）</w:t>
      </w:r>
      <w:r/>
    </w:p>
    <w:p>
      <w:pPr>
        <w:ind w:left="878" w:right="4930" w:firstLine="0"/>
        <w:spacing w:before="0" w:after="160" w:line="85" w:lineRule="atLeast"/>
        <w:tabs>
          <w:tab w:val="left" w:pos="1927" w:leader="none"/>
          <w:tab w:val="left" w:pos="2558" w:leader="none"/>
          <w:tab w:val="left" w:pos="318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tab/>
        <w:t xml:space="preserve">年</w:t>
        <w:tab/>
        <w:t xml:space="preserve">月</w:t>
        <w:tab/>
        <w:t xml:space="preserve">日</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w:t>
      </w:r>
      <w:r/>
    </w:p>
    <w:p>
      <w:pPr>
        <w:ind w:left="129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1.在“投标人是否属于中、小和微型企业”栏后“是”或“否”选项上打“√”。</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1007" w:right="0" w:hanging="1007"/>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附件四、报价明细表</w:t>
      </w:r>
      <w:r/>
    </w:p>
    <w:p>
      <w:pPr>
        <w:ind w:left="1106" w:right="124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报价明细表（详见项目需求中的服务内容要求报价，格式自拟）</w:t>
      </w:r>
      <w:r/>
    </w:p>
    <w:p>
      <w:pPr>
        <w:ind w:left="878" w:right="625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供应商：（盖章） </w:t>
      </w:r>
      <w:r/>
    </w:p>
    <w:p>
      <w:pPr>
        <w:ind w:left="878" w:right="625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法定代表人或授权代表签字：</w:t>
      </w:r>
      <w:r/>
    </w:p>
    <w:p>
      <w:pPr>
        <w:ind w:left="878" w:right="0" w:firstLine="0"/>
        <w:spacing w:before="0" w:after="160" w:line="85" w:lineRule="atLeast"/>
        <w:tabs>
          <w:tab w:val="left" w:pos="1507" w:leader="none"/>
          <w:tab w:val="left" w:pos="2347" w:leader="none"/>
          <w:tab w:val="left" w:pos="2978" w:leader="none"/>
          <w:tab w:val="left" w:pos="350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w:t>
        <w:tab/>
        <w:t xml:space="preserve">期：</w:t>
        <w:tab/>
        <w:t xml:space="preserve">年</w:t>
        <w:tab/>
        <w:t xml:space="preserve">月</w:t>
        <w:tab/>
        <w:t xml:space="preserve">日</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注：1.报价表中所有价格以元为单位。</w:t>
      </w:r>
      <w:r/>
    </w:p>
    <w:p>
      <w:pPr>
        <w:numPr>
          <w:ilvl w:val="0"/>
          <w:numId w:val="4"/>
        </w:numPr>
        <w:spacing w:before="0" w:after="160" w:line="85" w:lineRule="atLeast"/>
        <w:tabs>
          <w:tab w:val="left" w:pos="15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报价应包括但不限于人工费、设备费、材料费、前期勘查数据费、采样费、样品前处理费、样品分析费、报告编制费、税费、成果编制咨询费、文本装订印刷费等，直至相关部门审批、验收通过的全部费用。</w:t>
      </w:r>
      <w:r/>
    </w:p>
    <w:p>
      <w:pPr>
        <w:numPr>
          <w:ilvl w:val="0"/>
          <w:numId w:val="4"/>
        </w:numPr>
        <w:spacing w:before="0" w:after="160" w:line="85" w:lineRule="atLeast"/>
        <w:tabs>
          <w:tab w:val="left" w:pos="15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采购人对每一项货物或服务仅接受一个报价，不得填报有选择性报价方案。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754" w:right="0" w:hanging="754"/>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附件五：项目实施方案（格式自拟）</w:t>
      </w:r>
      <w:r/>
    </w:p>
    <w:p>
      <w:pPr>
        <w:ind w:left="435" w:right="0" w:hanging="17"/>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由投标人根据招标文件内容要求及服务标准内容自行编写，要求全面、详尽、完整、易于理解。</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1007" w:right="0" w:hanging="1007"/>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附件六：供货（或服务）质量保证承诺书（格式自拟）</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5"/>
        </w:rPr>
        <w:t xml:space="preserve"> </w:t>
      </w:r>
      <w:r/>
    </w:p>
    <w:p>
      <w:pPr>
        <w:ind w:left="1007" w:right="0" w:hanging="1007"/>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附件七：拟投入本项目人员情况一览表</w:t>
      </w:r>
      <w:r/>
    </w:p>
    <w:p>
      <w:pPr>
        <w:ind w:left="11" w:right="2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拟参与本项目人员情况一览表</w:t>
      </w:r>
      <w:r/>
    </w:p>
    <w:p>
      <w:pPr>
        <w:ind w:left="0" w:right="0" w:firstLine="1205"/>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项目名称：2026-2028年度江宁区环境质量及污染源监测服务项目工程  </w:t>
      </w:r>
      <w:r/>
    </w:p>
    <w:p>
      <w:pPr>
        <w:ind w:left="0" w:right="0" w:firstLine="1205"/>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项目编号：</w:t>
      </w:r>
      <w:r/>
    </w:p>
    <w:p>
      <w:pPr>
        <w:ind w:left="0" w:right="0" w:firstLine="1205"/>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包段名称：</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56"/>
        <w:gridCol w:w="1026"/>
        <w:gridCol w:w="1027"/>
        <w:gridCol w:w="1145"/>
        <w:gridCol w:w="909"/>
        <w:gridCol w:w="1200"/>
        <w:gridCol w:w="2571"/>
      </w:tblGrid>
      <w:tr>
        <w:trPr>
          <w:trHeight w:val="52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56"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8"/>
              </w:rPr>
              <w:t xml:space="preserve"> </w:t>
            </w:r>
            <w:r/>
          </w:p>
          <w:p>
            <w:pPr>
              <w:ind w:left="218" w:right="207"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人员类别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26"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 </w:t>
            </w:r>
            <w:r/>
          </w:p>
          <w:p>
            <w:pPr>
              <w:ind w:left="302"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27"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 </w:t>
            </w:r>
            <w:r/>
          </w:p>
          <w:p>
            <w:pPr>
              <w:ind w:left="301"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45"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 </w:t>
            </w:r>
            <w:r/>
          </w:p>
          <w:p>
            <w:pPr>
              <w:ind w:left="15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从业年限</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09"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 </w:t>
            </w:r>
            <w:r/>
          </w:p>
          <w:p>
            <w:pPr>
              <w:ind w:left="244"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00"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6"/>
              </w:rPr>
              <w:t xml:space="preserve"> </w:t>
            </w:r>
            <w:r/>
          </w:p>
          <w:p>
            <w:pPr>
              <w:ind w:left="38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571"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6"/>
              </w:rPr>
              <w:t xml:space="preserve"> </w:t>
            </w:r>
            <w:r/>
          </w:p>
          <w:p>
            <w:pPr>
              <w:ind w:left="655"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承担过的项目</w:t>
            </w:r>
            <w:r/>
          </w:p>
        </w:tc>
      </w:tr>
      <w:tr>
        <w:trPr>
          <w:trHeight w:val="5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6" w:type="dxa"/>
            <w:vAlign w:val="top"/>
            <w:textDirection w:val="lrTb"/>
            <w:noWrap w:val="false"/>
          </w:tcPr>
          <w:p>
            <w:pPr>
              <w:ind w:left="218" w:right="207"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w:t>
            </w:r>
            <w:r/>
          </w:p>
          <w:p>
            <w:pPr>
              <w:ind w:left="218" w:right="207"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负责人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6"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7"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5"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9"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0"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71"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6" w:type="dxa"/>
            <w:vAlign w:val="top"/>
            <w:textDirection w:val="lrTb"/>
            <w:noWrap w:val="false"/>
          </w:tcPr>
          <w:p>
            <w:pPr>
              <w:ind w:left="215" w:right="207"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6"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7"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5"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9"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0"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71"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6" w:type="dxa"/>
            <w:vAlign w:val="top"/>
            <w:textDirection w:val="lrTb"/>
            <w:noWrap w:val="false"/>
          </w:tcPr>
          <w:p>
            <w:pPr>
              <w:ind w:left="215" w:right="207"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6"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7"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5"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9"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0"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71"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6" w:type="dxa"/>
            <w:vAlign w:val="top"/>
            <w:textDirection w:val="lrTb"/>
            <w:noWrap w:val="false"/>
          </w:tcPr>
          <w:p>
            <w:pPr>
              <w:ind w:left="215" w:right="207"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6"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7"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5"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9"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0"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71"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6" w:type="dxa"/>
            <w:vAlign w:val="top"/>
            <w:textDirection w:val="lrTb"/>
            <w:noWrap w:val="false"/>
          </w:tcPr>
          <w:p>
            <w:pPr>
              <w:ind w:left="215" w:right="207"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6"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7"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5"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9"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0"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71"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bl>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投标人名称：（盖章）</w:t>
      </w:r>
      <w:r/>
    </w:p>
    <w:p>
      <w:pPr>
        <w:ind w:left="878" w:right="2196" w:firstLine="0"/>
        <w:spacing w:before="0" w:after="160" w:line="85" w:lineRule="atLeast"/>
        <w:tabs>
          <w:tab w:val="left" w:pos="6443" w:leader="none"/>
          <w:tab w:val="left" w:pos="7072" w:leader="none"/>
          <w:tab w:val="left" w:pos="7598" w:leader="none"/>
          <w:tab w:val="left" w:pos="8018" w:leader="none"/>
          <w:tab w:val="left" w:pos="84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法人代表或授权代表签字：</w:t>
        <w:tab/>
        <w:t xml:space="preserve">日</w:t>
        <w:tab/>
        <w:t xml:space="preserve">期：</w:t>
        <w:tab/>
        <w:t xml:space="preserve">年</w:t>
        <w:tab/>
        <w:t xml:space="preserve">月</w:t>
        <w:tab/>
      </w:r>
      <w:r>
        <w:rPr>
          <w:rFonts w:ascii="FangSong" w:hAnsi="FangSong" w:eastAsia="FangSong" w:cs="FangSong"/>
          <w:color w:val="000000"/>
          <w:spacing w:val="-17"/>
          <w:sz w:val="24"/>
        </w:rPr>
        <w:t xml:space="preserve">日</w:t>
      </w:r>
      <w:r/>
    </w:p>
    <w:p>
      <w:pPr>
        <w:ind w:left="878" w:right="2196" w:firstLine="0"/>
        <w:spacing w:before="0" w:after="160" w:line="85" w:lineRule="atLeast"/>
        <w:tabs>
          <w:tab w:val="left" w:pos="6443" w:leader="none"/>
          <w:tab w:val="left" w:pos="7072" w:leader="none"/>
          <w:tab w:val="left" w:pos="7598" w:leader="none"/>
          <w:tab w:val="left" w:pos="8018" w:leader="none"/>
          <w:tab w:val="left" w:pos="8438"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1.如果行、列数不够，请自行增加。</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2.请同时提供以上人员的相关专业、职称或执业资格等证明材料复印件，原件备查。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9" w:right="21"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附件八：商务/技术条款响应表</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商务/技术条款响应表</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  </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rPr>
          <w:rFonts w:ascii="FangSong" w:hAnsi="FangSong" w:eastAsia="FangSong" w:cs="FangSong"/>
          <w:b/>
          <w:color w:val="000000"/>
          <w:sz w:val="24"/>
          <w:u w:val="single"/>
        </w:rPr>
        <w:t xml:space="preserve">2026-2028年度江宁区环境质量及污染源监测服务项目工程</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3"/>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5"/>
        <w:gridCol w:w="3291"/>
        <w:gridCol w:w="3429"/>
        <w:gridCol w:w="1265"/>
      </w:tblGrid>
      <w:tr>
        <w:trPr>
          <w:trHeight w:val="40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5" w:type="dxa"/>
            <w:vAlign w:val="top"/>
            <w:textDirection w:val="lrTb"/>
            <w:noWrap w:val="false"/>
          </w:tcPr>
          <w:p>
            <w:pPr>
              <w:ind w:left="380" w:right="368"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291"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招标文件的商务/技术条款</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429"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响应文件的商务/技术条款</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65" w:type="dxa"/>
            <w:vAlign w:val="top"/>
            <w:textDirection w:val="lrTb"/>
            <w:noWrap w:val="false"/>
          </w:tcPr>
          <w:p>
            <w:pPr>
              <w:ind w:left="0" w:right="300" w:firstLine="0"/>
              <w:jc w:val="right"/>
              <w:spacing w:before="0" w:after="160" w:line="85" w:lineRule="atLeast"/>
              <w:tabs>
                <w:tab w:val="left" w:pos="42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说</w:t>
              <w:tab/>
              <w:t xml:space="preserve">明</w:t>
            </w:r>
            <w:r/>
          </w:p>
        </w:tc>
      </w:tr>
      <w:tr>
        <w:trPr>
          <w:trHeight w:val="40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5" w:type="dxa"/>
            <w:vAlign w:val="top"/>
            <w:textDirection w:val="lrTb"/>
            <w:noWrap w:val="false"/>
          </w:tcPr>
          <w:p>
            <w:pPr>
              <w:ind w:left="13"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91" w:type="dxa"/>
            <w:vAlign w:val="top"/>
            <w:textDirection w:val="lrTb"/>
            <w:noWrap w:val="false"/>
          </w:tcPr>
          <w:p>
            <w:pPr>
              <w:ind w:left="1202" w:right="119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429"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5"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40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5" w:type="dxa"/>
            <w:vAlign w:val="top"/>
            <w:textDirection w:val="lrTb"/>
            <w:noWrap w:val="false"/>
          </w:tcPr>
          <w:p>
            <w:pPr>
              <w:ind w:left="13"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91" w:type="dxa"/>
            <w:vAlign w:val="top"/>
            <w:textDirection w:val="lrTb"/>
            <w:noWrap w:val="false"/>
          </w:tcPr>
          <w:p>
            <w:pPr>
              <w:ind w:left="594"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429"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5"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40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5" w:type="dxa"/>
            <w:vAlign w:val="top"/>
            <w:textDirection w:val="lrTb"/>
            <w:noWrap w:val="false"/>
          </w:tcPr>
          <w:p>
            <w:pPr>
              <w:ind w:left="13"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91" w:type="dxa"/>
            <w:vAlign w:val="top"/>
            <w:textDirection w:val="lrTb"/>
            <w:noWrap w:val="false"/>
          </w:tcPr>
          <w:p>
            <w:pPr>
              <w:ind w:left="909"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429"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5"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40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5" w:type="dxa"/>
            <w:vAlign w:val="top"/>
            <w:textDirection w:val="lrTb"/>
            <w:noWrap w:val="false"/>
          </w:tcPr>
          <w:p>
            <w:pPr>
              <w:ind w:left="13"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91" w:type="dxa"/>
            <w:vAlign w:val="top"/>
            <w:textDirection w:val="lrTb"/>
            <w:noWrap w:val="false"/>
          </w:tcPr>
          <w:p>
            <w:pPr>
              <w:ind w:left="1202" w:right="1194"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429"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5"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4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5" w:type="dxa"/>
            <w:vAlign w:val="top"/>
            <w:textDirection w:val="lrTb"/>
            <w:noWrap w:val="false"/>
          </w:tcPr>
          <w:p>
            <w:pPr>
              <w:ind w:left="13"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91"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429"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5"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40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5" w:type="dxa"/>
            <w:vAlign w:val="top"/>
            <w:textDirection w:val="lrTb"/>
            <w:noWrap w:val="false"/>
          </w:tcPr>
          <w:p>
            <w:pPr>
              <w:ind w:left="13"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91"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429"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5"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40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5" w:type="dxa"/>
            <w:vAlign w:val="top"/>
            <w:textDirection w:val="lrTb"/>
            <w:noWrap w:val="false"/>
          </w:tcPr>
          <w:p>
            <w:pPr>
              <w:ind w:left="13"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91"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429"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5"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43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5" w:type="dxa"/>
            <w:vAlign w:val="top"/>
            <w:textDirection w:val="lrTb"/>
            <w:noWrap w:val="false"/>
          </w:tcPr>
          <w:p>
            <w:pPr>
              <w:ind w:left="13"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91"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429"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5"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40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5" w:type="dxa"/>
            <w:vAlign w:val="top"/>
            <w:textDirection w:val="lrTb"/>
            <w:noWrap w:val="false"/>
          </w:tcPr>
          <w:p>
            <w:pPr>
              <w:ind w:left="13"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91"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429"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5"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40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5" w:type="dxa"/>
            <w:vAlign w:val="top"/>
            <w:textDirection w:val="lrTb"/>
            <w:noWrap w:val="false"/>
          </w:tcPr>
          <w:p>
            <w:pPr>
              <w:ind w:left="0" w:right="138"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91" w:type="dxa"/>
            <w:vAlign w:val="top"/>
            <w:textDirection w:val="lrTb"/>
            <w:noWrap w:val="false"/>
          </w:tcPr>
          <w:p>
            <w:pPr>
              <w:ind w:left="431"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429" w:type="dxa"/>
            <w:vAlign w:val="top"/>
            <w:textDirection w:val="lrTb"/>
            <w:noWrap w:val="false"/>
          </w:tcPr>
          <w:p>
            <w:pPr>
              <w:ind w:left="431"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5" w:type="dxa"/>
            <w:vAlign w:val="top"/>
            <w:textDirection w:val="lrTb"/>
            <w:noWrap w:val="false"/>
          </w:tcPr>
          <w:p>
            <w:pPr>
              <w:ind w:left="0" w:right="302" w:firstLine="0"/>
              <w:jc w:val="right"/>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r>
      <w:tr>
        <w:trPr>
          <w:trHeight w:val="40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5"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91" w:type="dxa"/>
            <w:vAlign w:val="top"/>
            <w:textDirection w:val="lrTb"/>
            <w:noWrap w:val="false"/>
          </w:tcPr>
          <w:p>
            <w:pPr>
              <w:ind w:left="70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（行数不够，自行添加）</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429"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5" w:type="dxa"/>
            <w:vAlign w:val="top"/>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bl>
    <w:p>
      <w:pPr>
        <w:ind w:left="5988" w:right="163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投标单位（盖章）：</w:t>
      </w:r>
      <w:r/>
    </w:p>
    <w:p>
      <w:pPr>
        <w:ind w:left="5988" w:right="163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授权代表（签字）：</w:t>
      </w:r>
      <w:r/>
    </w:p>
    <w:p>
      <w:pPr>
        <w:ind w:left="6122" w:right="0" w:firstLine="0"/>
        <w:spacing w:before="0" w:after="160" w:line="85" w:lineRule="atLeast"/>
        <w:tabs>
          <w:tab w:val="left" w:pos="6842" w:leader="none"/>
          <w:tab w:val="left" w:pos="8282" w:leader="none"/>
          <w:tab w:val="left" w:pos="9002" w:leader="none"/>
          <w:tab w:val="left" w:pos="960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w:t>
        <w:tab/>
        <w:t xml:space="preserve">期：</w:t>
        <w:tab/>
        <w:t xml:space="preserve">年</w:t>
        <w:tab/>
        <w:t xml:space="preserve">月</w:t>
        <w:tab/>
        <w:t xml:space="preserve">日</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注：请投标供应商根据实际情况填写。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1007" w:right="0" w:hanging="1007"/>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附件九：中小企业声明函格式</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 </w:t>
      </w:r>
      <w:r/>
    </w:p>
    <w:p>
      <w:pPr>
        <w:ind w:left="6" w:right="2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中小企业声明函</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6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本单位郑重声明，根据《政府采购促进中小企业发展管理办法》（财库〔2020〕46号）的规定，本单位参加</w:t>
      </w:r>
      <w:r>
        <w:rPr>
          <w:rFonts w:ascii="FangSong" w:hAnsi="FangSong" w:eastAsia="FangSong" w:cs="FangSong"/>
          <w:color w:val="000000"/>
          <w:sz w:val="28"/>
          <w:u w:val="single"/>
        </w:rPr>
        <w:t xml:space="preserve">（单位名称）</w:t>
      </w:r>
      <w:r>
        <w:rPr>
          <w:rFonts w:ascii="FangSong" w:hAnsi="FangSong" w:eastAsia="FangSong" w:cs="FangSong"/>
          <w:color w:val="000000"/>
          <w:sz w:val="28"/>
        </w:rPr>
        <w:t xml:space="preserve">的</w:t>
      </w:r>
      <w:r>
        <w:rPr>
          <w:rFonts w:ascii="FangSong" w:hAnsi="FangSong" w:eastAsia="FangSong" w:cs="FangSong"/>
          <w:color w:val="000000"/>
          <w:sz w:val="28"/>
          <w:u w:val="single"/>
        </w:rPr>
        <w:t xml:space="preserve">（项目名称）</w:t>
      </w:r>
      <w:r>
        <w:rPr>
          <w:rFonts w:ascii="FangSong" w:hAnsi="FangSong" w:eastAsia="FangSong" w:cs="FangSong"/>
          <w:color w:val="000000"/>
          <w:sz w:val="28"/>
        </w:rPr>
        <w:t xml:space="preserve">采购活动，提供的服务全部由符合政策要求的中小企业。相关企业的具体情况如下：</w:t>
      </w:r>
      <w:r/>
    </w:p>
    <w:p>
      <w:pPr>
        <w:ind w:left="0" w:right="0" w:firstLine="865"/>
        <w:jc w:val="both"/>
        <w:spacing w:before="0" w:after="160" w:line="85" w:lineRule="atLeast"/>
        <w:tabs>
          <w:tab w:val="left" w:pos="1246" w:leader="none"/>
          <w:tab w:val="left" w:pos="3920" w:leader="none"/>
          <w:tab w:val="left" w:pos="673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8"/>
          <w:u w:val="single"/>
        </w:rPr>
        <w:t xml:space="preserve">（标的名称），</w:t>
      </w:r>
      <w:r>
        <w:rPr>
          <w:rFonts w:ascii="FangSong" w:hAnsi="FangSong" w:eastAsia="FangSong" w:cs="FangSong"/>
          <w:color w:val="000000"/>
          <w:sz w:val="28"/>
        </w:rPr>
        <w:t xml:space="preserve">属于</w:t>
      </w:r>
      <w:r>
        <w:rPr>
          <w:rFonts w:ascii="FangSong" w:hAnsi="FangSong" w:eastAsia="FangSong" w:cs="FangSong"/>
          <w:i/>
          <w:color w:val="000000"/>
          <w:sz w:val="28"/>
          <w:u w:val="single"/>
        </w:rPr>
        <w:t xml:space="preserve">暂未列明行业；</w:t>
      </w:r>
      <w:r>
        <w:rPr>
          <w:rFonts w:ascii="FangSong" w:hAnsi="FangSong" w:eastAsia="FangSong" w:cs="FangSong"/>
          <w:color w:val="000000"/>
          <w:sz w:val="28"/>
        </w:rPr>
        <w:t xml:space="preserve">承接企业为</w:t>
      </w:r>
      <w:r>
        <w:rPr>
          <w:rFonts w:ascii="FangSong" w:hAnsi="FangSong" w:eastAsia="FangSong" w:cs="FangSong"/>
          <w:i/>
          <w:color w:val="000000"/>
          <w:sz w:val="28"/>
          <w:u w:val="single"/>
        </w:rPr>
        <w:t xml:space="preserve">（企业名称），</w:t>
      </w:r>
      <w:r>
        <w:rPr>
          <w:rFonts w:ascii="FangSong" w:hAnsi="FangSong" w:eastAsia="FangSong" w:cs="FangSong"/>
          <w:color w:val="000000"/>
          <w:sz w:val="28"/>
        </w:rPr>
        <w:t xml:space="preserve">从业人员</w:t>
      </w:r>
      <w:r>
        <w:rPr>
          <w:rFonts w:ascii="FangSong" w:hAnsi="FangSong" w:eastAsia="FangSong" w:cs="FangSong"/>
          <w:color w:val="000000"/>
          <w:sz w:val="28"/>
          <w:u w:val="single"/>
        </w:rPr>
        <w:t xml:space="preserve"> </w:t>
        <w:tab/>
      </w:r>
      <w:r>
        <w:rPr>
          <w:rFonts w:ascii="FangSong" w:hAnsi="FangSong" w:eastAsia="FangSong" w:cs="FangSong"/>
          <w:color w:val="000000"/>
          <w:sz w:val="28"/>
        </w:rPr>
        <w:t xml:space="preserve">人，营业收入为</w:t>
      </w:r>
      <w:r>
        <w:rPr>
          <w:rFonts w:ascii="FangSong" w:hAnsi="FangSong" w:eastAsia="FangSong" w:cs="FangSong"/>
          <w:color w:val="000000"/>
          <w:sz w:val="28"/>
          <w:u w:val="single"/>
        </w:rPr>
        <w:tab/>
      </w:r>
      <w:r>
        <w:rPr>
          <w:rFonts w:ascii="FangSong" w:hAnsi="FangSong" w:eastAsia="FangSong" w:cs="FangSong"/>
          <w:color w:val="000000"/>
          <w:sz w:val="28"/>
        </w:rPr>
        <w:t xml:space="preserve">万元，资产总额为</w:t>
      </w:r>
      <w:r>
        <w:rPr>
          <w:rFonts w:ascii="FangSong" w:hAnsi="FangSong" w:eastAsia="FangSong" w:cs="FangSong"/>
          <w:color w:val="000000"/>
          <w:sz w:val="28"/>
          <w:u w:val="single"/>
        </w:rPr>
        <w:t xml:space="preserve"> </w:t>
        <w:tab/>
      </w:r>
      <w:r>
        <w:rPr>
          <w:rFonts w:ascii="FangSong" w:hAnsi="FangSong" w:eastAsia="FangSong" w:cs="FangSong"/>
          <w:color w:val="000000"/>
          <w:sz w:val="28"/>
        </w:rPr>
        <w:t xml:space="preserve">万元，属于</w:t>
      </w:r>
      <w:r>
        <w:rPr>
          <w:rFonts w:ascii="FangSong" w:hAnsi="FangSong" w:eastAsia="FangSong" w:cs="FangSong"/>
          <w:i/>
          <w:color w:val="000000"/>
          <w:sz w:val="28"/>
          <w:u w:val="single"/>
        </w:rPr>
        <w:t xml:space="preserve">（中型企业、小型企业、微型企业）；</w:t>
      </w:r>
      <w:r/>
    </w:p>
    <w:p>
      <w:pPr>
        <w:ind w:left="0" w:right="0" w:hanging="1580"/>
        <w:spacing w:before="0" w:after="160" w:line="85" w:lineRule="atLeast"/>
        <w:tabs>
          <w:tab w:val="left" w:pos="-104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ab/>
      </w:r>
      <w:r/>
    </w:p>
    <w:p>
      <w:pPr>
        <w:ind w:left="0" w:right="0" w:firstLine="6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以上企业，不属于大企业的分支机构，不存在控股股东为大企业的情形，也不存在与大企业的负责人为同一人的情形。</w:t>
      </w:r>
      <w:r/>
    </w:p>
    <w:p>
      <w:pPr>
        <w:ind w:left="0" w:right="0" w:firstLine="6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本企业对上述声明内容的真实性负责。如有虚假，将依 法承担相应责任。</w:t>
      </w:r>
      <w:r/>
    </w:p>
    <w:p>
      <w:pPr>
        <w:ind w:left="3860" w:right="0" w:firstLine="10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3860" w:right="0" w:firstLine="1532"/>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企业名称（盖章）： </w:t>
      </w:r>
      <w:r/>
    </w:p>
    <w:p>
      <w:pPr>
        <w:ind w:left="0" w:right="3247" w:firstLine="0"/>
        <w:jc w:val="right"/>
        <w:spacing w:before="0" w:after="160" w:line="85" w:lineRule="atLeast"/>
        <w:tabs>
          <w:tab w:val="left" w:pos="6967"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注：从业人员、营业收入、资产总额填报上一年度数据，无上一年度数据的新成立企业可不填报。</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754" w:right="0" w:hanging="754"/>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附件十：无重大违法记录声明格式</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2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无重大违法记录声明</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南京市江宁生态环境局：</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我单位（供应商名称）郑重声明：</w:t>
      </w:r>
      <w:r/>
    </w:p>
    <w:p>
      <w:pPr>
        <w:ind w:left="878" w:right="0" w:firstLine="48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参加政府采购活动前 3 年内在经营活动中</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在下划线上如实填写：有或没有）重大违法记录。</w:t>
      </w:r>
      <w:r/>
    </w:p>
    <w:p>
      <w:pPr>
        <w:ind w:left="878" w:right="936"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（说明：政府采购法第二十二条第一款第五项所称重大违法记录，是指供应商因违法经营受到刑事   处罚或者责令停产停业、吊销许可证或者执照、较大数额罚款等行政处罚。）</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878"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声明人：（公章）</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898" w:firstLine="0"/>
        <w:jc w:val="right"/>
        <w:spacing w:before="0" w:after="160" w:line="85" w:lineRule="atLeast"/>
        <w:tabs>
          <w:tab w:val="left" w:pos="839" w:leader="none"/>
          <w:tab w:val="left" w:pos="167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w:t>
        <w:tab/>
        <w:t xml:space="preserve">月</w:t>
        <w:tab/>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附件十一、具备履行合同所必需的设备和专业技术能力的书面声明</w:t>
      </w:r>
      <w:r/>
    </w:p>
    <w:p>
      <w:pPr>
        <w:ind w:left="878" w:right="898" w:firstLine="492"/>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我公司郑重声明：我公司具备履行本项采购合同所必需的设备和专业技术能力，为履行本项采   购合同我公司具备如下主要设备和主要专业技术能力：</w:t>
      </w:r>
      <w:r/>
    </w:p>
    <w:p>
      <w:pPr>
        <w:ind w:left="1370" w:right="0" w:firstLine="0"/>
        <w:spacing w:before="0" w:after="160" w:line="85" w:lineRule="atLeast"/>
        <w:tabs>
          <w:tab w:val="left" w:pos="409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主要设备有：</w:t>
      </w:r>
      <w:r>
        <w:rPr>
          <w:rFonts w:ascii="FangSong" w:hAnsi="FangSong" w:eastAsia="FangSong" w:cs="FangSong"/>
          <w:color w:val="000000"/>
          <w:sz w:val="24"/>
          <w:u w:val="single"/>
        </w:rPr>
        <w:tab/>
      </w:r>
      <w:r>
        <w:rPr>
          <w:rFonts w:ascii="FangSong" w:hAnsi="FangSong" w:eastAsia="FangSong" w:cs="FangSong"/>
          <w:color w:val="000000"/>
          <w:sz w:val="24"/>
        </w:rPr>
        <w:t xml:space="preserve">。</w:t>
      </w:r>
      <w:r/>
    </w:p>
    <w:p>
      <w:pPr>
        <w:ind w:left="1370" w:right="0" w:firstLine="0"/>
        <w:spacing w:before="0" w:after="160" w:line="85" w:lineRule="atLeast"/>
        <w:tabs>
          <w:tab w:val="left" w:pos="409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主要专业技术能力有：</w:t>
      </w:r>
      <w:r>
        <w:rPr>
          <w:rFonts w:ascii="FangSong" w:hAnsi="FangSong" w:eastAsia="FangSong" w:cs="FangSong"/>
          <w:color w:val="000000"/>
          <w:sz w:val="24"/>
          <w:u w:val="single"/>
        </w:rPr>
        <w:tab/>
      </w:r>
      <w:r>
        <w:rPr>
          <w:rFonts w:ascii="FangSong" w:hAnsi="FangSong" w:eastAsia="FangSong" w:cs="FangSong"/>
          <w:color w:val="000000"/>
          <w:sz w:val="24"/>
        </w:rPr>
        <w:t xml:space="preserve">。</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6"/>
        </w:rPr>
        <w:t xml:space="preserve"> </w:t>
      </w:r>
      <w:r/>
    </w:p>
    <w:p>
      <w:pPr>
        <w:ind w:left="7636" w:right="18" w:hanging="1036"/>
        <w:jc w:val="right"/>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授权代表（盖章或签字</w:t>
      </w:r>
      <w:r>
        <w:rPr>
          <w:rFonts w:ascii="FangSong" w:hAnsi="FangSong" w:eastAsia="FangSong" w:cs="FangSong"/>
          <w:color w:val="000000"/>
          <w:spacing w:val="-7"/>
          <w:sz w:val="24"/>
        </w:rPr>
        <w:t xml:space="preserve">）：</w:t>
      </w:r>
      <w:r/>
    </w:p>
    <w:p>
      <w:pPr>
        <w:ind w:left="7636" w:right="18" w:hanging="1036"/>
        <w:jc w:val="right"/>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7"/>
          <w:sz w:val="24"/>
        </w:rPr>
        <w:t xml:space="preserve"> </w:t>
      </w:r>
      <w:r>
        <w:rPr>
          <w:rFonts w:ascii="FangSong" w:hAnsi="FangSong" w:eastAsia="FangSong" w:cs="FangSong"/>
          <w:color w:val="000000"/>
          <w:spacing w:val="-2"/>
          <w:sz w:val="24"/>
        </w:rPr>
        <w:t xml:space="preserve">投标人全称（加盖公章）：</w:t>
      </w:r>
      <w:r/>
    </w:p>
    <w:p>
      <w:pPr>
        <w:ind w:left="0" w:right="898" w:firstLine="0"/>
        <w:jc w:val="right"/>
        <w:spacing w:before="0" w:after="160" w:line="85" w:lineRule="atLeast"/>
        <w:tabs>
          <w:tab w:val="left" w:pos="1259" w:leader="none"/>
          <w:tab w:val="left" w:pos="1891" w:leader="none"/>
          <w:tab w:val="left" w:pos="251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rPr>
          <w:rFonts w:ascii="FangSong" w:hAnsi="FangSong" w:eastAsia="FangSong" w:cs="FangSong"/>
          <w:color w:val="000000"/>
          <w:sz w:val="24"/>
          <w:u w:val="single"/>
        </w:rPr>
        <w:tab/>
        <w:t xml:space="preserve">年</w:t>
        <w:tab/>
        <w:t xml:space="preserve">月</w:t>
        <w:tab/>
      </w:r>
      <w:r>
        <w:rPr>
          <w:rFonts w:ascii="FangSong" w:hAnsi="FangSong" w:eastAsia="FangSong" w:cs="FangSong"/>
          <w:color w:val="000000"/>
          <w:spacing w:val="-1"/>
          <w:sz w:val="24"/>
          <w:u w:val="single"/>
        </w:rPr>
        <w:t xml:space="preserve">日</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878"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附件十二、残疾人福利性单位声明函</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560" w:right="21"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残疾人福利性单位声明函</w:t>
      </w:r>
      <w:r/>
    </w:p>
    <w:p>
      <w:pPr>
        <w:ind w:left="878" w:right="907" w:firstLine="444"/>
        <w:jc w:val="both"/>
        <w:spacing w:before="0" w:after="160" w:line="85" w:lineRule="atLeast"/>
        <w:tabs>
          <w:tab w:val="left" w:pos="639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1"/>
          <w:sz w:val="24"/>
        </w:rPr>
        <w:t xml:space="preserve">本</w:t>
      </w:r>
      <w:r>
        <w:rPr>
          <w:rFonts w:ascii="FangSong" w:hAnsi="FangSong" w:eastAsia="FangSong" w:cs="FangSong"/>
          <w:color w:val="000000"/>
          <w:spacing w:val="14"/>
          <w:sz w:val="24"/>
        </w:rPr>
        <w:t xml:space="preserve">单</w:t>
      </w:r>
      <w:r>
        <w:rPr>
          <w:rFonts w:ascii="FangSong" w:hAnsi="FangSong" w:eastAsia="FangSong" w:cs="FangSong"/>
          <w:color w:val="000000"/>
          <w:spacing w:val="11"/>
          <w:sz w:val="24"/>
        </w:rPr>
        <w:t xml:space="preserve">位</w:t>
      </w:r>
      <w:r>
        <w:rPr>
          <w:rFonts w:ascii="FangSong" w:hAnsi="FangSong" w:eastAsia="FangSong" w:cs="FangSong"/>
          <w:color w:val="000000"/>
          <w:spacing w:val="14"/>
          <w:sz w:val="24"/>
        </w:rPr>
        <w:t xml:space="preserve">郑</w:t>
      </w:r>
      <w:r>
        <w:rPr>
          <w:rFonts w:ascii="FangSong" w:hAnsi="FangSong" w:eastAsia="FangSong" w:cs="FangSong"/>
          <w:color w:val="000000"/>
          <w:spacing w:val="11"/>
          <w:sz w:val="24"/>
        </w:rPr>
        <w:t xml:space="preserve">重</w:t>
      </w:r>
      <w:r>
        <w:rPr>
          <w:rFonts w:ascii="FangSong" w:hAnsi="FangSong" w:eastAsia="FangSong" w:cs="FangSong"/>
          <w:color w:val="000000"/>
          <w:spacing w:val="14"/>
          <w:sz w:val="24"/>
        </w:rPr>
        <w:t xml:space="preserve">声</w:t>
      </w:r>
      <w:r>
        <w:rPr>
          <w:rFonts w:ascii="FangSong" w:hAnsi="FangSong" w:eastAsia="FangSong" w:cs="FangSong"/>
          <w:color w:val="000000"/>
          <w:spacing w:val="11"/>
          <w:sz w:val="24"/>
        </w:rPr>
        <w:t xml:space="preserve">明</w:t>
      </w:r>
      <w:r>
        <w:rPr>
          <w:rFonts w:ascii="FangSong" w:hAnsi="FangSong" w:eastAsia="FangSong" w:cs="FangSong"/>
          <w:color w:val="000000"/>
          <w:spacing w:val="-8"/>
          <w:sz w:val="24"/>
        </w:rPr>
        <w:t xml:space="preserve">，</w:t>
      </w:r>
      <w:r>
        <w:rPr>
          <w:rFonts w:ascii="FangSong" w:hAnsi="FangSong" w:eastAsia="FangSong" w:cs="FangSong"/>
          <w:color w:val="000000"/>
          <w:spacing w:val="11"/>
          <w:sz w:val="24"/>
        </w:rPr>
        <w:t xml:space="preserve">根</w:t>
      </w:r>
      <w:r>
        <w:rPr>
          <w:rFonts w:ascii="FangSong" w:hAnsi="FangSong" w:eastAsia="FangSong" w:cs="FangSong"/>
          <w:color w:val="000000"/>
          <w:spacing w:val="-10"/>
          <w:sz w:val="24"/>
        </w:rPr>
        <w:t xml:space="preserve">据</w:t>
      </w:r>
      <w:r>
        <w:rPr>
          <w:rFonts w:ascii="FangSong" w:hAnsi="FangSong" w:eastAsia="FangSong" w:cs="FangSong"/>
          <w:color w:val="000000"/>
          <w:spacing w:val="14"/>
          <w:sz w:val="24"/>
        </w:rPr>
        <w:t xml:space="preserve">《</w:t>
      </w:r>
      <w:r>
        <w:rPr>
          <w:rFonts w:ascii="FangSong" w:hAnsi="FangSong" w:eastAsia="FangSong" w:cs="FangSong"/>
          <w:color w:val="000000"/>
          <w:spacing w:val="11"/>
          <w:sz w:val="24"/>
        </w:rPr>
        <w:t xml:space="preserve">财</w:t>
      </w:r>
      <w:r>
        <w:rPr>
          <w:rFonts w:ascii="FangSong" w:hAnsi="FangSong" w:eastAsia="FangSong" w:cs="FangSong"/>
          <w:color w:val="000000"/>
          <w:spacing w:val="14"/>
          <w:sz w:val="24"/>
        </w:rPr>
        <w:t xml:space="preserve">政</w:t>
      </w:r>
      <w:r>
        <w:rPr>
          <w:rFonts w:ascii="FangSong" w:hAnsi="FangSong" w:eastAsia="FangSong" w:cs="FangSong"/>
          <w:color w:val="000000"/>
          <w:sz w:val="24"/>
        </w:rPr>
        <w:t xml:space="preserve">部</w:t>
      </w:r>
      <w:r>
        <w:rPr>
          <w:rFonts w:ascii="FangSong" w:hAnsi="FangSong" w:eastAsia="FangSong" w:cs="FangSong"/>
          <w:color w:val="000000"/>
          <w:spacing w:val="6"/>
          <w:sz w:val="24"/>
        </w:rPr>
        <w:t xml:space="preserve"> </w:t>
      </w:r>
      <w:r>
        <w:rPr>
          <w:rFonts w:ascii="FangSong" w:hAnsi="FangSong" w:eastAsia="FangSong" w:cs="FangSong"/>
          <w:color w:val="000000"/>
          <w:spacing w:val="11"/>
          <w:sz w:val="24"/>
        </w:rPr>
        <w:t xml:space="preserve">民</w:t>
      </w:r>
      <w:r>
        <w:rPr>
          <w:rFonts w:ascii="FangSong" w:hAnsi="FangSong" w:eastAsia="FangSong" w:cs="FangSong"/>
          <w:color w:val="000000"/>
          <w:spacing w:val="14"/>
          <w:sz w:val="24"/>
        </w:rPr>
        <w:t xml:space="preserve">政</w:t>
      </w:r>
      <w:r>
        <w:rPr>
          <w:rFonts w:ascii="FangSong" w:hAnsi="FangSong" w:eastAsia="FangSong" w:cs="FangSong"/>
          <w:color w:val="000000"/>
          <w:sz w:val="24"/>
        </w:rPr>
        <w:t xml:space="preserve">部</w:t>
      </w:r>
      <w:r>
        <w:rPr>
          <w:rFonts w:ascii="FangSong" w:hAnsi="FangSong" w:eastAsia="FangSong" w:cs="FangSong"/>
          <w:color w:val="000000"/>
          <w:spacing w:val="7"/>
          <w:sz w:val="24"/>
        </w:rPr>
        <w:t xml:space="preserve"> </w:t>
      </w:r>
      <w:r>
        <w:rPr>
          <w:rFonts w:ascii="FangSong" w:hAnsi="FangSong" w:eastAsia="FangSong" w:cs="FangSong"/>
          <w:color w:val="000000"/>
          <w:spacing w:val="11"/>
          <w:sz w:val="24"/>
        </w:rPr>
        <w:t xml:space="preserve">中</w:t>
      </w:r>
      <w:r>
        <w:rPr>
          <w:rFonts w:ascii="FangSong" w:hAnsi="FangSong" w:eastAsia="FangSong" w:cs="FangSong"/>
          <w:color w:val="000000"/>
          <w:spacing w:val="14"/>
          <w:sz w:val="24"/>
        </w:rPr>
        <w:t xml:space="preserve">国</w:t>
      </w:r>
      <w:r>
        <w:rPr>
          <w:rFonts w:ascii="FangSong" w:hAnsi="FangSong" w:eastAsia="FangSong" w:cs="FangSong"/>
          <w:color w:val="000000"/>
          <w:spacing w:val="11"/>
          <w:sz w:val="24"/>
        </w:rPr>
        <w:t xml:space="preserve">残</w:t>
      </w:r>
      <w:r>
        <w:rPr>
          <w:rFonts w:ascii="FangSong" w:hAnsi="FangSong" w:eastAsia="FangSong" w:cs="FangSong"/>
          <w:color w:val="000000"/>
          <w:spacing w:val="14"/>
          <w:sz w:val="24"/>
        </w:rPr>
        <w:t xml:space="preserve">疾</w:t>
      </w:r>
      <w:r>
        <w:rPr>
          <w:rFonts w:ascii="FangSong" w:hAnsi="FangSong" w:eastAsia="FangSong" w:cs="FangSong"/>
          <w:color w:val="000000"/>
          <w:spacing w:val="11"/>
          <w:sz w:val="24"/>
        </w:rPr>
        <w:t xml:space="preserve">人</w:t>
      </w:r>
      <w:r>
        <w:rPr>
          <w:rFonts w:ascii="FangSong" w:hAnsi="FangSong" w:eastAsia="FangSong" w:cs="FangSong"/>
          <w:color w:val="000000"/>
          <w:spacing w:val="14"/>
          <w:sz w:val="24"/>
        </w:rPr>
        <w:t xml:space="preserve">联</w:t>
      </w:r>
      <w:r>
        <w:rPr>
          <w:rFonts w:ascii="FangSong" w:hAnsi="FangSong" w:eastAsia="FangSong" w:cs="FangSong"/>
          <w:color w:val="000000"/>
          <w:spacing w:val="11"/>
          <w:sz w:val="24"/>
        </w:rPr>
        <w:t xml:space="preserve">合</w:t>
      </w:r>
      <w:r>
        <w:rPr>
          <w:rFonts w:ascii="FangSong" w:hAnsi="FangSong" w:eastAsia="FangSong" w:cs="FangSong"/>
          <w:color w:val="000000"/>
          <w:spacing w:val="14"/>
          <w:sz w:val="24"/>
        </w:rPr>
        <w:t xml:space="preserve">会</w:t>
      </w:r>
      <w:r>
        <w:rPr>
          <w:rFonts w:ascii="FangSong" w:hAnsi="FangSong" w:eastAsia="FangSong" w:cs="FangSong"/>
          <w:color w:val="000000"/>
          <w:spacing w:val="11"/>
          <w:sz w:val="24"/>
        </w:rPr>
        <w:t xml:space="preserve">关</w:t>
      </w:r>
      <w:r>
        <w:rPr>
          <w:rFonts w:ascii="FangSong" w:hAnsi="FangSong" w:eastAsia="FangSong" w:cs="FangSong"/>
          <w:color w:val="000000"/>
          <w:spacing w:val="14"/>
          <w:sz w:val="24"/>
        </w:rPr>
        <w:t xml:space="preserve">于</w:t>
      </w:r>
      <w:r>
        <w:rPr>
          <w:rFonts w:ascii="FangSong" w:hAnsi="FangSong" w:eastAsia="FangSong" w:cs="FangSong"/>
          <w:color w:val="000000"/>
          <w:spacing w:val="11"/>
          <w:sz w:val="24"/>
        </w:rPr>
        <w:t xml:space="preserve">促</w:t>
      </w:r>
      <w:r>
        <w:rPr>
          <w:rFonts w:ascii="FangSong" w:hAnsi="FangSong" w:eastAsia="FangSong" w:cs="FangSong"/>
          <w:color w:val="000000"/>
          <w:spacing w:val="14"/>
          <w:sz w:val="24"/>
        </w:rPr>
        <w:t xml:space="preserve">进</w:t>
      </w:r>
      <w:r>
        <w:rPr>
          <w:rFonts w:ascii="FangSong" w:hAnsi="FangSong" w:eastAsia="FangSong" w:cs="FangSong"/>
          <w:color w:val="000000"/>
          <w:spacing w:val="11"/>
          <w:sz w:val="24"/>
        </w:rPr>
        <w:t xml:space="preserve">残</w:t>
      </w:r>
      <w:r>
        <w:rPr>
          <w:rFonts w:ascii="FangSong" w:hAnsi="FangSong" w:eastAsia="FangSong" w:cs="FangSong"/>
          <w:color w:val="000000"/>
          <w:spacing w:val="14"/>
          <w:sz w:val="24"/>
        </w:rPr>
        <w:t xml:space="preserve">疾</w:t>
      </w:r>
      <w:r>
        <w:rPr>
          <w:rFonts w:ascii="FangSong" w:hAnsi="FangSong" w:eastAsia="FangSong" w:cs="FangSong"/>
          <w:color w:val="000000"/>
          <w:spacing w:val="11"/>
          <w:sz w:val="24"/>
        </w:rPr>
        <w:t xml:space="preserve">人</w:t>
      </w:r>
      <w:r>
        <w:rPr>
          <w:rFonts w:ascii="FangSong" w:hAnsi="FangSong" w:eastAsia="FangSong" w:cs="FangSong"/>
          <w:color w:val="000000"/>
          <w:spacing w:val="14"/>
          <w:sz w:val="24"/>
        </w:rPr>
        <w:t xml:space="preserve">就</w:t>
      </w:r>
      <w:r>
        <w:rPr>
          <w:rFonts w:ascii="FangSong" w:hAnsi="FangSong" w:eastAsia="FangSong" w:cs="FangSong"/>
          <w:color w:val="000000"/>
          <w:spacing w:val="11"/>
          <w:sz w:val="24"/>
        </w:rPr>
        <w:t xml:space="preserve">业</w:t>
      </w:r>
      <w:r>
        <w:rPr>
          <w:rFonts w:ascii="FangSong" w:hAnsi="FangSong" w:eastAsia="FangSong" w:cs="FangSong"/>
          <w:color w:val="000000"/>
          <w:spacing w:val="14"/>
          <w:sz w:val="24"/>
        </w:rPr>
        <w:t xml:space="preserve">政</w:t>
      </w:r>
      <w:r>
        <w:rPr>
          <w:rFonts w:ascii="FangSong" w:hAnsi="FangSong" w:eastAsia="FangSong" w:cs="FangSong"/>
          <w:color w:val="000000"/>
          <w:spacing w:val="11"/>
          <w:sz w:val="24"/>
        </w:rPr>
        <w:t xml:space="preserve">府</w:t>
      </w:r>
      <w:r>
        <w:rPr>
          <w:rFonts w:ascii="FangSong" w:hAnsi="FangSong" w:eastAsia="FangSong" w:cs="FangSong"/>
          <w:color w:val="000000"/>
          <w:spacing w:val="14"/>
          <w:sz w:val="24"/>
        </w:rPr>
        <w:t xml:space="preserve">采</w:t>
      </w:r>
      <w:r>
        <w:rPr>
          <w:rFonts w:ascii="FangSong" w:hAnsi="FangSong" w:eastAsia="FangSong" w:cs="FangSong"/>
          <w:color w:val="000000"/>
          <w:sz w:val="24"/>
        </w:rPr>
        <w:t xml:space="preserve">购</w:t>
      </w:r>
      <w:r>
        <w:rPr>
          <w:rFonts w:ascii="FangSong" w:hAnsi="FangSong" w:eastAsia="FangSong" w:cs="FangSong"/>
          <w:color w:val="000000"/>
          <w:spacing w:val="14"/>
          <w:sz w:val="24"/>
        </w:rPr>
        <w:t xml:space="preserve">政策的通知</w:t>
      </w:r>
      <w:r>
        <w:rPr>
          <w:rFonts w:ascii="FangSong" w:hAnsi="FangSong" w:eastAsia="FangSong" w:cs="FangSong"/>
          <w:color w:val="000000"/>
          <w:spacing w:val="16"/>
          <w:sz w:val="24"/>
        </w:rPr>
        <w:t xml:space="preserve">》</w:t>
      </w:r>
      <w:r>
        <w:rPr>
          <w:rFonts w:ascii="FangSong" w:hAnsi="FangSong" w:eastAsia="FangSong" w:cs="FangSong"/>
          <w:color w:val="000000"/>
          <w:spacing w:val="14"/>
          <w:sz w:val="24"/>
        </w:rPr>
        <w:t xml:space="preserve">（财库〔</w:t>
      </w:r>
      <w:r>
        <w:rPr>
          <w:rFonts w:ascii="FangSong" w:hAnsi="FangSong" w:eastAsia="FangSong" w:cs="FangSong"/>
          <w:color w:val="000000"/>
          <w:spacing w:val="5"/>
          <w:sz w:val="24"/>
        </w:rPr>
        <w:t xml:space="preserve">2017</w:t>
      </w:r>
      <w:r>
        <w:rPr>
          <w:rFonts w:ascii="FangSong" w:hAnsi="FangSong" w:eastAsia="FangSong" w:cs="FangSong"/>
          <w:color w:val="000000"/>
          <w:sz w:val="24"/>
        </w:rPr>
        <w:t xml:space="preserve">〕</w:t>
      </w:r>
      <w:r>
        <w:rPr>
          <w:rFonts w:ascii="FangSong" w:hAnsi="FangSong" w:eastAsia="FangSong" w:cs="FangSong"/>
          <w:color w:val="000000"/>
          <w:spacing w:val="26"/>
          <w:sz w:val="24"/>
        </w:rPr>
        <w:t xml:space="preserve"> </w:t>
      </w:r>
      <w:r>
        <w:rPr>
          <w:rFonts w:ascii="FangSong" w:hAnsi="FangSong" w:eastAsia="FangSong" w:cs="FangSong"/>
          <w:color w:val="000000"/>
          <w:spacing w:val="2"/>
          <w:sz w:val="24"/>
        </w:rPr>
        <w:t xml:space="preserve">141</w:t>
      </w:r>
      <w:r>
        <w:rPr>
          <w:rFonts w:ascii="FangSong" w:hAnsi="FangSong" w:eastAsia="FangSong" w:cs="FangSong"/>
          <w:color w:val="000000"/>
          <w:spacing w:val="-41"/>
          <w:sz w:val="24"/>
        </w:rPr>
        <w:t xml:space="preserve"> </w:t>
      </w:r>
      <w:r>
        <w:rPr>
          <w:rFonts w:ascii="FangSong" w:hAnsi="FangSong" w:eastAsia="FangSong" w:cs="FangSong"/>
          <w:color w:val="000000"/>
          <w:spacing w:val="14"/>
          <w:sz w:val="24"/>
        </w:rPr>
        <w:t xml:space="preserve">号）的规定</w:t>
      </w:r>
      <w:r>
        <w:rPr>
          <w:rFonts w:ascii="FangSong" w:hAnsi="FangSong" w:eastAsia="FangSong" w:cs="FangSong"/>
          <w:color w:val="000000"/>
          <w:spacing w:val="16"/>
          <w:sz w:val="24"/>
        </w:rPr>
        <w:t xml:space="preserve">，</w:t>
      </w:r>
      <w:r>
        <w:rPr>
          <w:rFonts w:ascii="FangSong" w:hAnsi="FangSong" w:eastAsia="FangSong" w:cs="FangSong"/>
          <w:color w:val="000000"/>
          <w:spacing w:val="14"/>
          <w:sz w:val="24"/>
        </w:rPr>
        <w:t xml:space="preserve">本单位</w:t>
      </w:r>
      <w:r>
        <w:rPr>
          <w:rFonts w:ascii="FangSong" w:hAnsi="FangSong" w:eastAsia="FangSong" w:cs="FangSong"/>
          <w:color w:val="000000"/>
          <w:sz w:val="24"/>
        </w:rPr>
        <w:t xml:space="preserve">为</w:t>
      </w:r>
      <w:r>
        <w:rPr>
          <w:rFonts w:ascii="FangSong" w:hAnsi="FangSong" w:eastAsia="FangSong" w:cs="FangSong"/>
          <w:color w:val="000000"/>
          <w:sz w:val="24"/>
          <w:u w:val="single"/>
        </w:rPr>
        <w:t xml:space="preserve">     </w:t>
      </w:r>
      <w:r>
        <w:rPr>
          <w:rFonts w:ascii="FangSong" w:hAnsi="FangSong" w:eastAsia="FangSong" w:cs="FangSong"/>
          <w:color w:val="000000"/>
          <w:spacing w:val="104"/>
          <w:sz w:val="24"/>
          <w:u w:val="single"/>
        </w:rPr>
        <w:t xml:space="preserve"> </w:t>
      </w:r>
      <w:r>
        <w:rPr>
          <w:rFonts w:ascii="FangSong" w:hAnsi="FangSong" w:eastAsia="FangSong" w:cs="FangSong"/>
          <w:color w:val="000000"/>
          <w:spacing w:val="14"/>
          <w:sz w:val="24"/>
        </w:rPr>
        <w:t xml:space="preserve">（符合</w:t>
      </w:r>
      <w:r>
        <w:rPr>
          <w:rFonts w:ascii="FangSong" w:hAnsi="FangSong" w:eastAsia="FangSong" w:cs="FangSong"/>
          <w:color w:val="000000"/>
          <w:spacing w:val="8"/>
          <w:sz w:val="24"/>
        </w:rPr>
        <w:t xml:space="preserve">/</w:t>
      </w:r>
      <w:r>
        <w:rPr>
          <w:rFonts w:ascii="FangSong" w:hAnsi="FangSong" w:eastAsia="FangSong" w:cs="FangSong"/>
          <w:color w:val="000000"/>
          <w:spacing w:val="14"/>
          <w:sz w:val="24"/>
        </w:rPr>
        <w:t xml:space="preserve">不符合</w:t>
      </w:r>
      <w:r>
        <w:rPr>
          <w:rFonts w:ascii="FangSong" w:hAnsi="FangSong" w:eastAsia="FangSong" w:cs="FangSong"/>
          <w:color w:val="000000"/>
          <w:sz w:val="24"/>
        </w:rPr>
        <w:t xml:space="preserve">）  </w:t>
      </w:r>
      <w:r>
        <w:rPr>
          <w:rFonts w:ascii="FangSong" w:hAnsi="FangSong" w:eastAsia="FangSong" w:cs="FangSong"/>
          <w:color w:val="000000"/>
          <w:spacing w:val="49"/>
          <w:sz w:val="24"/>
        </w:rPr>
        <w:t xml:space="preserve"> </w:t>
      </w:r>
      <w:r>
        <w:rPr>
          <w:rFonts w:ascii="FangSong" w:hAnsi="FangSong" w:eastAsia="FangSong" w:cs="FangSong"/>
          <w:color w:val="000000"/>
          <w:spacing w:val="14"/>
          <w:sz w:val="24"/>
        </w:rPr>
        <w:t xml:space="preserve">条</w:t>
      </w:r>
      <w:r>
        <w:rPr>
          <w:rFonts w:ascii="FangSong" w:hAnsi="FangSong" w:eastAsia="FangSong" w:cs="FangSong"/>
          <w:color w:val="000000"/>
          <w:sz w:val="24"/>
        </w:rPr>
        <w:t xml:space="preserve">件</w:t>
      </w:r>
      <w:r>
        <w:rPr>
          <w:rFonts w:ascii="FangSong" w:hAnsi="FangSong" w:eastAsia="FangSong" w:cs="FangSong"/>
          <w:color w:val="000000"/>
          <w:spacing w:val="11"/>
          <w:sz w:val="24"/>
        </w:rPr>
        <w:t xml:space="preserve">的</w:t>
      </w:r>
      <w:r>
        <w:rPr>
          <w:rFonts w:ascii="FangSong" w:hAnsi="FangSong" w:eastAsia="FangSong" w:cs="FangSong"/>
          <w:color w:val="000000"/>
          <w:spacing w:val="14"/>
          <w:sz w:val="24"/>
        </w:rPr>
        <w:t xml:space="preserve">残</w:t>
      </w:r>
      <w:r>
        <w:rPr>
          <w:rFonts w:ascii="FangSong" w:hAnsi="FangSong" w:eastAsia="FangSong" w:cs="FangSong"/>
          <w:color w:val="000000"/>
          <w:spacing w:val="11"/>
          <w:sz w:val="24"/>
        </w:rPr>
        <w:t xml:space="preserve">疾</w:t>
      </w:r>
      <w:r>
        <w:rPr>
          <w:rFonts w:ascii="FangSong" w:hAnsi="FangSong" w:eastAsia="FangSong" w:cs="FangSong"/>
          <w:color w:val="000000"/>
          <w:spacing w:val="14"/>
          <w:sz w:val="24"/>
        </w:rPr>
        <w:t xml:space="preserve">人</w:t>
      </w:r>
      <w:r>
        <w:rPr>
          <w:rFonts w:ascii="FangSong" w:hAnsi="FangSong" w:eastAsia="FangSong" w:cs="FangSong"/>
          <w:color w:val="000000"/>
          <w:spacing w:val="11"/>
          <w:sz w:val="24"/>
        </w:rPr>
        <w:t xml:space="preserve">福</w:t>
      </w:r>
      <w:r>
        <w:rPr>
          <w:rFonts w:ascii="FangSong" w:hAnsi="FangSong" w:eastAsia="FangSong" w:cs="FangSong"/>
          <w:color w:val="000000"/>
          <w:spacing w:val="14"/>
          <w:sz w:val="24"/>
        </w:rPr>
        <w:t xml:space="preserve">利</w:t>
      </w:r>
      <w:r>
        <w:rPr>
          <w:rFonts w:ascii="FangSong" w:hAnsi="FangSong" w:eastAsia="FangSong" w:cs="FangSong"/>
          <w:color w:val="000000"/>
          <w:spacing w:val="11"/>
          <w:sz w:val="24"/>
        </w:rPr>
        <w:t xml:space="preserve">性</w:t>
      </w:r>
      <w:r>
        <w:rPr>
          <w:rFonts w:ascii="FangSong" w:hAnsi="FangSong" w:eastAsia="FangSong" w:cs="FangSong"/>
          <w:color w:val="000000"/>
          <w:spacing w:val="14"/>
          <w:sz w:val="24"/>
        </w:rPr>
        <w:t xml:space="preserve">单</w:t>
      </w:r>
      <w:r>
        <w:rPr>
          <w:rFonts w:ascii="FangSong" w:hAnsi="FangSong" w:eastAsia="FangSong" w:cs="FangSong"/>
          <w:color w:val="000000"/>
          <w:spacing w:val="11"/>
          <w:sz w:val="24"/>
        </w:rPr>
        <w:t xml:space="preserve">位</w:t>
      </w:r>
      <w:r>
        <w:rPr>
          <w:rFonts w:ascii="FangSong" w:hAnsi="FangSong" w:eastAsia="FangSong" w:cs="FangSong"/>
          <w:color w:val="000000"/>
          <w:spacing w:val="-20"/>
          <w:sz w:val="24"/>
        </w:rPr>
        <w:t xml:space="preserve">，</w:t>
      </w:r>
      <w:r>
        <w:rPr>
          <w:rFonts w:ascii="FangSong" w:hAnsi="FangSong" w:eastAsia="FangSong" w:cs="FangSong"/>
          <w:color w:val="000000"/>
          <w:spacing w:val="11"/>
          <w:sz w:val="24"/>
        </w:rPr>
        <w:t xml:space="preserve">且</w:t>
      </w:r>
      <w:r>
        <w:rPr>
          <w:rFonts w:ascii="FangSong" w:hAnsi="FangSong" w:eastAsia="FangSong" w:cs="FangSong"/>
          <w:color w:val="000000"/>
          <w:spacing w:val="14"/>
          <w:sz w:val="24"/>
        </w:rPr>
        <w:t xml:space="preserve">本</w:t>
      </w:r>
      <w:r>
        <w:rPr>
          <w:rFonts w:ascii="FangSong" w:hAnsi="FangSong" w:eastAsia="FangSong" w:cs="FangSong"/>
          <w:color w:val="000000"/>
          <w:spacing w:val="11"/>
          <w:sz w:val="24"/>
        </w:rPr>
        <w:t xml:space="preserve">单</w:t>
      </w:r>
      <w:r>
        <w:rPr>
          <w:rFonts w:ascii="FangSong" w:hAnsi="FangSong" w:eastAsia="FangSong" w:cs="FangSong"/>
          <w:color w:val="000000"/>
          <w:spacing w:val="14"/>
          <w:sz w:val="24"/>
        </w:rPr>
        <w:t xml:space="preserve">位</w:t>
      </w:r>
      <w:r>
        <w:rPr>
          <w:rFonts w:ascii="FangSong" w:hAnsi="FangSong" w:eastAsia="FangSong" w:cs="FangSong"/>
          <w:color w:val="000000"/>
          <w:spacing w:val="11"/>
          <w:sz w:val="24"/>
        </w:rPr>
        <w:t xml:space="preserve">参</w:t>
      </w:r>
      <w:r>
        <w:rPr>
          <w:rFonts w:ascii="FangSong" w:hAnsi="FangSong" w:eastAsia="FangSong" w:cs="FangSong"/>
          <w:color w:val="000000"/>
          <w:spacing w:val="14"/>
          <w:sz w:val="24"/>
        </w:rPr>
        <w:t xml:space="preserve">加</w:t>
      </w:r>
      <w:r>
        <w:rPr>
          <w:rFonts w:ascii="FangSong" w:hAnsi="FangSong" w:eastAsia="FangSong" w:cs="FangSong"/>
          <w:color w:val="000000"/>
          <w:spacing w:val="6"/>
          <w:sz w:val="24"/>
        </w:rPr>
        <w:t xml:space="preserve">______</w:t>
      </w:r>
      <w:r>
        <w:rPr>
          <w:rFonts w:ascii="FangSong" w:hAnsi="FangSong" w:eastAsia="FangSong" w:cs="FangSong"/>
          <w:color w:val="000000"/>
          <w:spacing w:val="11"/>
          <w:sz w:val="24"/>
        </w:rPr>
        <w:t xml:space="preserve">单</w:t>
      </w:r>
      <w:r>
        <w:rPr>
          <w:rFonts w:ascii="FangSong" w:hAnsi="FangSong" w:eastAsia="FangSong" w:cs="FangSong"/>
          <w:color w:val="000000"/>
          <w:spacing w:val="14"/>
          <w:sz w:val="24"/>
        </w:rPr>
        <w:t xml:space="preserve">位</w:t>
      </w:r>
      <w:r>
        <w:rPr>
          <w:rFonts w:ascii="FangSong" w:hAnsi="FangSong" w:eastAsia="FangSong" w:cs="FangSong"/>
          <w:color w:val="000000"/>
          <w:sz w:val="24"/>
        </w:rPr>
        <w:t xml:space="preserve">的</w:t>
        <w:tab/>
      </w:r>
      <w:r>
        <w:rPr>
          <w:rFonts w:ascii="FangSong" w:hAnsi="FangSong" w:eastAsia="FangSong" w:cs="FangSong"/>
          <w:color w:val="000000"/>
          <w:spacing w:val="11"/>
          <w:sz w:val="24"/>
        </w:rPr>
        <w:t xml:space="preserve">项</w:t>
      </w:r>
      <w:r>
        <w:rPr>
          <w:rFonts w:ascii="FangSong" w:hAnsi="FangSong" w:eastAsia="FangSong" w:cs="FangSong"/>
          <w:color w:val="000000"/>
          <w:spacing w:val="14"/>
          <w:sz w:val="24"/>
        </w:rPr>
        <w:t xml:space="preserve">目</w:t>
      </w:r>
      <w:r>
        <w:rPr>
          <w:rFonts w:ascii="FangSong" w:hAnsi="FangSong" w:eastAsia="FangSong" w:cs="FangSong"/>
          <w:color w:val="000000"/>
          <w:spacing w:val="11"/>
          <w:sz w:val="24"/>
        </w:rPr>
        <w:t xml:space="preserve">采</w:t>
      </w:r>
      <w:r>
        <w:rPr>
          <w:rFonts w:ascii="FangSong" w:hAnsi="FangSong" w:eastAsia="FangSong" w:cs="FangSong"/>
          <w:color w:val="000000"/>
          <w:spacing w:val="14"/>
          <w:sz w:val="24"/>
        </w:rPr>
        <w:t xml:space="preserve">购</w:t>
      </w:r>
      <w:r>
        <w:rPr>
          <w:rFonts w:ascii="FangSong" w:hAnsi="FangSong" w:eastAsia="FangSong" w:cs="FangSong"/>
          <w:color w:val="000000"/>
          <w:spacing w:val="11"/>
          <w:sz w:val="24"/>
        </w:rPr>
        <w:t xml:space="preserve">活</w:t>
      </w:r>
      <w:r>
        <w:rPr>
          <w:rFonts w:ascii="FangSong" w:hAnsi="FangSong" w:eastAsia="FangSong" w:cs="FangSong"/>
          <w:color w:val="000000"/>
          <w:spacing w:val="14"/>
          <w:sz w:val="24"/>
        </w:rPr>
        <w:t xml:space="preserve">动</w:t>
      </w:r>
      <w:r>
        <w:rPr>
          <w:rFonts w:ascii="FangSong" w:hAnsi="FangSong" w:eastAsia="FangSong" w:cs="FangSong"/>
          <w:color w:val="000000"/>
          <w:spacing w:val="11"/>
          <w:sz w:val="24"/>
        </w:rPr>
        <w:t xml:space="preserve">提</w:t>
      </w:r>
      <w:r>
        <w:rPr>
          <w:rFonts w:ascii="FangSong" w:hAnsi="FangSong" w:eastAsia="FangSong" w:cs="FangSong"/>
          <w:color w:val="000000"/>
          <w:spacing w:val="14"/>
          <w:sz w:val="24"/>
        </w:rPr>
        <w:t xml:space="preserve">供</w:t>
      </w:r>
      <w:r>
        <w:rPr>
          <w:rFonts w:ascii="FangSong" w:hAnsi="FangSong" w:eastAsia="FangSong" w:cs="FangSong"/>
          <w:color w:val="000000"/>
          <w:spacing w:val="11"/>
          <w:sz w:val="24"/>
        </w:rPr>
        <w:t xml:space="preserve">本</w:t>
      </w:r>
      <w:r>
        <w:rPr>
          <w:rFonts w:ascii="FangSong" w:hAnsi="FangSong" w:eastAsia="FangSong" w:cs="FangSong"/>
          <w:color w:val="000000"/>
          <w:spacing w:val="14"/>
          <w:sz w:val="24"/>
        </w:rPr>
        <w:t xml:space="preserve">单</w:t>
      </w:r>
      <w:r>
        <w:rPr>
          <w:rFonts w:ascii="FangSong" w:hAnsi="FangSong" w:eastAsia="FangSong" w:cs="FangSong"/>
          <w:color w:val="000000"/>
          <w:spacing w:val="11"/>
          <w:sz w:val="24"/>
        </w:rPr>
        <w:t xml:space="preserve">位</w:t>
      </w:r>
      <w:r>
        <w:rPr>
          <w:rFonts w:ascii="FangSong" w:hAnsi="FangSong" w:eastAsia="FangSong" w:cs="FangSong"/>
          <w:color w:val="000000"/>
          <w:spacing w:val="14"/>
          <w:sz w:val="24"/>
        </w:rPr>
        <w:t xml:space="preserve">制</w:t>
      </w:r>
      <w:r>
        <w:rPr>
          <w:rFonts w:ascii="FangSong" w:hAnsi="FangSong" w:eastAsia="FangSong" w:cs="FangSong"/>
          <w:color w:val="000000"/>
          <w:spacing w:val="11"/>
          <w:sz w:val="24"/>
        </w:rPr>
        <w:t xml:space="preserve">造</w:t>
      </w:r>
      <w:r>
        <w:rPr>
          <w:rFonts w:ascii="FangSong" w:hAnsi="FangSong" w:eastAsia="FangSong" w:cs="FangSong"/>
          <w:color w:val="000000"/>
          <w:spacing w:val="14"/>
          <w:sz w:val="24"/>
        </w:rPr>
        <w:t xml:space="preserve">的</w:t>
      </w:r>
      <w:r>
        <w:rPr>
          <w:rFonts w:ascii="FangSong" w:hAnsi="FangSong" w:eastAsia="FangSong" w:cs="FangSong"/>
          <w:color w:val="000000"/>
          <w:spacing w:val="11"/>
          <w:sz w:val="24"/>
        </w:rPr>
        <w:t xml:space="preserve">货</w:t>
      </w:r>
      <w:r>
        <w:rPr>
          <w:rFonts w:ascii="FangSong" w:hAnsi="FangSong" w:eastAsia="FangSong" w:cs="FangSong"/>
          <w:color w:val="000000"/>
          <w:sz w:val="24"/>
        </w:rPr>
        <w:t xml:space="preserve">物</w:t>
      </w:r>
      <w:r/>
    </w:p>
    <w:p>
      <w:pPr>
        <w:ind w:left="878" w:right="91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4"/>
          <w:sz w:val="24"/>
        </w:rPr>
        <w:t xml:space="preserve">（</w:t>
      </w:r>
      <w:r>
        <w:rPr>
          <w:rFonts w:ascii="FangSong" w:hAnsi="FangSong" w:eastAsia="FangSong" w:cs="FangSong"/>
          <w:color w:val="000000"/>
          <w:spacing w:val="13"/>
          <w:sz w:val="24"/>
        </w:rPr>
        <w:t xml:space="preserve">由本单位承担工程</w:t>
      </w:r>
      <w:r>
        <w:rPr>
          <w:rFonts w:ascii="FangSong" w:hAnsi="FangSong" w:eastAsia="FangSong" w:cs="FangSong"/>
          <w:color w:val="000000"/>
          <w:spacing w:val="8"/>
          <w:sz w:val="24"/>
        </w:rPr>
        <w:t xml:space="preserve">/</w:t>
      </w:r>
      <w:r>
        <w:rPr>
          <w:rFonts w:ascii="FangSong" w:hAnsi="FangSong" w:eastAsia="FangSong" w:cs="FangSong"/>
          <w:color w:val="000000"/>
          <w:spacing w:val="14"/>
          <w:sz w:val="24"/>
        </w:rPr>
        <w:t xml:space="preserve">提供服务</w:t>
      </w:r>
      <w:r>
        <w:rPr>
          <w:rFonts w:ascii="FangSong" w:hAnsi="FangSong" w:eastAsia="FangSong" w:cs="FangSong"/>
          <w:color w:val="000000"/>
          <w:spacing w:val="15"/>
          <w:sz w:val="24"/>
        </w:rPr>
        <w:t xml:space="preserve">）</w:t>
      </w:r>
      <w:r>
        <w:rPr>
          <w:rFonts w:ascii="FangSong" w:hAnsi="FangSong" w:eastAsia="FangSong" w:cs="FangSong"/>
          <w:color w:val="000000"/>
          <w:spacing w:val="14"/>
          <w:sz w:val="24"/>
        </w:rPr>
        <w:t xml:space="preserve">，或者提供其他残疾人福利性单位制造的货物（</w:t>
      </w:r>
      <w:r>
        <w:rPr>
          <w:rFonts w:ascii="FangSong" w:hAnsi="FangSong" w:eastAsia="FangSong" w:cs="FangSong"/>
          <w:color w:val="000000"/>
          <w:spacing w:val="11"/>
          <w:sz w:val="24"/>
        </w:rPr>
        <w:t xml:space="preserve">不包括使用  非残疾人福利性单位注册商标的货物）</w:t>
      </w:r>
      <w:r>
        <w:rPr>
          <w:rFonts w:ascii="FangSong" w:hAnsi="FangSong" w:eastAsia="FangSong" w:cs="FangSong"/>
          <w:color w:val="000000"/>
          <w:sz w:val="24"/>
        </w:rPr>
        <w:t xml:space="preserve">。</w:t>
      </w:r>
      <w:r/>
    </w:p>
    <w:p>
      <w:pPr>
        <w:ind w:left="1322"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本单位对上述声明的真实性负责。如有虚假，将依法承担相应责任。</w:t>
      </w:r>
      <w:r/>
    </w:p>
    <w:p>
      <w:pPr>
        <w:ind w:left="7113" w:right="541" w:hanging="106"/>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供应商（盖章）： </w:t>
      </w:r>
      <w:r/>
    </w:p>
    <w:p>
      <w:pPr>
        <w:ind w:left="7113" w:right="541" w:hanging="106"/>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授权代表签字：</w:t>
      </w:r>
      <w:r/>
    </w:p>
    <w:p>
      <w:pPr>
        <w:ind w:left="7113" w:right="0" w:firstLine="0"/>
        <w:spacing w:before="0" w:after="160" w:line="85" w:lineRule="atLeast"/>
        <w:tabs>
          <w:tab w:val="left" w:pos="7742" w:leader="none"/>
          <w:tab w:val="left" w:pos="8582" w:leader="none"/>
          <w:tab w:val="left" w:pos="9213" w:leader="none"/>
          <w:tab w:val="left" w:pos="973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w:t>
        <w:tab/>
        <w:t xml:space="preserve">期：</w:t>
        <w:tab/>
        <w:t xml:space="preserve">年</w:t>
        <w:tab/>
        <w:t xml:space="preserve">月</w:t>
        <w:tab/>
        <w:t xml:space="preserve">日</w:t>
      </w:r>
      <w:r/>
    </w:p>
    <w:p>
      <w:pPr>
        <w:ind w:left="7113" w:right="0" w:firstLine="0"/>
        <w:spacing w:before="0" w:after="160" w:line="85" w:lineRule="atLeast"/>
        <w:tabs>
          <w:tab w:val="left" w:pos="7742" w:leader="none"/>
          <w:tab w:val="left" w:pos="8582" w:leader="none"/>
          <w:tab w:val="left" w:pos="9213" w:leader="none"/>
          <w:tab w:val="left" w:pos="973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附件十三、南京市政府采购供应商信用记录表暨信用承诺书</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
        <w:gridCol w:w="1619"/>
        <w:gridCol w:w="1983"/>
        <w:gridCol w:w="2272"/>
        <w:gridCol w:w="3098"/>
        <w:gridCol w:w="236"/>
      </w:tblGrid>
      <w:tr>
        <w:trPr>
          <w:trHeight w:val="570"/>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9337" w:type="dxa"/>
            <w:vAlign w:val="center"/>
            <w:textDirection w:val="lrTb"/>
            <w:noWrap w:val="false"/>
          </w:tcPr>
          <w:p>
            <w:pPr>
              <w:ind w:left="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（仅为示范格式，直接填写无效，需至“南京政府采购供应商诚信档案管理系统”在线打印）</w:t>
            </w:r>
            <w:r/>
          </w:p>
        </w:tc>
      </w:tr>
      <w:tr>
        <w:trPr>
          <w:gridAfter w:val="1"/>
          <w:trHeight w:val="75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8"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18" w:space="0"/>
              <w:left w:val="single" w:color="000000" w:sz="18" w:space="0"/>
              <w:bottom w:val="single" w:color="000000" w:sz="8" w:space="0"/>
              <w:right w:val="single" w:color="000000" w:sz="8" w:space="0"/>
            </w:tcBorders>
            <w:tcMar>
              <w:left w:w="0" w:type="dxa"/>
              <w:top w:w="0" w:type="dxa"/>
              <w:right w:w="0" w:type="dxa"/>
              <w:bottom w:w="0" w:type="dxa"/>
            </w:tcMar>
            <w:tcW w:w="1619" w:type="dxa"/>
            <w:vAlign w:val="top"/>
            <w:textDirection w:val="lrTb"/>
            <w:noWrap w:val="false"/>
          </w:tcPr>
          <w:p>
            <w:pPr>
              <w:ind w:left="0" w:right="0" w:firstLine="0"/>
              <w:spacing w:before="3"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20" w:right="0" w:firstLine="0"/>
              <w:spacing w:before="1"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单位名称</w:t>
            </w:r>
            <w:r/>
          </w:p>
        </w:tc>
        <w:tc>
          <w:tcPr>
            <w:tcBorders>
              <w:top w:val="single" w:color="000000" w:sz="18" w:space="0"/>
              <w:left w:val="none" w:color="000000" w:sz="4" w:space="0"/>
              <w:bottom w:val="single" w:color="000000" w:sz="8" w:space="0"/>
              <w:right w:val="single" w:color="000000" w:sz="8" w:space="0"/>
            </w:tcBorders>
            <w:tcMar>
              <w:left w:w="0" w:type="dxa"/>
              <w:top w:w="0" w:type="dxa"/>
              <w:right w:w="0" w:type="dxa"/>
              <w:bottom w:w="0" w:type="dxa"/>
            </w:tcMar>
            <w:tcW w:w="1983" w:type="dxa"/>
            <w:vAlign w:val="top"/>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18" w:space="0"/>
              <w:left w:val="none" w:color="000000" w:sz="4" w:space="0"/>
              <w:bottom w:val="single" w:color="000000" w:sz="8" w:space="0"/>
              <w:right w:val="single" w:color="000000" w:sz="8" w:space="0"/>
            </w:tcBorders>
            <w:tcMar>
              <w:left w:w="0" w:type="dxa"/>
              <w:top w:w="0" w:type="dxa"/>
              <w:right w:w="0" w:type="dxa"/>
              <w:bottom w:w="0" w:type="dxa"/>
            </w:tcMar>
            <w:tcW w:w="2272" w:type="dxa"/>
            <w:vAlign w:val="top"/>
            <w:textDirection w:val="lrTb"/>
            <w:noWrap w:val="false"/>
          </w:tcPr>
          <w:p>
            <w:pPr>
              <w:ind w:left="0" w:right="0" w:firstLine="0"/>
              <w:spacing w:before="3"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32" w:right="0" w:firstLine="0"/>
              <w:spacing w:before="1"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统一社会信用代码</w:t>
            </w:r>
            <w:r/>
          </w:p>
        </w:tc>
        <w:tc>
          <w:tcPr>
            <w:tcBorders>
              <w:top w:val="single" w:color="000000" w:sz="18" w:space="0"/>
              <w:left w:val="none" w:color="000000" w:sz="4" w:space="0"/>
              <w:bottom w:val="single" w:color="000000" w:sz="8" w:space="0"/>
              <w:right w:val="single" w:color="000000" w:sz="18" w:space="0"/>
            </w:tcBorders>
            <w:tcMar>
              <w:left w:w="0" w:type="dxa"/>
              <w:top w:w="0" w:type="dxa"/>
              <w:right w:w="0" w:type="dxa"/>
              <w:bottom w:w="0" w:type="dxa"/>
            </w:tcMar>
            <w:tcW w:w="3098" w:type="dxa"/>
            <w:vAlign w:val="top"/>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gridAfter w:val="1"/>
          <w:trHeight w:val="70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8"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18" w:space="0"/>
              <w:bottom w:val="single" w:color="000000" w:sz="8" w:space="0"/>
              <w:right w:val="single" w:color="000000" w:sz="8" w:space="0"/>
            </w:tcBorders>
            <w:tcMar>
              <w:left w:w="0" w:type="dxa"/>
              <w:top w:w="0" w:type="dxa"/>
              <w:right w:w="0" w:type="dxa"/>
              <w:bottom w:w="0" w:type="dxa"/>
            </w:tcMar>
            <w:tcW w:w="1619" w:type="dxa"/>
            <w:vAlign w:val="top"/>
            <w:textDirection w:val="lrTb"/>
            <w:noWrap w:val="false"/>
          </w:tcPr>
          <w:p>
            <w:pPr>
              <w:ind w:left="0" w:right="0" w:firstLine="0"/>
              <w:spacing w:before="5"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 </w:t>
            </w:r>
            <w:r/>
          </w:p>
          <w:p>
            <w:pPr>
              <w:ind w:left="2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法定代表人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3" w:type="dxa"/>
            <w:vAlign w:val="top"/>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72" w:type="dxa"/>
            <w:vAlign w:val="top"/>
            <w:textDirection w:val="lrTb"/>
            <w:noWrap w:val="false"/>
          </w:tcPr>
          <w:p>
            <w:pPr>
              <w:ind w:left="0" w:right="0" w:firstLine="0"/>
              <w:spacing w:before="5"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 </w:t>
            </w:r>
            <w:r/>
          </w:p>
          <w:p>
            <w:pPr>
              <w:ind w:left="32"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联系人</w:t>
            </w:r>
            <w:r/>
          </w:p>
        </w:tc>
        <w:tc>
          <w:tcPr>
            <w:tcBorders>
              <w:top w:val="none" w:color="000000" w:sz="4" w:space="0"/>
              <w:left w:val="none" w:color="000000" w:sz="4" w:space="0"/>
              <w:bottom w:val="single" w:color="000000" w:sz="8" w:space="0"/>
              <w:right w:val="single" w:color="000000" w:sz="18" w:space="0"/>
            </w:tcBorders>
            <w:tcMar>
              <w:left w:w="0" w:type="dxa"/>
              <w:top w:w="0" w:type="dxa"/>
              <w:right w:w="0" w:type="dxa"/>
              <w:bottom w:w="0" w:type="dxa"/>
            </w:tcMar>
            <w:tcW w:w="3098" w:type="dxa"/>
            <w:vAlign w:val="top"/>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gridAfter w:val="1"/>
          <w:trHeight w:val="75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8"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18" w:space="0"/>
              <w:bottom w:val="single" w:color="000000" w:sz="8" w:space="0"/>
              <w:right w:val="single" w:color="000000" w:sz="8" w:space="0"/>
            </w:tcBorders>
            <w:tcMar>
              <w:left w:w="0" w:type="dxa"/>
              <w:top w:w="0" w:type="dxa"/>
              <w:right w:w="0" w:type="dxa"/>
              <w:bottom w:w="0" w:type="dxa"/>
            </w:tcMar>
            <w:tcW w:w="1619" w:type="dxa"/>
            <w:vAlign w:val="top"/>
            <w:textDirection w:val="lrTb"/>
            <w:noWrap w:val="false"/>
          </w:tcPr>
          <w:p>
            <w:pPr>
              <w:ind w:left="0" w:right="0" w:firstLine="0"/>
              <w:spacing w:before="4"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2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联系地址</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3" w:type="dxa"/>
            <w:vAlign w:val="top"/>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72" w:type="dxa"/>
            <w:vAlign w:val="top"/>
            <w:textDirection w:val="lrTb"/>
            <w:noWrap w:val="false"/>
          </w:tcPr>
          <w:p>
            <w:pPr>
              <w:ind w:left="0" w:right="0" w:firstLine="0"/>
              <w:spacing w:before="4"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32"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联系电话</w:t>
            </w:r>
            <w:r/>
          </w:p>
        </w:tc>
        <w:tc>
          <w:tcPr>
            <w:tcBorders>
              <w:top w:val="none" w:color="000000" w:sz="4" w:space="0"/>
              <w:left w:val="none" w:color="000000" w:sz="4" w:space="0"/>
              <w:bottom w:val="single" w:color="000000" w:sz="8" w:space="0"/>
              <w:right w:val="single" w:color="000000" w:sz="18" w:space="0"/>
            </w:tcBorders>
            <w:tcMar>
              <w:left w:w="0" w:type="dxa"/>
              <w:top w:w="0" w:type="dxa"/>
              <w:right w:w="0" w:type="dxa"/>
              <w:bottom w:w="0" w:type="dxa"/>
            </w:tcMar>
            <w:tcW w:w="3098" w:type="dxa"/>
            <w:vAlign w:val="top"/>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gridAfter w:val="1"/>
          <w:trHeight w:val="81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8"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18" w:space="0"/>
              <w:bottom w:val="single" w:color="000000" w:sz="8" w:space="0"/>
              <w:right w:val="single" w:color="000000" w:sz="8" w:space="0"/>
            </w:tcBorders>
            <w:tcMar>
              <w:left w:w="0" w:type="dxa"/>
              <w:top w:w="0" w:type="dxa"/>
              <w:right w:w="0" w:type="dxa"/>
              <w:bottom w:w="0" w:type="dxa"/>
            </w:tcMar>
            <w:tcW w:w="1619" w:type="dxa"/>
            <w:vAlign w:val="top"/>
            <w:textDirection w:val="lrTb"/>
            <w:noWrap w:val="false"/>
          </w:tcPr>
          <w:p>
            <w:pPr>
              <w:ind w:left="0" w:right="0" w:firstLine="0"/>
              <w:spacing w:before="8"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2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信用得分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3" w:type="dxa"/>
            <w:vAlign w:val="top"/>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72" w:type="dxa"/>
            <w:vAlign w:val="top"/>
            <w:textDirection w:val="lrTb"/>
            <w:noWrap w:val="false"/>
          </w:tcPr>
          <w:p>
            <w:pPr>
              <w:ind w:left="0" w:right="0" w:firstLine="0"/>
              <w:spacing w:before="8"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32"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星级</w:t>
            </w:r>
            <w:r/>
          </w:p>
        </w:tc>
        <w:tc>
          <w:tcPr>
            <w:tcBorders>
              <w:top w:val="none" w:color="000000" w:sz="4" w:space="0"/>
              <w:left w:val="none" w:color="000000" w:sz="4" w:space="0"/>
              <w:bottom w:val="single" w:color="000000" w:sz="8" w:space="0"/>
              <w:right w:val="single" w:color="000000" w:sz="18" w:space="0"/>
            </w:tcBorders>
            <w:tcMar>
              <w:left w:w="0" w:type="dxa"/>
              <w:top w:w="0" w:type="dxa"/>
              <w:right w:w="0" w:type="dxa"/>
              <w:bottom w:w="0" w:type="dxa"/>
            </w:tcMar>
            <w:tcW w:w="3098" w:type="dxa"/>
            <w:vAlign w:val="top"/>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gridAfter w:val="1"/>
          <w:trHeight w:val="598"/>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8"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18" w:space="0"/>
              <w:bottom w:val="single" w:color="000000" w:sz="8" w:space="0"/>
              <w:right w:val="single" w:color="000000" w:sz="8" w:space="0"/>
            </w:tcBorders>
            <w:tcMar>
              <w:left w:w="0" w:type="dxa"/>
              <w:top w:w="0" w:type="dxa"/>
              <w:right w:w="0" w:type="dxa"/>
              <w:bottom w:w="0" w:type="dxa"/>
            </w:tcMar>
            <w:tcW w:w="1619" w:type="dxa"/>
            <w:vAlign w:val="top"/>
            <w:textDirection w:val="lrTb"/>
            <w:noWrap w:val="false"/>
          </w:tcPr>
          <w:p>
            <w:pPr>
              <w:ind w:left="20" w:right="0" w:firstLine="0"/>
              <w:jc w:val="center"/>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诚信档案记录情况</w:t>
            </w:r>
            <w:r/>
          </w:p>
        </w:tc>
        <w:tc>
          <w:tcPr>
            <w:gridSpan w:val="3"/>
            <w:tcBorders>
              <w:top w:val="none" w:color="000000" w:sz="4" w:space="0"/>
              <w:left w:val="none" w:color="000000" w:sz="4" w:space="0"/>
              <w:bottom w:val="single" w:color="000000" w:sz="8" w:space="0"/>
              <w:right w:val="single" w:color="000000" w:sz="18" w:space="0"/>
            </w:tcBorders>
            <w:tcMar>
              <w:left w:w="0" w:type="dxa"/>
              <w:top w:w="0" w:type="dxa"/>
              <w:right w:w="0" w:type="dxa"/>
              <w:bottom w:w="0" w:type="dxa"/>
            </w:tcMar>
            <w:tcW w:w="7353" w:type="dxa"/>
            <w:vAlign w:val="top"/>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gridAfter w:val="1"/>
          <w:trHeight w:val="6269"/>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8" w:type="dxa"/>
            <w:vAlign w:val="center"/>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18" w:space="0"/>
              <w:bottom w:val="single" w:color="000000" w:sz="18" w:space="0"/>
              <w:right w:val="single" w:color="000000" w:sz="8" w:space="0"/>
            </w:tcBorders>
            <w:tcMar>
              <w:left w:w="0" w:type="dxa"/>
              <w:top w:w="0" w:type="dxa"/>
              <w:right w:w="0" w:type="dxa"/>
              <w:bottom w:w="0" w:type="dxa"/>
            </w:tcMar>
            <w:tcW w:w="1619" w:type="dxa"/>
            <w:vAlign w:val="top"/>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20" w:right="0" w:firstLine="0"/>
              <w:spacing w:before="175"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信用承诺</w:t>
            </w:r>
            <w:r/>
          </w:p>
        </w:tc>
        <w:tc>
          <w:tcPr>
            <w:gridSpan w:val="3"/>
            <w:tcBorders>
              <w:top w:val="none" w:color="000000" w:sz="4" w:space="0"/>
              <w:left w:val="none" w:color="000000" w:sz="4" w:space="0"/>
              <w:bottom w:val="single" w:color="000000" w:sz="18" w:space="0"/>
              <w:right w:val="single" w:color="000000" w:sz="18" w:space="0"/>
            </w:tcBorders>
            <w:tcMar>
              <w:left w:w="0" w:type="dxa"/>
              <w:top w:w="0" w:type="dxa"/>
              <w:right w:w="0" w:type="dxa"/>
              <w:bottom w:w="0" w:type="dxa"/>
            </w:tcMar>
            <w:tcW w:w="7353" w:type="dxa"/>
            <w:vAlign w:val="top"/>
            <w:textDirection w:val="lrTb"/>
            <w:noWrap w:val="false"/>
          </w:tcPr>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9"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32" w:right="-29" w:firstLine="480"/>
              <w:spacing w:before="0" w:after="160" w:line="5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我公司自愿参加贵中心（公司）组织的本次采购活动，严格遵守《中华人民政府采购法》及相关法律法规，坚守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具有履行合同所必需的设备和专业技术能力；具有依法缴纳税收和社会保障资金的良好记录；参加政府采购活动前三年，在经营活动中没有重大违法记录；符合法律、行政法规和采购文件规定的其他条件。</w:t>
            </w:r>
            <w:r>
              <w:rPr>
                <w:rFonts w:ascii="SimSun" w:hAnsi="SimSun" w:eastAsia="SimSun" w:cs="SimSun"/>
                <w:color w:val="000000"/>
                <w:spacing w:val="-8"/>
                <w:sz w:val="24"/>
              </w:rPr>
              <w:t xml:space="preserve">如有弄虚作假或其他违法违规行为，自愿承担一切法律责任，接受各级政府采购监管部门和有权机关的审查和处罚。</w:t>
            </w:r>
            <w:r/>
          </w:p>
          <w:p>
            <w:pPr>
              <w:ind w:left="0" w:right="0" w:firstLine="0"/>
              <w:spacing w:before="0"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5" w:after="16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p>
            <w:pPr>
              <w:ind w:left="2672" w:right="2256" w:firstLine="0"/>
              <w:jc w:val="both"/>
              <w:spacing w:before="0" w:after="160" w:line="1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2672" w:right="2256" w:firstLine="0"/>
              <w:jc w:val="both"/>
              <w:spacing w:before="0" w:after="160" w:line="1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p>
          <w:p>
            <w:pPr>
              <w:ind w:left="2672" w:right="2256" w:firstLine="0"/>
              <w:jc w:val="both"/>
              <w:spacing w:before="0" w:after="160" w:line="1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 〇 年 月 日</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8"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19"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983"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272"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098"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6" w:type="dxa"/>
            <w:vAlign w:val="center"/>
            <w:textDirection w:val="lrTb"/>
            <w:noWrap w:val="false"/>
          </w:tcPr>
          <w:p>
            <w:pPr>
              <w:spacing w:before="0" w:after="0" w:line="57" w:lineRule="atLeast"/>
            </w:pPr>
            <w:r/>
          </w:p>
        </w:tc>
      </w:tr>
    </w:tbl>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Calibri">
    <w:panose1 w:val="020F0502020204030204"/>
  </w:font>
  <w:font w:name="FangSong">
    <w:panose1 w:val="02010609060101010101"/>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878" w:hanging="212"/>
      </w:pPr>
      <w:rPr>
        <w:rFonts w:ascii="SimSun" w:hAnsi="SimSun" w:eastAsia="SimSun" w:cs="SimSun"/>
        <w:spacing w:val="-2"/>
      </w:rPr>
    </w:lvl>
    <w:lvl w:ilvl="1">
      <w:start w:val="1"/>
      <w:numFmt w:val="bullet"/>
      <w:isLgl w:val="false"/>
      <w:suff w:val="tab"/>
      <w:lvlText w:val="•"/>
      <w:lvlJc w:val="left"/>
      <w:pPr>
        <w:ind w:left="1876" w:hanging="212"/>
      </w:pPr>
      <w:rPr>
        <w:rFonts w:hint="default" w:ascii="Symbol" w:hAnsi="Symbol" w:eastAsia="Symbol" w:cs="Symbol"/>
      </w:rPr>
    </w:lvl>
    <w:lvl w:ilvl="2">
      <w:start w:val="1"/>
      <w:numFmt w:val="bullet"/>
      <w:isLgl w:val="false"/>
      <w:suff w:val="tab"/>
      <w:lvlText w:val="•"/>
      <w:lvlJc w:val="left"/>
      <w:pPr>
        <w:ind w:left="2873" w:hanging="212"/>
      </w:pPr>
      <w:rPr>
        <w:rFonts w:hint="default" w:ascii="Symbol" w:hAnsi="Symbol" w:eastAsia="Symbol" w:cs="Symbol"/>
      </w:rPr>
    </w:lvl>
    <w:lvl w:ilvl="3">
      <w:start w:val="1"/>
      <w:numFmt w:val="bullet"/>
      <w:isLgl w:val="false"/>
      <w:suff w:val="tab"/>
      <w:lvlText w:val="•"/>
      <w:lvlJc w:val="left"/>
      <w:pPr>
        <w:ind w:left="3869" w:hanging="212"/>
      </w:pPr>
      <w:rPr>
        <w:rFonts w:hint="default" w:ascii="Symbol" w:hAnsi="Symbol" w:eastAsia="Symbol" w:cs="Symbol"/>
      </w:rPr>
    </w:lvl>
    <w:lvl w:ilvl="4">
      <w:start w:val="1"/>
      <w:numFmt w:val="bullet"/>
      <w:isLgl w:val="false"/>
      <w:suff w:val="tab"/>
      <w:lvlText w:val="•"/>
      <w:lvlJc w:val="left"/>
      <w:pPr>
        <w:ind w:left="4866" w:hanging="212"/>
      </w:pPr>
      <w:rPr>
        <w:rFonts w:hint="default" w:ascii="Symbol" w:hAnsi="Symbol" w:eastAsia="Symbol" w:cs="Symbol"/>
      </w:rPr>
    </w:lvl>
    <w:lvl w:ilvl="5">
      <w:start w:val="1"/>
      <w:numFmt w:val="bullet"/>
      <w:isLgl w:val="false"/>
      <w:suff w:val="tab"/>
      <w:lvlText w:val="•"/>
      <w:lvlJc w:val="left"/>
      <w:pPr>
        <w:ind w:left="5863" w:hanging="212"/>
      </w:pPr>
      <w:rPr>
        <w:rFonts w:hint="default" w:ascii="Symbol" w:hAnsi="Symbol" w:eastAsia="Symbol" w:cs="Symbol"/>
      </w:rPr>
    </w:lvl>
    <w:lvl w:ilvl="6">
      <w:start w:val="1"/>
      <w:numFmt w:val="bullet"/>
      <w:isLgl w:val="false"/>
      <w:suff w:val="tab"/>
      <w:lvlText w:val="•"/>
      <w:lvlJc w:val="left"/>
      <w:pPr>
        <w:ind w:left="6859" w:hanging="212"/>
      </w:pPr>
      <w:rPr>
        <w:rFonts w:hint="default" w:ascii="Symbol" w:hAnsi="Symbol" w:eastAsia="Symbol" w:cs="Symbol"/>
      </w:rPr>
    </w:lvl>
    <w:lvl w:ilvl="7">
      <w:start w:val="1"/>
      <w:numFmt w:val="bullet"/>
      <w:isLgl w:val="false"/>
      <w:suff w:val="tab"/>
      <w:lvlText w:val="•"/>
      <w:lvlJc w:val="left"/>
      <w:pPr>
        <w:ind w:left="7856" w:hanging="212"/>
      </w:pPr>
      <w:rPr>
        <w:rFonts w:hint="default" w:ascii="Symbol" w:hAnsi="Symbol" w:eastAsia="Symbol" w:cs="Symbol"/>
      </w:rPr>
    </w:lvl>
    <w:lvl w:ilvl="8">
      <w:start w:val="1"/>
      <w:numFmt w:val="bullet"/>
      <w:isLgl w:val="false"/>
      <w:suff w:val="tab"/>
      <w:lvlText w:val="•"/>
      <w:lvlJc w:val="left"/>
      <w:pPr>
        <w:ind w:left="8852" w:hanging="212"/>
      </w:pPr>
      <w:rPr>
        <w:rFonts w:hint="default" w:ascii="Symbol" w:hAnsi="Symbol" w:eastAsia="Symbol" w:cs="Symbol"/>
      </w:rPr>
    </w:lvl>
  </w:abstractNum>
  <w:abstractNum w:abstractNumId="2">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878" w:hanging="212"/>
      </w:pPr>
      <w:rPr>
        <w:rFonts w:ascii="SimSun" w:hAnsi="SimSun" w:eastAsia="SimSun" w:cs="SimSun"/>
        <w:spacing w:val="-2"/>
      </w:rPr>
    </w:lvl>
    <w:lvl w:ilvl="1">
      <w:start w:val="1"/>
      <w:numFmt w:val="bullet"/>
      <w:isLgl w:val="false"/>
      <w:suff w:val="tab"/>
      <w:lvlText w:val="•"/>
      <w:lvlJc w:val="left"/>
      <w:pPr>
        <w:ind w:left="1876" w:hanging="212"/>
      </w:pPr>
      <w:rPr>
        <w:rFonts w:hint="default" w:ascii="Symbol" w:hAnsi="Symbol" w:eastAsia="Symbol" w:cs="Symbol"/>
      </w:rPr>
    </w:lvl>
    <w:lvl w:ilvl="2">
      <w:start w:val="1"/>
      <w:numFmt w:val="bullet"/>
      <w:isLgl w:val="false"/>
      <w:suff w:val="tab"/>
      <w:lvlText w:val="•"/>
      <w:lvlJc w:val="left"/>
      <w:pPr>
        <w:ind w:left="2873" w:hanging="212"/>
      </w:pPr>
      <w:rPr>
        <w:rFonts w:hint="default" w:ascii="Symbol" w:hAnsi="Symbol" w:eastAsia="Symbol" w:cs="Symbol"/>
      </w:rPr>
    </w:lvl>
    <w:lvl w:ilvl="3">
      <w:start w:val="1"/>
      <w:numFmt w:val="bullet"/>
      <w:isLgl w:val="false"/>
      <w:suff w:val="tab"/>
      <w:lvlText w:val="•"/>
      <w:lvlJc w:val="left"/>
      <w:pPr>
        <w:ind w:left="3869" w:hanging="212"/>
      </w:pPr>
      <w:rPr>
        <w:rFonts w:hint="default" w:ascii="Symbol" w:hAnsi="Symbol" w:eastAsia="Symbol" w:cs="Symbol"/>
      </w:rPr>
    </w:lvl>
    <w:lvl w:ilvl="4">
      <w:start w:val="1"/>
      <w:numFmt w:val="bullet"/>
      <w:isLgl w:val="false"/>
      <w:suff w:val="tab"/>
      <w:lvlText w:val="•"/>
      <w:lvlJc w:val="left"/>
      <w:pPr>
        <w:ind w:left="4866" w:hanging="212"/>
      </w:pPr>
      <w:rPr>
        <w:rFonts w:hint="default" w:ascii="Symbol" w:hAnsi="Symbol" w:eastAsia="Symbol" w:cs="Symbol"/>
      </w:rPr>
    </w:lvl>
    <w:lvl w:ilvl="5">
      <w:start w:val="1"/>
      <w:numFmt w:val="bullet"/>
      <w:isLgl w:val="false"/>
      <w:suff w:val="tab"/>
      <w:lvlText w:val="•"/>
      <w:lvlJc w:val="left"/>
      <w:pPr>
        <w:ind w:left="5863" w:hanging="212"/>
      </w:pPr>
      <w:rPr>
        <w:rFonts w:hint="default" w:ascii="Symbol" w:hAnsi="Symbol" w:eastAsia="Symbol" w:cs="Symbol"/>
      </w:rPr>
    </w:lvl>
    <w:lvl w:ilvl="6">
      <w:start w:val="1"/>
      <w:numFmt w:val="bullet"/>
      <w:isLgl w:val="false"/>
      <w:suff w:val="tab"/>
      <w:lvlText w:val="•"/>
      <w:lvlJc w:val="left"/>
      <w:pPr>
        <w:ind w:left="6859" w:hanging="212"/>
      </w:pPr>
      <w:rPr>
        <w:rFonts w:hint="default" w:ascii="Symbol" w:hAnsi="Symbol" w:eastAsia="Symbol" w:cs="Symbol"/>
      </w:rPr>
    </w:lvl>
    <w:lvl w:ilvl="7">
      <w:start w:val="1"/>
      <w:numFmt w:val="bullet"/>
      <w:isLgl w:val="false"/>
      <w:suff w:val="tab"/>
      <w:lvlText w:val="•"/>
      <w:lvlJc w:val="left"/>
      <w:pPr>
        <w:ind w:left="7856" w:hanging="212"/>
      </w:pPr>
      <w:rPr>
        <w:rFonts w:hint="default" w:ascii="Symbol" w:hAnsi="Symbol" w:eastAsia="Symbol" w:cs="Symbol"/>
      </w:rPr>
    </w:lvl>
    <w:lvl w:ilvl="8">
      <w:start w:val="1"/>
      <w:numFmt w:val="bullet"/>
      <w:isLgl w:val="false"/>
      <w:suff w:val="tab"/>
      <w:lvlText w:val="•"/>
      <w:lvlJc w:val="left"/>
      <w:pPr>
        <w:ind w:left="8852" w:hanging="212"/>
      </w:pPr>
      <w:rPr>
        <w:rFonts w:hint="default" w:ascii="Symbol" w:hAnsi="Symbol" w:eastAsia="Symbol" w:cs="Symbol"/>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link w:val="639"/>
    <w:uiPriority w:val="9"/>
    <w:qFormat/>
    <w:pPr>
      <w:keepLines/>
      <w:keepNext/>
      <w:spacing w:before="480" w:after="200"/>
      <w:outlineLvl w:val="0"/>
    </w:pPr>
    <w:rPr>
      <w:rFonts w:ascii="Arial" w:hAnsi="Arial" w:eastAsia="Arial" w:cs="Arial"/>
      <w:sz w:val="40"/>
      <w:szCs w:val="40"/>
    </w:rPr>
  </w:style>
  <w:style w:type="character" w:styleId="639">
    <w:name w:val="Heading 1 Char"/>
    <w:link w:val="638"/>
    <w:uiPriority w:val="9"/>
    <w:rPr>
      <w:rFonts w:ascii="Arial" w:hAnsi="Arial" w:eastAsia="Arial" w:cs="Arial"/>
      <w:sz w:val="40"/>
      <w:szCs w:val="40"/>
    </w:rPr>
  </w:style>
  <w:style w:type="paragraph" w:styleId="640">
    <w:name w:val="Heading 2"/>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link w:val="640"/>
    <w:uiPriority w:val="9"/>
    <w:rPr>
      <w:rFonts w:ascii="Arial" w:hAnsi="Arial" w:eastAsia="Arial" w:cs="Arial"/>
      <w:sz w:val="34"/>
    </w:rPr>
  </w:style>
  <w:style w:type="paragraph" w:styleId="642">
    <w:name w:val="Heading 3"/>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link w:val="642"/>
    <w:uiPriority w:val="9"/>
    <w:rPr>
      <w:rFonts w:ascii="Arial" w:hAnsi="Arial" w:eastAsia="Arial" w:cs="Arial"/>
      <w:sz w:val="30"/>
      <w:szCs w:val="30"/>
    </w:rPr>
  </w:style>
  <w:style w:type="paragraph" w:styleId="644">
    <w:name w:val="Heading 4"/>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link w:val="644"/>
    <w:uiPriority w:val="9"/>
    <w:rPr>
      <w:rFonts w:ascii="Arial" w:hAnsi="Arial" w:eastAsia="Arial" w:cs="Arial"/>
      <w:b/>
      <w:bCs/>
      <w:sz w:val="26"/>
      <w:szCs w:val="26"/>
    </w:rPr>
  </w:style>
  <w:style w:type="paragraph" w:styleId="646">
    <w:name w:val="Heading 5"/>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link w:val="646"/>
    <w:uiPriority w:val="9"/>
    <w:rPr>
      <w:rFonts w:ascii="Arial" w:hAnsi="Arial" w:eastAsia="Arial" w:cs="Arial"/>
      <w:b/>
      <w:bCs/>
      <w:sz w:val="24"/>
      <w:szCs w:val="24"/>
    </w:rPr>
  </w:style>
  <w:style w:type="paragraph" w:styleId="648">
    <w:name w:val="Heading 6"/>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link w:val="648"/>
    <w:uiPriority w:val="9"/>
    <w:rPr>
      <w:rFonts w:ascii="Arial" w:hAnsi="Arial" w:eastAsia="Arial" w:cs="Arial"/>
      <w:b/>
      <w:bCs/>
      <w:sz w:val="22"/>
      <w:szCs w:val="22"/>
    </w:rPr>
  </w:style>
  <w:style w:type="paragraph" w:styleId="650">
    <w:name w:val="Heading 7"/>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link w:val="650"/>
    <w:uiPriority w:val="9"/>
    <w:rPr>
      <w:rFonts w:ascii="Arial" w:hAnsi="Arial" w:eastAsia="Arial" w:cs="Arial"/>
      <w:b/>
      <w:bCs/>
      <w:i/>
      <w:iCs/>
      <w:sz w:val="22"/>
      <w:szCs w:val="22"/>
    </w:rPr>
  </w:style>
  <w:style w:type="paragraph" w:styleId="652">
    <w:name w:val="Heading 8"/>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link w:val="652"/>
    <w:uiPriority w:val="9"/>
    <w:rPr>
      <w:rFonts w:ascii="Arial" w:hAnsi="Arial" w:eastAsia="Arial" w:cs="Arial"/>
      <w:i/>
      <w:iCs/>
      <w:sz w:val="22"/>
      <w:szCs w:val="22"/>
    </w:rPr>
  </w:style>
  <w:style w:type="paragraph" w:styleId="654">
    <w:name w:val="Heading 9"/>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link w:val="654"/>
    <w:uiPriority w:val="9"/>
    <w:rPr>
      <w:rFonts w:ascii="Arial" w:hAnsi="Arial" w:eastAsia="Arial" w:cs="Arial"/>
      <w:i/>
      <w:iCs/>
      <w:sz w:val="21"/>
      <w:szCs w:val="21"/>
    </w:rPr>
  </w:style>
  <w:style w:type="paragraph" w:styleId="656">
    <w:name w:val="List Paragraph"/>
    <w:uiPriority w:val="34"/>
    <w:qFormat/>
    <w:pPr>
      <w:contextualSpacing/>
      <w:ind w:left="720"/>
    </w:pPr>
  </w:style>
  <w:style w:type="paragraph" w:styleId="657">
    <w:name w:val="No Spacing"/>
    <w:uiPriority w:val="1"/>
    <w:qFormat/>
    <w:pPr>
      <w:spacing w:before="0" w:after="0" w:line="240" w:lineRule="auto"/>
    </w:pPr>
  </w:style>
  <w:style w:type="paragraph" w:styleId="658">
    <w:name w:val="Title"/>
    <w:link w:val="659"/>
    <w:uiPriority w:val="10"/>
    <w:qFormat/>
    <w:pPr>
      <w:contextualSpacing/>
      <w:spacing w:before="300" w:after="200"/>
    </w:pPr>
    <w:rPr>
      <w:sz w:val="48"/>
      <w:szCs w:val="48"/>
    </w:rPr>
  </w:style>
  <w:style w:type="character" w:styleId="659">
    <w:name w:val="Title Char"/>
    <w:link w:val="658"/>
    <w:uiPriority w:val="10"/>
    <w:rPr>
      <w:sz w:val="48"/>
      <w:szCs w:val="48"/>
    </w:rPr>
  </w:style>
  <w:style w:type="paragraph" w:styleId="660">
    <w:name w:val="Subtitle"/>
    <w:link w:val="661"/>
    <w:uiPriority w:val="11"/>
    <w:qFormat/>
    <w:pPr>
      <w:spacing w:before="200" w:after="200"/>
    </w:pPr>
    <w:rPr>
      <w:sz w:val="24"/>
      <w:szCs w:val="24"/>
    </w:rPr>
  </w:style>
  <w:style w:type="character" w:styleId="661">
    <w:name w:val="Subtitle Char"/>
    <w:link w:val="660"/>
    <w:uiPriority w:val="11"/>
    <w:rPr>
      <w:sz w:val="24"/>
      <w:szCs w:val="24"/>
    </w:rPr>
  </w:style>
  <w:style w:type="paragraph" w:styleId="662">
    <w:name w:val="Quote"/>
    <w:link w:val="663"/>
    <w:uiPriority w:val="29"/>
    <w:qFormat/>
    <w:pPr>
      <w:ind w:left="720" w:right="720"/>
    </w:pPr>
    <w:rPr>
      <w:i/>
    </w:rPr>
  </w:style>
  <w:style w:type="character" w:styleId="663">
    <w:name w:val="Quote Char"/>
    <w:link w:val="662"/>
    <w:uiPriority w:val="29"/>
    <w:rPr>
      <w:i/>
    </w:rPr>
  </w:style>
  <w:style w:type="paragraph" w:styleId="664">
    <w:name w:val="Intense Quote"/>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paragraph" w:styleId="666">
    <w:name w:val="Header"/>
    <w:link w:val="667"/>
    <w:uiPriority w:val="99"/>
    <w:unhideWhenUsed/>
    <w:pPr>
      <w:spacing w:after="0" w:line="240" w:lineRule="auto"/>
      <w:tabs>
        <w:tab w:val="center" w:pos="7143" w:leader="none"/>
        <w:tab w:val="right" w:pos="14287" w:leader="none"/>
      </w:tabs>
    </w:pPr>
  </w:style>
  <w:style w:type="character" w:styleId="667">
    <w:name w:val="Header Char"/>
    <w:link w:val="666"/>
    <w:uiPriority w:val="99"/>
  </w:style>
  <w:style w:type="paragraph" w:styleId="668">
    <w:name w:val="Footer"/>
    <w:link w:val="671"/>
    <w:uiPriority w:val="99"/>
    <w:unhideWhenUsed/>
    <w:pPr>
      <w:spacing w:after="0" w:line="240" w:lineRule="auto"/>
      <w:tabs>
        <w:tab w:val="center" w:pos="7143" w:leader="none"/>
        <w:tab w:val="right" w:pos="14287" w:leader="none"/>
      </w:tabs>
    </w:pPr>
  </w:style>
  <w:style w:type="character" w:styleId="669">
    <w:name w:val="Footer Char"/>
    <w:link w:val="668"/>
    <w:uiPriority w:val="99"/>
  </w:style>
  <w:style w:type="paragraph" w:styleId="670">
    <w:name w:val="Caption"/>
    <w:uiPriority w:val="35"/>
    <w:semiHidden/>
    <w:unhideWhenUsed/>
    <w:qFormat/>
    <w:pPr>
      <w:spacing w:line="276" w:lineRule="auto"/>
    </w:pPr>
    <w:rPr>
      <w:b/>
      <w:bCs/>
      <w:color w:val="4f81bd" w:themeColor="accent1"/>
      <w:sz w:val="18"/>
      <w:szCs w:val="18"/>
    </w:rPr>
  </w:style>
  <w:style w:type="character" w:styleId="671">
    <w:name w:val="Caption Char"/>
    <w:basedOn w:val="670"/>
    <w:link w:val="668"/>
    <w:uiPriority w:val="99"/>
  </w:style>
  <w:style w:type="table" w:styleId="6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uiPriority w:val="99"/>
    <w:unhideWhenUsed/>
    <w:rPr>
      <w:vertAlign w:val="superscript"/>
    </w:rPr>
  </w:style>
  <w:style w:type="paragraph" w:styleId="802">
    <w:name w:val="endnote text"/>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uiPriority w:val="99"/>
    <w:semiHidden/>
    <w:unhideWhenUsed/>
    <w:rPr>
      <w:vertAlign w:val="superscript"/>
    </w:rPr>
  </w:style>
  <w:style w:type="paragraph" w:styleId="805">
    <w:name w:val="toc 1"/>
    <w:uiPriority w:val="39"/>
    <w:unhideWhenUsed/>
    <w:pPr>
      <w:ind w:left="0" w:right="0" w:firstLine="0"/>
      <w:spacing w:after="57"/>
    </w:pPr>
  </w:style>
  <w:style w:type="paragraph" w:styleId="806">
    <w:name w:val="toc 2"/>
    <w:uiPriority w:val="39"/>
    <w:unhideWhenUsed/>
    <w:pPr>
      <w:ind w:left="283" w:right="0" w:firstLine="0"/>
      <w:spacing w:after="57"/>
    </w:pPr>
  </w:style>
  <w:style w:type="paragraph" w:styleId="807">
    <w:name w:val="toc 3"/>
    <w:uiPriority w:val="39"/>
    <w:unhideWhenUsed/>
    <w:pPr>
      <w:ind w:left="567" w:right="0" w:firstLine="0"/>
      <w:spacing w:after="57"/>
    </w:pPr>
  </w:style>
  <w:style w:type="paragraph" w:styleId="808">
    <w:name w:val="toc 4"/>
    <w:uiPriority w:val="39"/>
    <w:unhideWhenUsed/>
    <w:pPr>
      <w:ind w:left="850" w:right="0" w:firstLine="0"/>
      <w:spacing w:after="57"/>
    </w:pPr>
  </w:style>
  <w:style w:type="paragraph" w:styleId="809">
    <w:name w:val="toc 5"/>
    <w:uiPriority w:val="39"/>
    <w:unhideWhenUsed/>
    <w:pPr>
      <w:ind w:left="1134" w:right="0" w:firstLine="0"/>
      <w:spacing w:after="57"/>
    </w:pPr>
  </w:style>
  <w:style w:type="paragraph" w:styleId="810">
    <w:name w:val="toc 6"/>
    <w:uiPriority w:val="39"/>
    <w:unhideWhenUsed/>
    <w:pPr>
      <w:ind w:left="1417" w:right="0" w:firstLine="0"/>
      <w:spacing w:after="57"/>
    </w:pPr>
  </w:style>
  <w:style w:type="paragraph" w:styleId="811">
    <w:name w:val="toc 7"/>
    <w:uiPriority w:val="39"/>
    <w:unhideWhenUsed/>
    <w:pPr>
      <w:ind w:left="1701" w:right="0" w:firstLine="0"/>
      <w:spacing w:after="57"/>
    </w:pPr>
  </w:style>
  <w:style w:type="paragraph" w:styleId="812">
    <w:name w:val="toc 8"/>
    <w:uiPriority w:val="39"/>
    <w:unhideWhenUsed/>
    <w:pPr>
      <w:ind w:left="1984" w:right="0" w:firstLine="0"/>
      <w:spacing w:after="57"/>
    </w:pPr>
  </w:style>
  <w:style w:type="paragraph" w:styleId="813">
    <w:name w:val="toc 9"/>
    <w:uiPriority w:val="39"/>
    <w:unhideWhenUsed/>
    <w:pPr>
      <w:ind w:left="2268" w:right="0" w:firstLine="0"/>
      <w:spacing w:after="57"/>
    </w:pPr>
  </w:style>
  <w:style w:type="paragraph" w:styleId="814">
    <w:name w:val="TOC Heading"/>
    <w:uiPriority w:val="39"/>
    <w:unhideWhenUsed/>
  </w:style>
  <w:style w:type="paragraph" w:styleId="815">
    <w:name w:val="table of figures"/>
    <w:uiPriority w:val="99"/>
    <w:unhideWhenUsed/>
    <w:pPr>
      <w:spacing w:after="0" w:afterAutospacing="0"/>
    </w:pPr>
  </w:style>
  <w:style w:type="character" w:styleId="816" w:default="1">
    <w:name w:val="Default Paragraph Font"/>
    <w:uiPriority w:val="1"/>
    <w:semiHidden/>
    <w:unhideWhenUsed/>
  </w:style>
  <w:style w:type="numbering" w:styleId="817" w:default="1">
    <w:name w:val="No List"/>
    <w:uiPriority w:val="99"/>
    <w:semiHidden/>
    <w:unhideWhenUsed/>
  </w:style>
  <w:style w:type="paragraph" w:styleId="818" w:default="1">
    <w:name w:val="Normal"/>
    <w:qFormat/>
  </w:style>
  <w:style w:type="table" w:styleId="8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149"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512"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251"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444"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107"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600"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882"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120"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201"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290"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104"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476"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834"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236" TargetMode="External"/><Relationship Id="rId2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922" TargetMode="External"/><Relationship Id="rId2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522" TargetMode="External"/><Relationship Id="rId2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037" TargetMode="External"/><Relationship Id="rId2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675" TargetMode="External"/><Relationship Id="rId2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677"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李天天</cp:lastModifiedBy>
  <cp:revision>2</cp:revision>
  <dcterms:created xsi:type="dcterms:W3CDTF">2026-06-04T10:12:03Z</dcterms:created>
  <dcterms:modified xsi:type="dcterms:W3CDTF">2026-06-09T01:50:10Z</dcterms:modified>
</cp:coreProperties>
</file>